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3.xml" ContentType="application/vnd.openxmlformats-officedocument.drawingml.chartshap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25F44" w14:textId="3B2FF71A" w:rsidR="00F17786" w:rsidRPr="00FC2779" w:rsidRDefault="00F17786" w:rsidP="00287F4C">
      <w:pPr>
        <w:pStyle w:val="Textoindependiente"/>
        <w:ind w:left="-567"/>
        <w:jc w:val="center"/>
        <w:rPr>
          <w:rFonts w:ascii="Arial" w:hAnsi="Arial" w:cs="Arial"/>
          <w:b/>
          <w:color w:val="000000" w:themeColor="text1"/>
          <w:lang w:val="es-MX"/>
        </w:rPr>
      </w:pPr>
      <w:bookmarkStart w:id="0" w:name="_GoBack"/>
      <w:bookmarkEnd w:id="0"/>
      <w:r w:rsidRPr="00FC2779">
        <w:rPr>
          <w:rFonts w:ascii="Arial" w:hAnsi="Arial" w:cs="Arial"/>
          <w:b/>
          <w:color w:val="000000" w:themeColor="text1"/>
          <w:lang w:val="es-MX"/>
        </w:rPr>
        <w:t>CUENTA SATÉ</w:t>
      </w:r>
      <w:r w:rsidR="007E6E94" w:rsidRPr="00FC2779">
        <w:rPr>
          <w:rFonts w:ascii="Arial" w:hAnsi="Arial" w:cs="Arial"/>
          <w:b/>
          <w:color w:val="000000" w:themeColor="text1"/>
          <w:lang w:val="es-MX"/>
        </w:rPr>
        <w:t>L</w:t>
      </w:r>
      <w:r w:rsidRPr="00FC2779">
        <w:rPr>
          <w:rFonts w:ascii="Arial" w:hAnsi="Arial" w:cs="Arial"/>
          <w:b/>
          <w:color w:val="000000" w:themeColor="text1"/>
          <w:lang w:val="es-MX"/>
        </w:rPr>
        <w:t>ITE DE VIVIENDA DE MÉXICO 2020</w:t>
      </w:r>
    </w:p>
    <w:p w14:paraId="0141F22D" w14:textId="77777777" w:rsidR="000D2DAD" w:rsidRPr="00FC2779" w:rsidRDefault="000D2DAD" w:rsidP="00287F4C">
      <w:pPr>
        <w:pStyle w:val="Textoindependiente"/>
        <w:ind w:left="-567"/>
        <w:jc w:val="center"/>
        <w:rPr>
          <w:rFonts w:ascii="Arial" w:hAnsi="Arial" w:cs="Arial"/>
          <w:b/>
          <w:color w:val="000000" w:themeColor="text1"/>
          <w:lang w:val="es-MX"/>
        </w:rPr>
      </w:pPr>
    </w:p>
    <w:p w14:paraId="6AC31A9E" w14:textId="654E3AB0" w:rsidR="000D2DAD" w:rsidRPr="00FC2779" w:rsidRDefault="000D2DAD" w:rsidP="00287F4C">
      <w:pPr>
        <w:pStyle w:val="Textoindependiente"/>
        <w:numPr>
          <w:ilvl w:val="0"/>
          <w:numId w:val="3"/>
        </w:numPr>
        <w:tabs>
          <w:tab w:val="center" w:pos="3348"/>
        </w:tabs>
        <w:ind w:left="284" w:right="567" w:hanging="284"/>
        <w:rPr>
          <w:rFonts w:ascii="Arial" w:hAnsi="Arial" w:cs="Arial"/>
          <w:color w:val="000000" w:themeColor="text1"/>
          <w:sz w:val="23"/>
          <w:szCs w:val="23"/>
        </w:rPr>
      </w:pPr>
      <w:r w:rsidRPr="00FC2779">
        <w:rPr>
          <w:rFonts w:ascii="Arial" w:hAnsi="Arial" w:cs="Arial"/>
          <w:color w:val="000000" w:themeColor="text1"/>
          <w:sz w:val="23"/>
          <w:szCs w:val="23"/>
          <w:lang w:val="es-MX"/>
        </w:rPr>
        <w:t>E</w:t>
      </w:r>
      <w:r w:rsidR="00091AF6" w:rsidRPr="00FC2779">
        <w:rPr>
          <w:rFonts w:ascii="Arial" w:hAnsi="Arial" w:cs="Arial"/>
          <w:color w:val="000000" w:themeColor="text1"/>
          <w:sz w:val="23"/>
          <w:szCs w:val="23"/>
          <w:lang w:val="es-MX"/>
        </w:rPr>
        <w:t>n 2020, e</w:t>
      </w:r>
      <w:r w:rsidRPr="00FC2779">
        <w:rPr>
          <w:rFonts w:ascii="Arial" w:hAnsi="Arial" w:cs="Arial"/>
          <w:color w:val="000000" w:themeColor="text1"/>
          <w:sz w:val="23"/>
          <w:szCs w:val="23"/>
        </w:rPr>
        <w:t>l</w:t>
      </w:r>
      <w:r w:rsidRPr="00FC2779">
        <w:rPr>
          <w:rFonts w:ascii="Arial" w:hAnsi="Arial" w:cs="Arial"/>
          <w:color w:val="000000" w:themeColor="text1"/>
          <w:sz w:val="23"/>
          <w:szCs w:val="23"/>
          <w:lang w:val="es-MX"/>
        </w:rPr>
        <w:t xml:space="preserve"> Producto Interno </w:t>
      </w:r>
      <w:r w:rsidRPr="0000022B">
        <w:rPr>
          <w:rFonts w:ascii="Arial" w:hAnsi="Arial" w:cs="Arial"/>
          <w:color w:val="000000" w:themeColor="text1"/>
          <w:sz w:val="23"/>
          <w:szCs w:val="23"/>
          <w:lang w:val="es-MX"/>
        </w:rPr>
        <w:t>Bruto (PIB</w:t>
      </w:r>
      <w:r w:rsidR="00802346" w:rsidRPr="0000022B">
        <w:rPr>
          <w:rStyle w:val="Refdenotaalpie"/>
          <w:rFonts w:ascii="Arial" w:hAnsi="Arial" w:cs="Arial"/>
          <w:color w:val="000000" w:themeColor="text1"/>
          <w:sz w:val="23"/>
          <w:szCs w:val="23"/>
          <w:lang w:val="es-MX"/>
        </w:rPr>
        <w:footnoteReference w:id="1"/>
      </w:r>
      <w:r w:rsidRPr="0000022B">
        <w:rPr>
          <w:rFonts w:ascii="Arial" w:hAnsi="Arial" w:cs="Arial"/>
          <w:color w:val="000000" w:themeColor="text1"/>
          <w:sz w:val="23"/>
          <w:szCs w:val="23"/>
          <w:lang w:val="es-MX"/>
        </w:rPr>
        <w:t>)</w:t>
      </w:r>
      <w:r w:rsidRPr="00FC2779">
        <w:rPr>
          <w:rFonts w:ascii="Arial" w:hAnsi="Arial" w:cs="Arial"/>
          <w:color w:val="000000" w:themeColor="text1"/>
          <w:sz w:val="23"/>
          <w:szCs w:val="23"/>
          <w:lang w:val="es-MX"/>
        </w:rPr>
        <w:t xml:space="preserve"> del sector de la vivienda</w:t>
      </w:r>
      <w:r w:rsidRPr="00FC2779">
        <w:rPr>
          <w:rFonts w:ascii="Arial" w:hAnsi="Arial" w:cs="Arial"/>
          <w:color w:val="000000" w:themeColor="text1"/>
          <w:sz w:val="23"/>
          <w:szCs w:val="23"/>
        </w:rPr>
        <w:t xml:space="preserve"> </w:t>
      </w:r>
      <w:r w:rsidRPr="00FC2779">
        <w:rPr>
          <w:rFonts w:ascii="Arial" w:hAnsi="Arial" w:cs="Arial"/>
          <w:color w:val="000000" w:themeColor="text1"/>
          <w:sz w:val="23"/>
          <w:szCs w:val="23"/>
          <w:lang w:val="es-MX"/>
        </w:rPr>
        <w:t>significó</w:t>
      </w:r>
      <w:r w:rsidRPr="00FC2779">
        <w:rPr>
          <w:rFonts w:ascii="Arial" w:hAnsi="Arial" w:cs="Arial"/>
          <w:color w:val="000000" w:themeColor="text1"/>
          <w:sz w:val="23"/>
          <w:szCs w:val="23"/>
        </w:rPr>
        <w:t xml:space="preserve"> una participación de </w:t>
      </w:r>
      <w:r w:rsidRPr="00FC2779">
        <w:rPr>
          <w:rFonts w:ascii="Arial" w:hAnsi="Arial" w:cs="Arial"/>
          <w:color w:val="000000" w:themeColor="text1"/>
          <w:sz w:val="23"/>
          <w:szCs w:val="23"/>
          <w:lang w:val="es-MX"/>
        </w:rPr>
        <w:t>5.8</w:t>
      </w:r>
      <w:r w:rsidRPr="00FC2779">
        <w:rPr>
          <w:rFonts w:ascii="Arial" w:hAnsi="Arial" w:cs="Arial"/>
          <w:color w:val="000000" w:themeColor="text1"/>
          <w:sz w:val="23"/>
          <w:szCs w:val="23"/>
        </w:rPr>
        <w:t>%</w:t>
      </w:r>
      <w:r w:rsidRPr="00FC2779">
        <w:rPr>
          <w:rFonts w:ascii="Arial" w:hAnsi="Arial" w:cs="Arial"/>
          <w:color w:val="000000" w:themeColor="text1"/>
          <w:sz w:val="23"/>
          <w:szCs w:val="23"/>
          <w:lang w:val="es-MX"/>
        </w:rPr>
        <w:t xml:space="preserve"> en el PIB</w:t>
      </w:r>
      <w:r w:rsidRPr="00FC2779">
        <w:rPr>
          <w:rFonts w:ascii="Arial" w:hAnsi="Arial" w:cs="Arial"/>
          <w:color w:val="000000" w:themeColor="text1"/>
          <w:sz w:val="23"/>
          <w:szCs w:val="23"/>
        </w:rPr>
        <w:t xml:space="preserve"> Nacional. </w:t>
      </w:r>
    </w:p>
    <w:p w14:paraId="289815E2" w14:textId="5BA8375F" w:rsidR="000D2DAD" w:rsidRPr="00FC2779" w:rsidRDefault="00091AF6" w:rsidP="00287F4C">
      <w:pPr>
        <w:pStyle w:val="Prrafodelista"/>
        <w:numPr>
          <w:ilvl w:val="0"/>
          <w:numId w:val="3"/>
        </w:numPr>
        <w:spacing w:before="0"/>
        <w:ind w:left="284" w:right="567" w:hanging="284"/>
        <w:jc w:val="both"/>
        <w:rPr>
          <w:rFonts w:ascii="Arial" w:hAnsi="Arial" w:cs="Arial"/>
          <w:color w:val="000000" w:themeColor="text1"/>
          <w:sz w:val="23"/>
          <w:szCs w:val="23"/>
        </w:rPr>
      </w:pPr>
      <w:r w:rsidRPr="00FC2779">
        <w:rPr>
          <w:rFonts w:ascii="Arial" w:hAnsi="Arial" w:cs="Arial"/>
          <w:color w:val="000000" w:themeColor="text1"/>
          <w:sz w:val="23"/>
          <w:szCs w:val="23"/>
        </w:rPr>
        <w:t>M</w:t>
      </w:r>
      <w:r w:rsidR="000D2DAD" w:rsidRPr="00FC2779">
        <w:rPr>
          <w:rFonts w:ascii="Arial" w:hAnsi="Arial" w:cs="Arial"/>
          <w:color w:val="000000" w:themeColor="text1"/>
          <w:sz w:val="23"/>
          <w:szCs w:val="23"/>
        </w:rPr>
        <w:t>edido a precios de 2013, el PIB del sector de la vivienda presentó una caída de 9.1%, mientras que el total de la economía disminuyó</w:t>
      </w:r>
      <w:r w:rsidR="007607FA">
        <w:rPr>
          <w:rFonts w:ascii="Arial" w:hAnsi="Arial" w:cs="Arial"/>
          <w:color w:val="000000" w:themeColor="text1"/>
          <w:sz w:val="23"/>
          <w:szCs w:val="23"/>
        </w:rPr>
        <w:t xml:space="preserve"> </w:t>
      </w:r>
      <w:r w:rsidR="000D2DAD" w:rsidRPr="00FC2779">
        <w:rPr>
          <w:rFonts w:ascii="Arial" w:hAnsi="Arial" w:cs="Arial"/>
          <w:color w:val="000000" w:themeColor="text1"/>
          <w:sz w:val="23"/>
          <w:szCs w:val="23"/>
        </w:rPr>
        <w:t xml:space="preserve">7.9% </w:t>
      </w:r>
      <w:r w:rsidRPr="00FC2779">
        <w:rPr>
          <w:rFonts w:ascii="Arial" w:hAnsi="Arial" w:cs="Arial"/>
          <w:color w:val="000000" w:themeColor="text1"/>
          <w:sz w:val="23"/>
          <w:szCs w:val="23"/>
        </w:rPr>
        <w:t>en 2020</w:t>
      </w:r>
      <w:r w:rsidR="000D2DAD" w:rsidRPr="00FC2779">
        <w:rPr>
          <w:rFonts w:ascii="Arial" w:hAnsi="Arial" w:cs="Arial"/>
          <w:color w:val="000000" w:themeColor="text1"/>
          <w:sz w:val="23"/>
          <w:szCs w:val="23"/>
        </w:rPr>
        <w:t xml:space="preserve">. </w:t>
      </w:r>
    </w:p>
    <w:p w14:paraId="4318EF8F" w14:textId="2AC97106" w:rsidR="000D2DAD" w:rsidRPr="00FC2779" w:rsidRDefault="000D2DAD" w:rsidP="00287F4C">
      <w:pPr>
        <w:pStyle w:val="parrafo1"/>
        <w:numPr>
          <w:ilvl w:val="0"/>
          <w:numId w:val="3"/>
        </w:numPr>
        <w:spacing w:before="0"/>
        <w:ind w:left="284" w:right="567" w:hanging="284"/>
        <w:rPr>
          <w:color w:val="000000" w:themeColor="text1"/>
          <w:sz w:val="23"/>
          <w:szCs w:val="23"/>
        </w:rPr>
      </w:pPr>
      <w:r w:rsidRPr="00FC2779">
        <w:rPr>
          <w:color w:val="000000" w:themeColor="text1"/>
          <w:sz w:val="23"/>
          <w:szCs w:val="23"/>
        </w:rPr>
        <w:t xml:space="preserve">Las actividades vinculadas con la vivienda </w:t>
      </w:r>
      <w:r w:rsidR="00091AF6" w:rsidRPr="00FC2779">
        <w:rPr>
          <w:color w:val="000000" w:themeColor="text1"/>
          <w:sz w:val="23"/>
          <w:szCs w:val="23"/>
        </w:rPr>
        <w:t>generaron</w:t>
      </w:r>
      <w:r w:rsidRPr="00FC2779">
        <w:rPr>
          <w:color w:val="000000" w:themeColor="text1"/>
          <w:sz w:val="23"/>
          <w:szCs w:val="23"/>
        </w:rPr>
        <w:t xml:space="preserve"> 2 278 417 puestos de trabajo</w:t>
      </w:r>
      <w:r w:rsidR="00091AF6" w:rsidRPr="00FC2779">
        <w:rPr>
          <w:color w:val="000000" w:themeColor="text1"/>
          <w:sz w:val="23"/>
          <w:szCs w:val="23"/>
        </w:rPr>
        <w:t xml:space="preserve">, equivalentes a 5.5% del total de puestos reportados </w:t>
      </w:r>
      <w:r w:rsidR="00287F4C" w:rsidRPr="00FC2779">
        <w:rPr>
          <w:color w:val="000000" w:themeColor="text1"/>
          <w:sz w:val="23"/>
          <w:szCs w:val="23"/>
        </w:rPr>
        <w:t>en el país</w:t>
      </w:r>
      <w:r w:rsidR="00091AF6" w:rsidRPr="00FC2779">
        <w:rPr>
          <w:color w:val="000000" w:themeColor="text1"/>
          <w:sz w:val="23"/>
          <w:szCs w:val="23"/>
        </w:rPr>
        <w:t>.</w:t>
      </w:r>
    </w:p>
    <w:p w14:paraId="0CEC90EB" w14:textId="77777777" w:rsidR="000D2DAD" w:rsidRPr="00FC2779" w:rsidRDefault="000D2DAD" w:rsidP="00287F4C">
      <w:pPr>
        <w:pStyle w:val="parrafo1"/>
        <w:spacing w:before="0"/>
        <w:ind w:left="153" w:right="51"/>
        <w:rPr>
          <w:color w:val="000000" w:themeColor="text1"/>
          <w:sz w:val="23"/>
          <w:szCs w:val="23"/>
        </w:rPr>
      </w:pPr>
    </w:p>
    <w:p w14:paraId="16B64F18" w14:textId="7429C011" w:rsidR="000D2DAD" w:rsidRPr="00FC2779" w:rsidRDefault="00F17786" w:rsidP="00287F4C">
      <w:pPr>
        <w:pStyle w:val="Textoindependiente"/>
        <w:ind w:left="-567"/>
        <w:rPr>
          <w:rFonts w:ascii="Arial" w:hAnsi="Arial" w:cs="Arial"/>
          <w:color w:val="000000" w:themeColor="text1"/>
          <w:sz w:val="23"/>
          <w:szCs w:val="23"/>
          <w:lang w:val="es-MX"/>
        </w:rPr>
      </w:pPr>
      <w:r w:rsidRPr="00FC2779">
        <w:rPr>
          <w:rFonts w:ascii="Arial" w:hAnsi="Arial" w:cs="Arial"/>
          <w:color w:val="000000" w:themeColor="text1"/>
          <w:sz w:val="23"/>
          <w:szCs w:val="23"/>
          <w:lang w:val="es-MX"/>
        </w:rPr>
        <w:t>E</w:t>
      </w:r>
      <w:r w:rsidRPr="00FC2779">
        <w:rPr>
          <w:rFonts w:ascii="Arial" w:hAnsi="Arial" w:cs="Arial"/>
          <w:color w:val="000000" w:themeColor="text1"/>
          <w:sz w:val="23"/>
          <w:szCs w:val="23"/>
        </w:rPr>
        <w:t xml:space="preserve">l Instituto Nacional de Estadística y Geografía (INEGI) presenta los resultados de la Cuenta Satélite de </w:t>
      </w:r>
      <w:r w:rsidRPr="00FC2779">
        <w:rPr>
          <w:rFonts w:ascii="Arial" w:hAnsi="Arial" w:cs="Arial"/>
          <w:color w:val="000000" w:themeColor="text1"/>
          <w:sz w:val="23"/>
          <w:szCs w:val="23"/>
          <w:lang w:val="es-MX"/>
        </w:rPr>
        <w:t>Vivienda</w:t>
      </w:r>
      <w:r w:rsidRPr="00FC2779">
        <w:rPr>
          <w:rFonts w:ascii="Arial" w:hAnsi="Arial" w:cs="Arial"/>
          <w:color w:val="000000" w:themeColor="text1"/>
          <w:sz w:val="23"/>
          <w:szCs w:val="23"/>
        </w:rPr>
        <w:t xml:space="preserve"> de México 2020</w:t>
      </w:r>
      <w:r w:rsidR="009020C8" w:rsidRPr="00FC2779">
        <w:rPr>
          <w:rFonts w:ascii="Arial" w:hAnsi="Arial" w:cs="Arial"/>
          <w:color w:val="000000" w:themeColor="text1"/>
          <w:sz w:val="23"/>
          <w:szCs w:val="23"/>
          <w:lang w:val="es-MX"/>
        </w:rPr>
        <w:t xml:space="preserve"> que ofrece información sobre la dimensión, participación, evolución e impacto económico de las actividades ligadas al sector de la vivienda</w:t>
      </w:r>
      <w:r w:rsidR="000D2DAD" w:rsidRPr="00FC2779">
        <w:rPr>
          <w:rFonts w:ascii="Arial" w:hAnsi="Arial" w:cs="Arial"/>
          <w:color w:val="000000" w:themeColor="text1"/>
          <w:sz w:val="23"/>
          <w:szCs w:val="23"/>
          <w:lang w:val="es-MX"/>
        </w:rPr>
        <w:t>.</w:t>
      </w:r>
    </w:p>
    <w:p w14:paraId="7ED43738" w14:textId="70480A0C" w:rsidR="009020C8" w:rsidRPr="00FC2779" w:rsidRDefault="009020C8" w:rsidP="00287F4C">
      <w:pPr>
        <w:pStyle w:val="Textoindependiente"/>
        <w:ind w:left="-567"/>
        <w:rPr>
          <w:rFonts w:ascii="Arial" w:hAnsi="Arial" w:cs="Arial"/>
          <w:color w:val="000000" w:themeColor="text1"/>
          <w:sz w:val="23"/>
          <w:szCs w:val="23"/>
          <w:lang w:val="es-MX"/>
        </w:rPr>
      </w:pPr>
      <w:r w:rsidRPr="00FC2779">
        <w:rPr>
          <w:rFonts w:ascii="Arial" w:hAnsi="Arial" w:cs="Arial"/>
          <w:color w:val="000000" w:themeColor="text1"/>
          <w:sz w:val="23"/>
          <w:szCs w:val="23"/>
          <w:lang w:val="es-MX"/>
        </w:rPr>
        <w:t xml:space="preserve"> </w:t>
      </w:r>
    </w:p>
    <w:p w14:paraId="4C06D3A3" w14:textId="1C249ACE" w:rsidR="00F17786" w:rsidRPr="00FC2779" w:rsidRDefault="009020C8" w:rsidP="00287F4C">
      <w:pPr>
        <w:pStyle w:val="Textoindependiente"/>
        <w:ind w:left="-567"/>
        <w:rPr>
          <w:rFonts w:ascii="Arial" w:hAnsi="Arial" w:cs="Arial"/>
          <w:color w:val="000000" w:themeColor="text1"/>
          <w:sz w:val="23"/>
          <w:szCs w:val="23"/>
        </w:rPr>
      </w:pPr>
      <w:r w:rsidRPr="00FC2779">
        <w:rPr>
          <w:rFonts w:ascii="Arial" w:hAnsi="Arial" w:cs="Arial"/>
          <w:color w:val="000000" w:themeColor="text1"/>
          <w:sz w:val="23"/>
          <w:szCs w:val="23"/>
          <w:lang w:val="es-MX"/>
        </w:rPr>
        <w:t xml:space="preserve">La </w:t>
      </w:r>
      <w:r w:rsidRPr="00FC2779">
        <w:rPr>
          <w:rFonts w:ascii="Arial" w:hAnsi="Arial" w:cs="Arial"/>
          <w:color w:val="000000" w:themeColor="text1"/>
          <w:sz w:val="23"/>
          <w:szCs w:val="23"/>
        </w:rPr>
        <w:t xml:space="preserve">Cuenta Satélite de </w:t>
      </w:r>
      <w:r w:rsidRPr="00FC2779">
        <w:rPr>
          <w:rFonts w:ascii="Arial" w:hAnsi="Arial" w:cs="Arial"/>
          <w:color w:val="000000" w:themeColor="text1"/>
          <w:sz w:val="23"/>
          <w:szCs w:val="23"/>
          <w:lang w:val="es-MX"/>
        </w:rPr>
        <w:t>Vivienda</w:t>
      </w:r>
      <w:r w:rsidRPr="00FC2779">
        <w:rPr>
          <w:rFonts w:ascii="Arial" w:hAnsi="Arial" w:cs="Arial"/>
          <w:color w:val="000000" w:themeColor="text1"/>
          <w:sz w:val="23"/>
          <w:szCs w:val="23"/>
        </w:rPr>
        <w:t xml:space="preserve"> de México</w:t>
      </w:r>
      <w:r w:rsidRPr="00FC2779">
        <w:rPr>
          <w:rFonts w:ascii="Arial" w:hAnsi="Arial" w:cs="Arial"/>
          <w:color w:val="000000" w:themeColor="text1"/>
          <w:sz w:val="23"/>
          <w:szCs w:val="23"/>
          <w:lang w:val="es-MX"/>
        </w:rPr>
        <w:t xml:space="preserve"> se elabora con base en lineamientos acordados internacionalmente, </w:t>
      </w:r>
      <w:r w:rsidR="00F17786" w:rsidRPr="00FC2779">
        <w:rPr>
          <w:rFonts w:ascii="Arial" w:hAnsi="Arial" w:cs="Arial"/>
          <w:color w:val="000000" w:themeColor="text1"/>
          <w:sz w:val="23"/>
          <w:szCs w:val="23"/>
        </w:rPr>
        <w:t>proporciona información económica para la toma de decisiones en el sector</w:t>
      </w:r>
      <w:r w:rsidR="00F17786" w:rsidRPr="00FC2779">
        <w:rPr>
          <w:rFonts w:ascii="Arial" w:hAnsi="Arial" w:cs="Arial"/>
          <w:color w:val="000000" w:themeColor="text1"/>
          <w:sz w:val="23"/>
          <w:szCs w:val="23"/>
          <w:lang w:val="es-MX"/>
        </w:rPr>
        <w:t xml:space="preserve"> de la vivienda</w:t>
      </w:r>
      <w:r w:rsidR="00F17786" w:rsidRPr="00FC2779">
        <w:rPr>
          <w:rFonts w:ascii="Arial" w:hAnsi="Arial" w:cs="Arial"/>
          <w:color w:val="000000" w:themeColor="text1"/>
          <w:sz w:val="23"/>
          <w:szCs w:val="23"/>
        </w:rPr>
        <w:t xml:space="preserve"> y forma parte del Sistema de Cuentas Nacionales de México. </w:t>
      </w:r>
    </w:p>
    <w:p w14:paraId="3CF1F8D8" w14:textId="2CC05F17" w:rsidR="00F17786" w:rsidRPr="00FC2779" w:rsidRDefault="00F17786" w:rsidP="00287F4C">
      <w:pPr>
        <w:pStyle w:val="Textoindependiente"/>
        <w:ind w:left="-567"/>
        <w:rPr>
          <w:rFonts w:ascii="Arial" w:hAnsi="Arial" w:cs="Arial"/>
          <w:color w:val="000000" w:themeColor="text1"/>
          <w:sz w:val="23"/>
          <w:szCs w:val="23"/>
          <w:lang w:val="es-MX"/>
        </w:rPr>
      </w:pPr>
    </w:p>
    <w:p w14:paraId="29E44E23" w14:textId="6B051260" w:rsidR="00F17786" w:rsidRPr="00FC2779" w:rsidRDefault="00F17786" w:rsidP="00287F4C">
      <w:pPr>
        <w:pStyle w:val="Textoindependiente"/>
        <w:ind w:left="-567"/>
        <w:rPr>
          <w:rFonts w:ascii="Arial" w:hAnsi="Arial" w:cs="Arial"/>
          <w:b/>
          <w:iCs/>
          <w:smallCaps/>
          <w:color w:val="000000" w:themeColor="text1"/>
          <w:sz w:val="23"/>
          <w:szCs w:val="23"/>
        </w:rPr>
      </w:pPr>
      <w:r w:rsidRPr="00FC2779">
        <w:rPr>
          <w:rFonts w:ascii="Arial" w:hAnsi="Arial" w:cs="Arial"/>
          <w:b/>
          <w:iCs/>
          <w:smallCaps/>
          <w:color w:val="000000" w:themeColor="text1"/>
          <w:sz w:val="23"/>
          <w:szCs w:val="23"/>
        </w:rPr>
        <w:t>Principales Resultados</w:t>
      </w:r>
    </w:p>
    <w:p w14:paraId="3C9ED1BB" w14:textId="77777777" w:rsidR="000D2DAD" w:rsidRPr="00FC2779" w:rsidRDefault="000D2DAD" w:rsidP="00287F4C">
      <w:pPr>
        <w:pStyle w:val="Textoindependiente"/>
        <w:ind w:left="-567"/>
        <w:rPr>
          <w:rFonts w:ascii="Arial" w:hAnsi="Arial" w:cs="Arial"/>
          <w:b/>
          <w:iCs/>
          <w:smallCaps/>
          <w:color w:val="000000" w:themeColor="text1"/>
          <w:sz w:val="23"/>
          <w:szCs w:val="23"/>
        </w:rPr>
      </w:pPr>
    </w:p>
    <w:p w14:paraId="4158EF12" w14:textId="6B7069AD" w:rsidR="00F17786" w:rsidRPr="00FC2779" w:rsidRDefault="00F17786" w:rsidP="00287F4C">
      <w:pPr>
        <w:pStyle w:val="Textoindependiente"/>
        <w:tabs>
          <w:tab w:val="center" w:pos="3348"/>
        </w:tabs>
        <w:ind w:left="-567"/>
        <w:rPr>
          <w:rFonts w:ascii="Arial" w:hAnsi="Arial" w:cs="Arial"/>
          <w:color w:val="000000" w:themeColor="text1"/>
          <w:sz w:val="23"/>
          <w:szCs w:val="23"/>
        </w:rPr>
      </w:pPr>
      <w:r w:rsidRPr="00FC2779">
        <w:rPr>
          <w:rFonts w:ascii="Arial" w:hAnsi="Arial" w:cs="Arial"/>
          <w:color w:val="000000" w:themeColor="text1"/>
          <w:sz w:val="23"/>
          <w:szCs w:val="23"/>
          <w:lang w:val="es-MX"/>
        </w:rPr>
        <w:t>E</w:t>
      </w:r>
      <w:r w:rsidRPr="00FC2779">
        <w:rPr>
          <w:rFonts w:ascii="Arial" w:hAnsi="Arial" w:cs="Arial"/>
          <w:color w:val="000000" w:themeColor="text1"/>
          <w:sz w:val="23"/>
          <w:szCs w:val="23"/>
        </w:rPr>
        <w:t>l</w:t>
      </w:r>
      <w:r w:rsidRPr="00FC2779">
        <w:rPr>
          <w:rFonts w:ascii="Arial" w:hAnsi="Arial" w:cs="Arial"/>
          <w:color w:val="000000" w:themeColor="text1"/>
          <w:sz w:val="23"/>
          <w:szCs w:val="23"/>
          <w:lang w:val="es-MX"/>
        </w:rPr>
        <w:t xml:space="preserve"> PIB del sector de la vivienda</w:t>
      </w:r>
      <w:r w:rsidRPr="00FC2779">
        <w:rPr>
          <w:rFonts w:ascii="Arial" w:hAnsi="Arial" w:cs="Arial"/>
          <w:color w:val="000000" w:themeColor="text1"/>
          <w:sz w:val="23"/>
          <w:szCs w:val="23"/>
        </w:rPr>
        <w:t xml:space="preserve"> </w:t>
      </w:r>
      <w:r w:rsidRPr="00FC2779">
        <w:rPr>
          <w:rFonts w:ascii="Arial" w:hAnsi="Arial" w:cs="Arial"/>
          <w:color w:val="000000" w:themeColor="text1"/>
          <w:sz w:val="23"/>
          <w:szCs w:val="23"/>
          <w:lang w:val="es-MX"/>
        </w:rPr>
        <w:t>en</w:t>
      </w:r>
      <w:r w:rsidRPr="00FC2779">
        <w:rPr>
          <w:rFonts w:ascii="Arial" w:hAnsi="Arial" w:cs="Arial"/>
          <w:color w:val="000000" w:themeColor="text1"/>
          <w:sz w:val="23"/>
          <w:szCs w:val="23"/>
        </w:rPr>
        <w:t xml:space="preserve"> 2020 </w:t>
      </w:r>
      <w:r w:rsidRPr="00FC2779">
        <w:rPr>
          <w:rFonts w:ascii="Arial" w:hAnsi="Arial" w:cs="Arial"/>
          <w:color w:val="000000" w:themeColor="text1"/>
          <w:sz w:val="23"/>
          <w:szCs w:val="23"/>
          <w:lang w:val="es-MX"/>
        </w:rPr>
        <w:t>alcanzó un monto</w:t>
      </w:r>
      <w:r w:rsidRPr="00FC2779">
        <w:rPr>
          <w:rFonts w:ascii="Arial" w:hAnsi="Arial" w:cs="Arial"/>
          <w:color w:val="000000" w:themeColor="text1"/>
          <w:sz w:val="23"/>
          <w:szCs w:val="23"/>
        </w:rPr>
        <w:t xml:space="preserve"> de </w:t>
      </w:r>
      <w:r w:rsidRPr="00FC2779">
        <w:rPr>
          <w:rFonts w:ascii="Arial" w:hAnsi="Arial" w:cs="Arial"/>
          <w:color w:val="000000" w:themeColor="text1"/>
          <w:sz w:val="23"/>
          <w:szCs w:val="23"/>
          <w:lang w:val="es-MX"/>
        </w:rPr>
        <w:t>1 273 268</w:t>
      </w:r>
      <w:r w:rsidRPr="00FC2779">
        <w:rPr>
          <w:rFonts w:ascii="Arial" w:hAnsi="Arial" w:cs="Arial"/>
          <w:color w:val="000000" w:themeColor="text1"/>
          <w:sz w:val="23"/>
          <w:szCs w:val="23"/>
        </w:rPr>
        <w:t xml:space="preserve"> millones de pesos</w:t>
      </w:r>
      <w:r w:rsidRPr="00FC2779">
        <w:rPr>
          <w:rFonts w:ascii="Arial" w:hAnsi="Arial" w:cs="Arial"/>
          <w:color w:val="000000" w:themeColor="text1"/>
          <w:sz w:val="23"/>
          <w:szCs w:val="23"/>
          <w:lang w:val="es-MX"/>
        </w:rPr>
        <w:t xml:space="preserve"> corrientes</w:t>
      </w:r>
      <w:r w:rsidRPr="00FC2779">
        <w:rPr>
          <w:rFonts w:ascii="Arial" w:hAnsi="Arial" w:cs="Arial"/>
          <w:color w:val="000000" w:themeColor="text1"/>
          <w:sz w:val="23"/>
          <w:szCs w:val="23"/>
        </w:rPr>
        <w:t xml:space="preserve">, </w:t>
      </w:r>
      <w:r w:rsidRPr="00FC2779">
        <w:rPr>
          <w:rFonts w:ascii="Arial" w:hAnsi="Arial" w:cs="Arial"/>
          <w:color w:val="000000" w:themeColor="text1"/>
          <w:sz w:val="23"/>
          <w:szCs w:val="23"/>
          <w:lang w:val="es-MX"/>
        </w:rPr>
        <w:t>el cual significó</w:t>
      </w:r>
      <w:r w:rsidRPr="00FC2779">
        <w:rPr>
          <w:rFonts w:ascii="Arial" w:hAnsi="Arial" w:cs="Arial"/>
          <w:color w:val="000000" w:themeColor="text1"/>
          <w:sz w:val="23"/>
          <w:szCs w:val="23"/>
        </w:rPr>
        <w:t xml:space="preserve"> una participación de </w:t>
      </w:r>
      <w:r w:rsidRPr="00FC2779">
        <w:rPr>
          <w:rFonts w:ascii="Arial" w:hAnsi="Arial" w:cs="Arial"/>
          <w:color w:val="000000" w:themeColor="text1"/>
          <w:sz w:val="23"/>
          <w:szCs w:val="23"/>
          <w:lang w:val="es-MX"/>
        </w:rPr>
        <w:t>5.8</w:t>
      </w:r>
      <w:r w:rsidRPr="00FC2779">
        <w:rPr>
          <w:rFonts w:ascii="Arial" w:hAnsi="Arial" w:cs="Arial"/>
          <w:color w:val="000000" w:themeColor="text1"/>
          <w:sz w:val="23"/>
          <w:szCs w:val="23"/>
        </w:rPr>
        <w:t>%</w:t>
      </w:r>
      <w:r w:rsidRPr="00FC2779">
        <w:rPr>
          <w:rFonts w:ascii="Arial" w:hAnsi="Arial" w:cs="Arial"/>
          <w:color w:val="000000" w:themeColor="text1"/>
          <w:sz w:val="23"/>
          <w:szCs w:val="23"/>
          <w:lang w:val="es-MX"/>
        </w:rPr>
        <w:t xml:space="preserve"> en el PIB</w:t>
      </w:r>
      <w:r w:rsidRPr="00FC2779">
        <w:rPr>
          <w:rFonts w:ascii="Arial" w:hAnsi="Arial" w:cs="Arial"/>
          <w:color w:val="000000" w:themeColor="text1"/>
          <w:sz w:val="23"/>
          <w:szCs w:val="23"/>
        </w:rPr>
        <w:t xml:space="preserve"> Nacional.</w:t>
      </w:r>
      <w:r w:rsidR="00287F4C" w:rsidRPr="00FC2779">
        <w:rPr>
          <w:rFonts w:ascii="Arial" w:hAnsi="Arial" w:cs="Arial"/>
          <w:color w:val="000000" w:themeColor="text1"/>
          <w:sz w:val="23"/>
          <w:szCs w:val="23"/>
          <w:lang w:val="es-MX"/>
        </w:rPr>
        <w:t xml:space="preserve"> L</w:t>
      </w:r>
      <w:r w:rsidRPr="00FC2779">
        <w:rPr>
          <w:rFonts w:ascii="Arial" w:hAnsi="Arial" w:cs="Arial"/>
          <w:color w:val="000000" w:themeColor="text1"/>
          <w:sz w:val="23"/>
          <w:szCs w:val="23"/>
        </w:rPr>
        <w:t>a</w:t>
      </w:r>
      <w:r w:rsidRPr="00FC2779">
        <w:rPr>
          <w:rFonts w:ascii="Arial" w:hAnsi="Arial" w:cs="Arial"/>
          <w:color w:val="000000" w:themeColor="text1"/>
          <w:sz w:val="23"/>
          <w:szCs w:val="23"/>
          <w:lang w:val="es-MX"/>
        </w:rPr>
        <w:t xml:space="preserve"> generación de bienes y servicios para el</w:t>
      </w:r>
      <w:r w:rsidRPr="00FC2779">
        <w:rPr>
          <w:rFonts w:ascii="Arial" w:hAnsi="Arial" w:cs="Arial"/>
          <w:color w:val="000000" w:themeColor="text1"/>
          <w:sz w:val="23"/>
          <w:szCs w:val="23"/>
        </w:rPr>
        <w:t xml:space="preserve"> mercado represent</w:t>
      </w:r>
      <w:r w:rsidRPr="00FC2779">
        <w:rPr>
          <w:rFonts w:ascii="Arial" w:hAnsi="Arial" w:cs="Arial"/>
          <w:color w:val="000000" w:themeColor="text1"/>
          <w:sz w:val="23"/>
          <w:szCs w:val="23"/>
          <w:lang w:val="es-MX"/>
        </w:rPr>
        <w:t>ó</w:t>
      </w:r>
      <w:r w:rsidRPr="00FC2779">
        <w:rPr>
          <w:rFonts w:ascii="Arial" w:hAnsi="Arial" w:cs="Arial"/>
          <w:color w:val="000000" w:themeColor="text1"/>
          <w:sz w:val="23"/>
          <w:szCs w:val="23"/>
        </w:rPr>
        <w:t xml:space="preserve"> </w:t>
      </w:r>
      <w:r w:rsidRPr="00FC2779">
        <w:rPr>
          <w:rFonts w:ascii="Arial" w:hAnsi="Arial" w:cs="Arial"/>
          <w:color w:val="000000" w:themeColor="text1"/>
          <w:sz w:val="23"/>
          <w:szCs w:val="23"/>
          <w:lang w:val="es-MX"/>
        </w:rPr>
        <w:t>59.6</w:t>
      </w:r>
      <w:r w:rsidR="007E6E94" w:rsidRPr="00FC2779">
        <w:rPr>
          <w:rFonts w:ascii="Arial" w:hAnsi="Arial" w:cs="Arial"/>
          <w:color w:val="000000" w:themeColor="text1"/>
          <w:sz w:val="23"/>
          <w:szCs w:val="23"/>
          <w:lang w:val="es-MX"/>
        </w:rPr>
        <w:t>%</w:t>
      </w:r>
      <w:r w:rsidRPr="00FC2779">
        <w:rPr>
          <w:rFonts w:ascii="Arial" w:hAnsi="Arial" w:cs="Arial"/>
          <w:color w:val="000000" w:themeColor="text1"/>
          <w:sz w:val="23"/>
          <w:szCs w:val="23"/>
          <w:lang w:val="es-MX"/>
        </w:rPr>
        <w:t xml:space="preserve"> del total</w:t>
      </w:r>
      <w:r w:rsidRPr="00FC2779">
        <w:rPr>
          <w:rFonts w:ascii="Arial" w:hAnsi="Arial" w:cs="Arial"/>
          <w:color w:val="000000" w:themeColor="text1"/>
          <w:sz w:val="23"/>
          <w:szCs w:val="23"/>
        </w:rPr>
        <w:t xml:space="preserve">, en tanto que las actividades relacionadas con la </w:t>
      </w:r>
      <w:r w:rsidRPr="00FC2779">
        <w:rPr>
          <w:rFonts w:ascii="Arial" w:hAnsi="Arial" w:cs="Arial"/>
          <w:color w:val="000000" w:themeColor="text1"/>
          <w:sz w:val="23"/>
          <w:szCs w:val="23"/>
          <w:lang w:val="es-MX"/>
        </w:rPr>
        <w:t>producción no de mercado</w:t>
      </w:r>
      <w:r w:rsidRPr="00FC2779">
        <w:rPr>
          <w:rStyle w:val="Refdenotaalpie"/>
          <w:rFonts w:ascii="Arial" w:hAnsi="Arial" w:cs="Arial"/>
          <w:color w:val="000000" w:themeColor="text1"/>
          <w:sz w:val="23"/>
          <w:szCs w:val="23"/>
          <w:lang w:val="es-MX"/>
        </w:rPr>
        <w:footnoteReference w:id="2"/>
      </w:r>
      <w:r w:rsidRPr="00FC2779">
        <w:rPr>
          <w:rFonts w:ascii="Arial" w:hAnsi="Arial" w:cs="Arial"/>
          <w:color w:val="000000" w:themeColor="text1"/>
          <w:sz w:val="23"/>
          <w:szCs w:val="23"/>
          <w:lang w:val="es-MX"/>
        </w:rPr>
        <w:t xml:space="preserve"> y la producción para uso final propio</w:t>
      </w:r>
      <w:r w:rsidRPr="00FC2779">
        <w:rPr>
          <w:rStyle w:val="Refdenotaalpie"/>
          <w:rFonts w:ascii="Arial" w:hAnsi="Arial" w:cs="Arial"/>
          <w:color w:val="000000" w:themeColor="text1"/>
          <w:sz w:val="23"/>
          <w:szCs w:val="23"/>
          <w:lang w:val="es-MX"/>
        </w:rPr>
        <w:footnoteReference w:id="3"/>
      </w:r>
      <w:r w:rsidRPr="00FC2779">
        <w:rPr>
          <w:rFonts w:ascii="Arial" w:hAnsi="Arial" w:cs="Arial"/>
          <w:color w:val="000000" w:themeColor="text1"/>
          <w:sz w:val="23"/>
          <w:szCs w:val="23"/>
          <w:lang w:val="es-MX"/>
        </w:rPr>
        <w:t xml:space="preserve"> aportaron </w:t>
      </w:r>
      <w:r w:rsidRPr="00FC2779">
        <w:rPr>
          <w:rFonts w:ascii="Arial" w:hAnsi="Arial" w:cs="Arial"/>
          <w:color w:val="000000" w:themeColor="text1"/>
          <w:sz w:val="23"/>
          <w:szCs w:val="23"/>
        </w:rPr>
        <w:t>0.</w:t>
      </w:r>
      <w:r w:rsidRPr="00FC2779">
        <w:rPr>
          <w:rFonts w:ascii="Arial" w:hAnsi="Arial" w:cs="Arial"/>
          <w:color w:val="000000" w:themeColor="text1"/>
          <w:sz w:val="23"/>
          <w:szCs w:val="23"/>
          <w:lang w:val="es-MX"/>
        </w:rPr>
        <w:t>9</w:t>
      </w:r>
      <w:r w:rsidRPr="00FC2779">
        <w:rPr>
          <w:rFonts w:ascii="Arial" w:hAnsi="Arial" w:cs="Arial"/>
          <w:color w:val="000000" w:themeColor="text1"/>
          <w:sz w:val="23"/>
          <w:szCs w:val="23"/>
        </w:rPr>
        <w:t xml:space="preserve">% y </w:t>
      </w:r>
      <w:r w:rsidRPr="00FC2779">
        <w:rPr>
          <w:rFonts w:ascii="Arial" w:hAnsi="Arial" w:cs="Arial"/>
          <w:color w:val="000000" w:themeColor="text1"/>
          <w:sz w:val="23"/>
          <w:szCs w:val="23"/>
          <w:lang w:val="es-MX"/>
        </w:rPr>
        <w:t>39.5</w:t>
      </w:r>
      <w:r w:rsidRPr="00FC2779">
        <w:rPr>
          <w:rFonts w:ascii="Arial" w:hAnsi="Arial" w:cs="Arial"/>
          <w:color w:val="000000" w:themeColor="text1"/>
          <w:sz w:val="23"/>
          <w:szCs w:val="23"/>
        </w:rPr>
        <w:t>%</w:t>
      </w:r>
      <w:r w:rsidRPr="00FC2779">
        <w:rPr>
          <w:rFonts w:ascii="Arial" w:hAnsi="Arial" w:cs="Arial"/>
          <w:color w:val="000000" w:themeColor="text1"/>
          <w:sz w:val="23"/>
          <w:szCs w:val="23"/>
          <w:lang w:val="es-MX"/>
        </w:rPr>
        <w:t>,</w:t>
      </w:r>
      <w:r w:rsidRPr="00FC2779">
        <w:rPr>
          <w:rFonts w:ascii="Arial" w:hAnsi="Arial" w:cs="Arial"/>
          <w:color w:val="000000" w:themeColor="text1"/>
          <w:sz w:val="23"/>
          <w:szCs w:val="23"/>
        </w:rPr>
        <w:t xml:space="preserve"> respectivamente.</w:t>
      </w:r>
    </w:p>
    <w:p w14:paraId="2F3C76C0" w14:textId="77777777" w:rsidR="000D2DAD" w:rsidRPr="00FC2779" w:rsidRDefault="000D2DAD" w:rsidP="00287F4C">
      <w:pPr>
        <w:pStyle w:val="Textoindependiente"/>
        <w:tabs>
          <w:tab w:val="center" w:pos="3348"/>
        </w:tabs>
        <w:ind w:left="-567"/>
        <w:rPr>
          <w:rFonts w:ascii="Arial" w:hAnsi="Arial" w:cs="Arial"/>
          <w:color w:val="000000" w:themeColor="text1"/>
          <w:sz w:val="23"/>
          <w:szCs w:val="23"/>
        </w:rPr>
      </w:pPr>
    </w:p>
    <w:p w14:paraId="0BD86F44" w14:textId="56864051" w:rsidR="00F17786" w:rsidRPr="00FC2779" w:rsidRDefault="007E6E94" w:rsidP="00287F4C">
      <w:pPr>
        <w:pStyle w:val="parrafo1"/>
        <w:spacing w:before="0"/>
        <w:ind w:left="-567" w:right="-93"/>
        <w:rPr>
          <w:color w:val="000000" w:themeColor="text1"/>
          <w:sz w:val="23"/>
          <w:szCs w:val="23"/>
        </w:rPr>
      </w:pPr>
      <w:r w:rsidRPr="00FC2779">
        <w:rPr>
          <w:color w:val="000000" w:themeColor="text1"/>
          <w:sz w:val="23"/>
          <w:szCs w:val="23"/>
        </w:rPr>
        <w:t>E</w:t>
      </w:r>
      <w:r w:rsidR="00F17786" w:rsidRPr="00FC2779">
        <w:rPr>
          <w:color w:val="000000" w:themeColor="text1"/>
          <w:sz w:val="23"/>
          <w:szCs w:val="23"/>
        </w:rPr>
        <w:t>l valor de la construcción asociado a la edificación, ampliación y mejoramiento residencial aportó 64.4% del total; los servicios inmobiliarios y de alquiler de bienes muebles e intangibles relacionados con la vivienda aportaron 30.2%</w:t>
      </w:r>
      <w:r w:rsidR="00E51B91">
        <w:rPr>
          <w:color w:val="000000" w:themeColor="text1"/>
          <w:sz w:val="23"/>
          <w:szCs w:val="23"/>
        </w:rPr>
        <w:t>,</w:t>
      </w:r>
      <w:r w:rsidR="00287F4C" w:rsidRPr="00FC2779">
        <w:rPr>
          <w:color w:val="000000" w:themeColor="text1"/>
          <w:sz w:val="23"/>
          <w:szCs w:val="23"/>
        </w:rPr>
        <w:t xml:space="preserve"> </w:t>
      </w:r>
      <w:r w:rsidR="00E51B91" w:rsidRPr="00FC2779">
        <w:rPr>
          <w:color w:val="000000" w:themeColor="text1"/>
          <w:sz w:val="23"/>
          <w:szCs w:val="23"/>
        </w:rPr>
        <w:t xml:space="preserve"> </w:t>
      </w:r>
      <w:r w:rsidR="00F17786" w:rsidRPr="00FC2779">
        <w:rPr>
          <w:color w:val="000000" w:themeColor="text1"/>
          <w:sz w:val="23"/>
          <w:szCs w:val="23"/>
        </w:rPr>
        <w:t>los servicios financieros y de seguros vinculados con este sector 4.7%</w:t>
      </w:r>
      <w:r w:rsidR="003A39CB">
        <w:rPr>
          <w:color w:val="000000" w:themeColor="text1"/>
          <w:sz w:val="23"/>
          <w:szCs w:val="23"/>
        </w:rPr>
        <w:t>,</w:t>
      </w:r>
      <w:r w:rsidR="00F17786" w:rsidRPr="00FC2779">
        <w:rPr>
          <w:color w:val="000000" w:themeColor="text1"/>
          <w:sz w:val="23"/>
          <w:szCs w:val="23"/>
        </w:rPr>
        <w:t xml:space="preserve"> y el restante 0.7% se distribuyó en otros sectores.</w:t>
      </w:r>
    </w:p>
    <w:p w14:paraId="10D894FF" w14:textId="5FD8B155" w:rsidR="00091AF6" w:rsidRPr="00FC2779" w:rsidRDefault="00091AF6" w:rsidP="000D2DAD">
      <w:pPr>
        <w:pStyle w:val="parrafo1"/>
        <w:spacing w:before="0"/>
        <w:ind w:left="-567" w:right="-93"/>
        <w:rPr>
          <w:color w:val="000000" w:themeColor="text1"/>
          <w:szCs w:val="24"/>
        </w:rPr>
      </w:pPr>
    </w:p>
    <w:p w14:paraId="5523E38D" w14:textId="77777777" w:rsidR="00091AF6" w:rsidRPr="00FC2779" w:rsidRDefault="00091AF6" w:rsidP="00091AF6">
      <w:pPr>
        <w:ind w:left="-425" w:right="-516"/>
        <w:contextualSpacing/>
        <w:jc w:val="center"/>
        <w:rPr>
          <w:rFonts w:ascii="Arial" w:hAnsi="Arial" w:cs="Arial"/>
          <w:b/>
          <w:iCs/>
          <w:smallCaps/>
          <w:color w:val="000000" w:themeColor="text1"/>
          <w:sz w:val="22"/>
          <w:szCs w:val="22"/>
        </w:rPr>
      </w:pPr>
      <w:r w:rsidRPr="00FC2779">
        <w:rPr>
          <w:rFonts w:ascii="Arial" w:hAnsi="Arial" w:cs="Arial"/>
          <w:b/>
          <w:iCs/>
          <w:smallCaps/>
          <w:color w:val="000000" w:themeColor="text1"/>
          <w:sz w:val="22"/>
          <w:szCs w:val="22"/>
        </w:rPr>
        <w:t>Distribución del PIB de la vivienda por sectores de actividad, año 2020</w:t>
      </w:r>
    </w:p>
    <w:p w14:paraId="5CDD7701" w14:textId="77777777" w:rsidR="00091AF6" w:rsidRPr="00FC2779" w:rsidRDefault="00091AF6" w:rsidP="00091AF6">
      <w:pPr>
        <w:pStyle w:val="Textoindependiente"/>
        <w:jc w:val="center"/>
        <w:rPr>
          <w:rFonts w:ascii="Arial" w:hAnsi="Arial" w:cs="Arial"/>
          <w:color w:val="000000" w:themeColor="text1"/>
          <w:sz w:val="18"/>
          <w:szCs w:val="18"/>
        </w:rPr>
      </w:pPr>
      <w:r w:rsidRPr="00FC2779">
        <w:rPr>
          <w:rFonts w:ascii="Arial" w:hAnsi="Arial" w:cs="Arial"/>
          <w:color w:val="000000" w:themeColor="text1"/>
          <w:sz w:val="18"/>
          <w:szCs w:val="18"/>
        </w:rPr>
        <w:t>(</w:t>
      </w:r>
      <w:r w:rsidRPr="00FC2779">
        <w:rPr>
          <w:rFonts w:ascii="Arial" w:hAnsi="Arial" w:cs="Arial"/>
          <w:color w:val="000000" w:themeColor="text1"/>
          <w:sz w:val="18"/>
          <w:szCs w:val="18"/>
          <w:lang w:val="es-MX"/>
        </w:rPr>
        <w:t>Estructura porcentual</w:t>
      </w:r>
      <w:r w:rsidRPr="00FC2779">
        <w:rPr>
          <w:rFonts w:ascii="Arial" w:hAnsi="Arial" w:cs="Arial"/>
          <w:color w:val="000000" w:themeColor="text1"/>
          <w:sz w:val="18"/>
          <w:szCs w:val="18"/>
        </w:rPr>
        <w:t>)</w:t>
      </w:r>
    </w:p>
    <w:p w14:paraId="372B58F3" w14:textId="77777777" w:rsidR="00091AF6" w:rsidRPr="00FC2779" w:rsidRDefault="00091AF6" w:rsidP="00091AF6">
      <w:pPr>
        <w:pStyle w:val="Textoindependiente"/>
        <w:jc w:val="center"/>
        <w:rPr>
          <w:rFonts w:ascii="Arial" w:hAnsi="Arial" w:cs="Arial"/>
          <w:color w:val="000000" w:themeColor="text1"/>
        </w:rPr>
      </w:pPr>
      <w:r w:rsidRPr="00FC2779">
        <w:rPr>
          <w:rFonts w:ascii="Arial" w:hAnsi="Arial" w:cs="Arial"/>
          <w:noProof/>
          <w:color w:val="000000" w:themeColor="text1"/>
        </w:rPr>
        <w:drawing>
          <wp:inline distT="0" distB="0" distL="0" distR="0" wp14:anchorId="375F8DA5" wp14:editId="7BC998DD">
            <wp:extent cx="3747848" cy="1857375"/>
            <wp:effectExtent l="0" t="0" r="508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06701" cy="1886542"/>
                    </a:xfrm>
                    <a:prstGeom prst="rect">
                      <a:avLst/>
                    </a:prstGeom>
                    <a:noFill/>
                  </pic:spPr>
                </pic:pic>
              </a:graphicData>
            </a:graphic>
          </wp:inline>
        </w:drawing>
      </w:r>
    </w:p>
    <w:p w14:paraId="4479A34C" w14:textId="77777777" w:rsidR="00091AF6" w:rsidRPr="00FC2779" w:rsidRDefault="00091AF6" w:rsidP="00091AF6">
      <w:pPr>
        <w:pStyle w:val="Textoindependiente"/>
        <w:jc w:val="left"/>
        <w:rPr>
          <w:rFonts w:ascii="Arial" w:hAnsi="Arial" w:cs="Arial"/>
          <w:color w:val="000000" w:themeColor="text1"/>
          <w:sz w:val="16"/>
          <w:szCs w:val="16"/>
        </w:rPr>
      </w:pPr>
      <w:r w:rsidRPr="00FC2779">
        <w:rPr>
          <w:rFonts w:ascii="Arial" w:hAnsi="Arial" w:cs="Arial"/>
          <w:color w:val="000000" w:themeColor="text1"/>
          <w:sz w:val="16"/>
          <w:szCs w:val="16"/>
        </w:rPr>
        <w:t>Fuente: INEGI.</w:t>
      </w:r>
      <w:r w:rsidRPr="00FC2779">
        <w:rPr>
          <w:noProof/>
          <w:color w:val="000000" w:themeColor="text1"/>
        </w:rPr>
        <w:t xml:space="preserve"> </w:t>
      </w:r>
    </w:p>
    <w:p w14:paraId="097A641E" w14:textId="77777777" w:rsidR="00091AF6" w:rsidRPr="00FC2779" w:rsidRDefault="00091AF6" w:rsidP="00091AF6">
      <w:pPr>
        <w:pStyle w:val="Textoindependiente"/>
        <w:rPr>
          <w:rFonts w:ascii="Arial" w:hAnsi="Arial" w:cs="Arial"/>
          <w:color w:val="000000" w:themeColor="text1"/>
          <w:sz w:val="16"/>
          <w:szCs w:val="16"/>
          <w:lang w:val="es-MX"/>
        </w:rPr>
      </w:pPr>
      <w:r w:rsidRPr="00FC2779">
        <w:rPr>
          <w:rFonts w:ascii="Arial" w:hAnsi="Arial" w:cs="Arial"/>
          <w:color w:val="000000" w:themeColor="text1"/>
          <w:sz w:val="16"/>
          <w:szCs w:val="16"/>
          <w:lang w:val="es-MX"/>
        </w:rPr>
        <w:t>*Comprende servicios profesionales, educativos, de salud, de alojamiento temporal, otros servicios y actividades gubernamentales</w:t>
      </w:r>
    </w:p>
    <w:p w14:paraId="748F5C8B" w14:textId="007038A5" w:rsidR="00F17786" w:rsidRPr="00FC2779" w:rsidRDefault="007E6E94" w:rsidP="000D2DAD">
      <w:pPr>
        <w:ind w:left="-567"/>
        <w:jc w:val="both"/>
        <w:rPr>
          <w:rFonts w:ascii="Arial" w:hAnsi="Arial" w:cs="Arial"/>
          <w:color w:val="000000" w:themeColor="text1"/>
          <w:sz w:val="23"/>
          <w:szCs w:val="23"/>
        </w:rPr>
      </w:pPr>
      <w:r w:rsidRPr="00FC2779">
        <w:rPr>
          <w:rFonts w:ascii="Arial" w:hAnsi="Arial" w:cs="Arial"/>
          <w:color w:val="000000" w:themeColor="text1"/>
          <w:sz w:val="23"/>
          <w:szCs w:val="23"/>
        </w:rPr>
        <w:lastRenderedPageBreak/>
        <w:t>En 2020</w:t>
      </w:r>
      <w:r w:rsidR="00F17786" w:rsidRPr="00FC2779">
        <w:rPr>
          <w:rFonts w:ascii="Arial" w:hAnsi="Arial" w:cs="Arial"/>
          <w:color w:val="000000" w:themeColor="text1"/>
          <w:sz w:val="23"/>
          <w:szCs w:val="23"/>
        </w:rPr>
        <w:t>, medido a precios de 2013, el PIB del sector de la vivienda present</w:t>
      </w:r>
      <w:r w:rsidRPr="00FC2779">
        <w:rPr>
          <w:rFonts w:ascii="Arial" w:hAnsi="Arial" w:cs="Arial"/>
          <w:color w:val="000000" w:themeColor="text1"/>
          <w:sz w:val="23"/>
          <w:szCs w:val="23"/>
        </w:rPr>
        <w:t>ó</w:t>
      </w:r>
      <w:r w:rsidR="00F17786" w:rsidRPr="00FC2779">
        <w:rPr>
          <w:rFonts w:ascii="Arial" w:hAnsi="Arial" w:cs="Arial"/>
          <w:color w:val="000000" w:themeColor="text1"/>
          <w:sz w:val="23"/>
          <w:szCs w:val="23"/>
        </w:rPr>
        <w:t xml:space="preserve"> una caída de 9.1%, mientras que el total de la economía disminuy</w:t>
      </w:r>
      <w:r w:rsidRPr="00FC2779">
        <w:rPr>
          <w:rFonts w:ascii="Arial" w:hAnsi="Arial" w:cs="Arial"/>
          <w:color w:val="000000" w:themeColor="text1"/>
          <w:sz w:val="23"/>
          <w:szCs w:val="23"/>
        </w:rPr>
        <w:t>ó</w:t>
      </w:r>
      <w:r w:rsidR="00F17786" w:rsidRPr="00FC2779">
        <w:rPr>
          <w:rFonts w:ascii="Arial" w:hAnsi="Arial" w:cs="Arial"/>
          <w:color w:val="000000" w:themeColor="text1"/>
          <w:sz w:val="23"/>
          <w:szCs w:val="23"/>
        </w:rPr>
        <w:t xml:space="preserve"> en 7.9%, en el mismo año. </w:t>
      </w:r>
    </w:p>
    <w:p w14:paraId="3ADE3E27" w14:textId="77777777" w:rsidR="00F17786" w:rsidRPr="00FC2779" w:rsidRDefault="00F17786" w:rsidP="000D2DAD">
      <w:pPr>
        <w:ind w:left="-567"/>
        <w:jc w:val="both"/>
        <w:rPr>
          <w:rFonts w:ascii="Arial" w:hAnsi="Arial" w:cs="Arial"/>
          <w:color w:val="000000" w:themeColor="text1"/>
          <w:sz w:val="23"/>
          <w:szCs w:val="23"/>
        </w:rPr>
      </w:pPr>
    </w:p>
    <w:p w14:paraId="4A0907AE" w14:textId="0CF2BF6D" w:rsidR="009020C8" w:rsidRPr="00FC2779" w:rsidRDefault="00F17786" w:rsidP="000D2DAD">
      <w:pPr>
        <w:ind w:left="-567"/>
        <w:jc w:val="both"/>
        <w:rPr>
          <w:rFonts w:ascii="Arial" w:hAnsi="Arial" w:cs="Arial"/>
          <w:color w:val="000000" w:themeColor="text1"/>
          <w:sz w:val="23"/>
          <w:szCs w:val="23"/>
        </w:rPr>
      </w:pPr>
      <w:r w:rsidRPr="00FC2779">
        <w:rPr>
          <w:rFonts w:ascii="Arial" w:hAnsi="Arial" w:cs="Arial"/>
          <w:color w:val="000000" w:themeColor="text1"/>
          <w:sz w:val="23"/>
          <w:szCs w:val="23"/>
        </w:rPr>
        <w:t>Las actividades del sector de la vivienda que presentaron una mayor disminución anual fueron la autoproducción con 26.0% -actividad que contribuye con 35.7</w:t>
      </w:r>
      <w:r w:rsidR="007E6E94" w:rsidRPr="00FC2779">
        <w:rPr>
          <w:rFonts w:ascii="Arial" w:hAnsi="Arial" w:cs="Arial"/>
          <w:color w:val="000000" w:themeColor="text1"/>
          <w:sz w:val="23"/>
          <w:szCs w:val="23"/>
        </w:rPr>
        <w:t>%</w:t>
      </w:r>
      <w:r w:rsidRPr="00FC2779">
        <w:rPr>
          <w:rFonts w:ascii="Arial" w:hAnsi="Arial" w:cs="Arial"/>
          <w:color w:val="000000" w:themeColor="text1"/>
          <w:sz w:val="23"/>
          <w:szCs w:val="23"/>
        </w:rPr>
        <w:t xml:space="preserve"> del total del sector- y la producción de unidades económicas con 2.3</w:t>
      </w:r>
      <w:r w:rsidR="007E6E94" w:rsidRPr="00FC2779">
        <w:rPr>
          <w:rFonts w:ascii="Arial" w:hAnsi="Arial" w:cs="Arial"/>
          <w:color w:val="000000" w:themeColor="text1"/>
          <w:sz w:val="23"/>
          <w:szCs w:val="23"/>
        </w:rPr>
        <w:t>%</w:t>
      </w:r>
      <w:r w:rsidRPr="00FC2779">
        <w:rPr>
          <w:rFonts w:ascii="Arial" w:hAnsi="Arial" w:cs="Arial"/>
          <w:color w:val="000000" w:themeColor="text1"/>
          <w:sz w:val="23"/>
          <w:szCs w:val="23"/>
        </w:rPr>
        <w:t>, cuyo aporte al total del PIB de la vivienda es de 24.0 por ciento.</w:t>
      </w:r>
    </w:p>
    <w:p w14:paraId="57A673A4" w14:textId="77777777" w:rsidR="000D2DAD" w:rsidRPr="00FC2779" w:rsidRDefault="000D2DAD" w:rsidP="000D2DAD">
      <w:pPr>
        <w:ind w:left="-567"/>
        <w:jc w:val="both"/>
        <w:rPr>
          <w:rFonts w:ascii="Arial" w:hAnsi="Arial" w:cs="Arial"/>
          <w:color w:val="000000" w:themeColor="text1"/>
          <w:sz w:val="23"/>
          <w:szCs w:val="23"/>
        </w:rPr>
      </w:pPr>
    </w:p>
    <w:p w14:paraId="083E35C1" w14:textId="77777777" w:rsidR="000D2DAD" w:rsidRPr="00FC2779" w:rsidRDefault="00F17786" w:rsidP="000D2DAD">
      <w:pPr>
        <w:pStyle w:val="parrafo1"/>
        <w:spacing w:before="0"/>
        <w:ind w:left="-567" w:right="51"/>
        <w:rPr>
          <w:color w:val="000000" w:themeColor="text1"/>
          <w:sz w:val="23"/>
          <w:szCs w:val="23"/>
        </w:rPr>
      </w:pPr>
      <w:r w:rsidRPr="00FC2779">
        <w:rPr>
          <w:color w:val="000000" w:themeColor="text1"/>
          <w:sz w:val="23"/>
          <w:szCs w:val="23"/>
        </w:rPr>
        <w:t>Durante 2020, la oferta total de bienes y servicios asociados a la vivienda, sin considerar el concepto de alquiler imputado, registró un valor de 1 838 861 millones de pesos, la cual se constituyó casi en su totalidad por la producción nacional.</w:t>
      </w:r>
    </w:p>
    <w:p w14:paraId="1603277B" w14:textId="580BD538" w:rsidR="000D2DAD" w:rsidRPr="00FC2779" w:rsidRDefault="00F17786" w:rsidP="00287F4C">
      <w:pPr>
        <w:pStyle w:val="parrafo1"/>
        <w:spacing w:before="0"/>
        <w:ind w:left="-567" w:right="51"/>
        <w:rPr>
          <w:color w:val="000000" w:themeColor="text1"/>
          <w:sz w:val="23"/>
          <w:szCs w:val="23"/>
        </w:rPr>
      </w:pPr>
      <w:r w:rsidRPr="00FC2779">
        <w:rPr>
          <w:color w:val="000000" w:themeColor="text1"/>
          <w:sz w:val="23"/>
          <w:szCs w:val="23"/>
        </w:rPr>
        <w:t xml:space="preserve"> </w:t>
      </w:r>
    </w:p>
    <w:p w14:paraId="6D842AF4" w14:textId="03097BF5" w:rsidR="00F17786" w:rsidRPr="00FC2779" w:rsidRDefault="007E6E94" w:rsidP="000D2DAD">
      <w:pPr>
        <w:pStyle w:val="parrafo1"/>
        <w:spacing w:before="0"/>
        <w:ind w:left="-567" w:right="51"/>
        <w:rPr>
          <w:color w:val="000000" w:themeColor="text1"/>
          <w:sz w:val="23"/>
          <w:szCs w:val="23"/>
        </w:rPr>
      </w:pPr>
      <w:r w:rsidRPr="00FC2779">
        <w:rPr>
          <w:color w:val="000000" w:themeColor="text1"/>
          <w:sz w:val="23"/>
          <w:szCs w:val="23"/>
        </w:rPr>
        <w:t>L</w:t>
      </w:r>
      <w:r w:rsidR="00F17786" w:rsidRPr="00FC2779">
        <w:rPr>
          <w:color w:val="000000" w:themeColor="text1"/>
          <w:sz w:val="23"/>
          <w:szCs w:val="23"/>
        </w:rPr>
        <w:t xml:space="preserve">as actividades vinculadas con la vivienda reportaron un total de 2 278 417 puestos de trabajo, que representaron 5.5% del total </w:t>
      </w:r>
      <w:r w:rsidR="00F34F83" w:rsidRPr="00FC2779">
        <w:rPr>
          <w:color w:val="000000" w:themeColor="text1"/>
          <w:sz w:val="23"/>
          <w:szCs w:val="23"/>
        </w:rPr>
        <w:t xml:space="preserve">de puestos generado en </w:t>
      </w:r>
      <w:r w:rsidR="00F17786" w:rsidRPr="00FC2779">
        <w:rPr>
          <w:color w:val="000000" w:themeColor="text1"/>
          <w:sz w:val="23"/>
          <w:szCs w:val="23"/>
        </w:rPr>
        <w:t xml:space="preserve">el país. </w:t>
      </w:r>
    </w:p>
    <w:p w14:paraId="4BF1D5B3" w14:textId="77777777" w:rsidR="000D2DAD" w:rsidRPr="00FC2779" w:rsidRDefault="000D2DAD" w:rsidP="000D2DAD">
      <w:pPr>
        <w:pStyle w:val="parrafo1"/>
        <w:spacing w:before="0"/>
        <w:ind w:left="-567" w:right="51"/>
        <w:rPr>
          <w:color w:val="000000" w:themeColor="text1"/>
          <w:sz w:val="23"/>
          <w:szCs w:val="23"/>
        </w:rPr>
      </w:pPr>
    </w:p>
    <w:p w14:paraId="0270C7FC" w14:textId="28916E43" w:rsidR="00F17786" w:rsidRPr="00FC2779" w:rsidRDefault="00F17786" w:rsidP="000D2DAD">
      <w:pPr>
        <w:pStyle w:val="parrafo1"/>
        <w:spacing w:before="0"/>
        <w:ind w:left="-567" w:right="51"/>
        <w:rPr>
          <w:color w:val="000000" w:themeColor="text1"/>
          <w:sz w:val="23"/>
          <w:szCs w:val="23"/>
        </w:rPr>
      </w:pPr>
      <w:r w:rsidRPr="00FC2779">
        <w:rPr>
          <w:color w:val="000000" w:themeColor="text1"/>
          <w:sz w:val="23"/>
          <w:szCs w:val="23"/>
        </w:rPr>
        <w:t xml:space="preserve">El 86.6% de los puestos de trabajo del sector de la vivienda se agruparon en las actividades del sector SCIAN 23 Construcción; 9.3% en el </w:t>
      </w:r>
      <w:r w:rsidR="00287F4C" w:rsidRPr="00FC2779">
        <w:rPr>
          <w:color w:val="000000" w:themeColor="text1"/>
          <w:sz w:val="23"/>
          <w:szCs w:val="23"/>
        </w:rPr>
        <w:t xml:space="preserve">sector </w:t>
      </w:r>
      <w:r w:rsidRPr="00FC2779">
        <w:rPr>
          <w:color w:val="000000" w:themeColor="text1"/>
          <w:sz w:val="23"/>
          <w:szCs w:val="23"/>
        </w:rPr>
        <w:t xml:space="preserve">53 Servicios inmobiliarios y de alquiler; y 2.4% en el </w:t>
      </w:r>
      <w:r w:rsidR="00F34F83" w:rsidRPr="00FC2779">
        <w:rPr>
          <w:color w:val="000000" w:themeColor="text1"/>
          <w:sz w:val="23"/>
          <w:szCs w:val="23"/>
        </w:rPr>
        <w:t xml:space="preserve">sector </w:t>
      </w:r>
      <w:r w:rsidRPr="00FC2779">
        <w:rPr>
          <w:color w:val="000000" w:themeColor="text1"/>
          <w:sz w:val="23"/>
          <w:szCs w:val="23"/>
        </w:rPr>
        <w:t>52 Servicios financieros y de seguro</w:t>
      </w:r>
      <w:r w:rsidR="00F34F83" w:rsidRPr="00FC2779">
        <w:rPr>
          <w:color w:val="000000" w:themeColor="text1"/>
          <w:sz w:val="23"/>
          <w:szCs w:val="23"/>
        </w:rPr>
        <w:t>s.</w:t>
      </w:r>
    </w:p>
    <w:p w14:paraId="75266DF4" w14:textId="77777777" w:rsidR="000D2DAD" w:rsidRPr="00FC2779" w:rsidRDefault="000D2DAD" w:rsidP="000D2DAD">
      <w:pPr>
        <w:pStyle w:val="parrafo1"/>
        <w:spacing w:before="0"/>
        <w:ind w:left="-567" w:right="51"/>
        <w:rPr>
          <w:color w:val="000000" w:themeColor="text1"/>
          <w:sz w:val="23"/>
          <w:szCs w:val="23"/>
        </w:rPr>
      </w:pPr>
    </w:p>
    <w:p w14:paraId="49EC9872" w14:textId="32027498" w:rsidR="00F17786" w:rsidRPr="00FC2779" w:rsidRDefault="007E6E94" w:rsidP="000D2DAD">
      <w:pPr>
        <w:pStyle w:val="parrafo1"/>
        <w:spacing w:before="0"/>
        <w:ind w:left="-567" w:right="51"/>
        <w:rPr>
          <w:color w:val="000000" w:themeColor="text1"/>
          <w:sz w:val="23"/>
          <w:szCs w:val="23"/>
        </w:rPr>
      </w:pPr>
      <w:r w:rsidRPr="00FC2779">
        <w:rPr>
          <w:color w:val="000000" w:themeColor="text1"/>
          <w:sz w:val="23"/>
          <w:szCs w:val="23"/>
        </w:rPr>
        <w:t>El</w:t>
      </w:r>
      <w:r w:rsidR="00F17786" w:rsidRPr="00FC2779">
        <w:rPr>
          <w:color w:val="000000" w:themeColor="text1"/>
          <w:sz w:val="23"/>
          <w:szCs w:val="23"/>
        </w:rPr>
        <w:t xml:space="preserve"> valor </w:t>
      </w:r>
      <w:r w:rsidRPr="00FC2779">
        <w:rPr>
          <w:color w:val="000000" w:themeColor="text1"/>
          <w:sz w:val="23"/>
          <w:szCs w:val="23"/>
        </w:rPr>
        <w:t>del alquiler imputado de las viviendas de uso propio de los hogares</w:t>
      </w:r>
      <w:r w:rsidRPr="00FC2779">
        <w:rPr>
          <w:rStyle w:val="Refdenotaalpie"/>
          <w:color w:val="000000" w:themeColor="text1"/>
          <w:sz w:val="23"/>
          <w:szCs w:val="23"/>
        </w:rPr>
        <w:footnoteReference w:id="4"/>
      </w:r>
      <w:r w:rsidRPr="00FC2779">
        <w:rPr>
          <w:color w:val="000000" w:themeColor="text1"/>
          <w:sz w:val="23"/>
          <w:szCs w:val="23"/>
        </w:rPr>
        <w:t xml:space="preserve">. </w:t>
      </w:r>
      <w:r w:rsidR="00F17786" w:rsidRPr="00FC2779">
        <w:rPr>
          <w:color w:val="000000" w:themeColor="text1"/>
          <w:sz w:val="23"/>
          <w:szCs w:val="23"/>
        </w:rPr>
        <w:t>alcanzó, en 2020, un monto equivalente a 1 692 704 millones de pesos, cifra que representó 7.8% del PIB del país. En su comparación anual el valor del alquiler imputado registró un aumento de 1.0% en términos reales, en relación con 2019.</w:t>
      </w:r>
    </w:p>
    <w:p w14:paraId="0005C554" w14:textId="77777777" w:rsidR="000D2DAD" w:rsidRPr="00FC2779" w:rsidRDefault="000D2DAD" w:rsidP="000D2DAD">
      <w:pPr>
        <w:pStyle w:val="parrafo1"/>
        <w:spacing w:before="0"/>
        <w:ind w:left="-567" w:right="51"/>
        <w:rPr>
          <w:color w:val="000000" w:themeColor="text1"/>
          <w:sz w:val="23"/>
          <w:szCs w:val="23"/>
        </w:rPr>
      </w:pPr>
    </w:p>
    <w:p w14:paraId="14A11A12" w14:textId="786FE002" w:rsidR="00F17786" w:rsidRPr="00FC2779" w:rsidRDefault="00F17786" w:rsidP="000D2DAD">
      <w:pPr>
        <w:pStyle w:val="parrafo1"/>
        <w:spacing w:before="0"/>
        <w:ind w:left="-567" w:right="51"/>
        <w:rPr>
          <w:color w:val="000000" w:themeColor="text1"/>
          <w:sz w:val="23"/>
          <w:szCs w:val="23"/>
        </w:rPr>
      </w:pPr>
      <w:r w:rsidRPr="00FC2779">
        <w:rPr>
          <w:color w:val="000000" w:themeColor="text1"/>
          <w:sz w:val="23"/>
          <w:szCs w:val="23"/>
        </w:rPr>
        <w:t>Al considerar el valor del alquiler imputado, el PIB total del sector de la vivienda alcanza un monto de 2 965 971 millones de pesos a precios corrientes, cantidad que representa 13.6% del PIB de la economía de 2020.</w:t>
      </w:r>
    </w:p>
    <w:p w14:paraId="76F1AB47" w14:textId="77777777" w:rsidR="000D2DAD" w:rsidRPr="00FC2779" w:rsidRDefault="000D2DAD" w:rsidP="000D2DAD">
      <w:pPr>
        <w:pStyle w:val="parrafo1"/>
        <w:spacing w:before="0"/>
        <w:ind w:left="-567" w:right="51"/>
        <w:rPr>
          <w:color w:val="000000" w:themeColor="text1"/>
          <w:sz w:val="23"/>
          <w:szCs w:val="23"/>
        </w:rPr>
      </w:pPr>
    </w:p>
    <w:p w14:paraId="34FE9246" w14:textId="7AB0C23D" w:rsidR="00F17786" w:rsidRPr="00FC2779" w:rsidRDefault="00F17786" w:rsidP="000D2DAD">
      <w:pPr>
        <w:pStyle w:val="parrafo1"/>
        <w:spacing w:before="0"/>
        <w:ind w:left="-567" w:right="51"/>
        <w:rPr>
          <w:color w:val="000000" w:themeColor="text1"/>
          <w:sz w:val="23"/>
          <w:szCs w:val="23"/>
        </w:rPr>
      </w:pPr>
      <w:r w:rsidRPr="00FC2779">
        <w:rPr>
          <w:color w:val="000000" w:themeColor="text1"/>
          <w:sz w:val="23"/>
          <w:szCs w:val="23"/>
        </w:rPr>
        <w:t>L</w:t>
      </w:r>
      <w:r w:rsidR="000D2DAD" w:rsidRPr="00FC2779">
        <w:rPr>
          <w:color w:val="000000" w:themeColor="text1"/>
          <w:sz w:val="23"/>
          <w:szCs w:val="23"/>
        </w:rPr>
        <w:t>os resultados de la</w:t>
      </w:r>
      <w:r w:rsidRPr="00FC2779">
        <w:rPr>
          <w:color w:val="000000" w:themeColor="text1"/>
          <w:sz w:val="23"/>
          <w:szCs w:val="23"/>
        </w:rPr>
        <w:t xml:space="preserve"> Cuenta Satélite de Vivienda</w:t>
      </w:r>
      <w:r w:rsidR="000D2DAD" w:rsidRPr="00FC2779">
        <w:rPr>
          <w:color w:val="000000" w:themeColor="text1"/>
          <w:sz w:val="23"/>
          <w:szCs w:val="23"/>
        </w:rPr>
        <w:t xml:space="preserve"> 2020 pueden consultarse en:</w:t>
      </w:r>
    </w:p>
    <w:p w14:paraId="628B83BD" w14:textId="77777777" w:rsidR="00F17786" w:rsidRPr="00F34F83" w:rsidRDefault="003E6E53" w:rsidP="000D2DAD">
      <w:pPr>
        <w:pStyle w:val="parrafo1"/>
        <w:spacing w:before="0"/>
        <w:ind w:left="-567" w:right="51"/>
        <w:rPr>
          <w:sz w:val="23"/>
          <w:szCs w:val="23"/>
        </w:rPr>
      </w:pPr>
      <w:hyperlink r:id="rId9" w:history="1">
        <w:r w:rsidR="00F17786" w:rsidRPr="00F34F83">
          <w:rPr>
            <w:rStyle w:val="Hipervnculo"/>
            <w:sz w:val="23"/>
            <w:szCs w:val="23"/>
          </w:rPr>
          <w:t>https://www.inegi.org.mx/temas/viviendasat/</w:t>
        </w:r>
      </w:hyperlink>
    </w:p>
    <w:p w14:paraId="66AA1DEF" w14:textId="233B99B8" w:rsidR="009020C8" w:rsidRPr="00F34F83" w:rsidRDefault="003E6E53" w:rsidP="000D2DAD">
      <w:pPr>
        <w:pStyle w:val="parrafo1"/>
        <w:spacing w:before="0"/>
        <w:ind w:left="-567" w:right="51"/>
        <w:rPr>
          <w:rStyle w:val="Hipervnculo"/>
          <w:sz w:val="23"/>
          <w:szCs w:val="23"/>
        </w:rPr>
      </w:pPr>
      <w:hyperlink r:id="rId10" w:history="1">
        <w:r w:rsidR="00F17786" w:rsidRPr="00F34F83">
          <w:rPr>
            <w:rStyle w:val="Hipervnculo"/>
            <w:sz w:val="23"/>
            <w:szCs w:val="23"/>
          </w:rPr>
          <w:t>https://www.inegi.org.mx/programas/viviendasat/2013/</w:t>
        </w:r>
      </w:hyperlink>
    </w:p>
    <w:p w14:paraId="4084F758" w14:textId="4811BA18" w:rsidR="000D2DAD" w:rsidRPr="00F34F83" w:rsidRDefault="000D2DAD" w:rsidP="000D2DAD">
      <w:pPr>
        <w:pStyle w:val="parrafo1"/>
        <w:spacing w:before="0"/>
        <w:ind w:left="-567" w:right="51"/>
        <w:rPr>
          <w:color w:val="000000"/>
          <w:sz w:val="23"/>
          <w:szCs w:val="23"/>
        </w:rPr>
      </w:pPr>
    </w:p>
    <w:p w14:paraId="6B1CFD5D" w14:textId="5230C009" w:rsidR="000D2DAD" w:rsidRPr="00F34F83" w:rsidRDefault="000D2DAD" w:rsidP="000D2DAD">
      <w:pPr>
        <w:pStyle w:val="parrafo1"/>
        <w:spacing w:before="0"/>
        <w:ind w:left="-567" w:right="51"/>
        <w:rPr>
          <w:color w:val="000000"/>
          <w:sz w:val="23"/>
          <w:szCs w:val="23"/>
        </w:rPr>
      </w:pPr>
    </w:p>
    <w:p w14:paraId="3343FECC" w14:textId="77777777" w:rsidR="000D2DAD" w:rsidRPr="00F34F83" w:rsidRDefault="000D2DAD" w:rsidP="000D2DAD">
      <w:pPr>
        <w:pStyle w:val="parrafo1"/>
        <w:spacing w:before="0"/>
        <w:ind w:left="-567" w:right="51"/>
        <w:rPr>
          <w:color w:val="000000"/>
          <w:sz w:val="23"/>
          <w:szCs w:val="23"/>
        </w:rPr>
      </w:pPr>
    </w:p>
    <w:p w14:paraId="3E01117B" w14:textId="77777777" w:rsidR="009020C8" w:rsidRPr="00F34F83" w:rsidRDefault="009020C8" w:rsidP="000D2DAD">
      <w:pPr>
        <w:pStyle w:val="Default"/>
        <w:ind w:left="-567"/>
        <w:jc w:val="center"/>
        <w:rPr>
          <w:b/>
          <w:bCs/>
          <w:color w:val="auto"/>
          <w:sz w:val="23"/>
          <w:szCs w:val="23"/>
        </w:rPr>
      </w:pPr>
      <w:r w:rsidRPr="00F34F83">
        <w:rPr>
          <w:b/>
          <w:bCs/>
          <w:color w:val="auto"/>
          <w:sz w:val="23"/>
          <w:szCs w:val="23"/>
        </w:rPr>
        <w:t>Se anexa Nota Técnica</w:t>
      </w:r>
    </w:p>
    <w:p w14:paraId="4A086EDB" w14:textId="77777777" w:rsidR="009020C8" w:rsidRPr="00F34F83" w:rsidRDefault="009020C8" w:rsidP="000D2DAD">
      <w:pPr>
        <w:pStyle w:val="Default"/>
        <w:ind w:left="-567"/>
        <w:jc w:val="center"/>
        <w:rPr>
          <w:b/>
          <w:bCs/>
          <w:color w:val="auto"/>
          <w:sz w:val="23"/>
          <w:szCs w:val="23"/>
        </w:rPr>
      </w:pPr>
    </w:p>
    <w:p w14:paraId="409192DD" w14:textId="77777777" w:rsidR="009020C8" w:rsidRPr="00F34F83" w:rsidRDefault="009020C8" w:rsidP="009020C8">
      <w:pPr>
        <w:pStyle w:val="NormalWeb"/>
        <w:spacing w:before="0" w:beforeAutospacing="0" w:after="0" w:afterAutospacing="0"/>
        <w:ind w:left="-567"/>
        <w:contextualSpacing/>
        <w:jc w:val="center"/>
        <w:rPr>
          <w:rFonts w:ascii="Arial" w:hAnsi="Arial" w:cs="Arial"/>
          <w:sz w:val="23"/>
          <w:szCs w:val="23"/>
        </w:rPr>
      </w:pPr>
      <w:r w:rsidRPr="00F34F83">
        <w:rPr>
          <w:rFonts w:ascii="Arial" w:hAnsi="Arial" w:cs="Arial"/>
          <w:sz w:val="23"/>
          <w:szCs w:val="23"/>
        </w:rPr>
        <w:t xml:space="preserve">Para consultas de medios y periodistas, contactar a: </w:t>
      </w:r>
      <w:hyperlink r:id="rId11" w:history="1">
        <w:r w:rsidRPr="00F34F83">
          <w:rPr>
            <w:rStyle w:val="Hipervnculo"/>
            <w:rFonts w:ascii="Arial" w:hAnsi="Arial" w:cs="Arial"/>
            <w:sz w:val="23"/>
            <w:szCs w:val="23"/>
          </w:rPr>
          <w:t>comunicacionsocial@inegi.org.mx</w:t>
        </w:r>
      </w:hyperlink>
      <w:r w:rsidRPr="00F34F83">
        <w:rPr>
          <w:rFonts w:ascii="Arial" w:hAnsi="Arial" w:cs="Arial"/>
          <w:sz w:val="23"/>
          <w:szCs w:val="23"/>
        </w:rPr>
        <w:t xml:space="preserve"> </w:t>
      </w:r>
    </w:p>
    <w:p w14:paraId="2BBBF0D1" w14:textId="6A1896F1" w:rsidR="009020C8" w:rsidRPr="00F34F83" w:rsidRDefault="009020C8" w:rsidP="009020C8">
      <w:pPr>
        <w:pStyle w:val="NormalWeb"/>
        <w:spacing w:before="0" w:beforeAutospacing="0" w:after="0" w:afterAutospacing="0"/>
        <w:ind w:left="-567"/>
        <w:contextualSpacing/>
        <w:jc w:val="center"/>
        <w:rPr>
          <w:rFonts w:ascii="Arial" w:hAnsi="Arial" w:cs="Arial"/>
          <w:sz w:val="23"/>
          <w:szCs w:val="23"/>
        </w:rPr>
      </w:pPr>
      <w:r w:rsidRPr="00F34F83">
        <w:rPr>
          <w:rFonts w:ascii="Arial" w:hAnsi="Arial" w:cs="Arial"/>
          <w:sz w:val="23"/>
          <w:szCs w:val="23"/>
        </w:rPr>
        <w:t xml:space="preserve">o llamar al teléfono (55) 52-78-10-00, </w:t>
      </w:r>
      <w:proofErr w:type="spellStart"/>
      <w:r w:rsidRPr="00F34F83">
        <w:rPr>
          <w:rFonts w:ascii="Arial" w:hAnsi="Arial" w:cs="Arial"/>
          <w:sz w:val="23"/>
          <w:szCs w:val="23"/>
        </w:rPr>
        <w:t>exts</w:t>
      </w:r>
      <w:proofErr w:type="spellEnd"/>
      <w:r w:rsidRPr="00F34F83">
        <w:rPr>
          <w:rFonts w:ascii="Arial" w:hAnsi="Arial" w:cs="Arial"/>
          <w:sz w:val="23"/>
          <w:szCs w:val="23"/>
        </w:rPr>
        <w:t>. 1134, 1260 y 1241.</w:t>
      </w:r>
    </w:p>
    <w:p w14:paraId="4C639443" w14:textId="77777777" w:rsidR="000D2DAD" w:rsidRPr="00124D53" w:rsidRDefault="000D2DAD" w:rsidP="009020C8">
      <w:pPr>
        <w:pStyle w:val="NormalWeb"/>
        <w:spacing w:before="0" w:beforeAutospacing="0" w:after="0" w:afterAutospacing="0"/>
        <w:ind w:left="-567"/>
        <w:contextualSpacing/>
        <w:jc w:val="center"/>
        <w:rPr>
          <w:rFonts w:ascii="Arial" w:hAnsi="Arial" w:cs="Arial"/>
          <w:sz w:val="22"/>
          <w:szCs w:val="22"/>
        </w:rPr>
      </w:pPr>
    </w:p>
    <w:p w14:paraId="6412552B" w14:textId="77777777" w:rsidR="009020C8" w:rsidRPr="00124D53" w:rsidRDefault="009020C8" w:rsidP="009020C8">
      <w:pPr>
        <w:ind w:left="-567"/>
        <w:contextualSpacing/>
        <w:jc w:val="center"/>
        <w:rPr>
          <w:rFonts w:ascii="Arial" w:hAnsi="Arial" w:cs="Arial"/>
        </w:rPr>
      </w:pPr>
      <w:r w:rsidRPr="00124D53">
        <w:rPr>
          <w:rFonts w:ascii="Arial" w:hAnsi="Arial" w:cs="Arial"/>
        </w:rPr>
        <w:t xml:space="preserve">Dirección de Atención a Medios / Dirección General Adjunta de Comunicación </w:t>
      </w:r>
    </w:p>
    <w:p w14:paraId="2E5A4B42" w14:textId="77777777" w:rsidR="009020C8" w:rsidRPr="00A32F3F" w:rsidRDefault="009020C8" w:rsidP="009020C8">
      <w:pPr>
        <w:ind w:left="-567"/>
        <w:contextualSpacing/>
        <w:jc w:val="center"/>
        <w:rPr>
          <w:rFonts w:ascii="Arial" w:hAnsi="Arial" w:cs="Arial"/>
          <w:color w:val="FF0000"/>
        </w:rPr>
      </w:pPr>
    </w:p>
    <w:p w14:paraId="78C8C429" w14:textId="77777777" w:rsidR="009020C8" w:rsidRDefault="009020C8" w:rsidP="009020C8">
      <w:pPr>
        <w:ind w:left="-567"/>
        <w:contextualSpacing/>
        <w:jc w:val="center"/>
        <w:rPr>
          <w:noProof/>
          <w:color w:val="FF0000"/>
        </w:rPr>
        <w:sectPr w:rsidR="009020C8" w:rsidSect="00B8395F">
          <w:headerReference w:type="default" r:id="rId12"/>
          <w:footerReference w:type="default" r:id="rId13"/>
          <w:pgSz w:w="12240" w:h="15840"/>
          <w:pgMar w:top="1560" w:right="1183" w:bottom="851" w:left="1701" w:header="426" w:footer="435" w:gutter="0"/>
          <w:cols w:space="708"/>
          <w:docGrid w:linePitch="360"/>
        </w:sectPr>
      </w:pPr>
      <w:r w:rsidRPr="00A32F3F">
        <w:rPr>
          <w:noProof/>
          <w:color w:val="FF0000"/>
        </w:rPr>
        <w:drawing>
          <wp:inline distT="0" distB="0" distL="0" distR="0" wp14:anchorId="528A9496" wp14:editId="29730D3E">
            <wp:extent cx="318472" cy="322419"/>
            <wp:effectExtent l="0" t="0" r="5715" b="1905"/>
            <wp:docPr id="49" name="Imagen 49" descr="C:\Users\saladeprensa\Desktop\NVOS LOGOS\F.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sidRPr="00A32F3F">
        <w:rPr>
          <w:noProof/>
          <w:color w:val="FF0000"/>
        </w:rPr>
        <w:t xml:space="preserve"> </w:t>
      </w:r>
      <w:r w:rsidRPr="00A32F3F">
        <w:rPr>
          <w:noProof/>
          <w:color w:val="FF0000"/>
        </w:rPr>
        <w:drawing>
          <wp:inline distT="0" distB="0" distL="0" distR="0" wp14:anchorId="3DCFD9B1" wp14:editId="69DF30CB">
            <wp:extent cx="327704" cy="325467"/>
            <wp:effectExtent l="0" t="0" r="0" b="0"/>
            <wp:docPr id="50" name="Imagen 50" descr="C:\Users\saladeprensa\Desktop\NVOS LOGOS\I.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sidRPr="00A32F3F">
        <w:rPr>
          <w:noProof/>
          <w:color w:val="FF0000"/>
        </w:rPr>
        <w:t xml:space="preserve"> </w:t>
      </w:r>
      <w:r w:rsidRPr="00A32F3F">
        <w:rPr>
          <w:noProof/>
          <w:color w:val="FF0000"/>
        </w:rPr>
        <w:drawing>
          <wp:inline distT="0" distB="0" distL="0" distR="0" wp14:anchorId="325FBF41" wp14:editId="1E38DC7C">
            <wp:extent cx="321276" cy="324093"/>
            <wp:effectExtent l="0" t="0" r="3175" b="0"/>
            <wp:docPr id="35" name="Imagen 35" descr="C:\Users\saladeprensa\Desktop\NVOS LOGOS\T.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sidRPr="00A32F3F">
        <w:rPr>
          <w:noProof/>
          <w:color w:val="FF0000"/>
        </w:rPr>
        <w:t xml:space="preserve"> </w:t>
      </w:r>
      <w:r w:rsidRPr="00A32F3F">
        <w:rPr>
          <w:noProof/>
          <w:color w:val="FF0000"/>
        </w:rPr>
        <w:drawing>
          <wp:inline distT="0" distB="0" distL="0" distR="0" wp14:anchorId="066F398C" wp14:editId="73FF61AF">
            <wp:extent cx="321276" cy="326574"/>
            <wp:effectExtent l="0" t="0" r="3175" b="0"/>
            <wp:docPr id="51" name="Imagen 51" descr="C:\Users\saladeprensa\Desktop\NVOS LOGOS\Y.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sidRPr="00A32F3F">
        <w:rPr>
          <w:noProof/>
          <w:color w:val="FF0000"/>
        </w:rPr>
        <w:t xml:space="preserve">  </w:t>
      </w:r>
      <w:r w:rsidRPr="00A32F3F">
        <w:rPr>
          <w:noProof/>
          <w:color w:val="FF0000"/>
          <w:sz w:val="14"/>
          <w:szCs w:val="18"/>
        </w:rPr>
        <w:drawing>
          <wp:inline distT="0" distB="0" distL="0" distR="0" wp14:anchorId="27536EC3" wp14:editId="46CCEFCD">
            <wp:extent cx="2323070" cy="319707"/>
            <wp:effectExtent l="0" t="0" r="1270" b="4445"/>
            <wp:docPr id="52" name="Imagen 5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5905E763" w14:textId="45D43381" w:rsidR="009020C8" w:rsidRDefault="009020C8" w:rsidP="009020C8">
      <w:pPr>
        <w:ind w:left="-567"/>
        <w:contextualSpacing/>
        <w:jc w:val="center"/>
        <w:rPr>
          <w:noProof/>
          <w:color w:val="FF0000"/>
        </w:rPr>
        <w:sectPr w:rsidR="009020C8" w:rsidSect="009020C8">
          <w:type w:val="continuous"/>
          <w:pgSz w:w="12240" w:h="15840"/>
          <w:pgMar w:top="1823" w:right="1183" w:bottom="1135" w:left="1701" w:header="708" w:footer="708" w:gutter="0"/>
          <w:cols w:space="708"/>
          <w:docGrid w:linePitch="360"/>
        </w:sectPr>
      </w:pPr>
    </w:p>
    <w:p w14:paraId="6B872FD9" w14:textId="77777777" w:rsidR="00F34F83" w:rsidRDefault="00F34F83" w:rsidP="00C1453E">
      <w:pPr>
        <w:pStyle w:val="Ttulo2"/>
        <w:tabs>
          <w:tab w:val="left" w:pos="1276"/>
        </w:tabs>
        <w:spacing w:before="0" w:after="120"/>
        <w:jc w:val="center"/>
        <w:rPr>
          <w:rFonts w:ascii="Arial" w:hAnsi="Arial" w:cs="Arial"/>
          <w:i w:val="0"/>
          <w:color w:val="000000"/>
        </w:rPr>
      </w:pPr>
    </w:p>
    <w:p w14:paraId="00A305E3" w14:textId="3E736219" w:rsidR="00994BB9" w:rsidRPr="0085042C" w:rsidRDefault="00C1453E" w:rsidP="00C1453E">
      <w:pPr>
        <w:pStyle w:val="Ttulo2"/>
        <w:tabs>
          <w:tab w:val="left" w:pos="1276"/>
        </w:tabs>
        <w:spacing w:before="0" w:after="120"/>
        <w:jc w:val="center"/>
        <w:rPr>
          <w:rFonts w:ascii="Arial" w:hAnsi="Arial" w:cs="Arial"/>
          <w:b w:val="0"/>
          <w:i w:val="0"/>
          <w:color w:val="000000"/>
        </w:rPr>
      </w:pPr>
      <w:r>
        <w:rPr>
          <w:rFonts w:ascii="Arial" w:hAnsi="Arial" w:cs="Arial"/>
          <w:i w:val="0"/>
          <w:color w:val="000000"/>
        </w:rPr>
        <w:t>N</w:t>
      </w:r>
      <w:r w:rsidR="00994BB9" w:rsidRPr="0085042C">
        <w:rPr>
          <w:rFonts w:ascii="Arial" w:hAnsi="Arial" w:cs="Arial"/>
          <w:i w:val="0"/>
          <w:color w:val="000000"/>
        </w:rPr>
        <w:t>OTA TÉCNICA</w:t>
      </w:r>
    </w:p>
    <w:p w14:paraId="02741C8B" w14:textId="77777777" w:rsidR="00ED71F9" w:rsidRPr="0085042C" w:rsidRDefault="00ED71F9" w:rsidP="00ED71F9">
      <w:pPr>
        <w:pStyle w:val="Profesin"/>
        <w:spacing w:before="60"/>
        <w:outlineLvl w:val="0"/>
        <w:rPr>
          <w:rFonts w:ascii="Arial" w:hAnsi="Arial" w:cs="Arial"/>
          <w:sz w:val="24"/>
          <w:szCs w:val="24"/>
          <w:lang w:val="es-MX"/>
        </w:rPr>
      </w:pPr>
      <w:r w:rsidRPr="0085042C">
        <w:rPr>
          <w:rFonts w:ascii="Arial" w:hAnsi="Arial" w:cs="Arial"/>
          <w:sz w:val="24"/>
          <w:szCs w:val="24"/>
          <w:lang w:val="es-MX"/>
        </w:rPr>
        <w:t>SISTEMA DE CUENTAS NACIONALES DE MÉXICO</w:t>
      </w:r>
    </w:p>
    <w:p w14:paraId="3B77A117" w14:textId="54209508" w:rsidR="00ED71F9" w:rsidRPr="0085042C" w:rsidRDefault="00ED71F9" w:rsidP="00ED71F9">
      <w:pPr>
        <w:pStyle w:val="Profesin"/>
        <w:outlineLvl w:val="0"/>
        <w:rPr>
          <w:rFonts w:ascii="Arial" w:hAnsi="Arial" w:cs="Arial"/>
          <w:sz w:val="24"/>
          <w:szCs w:val="24"/>
          <w:lang w:val="es-MX"/>
        </w:rPr>
      </w:pPr>
      <w:r w:rsidRPr="0085042C">
        <w:rPr>
          <w:rFonts w:ascii="Arial" w:hAnsi="Arial" w:cs="Arial"/>
          <w:sz w:val="24"/>
          <w:szCs w:val="24"/>
          <w:lang w:val="es-MX"/>
        </w:rPr>
        <w:t>CUENTA</w:t>
      </w:r>
      <w:r w:rsidR="00CF29A6">
        <w:rPr>
          <w:rFonts w:ascii="Arial" w:hAnsi="Arial" w:cs="Arial"/>
          <w:sz w:val="24"/>
          <w:szCs w:val="24"/>
          <w:lang w:val="es-MX"/>
        </w:rPr>
        <w:t xml:space="preserve"> </w:t>
      </w:r>
      <w:r w:rsidRPr="0085042C">
        <w:rPr>
          <w:rFonts w:ascii="Arial" w:hAnsi="Arial" w:cs="Arial"/>
          <w:sz w:val="24"/>
          <w:szCs w:val="24"/>
          <w:lang w:val="es-MX"/>
        </w:rPr>
        <w:t>S</w:t>
      </w:r>
      <w:r w:rsidR="00CF29A6">
        <w:rPr>
          <w:rFonts w:ascii="Arial" w:hAnsi="Arial" w:cs="Arial"/>
          <w:sz w:val="24"/>
          <w:szCs w:val="24"/>
          <w:lang w:val="es-MX"/>
        </w:rPr>
        <w:t>ATÉLITE DE</w:t>
      </w:r>
      <w:r w:rsidR="0071201C">
        <w:rPr>
          <w:rFonts w:ascii="Arial" w:hAnsi="Arial" w:cs="Arial"/>
          <w:sz w:val="24"/>
          <w:szCs w:val="24"/>
          <w:lang w:val="es-MX"/>
        </w:rPr>
        <w:t xml:space="preserve"> vivienda</w:t>
      </w:r>
      <w:r w:rsidRPr="0085042C">
        <w:rPr>
          <w:rFonts w:ascii="Arial" w:hAnsi="Arial" w:cs="Arial"/>
          <w:sz w:val="24"/>
          <w:szCs w:val="24"/>
          <w:lang w:val="es-MX"/>
        </w:rPr>
        <w:t xml:space="preserve"> DE </w:t>
      </w:r>
      <w:r w:rsidR="00CF29A6">
        <w:rPr>
          <w:rFonts w:ascii="Arial" w:hAnsi="Arial" w:cs="Arial"/>
          <w:sz w:val="24"/>
          <w:szCs w:val="24"/>
          <w:lang w:val="es-MX"/>
        </w:rPr>
        <w:t xml:space="preserve">MÉXICO, </w:t>
      </w:r>
      <w:r w:rsidRPr="0085042C">
        <w:rPr>
          <w:rFonts w:ascii="Arial" w:hAnsi="Arial" w:cs="Arial"/>
          <w:sz w:val="24"/>
          <w:szCs w:val="24"/>
          <w:lang w:val="es-MX"/>
        </w:rPr>
        <w:t>20</w:t>
      </w:r>
      <w:r w:rsidR="002F2271" w:rsidRPr="0085042C">
        <w:rPr>
          <w:rFonts w:ascii="Arial" w:hAnsi="Arial" w:cs="Arial"/>
          <w:sz w:val="24"/>
          <w:szCs w:val="24"/>
          <w:lang w:val="es-MX"/>
        </w:rPr>
        <w:t>20</w:t>
      </w:r>
    </w:p>
    <w:p w14:paraId="47317D8E" w14:textId="3C437EB6" w:rsidR="00994BB9" w:rsidRDefault="00994BB9" w:rsidP="00ED71F9">
      <w:pPr>
        <w:pStyle w:val="Textodebloque1"/>
        <w:tabs>
          <w:tab w:val="left" w:pos="0"/>
          <w:tab w:val="left" w:pos="8222"/>
        </w:tabs>
        <w:spacing w:before="0"/>
        <w:ind w:left="0" w:right="0" w:firstLine="0"/>
        <w:rPr>
          <w:rFonts w:ascii="Arial" w:hAnsi="Arial" w:cs="Arial"/>
          <w:i/>
          <w:iCs/>
          <w:smallCaps/>
          <w:sz w:val="24"/>
          <w:szCs w:val="24"/>
        </w:rPr>
      </w:pPr>
    </w:p>
    <w:p w14:paraId="0460CEBB" w14:textId="77777777" w:rsidR="00F34F83" w:rsidRDefault="00F34F83" w:rsidP="00ED71F9">
      <w:pPr>
        <w:pStyle w:val="Textodebloque1"/>
        <w:tabs>
          <w:tab w:val="left" w:pos="0"/>
          <w:tab w:val="left" w:pos="8222"/>
        </w:tabs>
        <w:spacing w:before="0"/>
        <w:ind w:left="0" w:right="0" w:firstLine="0"/>
        <w:rPr>
          <w:rFonts w:ascii="Arial" w:hAnsi="Arial" w:cs="Arial"/>
          <w:i/>
          <w:iCs/>
          <w:smallCaps/>
          <w:sz w:val="24"/>
          <w:szCs w:val="24"/>
        </w:rPr>
      </w:pPr>
    </w:p>
    <w:p w14:paraId="7B4C1BB0" w14:textId="50AA7D50" w:rsidR="00ED71F9" w:rsidRPr="006D3F7A" w:rsidRDefault="00ED71F9" w:rsidP="00ED71F9">
      <w:pPr>
        <w:pStyle w:val="Textodebloque1"/>
        <w:tabs>
          <w:tab w:val="left" w:pos="0"/>
          <w:tab w:val="left" w:pos="8222"/>
        </w:tabs>
        <w:spacing w:before="0"/>
        <w:ind w:left="0" w:right="0" w:firstLine="0"/>
        <w:rPr>
          <w:rFonts w:ascii="Arial" w:hAnsi="Arial" w:cs="Arial"/>
          <w:i/>
          <w:iCs/>
          <w:smallCaps/>
          <w:sz w:val="24"/>
          <w:szCs w:val="24"/>
        </w:rPr>
      </w:pPr>
      <w:r w:rsidRPr="006D3F7A">
        <w:rPr>
          <w:rFonts w:ascii="Arial" w:hAnsi="Arial" w:cs="Arial"/>
          <w:i/>
          <w:iCs/>
          <w:smallCaps/>
          <w:sz w:val="24"/>
          <w:szCs w:val="24"/>
        </w:rPr>
        <w:t>Aspectos Generales</w:t>
      </w:r>
    </w:p>
    <w:p w14:paraId="30289A93" w14:textId="7592092C" w:rsidR="00CF29A6" w:rsidRPr="00BE4BC0" w:rsidRDefault="00CF29A6" w:rsidP="00141A97">
      <w:pPr>
        <w:pStyle w:val="Textoindependiente"/>
        <w:spacing w:before="360"/>
        <w:rPr>
          <w:rFonts w:ascii="Arial" w:hAnsi="Arial" w:cs="Arial"/>
        </w:rPr>
      </w:pPr>
      <w:r w:rsidRPr="00CF29A6">
        <w:rPr>
          <w:rFonts w:ascii="Arial" w:hAnsi="Arial" w:cs="Arial"/>
        </w:rPr>
        <w:t xml:space="preserve">El Instituto Nacional de Estadística y Geografía (INEGI) presenta los resultados de la Cuenta Satélite de </w:t>
      </w:r>
      <w:r w:rsidR="0071201C">
        <w:rPr>
          <w:rFonts w:ascii="Arial" w:hAnsi="Arial" w:cs="Arial"/>
          <w:lang w:val="es-MX"/>
        </w:rPr>
        <w:t>Vivienda</w:t>
      </w:r>
      <w:r w:rsidRPr="00CF29A6">
        <w:rPr>
          <w:rFonts w:ascii="Arial" w:hAnsi="Arial" w:cs="Arial"/>
        </w:rPr>
        <w:t xml:space="preserve"> de México, 2020. Año Base 2013</w:t>
      </w:r>
      <w:r w:rsidRPr="00BE4BC0">
        <w:rPr>
          <w:rFonts w:ascii="Arial" w:hAnsi="Arial" w:cs="Arial"/>
        </w:rPr>
        <w:t xml:space="preserve">. Este </w:t>
      </w:r>
      <w:r w:rsidR="007366FA">
        <w:rPr>
          <w:rFonts w:ascii="Arial" w:hAnsi="Arial" w:cs="Arial"/>
          <w:lang w:val="es-MX"/>
        </w:rPr>
        <w:t>producto</w:t>
      </w:r>
      <w:r w:rsidR="007366FA" w:rsidRPr="00BE4BC0">
        <w:rPr>
          <w:rFonts w:ascii="Arial" w:hAnsi="Arial" w:cs="Arial"/>
        </w:rPr>
        <w:t xml:space="preserve"> </w:t>
      </w:r>
      <w:r w:rsidR="00C3008B">
        <w:rPr>
          <w:rFonts w:ascii="Arial" w:hAnsi="Arial" w:cs="Arial"/>
          <w:lang w:val="es-MX"/>
        </w:rPr>
        <w:t>ofrece</w:t>
      </w:r>
      <w:r w:rsidR="00C3008B" w:rsidRPr="00BE4BC0">
        <w:rPr>
          <w:rFonts w:ascii="Arial" w:hAnsi="Arial" w:cs="Arial"/>
        </w:rPr>
        <w:t xml:space="preserve"> </w:t>
      </w:r>
      <w:r w:rsidRPr="00BE4BC0">
        <w:rPr>
          <w:rFonts w:ascii="Arial" w:hAnsi="Arial" w:cs="Arial"/>
        </w:rPr>
        <w:t>información económica para la toma de decisiones en el sector</w:t>
      </w:r>
      <w:r w:rsidR="00045539">
        <w:rPr>
          <w:rFonts w:ascii="Arial" w:hAnsi="Arial" w:cs="Arial"/>
          <w:lang w:val="es-MX"/>
        </w:rPr>
        <w:t xml:space="preserve"> de la vivienda</w:t>
      </w:r>
      <w:r w:rsidRPr="00BE4BC0">
        <w:rPr>
          <w:rFonts w:ascii="Arial" w:hAnsi="Arial" w:cs="Arial"/>
        </w:rPr>
        <w:t xml:space="preserve"> y forma parte del Sistema de Cuentas Nacionales de México (SCNM). </w:t>
      </w:r>
    </w:p>
    <w:p w14:paraId="2A5DF05A" w14:textId="64AB12CC" w:rsidR="0059720F" w:rsidRPr="0059720F" w:rsidRDefault="007377B9" w:rsidP="00141A97">
      <w:pPr>
        <w:pStyle w:val="Textoindependiente"/>
        <w:spacing w:before="100" w:beforeAutospacing="1"/>
        <w:rPr>
          <w:rFonts w:ascii="Arial" w:hAnsi="Arial" w:cs="Arial"/>
          <w:lang w:val="es-MX"/>
        </w:rPr>
      </w:pPr>
      <w:r>
        <w:rPr>
          <w:rFonts w:ascii="Arial" w:hAnsi="Arial" w:cs="Arial"/>
          <w:lang w:val="es-MX"/>
        </w:rPr>
        <w:t>Su</w:t>
      </w:r>
      <w:r w:rsidR="005060B9" w:rsidRPr="00BE4BC0">
        <w:rPr>
          <w:rFonts w:ascii="Arial" w:hAnsi="Arial" w:cs="Arial"/>
          <w:lang w:val="es-MX"/>
        </w:rPr>
        <w:t xml:space="preserve"> objetivo general</w:t>
      </w:r>
      <w:r>
        <w:rPr>
          <w:rFonts w:ascii="Arial" w:hAnsi="Arial" w:cs="Arial"/>
          <w:lang w:val="es-MX"/>
        </w:rPr>
        <w:t xml:space="preserve"> es dar a conocer </w:t>
      </w:r>
      <w:r w:rsidRPr="007377B9">
        <w:rPr>
          <w:rFonts w:ascii="Arial" w:hAnsi="Arial" w:cs="Arial"/>
          <w:lang w:val="es-MX"/>
        </w:rPr>
        <w:t xml:space="preserve">la dimensión, participación, evolución e impacto económico de las actividades </w:t>
      </w:r>
      <w:r>
        <w:rPr>
          <w:rFonts w:ascii="Arial" w:hAnsi="Arial" w:cs="Arial"/>
          <w:lang w:val="es-MX"/>
        </w:rPr>
        <w:t>ligadas al sector</w:t>
      </w:r>
      <w:r w:rsidR="0059720F">
        <w:rPr>
          <w:rFonts w:ascii="Arial" w:hAnsi="Arial" w:cs="Arial"/>
          <w:lang w:val="es-MX"/>
        </w:rPr>
        <w:t xml:space="preserve"> de la vivienda</w:t>
      </w:r>
      <w:r w:rsidRPr="007377B9">
        <w:rPr>
          <w:rFonts w:ascii="Arial" w:hAnsi="Arial" w:cs="Arial"/>
          <w:lang w:val="es-MX"/>
        </w:rPr>
        <w:t>, con base en lineamientos acordados internacionalmente, enriqueciendo de esta forma la base informativa sobre la que se sustenta el conocimiento de este t</w:t>
      </w:r>
      <w:r>
        <w:rPr>
          <w:rFonts w:ascii="Arial" w:hAnsi="Arial" w:cs="Arial"/>
          <w:lang w:val="es-MX"/>
        </w:rPr>
        <w:t>ema</w:t>
      </w:r>
      <w:r w:rsidRPr="007377B9">
        <w:rPr>
          <w:rFonts w:ascii="Arial" w:hAnsi="Arial" w:cs="Arial"/>
          <w:lang w:val="es-MX"/>
        </w:rPr>
        <w:t xml:space="preserve"> en el país.</w:t>
      </w:r>
    </w:p>
    <w:p w14:paraId="575D0D60" w14:textId="2730A329" w:rsidR="00ED71F9" w:rsidRPr="006D3F7A" w:rsidRDefault="00ED71F9" w:rsidP="00141A97">
      <w:pPr>
        <w:pStyle w:val="Textoindependiente"/>
        <w:spacing w:before="100" w:beforeAutospacing="1"/>
        <w:rPr>
          <w:rFonts w:ascii="Arial" w:hAnsi="Arial" w:cs="Arial"/>
          <w:b/>
          <w:iCs/>
          <w:smallCaps/>
        </w:rPr>
      </w:pPr>
      <w:r w:rsidRPr="006D3F7A">
        <w:rPr>
          <w:rFonts w:ascii="Arial" w:hAnsi="Arial" w:cs="Arial"/>
          <w:b/>
          <w:iCs/>
          <w:smallCaps/>
        </w:rPr>
        <w:t>Principales Resultados</w:t>
      </w:r>
    </w:p>
    <w:p w14:paraId="27D7024E" w14:textId="65594D06" w:rsidR="00ED71F9" w:rsidRPr="006D3F7A" w:rsidRDefault="00CF29A6" w:rsidP="00300627">
      <w:pPr>
        <w:pStyle w:val="n01"/>
        <w:keepLines w:val="0"/>
        <w:spacing w:before="360"/>
        <w:ind w:left="0" w:firstLine="0"/>
        <w:outlineLvl w:val="0"/>
        <w:rPr>
          <w:rFonts w:ascii="Arial" w:hAnsi="Arial" w:cs="Arial"/>
          <w:b/>
          <w:smallCaps/>
          <w:color w:val="auto"/>
          <w:lang w:val="es-MX"/>
        </w:rPr>
      </w:pPr>
      <w:r>
        <w:rPr>
          <w:rFonts w:ascii="Arial" w:hAnsi="Arial" w:cs="Arial"/>
          <w:b/>
          <w:smallCaps/>
          <w:color w:val="auto"/>
          <w:lang w:val="es-MX"/>
        </w:rPr>
        <w:t xml:space="preserve">PIB de la </w:t>
      </w:r>
      <w:r w:rsidR="007B57FC">
        <w:rPr>
          <w:rFonts w:ascii="Arial" w:hAnsi="Arial" w:cs="Arial"/>
          <w:b/>
          <w:smallCaps/>
          <w:color w:val="auto"/>
          <w:lang w:val="es-MX"/>
        </w:rPr>
        <w:t>vivienda</w:t>
      </w:r>
    </w:p>
    <w:p w14:paraId="540DEDE6" w14:textId="5AB3207E" w:rsidR="00D86325" w:rsidRDefault="00AF2E50" w:rsidP="00D86325">
      <w:pPr>
        <w:pStyle w:val="Textoindependiente"/>
        <w:tabs>
          <w:tab w:val="center" w:pos="3348"/>
        </w:tabs>
        <w:spacing w:before="360"/>
        <w:rPr>
          <w:rFonts w:ascii="Arial" w:hAnsi="Arial" w:cs="Arial"/>
        </w:rPr>
      </w:pPr>
      <w:r w:rsidRPr="00AF2E50">
        <w:rPr>
          <w:rFonts w:ascii="Arial" w:hAnsi="Arial" w:cs="Arial"/>
        </w:rPr>
        <w:t>El</w:t>
      </w:r>
      <w:r w:rsidR="0059720F">
        <w:rPr>
          <w:rFonts w:ascii="Arial" w:hAnsi="Arial" w:cs="Arial"/>
          <w:lang w:val="es-MX"/>
        </w:rPr>
        <w:t xml:space="preserve"> PIB del sector </w:t>
      </w:r>
      <w:r w:rsidR="00C9297A">
        <w:rPr>
          <w:rFonts w:ascii="Arial" w:hAnsi="Arial" w:cs="Arial"/>
          <w:lang w:val="es-MX"/>
        </w:rPr>
        <w:t>de la vivienda</w:t>
      </w:r>
      <w:r w:rsidRPr="00AF2E50">
        <w:rPr>
          <w:rFonts w:ascii="Arial" w:hAnsi="Arial" w:cs="Arial"/>
        </w:rPr>
        <w:t xml:space="preserve"> </w:t>
      </w:r>
      <w:r w:rsidR="0059720F">
        <w:rPr>
          <w:rFonts w:ascii="Arial" w:hAnsi="Arial" w:cs="Arial"/>
          <w:lang w:val="es-MX"/>
        </w:rPr>
        <w:t>en</w:t>
      </w:r>
      <w:r w:rsidRPr="00AF2E50">
        <w:rPr>
          <w:rFonts w:ascii="Arial" w:hAnsi="Arial" w:cs="Arial"/>
        </w:rPr>
        <w:t xml:space="preserve"> 2020 </w:t>
      </w:r>
      <w:r w:rsidR="0059720F">
        <w:rPr>
          <w:rFonts w:ascii="Arial" w:hAnsi="Arial" w:cs="Arial"/>
          <w:lang w:val="es-MX"/>
        </w:rPr>
        <w:t>alcanzó un monto</w:t>
      </w:r>
      <w:r w:rsidRPr="00AF2E50">
        <w:rPr>
          <w:rFonts w:ascii="Arial" w:hAnsi="Arial" w:cs="Arial"/>
        </w:rPr>
        <w:t xml:space="preserve"> de </w:t>
      </w:r>
      <w:r w:rsidR="00C9297A">
        <w:rPr>
          <w:rFonts w:ascii="Arial" w:hAnsi="Arial" w:cs="Arial"/>
          <w:lang w:val="es-MX"/>
        </w:rPr>
        <w:t>1</w:t>
      </w:r>
      <w:r w:rsidR="00025CDD">
        <w:rPr>
          <w:rFonts w:ascii="Arial" w:hAnsi="Arial" w:cs="Arial"/>
          <w:lang w:val="es-MX"/>
        </w:rPr>
        <w:t xml:space="preserve"> </w:t>
      </w:r>
      <w:r w:rsidR="00D86325">
        <w:rPr>
          <w:rFonts w:ascii="Arial" w:hAnsi="Arial" w:cs="Arial"/>
          <w:lang w:val="es-MX"/>
        </w:rPr>
        <w:t>273</w:t>
      </w:r>
      <w:r w:rsidR="00025CDD">
        <w:rPr>
          <w:rFonts w:ascii="Arial" w:hAnsi="Arial" w:cs="Arial"/>
          <w:lang w:val="es-MX"/>
        </w:rPr>
        <w:t xml:space="preserve"> </w:t>
      </w:r>
      <w:r w:rsidR="00D86325">
        <w:rPr>
          <w:rFonts w:ascii="Arial" w:hAnsi="Arial" w:cs="Arial"/>
          <w:lang w:val="es-MX"/>
        </w:rPr>
        <w:t>268</w:t>
      </w:r>
      <w:r w:rsidRPr="00AF2E50">
        <w:rPr>
          <w:rFonts w:ascii="Arial" w:hAnsi="Arial" w:cs="Arial"/>
        </w:rPr>
        <w:t xml:space="preserve"> millones de pesos</w:t>
      </w:r>
      <w:r w:rsidR="00256D03">
        <w:rPr>
          <w:rFonts w:ascii="Arial" w:hAnsi="Arial" w:cs="Arial"/>
          <w:lang w:val="es-MX"/>
        </w:rPr>
        <w:t xml:space="preserve"> corrientes</w:t>
      </w:r>
      <w:r w:rsidRPr="00AF2E50">
        <w:rPr>
          <w:rFonts w:ascii="Arial" w:hAnsi="Arial" w:cs="Arial"/>
        </w:rPr>
        <w:t xml:space="preserve">, </w:t>
      </w:r>
      <w:r w:rsidR="00025CDD">
        <w:rPr>
          <w:rFonts w:ascii="Arial" w:hAnsi="Arial" w:cs="Arial"/>
          <w:lang w:val="es-MX"/>
        </w:rPr>
        <w:t>el cual significó</w:t>
      </w:r>
      <w:r w:rsidRPr="00AF2E50">
        <w:rPr>
          <w:rFonts w:ascii="Arial" w:hAnsi="Arial" w:cs="Arial"/>
        </w:rPr>
        <w:t xml:space="preserve"> una participación de</w:t>
      </w:r>
      <w:r w:rsidR="00B3688A">
        <w:rPr>
          <w:rFonts w:ascii="Arial" w:hAnsi="Arial" w:cs="Arial"/>
          <w:lang w:val="es-MX"/>
        </w:rPr>
        <w:t xml:space="preserve"> </w:t>
      </w:r>
      <w:r w:rsidR="00D86325">
        <w:rPr>
          <w:rFonts w:ascii="Arial" w:hAnsi="Arial" w:cs="Arial"/>
          <w:lang w:val="es-MX"/>
        </w:rPr>
        <w:t>5.8</w:t>
      </w:r>
      <w:r w:rsidRPr="00AF2E50">
        <w:rPr>
          <w:rFonts w:ascii="Arial" w:hAnsi="Arial" w:cs="Arial"/>
        </w:rPr>
        <w:t>%</w:t>
      </w:r>
      <w:r w:rsidR="00025CDD">
        <w:rPr>
          <w:rFonts w:ascii="Arial" w:hAnsi="Arial" w:cs="Arial"/>
          <w:lang w:val="es-MX"/>
        </w:rPr>
        <w:t xml:space="preserve"> </w:t>
      </w:r>
      <w:r w:rsidR="0059720F">
        <w:rPr>
          <w:rFonts w:ascii="Arial" w:hAnsi="Arial" w:cs="Arial"/>
          <w:lang w:val="es-MX"/>
        </w:rPr>
        <w:t>en e</w:t>
      </w:r>
      <w:r w:rsidR="00025CDD">
        <w:rPr>
          <w:rFonts w:ascii="Arial" w:hAnsi="Arial" w:cs="Arial"/>
          <w:lang w:val="es-MX"/>
        </w:rPr>
        <w:t>l PIB</w:t>
      </w:r>
      <w:r w:rsidRPr="00AF2E50">
        <w:rPr>
          <w:rFonts w:ascii="Arial" w:hAnsi="Arial" w:cs="Arial"/>
        </w:rPr>
        <w:t xml:space="preserve"> Nacional. Por </w:t>
      </w:r>
      <w:r w:rsidR="00256D03">
        <w:rPr>
          <w:rFonts w:ascii="Arial" w:hAnsi="Arial" w:cs="Arial"/>
          <w:lang w:val="es-MX"/>
        </w:rPr>
        <w:t xml:space="preserve">tipo de producción, </w:t>
      </w:r>
      <w:r w:rsidR="00D86325" w:rsidRPr="00AF2E50">
        <w:rPr>
          <w:rFonts w:ascii="Arial" w:hAnsi="Arial" w:cs="Arial"/>
        </w:rPr>
        <w:t>la</w:t>
      </w:r>
      <w:r w:rsidR="00D86325">
        <w:rPr>
          <w:rFonts w:ascii="Arial" w:hAnsi="Arial" w:cs="Arial"/>
          <w:lang w:val="es-MX"/>
        </w:rPr>
        <w:t xml:space="preserve"> </w:t>
      </w:r>
      <w:r w:rsidR="001A28D0">
        <w:rPr>
          <w:rFonts w:ascii="Arial" w:hAnsi="Arial" w:cs="Arial"/>
          <w:lang w:val="es-MX"/>
        </w:rPr>
        <w:t>generación</w:t>
      </w:r>
      <w:r w:rsidR="00D86325">
        <w:rPr>
          <w:rFonts w:ascii="Arial" w:hAnsi="Arial" w:cs="Arial"/>
          <w:lang w:val="es-MX"/>
        </w:rPr>
        <w:t xml:space="preserve"> de bienes y servicios para el</w:t>
      </w:r>
      <w:r w:rsidR="00D86325" w:rsidRPr="00AF2E50">
        <w:rPr>
          <w:rFonts w:ascii="Arial" w:hAnsi="Arial" w:cs="Arial"/>
        </w:rPr>
        <w:t xml:space="preserve"> </w:t>
      </w:r>
      <w:r w:rsidR="00FF2331" w:rsidRPr="00AF2E50">
        <w:rPr>
          <w:rFonts w:ascii="Arial" w:hAnsi="Arial" w:cs="Arial"/>
        </w:rPr>
        <w:t>mercado</w:t>
      </w:r>
      <w:r w:rsidR="00D86325" w:rsidRPr="00AF2E50">
        <w:rPr>
          <w:rFonts w:ascii="Arial" w:hAnsi="Arial" w:cs="Arial"/>
        </w:rPr>
        <w:t xml:space="preserve"> represent</w:t>
      </w:r>
      <w:r w:rsidR="00D86325">
        <w:rPr>
          <w:rFonts w:ascii="Arial" w:hAnsi="Arial" w:cs="Arial"/>
          <w:lang w:val="es-MX"/>
        </w:rPr>
        <w:t>ó</w:t>
      </w:r>
      <w:r w:rsidR="00D86325" w:rsidRPr="00AF2E50">
        <w:rPr>
          <w:rFonts w:ascii="Arial" w:hAnsi="Arial" w:cs="Arial"/>
        </w:rPr>
        <w:t xml:space="preserve"> </w:t>
      </w:r>
      <w:r w:rsidR="00D86325">
        <w:rPr>
          <w:rFonts w:ascii="Arial" w:hAnsi="Arial" w:cs="Arial"/>
          <w:lang w:val="es-MX"/>
        </w:rPr>
        <w:t>59.6</w:t>
      </w:r>
      <w:r w:rsidR="00B3688A">
        <w:rPr>
          <w:rFonts w:ascii="Arial" w:hAnsi="Arial" w:cs="Arial"/>
          <w:lang w:val="es-MX"/>
        </w:rPr>
        <w:t>%</w:t>
      </w:r>
      <w:r w:rsidR="0059720F">
        <w:rPr>
          <w:rFonts w:ascii="Arial" w:hAnsi="Arial" w:cs="Arial"/>
          <w:lang w:val="es-MX"/>
        </w:rPr>
        <w:t xml:space="preserve"> del total</w:t>
      </w:r>
      <w:r w:rsidR="00D86325" w:rsidRPr="00AF2E50">
        <w:rPr>
          <w:rFonts w:ascii="Arial" w:hAnsi="Arial" w:cs="Arial"/>
        </w:rPr>
        <w:t xml:space="preserve">, en tanto que las actividades relacionadas con la </w:t>
      </w:r>
      <w:r w:rsidR="001A28D0">
        <w:rPr>
          <w:rFonts w:ascii="Arial" w:hAnsi="Arial" w:cs="Arial"/>
          <w:lang w:val="es-MX"/>
        </w:rPr>
        <w:t>producción no de mercado</w:t>
      </w:r>
      <w:r w:rsidR="00F24537">
        <w:rPr>
          <w:rStyle w:val="Refdenotaalpie"/>
          <w:rFonts w:ascii="Arial" w:hAnsi="Arial" w:cs="Arial"/>
          <w:lang w:val="es-MX"/>
        </w:rPr>
        <w:footnoteReference w:id="5"/>
      </w:r>
      <w:r w:rsidR="001A28D0">
        <w:rPr>
          <w:rFonts w:ascii="Arial" w:hAnsi="Arial" w:cs="Arial"/>
          <w:lang w:val="es-MX"/>
        </w:rPr>
        <w:t xml:space="preserve"> y la producción para uso final propio</w:t>
      </w:r>
      <w:r w:rsidR="003E5056">
        <w:rPr>
          <w:rStyle w:val="Refdenotaalpie"/>
          <w:rFonts w:ascii="Arial" w:hAnsi="Arial" w:cs="Arial"/>
          <w:lang w:val="es-MX"/>
        </w:rPr>
        <w:footnoteReference w:id="6"/>
      </w:r>
      <w:r w:rsidR="001A28D0">
        <w:rPr>
          <w:rFonts w:ascii="Arial" w:hAnsi="Arial" w:cs="Arial"/>
          <w:lang w:val="es-MX"/>
        </w:rPr>
        <w:t xml:space="preserve"> </w:t>
      </w:r>
      <w:r w:rsidR="00557A35">
        <w:rPr>
          <w:rFonts w:ascii="Arial" w:hAnsi="Arial" w:cs="Arial"/>
          <w:lang w:val="es-MX"/>
        </w:rPr>
        <w:t>aportaron</w:t>
      </w:r>
      <w:r w:rsidR="001A28D0" w:rsidRPr="00641B12">
        <w:rPr>
          <w:rFonts w:ascii="Arial" w:hAnsi="Arial" w:cs="Arial"/>
          <w:lang w:val="es-MX"/>
        </w:rPr>
        <w:t xml:space="preserve"> </w:t>
      </w:r>
      <w:r w:rsidR="00D86325" w:rsidRPr="00641B12">
        <w:rPr>
          <w:rFonts w:ascii="Arial" w:hAnsi="Arial" w:cs="Arial"/>
        </w:rPr>
        <w:t>0.</w:t>
      </w:r>
      <w:r w:rsidR="00D86325" w:rsidRPr="00641B12">
        <w:rPr>
          <w:rFonts w:ascii="Arial" w:hAnsi="Arial" w:cs="Arial"/>
          <w:lang w:val="es-MX"/>
        </w:rPr>
        <w:t>9</w:t>
      </w:r>
      <w:r w:rsidR="00D86325" w:rsidRPr="00641B12">
        <w:rPr>
          <w:rFonts w:ascii="Arial" w:hAnsi="Arial" w:cs="Arial"/>
        </w:rPr>
        <w:t xml:space="preserve">% y </w:t>
      </w:r>
      <w:r w:rsidR="00D86325" w:rsidRPr="00641B12">
        <w:rPr>
          <w:rFonts w:ascii="Arial" w:hAnsi="Arial" w:cs="Arial"/>
          <w:lang w:val="es-MX"/>
        </w:rPr>
        <w:t>39.5</w:t>
      </w:r>
      <w:r w:rsidR="00D86325" w:rsidRPr="00641B12">
        <w:rPr>
          <w:rFonts w:ascii="Arial" w:hAnsi="Arial" w:cs="Arial"/>
        </w:rPr>
        <w:t>%</w:t>
      </w:r>
      <w:r w:rsidR="001A28D0" w:rsidRPr="00641B12">
        <w:rPr>
          <w:rFonts w:ascii="Arial" w:hAnsi="Arial" w:cs="Arial"/>
          <w:lang w:val="es-MX"/>
        </w:rPr>
        <w:t>,</w:t>
      </w:r>
      <w:r w:rsidR="00D86325" w:rsidRPr="00641B12">
        <w:rPr>
          <w:rFonts w:ascii="Arial" w:hAnsi="Arial" w:cs="Arial"/>
        </w:rPr>
        <w:t xml:space="preserve"> respectivamente</w:t>
      </w:r>
      <w:r w:rsidR="00D86325" w:rsidRPr="00AF2E50">
        <w:rPr>
          <w:rFonts w:ascii="Arial" w:hAnsi="Arial" w:cs="Arial"/>
        </w:rPr>
        <w:t>.</w:t>
      </w:r>
    </w:p>
    <w:p w14:paraId="5642B5D3" w14:textId="2739F199" w:rsidR="00D86325" w:rsidRDefault="00040DE0" w:rsidP="00040DE0">
      <w:pPr>
        <w:pStyle w:val="parrafo1"/>
        <w:spacing w:before="120"/>
        <w:ind w:left="0" w:right="0"/>
        <w:rPr>
          <w:color w:val="000000"/>
        </w:rPr>
      </w:pPr>
      <w:r>
        <w:rPr>
          <w:color w:val="000000"/>
        </w:rPr>
        <w:t xml:space="preserve">Al desagregar </w:t>
      </w:r>
      <w:r w:rsidRPr="00040DE0">
        <w:rPr>
          <w:color w:val="000000"/>
        </w:rPr>
        <w:t xml:space="preserve">el PIB de </w:t>
      </w:r>
      <w:r>
        <w:rPr>
          <w:color w:val="000000"/>
        </w:rPr>
        <w:t>la vivienda</w:t>
      </w:r>
      <w:r w:rsidR="00EC50F3" w:rsidRPr="00EC50F3">
        <w:rPr>
          <w:color w:val="000000"/>
        </w:rPr>
        <w:t xml:space="preserve"> </w:t>
      </w:r>
      <w:r w:rsidR="00EC50F3" w:rsidRPr="004C33E2">
        <w:rPr>
          <w:color w:val="000000"/>
        </w:rPr>
        <w:t>por sectores de actividad económica</w:t>
      </w:r>
      <w:r w:rsidR="00EC50F3" w:rsidRPr="004C21E4">
        <w:rPr>
          <w:rStyle w:val="Refdenotaalpie"/>
          <w:color w:val="000000"/>
          <w:sz w:val="20"/>
        </w:rPr>
        <w:footnoteReference w:id="7"/>
      </w:r>
      <w:r>
        <w:rPr>
          <w:color w:val="000000"/>
        </w:rPr>
        <w:t>, se puede observar que</w:t>
      </w:r>
      <w:r w:rsidR="00EC50F3">
        <w:rPr>
          <w:color w:val="000000"/>
        </w:rPr>
        <w:t xml:space="preserve"> </w:t>
      </w:r>
      <w:r w:rsidR="00D86325" w:rsidRPr="004C33E2">
        <w:rPr>
          <w:color w:val="000000"/>
        </w:rPr>
        <w:t>el valor de la construcción asociad</w:t>
      </w:r>
      <w:r w:rsidR="00441D68">
        <w:rPr>
          <w:color w:val="000000"/>
        </w:rPr>
        <w:t>o</w:t>
      </w:r>
      <w:r w:rsidR="00D86325" w:rsidRPr="004C33E2">
        <w:rPr>
          <w:color w:val="000000"/>
        </w:rPr>
        <w:t xml:space="preserve"> </w:t>
      </w:r>
      <w:r w:rsidR="00D86325">
        <w:rPr>
          <w:color w:val="000000"/>
        </w:rPr>
        <w:t>a</w:t>
      </w:r>
      <w:r w:rsidR="00D86325" w:rsidRPr="004C33E2">
        <w:rPr>
          <w:color w:val="000000"/>
        </w:rPr>
        <w:t xml:space="preserve"> la edificación, ampliación y mejoramiento residencial aportó 6</w:t>
      </w:r>
      <w:r w:rsidR="00D86325">
        <w:rPr>
          <w:color w:val="000000"/>
        </w:rPr>
        <w:t>4.4</w:t>
      </w:r>
      <w:r w:rsidR="00D86325" w:rsidRPr="004C33E2">
        <w:rPr>
          <w:color w:val="000000"/>
        </w:rPr>
        <w:t>%</w:t>
      </w:r>
      <w:r>
        <w:rPr>
          <w:color w:val="000000"/>
        </w:rPr>
        <w:t xml:space="preserve"> del total</w:t>
      </w:r>
      <w:r w:rsidR="00EC50F3">
        <w:rPr>
          <w:color w:val="000000"/>
        </w:rPr>
        <w:t>;</w:t>
      </w:r>
      <w:r w:rsidR="00D86325" w:rsidRPr="004C33E2">
        <w:rPr>
          <w:color w:val="000000"/>
        </w:rPr>
        <w:t xml:space="preserve"> los servicios inmobiliarios y de alquiler de bienes muebles e intangibles </w:t>
      </w:r>
      <w:r w:rsidR="00D86325">
        <w:rPr>
          <w:color w:val="000000"/>
        </w:rPr>
        <w:t>relacionados con</w:t>
      </w:r>
      <w:r w:rsidR="00D86325" w:rsidRPr="004C33E2">
        <w:rPr>
          <w:color w:val="000000"/>
        </w:rPr>
        <w:t xml:space="preserve"> la vivienda </w:t>
      </w:r>
      <w:r w:rsidR="00EC50F3">
        <w:rPr>
          <w:color w:val="000000"/>
        </w:rPr>
        <w:t>aportaron</w:t>
      </w:r>
      <w:r w:rsidR="00D86325" w:rsidRPr="004C33E2">
        <w:rPr>
          <w:color w:val="000000"/>
        </w:rPr>
        <w:t xml:space="preserve"> </w:t>
      </w:r>
      <w:r w:rsidR="00D86325">
        <w:rPr>
          <w:color w:val="000000"/>
        </w:rPr>
        <w:t>30.2</w:t>
      </w:r>
      <w:r w:rsidR="00D86325" w:rsidRPr="004C33E2">
        <w:rPr>
          <w:color w:val="000000"/>
        </w:rPr>
        <w:t>%</w:t>
      </w:r>
      <w:r w:rsidR="00EC50F3">
        <w:rPr>
          <w:color w:val="000000"/>
        </w:rPr>
        <w:t>;</w:t>
      </w:r>
      <w:r w:rsidR="00D86325" w:rsidRPr="004C33E2">
        <w:rPr>
          <w:color w:val="000000"/>
        </w:rPr>
        <w:t xml:space="preserve"> los servicios financieros y de seguros vinculados con este sector</w:t>
      </w:r>
      <w:r w:rsidR="00D86325">
        <w:rPr>
          <w:color w:val="000000"/>
        </w:rPr>
        <w:t xml:space="preserve"> 4.7%</w:t>
      </w:r>
      <w:r w:rsidR="00D86325" w:rsidRPr="004C33E2">
        <w:rPr>
          <w:color w:val="000000"/>
        </w:rPr>
        <w:t xml:space="preserve"> y el</w:t>
      </w:r>
      <w:r w:rsidR="00D86325">
        <w:rPr>
          <w:color w:val="000000"/>
        </w:rPr>
        <w:t xml:space="preserve"> rest</w:t>
      </w:r>
      <w:r w:rsidR="00EC50F3">
        <w:rPr>
          <w:color w:val="000000"/>
        </w:rPr>
        <w:t>ante 0.7%</w:t>
      </w:r>
      <w:r w:rsidR="00D86325">
        <w:rPr>
          <w:color w:val="000000"/>
        </w:rPr>
        <w:t xml:space="preserve"> se distribuyó en otros sectores.</w:t>
      </w:r>
    </w:p>
    <w:p w14:paraId="3103F67C" w14:textId="61D60913" w:rsidR="0059720F" w:rsidRDefault="0059720F" w:rsidP="00D86325">
      <w:pPr>
        <w:pStyle w:val="parrafo1"/>
        <w:spacing w:before="120"/>
        <w:ind w:left="0" w:right="0"/>
        <w:rPr>
          <w:color w:val="000000"/>
        </w:rPr>
      </w:pPr>
    </w:p>
    <w:p w14:paraId="6B26F93D" w14:textId="5134831C" w:rsidR="0059720F" w:rsidRDefault="0059720F" w:rsidP="00D86325">
      <w:pPr>
        <w:pStyle w:val="parrafo1"/>
        <w:spacing w:before="120"/>
        <w:ind w:left="0" w:right="0"/>
        <w:rPr>
          <w:color w:val="000000"/>
        </w:rPr>
      </w:pPr>
    </w:p>
    <w:p w14:paraId="66969D04" w14:textId="77777777" w:rsidR="0059720F" w:rsidRDefault="0059720F" w:rsidP="00D86325">
      <w:pPr>
        <w:pStyle w:val="parrafo1"/>
        <w:spacing w:before="120"/>
        <w:ind w:left="0" w:right="0"/>
        <w:rPr>
          <w:color w:val="000000"/>
        </w:rPr>
      </w:pPr>
    </w:p>
    <w:p w14:paraId="4DAF3512" w14:textId="6B10E998" w:rsidR="00B65AED" w:rsidRDefault="00B65AED" w:rsidP="0007202D">
      <w:pPr>
        <w:ind w:left="-425" w:right="-516"/>
        <w:contextualSpacing/>
        <w:jc w:val="center"/>
        <w:rPr>
          <w:rFonts w:ascii="Arial" w:hAnsi="Arial" w:cs="Arial"/>
        </w:rPr>
      </w:pPr>
      <w:r w:rsidRPr="00ED417B">
        <w:rPr>
          <w:rFonts w:ascii="Arial" w:hAnsi="Arial" w:cs="Arial"/>
        </w:rPr>
        <w:lastRenderedPageBreak/>
        <w:t>Gráfica 1</w:t>
      </w:r>
    </w:p>
    <w:p w14:paraId="0205B02C" w14:textId="4EA1653C" w:rsidR="0080258B" w:rsidRPr="0080258B" w:rsidRDefault="00480511" w:rsidP="0007202D">
      <w:pPr>
        <w:ind w:left="-425" w:right="-516"/>
        <w:contextualSpacing/>
        <w:jc w:val="center"/>
        <w:rPr>
          <w:rFonts w:ascii="Arial" w:hAnsi="Arial" w:cs="Arial"/>
          <w:b/>
          <w:iCs/>
          <w:smallCaps/>
          <w:sz w:val="22"/>
          <w:szCs w:val="22"/>
        </w:rPr>
      </w:pPr>
      <w:r>
        <w:rPr>
          <w:rFonts w:ascii="Arial" w:hAnsi="Arial" w:cs="Arial"/>
          <w:b/>
          <w:iCs/>
          <w:smallCaps/>
          <w:sz w:val="22"/>
          <w:szCs w:val="22"/>
        </w:rPr>
        <w:t xml:space="preserve">Distribución del </w:t>
      </w:r>
      <w:r w:rsidR="0080258B" w:rsidRPr="0080258B">
        <w:rPr>
          <w:rFonts w:ascii="Arial" w:hAnsi="Arial" w:cs="Arial"/>
          <w:b/>
          <w:iCs/>
          <w:smallCaps/>
          <w:sz w:val="22"/>
          <w:szCs w:val="22"/>
        </w:rPr>
        <w:t xml:space="preserve">PIB de la </w:t>
      </w:r>
      <w:r w:rsidR="00D86325">
        <w:rPr>
          <w:rFonts w:ascii="Arial" w:hAnsi="Arial" w:cs="Arial"/>
          <w:b/>
          <w:iCs/>
          <w:smallCaps/>
          <w:sz w:val="22"/>
          <w:szCs w:val="22"/>
        </w:rPr>
        <w:t>vivienda</w:t>
      </w:r>
      <w:r w:rsidR="005F0FE3">
        <w:rPr>
          <w:rFonts w:ascii="Arial" w:hAnsi="Arial" w:cs="Arial"/>
          <w:b/>
          <w:iCs/>
          <w:smallCaps/>
          <w:sz w:val="22"/>
          <w:szCs w:val="22"/>
        </w:rPr>
        <w:t xml:space="preserve"> por </w:t>
      </w:r>
      <w:r w:rsidR="00D86325">
        <w:rPr>
          <w:rFonts w:ascii="Arial" w:hAnsi="Arial" w:cs="Arial"/>
          <w:b/>
          <w:iCs/>
          <w:smallCaps/>
          <w:sz w:val="22"/>
          <w:szCs w:val="22"/>
        </w:rPr>
        <w:t>sectores de actividad</w:t>
      </w:r>
      <w:r w:rsidR="0080258B" w:rsidRPr="0080258B">
        <w:rPr>
          <w:rFonts w:ascii="Arial" w:hAnsi="Arial" w:cs="Arial"/>
          <w:b/>
          <w:iCs/>
          <w:smallCaps/>
          <w:sz w:val="22"/>
          <w:szCs w:val="22"/>
        </w:rPr>
        <w:t>, año 2020</w:t>
      </w:r>
    </w:p>
    <w:p w14:paraId="356910C0" w14:textId="28E9667D" w:rsidR="00684A97" w:rsidRDefault="0080258B" w:rsidP="00B65AED">
      <w:pPr>
        <w:pStyle w:val="Textoindependiente"/>
        <w:jc w:val="center"/>
        <w:rPr>
          <w:rFonts w:ascii="Arial" w:hAnsi="Arial" w:cs="Arial"/>
          <w:sz w:val="18"/>
          <w:szCs w:val="18"/>
        </w:rPr>
      </w:pPr>
      <w:r w:rsidRPr="0080258B">
        <w:rPr>
          <w:rFonts w:ascii="Arial" w:hAnsi="Arial" w:cs="Arial"/>
          <w:sz w:val="18"/>
          <w:szCs w:val="18"/>
        </w:rPr>
        <w:t>(</w:t>
      </w:r>
      <w:r w:rsidR="00CA135D">
        <w:rPr>
          <w:rFonts w:ascii="Arial" w:hAnsi="Arial" w:cs="Arial"/>
          <w:sz w:val="18"/>
          <w:szCs w:val="18"/>
          <w:lang w:val="es-MX"/>
        </w:rPr>
        <w:t>Estructura</w:t>
      </w:r>
      <w:r w:rsidR="00CA135D" w:rsidRPr="0080258B">
        <w:rPr>
          <w:rFonts w:ascii="Arial" w:hAnsi="Arial" w:cs="Arial"/>
          <w:sz w:val="18"/>
          <w:szCs w:val="18"/>
          <w:lang w:val="es-MX"/>
        </w:rPr>
        <w:t xml:space="preserve"> </w:t>
      </w:r>
      <w:r w:rsidRPr="0080258B">
        <w:rPr>
          <w:rFonts w:ascii="Arial" w:hAnsi="Arial" w:cs="Arial"/>
          <w:sz w:val="18"/>
          <w:szCs w:val="18"/>
          <w:lang w:val="es-MX"/>
        </w:rPr>
        <w:t>porcentual</w:t>
      </w:r>
      <w:r w:rsidRPr="0080258B">
        <w:rPr>
          <w:rFonts w:ascii="Arial" w:hAnsi="Arial" w:cs="Arial"/>
          <w:sz w:val="18"/>
          <w:szCs w:val="18"/>
        </w:rPr>
        <w:t>)</w:t>
      </w:r>
    </w:p>
    <w:p w14:paraId="387D219A" w14:textId="2AB05081" w:rsidR="00E04377" w:rsidRDefault="000F7899" w:rsidP="00B65AED">
      <w:pPr>
        <w:pStyle w:val="Textoindependiente"/>
        <w:jc w:val="center"/>
        <w:rPr>
          <w:rFonts w:ascii="Arial" w:hAnsi="Arial" w:cs="Arial"/>
        </w:rPr>
      </w:pPr>
      <w:r>
        <w:rPr>
          <w:rFonts w:ascii="Arial" w:hAnsi="Arial" w:cs="Arial"/>
          <w:noProof/>
        </w:rPr>
        <w:drawing>
          <wp:inline distT="0" distB="0" distL="0" distR="0" wp14:anchorId="0D7DB2F1" wp14:editId="6A7D32B1">
            <wp:extent cx="5589767" cy="2770198"/>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89767" cy="2770198"/>
                    </a:xfrm>
                    <a:prstGeom prst="rect">
                      <a:avLst/>
                    </a:prstGeom>
                    <a:noFill/>
                  </pic:spPr>
                </pic:pic>
              </a:graphicData>
            </a:graphic>
          </wp:inline>
        </w:drawing>
      </w:r>
    </w:p>
    <w:p w14:paraId="475F61E9" w14:textId="3EC09FAA" w:rsidR="008027D9" w:rsidRDefault="008027D9" w:rsidP="00B65AED">
      <w:pPr>
        <w:pStyle w:val="Textoindependiente"/>
        <w:jc w:val="center"/>
        <w:rPr>
          <w:rFonts w:ascii="Arial" w:hAnsi="Arial" w:cs="Arial"/>
        </w:rPr>
      </w:pPr>
    </w:p>
    <w:p w14:paraId="31D5FBCB" w14:textId="21652985" w:rsidR="00684A97" w:rsidRDefault="00684A97" w:rsidP="00C45226">
      <w:pPr>
        <w:pStyle w:val="Textoindependiente"/>
        <w:jc w:val="left"/>
        <w:rPr>
          <w:rFonts w:ascii="Arial" w:hAnsi="Arial" w:cs="Arial"/>
          <w:sz w:val="16"/>
          <w:szCs w:val="16"/>
        </w:rPr>
      </w:pPr>
      <w:r w:rsidRPr="0080258B">
        <w:rPr>
          <w:rFonts w:ascii="Arial" w:hAnsi="Arial" w:cs="Arial"/>
          <w:sz w:val="16"/>
          <w:szCs w:val="16"/>
        </w:rPr>
        <w:t>Fuente: INEGI.</w:t>
      </w:r>
      <w:r w:rsidR="00E04377" w:rsidRPr="00E04377">
        <w:rPr>
          <w:noProof/>
        </w:rPr>
        <w:t xml:space="preserve"> </w:t>
      </w:r>
    </w:p>
    <w:p w14:paraId="109F9184" w14:textId="674D656F" w:rsidR="00C45226" w:rsidRPr="00C45226" w:rsidRDefault="00C45226" w:rsidP="00480DD6">
      <w:pPr>
        <w:pStyle w:val="Textoindependiente"/>
        <w:rPr>
          <w:rFonts w:ascii="Arial" w:hAnsi="Arial" w:cs="Arial"/>
          <w:sz w:val="16"/>
          <w:szCs w:val="16"/>
          <w:lang w:val="es-MX"/>
        </w:rPr>
      </w:pPr>
      <w:r>
        <w:rPr>
          <w:rFonts w:ascii="Arial" w:hAnsi="Arial" w:cs="Arial"/>
          <w:sz w:val="16"/>
          <w:szCs w:val="16"/>
          <w:lang w:val="es-MX"/>
        </w:rPr>
        <w:t>*</w:t>
      </w:r>
      <w:r w:rsidRPr="00C45226">
        <w:rPr>
          <w:rFonts w:ascii="Arial" w:hAnsi="Arial" w:cs="Arial"/>
          <w:sz w:val="16"/>
          <w:szCs w:val="16"/>
          <w:lang w:val="es-MX"/>
        </w:rPr>
        <w:t>Comprende servicios profesionales, educativos, de salud, de alojamiento temporal, otros servicios y actividades gubernamentales</w:t>
      </w:r>
    </w:p>
    <w:p w14:paraId="74D290E8" w14:textId="7AAB406C" w:rsidR="00156A9B" w:rsidRDefault="001B00DB" w:rsidP="00890E75">
      <w:pPr>
        <w:spacing w:before="360"/>
        <w:jc w:val="both"/>
        <w:rPr>
          <w:rFonts w:ascii="Arial" w:hAnsi="Arial" w:cs="Arial"/>
        </w:rPr>
      </w:pPr>
      <w:r>
        <w:rPr>
          <w:rFonts w:ascii="Arial" w:hAnsi="Arial" w:cs="Arial"/>
        </w:rPr>
        <w:t>Por otro lado</w:t>
      </w:r>
      <w:r w:rsidR="00EC50F3">
        <w:rPr>
          <w:rFonts w:ascii="Arial" w:hAnsi="Arial" w:cs="Arial"/>
        </w:rPr>
        <w:t>,</w:t>
      </w:r>
      <w:r w:rsidR="00AF2E50" w:rsidRPr="00AF2E50">
        <w:rPr>
          <w:rFonts w:ascii="Arial" w:hAnsi="Arial" w:cs="Arial"/>
        </w:rPr>
        <w:t xml:space="preserve"> </w:t>
      </w:r>
      <w:r w:rsidR="00FF1783">
        <w:rPr>
          <w:rFonts w:ascii="Arial" w:hAnsi="Arial" w:cs="Arial"/>
        </w:rPr>
        <w:t>haciendo uso de una clasificación más específica del sector de la vivienda (funcional</w:t>
      </w:r>
      <w:r w:rsidR="00FF1783">
        <w:rPr>
          <w:rStyle w:val="Refdenotaalpie"/>
          <w:rFonts w:ascii="Arial" w:hAnsi="Arial" w:cs="Arial"/>
        </w:rPr>
        <w:footnoteReference w:id="8"/>
      </w:r>
      <w:r w:rsidR="00FF1783">
        <w:rPr>
          <w:rFonts w:ascii="Arial" w:hAnsi="Arial" w:cs="Arial"/>
        </w:rPr>
        <w:t>)</w:t>
      </w:r>
      <w:r w:rsidR="00890E75">
        <w:rPr>
          <w:rFonts w:ascii="Arial" w:hAnsi="Arial" w:cs="Arial"/>
        </w:rPr>
        <w:t>,</w:t>
      </w:r>
      <w:r w:rsidR="00FF1783">
        <w:rPr>
          <w:rFonts w:ascii="Arial" w:hAnsi="Arial" w:cs="Arial"/>
        </w:rPr>
        <w:t xml:space="preserve"> es posible observar los ámbitos</w:t>
      </w:r>
      <w:r w:rsidR="00890E75">
        <w:rPr>
          <w:rFonts w:ascii="Arial" w:hAnsi="Arial" w:cs="Arial"/>
        </w:rPr>
        <w:t xml:space="preserve"> generales donde se </w:t>
      </w:r>
      <w:r w:rsidR="00441D68">
        <w:rPr>
          <w:rFonts w:ascii="Arial" w:hAnsi="Arial" w:cs="Arial"/>
        </w:rPr>
        <w:t>generó</w:t>
      </w:r>
      <w:r w:rsidR="00890E75">
        <w:rPr>
          <w:rFonts w:ascii="Arial" w:hAnsi="Arial" w:cs="Arial"/>
        </w:rPr>
        <w:t xml:space="preserve"> el PIB de la vivienda, como </w:t>
      </w:r>
      <w:r w:rsidR="0003200F" w:rsidRPr="00E04377">
        <w:rPr>
          <w:rFonts w:ascii="Arial" w:hAnsi="Arial" w:cs="Arial"/>
        </w:rPr>
        <w:t xml:space="preserve">la </w:t>
      </w:r>
      <w:r w:rsidR="00D62A61" w:rsidRPr="00E04377">
        <w:rPr>
          <w:rFonts w:ascii="Arial" w:hAnsi="Arial" w:cs="Arial"/>
        </w:rPr>
        <w:t>edificación</w:t>
      </w:r>
      <w:r w:rsidR="00890E75">
        <w:rPr>
          <w:rFonts w:ascii="Arial" w:hAnsi="Arial" w:cs="Arial"/>
        </w:rPr>
        <w:t>,</w:t>
      </w:r>
      <w:r w:rsidR="0003200F" w:rsidRPr="00E04377">
        <w:rPr>
          <w:rFonts w:ascii="Arial" w:hAnsi="Arial" w:cs="Arial"/>
        </w:rPr>
        <w:t xml:space="preserve"> </w:t>
      </w:r>
      <w:r w:rsidR="00890E75">
        <w:rPr>
          <w:rFonts w:ascii="Arial" w:hAnsi="Arial" w:cs="Arial"/>
        </w:rPr>
        <w:t xml:space="preserve">que </w:t>
      </w:r>
      <w:r w:rsidR="0003200F" w:rsidRPr="00E04377">
        <w:rPr>
          <w:rFonts w:ascii="Arial" w:hAnsi="Arial" w:cs="Arial"/>
        </w:rPr>
        <w:t>particip</w:t>
      </w:r>
      <w:r w:rsidR="00025CDD">
        <w:rPr>
          <w:rFonts w:ascii="Arial" w:hAnsi="Arial" w:cs="Arial"/>
        </w:rPr>
        <w:t>ó</w:t>
      </w:r>
      <w:r w:rsidR="0003200F" w:rsidRPr="00E04377">
        <w:rPr>
          <w:rFonts w:ascii="Arial" w:hAnsi="Arial" w:cs="Arial"/>
        </w:rPr>
        <w:t xml:space="preserve"> con 6</w:t>
      </w:r>
      <w:r w:rsidR="00E04377" w:rsidRPr="00E04377">
        <w:rPr>
          <w:rFonts w:ascii="Arial" w:hAnsi="Arial" w:cs="Arial"/>
        </w:rPr>
        <w:t>4</w:t>
      </w:r>
      <w:r w:rsidR="0003200F" w:rsidRPr="00E04377">
        <w:rPr>
          <w:rFonts w:ascii="Arial" w:hAnsi="Arial" w:cs="Arial"/>
        </w:rPr>
        <w:t>.</w:t>
      </w:r>
      <w:r w:rsidR="00E04377" w:rsidRPr="00E04377">
        <w:rPr>
          <w:rFonts w:ascii="Arial" w:hAnsi="Arial" w:cs="Arial"/>
        </w:rPr>
        <w:t>6</w:t>
      </w:r>
      <w:r w:rsidR="0003200F" w:rsidRPr="00E04377">
        <w:rPr>
          <w:rFonts w:ascii="Arial" w:hAnsi="Arial" w:cs="Arial"/>
        </w:rPr>
        <w:t>%</w:t>
      </w:r>
      <w:r w:rsidR="006F127E">
        <w:rPr>
          <w:rFonts w:ascii="Arial" w:hAnsi="Arial" w:cs="Arial"/>
        </w:rPr>
        <w:t>;</w:t>
      </w:r>
      <w:r w:rsidR="00890E75">
        <w:rPr>
          <w:rFonts w:ascii="Arial" w:hAnsi="Arial" w:cs="Arial"/>
        </w:rPr>
        <w:t xml:space="preserve"> </w:t>
      </w:r>
      <w:r w:rsidR="0003200F" w:rsidRPr="00E04377">
        <w:rPr>
          <w:rFonts w:ascii="Arial" w:hAnsi="Arial" w:cs="Arial"/>
        </w:rPr>
        <w:t xml:space="preserve">el uso de la vivienda </w:t>
      </w:r>
      <w:r w:rsidR="00890E75">
        <w:rPr>
          <w:rFonts w:ascii="Arial" w:hAnsi="Arial" w:cs="Arial"/>
        </w:rPr>
        <w:t>que</w:t>
      </w:r>
      <w:r w:rsidR="0003200F" w:rsidRPr="00E04377">
        <w:rPr>
          <w:rFonts w:ascii="Arial" w:hAnsi="Arial" w:cs="Arial"/>
        </w:rPr>
        <w:t xml:space="preserve"> </w:t>
      </w:r>
      <w:r w:rsidR="00441D68">
        <w:rPr>
          <w:rFonts w:ascii="Arial" w:hAnsi="Arial" w:cs="Arial"/>
        </w:rPr>
        <w:t>produjo</w:t>
      </w:r>
      <w:r w:rsidR="0003200F" w:rsidRPr="00E04377">
        <w:rPr>
          <w:rFonts w:ascii="Arial" w:hAnsi="Arial" w:cs="Arial"/>
        </w:rPr>
        <w:t xml:space="preserve"> 2</w:t>
      </w:r>
      <w:r w:rsidR="00E04377" w:rsidRPr="00E04377">
        <w:rPr>
          <w:rFonts w:ascii="Arial" w:hAnsi="Arial" w:cs="Arial"/>
        </w:rPr>
        <w:t>8</w:t>
      </w:r>
      <w:r w:rsidR="0003200F" w:rsidRPr="00E04377">
        <w:rPr>
          <w:rFonts w:ascii="Arial" w:hAnsi="Arial" w:cs="Arial"/>
        </w:rPr>
        <w:t>.</w:t>
      </w:r>
      <w:r w:rsidR="00E04377" w:rsidRPr="00E04377">
        <w:rPr>
          <w:rFonts w:ascii="Arial" w:hAnsi="Arial" w:cs="Arial"/>
        </w:rPr>
        <w:t>6</w:t>
      </w:r>
      <w:r w:rsidR="0003200F" w:rsidRPr="00E04377">
        <w:rPr>
          <w:rFonts w:ascii="Arial" w:hAnsi="Arial" w:cs="Arial"/>
        </w:rPr>
        <w:t>%</w:t>
      </w:r>
      <w:r w:rsidR="00890E75">
        <w:rPr>
          <w:rFonts w:ascii="Arial" w:hAnsi="Arial" w:cs="Arial"/>
        </w:rPr>
        <w:t>;</w:t>
      </w:r>
      <w:r w:rsidR="00384CB7">
        <w:rPr>
          <w:rFonts w:ascii="Arial" w:hAnsi="Arial" w:cs="Arial"/>
        </w:rPr>
        <w:t xml:space="preserve"> l</w:t>
      </w:r>
      <w:r w:rsidR="0003200F" w:rsidRPr="0003200F">
        <w:rPr>
          <w:rFonts w:ascii="Arial" w:hAnsi="Arial" w:cs="Arial"/>
        </w:rPr>
        <w:t>a adquisición</w:t>
      </w:r>
      <w:r w:rsidR="006F127E">
        <w:rPr>
          <w:rFonts w:ascii="Arial" w:hAnsi="Arial" w:cs="Arial"/>
        </w:rPr>
        <w:t>,</w:t>
      </w:r>
      <w:r w:rsidR="0003200F" w:rsidRPr="0003200F">
        <w:rPr>
          <w:rFonts w:ascii="Arial" w:hAnsi="Arial" w:cs="Arial"/>
        </w:rPr>
        <w:t xml:space="preserve"> </w:t>
      </w:r>
      <w:r w:rsidR="006F127E">
        <w:rPr>
          <w:rFonts w:ascii="Arial" w:hAnsi="Arial" w:cs="Arial"/>
        </w:rPr>
        <w:t xml:space="preserve">que </w:t>
      </w:r>
      <w:r w:rsidR="0003200F" w:rsidRPr="0003200F">
        <w:rPr>
          <w:rFonts w:ascii="Arial" w:hAnsi="Arial" w:cs="Arial"/>
        </w:rPr>
        <w:t xml:space="preserve">aportó </w:t>
      </w:r>
      <w:r w:rsidR="00E04377">
        <w:rPr>
          <w:rFonts w:ascii="Arial" w:hAnsi="Arial" w:cs="Arial"/>
        </w:rPr>
        <w:t>6</w:t>
      </w:r>
      <w:r w:rsidR="0003200F" w:rsidRPr="0003200F">
        <w:rPr>
          <w:rFonts w:ascii="Arial" w:hAnsi="Arial" w:cs="Arial"/>
        </w:rPr>
        <w:t>.5% del producto de este sector</w:t>
      </w:r>
      <w:r w:rsidR="006F127E">
        <w:rPr>
          <w:rFonts w:ascii="Arial" w:hAnsi="Arial" w:cs="Arial"/>
        </w:rPr>
        <w:t>;</w:t>
      </w:r>
      <w:r w:rsidR="00890E75">
        <w:rPr>
          <w:rFonts w:ascii="Arial" w:hAnsi="Arial" w:cs="Arial"/>
        </w:rPr>
        <w:t xml:space="preserve"> y, </w:t>
      </w:r>
      <w:r w:rsidR="002B56DC">
        <w:rPr>
          <w:rFonts w:ascii="Arial" w:hAnsi="Arial" w:cs="Arial"/>
        </w:rPr>
        <w:t>p</w:t>
      </w:r>
      <w:r w:rsidR="0003200F" w:rsidRPr="0003200F">
        <w:rPr>
          <w:rFonts w:ascii="Arial" w:hAnsi="Arial" w:cs="Arial"/>
        </w:rPr>
        <w:t xml:space="preserve">or último, las actividades de regulación y fomento </w:t>
      </w:r>
      <w:r w:rsidR="006F127E">
        <w:rPr>
          <w:rFonts w:ascii="Arial" w:hAnsi="Arial" w:cs="Arial"/>
        </w:rPr>
        <w:t xml:space="preserve">que </w:t>
      </w:r>
      <w:r w:rsidR="00267383">
        <w:rPr>
          <w:rFonts w:ascii="Arial" w:hAnsi="Arial" w:cs="Arial"/>
        </w:rPr>
        <w:t>aportaron</w:t>
      </w:r>
      <w:r w:rsidR="00B3688A">
        <w:rPr>
          <w:rFonts w:ascii="Arial" w:hAnsi="Arial" w:cs="Arial"/>
        </w:rPr>
        <w:t xml:space="preserve"> el</w:t>
      </w:r>
      <w:r w:rsidR="0003200F" w:rsidRPr="0003200F">
        <w:rPr>
          <w:rFonts w:ascii="Arial" w:hAnsi="Arial" w:cs="Arial"/>
        </w:rPr>
        <w:t xml:space="preserve"> 0.3% restante</w:t>
      </w:r>
      <w:r w:rsidR="00890E75">
        <w:rPr>
          <w:rFonts w:ascii="Arial" w:hAnsi="Arial" w:cs="Arial"/>
        </w:rPr>
        <w:t>.</w:t>
      </w:r>
    </w:p>
    <w:p w14:paraId="4F14CF9F" w14:textId="4E3C34C4" w:rsidR="001A4D77" w:rsidRDefault="001A4D77" w:rsidP="00267383">
      <w:pPr>
        <w:spacing w:before="360"/>
        <w:jc w:val="both"/>
        <w:rPr>
          <w:rFonts w:ascii="Arial" w:hAnsi="Arial" w:cs="Arial"/>
        </w:rPr>
      </w:pPr>
    </w:p>
    <w:p w14:paraId="76C13145" w14:textId="6C8C1DBF" w:rsidR="006F127E" w:rsidRDefault="006F127E" w:rsidP="00267383">
      <w:pPr>
        <w:spacing w:before="360"/>
        <w:jc w:val="both"/>
        <w:rPr>
          <w:rFonts w:ascii="Arial" w:hAnsi="Arial" w:cs="Arial"/>
        </w:rPr>
      </w:pPr>
    </w:p>
    <w:p w14:paraId="565E27FD" w14:textId="77777777" w:rsidR="006F127E" w:rsidRDefault="006F127E" w:rsidP="00267383">
      <w:pPr>
        <w:spacing w:before="360"/>
        <w:jc w:val="both"/>
        <w:rPr>
          <w:rFonts w:ascii="Arial" w:hAnsi="Arial" w:cs="Arial"/>
        </w:rPr>
      </w:pPr>
    </w:p>
    <w:p w14:paraId="49DB7C77" w14:textId="10E7A1C5" w:rsidR="001A4D77" w:rsidRDefault="001A4D77" w:rsidP="00267383">
      <w:pPr>
        <w:spacing w:before="360"/>
        <w:jc w:val="both"/>
        <w:rPr>
          <w:rFonts w:ascii="Arial" w:hAnsi="Arial" w:cs="Arial"/>
        </w:rPr>
      </w:pPr>
    </w:p>
    <w:p w14:paraId="2135C122" w14:textId="263F0288" w:rsidR="00F34F83" w:rsidRDefault="00F34F83" w:rsidP="00267383">
      <w:pPr>
        <w:spacing w:before="360"/>
        <w:jc w:val="both"/>
        <w:rPr>
          <w:rFonts w:ascii="Arial" w:hAnsi="Arial" w:cs="Arial"/>
        </w:rPr>
      </w:pPr>
    </w:p>
    <w:p w14:paraId="5A50D254" w14:textId="77777777" w:rsidR="00F34F83" w:rsidRDefault="00F34F83" w:rsidP="00267383">
      <w:pPr>
        <w:spacing w:before="360"/>
        <w:jc w:val="both"/>
        <w:rPr>
          <w:rFonts w:ascii="Arial" w:hAnsi="Arial" w:cs="Arial"/>
        </w:rPr>
      </w:pPr>
    </w:p>
    <w:p w14:paraId="20A3A2AC" w14:textId="3E20365E" w:rsidR="00463C39" w:rsidRDefault="00C62773" w:rsidP="00C62773">
      <w:pPr>
        <w:spacing w:before="360"/>
        <w:jc w:val="center"/>
        <w:rPr>
          <w:rFonts w:ascii="Arial" w:hAnsi="Arial" w:cs="Arial"/>
        </w:rPr>
      </w:pPr>
      <w:r w:rsidRPr="00ED417B">
        <w:rPr>
          <w:rFonts w:ascii="Arial" w:hAnsi="Arial" w:cs="Arial"/>
        </w:rPr>
        <w:lastRenderedPageBreak/>
        <w:t xml:space="preserve">Gráfica </w:t>
      </w:r>
      <w:r>
        <w:rPr>
          <w:rFonts w:ascii="Arial" w:hAnsi="Arial" w:cs="Arial"/>
        </w:rPr>
        <w:t>2</w:t>
      </w:r>
    </w:p>
    <w:p w14:paraId="100A558D" w14:textId="6FA387CF" w:rsidR="0080258B" w:rsidRPr="0080258B" w:rsidRDefault="0080258B" w:rsidP="0080258B">
      <w:pPr>
        <w:pStyle w:val="Textoindependiente"/>
        <w:jc w:val="center"/>
        <w:rPr>
          <w:rFonts w:ascii="Arial" w:hAnsi="Arial" w:cs="Arial"/>
          <w:b/>
          <w:iCs/>
          <w:smallCaps/>
          <w:sz w:val="22"/>
          <w:szCs w:val="22"/>
          <w:lang w:val="es-MX"/>
        </w:rPr>
      </w:pPr>
      <w:r w:rsidRPr="0080258B">
        <w:rPr>
          <w:rFonts w:ascii="Arial" w:hAnsi="Arial" w:cs="Arial"/>
          <w:b/>
          <w:iCs/>
          <w:smallCaps/>
          <w:sz w:val="22"/>
          <w:szCs w:val="22"/>
          <w:lang w:val="es-MX"/>
        </w:rPr>
        <w:t xml:space="preserve">Distribución del PIB </w:t>
      </w:r>
      <w:r w:rsidR="00CE601B">
        <w:rPr>
          <w:rFonts w:ascii="Arial" w:hAnsi="Arial" w:cs="Arial"/>
          <w:b/>
          <w:iCs/>
          <w:smallCaps/>
          <w:sz w:val="22"/>
          <w:szCs w:val="22"/>
          <w:lang w:val="es-MX"/>
        </w:rPr>
        <w:t xml:space="preserve">de la vivienda </w:t>
      </w:r>
      <w:r w:rsidRPr="0080258B">
        <w:rPr>
          <w:rFonts w:ascii="Arial" w:hAnsi="Arial" w:cs="Arial"/>
          <w:b/>
          <w:iCs/>
          <w:smallCaps/>
          <w:sz w:val="22"/>
          <w:szCs w:val="22"/>
          <w:lang w:val="es-MX"/>
        </w:rPr>
        <w:t xml:space="preserve">por </w:t>
      </w:r>
      <w:r w:rsidR="00354429">
        <w:rPr>
          <w:rFonts w:ascii="Arial" w:hAnsi="Arial" w:cs="Arial"/>
          <w:b/>
          <w:iCs/>
          <w:smallCaps/>
          <w:sz w:val="22"/>
          <w:szCs w:val="22"/>
          <w:lang w:val="es-MX"/>
        </w:rPr>
        <w:t xml:space="preserve">ámbito y </w:t>
      </w:r>
      <w:r w:rsidRPr="0080258B">
        <w:rPr>
          <w:rFonts w:ascii="Arial" w:hAnsi="Arial" w:cs="Arial"/>
          <w:b/>
          <w:iCs/>
          <w:smallCaps/>
          <w:sz w:val="22"/>
          <w:szCs w:val="22"/>
          <w:lang w:val="es-MX"/>
        </w:rPr>
        <w:t>clasificación funcional, 2020</w:t>
      </w:r>
    </w:p>
    <w:p w14:paraId="70DDDAC4" w14:textId="538804D1" w:rsidR="0080258B" w:rsidRPr="0080258B" w:rsidRDefault="0080258B" w:rsidP="0080258B">
      <w:pPr>
        <w:pStyle w:val="Textoindependiente"/>
        <w:jc w:val="center"/>
        <w:rPr>
          <w:rFonts w:ascii="Arial" w:hAnsi="Arial" w:cs="Arial"/>
          <w:sz w:val="18"/>
          <w:szCs w:val="18"/>
        </w:rPr>
      </w:pPr>
      <w:r w:rsidRPr="0080258B">
        <w:rPr>
          <w:rFonts w:ascii="Arial" w:hAnsi="Arial" w:cs="Arial"/>
          <w:sz w:val="18"/>
          <w:szCs w:val="18"/>
        </w:rPr>
        <w:t>(</w:t>
      </w:r>
      <w:r>
        <w:rPr>
          <w:rFonts w:ascii="Arial" w:hAnsi="Arial" w:cs="Arial"/>
          <w:sz w:val="18"/>
          <w:szCs w:val="18"/>
          <w:lang w:val="es-MX"/>
        </w:rPr>
        <w:t>Estructura</w:t>
      </w:r>
      <w:r w:rsidRPr="0080258B">
        <w:rPr>
          <w:rFonts w:ascii="Arial" w:hAnsi="Arial" w:cs="Arial"/>
          <w:sz w:val="18"/>
          <w:szCs w:val="18"/>
          <w:lang w:val="es-MX"/>
        </w:rPr>
        <w:t xml:space="preserve"> porcentual</w:t>
      </w:r>
      <w:r w:rsidRPr="0080258B">
        <w:rPr>
          <w:rFonts w:ascii="Arial" w:hAnsi="Arial" w:cs="Arial"/>
          <w:sz w:val="18"/>
          <w:szCs w:val="18"/>
        </w:rPr>
        <w:t>)</w:t>
      </w:r>
      <w:r w:rsidR="00514B7D" w:rsidRPr="00514B7D">
        <w:rPr>
          <w:rFonts w:ascii="Arial" w:hAnsi="Arial" w:cs="Arial"/>
          <w:sz w:val="18"/>
          <w:szCs w:val="18"/>
        </w:rPr>
        <w:t xml:space="preserve"> </w:t>
      </w:r>
      <w:r w:rsidRPr="0080258B">
        <w:rPr>
          <w:noProof/>
        </w:rPr>
        <w:t xml:space="preserve"> </w:t>
      </w:r>
    </w:p>
    <w:p w14:paraId="03FB2387" w14:textId="531AB841" w:rsidR="001F3FB9" w:rsidRDefault="00E525D9" w:rsidP="00F85C45">
      <w:pPr>
        <w:pStyle w:val="Textoindependiente"/>
        <w:ind w:left="142"/>
        <w:jc w:val="center"/>
        <w:rPr>
          <w:rFonts w:ascii="Arial" w:hAnsi="Arial" w:cs="Arial"/>
          <w:sz w:val="16"/>
          <w:szCs w:val="16"/>
        </w:rPr>
      </w:pPr>
      <w:r>
        <w:rPr>
          <w:noProof/>
        </w:rPr>
        <w:drawing>
          <wp:inline distT="0" distB="0" distL="0" distR="0" wp14:anchorId="431B87A7" wp14:editId="3923A78F">
            <wp:extent cx="4565650" cy="3514477"/>
            <wp:effectExtent l="0" t="0" r="6350" b="10160"/>
            <wp:docPr id="1" name="Gráfico 1">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EFE4C40" w14:textId="77777777" w:rsidR="003C0545" w:rsidRDefault="00756447" w:rsidP="00D36F07">
      <w:pPr>
        <w:pStyle w:val="Textoindependiente"/>
        <w:rPr>
          <w:rFonts w:ascii="Arial" w:hAnsi="Arial" w:cs="Arial"/>
          <w:sz w:val="16"/>
          <w:szCs w:val="16"/>
          <w:lang w:val="es-MX"/>
        </w:rPr>
      </w:pPr>
      <w:r>
        <w:rPr>
          <w:rFonts w:ascii="Arial" w:hAnsi="Arial" w:cs="Arial"/>
          <w:sz w:val="16"/>
          <w:szCs w:val="16"/>
          <w:lang w:val="es-MX"/>
        </w:rPr>
        <w:t xml:space="preserve">                                               </w:t>
      </w:r>
    </w:p>
    <w:p w14:paraId="0A1E8B57" w14:textId="345415C4" w:rsidR="0080258B" w:rsidRDefault="0080258B" w:rsidP="00D36F07">
      <w:pPr>
        <w:pStyle w:val="Textoindependiente"/>
        <w:rPr>
          <w:rFonts w:ascii="Arial" w:hAnsi="Arial" w:cs="Arial"/>
          <w:sz w:val="16"/>
          <w:szCs w:val="16"/>
        </w:rPr>
      </w:pPr>
      <w:r w:rsidRPr="0080258B">
        <w:rPr>
          <w:rFonts w:ascii="Arial" w:hAnsi="Arial" w:cs="Arial"/>
          <w:sz w:val="16"/>
          <w:szCs w:val="16"/>
        </w:rPr>
        <w:t>Fuente: INEGI.</w:t>
      </w:r>
    </w:p>
    <w:p w14:paraId="3FB73083" w14:textId="765377B4" w:rsidR="00407568" w:rsidRPr="00407568" w:rsidRDefault="00407568" w:rsidP="00D36F07">
      <w:pPr>
        <w:pStyle w:val="Textoindependiente"/>
        <w:rPr>
          <w:rFonts w:ascii="Arial" w:hAnsi="Arial" w:cs="Arial"/>
          <w:sz w:val="16"/>
          <w:szCs w:val="16"/>
          <w:lang w:val="es-MX"/>
        </w:rPr>
      </w:pPr>
      <w:r>
        <w:rPr>
          <w:rFonts w:ascii="Arial" w:hAnsi="Arial" w:cs="Arial"/>
          <w:sz w:val="16"/>
          <w:szCs w:val="16"/>
          <w:lang w:val="es-MX"/>
        </w:rPr>
        <w:t xml:space="preserve">NS: </w:t>
      </w:r>
      <w:r w:rsidR="00267383">
        <w:rPr>
          <w:rFonts w:ascii="Arial" w:hAnsi="Arial" w:cs="Arial"/>
          <w:sz w:val="16"/>
          <w:szCs w:val="16"/>
          <w:lang w:val="es-MX"/>
        </w:rPr>
        <w:t>Cifra no significativa.</w:t>
      </w:r>
    </w:p>
    <w:p w14:paraId="32A9A919" w14:textId="77DB5A9B" w:rsidR="00684A97" w:rsidRDefault="00066F1F" w:rsidP="00AF2E50">
      <w:pPr>
        <w:spacing w:before="360"/>
        <w:jc w:val="both"/>
        <w:rPr>
          <w:rFonts w:ascii="Arial" w:hAnsi="Arial" w:cs="Arial"/>
        </w:rPr>
      </w:pPr>
      <w:r w:rsidRPr="00066F1F">
        <w:rPr>
          <w:rFonts w:ascii="Arial" w:hAnsi="Arial" w:cs="Arial"/>
        </w:rPr>
        <w:t>Para este mismo año, medido a precios de 2013</w:t>
      </w:r>
      <w:r>
        <w:rPr>
          <w:rFonts w:ascii="Arial" w:hAnsi="Arial" w:cs="Arial"/>
        </w:rPr>
        <w:t xml:space="preserve">, </w:t>
      </w:r>
      <w:r w:rsidR="007716F9" w:rsidRPr="007716F9">
        <w:rPr>
          <w:rFonts w:ascii="Arial" w:hAnsi="Arial" w:cs="Arial"/>
        </w:rPr>
        <w:t xml:space="preserve">el </w:t>
      </w:r>
      <w:r>
        <w:rPr>
          <w:rFonts w:ascii="Arial" w:hAnsi="Arial" w:cs="Arial"/>
        </w:rPr>
        <w:t xml:space="preserve">PIB del </w:t>
      </w:r>
      <w:r w:rsidR="007716F9" w:rsidRPr="007716F9">
        <w:rPr>
          <w:rFonts w:ascii="Arial" w:hAnsi="Arial" w:cs="Arial"/>
        </w:rPr>
        <w:t xml:space="preserve">sector de la </w:t>
      </w:r>
      <w:r w:rsidR="00B124FB">
        <w:rPr>
          <w:rFonts w:ascii="Arial" w:hAnsi="Arial" w:cs="Arial"/>
        </w:rPr>
        <w:t>vivienda</w:t>
      </w:r>
      <w:r w:rsidR="007716F9" w:rsidRPr="007716F9">
        <w:rPr>
          <w:rFonts w:ascii="Arial" w:hAnsi="Arial" w:cs="Arial"/>
        </w:rPr>
        <w:t xml:space="preserve"> presenta una caída de 9.</w:t>
      </w:r>
      <w:r w:rsidR="006C27E3">
        <w:rPr>
          <w:rFonts w:ascii="Arial" w:hAnsi="Arial" w:cs="Arial"/>
        </w:rPr>
        <w:t>1</w:t>
      </w:r>
      <w:r w:rsidR="007716F9" w:rsidRPr="007716F9">
        <w:rPr>
          <w:rFonts w:ascii="Arial" w:hAnsi="Arial" w:cs="Arial"/>
        </w:rPr>
        <w:t xml:space="preserve">%, mientras que el total de la economía disminuye </w:t>
      </w:r>
      <w:r w:rsidR="00C65625">
        <w:rPr>
          <w:rFonts w:ascii="Arial" w:hAnsi="Arial" w:cs="Arial"/>
        </w:rPr>
        <w:t xml:space="preserve">en </w:t>
      </w:r>
      <w:r w:rsidR="007716F9" w:rsidRPr="007716F9">
        <w:rPr>
          <w:rFonts w:ascii="Arial" w:hAnsi="Arial" w:cs="Arial"/>
        </w:rPr>
        <w:t>7.9</w:t>
      </w:r>
      <w:r>
        <w:rPr>
          <w:rFonts w:ascii="Arial" w:hAnsi="Arial" w:cs="Arial"/>
        </w:rPr>
        <w:t>%,</w:t>
      </w:r>
      <w:r w:rsidR="00415233">
        <w:rPr>
          <w:rFonts w:ascii="Arial" w:hAnsi="Arial" w:cs="Arial"/>
        </w:rPr>
        <w:t xml:space="preserve"> en el mismo año</w:t>
      </w:r>
      <w:r w:rsidR="007716F9" w:rsidRPr="007716F9">
        <w:rPr>
          <w:rFonts w:ascii="Arial" w:hAnsi="Arial" w:cs="Arial"/>
        </w:rPr>
        <w:t xml:space="preserve">. A lo largo del periodo </w:t>
      </w:r>
      <w:r w:rsidR="004277E7">
        <w:rPr>
          <w:rFonts w:ascii="Arial" w:hAnsi="Arial" w:cs="Arial"/>
        </w:rPr>
        <w:t xml:space="preserve">que va </w:t>
      </w:r>
      <w:r w:rsidR="007716F9" w:rsidRPr="007716F9">
        <w:rPr>
          <w:rFonts w:ascii="Arial" w:hAnsi="Arial" w:cs="Arial"/>
        </w:rPr>
        <w:t>de 2008 a 2020</w:t>
      </w:r>
      <w:r w:rsidR="008036A1">
        <w:rPr>
          <w:rFonts w:ascii="Arial" w:hAnsi="Arial" w:cs="Arial"/>
        </w:rPr>
        <w:t>,</w:t>
      </w:r>
      <w:r w:rsidR="007716F9" w:rsidRPr="007716F9">
        <w:rPr>
          <w:rFonts w:ascii="Arial" w:hAnsi="Arial" w:cs="Arial"/>
        </w:rPr>
        <w:t xml:space="preserve"> el sector de la </w:t>
      </w:r>
      <w:r w:rsidR="00CD27F3">
        <w:rPr>
          <w:rFonts w:ascii="Arial" w:hAnsi="Arial" w:cs="Arial"/>
        </w:rPr>
        <w:t>vivienda</w:t>
      </w:r>
      <w:r w:rsidR="007716F9" w:rsidRPr="007716F9">
        <w:rPr>
          <w:rFonts w:ascii="Arial" w:hAnsi="Arial" w:cs="Arial"/>
        </w:rPr>
        <w:t xml:space="preserve"> mostró un crecimiento promedio </w:t>
      </w:r>
      <w:r w:rsidR="007716F9" w:rsidRPr="0075509E">
        <w:rPr>
          <w:rFonts w:ascii="Arial" w:hAnsi="Arial" w:cs="Arial"/>
        </w:rPr>
        <w:t xml:space="preserve">anual de </w:t>
      </w:r>
      <w:r w:rsidR="006C27E3" w:rsidRPr="0075509E">
        <w:rPr>
          <w:rFonts w:ascii="Arial" w:hAnsi="Arial" w:cs="Arial"/>
        </w:rPr>
        <w:t>0.</w:t>
      </w:r>
      <w:r w:rsidR="0075509E" w:rsidRPr="0075509E">
        <w:rPr>
          <w:rFonts w:ascii="Arial" w:hAnsi="Arial" w:cs="Arial"/>
        </w:rPr>
        <w:t>4</w:t>
      </w:r>
      <w:r w:rsidR="00F81DE6">
        <w:rPr>
          <w:rFonts w:ascii="Arial" w:hAnsi="Arial" w:cs="Arial"/>
        </w:rPr>
        <w:t xml:space="preserve"> </w:t>
      </w:r>
      <w:r w:rsidR="007716F9" w:rsidRPr="0075509E">
        <w:rPr>
          <w:rFonts w:ascii="Arial" w:hAnsi="Arial" w:cs="Arial"/>
        </w:rPr>
        <w:t>por ciento</w:t>
      </w:r>
      <w:r w:rsidR="00F81DE6">
        <w:rPr>
          <w:rStyle w:val="Refdenotaalpie"/>
          <w:rFonts w:ascii="Arial" w:hAnsi="Arial" w:cs="Arial"/>
        </w:rPr>
        <w:footnoteReference w:id="9"/>
      </w:r>
      <w:r w:rsidR="007716F9" w:rsidRPr="007716F9">
        <w:rPr>
          <w:rFonts w:ascii="Arial" w:hAnsi="Arial" w:cs="Arial"/>
        </w:rPr>
        <w:t>.</w:t>
      </w:r>
    </w:p>
    <w:p w14:paraId="446029B8" w14:textId="69A1BFD2" w:rsidR="00156A9B" w:rsidRDefault="00156A9B" w:rsidP="00684A97">
      <w:pPr>
        <w:pStyle w:val="Textoindependiente"/>
        <w:jc w:val="center"/>
        <w:rPr>
          <w:rFonts w:ascii="Arial" w:hAnsi="Arial" w:cs="Arial"/>
        </w:rPr>
      </w:pPr>
    </w:p>
    <w:p w14:paraId="7D48DD49" w14:textId="6F5E3F57" w:rsidR="00F34F83" w:rsidRDefault="00F34F83" w:rsidP="00684A97">
      <w:pPr>
        <w:pStyle w:val="Textoindependiente"/>
        <w:jc w:val="center"/>
        <w:rPr>
          <w:rFonts w:ascii="Arial" w:hAnsi="Arial" w:cs="Arial"/>
        </w:rPr>
      </w:pPr>
    </w:p>
    <w:p w14:paraId="0DB0D655" w14:textId="541B39BE" w:rsidR="00F34F83" w:rsidRDefault="00F34F83" w:rsidP="00684A97">
      <w:pPr>
        <w:pStyle w:val="Textoindependiente"/>
        <w:jc w:val="center"/>
        <w:rPr>
          <w:rFonts w:ascii="Arial" w:hAnsi="Arial" w:cs="Arial"/>
        </w:rPr>
      </w:pPr>
    </w:p>
    <w:p w14:paraId="33831713" w14:textId="471900B4" w:rsidR="00F34F83" w:rsidRDefault="00F34F83" w:rsidP="00684A97">
      <w:pPr>
        <w:pStyle w:val="Textoindependiente"/>
        <w:jc w:val="center"/>
        <w:rPr>
          <w:rFonts w:ascii="Arial" w:hAnsi="Arial" w:cs="Arial"/>
        </w:rPr>
      </w:pPr>
    </w:p>
    <w:p w14:paraId="253CDA33" w14:textId="2A8BA414" w:rsidR="00F34F83" w:rsidRDefault="00F34F83" w:rsidP="00684A97">
      <w:pPr>
        <w:pStyle w:val="Textoindependiente"/>
        <w:jc w:val="center"/>
        <w:rPr>
          <w:rFonts w:ascii="Arial" w:hAnsi="Arial" w:cs="Arial"/>
        </w:rPr>
      </w:pPr>
    </w:p>
    <w:p w14:paraId="4A226D08" w14:textId="25BD969D" w:rsidR="00F34F83" w:rsidRDefault="00F34F83" w:rsidP="00684A97">
      <w:pPr>
        <w:pStyle w:val="Textoindependiente"/>
        <w:jc w:val="center"/>
        <w:rPr>
          <w:rFonts w:ascii="Arial" w:hAnsi="Arial" w:cs="Arial"/>
        </w:rPr>
      </w:pPr>
    </w:p>
    <w:p w14:paraId="7547BC2E" w14:textId="5C0B24EC" w:rsidR="00F34F83" w:rsidRDefault="00F34F83" w:rsidP="00684A97">
      <w:pPr>
        <w:pStyle w:val="Textoindependiente"/>
        <w:jc w:val="center"/>
        <w:rPr>
          <w:rFonts w:ascii="Arial" w:hAnsi="Arial" w:cs="Arial"/>
        </w:rPr>
      </w:pPr>
    </w:p>
    <w:p w14:paraId="32946773" w14:textId="025167F8" w:rsidR="00F34F83" w:rsidRDefault="00F34F83" w:rsidP="00684A97">
      <w:pPr>
        <w:pStyle w:val="Textoindependiente"/>
        <w:jc w:val="center"/>
        <w:rPr>
          <w:rFonts w:ascii="Arial" w:hAnsi="Arial" w:cs="Arial"/>
        </w:rPr>
      </w:pPr>
    </w:p>
    <w:p w14:paraId="080E499F" w14:textId="272B18E8" w:rsidR="00F34F83" w:rsidRDefault="00F34F83" w:rsidP="00684A97">
      <w:pPr>
        <w:pStyle w:val="Textoindependiente"/>
        <w:jc w:val="center"/>
        <w:rPr>
          <w:rFonts w:ascii="Arial" w:hAnsi="Arial" w:cs="Arial"/>
        </w:rPr>
      </w:pPr>
    </w:p>
    <w:p w14:paraId="3B6732F8" w14:textId="011B359E" w:rsidR="00F34F83" w:rsidRDefault="00F34F83" w:rsidP="00684A97">
      <w:pPr>
        <w:pStyle w:val="Textoindependiente"/>
        <w:jc w:val="center"/>
        <w:rPr>
          <w:rFonts w:ascii="Arial" w:hAnsi="Arial" w:cs="Arial"/>
        </w:rPr>
      </w:pPr>
    </w:p>
    <w:p w14:paraId="0BE49E35" w14:textId="5C960662" w:rsidR="00F34F83" w:rsidRDefault="00F34F83" w:rsidP="00684A97">
      <w:pPr>
        <w:pStyle w:val="Textoindependiente"/>
        <w:jc w:val="center"/>
        <w:rPr>
          <w:rFonts w:ascii="Arial" w:hAnsi="Arial" w:cs="Arial"/>
        </w:rPr>
      </w:pPr>
    </w:p>
    <w:p w14:paraId="027FCC9D" w14:textId="7BD94726" w:rsidR="00F34F83" w:rsidRDefault="00F34F83" w:rsidP="00684A97">
      <w:pPr>
        <w:pStyle w:val="Textoindependiente"/>
        <w:jc w:val="center"/>
        <w:rPr>
          <w:rFonts w:ascii="Arial" w:hAnsi="Arial" w:cs="Arial"/>
        </w:rPr>
      </w:pPr>
    </w:p>
    <w:p w14:paraId="598B6BC6" w14:textId="54B27C25" w:rsidR="00F34F83" w:rsidRDefault="00F34F83" w:rsidP="00684A97">
      <w:pPr>
        <w:pStyle w:val="Textoindependiente"/>
        <w:jc w:val="center"/>
        <w:rPr>
          <w:rFonts w:ascii="Arial" w:hAnsi="Arial" w:cs="Arial"/>
        </w:rPr>
      </w:pPr>
    </w:p>
    <w:p w14:paraId="5E5182E3" w14:textId="78172A6F" w:rsidR="00F34F83" w:rsidRDefault="00F34F83" w:rsidP="00684A97">
      <w:pPr>
        <w:pStyle w:val="Textoindependiente"/>
        <w:jc w:val="center"/>
        <w:rPr>
          <w:rFonts w:ascii="Arial" w:hAnsi="Arial" w:cs="Arial"/>
        </w:rPr>
      </w:pPr>
    </w:p>
    <w:p w14:paraId="2BC3DAB6" w14:textId="77777777" w:rsidR="00F34F83" w:rsidRDefault="00F34F83" w:rsidP="00684A97">
      <w:pPr>
        <w:pStyle w:val="Textoindependiente"/>
        <w:jc w:val="center"/>
        <w:rPr>
          <w:rFonts w:ascii="Arial" w:hAnsi="Arial" w:cs="Arial"/>
        </w:rPr>
      </w:pPr>
    </w:p>
    <w:p w14:paraId="0771623D" w14:textId="45F45274" w:rsidR="00C62773" w:rsidRPr="00C62773" w:rsidRDefault="00C62773" w:rsidP="00684A97">
      <w:pPr>
        <w:pStyle w:val="Textoindependiente"/>
        <w:jc w:val="center"/>
        <w:rPr>
          <w:rFonts w:ascii="Arial" w:hAnsi="Arial" w:cs="Arial"/>
          <w:lang w:val="es-MX"/>
        </w:rPr>
      </w:pPr>
      <w:r w:rsidRPr="00ED417B">
        <w:rPr>
          <w:rFonts w:ascii="Arial" w:hAnsi="Arial" w:cs="Arial"/>
        </w:rPr>
        <w:lastRenderedPageBreak/>
        <w:t xml:space="preserve">Gráfica </w:t>
      </w:r>
      <w:r>
        <w:rPr>
          <w:rFonts w:ascii="Arial" w:hAnsi="Arial" w:cs="Arial"/>
          <w:lang w:val="es-MX"/>
        </w:rPr>
        <w:t>3</w:t>
      </w:r>
    </w:p>
    <w:p w14:paraId="370EBC03" w14:textId="60B50631" w:rsidR="00684A97" w:rsidRPr="0080258B" w:rsidRDefault="00684A97" w:rsidP="00684A97">
      <w:pPr>
        <w:pStyle w:val="Textoindependiente"/>
        <w:jc w:val="center"/>
        <w:rPr>
          <w:rFonts w:ascii="Arial" w:hAnsi="Arial" w:cs="Arial"/>
          <w:b/>
          <w:iCs/>
          <w:smallCaps/>
          <w:sz w:val="22"/>
          <w:szCs w:val="22"/>
          <w:lang w:val="es-MX"/>
        </w:rPr>
      </w:pPr>
      <w:r w:rsidRPr="00684A97">
        <w:rPr>
          <w:rFonts w:ascii="Arial" w:hAnsi="Arial" w:cs="Arial"/>
          <w:b/>
          <w:iCs/>
          <w:smallCaps/>
          <w:sz w:val="22"/>
          <w:szCs w:val="22"/>
          <w:lang w:val="es-MX"/>
        </w:rPr>
        <w:t xml:space="preserve">PIB </w:t>
      </w:r>
      <w:r w:rsidR="00415233">
        <w:rPr>
          <w:rFonts w:ascii="Arial" w:hAnsi="Arial" w:cs="Arial"/>
          <w:b/>
          <w:iCs/>
          <w:smallCaps/>
          <w:sz w:val="22"/>
          <w:szCs w:val="22"/>
          <w:lang w:val="es-MX"/>
        </w:rPr>
        <w:t xml:space="preserve">nacional y del </w:t>
      </w:r>
      <w:r w:rsidRPr="00684A97">
        <w:rPr>
          <w:rFonts w:ascii="Arial" w:hAnsi="Arial" w:cs="Arial"/>
          <w:b/>
          <w:iCs/>
          <w:smallCaps/>
          <w:sz w:val="22"/>
          <w:szCs w:val="22"/>
          <w:lang w:val="es-MX"/>
        </w:rPr>
        <w:t>sector de la</w:t>
      </w:r>
      <w:r w:rsidR="006C27E3">
        <w:rPr>
          <w:rFonts w:ascii="Arial" w:hAnsi="Arial" w:cs="Arial"/>
          <w:b/>
          <w:iCs/>
          <w:smallCaps/>
          <w:sz w:val="22"/>
          <w:szCs w:val="22"/>
          <w:lang w:val="es-MX"/>
        </w:rPr>
        <w:t xml:space="preserve"> vivienda</w:t>
      </w:r>
      <w:r w:rsidRPr="00684A97">
        <w:rPr>
          <w:rFonts w:ascii="Arial" w:hAnsi="Arial" w:cs="Arial"/>
          <w:b/>
          <w:iCs/>
          <w:smallCaps/>
          <w:sz w:val="22"/>
          <w:szCs w:val="22"/>
          <w:lang w:val="es-MX"/>
        </w:rPr>
        <w:t>, 2009 – 2020</w:t>
      </w:r>
    </w:p>
    <w:p w14:paraId="4EE068F4" w14:textId="0887E386" w:rsidR="003770BC" w:rsidRDefault="00684A97" w:rsidP="00D76629">
      <w:pPr>
        <w:pStyle w:val="Textoindependiente"/>
        <w:jc w:val="center"/>
        <w:rPr>
          <w:noProof/>
        </w:rPr>
      </w:pPr>
      <w:r w:rsidRPr="0080258B">
        <w:rPr>
          <w:rFonts w:ascii="Arial" w:hAnsi="Arial" w:cs="Arial"/>
          <w:sz w:val="18"/>
          <w:szCs w:val="18"/>
        </w:rPr>
        <w:t>(</w:t>
      </w:r>
      <w:r>
        <w:rPr>
          <w:rFonts w:ascii="Arial" w:hAnsi="Arial" w:cs="Arial"/>
          <w:sz w:val="18"/>
          <w:szCs w:val="18"/>
          <w:lang w:val="es-MX"/>
        </w:rPr>
        <w:t>Variación</w:t>
      </w:r>
      <w:r w:rsidRPr="0080258B">
        <w:rPr>
          <w:rFonts w:ascii="Arial" w:hAnsi="Arial" w:cs="Arial"/>
          <w:sz w:val="18"/>
          <w:szCs w:val="18"/>
          <w:lang w:val="es-MX"/>
        </w:rPr>
        <w:t xml:space="preserve"> porcentual</w:t>
      </w:r>
      <w:r>
        <w:rPr>
          <w:rFonts w:ascii="Arial" w:hAnsi="Arial" w:cs="Arial"/>
          <w:sz w:val="18"/>
          <w:szCs w:val="18"/>
          <w:lang w:val="es-MX"/>
        </w:rPr>
        <w:t xml:space="preserve"> anual</w:t>
      </w:r>
      <w:r w:rsidRPr="0080258B">
        <w:rPr>
          <w:rFonts w:ascii="Arial" w:hAnsi="Arial" w:cs="Arial"/>
          <w:sz w:val="18"/>
          <w:szCs w:val="18"/>
        </w:rPr>
        <w:t>)</w:t>
      </w:r>
    </w:p>
    <w:p w14:paraId="3A456EAE" w14:textId="77777777" w:rsidR="003C0545" w:rsidRDefault="003C0545" w:rsidP="00D76629">
      <w:pPr>
        <w:pStyle w:val="Textoindependiente"/>
        <w:jc w:val="center"/>
        <w:rPr>
          <w:noProof/>
        </w:rPr>
      </w:pPr>
    </w:p>
    <w:p w14:paraId="1083DAD5" w14:textId="39455F4C" w:rsidR="00156A9B" w:rsidRDefault="003C0545" w:rsidP="00D76629">
      <w:pPr>
        <w:pStyle w:val="Textoindependiente"/>
        <w:jc w:val="center"/>
        <w:rPr>
          <w:rFonts w:ascii="Arial" w:hAnsi="Arial" w:cs="Arial"/>
        </w:rPr>
      </w:pPr>
      <w:r>
        <w:rPr>
          <w:noProof/>
        </w:rPr>
        <w:drawing>
          <wp:inline distT="0" distB="0" distL="0" distR="0" wp14:anchorId="3565B68F" wp14:editId="6513B89D">
            <wp:extent cx="5612130" cy="2146853"/>
            <wp:effectExtent l="0" t="0" r="7620" b="6350"/>
            <wp:docPr id="60" name="Gráfico 60">
              <a:extLst xmlns:a="http://schemas.openxmlformats.org/drawingml/2006/main">
                <a:ext uri="{FF2B5EF4-FFF2-40B4-BE49-F238E27FC236}">
                  <a16:creationId xmlns:a16="http://schemas.microsoft.com/office/drawing/2014/main" id="{00000000-0008-0000-1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4BAB042" w14:textId="28A444D7" w:rsidR="003C0545" w:rsidRDefault="003C0545" w:rsidP="00D76629">
      <w:pPr>
        <w:pStyle w:val="Textoindependiente"/>
        <w:jc w:val="left"/>
        <w:rPr>
          <w:rFonts w:ascii="Arial" w:hAnsi="Arial" w:cs="Arial"/>
          <w:sz w:val="16"/>
          <w:szCs w:val="16"/>
        </w:rPr>
      </w:pPr>
    </w:p>
    <w:p w14:paraId="40F1B6F6" w14:textId="77777777" w:rsidR="00937E0A" w:rsidRDefault="00937E0A" w:rsidP="00D76629">
      <w:pPr>
        <w:pStyle w:val="Textoindependiente"/>
        <w:jc w:val="left"/>
        <w:rPr>
          <w:rFonts w:ascii="Arial" w:hAnsi="Arial" w:cs="Arial"/>
          <w:sz w:val="16"/>
          <w:szCs w:val="16"/>
        </w:rPr>
      </w:pPr>
    </w:p>
    <w:p w14:paraId="1BB9B651" w14:textId="17D485B3" w:rsidR="00D76629" w:rsidRPr="0080258B" w:rsidRDefault="00D76629" w:rsidP="00D76629">
      <w:pPr>
        <w:pStyle w:val="Textoindependiente"/>
        <w:jc w:val="left"/>
        <w:rPr>
          <w:rFonts w:ascii="Arial" w:hAnsi="Arial" w:cs="Arial"/>
          <w:sz w:val="16"/>
          <w:szCs w:val="16"/>
        </w:rPr>
      </w:pPr>
      <w:r w:rsidRPr="0080258B">
        <w:rPr>
          <w:rFonts w:ascii="Arial" w:hAnsi="Arial" w:cs="Arial"/>
          <w:sz w:val="16"/>
          <w:szCs w:val="16"/>
        </w:rPr>
        <w:t>Fuente: INEGI.</w:t>
      </w:r>
    </w:p>
    <w:p w14:paraId="3DFF7550" w14:textId="02588ED2" w:rsidR="00C866AD" w:rsidRDefault="00C866AD" w:rsidP="00C866AD">
      <w:pPr>
        <w:spacing w:before="120"/>
        <w:jc w:val="both"/>
        <w:rPr>
          <w:rFonts w:ascii="Arial" w:hAnsi="Arial" w:cs="Arial"/>
        </w:rPr>
      </w:pPr>
      <w:r>
        <w:rPr>
          <w:rFonts w:ascii="Arial" w:hAnsi="Arial" w:cs="Arial"/>
        </w:rPr>
        <w:t>L</w:t>
      </w:r>
      <w:r w:rsidRPr="00AF2E50">
        <w:rPr>
          <w:rFonts w:ascii="Arial" w:hAnsi="Arial" w:cs="Arial"/>
        </w:rPr>
        <w:t>as</w:t>
      </w:r>
      <w:r w:rsidR="00156A9B">
        <w:rPr>
          <w:rFonts w:ascii="Arial" w:hAnsi="Arial" w:cs="Arial"/>
        </w:rPr>
        <w:t xml:space="preserve"> actividades</w:t>
      </w:r>
      <w:r>
        <w:rPr>
          <w:rFonts w:ascii="Arial" w:hAnsi="Arial" w:cs="Arial"/>
        </w:rPr>
        <w:t xml:space="preserve"> del sector de la </w:t>
      </w:r>
      <w:r w:rsidR="00156A9B">
        <w:rPr>
          <w:rFonts w:ascii="Arial" w:hAnsi="Arial" w:cs="Arial"/>
        </w:rPr>
        <w:t>vivienda</w:t>
      </w:r>
      <w:r>
        <w:rPr>
          <w:rFonts w:ascii="Arial" w:hAnsi="Arial" w:cs="Arial"/>
        </w:rPr>
        <w:t xml:space="preserve"> </w:t>
      </w:r>
      <w:r w:rsidRPr="00AF2E50">
        <w:rPr>
          <w:rFonts w:ascii="Arial" w:hAnsi="Arial" w:cs="Arial"/>
        </w:rPr>
        <w:t>que presentaron un</w:t>
      </w:r>
      <w:r>
        <w:rPr>
          <w:rFonts w:ascii="Arial" w:hAnsi="Arial" w:cs="Arial"/>
        </w:rPr>
        <w:t>a</w:t>
      </w:r>
      <w:r w:rsidRPr="00AF2E50">
        <w:rPr>
          <w:rFonts w:ascii="Arial" w:hAnsi="Arial" w:cs="Arial"/>
        </w:rPr>
        <w:t xml:space="preserve"> mayor </w:t>
      </w:r>
      <w:r>
        <w:rPr>
          <w:rFonts w:ascii="Arial" w:hAnsi="Arial" w:cs="Arial"/>
        </w:rPr>
        <w:t xml:space="preserve">disminución anual fueron </w:t>
      </w:r>
      <w:r w:rsidR="00156A9B">
        <w:rPr>
          <w:rFonts w:ascii="Arial" w:hAnsi="Arial" w:cs="Arial"/>
        </w:rPr>
        <w:t>la autoproducción con 26.0%</w:t>
      </w:r>
      <w:r w:rsidR="00EA2BCD">
        <w:rPr>
          <w:rFonts w:ascii="Arial" w:hAnsi="Arial" w:cs="Arial"/>
        </w:rPr>
        <w:t xml:space="preserve"> -actividad que contribuye con </w:t>
      </w:r>
      <w:r w:rsidR="006D57D2">
        <w:rPr>
          <w:rFonts w:ascii="Arial" w:hAnsi="Arial" w:cs="Arial"/>
        </w:rPr>
        <w:t>35.7</w:t>
      </w:r>
      <w:r w:rsidR="00B3688A">
        <w:rPr>
          <w:rFonts w:ascii="Arial" w:hAnsi="Arial" w:cs="Arial"/>
        </w:rPr>
        <w:t>%</w:t>
      </w:r>
      <w:r w:rsidR="009D2CC4">
        <w:rPr>
          <w:rFonts w:ascii="Arial" w:hAnsi="Arial" w:cs="Arial"/>
        </w:rPr>
        <w:t xml:space="preserve"> del total del sector</w:t>
      </w:r>
      <w:r w:rsidR="006D57D2">
        <w:rPr>
          <w:rFonts w:ascii="Arial" w:hAnsi="Arial" w:cs="Arial"/>
        </w:rPr>
        <w:t xml:space="preserve">- </w:t>
      </w:r>
      <w:r w:rsidR="00156A9B">
        <w:rPr>
          <w:rFonts w:ascii="Arial" w:hAnsi="Arial" w:cs="Arial"/>
        </w:rPr>
        <w:t>y la producción de unidades económicas con 2.3</w:t>
      </w:r>
      <w:r w:rsidR="00B3688A">
        <w:rPr>
          <w:rFonts w:ascii="Arial" w:hAnsi="Arial" w:cs="Arial"/>
        </w:rPr>
        <w:t>%</w:t>
      </w:r>
      <w:r w:rsidR="006D57D2">
        <w:rPr>
          <w:rFonts w:ascii="Arial" w:hAnsi="Arial" w:cs="Arial"/>
        </w:rPr>
        <w:t>, cuyo aporte al total del PIB de la vivienda es de 24.0 por ciento.</w:t>
      </w:r>
    </w:p>
    <w:p w14:paraId="1EC62580" w14:textId="79BC41DD" w:rsidR="007716F9" w:rsidRDefault="007716F9" w:rsidP="00C866AD">
      <w:pPr>
        <w:spacing w:before="120"/>
        <w:jc w:val="both"/>
        <w:rPr>
          <w:rFonts w:ascii="Arial" w:hAnsi="Arial" w:cs="Arial"/>
        </w:rPr>
      </w:pPr>
    </w:p>
    <w:p w14:paraId="6B1863D6" w14:textId="1FA33961" w:rsidR="00C62773" w:rsidRPr="00C62773" w:rsidRDefault="00C62773" w:rsidP="00E55F74">
      <w:pPr>
        <w:pStyle w:val="Textoindependiente"/>
        <w:jc w:val="center"/>
        <w:rPr>
          <w:rFonts w:ascii="Arial" w:hAnsi="Arial" w:cs="Arial"/>
          <w:lang w:val="es-MX"/>
        </w:rPr>
      </w:pPr>
      <w:r w:rsidRPr="00ED417B">
        <w:rPr>
          <w:rFonts w:ascii="Arial" w:hAnsi="Arial" w:cs="Arial"/>
        </w:rPr>
        <w:t xml:space="preserve">Gráfica </w:t>
      </w:r>
      <w:r>
        <w:rPr>
          <w:rFonts w:ascii="Arial" w:hAnsi="Arial" w:cs="Arial"/>
          <w:lang w:val="es-MX"/>
        </w:rPr>
        <w:t>4</w:t>
      </w:r>
    </w:p>
    <w:p w14:paraId="79637D3A" w14:textId="2806317B" w:rsidR="00684A97" w:rsidRDefault="00D20DE5" w:rsidP="00684A97">
      <w:pPr>
        <w:pStyle w:val="Textoindependiente"/>
        <w:jc w:val="center"/>
        <w:rPr>
          <w:rFonts w:ascii="Arial" w:hAnsi="Arial" w:cs="Arial"/>
          <w:b/>
          <w:iCs/>
          <w:smallCaps/>
          <w:sz w:val="22"/>
          <w:szCs w:val="22"/>
          <w:lang w:val="es-MX"/>
        </w:rPr>
      </w:pPr>
      <w:r w:rsidRPr="00D20DE5">
        <w:rPr>
          <w:rFonts w:ascii="Arial" w:hAnsi="Arial" w:cs="Arial"/>
          <w:b/>
          <w:iCs/>
          <w:smallCaps/>
          <w:sz w:val="22"/>
          <w:szCs w:val="22"/>
          <w:lang w:val="es-MX"/>
        </w:rPr>
        <w:t xml:space="preserve"> </w:t>
      </w:r>
      <w:r w:rsidR="00441D68">
        <w:rPr>
          <w:rFonts w:ascii="Arial" w:hAnsi="Arial" w:cs="Arial"/>
          <w:b/>
          <w:iCs/>
          <w:smallCaps/>
          <w:sz w:val="22"/>
          <w:szCs w:val="22"/>
          <w:lang w:val="es-MX"/>
        </w:rPr>
        <w:t xml:space="preserve"> </w:t>
      </w:r>
      <w:r>
        <w:rPr>
          <w:rFonts w:ascii="Arial" w:hAnsi="Arial" w:cs="Arial"/>
          <w:b/>
          <w:iCs/>
          <w:smallCaps/>
          <w:sz w:val="22"/>
          <w:szCs w:val="22"/>
          <w:lang w:val="es-MX"/>
        </w:rPr>
        <w:t>PIB de</w:t>
      </w:r>
      <w:r w:rsidR="004F6A71">
        <w:rPr>
          <w:rFonts w:ascii="Arial" w:hAnsi="Arial" w:cs="Arial"/>
          <w:b/>
          <w:iCs/>
          <w:smallCaps/>
          <w:sz w:val="22"/>
          <w:szCs w:val="22"/>
          <w:lang w:val="es-MX"/>
        </w:rPr>
        <w:t xml:space="preserve"> actividades del</w:t>
      </w:r>
      <w:r>
        <w:rPr>
          <w:rFonts w:ascii="Arial" w:hAnsi="Arial" w:cs="Arial"/>
          <w:b/>
          <w:iCs/>
          <w:smallCaps/>
          <w:sz w:val="22"/>
          <w:szCs w:val="22"/>
          <w:lang w:val="es-MX"/>
        </w:rPr>
        <w:t xml:space="preserve"> sector de</w:t>
      </w:r>
      <w:r w:rsidRPr="0080258B">
        <w:rPr>
          <w:rFonts w:ascii="Arial" w:hAnsi="Arial" w:cs="Arial"/>
          <w:b/>
          <w:iCs/>
          <w:smallCaps/>
          <w:sz w:val="22"/>
          <w:szCs w:val="22"/>
          <w:lang w:val="es-MX"/>
        </w:rPr>
        <w:t xml:space="preserve"> la </w:t>
      </w:r>
      <w:r w:rsidR="00DE7E3B">
        <w:rPr>
          <w:rFonts w:ascii="Arial" w:hAnsi="Arial" w:cs="Arial"/>
          <w:b/>
          <w:iCs/>
          <w:smallCaps/>
          <w:sz w:val="22"/>
          <w:szCs w:val="22"/>
          <w:lang w:val="es-MX"/>
        </w:rPr>
        <w:t>vivienda</w:t>
      </w:r>
      <w:r w:rsidRPr="0080258B">
        <w:rPr>
          <w:rFonts w:ascii="Arial" w:hAnsi="Arial" w:cs="Arial"/>
          <w:b/>
          <w:iCs/>
          <w:smallCaps/>
          <w:sz w:val="22"/>
          <w:szCs w:val="22"/>
          <w:lang w:val="es-MX"/>
        </w:rPr>
        <w:t xml:space="preserve"> por clasificación funcional, 2020</w:t>
      </w:r>
    </w:p>
    <w:p w14:paraId="7507C720" w14:textId="4DFA98E5" w:rsidR="00D20DE5" w:rsidRPr="0080258B" w:rsidRDefault="00D20DE5" w:rsidP="00684A97">
      <w:pPr>
        <w:pStyle w:val="Textoindependiente"/>
        <w:jc w:val="center"/>
        <w:rPr>
          <w:rFonts w:ascii="Arial" w:hAnsi="Arial" w:cs="Arial"/>
          <w:b/>
          <w:iCs/>
          <w:smallCaps/>
          <w:sz w:val="22"/>
          <w:szCs w:val="22"/>
          <w:lang w:val="es-MX"/>
        </w:rPr>
      </w:pPr>
      <w:r w:rsidRPr="0080258B">
        <w:rPr>
          <w:rFonts w:ascii="Arial" w:hAnsi="Arial" w:cs="Arial"/>
          <w:sz w:val="18"/>
          <w:szCs w:val="18"/>
        </w:rPr>
        <w:t>(</w:t>
      </w:r>
      <w:r>
        <w:rPr>
          <w:rFonts w:ascii="Arial" w:hAnsi="Arial" w:cs="Arial"/>
          <w:sz w:val="18"/>
          <w:szCs w:val="18"/>
          <w:lang w:val="es-MX"/>
        </w:rPr>
        <w:t>Variación</w:t>
      </w:r>
      <w:r w:rsidRPr="0080258B">
        <w:rPr>
          <w:rFonts w:ascii="Arial" w:hAnsi="Arial" w:cs="Arial"/>
          <w:sz w:val="18"/>
          <w:szCs w:val="18"/>
          <w:lang w:val="es-MX"/>
        </w:rPr>
        <w:t xml:space="preserve"> porcentual</w:t>
      </w:r>
      <w:r>
        <w:rPr>
          <w:rFonts w:ascii="Arial" w:hAnsi="Arial" w:cs="Arial"/>
          <w:sz w:val="18"/>
          <w:szCs w:val="18"/>
          <w:lang w:val="es-MX"/>
        </w:rPr>
        <w:t xml:space="preserve"> anual</w:t>
      </w:r>
      <w:r w:rsidRPr="0080258B">
        <w:rPr>
          <w:rFonts w:ascii="Arial" w:hAnsi="Arial" w:cs="Arial"/>
          <w:sz w:val="18"/>
          <w:szCs w:val="18"/>
        </w:rPr>
        <w:t>)</w:t>
      </w:r>
    </w:p>
    <w:p w14:paraId="60662D0C" w14:textId="0524AAA6" w:rsidR="00735D49" w:rsidRDefault="008C24B8" w:rsidP="00684A97">
      <w:pPr>
        <w:pStyle w:val="Textoindependiente"/>
        <w:jc w:val="center"/>
        <w:rPr>
          <w:noProof/>
        </w:rPr>
      </w:pPr>
      <w:r>
        <w:rPr>
          <w:noProof/>
        </w:rPr>
        <w:drawing>
          <wp:inline distT="0" distB="0" distL="0" distR="0" wp14:anchorId="4921A34F" wp14:editId="2ED33334">
            <wp:extent cx="5612130" cy="2138900"/>
            <wp:effectExtent l="0" t="0" r="7620" b="13970"/>
            <wp:docPr id="124" name="Gráfico 124">
              <a:extLst xmlns:a="http://schemas.openxmlformats.org/drawingml/2006/main">
                <a:ext uri="{FF2B5EF4-FFF2-40B4-BE49-F238E27FC236}">
                  <a16:creationId xmlns:a16="http://schemas.microsoft.com/office/drawing/2014/main" id="{F65A41B5-C4D4-4FED-BA53-A591DF1CA5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BF8CB65" w14:textId="3AE6D1E0" w:rsidR="00684A97" w:rsidRDefault="00741930" w:rsidP="00DE7E3B">
      <w:pPr>
        <w:pStyle w:val="Textoindependiente"/>
        <w:jc w:val="left"/>
        <w:rPr>
          <w:rFonts w:ascii="Arial" w:hAnsi="Arial" w:cs="Arial"/>
          <w:sz w:val="16"/>
          <w:szCs w:val="16"/>
        </w:rPr>
      </w:pPr>
      <w:r>
        <w:rPr>
          <w:rFonts w:ascii="Arial" w:hAnsi="Arial" w:cs="Arial"/>
          <w:sz w:val="16"/>
          <w:szCs w:val="16"/>
          <w:lang w:val="es-MX"/>
        </w:rPr>
        <w:t>F</w:t>
      </w:r>
      <w:proofErr w:type="spellStart"/>
      <w:r w:rsidR="00684A97" w:rsidRPr="0080258B">
        <w:rPr>
          <w:rFonts w:ascii="Arial" w:hAnsi="Arial" w:cs="Arial"/>
          <w:sz w:val="16"/>
          <w:szCs w:val="16"/>
        </w:rPr>
        <w:t>uente</w:t>
      </w:r>
      <w:proofErr w:type="spellEnd"/>
      <w:r w:rsidR="00684A97" w:rsidRPr="0080258B">
        <w:rPr>
          <w:rFonts w:ascii="Arial" w:hAnsi="Arial" w:cs="Arial"/>
          <w:sz w:val="16"/>
          <w:szCs w:val="16"/>
        </w:rPr>
        <w:t>: INEGI.</w:t>
      </w:r>
    </w:p>
    <w:p w14:paraId="34DA1ECF" w14:textId="561AA84D" w:rsidR="00DE7E3B" w:rsidRPr="00DE7E3B" w:rsidRDefault="00DE7E3B" w:rsidP="00B454A8">
      <w:pPr>
        <w:pStyle w:val="Textoindependiente"/>
        <w:rPr>
          <w:rFonts w:ascii="Arial" w:hAnsi="Arial" w:cs="Arial"/>
          <w:sz w:val="16"/>
          <w:szCs w:val="16"/>
          <w:lang w:val="es-MX"/>
        </w:rPr>
      </w:pPr>
      <w:r>
        <w:rPr>
          <w:rFonts w:ascii="Arial" w:hAnsi="Arial" w:cs="Arial"/>
          <w:sz w:val="16"/>
          <w:szCs w:val="16"/>
          <w:lang w:val="es-MX"/>
        </w:rPr>
        <w:t>*Comprende actividades de financiamiento, preparación de terrenos, planeación y diseño, trabajos especializados, supervisión, servicios notariales, seguros, diseño y decoración de interiores, administración de bienes raíces, viviendas colectivas, apoyo en producción y adquisición, regulación promoción y fomento.</w:t>
      </w:r>
    </w:p>
    <w:p w14:paraId="3373C830" w14:textId="77777777" w:rsidR="00B3688A" w:rsidRDefault="00B3688A" w:rsidP="00642EBD">
      <w:pPr>
        <w:pStyle w:val="parrafo1"/>
        <w:keepNext/>
        <w:spacing w:before="360"/>
        <w:ind w:left="0" w:right="17"/>
        <w:jc w:val="left"/>
        <w:rPr>
          <w:b/>
          <w:i/>
          <w:smallCaps/>
        </w:rPr>
      </w:pPr>
      <w:bookmarkStart w:id="1" w:name="_Hlk85710718"/>
    </w:p>
    <w:p w14:paraId="3B7753F3" w14:textId="1A6BC510" w:rsidR="00642EBD" w:rsidRPr="008C4DD8" w:rsidRDefault="00642EBD" w:rsidP="00642EBD">
      <w:pPr>
        <w:pStyle w:val="parrafo1"/>
        <w:keepNext/>
        <w:spacing w:before="360"/>
        <w:ind w:left="0" w:right="17"/>
        <w:jc w:val="left"/>
        <w:rPr>
          <w:b/>
          <w:smallCaps/>
        </w:rPr>
      </w:pPr>
      <w:r>
        <w:rPr>
          <w:b/>
          <w:i/>
          <w:smallCaps/>
        </w:rPr>
        <w:t>Oferta y Utilización de los bienes y servicios de vivienda</w:t>
      </w:r>
    </w:p>
    <w:p w14:paraId="6BDC529D" w14:textId="69D95C75" w:rsidR="00642EBD" w:rsidRDefault="00642EBD" w:rsidP="00642EBD">
      <w:pPr>
        <w:pStyle w:val="parrafo1"/>
        <w:spacing w:before="240"/>
        <w:ind w:left="0" w:right="51"/>
      </w:pPr>
      <w:r>
        <w:rPr>
          <w:color w:val="000000"/>
        </w:rPr>
        <w:t>Durante 20</w:t>
      </w:r>
      <w:r w:rsidR="00777CB6">
        <w:rPr>
          <w:color w:val="000000"/>
        </w:rPr>
        <w:t>20</w:t>
      </w:r>
      <w:r w:rsidRPr="00992894">
        <w:rPr>
          <w:color w:val="000000"/>
        </w:rPr>
        <w:t xml:space="preserve">, la oferta total de bienes y servicios </w:t>
      </w:r>
      <w:r>
        <w:rPr>
          <w:color w:val="000000"/>
        </w:rPr>
        <w:t>asociados a la vivienda</w:t>
      </w:r>
      <w:r w:rsidR="00C23617">
        <w:rPr>
          <w:color w:val="000000"/>
        </w:rPr>
        <w:t>, sin considerar el concepto de alquiler imputado,</w:t>
      </w:r>
      <w:r w:rsidRPr="00992894">
        <w:rPr>
          <w:color w:val="000000"/>
        </w:rPr>
        <w:t xml:space="preserve"> </w:t>
      </w:r>
      <w:r>
        <w:rPr>
          <w:color w:val="000000"/>
        </w:rPr>
        <w:t>registró</w:t>
      </w:r>
      <w:r w:rsidRPr="00992894">
        <w:rPr>
          <w:color w:val="000000"/>
        </w:rPr>
        <w:t xml:space="preserve"> un valor de </w:t>
      </w:r>
      <w:r w:rsidR="00777CB6">
        <w:rPr>
          <w:color w:val="000000"/>
        </w:rPr>
        <w:t>1 838 861</w:t>
      </w:r>
      <w:r w:rsidRPr="00C21DF7">
        <w:rPr>
          <w:color w:val="000000"/>
        </w:rPr>
        <w:t xml:space="preserve"> millones de pesos</w:t>
      </w:r>
      <w:r>
        <w:rPr>
          <w:color w:val="000000"/>
        </w:rPr>
        <w:t>, la</w:t>
      </w:r>
      <w:r w:rsidRPr="00C21DF7">
        <w:rPr>
          <w:color w:val="000000"/>
        </w:rPr>
        <w:t xml:space="preserve"> cual se constituyó casi en su totalidad por la producción nacional. Por el lado de su utilización, los bienes y servicios de vivienda fueron adquiridos principalmente como inversión fija </w:t>
      </w:r>
      <w:r w:rsidR="003B76D4">
        <w:rPr>
          <w:color w:val="000000"/>
        </w:rPr>
        <w:t xml:space="preserve">bruta </w:t>
      </w:r>
      <w:r w:rsidRPr="00C21DF7">
        <w:rPr>
          <w:color w:val="000000"/>
        </w:rPr>
        <w:t>(</w:t>
      </w:r>
      <w:r w:rsidR="00777CB6">
        <w:rPr>
          <w:color w:val="000000"/>
        </w:rPr>
        <w:t>69.1</w:t>
      </w:r>
      <w:r>
        <w:rPr>
          <w:color w:val="000000"/>
        </w:rPr>
        <w:t>%</w:t>
      </w:r>
      <w:r w:rsidRPr="00C21DF7">
        <w:rPr>
          <w:color w:val="000000"/>
        </w:rPr>
        <w:t xml:space="preserve">), el </w:t>
      </w:r>
      <w:r w:rsidR="00777CB6">
        <w:rPr>
          <w:color w:val="000000"/>
        </w:rPr>
        <w:t>28.4</w:t>
      </w:r>
      <w:r>
        <w:rPr>
          <w:color w:val="000000"/>
        </w:rPr>
        <w:t>%</w:t>
      </w:r>
      <w:r w:rsidRPr="00C21DF7">
        <w:rPr>
          <w:color w:val="000000"/>
        </w:rPr>
        <w:t xml:space="preserve"> para el consumo final de los hogares, y como demanda intermedia (bienes y servicios necesarios para la producción de otros bienes y servicios de consumo final) y consumo del gobierno 2.</w:t>
      </w:r>
      <w:r>
        <w:rPr>
          <w:color w:val="000000"/>
        </w:rPr>
        <w:t>4</w:t>
      </w:r>
      <w:r w:rsidRPr="00C21DF7">
        <w:rPr>
          <w:color w:val="000000"/>
        </w:rPr>
        <w:t>% y 0.</w:t>
      </w:r>
      <w:r>
        <w:rPr>
          <w:color w:val="000000"/>
        </w:rPr>
        <w:t>1</w:t>
      </w:r>
      <w:r w:rsidRPr="00C21DF7">
        <w:rPr>
          <w:color w:val="000000"/>
        </w:rPr>
        <w:t>%, respectivamente</w:t>
      </w:r>
      <w:r w:rsidRPr="00992894">
        <w:rPr>
          <w:color w:val="000000"/>
        </w:rPr>
        <w:t>.</w:t>
      </w:r>
    </w:p>
    <w:p w14:paraId="7E5A39DB" w14:textId="77777777" w:rsidR="00642EBD" w:rsidRPr="002E6898" w:rsidRDefault="00642EBD" w:rsidP="00642EBD">
      <w:pPr>
        <w:pStyle w:val="Textoindependiente"/>
        <w:spacing w:before="360"/>
        <w:jc w:val="center"/>
        <w:rPr>
          <w:sz w:val="20"/>
          <w:szCs w:val="20"/>
          <w:lang w:val="es-MX"/>
        </w:rPr>
      </w:pPr>
      <w:r>
        <w:rPr>
          <w:sz w:val="20"/>
          <w:szCs w:val="20"/>
          <w:lang w:val="es-MX"/>
        </w:rPr>
        <w:t>Cuadro</w:t>
      </w:r>
      <w:r w:rsidRPr="00034996">
        <w:rPr>
          <w:sz w:val="20"/>
          <w:szCs w:val="20"/>
        </w:rPr>
        <w:t xml:space="preserve"> </w:t>
      </w:r>
      <w:r>
        <w:rPr>
          <w:sz w:val="20"/>
          <w:szCs w:val="20"/>
          <w:lang w:val="es-MX"/>
        </w:rPr>
        <w:t>1</w:t>
      </w:r>
    </w:p>
    <w:p w14:paraId="666A8B41" w14:textId="77777777" w:rsidR="00642EBD" w:rsidRDefault="00642EBD" w:rsidP="00642EBD">
      <w:pPr>
        <w:pStyle w:val="Textoindependiente"/>
        <w:jc w:val="center"/>
        <w:rPr>
          <w:b/>
          <w:smallCaps/>
          <w:sz w:val="22"/>
          <w:szCs w:val="22"/>
        </w:rPr>
      </w:pPr>
      <w:r>
        <w:rPr>
          <w:b/>
          <w:smallCaps/>
          <w:sz w:val="22"/>
          <w:szCs w:val="22"/>
          <w:lang w:val="es-MX"/>
        </w:rPr>
        <w:t xml:space="preserve">Oferta y Utilización de bienes y servicios de la vivienda </w:t>
      </w:r>
      <w:r>
        <w:rPr>
          <w:b/>
          <w:smallCaps/>
          <w:sz w:val="22"/>
          <w:szCs w:val="22"/>
        </w:rPr>
        <w:t>por componente</w:t>
      </w:r>
    </w:p>
    <w:p w14:paraId="206D30D4" w14:textId="7DEA464C" w:rsidR="00642EBD" w:rsidRDefault="00642EBD" w:rsidP="00642EBD">
      <w:pPr>
        <w:pStyle w:val="Textoindependiente"/>
        <w:jc w:val="center"/>
        <w:rPr>
          <w:sz w:val="18"/>
          <w:szCs w:val="18"/>
          <w:lang w:val="es-MX"/>
        </w:rPr>
      </w:pPr>
      <w:r>
        <w:rPr>
          <w:sz w:val="18"/>
          <w:szCs w:val="18"/>
          <w:lang w:val="es-MX"/>
        </w:rPr>
        <w:t>(Millones de pesos corrientes y estructura</w:t>
      </w:r>
      <w:r>
        <w:rPr>
          <w:sz w:val="18"/>
          <w:szCs w:val="18"/>
        </w:rPr>
        <w:t xml:space="preserve"> </w:t>
      </w:r>
      <w:r w:rsidRPr="00034996">
        <w:rPr>
          <w:sz w:val="18"/>
          <w:szCs w:val="18"/>
        </w:rPr>
        <w:t>po</w:t>
      </w:r>
      <w:r>
        <w:rPr>
          <w:sz w:val="18"/>
          <w:szCs w:val="18"/>
        </w:rPr>
        <w:t>rcentual</w:t>
      </w:r>
      <w:r>
        <w:rPr>
          <w:sz w:val="18"/>
          <w:szCs w:val="18"/>
          <w:lang w:val="es-MX"/>
        </w:rPr>
        <w:t>)</w:t>
      </w:r>
    </w:p>
    <w:tbl>
      <w:tblPr>
        <w:tblW w:w="8637" w:type="dxa"/>
        <w:tblLayout w:type="fixed"/>
        <w:tblCellMar>
          <w:left w:w="70" w:type="dxa"/>
          <w:right w:w="70" w:type="dxa"/>
        </w:tblCellMar>
        <w:tblLook w:val="04A0" w:firstRow="1" w:lastRow="0" w:firstColumn="1" w:lastColumn="0" w:noHBand="0" w:noVBand="1"/>
      </w:tblPr>
      <w:tblGrid>
        <w:gridCol w:w="3506"/>
        <w:gridCol w:w="1328"/>
        <w:gridCol w:w="1328"/>
        <w:gridCol w:w="1328"/>
        <w:gridCol w:w="1147"/>
      </w:tblGrid>
      <w:tr w:rsidR="00DD4366" w:rsidRPr="00D5319F" w14:paraId="12169736" w14:textId="77777777" w:rsidTr="00CC371E">
        <w:trPr>
          <w:trHeight w:val="525"/>
        </w:trPr>
        <w:tc>
          <w:tcPr>
            <w:tcW w:w="3506" w:type="dxa"/>
            <w:tcBorders>
              <w:top w:val="single" w:sz="8" w:space="0" w:color="auto"/>
              <w:left w:val="single" w:sz="8" w:space="0" w:color="auto"/>
              <w:bottom w:val="single" w:sz="8" w:space="0" w:color="auto"/>
              <w:right w:val="single" w:sz="8" w:space="0" w:color="auto"/>
            </w:tcBorders>
            <w:shd w:val="clear" w:color="auto" w:fill="C45911" w:themeFill="accent2" w:themeFillShade="BF"/>
            <w:noWrap/>
            <w:vAlign w:val="center"/>
            <w:hideMark/>
          </w:tcPr>
          <w:p w14:paraId="39CB7089" w14:textId="77777777" w:rsidR="00DD4366" w:rsidRPr="00D5319F" w:rsidRDefault="00DD4366" w:rsidP="004A4A18">
            <w:pPr>
              <w:jc w:val="center"/>
              <w:rPr>
                <w:rFonts w:ascii="Arial" w:hAnsi="Arial" w:cs="Arial"/>
                <w:b/>
                <w:bCs/>
                <w:color w:val="FFFFFF"/>
                <w:sz w:val="18"/>
                <w:szCs w:val="18"/>
              </w:rPr>
            </w:pPr>
            <w:r w:rsidRPr="00D5319F">
              <w:rPr>
                <w:rFonts w:ascii="Arial" w:hAnsi="Arial" w:cs="Arial"/>
                <w:b/>
                <w:bCs/>
                <w:color w:val="FFFFFF" w:themeColor="background1"/>
                <w:sz w:val="18"/>
                <w:szCs w:val="18"/>
              </w:rPr>
              <w:t>Concepto</w:t>
            </w:r>
          </w:p>
        </w:tc>
        <w:tc>
          <w:tcPr>
            <w:tcW w:w="1328" w:type="dxa"/>
            <w:tcBorders>
              <w:top w:val="single" w:sz="8" w:space="0" w:color="auto"/>
              <w:left w:val="nil"/>
              <w:bottom w:val="single" w:sz="8" w:space="0" w:color="auto"/>
              <w:right w:val="single" w:sz="8" w:space="0" w:color="auto"/>
            </w:tcBorders>
            <w:shd w:val="clear" w:color="auto" w:fill="C45911" w:themeFill="accent2" w:themeFillShade="BF"/>
            <w:noWrap/>
            <w:vAlign w:val="center"/>
            <w:hideMark/>
          </w:tcPr>
          <w:p w14:paraId="4CA90984" w14:textId="77777777" w:rsidR="00DD4366" w:rsidRPr="00D5319F" w:rsidRDefault="00DD4366" w:rsidP="004A4A18">
            <w:pPr>
              <w:jc w:val="center"/>
              <w:rPr>
                <w:rFonts w:ascii="Arial" w:hAnsi="Arial" w:cs="Arial"/>
                <w:b/>
                <w:bCs/>
                <w:color w:val="FFFFFF"/>
                <w:sz w:val="18"/>
                <w:szCs w:val="18"/>
              </w:rPr>
            </w:pPr>
            <w:r w:rsidRPr="00D5319F">
              <w:rPr>
                <w:rFonts w:ascii="Arial" w:hAnsi="Arial" w:cs="Arial"/>
                <w:b/>
                <w:bCs/>
                <w:color w:val="FFFFFF" w:themeColor="background1"/>
                <w:sz w:val="18"/>
                <w:szCs w:val="18"/>
              </w:rPr>
              <w:t>2019</w:t>
            </w:r>
          </w:p>
        </w:tc>
        <w:tc>
          <w:tcPr>
            <w:tcW w:w="1328" w:type="dxa"/>
            <w:tcBorders>
              <w:top w:val="single" w:sz="8" w:space="0" w:color="auto"/>
              <w:left w:val="nil"/>
              <w:bottom w:val="single" w:sz="8" w:space="0" w:color="auto"/>
              <w:right w:val="single" w:sz="8" w:space="0" w:color="auto"/>
            </w:tcBorders>
            <w:shd w:val="clear" w:color="auto" w:fill="C45911" w:themeFill="accent2" w:themeFillShade="BF"/>
            <w:vAlign w:val="center"/>
            <w:hideMark/>
          </w:tcPr>
          <w:p w14:paraId="0BDEED50" w14:textId="77777777" w:rsidR="00DD4366" w:rsidRPr="00D5319F" w:rsidRDefault="00DD4366" w:rsidP="004A4A18">
            <w:pPr>
              <w:jc w:val="center"/>
              <w:rPr>
                <w:rFonts w:ascii="Arial" w:hAnsi="Arial" w:cs="Arial"/>
                <w:b/>
                <w:bCs/>
                <w:color w:val="FFFFFF"/>
                <w:sz w:val="18"/>
                <w:szCs w:val="18"/>
              </w:rPr>
            </w:pPr>
            <w:r w:rsidRPr="00D5319F">
              <w:rPr>
                <w:rFonts w:ascii="Arial" w:hAnsi="Arial" w:cs="Arial"/>
                <w:b/>
                <w:bCs/>
                <w:color w:val="FFFFFF" w:themeColor="background1"/>
                <w:sz w:val="18"/>
                <w:szCs w:val="18"/>
              </w:rPr>
              <w:t>Estructura porcentual</w:t>
            </w:r>
          </w:p>
        </w:tc>
        <w:tc>
          <w:tcPr>
            <w:tcW w:w="1328" w:type="dxa"/>
            <w:tcBorders>
              <w:top w:val="single" w:sz="8" w:space="0" w:color="auto"/>
              <w:left w:val="nil"/>
              <w:bottom w:val="single" w:sz="8" w:space="0" w:color="auto"/>
              <w:right w:val="single" w:sz="8" w:space="0" w:color="auto"/>
            </w:tcBorders>
            <w:shd w:val="clear" w:color="auto" w:fill="C45911" w:themeFill="accent2" w:themeFillShade="BF"/>
            <w:noWrap/>
            <w:vAlign w:val="center"/>
            <w:hideMark/>
          </w:tcPr>
          <w:p w14:paraId="0242E02C" w14:textId="77777777" w:rsidR="00DD4366" w:rsidRPr="00D5319F" w:rsidRDefault="00DD4366" w:rsidP="004A4A18">
            <w:pPr>
              <w:jc w:val="center"/>
              <w:rPr>
                <w:rFonts w:ascii="Arial" w:hAnsi="Arial" w:cs="Arial"/>
                <w:b/>
                <w:bCs/>
                <w:color w:val="FFFFFF"/>
                <w:sz w:val="18"/>
                <w:szCs w:val="18"/>
              </w:rPr>
            </w:pPr>
            <w:r w:rsidRPr="00D5319F">
              <w:rPr>
                <w:rFonts w:ascii="Arial" w:hAnsi="Arial" w:cs="Arial"/>
                <w:b/>
                <w:bCs/>
                <w:color w:val="FFFFFF" w:themeColor="background1"/>
                <w:sz w:val="18"/>
                <w:szCs w:val="18"/>
              </w:rPr>
              <w:t>2020</w:t>
            </w:r>
          </w:p>
        </w:tc>
        <w:tc>
          <w:tcPr>
            <w:tcW w:w="1147" w:type="dxa"/>
            <w:tcBorders>
              <w:top w:val="single" w:sz="8" w:space="0" w:color="auto"/>
              <w:left w:val="nil"/>
              <w:bottom w:val="single" w:sz="8" w:space="0" w:color="auto"/>
              <w:right w:val="single" w:sz="8" w:space="0" w:color="auto"/>
            </w:tcBorders>
            <w:shd w:val="clear" w:color="auto" w:fill="C45911" w:themeFill="accent2" w:themeFillShade="BF"/>
            <w:vAlign w:val="center"/>
            <w:hideMark/>
          </w:tcPr>
          <w:p w14:paraId="5A9E9DBF" w14:textId="77777777" w:rsidR="00DD4366" w:rsidRPr="00D5319F" w:rsidRDefault="00DD4366" w:rsidP="004A4A18">
            <w:pPr>
              <w:jc w:val="center"/>
              <w:rPr>
                <w:rFonts w:ascii="Arial" w:hAnsi="Arial" w:cs="Arial"/>
                <w:b/>
                <w:bCs/>
                <w:color w:val="FFFFFF"/>
                <w:sz w:val="18"/>
                <w:szCs w:val="18"/>
              </w:rPr>
            </w:pPr>
            <w:r w:rsidRPr="00D5319F">
              <w:rPr>
                <w:rFonts w:ascii="Arial" w:hAnsi="Arial" w:cs="Arial"/>
                <w:b/>
                <w:bCs/>
                <w:color w:val="FFFFFF" w:themeColor="background1"/>
                <w:sz w:val="18"/>
                <w:szCs w:val="18"/>
              </w:rPr>
              <w:t>Estructura porcentual</w:t>
            </w:r>
          </w:p>
        </w:tc>
      </w:tr>
      <w:tr w:rsidR="00DD4366" w:rsidRPr="00D5319F" w14:paraId="0B4B4783" w14:textId="77777777" w:rsidTr="00CC371E">
        <w:trPr>
          <w:trHeight w:val="300"/>
        </w:trPr>
        <w:tc>
          <w:tcPr>
            <w:tcW w:w="3506" w:type="dxa"/>
            <w:tcBorders>
              <w:top w:val="nil"/>
              <w:left w:val="single" w:sz="8" w:space="0" w:color="auto"/>
              <w:bottom w:val="nil"/>
              <w:right w:val="single" w:sz="8" w:space="0" w:color="auto"/>
            </w:tcBorders>
            <w:shd w:val="clear" w:color="auto" w:fill="F4B083" w:themeFill="accent2" w:themeFillTint="99"/>
            <w:noWrap/>
            <w:vAlign w:val="center"/>
            <w:hideMark/>
          </w:tcPr>
          <w:p w14:paraId="07B3AF8A" w14:textId="77777777" w:rsidR="00DD4366" w:rsidRPr="00D5319F" w:rsidRDefault="00DD4366" w:rsidP="004A4A18">
            <w:pPr>
              <w:rPr>
                <w:rFonts w:ascii="Arial" w:hAnsi="Arial" w:cs="Arial"/>
                <w:b/>
                <w:bCs/>
                <w:color w:val="000000"/>
                <w:sz w:val="18"/>
                <w:szCs w:val="18"/>
              </w:rPr>
            </w:pPr>
            <w:r w:rsidRPr="00D5319F">
              <w:rPr>
                <w:rFonts w:ascii="Arial" w:hAnsi="Arial" w:cs="Arial"/>
                <w:b/>
                <w:bCs/>
                <w:color w:val="000000"/>
                <w:sz w:val="18"/>
                <w:szCs w:val="18"/>
              </w:rPr>
              <w:t>Oferta</w:t>
            </w:r>
          </w:p>
        </w:tc>
        <w:tc>
          <w:tcPr>
            <w:tcW w:w="1328" w:type="dxa"/>
            <w:tcBorders>
              <w:top w:val="nil"/>
              <w:left w:val="nil"/>
              <w:bottom w:val="nil"/>
              <w:right w:val="nil"/>
            </w:tcBorders>
            <w:shd w:val="clear" w:color="auto" w:fill="F4B083" w:themeFill="accent2" w:themeFillTint="99"/>
            <w:noWrap/>
            <w:vAlign w:val="center"/>
            <w:hideMark/>
          </w:tcPr>
          <w:p w14:paraId="1361E819" w14:textId="1F5CC305" w:rsidR="00DD4366" w:rsidRPr="00D5319F" w:rsidRDefault="00DD4366" w:rsidP="004A4A18">
            <w:pPr>
              <w:jc w:val="right"/>
              <w:rPr>
                <w:rFonts w:ascii="Arial" w:hAnsi="Arial" w:cs="Arial"/>
                <w:b/>
                <w:bCs/>
                <w:color w:val="000000"/>
                <w:sz w:val="18"/>
                <w:szCs w:val="18"/>
              </w:rPr>
            </w:pPr>
            <w:r w:rsidRPr="00D5319F">
              <w:rPr>
                <w:rFonts w:ascii="Arial" w:hAnsi="Arial" w:cs="Arial"/>
                <w:b/>
                <w:bCs/>
                <w:sz w:val="18"/>
                <w:szCs w:val="18"/>
              </w:rPr>
              <w:t>2</w:t>
            </w:r>
            <w:r w:rsidR="00B3688A">
              <w:rPr>
                <w:rFonts w:ascii="Arial" w:hAnsi="Arial" w:cs="Arial"/>
                <w:b/>
                <w:bCs/>
                <w:sz w:val="18"/>
                <w:szCs w:val="18"/>
              </w:rPr>
              <w:t xml:space="preserve"> </w:t>
            </w:r>
            <w:r w:rsidRPr="00D5319F">
              <w:rPr>
                <w:rFonts w:ascii="Arial" w:hAnsi="Arial" w:cs="Arial"/>
                <w:b/>
                <w:bCs/>
                <w:sz w:val="18"/>
                <w:szCs w:val="18"/>
              </w:rPr>
              <w:t>008</w:t>
            </w:r>
            <w:r w:rsidR="00B3688A">
              <w:rPr>
                <w:rFonts w:ascii="Arial" w:hAnsi="Arial" w:cs="Arial"/>
                <w:b/>
                <w:bCs/>
                <w:sz w:val="18"/>
                <w:szCs w:val="18"/>
              </w:rPr>
              <w:t xml:space="preserve"> </w:t>
            </w:r>
            <w:r w:rsidRPr="00D5319F">
              <w:rPr>
                <w:rFonts w:ascii="Arial" w:hAnsi="Arial" w:cs="Arial"/>
                <w:b/>
                <w:bCs/>
                <w:sz w:val="18"/>
                <w:szCs w:val="18"/>
              </w:rPr>
              <w:t>418</w:t>
            </w:r>
          </w:p>
        </w:tc>
        <w:tc>
          <w:tcPr>
            <w:tcW w:w="1328" w:type="dxa"/>
            <w:tcBorders>
              <w:top w:val="nil"/>
              <w:left w:val="nil"/>
              <w:bottom w:val="nil"/>
              <w:right w:val="nil"/>
            </w:tcBorders>
            <w:shd w:val="clear" w:color="auto" w:fill="F4B083" w:themeFill="accent2" w:themeFillTint="99"/>
            <w:noWrap/>
            <w:vAlign w:val="center"/>
            <w:hideMark/>
          </w:tcPr>
          <w:p w14:paraId="2E11CBF1" w14:textId="77777777" w:rsidR="00DD4366" w:rsidRPr="00D5319F" w:rsidRDefault="00DD4366" w:rsidP="004A4A18">
            <w:pPr>
              <w:jc w:val="center"/>
              <w:rPr>
                <w:rFonts w:ascii="Arial" w:hAnsi="Arial" w:cs="Arial"/>
                <w:b/>
                <w:bCs/>
                <w:color w:val="000000"/>
                <w:sz w:val="18"/>
                <w:szCs w:val="18"/>
              </w:rPr>
            </w:pPr>
            <w:r w:rsidRPr="00D5319F">
              <w:rPr>
                <w:rFonts w:ascii="Arial" w:hAnsi="Arial" w:cs="Arial"/>
                <w:b/>
                <w:bCs/>
                <w:sz w:val="18"/>
                <w:szCs w:val="18"/>
              </w:rPr>
              <w:t xml:space="preserve">             100.0 </w:t>
            </w:r>
          </w:p>
        </w:tc>
        <w:tc>
          <w:tcPr>
            <w:tcW w:w="1328" w:type="dxa"/>
            <w:tcBorders>
              <w:top w:val="nil"/>
              <w:left w:val="nil"/>
              <w:bottom w:val="nil"/>
              <w:right w:val="nil"/>
            </w:tcBorders>
            <w:shd w:val="clear" w:color="auto" w:fill="F4B083" w:themeFill="accent2" w:themeFillTint="99"/>
            <w:noWrap/>
            <w:vAlign w:val="center"/>
            <w:hideMark/>
          </w:tcPr>
          <w:p w14:paraId="7BC9B39D" w14:textId="246E2543" w:rsidR="00DD4366" w:rsidRPr="00D5319F" w:rsidRDefault="00DD4366" w:rsidP="004A4A18">
            <w:pPr>
              <w:jc w:val="right"/>
              <w:rPr>
                <w:rFonts w:ascii="Arial" w:hAnsi="Arial" w:cs="Arial"/>
                <w:b/>
                <w:bCs/>
                <w:color w:val="000000"/>
                <w:sz w:val="18"/>
                <w:szCs w:val="18"/>
              </w:rPr>
            </w:pPr>
            <w:r w:rsidRPr="00D5319F">
              <w:rPr>
                <w:rFonts w:ascii="Arial" w:hAnsi="Arial" w:cs="Arial"/>
                <w:b/>
                <w:bCs/>
                <w:sz w:val="18"/>
                <w:szCs w:val="18"/>
              </w:rPr>
              <w:t>1</w:t>
            </w:r>
            <w:r w:rsidR="00B3688A">
              <w:rPr>
                <w:rFonts w:ascii="Arial" w:hAnsi="Arial" w:cs="Arial"/>
                <w:b/>
                <w:bCs/>
                <w:sz w:val="18"/>
                <w:szCs w:val="18"/>
              </w:rPr>
              <w:t xml:space="preserve"> </w:t>
            </w:r>
            <w:r w:rsidRPr="00D5319F">
              <w:rPr>
                <w:rFonts w:ascii="Arial" w:hAnsi="Arial" w:cs="Arial"/>
                <w:b/>
                <w:bCs/>
                <w:sz w:val="18"/>
                <w:szCs w:val="18"/>
              </w:rPr>
              <w:t>838</w:t>
            </w:r>
            <w:r w:rsidR="00B3688A">
              <w:rPr>
                <w:rFonts w:ascii="Arial" w:hAnsi="Arial" w:cs="Arial"/>
                <w:b/>
                <w:bCs/>
                <w:sz w:val="18"/>
                <w:szCs w:val="18"/>
              </w:rPr>
              <w:t xml:space="preserve"> </w:t>
            </w:r>
            <w:r w:rsidRPr="00D5319F">
              <w:rPr>
                <w:rFonts w:ascii="Arial" w:hAnsi="Arial" w:cs="Arial"/>
                <w:b/>
                <w:bCs/>
                <w:sz w:val="18"/>
                <w:szCs w:val="18"/>
              </w:rPr>
              <w:t>861</w:t>
            </w:r>
          </w:p>
        </w:tc>
        <w:tc>
          <w:tcPr>
            <w:tcW w:w="1147" w:type="dxa"/>
            <w:tcBorders>
              <w:top w:val="nil"/>
              <w:left w:val="nil"/>
              <w:bottom w:val="nil"/>
              <w:right w:val="single" w:sz="8" w:space="0" w:color="auto"/>
            </w:tcBorders>
            <w:shd w:val="clear" w:color="auto" w:fill="F4B083" w:themeFill="accent2" w:themeFillTint="99"/>
            <w:noWrap/>
            <w:vAlign w:val="center"/>
            <w:hideMark/>
          </w:tcPr>
          <w:p w14:paraId="03FC90CA" w14:textId="77777777" w:rsidR="00DD4366" w:rsidRPr="00D5319F" w:rsidRDefault="00DD4366" w:rsidP="004A4A18">
            <w:pPr>
              <w:jc w:val="center"/>
              <w:rPr>
                <w:rFonts w:ascii="Arial" w:hAnsi="Arial" w:cs="Arial"/>
                <w:b/>
                <w:bCs/>
                <w:color w:val="000000"/>
                <w:sz w:val="18"/>
                <w:szCs w:val="18"/>
              </w:rPr>
            </w:pPr>
            <w:r w:rsidRPr="00D5319F">
              <w:rPr>
                <w:rFonts w:ascii="Arial" w:hAnsi="Arial" w:cs="Arial"/>
                <w:b/>
                <w:bCs/>
                <w:sz w:val="18"/>
                <w:szCs w:val="18"/>
              </w:rPr>
              <w:t>100.0</w:t>
            </w:r>
          </w:p>
        </w:tc>
      </w:tr>
      <w:tr w:rsidR="00DD4366" w:rsidRPr="00D5319F" w14:paraId="74366E69" w14:textId="77777777" w:rsidTr="004A4A18">
        <w:trPr>
          <w:trHeight w:val="300"/>
        </w:trPr>
        <w:tc>
          <w:tcPr>
            <w:tcW w:w="3506" w:type="dxa"/>
            <w:tcBorders>
              <w:top w:val="nil"/>
              <w:left w:val="single" w:sz="8" w:space="0" w:color="auto"/>
              <w:bottom w:val="nil"/>
              <w:right w:val="single" w:sz="8" w:space="0" w:color="auto"/>
            </w:tcBorders>
            <w:shd w:val="clear" w:color="auto" w:fill="auto"/>
            <w:noWrap/>
            <w:vAlign w:val="center"/>
            <w:hideMark/>
          </w:tcPr>
          <w:p w14:paraId="620333EB" w14:textId="77777777" w:rsidR="00DD4366" w:rsidRPr="00D5319F" w:rsidRDefault="00DD4366" w:rsidP="004A4A18">
            <w:pPr>
              <w:rPr>
                <w:rFonts w:ascii="Arial" w:hAnsi="Arial" w:cs="Arial"/>
                <w:color w:val="000000"/>
                <w:sz w:val="18"/>
                <w:szCs w:val="18"/>
              </w:rPr>
            </w:pPr>
            <w:r w:rsidRPr="00D5319F">
              <w:rPr>
                <w:rFonts w:ascii="Arial" w:hAnsi="Arial" w:cs="Arial"/>
                <w:color w:val="000000"/>
                <w:sz w:val="18"/>
                <w:szCs w:val="18"/>
              </w:rPr>
              <w:t xml:space="preserve"> - Producción Nacional</w:t>
            </w:r>
          </w:p>
        </w:tc>
        <w:tc>
          <w:tcPr>
            <w:tcW w:w="1328" w:type="dxa"/>
            <w:tcBorders>
              <w:top w:val="nil"/>
              <w:left w:val="nil"/>
              <w:bottom w:val="nil"/>
              <w:right w:val="nil"/>
            </w:tcBorders>
            <w:shd w:val="clear" w:color="auto" w:fill="auto"/>
            <w:noWrap/>
            <w:vAlign w:val="center"/>
            <w:hideMark/>
          </w:tcPr>
          <w:p w14:paraId="2FEBBB94" w14:textId="1FCDDDBD" w:rsidR="00DD4366" w:rsidRPr="00D5319F" w:rsidRDefault="00DD4366" w:rsidP="004A4A18">
            <w:pPr>
              <w:jc w:val="right"/>
              <w:rPr>
                <w:rFonts w:ascii="Arial" w:hAnsi="Arial" w:cs="Arial"/>
                <w:color w:val="000000"/>
                <w:sz w:val="18"/>
                <w:szCs w:val="18"/>
              </w:rPr>
            </w:pPr>
            <w:r w:rsidRPr="00D5319F">
              <w:rPr>
                <w:rFonts w:ascii="Arial" w:hAnsi="Arial" w:cs="Arial"/>
                <w:color w:val="000000"/>
                <w:sz w:val="18"/>
                <w:szCs w:val="18"/>
              </w:rPr>
              <w:t>2</w:t>
            </w:r>
            <w:r w:rsidR="00B3688A">
              <w:rPr>
                <w:rFonts w:ascii="Arial" w:hAnsi="Arial" w:cs="Arial"/>
                <w:color w:val="000000"/>
                <w:sz w:val="18"/>
                <w:szCs w:val="18"/>
              </w:rPr>
              <w:t xml:space="preserve"> </w:t>
            </w:r>
            <w:r w:rsidRPr="00D5319F">
              <w:rPr>
                <w:rFonts w:ascii="Arial" w:hAnsi="Arial" w:cs="Arial"/>
                <w:color w:val="000000"/>
                <w:sz w:val="18"/>
                <w:szCs w:val="18"/>
              </w:rPr>
              <w:t>000</w:t>
            </w:r>
            <w:r w:rsidR="00B3688A">
              <w:rPr>
                <w:rFonts w:ascii="Arial" w:hAnsi="Arial" w:cs="Arial"/>
                <w:color w:val="000000"/>
                <w:sz w:val="18"/>
                <w:szCs w:val="18"/>
              </w:rPr>
              <w:t xml:space="preserve"> </w:t>
            </w:r>
            <w:r w:rsidRPr="00D5319F">
              <w:rPr>
                <w:rFonts w:ascii="Arial" w:hAnsi="Arial" w:cs="Arial"/>
                <w:color w:val="000000"/>
                <w:sz w:val="18"/>
                <w:szCs w:val="18"/>
              </w:rPr>
              <w:t>820</w:t>
            </w:r>
          </w:p>
        </w:tc>
        <w:tc>
          <w:tcPr>
            <w:tcW w:w="1328" w:type="dxa"/>
            <w:tcBorders>
              <w:top w:val="nil"/>
              <w:left w:val="nil"/>
              <w:bottom w:val="nil"/>
              <w:right w:val="nil"/>
            </w:tcBorders>
            <w:shd w:val="clear" w:color="auto" w:fill="auto"/>
            <w:noWrap/>
            <w:vAlign w:val="center"/>
            <w:hideMark/>
          </w:tcPr>
          <w:p w14:paraId="0187E440" w14:textId="77777777" w:rsidR="00DD4366" w:rsidRPr="00D5319F" w:rsidRDefault="00DD4366" w:rsidP="004A4A18">
            <w:pPr>
              <w:jc w:val="right"/>
              <w:rPr>
                <w:rFonts w:ascii="Arial" w:hAnsi="Arial" w:cs="Arial"/>
                <w:color w:val="000000"/>
                <w:sz w:val="18"/>
                <w:szCs w:val="18"/>
              </w:rPr>
            </w:pPr>
            <w:r w:rsidRPr="00D5319F">
              <w:rPr>
                <w:rFonts w:ascii="Arial" w:hAnsi="Arial" w:cs="Arial"/>
                <w:sz w:val="18"/>
                <w:szCs w:val="18"/>
              </w:rPr>
              <w:t xml:space="preserve">                99.6 </w:t>
            </w:r>
          </w:p>
        </w:tc>
        <w:tc>
          <w:tcPr>
            <w:tcW w:w="1328" w:type="dxa"/>
            <w:tcBorders>
              <w:top w:val="nil"/>
              <w:left w:val="nil"/>
              <w:bottom w:val="nil"/>
              <w:right w:val="nil"/>
            </w:tcBorders>
            <w:shd w:val="clear" w:color="auto" w:fill="auto"/>
            <w:noWrap/>
            <w:vAlign w:val="center"/>
            <w:hideMark/>
          </w:tcPr>
          <w:p w14:paraId="554C29AA" w14:textId="254FFB41" w:rsidR="00DD4366" w:rsidRPr="00D5319F" w:rsidRDefault="00DD4366" w:rsidP="004A4A18">
            <w:pPr>
              <w:jc w:val="right"/>
              <w:rPr>
                <w:rFonts w:ascii="Arial" w:hAnsi="Arial" w:cs="Arial"/>
                <w:color w:val="000000"/>
                <w:sz w:val="18"/>
                <w:szCs w:val="18"/>
              </w:rPr>
            </w:pPr>
            <w:r w:rsidRPr="00D5319F">
              <w:rPr>
                <w:rFonts w:ascii="Arial" w:hAnsi="Arial" w:cs="Arial"/>
                <w:color w:val="000000"/>
                <w:sz w:val="18"/>
                <w:szCs w:val="18"/>
              </w:rPr>
              <w:t>1</w:t>
            </w:r>
            <w:r w:rsidR="00B3688A">
              <w:rPr>
                <w:rFonts w:ascii="Arial" w:hAnsi="Arial" w:cs="Arial"/>
                <w:color w:val="000000"/>
                <w:sz w:val="18"/>
                <w:szCs w:val="18"/>
              </w:rPr>
              <w:t xml:space="preserve"> </w:t>
            </w:r>
            <w:r w:rsidRPr="00D5319F">
              <w:rPr>
                <w:rFonts w:ascii="Arial" w:hAnsi="Arial" w:cs="Arial"/>
                <w:color w:val="000000"/>
                <w:sz w:val="18"/>
                <w:szCs w:val="18"/>
              </w:rPr>
              <w:t>831</w:t>
            </w:r>
            <w:r w:rsidR="00B3688A">
              <w:rPr>
                <w:rFonts w:ascii="Arial" w:hAnsi="Arial" w:cs="Arial"/>
                <w:color w:val="000000"/>
                <w:sz w:val="18"/>
                <w:szCs w:val="18"/>
              </w:rPr>
              <w:t xml:space="preserve"> </w:t>
            </w:r>
            <w:r w:rsidRPr="00D5319F">
              <w:rPr>
                <w:rFonts w:ascii="Arial" w:hAnsi="Arial" w:cs="Arial"/>
                <w:color w:val="000000"/>
                <w:sz w:val="18"/>
                <w:szCs w:val="18"/>
              </w:rPr>
              <w:t>907</w:t>
            </w:r>
          </w:p>
        </w:tc>
        <w:tc>
          <w:tcPr>
            <w:tcW w:w="1147" w:type="dxa"/>
            <w:tcBorders>
              <w:top w:val="nil"/>
              <w:left w:val="nil"/>
              <w:bottom w:val="nil"/>
              <w:right w:val="single" w:sz="8" w:space="0" w:color="auto"/>
            </w:tcBorders>
            <w:shd w:val="clear" w:color="auto" w:fill="auto"/>
            <w:noWrap/>
            <w:vAlign w:val="center"/>
            <w:hideMark/>
          </w:tcPr>
          <w:p w14:paraId="65E7445C" w14:textId="77777777" w:rsidR="00DD4366" w:rsidRPr="00D5319F" w:rsidRDefault="00DD4366" w:rsidP="004A4A18">
            <w:pPr>
              <w:jc w:val="center"/>
              <w:rPr>
                <w:rFonts w:ascii="Arial" w:hAnsi="Arial" w:cs="Arial"/>
                <w:color w:val="000000"/>
                <w:sz w:val="18"/>
                <w:szCs w:val="18"/>
              </w:rPr>
            </w:pPr>
            <w:r w:rsidRPr="00D5319F">
              <w:rPr>
                <w:rFonts w:ascii="Arial" w:hAnsi="Arial" w:cs="Arial"/>
                <w:sz w:val="18"/>
                <w:szCs w:val="18"/>
              </w:rPr>
              <w:t>99.6</w:t>
            </w:r>
          </w:p>
        </w:tc>
      </w:tr>
      <w:tr w:rsidR="00DD4366" w:rsidRPr="00D5319F" w14:paraId="7C83C4E2" w14:textId="77777777" w:rsidTr="004A4A18">
        <w:trPr>
          <w:trHeight w:val="315"/>
        </w:trPr>
        <w:tc>
          <w:tcPr>
            <w:tcW w:w="3506" w:type="dxa"/>
            <w:tcBorders>
              <w:top w:val="nil"/>
              <w:left w:val="single" w:sz="8" w:space="0" w:color="auto"/>
              <w:bottom w:val="nil"/>
              <w:right w:val="single" w:sz="8" w:space="0" w:color="auto"/>
            </w:tcBorders>
            <w:shd w:val="clear" w:color="auto" w:fill="auto"/>
            <w:noWrap/>
            <w:vAlign w:val="center"/>
            <w:hideMark/>
          </w:tcPr>
          <w:p w14:paraId="6736AF0C" w14:textId="77777777" w:rsidR="00DD4366" w:rsidRPr="00D5319F" w:rsidRDefault="00DD4366" w:rsidP="004A4A18">
            <w:pPr>
              <w:rPr>
                <w:rFonts w:ascii="Arial" w:hAnsi="Arial" w:cs="Arial"/>
                <w:color w:val="000000"/>
                <w:sz w:val="18"/>
                <w:szCs w:val="18"/>
              </w:rPr>
            </w:pPr>
            <w:r w:rsidRPr="00D5319F">
              <w:rPr>
                <w:rFonts w:ascii="Arial" w:hAnsi="Arial" w:cs="Arial"/>
                <w:color w:val="000000"/>
                <w:sz w:val="18"/>
                <w:szCs w:val="18"/>
              </w:rPr>
              <w:t xml:space="preserve"> - Importaciones CIF*</w:t>
            </w:r>
          </w:p>
        </w:tc>
        <w:tc>
          <w:tcPr>
            <w:tcW w:w="1328" w:type="dxa"/>
            <w:tcBorders>
              <w:top w:val="nil"/>
              <w:left w:val="nil"/>
              <w:bottom w:val="nil"/>
              <w:right w:val="nil"/>
            </w:tcBorders>
            <w:shd w:val="clear" w:color="auto" w:fill="auto"/>
            <w:noWrap/>
            <w:vAlign w:val="center"/>
            <w:hideMark/>
          </w:tcPr>
          <w:p w14:paraId="37E657C5" w14:textId="6C998A7B" w:rsidR="00DD4366" w:rsidRPr="00D5319F" w:rsidRDefault="00DD4366" w:rsidP="004A4A18">
            <w:pPr>
              <w:jc w:val="right"/>
              <w:rPr>
                <w:rFonts w:ascii="Arial" w:hAnsi="Arial" w:cs="Arial"/>
                <w:color w:val="000000"/>
                <w:sz w:val="18"/>
                <w:szCs w:val="18"/>
              </w:rPr>
            </w:pPr>
            <w:r w:rsidRPr="00D5319F">
              <w:rPr>
                <w:rFonts w:ascii="Arial" w:hAnsi="Arial" w:cs="Arial"/>
                <w:color w:val="000000"/>
                <w:sz w:val="18"/>
                <w:szCs w:val="18"/>
              </w:rPr>
              <w:t>7</w:t>
            </w:r>
            <w:r w:rsidR="00B3688A">
              <w:rPr>
                <w:rFonts w:ascii="Arial" w:hAnsi="Arial" w:cs="Arial"/>
                <w:color w:val="000000"/>
                <w:sz w:val="18"/>
                <w:szCs w:val="18"/>
              </w:rPr>
              <w:t xml:space="preserve"> </w:t>
            </w:r>
            <w:r w:rsidRPr="00D5319F">
              <w:rPr>
                <w:rFonts w:ascii="Arial" w:hAnsi="Arial" w:cs="Arial"/>
                <w:color w:val="000000"/>
                <w:sz w:val="18"/>
                <w:szCs w:val="18"/>
              </w:rPr>
              <w:t>598</w:t>
            </w:r>
          </w:p>
        </w:tc>
        <w:tc>
          <w:tcPr>
            <w:tcW w:w="1328" w:type="dxa"/>
            <w:tcBorders>
              <w:top w:val="nil"/>
              <w:left w:val="nil"/>
              <w:bottom w:val="nil"/>
              <w:right w:val="nil"/>
            </w:tcBorders>
            <w:shd w:val="clear" w:color="auto" w:fill="auto"/>
            <w:noWrap/>
            <w:vAlign w:val="center"/>
            <w:hideMark/>
          </w:tcPr>
          <w:p w14:paraId="1AC1F670" w14:textId="77777777" w:rsidR="00DD4366" w:rsidRPr="00D5319F" w:rsidRDefault="00DD4366" w:rsidP="004A4A18">
            <w:pPr>
              <w:jc w:val="right"/>
              <w:rPr>
                <w:rFonts w:ascii="Arial" w:hAnsi="Arial" w:cs="Arial"/>
                <w:color w:val="000000"/>
                <w:sz w:val="18"/>
                <w:szCs w:val="18"/>
              </w:rPr>
            </w:pPr>
            <w:r w:rsidRPr="00D5319F">
              <w:rPr>
                <w:rFonts w:ascii="Arial" w:hAnsi="Arial" w:cs="Arial"/>
                <w:sz w:val="18"/>
                <w:szCs w:val="18"/>
              </w:rPr>
              <w:t xml:space="preserve">                  0.4 </w:t>
            </w:r>
          </w:p>
        </w:tc>
        <w:tc>
          <w:tcPr>
            <w:tcW w:w="1328" w:type="dxa"/>
            <w:tcBorders>
              <w:top w:val="nil"/>
              <w:left w:val="nil"/>
              <w:bottom w:val="nil"/>
              <w:right w:val="nil"/>
            </w:tcBorders>
            <w:shd w:val="clear" w:color="auto" w:fill="auto"/>
            <w:noWrap/>
            <w:vAlign w:val="center"/>
            <w:hideMark/>
          </w:tcPr>
          <w:p w14:paraId="1E17E04F" w14:textId="68C9EDF8" w:rsidR="00DD4366" w:rsidRPr="00D5319F" w:rsidRDefault="00DD4366" w:rsidP="004A4A18">
            <w:pPr>
              <w:jc w:val="right"/>
              <w:rPr>
                <w:rFonts w:ascii="Arial" w:hAnsi="Arial" w:cs="Arial"/>
                <w:color w:val="000000"/>
                <w:sz w:val="18"/>
                <w:szCs w:val="18"/>
              </w:rPr>
            </w:pPr>
            <w:r w:rsidRPr="00D5319F">
              <w:rPr>
                <w:rFonts w:ascii="Arial" w:hAnsi="Arial" w:cs="Arial"/>
                <w:color w:val="000000"/>
                <w:sz w:val="18"/>
                <w:szCs w:val="18"/>
              </w:rPr>
              <w:t>6</w:t>
            </w:r>
            <w:r w:rsidR="00B3688A">
              <w:rPr>
                <w:rFonts w:ascii="Arial" w:hAnsi="Arial" w:cs="Arial"/>
                <w:color w:val="000000"/>
                <w:sz w:val="18"/>
                <w:szCs w:val="18"/>
              </w:rPr>
              <w:t xml:space="preserve"> </w:t>
            </w:r>
            <w:r w:rsidRPr="00D5319F">
              <w:rPr>
                <w:rFonts w:ascii="Arial" w:hAnsi="Arial" w:cs="Arial"/>
                <w:color w:val="000000"/>
                <w:sz w:val="18"/>
                <w:szCs w:val="18"/>
              </w:rPr>
              <w:t>954</w:t>
            </w:r>
          </w:p>
        </w:tc>
        <w:tc>
          <w:tcPr>
            <w:tcW w:w="1147" w:type="dxa"/>
            <w:tcBorders>
              <w:top w:val="nil"/>
              <w:left w:val="nil"/>
              <w:bottom w:val="nil"/>
              <w:right w:val="single" w:sz="8" w:space="0" w:color="auto"/>
            </w:tcBorders>
            <w:shd w:val="clear" w:color="auto" w:fill="auto"/>
            <w:noWrap/>
            <w:vAlign w:val="center"/>
            <w:hideMark/>
          </w:tcPr>
          <w:p w14:paraId="15050454" w14:textId="77777777" w:rsidR="00DD4366" w:rsidRPr="00D5319F" w:rsidRDefault="00DD4366" w:rsidP="004A4A18">
            <w:pPr>
              <w:jc w:val="center"/>
              <w:rPr>
                <w:rFonts w:ascii="Arial" w:hAnsi="Arial" w:cs="Arial"/>
                <w:color w:val="000000"/>
                <w:sz w:val="18"/>
                <w:szCs w:val="18"/>
              </w:rPr>
            </w:pPr>
            <w:r w:rsidRPr="00D5319F">
              <w:rPr>
                <w:rFonts w:ascii="Arial" w:hAnsi="Arial" w:cs="Arial"/>
                <w:color w:val="000000"/>
                <w:sz w:val="18"/>
                <w:szCs w:val="18"/>
              </w:rPr>
              <w:t>0.4</w:t>
            </w:r>
          </w:p>
        </w:tc>
      </w:tr>
      <w:tr w:rsidR="00DD4366" w:rsidRPr="00D5319F" w14:paraId="44BBB300" w14:textId="77777777" w:rsidTr="00CC371E">
        <w:trPr>
          <w:trHeight w:val="300"/>
        </w:trPr>
        <w:tc>
          <w:tcPr>
            <w:tcW w:w="3506" w:type="dxa"/>
            <w:tcBorders>
              <w:top w:val="nil"/>
              <w:left w:val="single" w:sz="8" w:space="0" w:color="auto"/>
              <w:bottom w:val="nil"/>
              <w:right w:val="single" w:sz="8" w:space="0" w:color="auto"/>
            </w:tcBorders>
            <w:shd w:val="clear" w:color="auto" w:fill="F4B083" w:themeFill="accent2" w:themeFillTint="99"/>
            <w:noWrap/>
            <w:vAlign w:val="center"/>
            <w:hideMark/>
          </w:tcPr>
          <w:p w14:paraId="6624FF0C" w14:textId="77777777" w:rsidR="00DD4366" w:rsidRPr="00D5319F" w:rsidRDefault="00DD4366" w:rsidP="004A4A18">
            <w:pPr>
              <w:rPr>
                <w:rFonts w:ascii="Arial" w:hAnsi="Arial" w:cs="Arial"/>
                <w:b/>
                <w:bCs/>
                <w:color w:val="000000"/>
                <w:sz w:val="18"/>
                <w:szCs w:val="18"/>
              </w:rPr>
            </w:pPr>
            <w:r w:rsidRPr="00D5319F">
              <w:rPr>
                <w:rFonts w:ascii="Arial" w:hAnsi="Arial" w:cs="Arial"/>
                <w:b/>
                <w:bCs/>
                <w:color w:val="000000"/>
                <w:sz w:val="18"/>
                <w:szCs w:val="18"/>
              </w:rPr>
              <w:t>Utilización</w:t>
            </w:r>
          </w:p>
        </w:tc>
        <w:tc>
          <w:tcPr>
            <w:tcW w:w="1328" w:type="dxa"/>
            <w:tcBorders>
              <w:top w:val="nil"/>
              <w:left w:val="nil"/>
              <w:bottom w:val="nil"/>
              <w:right w:val="nil"/>
            </w:tcBorders>
            <w:shd w:val="clear" w:color="auto" w:fill="F4B083" w:themeFill="accent2" w:themeFillTint="99"/>
            <w:noWrap/>
            <w:vAlign w:val="center"/>
            <w:hideMark/>
          </w:tcPr>
          <w:p w14:paraId="34594D65" w14:textId="7B3485CF" w:rsidR="00DD4366" w:rsidRPr="00D5319F" w:rsidRDefault="00DD4366" w:rsidP="004A4A18">
            <w:pPr>
              <w:jc w:val="right"/>
              <w:rPr>
                <w:rFonts w:ascii="Arial" w:hAnsi="Arial" w:cs="Arial"/>
                <w:b/>
                <w:bCs/>
                <w:color w:val="000000"/>
                <w:sz w:val="18"/>
                <w:szCs w:val="18"/>
              </w:rPr>
            </w:pPr>
            <w:r w:rsidRPr="00D5319F">
              <w:rPr>
                <w:rFonts w:ascii="Arial" w:hAnsi="Arial" w:cs="Arial"/>
                <w:b/>
                <w:bCs/>
                <w:sz w:val="18"/>
                <w:szCs w:val="18"/>
              </w:rPr>
              <w:t>2</w:t>
            </w:r>
            <w:r w:rsidR="00B3688A">
              <w:rPr>
                <w:rFonts w:ascii="Arial" w:hAnsi="Arial" w:cs="Arial"/>
                <w:b/>
                <w:bCs/>
                <w:sz w:val="18"/>
                <w:szCs w:val="18"/>
              </w:rPr>
              <w:t xml:space="preserve"> </w:t>
            </w:r>
            <w:r w:rsidRPr="00D5319F">
              <w:rPr>
                <w:rFonts w:ascii="Arial" w:hAnsi="Arial" w:cs="Arial"/>
                <w:b/>
                <w:bCs/>
                <w:sz w:val="18"/>
                <w:szCs w:val="18"/>
              </w:rPr>
              <w:t>008</w:t>
            </w:r>
            <w:r w:rsidR="00B3688A">
              <w:rPr>
                <w:rFonts w:ascii="Arial" w:hAnsi="Arial" w:cs="Arial"/>
                <w:b/>
                <w:bCs/>
                <w:sz w:val="18"/>
                <w:szCs w:val="18"/>
              </w:rPr>
              <w:t xml:space="preserve"> </w:t>
            </w:r>
            <w:r w:rsidRPr="00D5319F">
              <w:rPr>
                <w:rFonts w:ascii="Arial" w:hAnsi="Arial" w:cs="Arial"/>
                <w:b/>
                <w:bCs/>
                <w:sz w:val="18"/>
                <w:szCs w:val="18"/>
              </w:rPr>
              <w:t>418</w:t>
            </w:r>
          </w:p>
        </w:tc>
        <w:tc>
          <w:tcPr>
            <w:tcW w:w="1328" w:type="dxa"/>
            <w:tcBorders>
              <w:top w:val="nil"/>
              <w:left w:val="nil"/>
              <w:bottom w:val="nil"/>
              <w:right w:val="nil"/>
            </w:tcBorders>
            <w:shd w:val="clear" w:color="auto" w:fill="F4B083" w:themeFill="accent2" w:themeFillTint="99"/>
            <w:noWrap/>
            <w:vAlign w:val="center"/>
            <w:hideMark/>
          </w:tcPr>
          <w:p w14:paraId="60FAF3F5" w14:textId="77777777" w:rsidR="00DD4366" w:rsidRPr="00D5319F" w:rsidRDefault="00DD4366" w:rsidP="004A4A18">
            <w:pPr>
              <w:jc w:val="right"/>
              <w:rPr>
                <w:rFonts w:ascii="Arial" w:hAnsi="Arial" w:cs="Arial"/>
                <w:b/>
                <w:bCs/>
                <w:color w:val="000000"/>
                <w:sz w:val="18"/>
                <w:szCs w:val="18"/>
              </w:rPr>
            </w:pPr>
            <w:r w:rsidRPr="00D5319F">
              <w:rPr>
                <w:rFonts w:ascii="Arial" w:hAnsi="Arial" w:cs="Arial"/>
                <w:b/>
                <w:bCs/>
                <w:sz w:val="18"/>
                <w:szCs w:val="18"/>
              </w:rPr>
              <w:t xml:space="preserve">             100.0 </w:t>
            </w:r>
          </w:p>
        </w:tc>
        <w:tc>
          <w:tcPr>
            <w:tcW w:w="1328" w:type="dxa"/>
            <w:tcBorders>
              <w:top w:val="nil"/>
              <w:left w:val="nil"/>
              <w:bottom w:val="nil"/>
              <w:right w:val="nil"/>
            </w:tcBorders>
            <w:shd w:val="clear" w:color="auto" w:fill="F4B083" w:themeFill="accent2" w:themeFillTint="99"/>
            <w:noWrap/>
            <w:vAlign w:val="center"/>
            <w:hideMark/>
          </w:tcPr>
          <w:p w14:paraId="166DD6CC" w14:textId="5F8A4D30" w:rsidR="00DD4366" w:rsidRPr="00D5319F" w:rsidRDefault="00DD4366" w:rsidP="004A4A18">
            <w:pPr>
              <w:jc w:val="right"/>
              <w:rPr>
                <w:rFonts w:ascii="Arial" w:hAnsi="Arial" w:cs="Arial"/>
                <w:b/>
                <w:bCs/>
                <w:color w:val="000000"/>
                <w:sz w:val="18"/>
                <w:szCs w:val="18"/>
              </w:rPr>
            </w:pPr>
            <w:r w:rsidRPr="00D5319F">
              <w:rPr>
                <w:rFonts w:ascii="Arial" w:hAnsi="Arial" w:cs="Arial"/>
                <w:b/>
                <w:bCs/>
                <w:sz w:val="18"/>
                <w:szCs w:val="18"/>
              </w:rPr>
              <w:t>1</w:t>
            </w:r>
            <w:r w:rsidR="00B3688A">
              <w:rPr>
                <w:rFonts w:ascii="Arial" w:hAnsi="Arial" w:cs="Arial"/>
                <w:b/>
                <w:bCs/>
                <w:sz w:val="18"/>
                <w:szCs w:val="18"/>
              </w:rPr>
              <w:t xml:space="preserve"> </w:t>
            </w:r>
            <w:r w:rsidRPr="00D5319F">
              <w:rPr>
                <w:rFonts w:ascii="Arial" w:hAnsi="Arial" w:cs="Arial"/>
                <w:b/>
                <w:bCs/>
                <w:sz w:val="18"/>
                <w:szCs w:val="18"/>
              </w:rPr>
              <w:t>838</w:t>
            </w:r>
            <w:r w:rsidR="00B3688A">
              <w:rPr>
                <w:rFonts w:ascii="Arial" w:hAnsi="Arial" w:cs="Arial"/>
                <w:b/>
                <w:bCs/>
                <w:sz w:val="18"/>
                <w:szCs w:val="18"/>
              </w:rPr>
              <w:t xml:space="preserve"> </w:t>
            </w:r>
            <w:r w:rsidRPr="00D5319F">
              <w:rPr>
                <w:rFonts w:ascii="Arial" w:hAnsi="Arial" w:cs="Arial"/>
                <w:b/>
                <w:bCs/>
                <w:sz w:val="18"/>
                <w:szCs w:val="18"/>
              </w:rPr>
              <w:t>861</w:t>
            </w:r>
          </w:p>
        </w:tc>
        <w:tc>
          <w:tcPr>
            <w:tcW w:w="1147" w:type="dxa"/>
            <w:tcBorders>
              <w:top w:val="nil"/>
              <w:left w:val="nil"/>
              <w:bottom w:val="nil"/>
              <w:right w:val="single" w:sz="8" w:space="0" w:color="auto"/>
            </w:tcBorders>
            <w:shd w:val="clear" w:color="auto" w:fill="F4B083" w:themeFill="accent2" w:themeFillTint="99"/>
            <w:noWrap/>
            <w:vAlign w:val="center"/>
            <w:hideMark/>
          </w:tcPr>
          <w:p w14:paraId="0ED60CF4" w14:textId="77777777" w:rsidR="00DD4366" w:rsidRPr="00D5319F" w:rsidRDefault="00DD4366" w:rsidP="004A4A18">
            <w:pPr>
              <w:jc w:val="center"/>
              <w:rPr>
                <w:rFonts w:ascii="Arial" w:hAnsi="Arial" w:cs="Arial"/>
                <w:b/>
                <w:bCs/>
                <w:color w:val="000000"/>
                <w:sz w:val="18"/>
                <w:szCs w:val="18"/>
              </w:rPr>
            </w:pPr>
            <w:r w:rsidRPr="00D5319F">
              <w:rPr>
                <w:rFonts w:ascii="Arial" w:hAnsi="Arial" w:cs="Arial"/>
                <w:b/>
                <w:bCs/>
                <w:sz w:val="18"/>
                <w:szCs w:val="18"/>
              </w:rPr>
              <w:t>100.0</w:t>
            </w:r>
          </w:p>
        </w:tc>
      </w:tr>
      <w:tr w:rsidR="00DD4366" w:rsidRPr="00D5319F" w14:paraId="05D3EC32" w14:textId="77777777" w:rsidTr="004A4A18">
        <w:trPr>
          <w:trHeight w:val="300"/>
        </w:trPr>
        <w:tc>
          <w:tcPr>
            <w:tcW w:w="3506" w:type="dxa"/>
            <w:tcBorders>
              <w:top w:val="nil"/>
              <w:left w:val="single" w:sz="8" w:space="0" w:color="auto"/>
              <w:bottom w:val="nil"/>
              <w:right w:val="single" w:sz="8" w:space="0" w:color="auto"/>
            </w:tcBorders>
            <w:shd w:val="clear" w:color="auto" w:fill="auto"/>
            <w:noWrap/>
            <w:vAlign w:val="center"/>
            <w:hideMark/>
          </w:tcPr>
          <w:p w14:paraId="6FCECFFA" w14:textId="77777777" w:rsidR="00DD4366" w:rsidRPr="00D5319F" w:rsidRDefault="00DD4366" w:rsidP="004A4A18">
            <w:pPr>
              <w:rPr>
                <w:rFonts w:ascii="Arial" w:hAnsi="Arial" w:cs="Arial"/>
                <w:color w:val="000000"/>
                <w:sz w:val="18"/>
                <w:szCs w:val="18"/>
              </w:rPr>
            </w:pPr>
            <w:r w:rsidRPr="00D5319F">
              <w:rPr>
                <w:rFonts w:ascii="Arial" w:hAnsi="Arial" w:cs="Arial"/>
                <w:color w:val="000000"/>
                <w:sz w:val="18"/>
                <w:szCs w:val="18"/>
              </w:rPr>
              <w:t xml:space="preserve"> - Demanda intermedia</w:t>
            </w:r>
          </w:p>
        </w:tc>
        <w:tc>
          <w:tcPr>
            <w:tcW w:w="1328" w:type="dxa"/>
            <w:tcBorders>
              <w:top w:val="nil"/>
              <w:left w:val="nil"/>
              <w:bottom w:val="nil"/>
              <w:right w:val="nil"/>
            </w:tcBorders>
            <w:shd w:val="clear" w:color="auto" w:fill="auto"/>
            <w:noWrap/>
            <w:vAlign w:val="center"/>
            <w:hideMark/>
          </w:tcPr>
          <w:p w14:paraId="6C0DA6E0" w14:textId="3EA1D20C" w:rsidR="00DD4366" w:rsidRPr="00D5319F" w:rsidRDefault="00DD4366" w:rsidP="004A4A18">
            <w:pPr>
              <w:jc w:val="right"/>
              <w:rPr>
                <w:rFonts w:ascii="Arial" w:hAnsi="Arial" w:cs="Arial"/>
                <w:color w:val="000000"/>
                <w:sz w:val="18"/>
                <w:szCs w:val="18"/>
              </w:rPr>
            </w:pPr>
            <w:r w:rsidRPr="00D5319F">
              <w:rPr>
                <w:rFonts w:ascii="Arial" w:hAnsi="Arial" w:cs="Arial"/>
                <w:color w:val="000000"/>
                <w:sz w:val="18"/>
                <w:szCs w:val="18"/>
              </w:rPr>
              <w:t>49</w:t>
            </w:r>
            <w:r w:rsidR="00B3688A">
              <w:rPr>
                <w:rFonts w:ascii="Arial" w:hAnsi="Arial" w:cs="Arial"/>
                <w:color w:val="000000"/>
                <w:sz w:val="18"/>
                <w:szCs w:val="18"/>
              </w:rPr>
              <w:t xml:space="preserve"> </w:t>
            </w:r>
            <w:r w:rsidRPr="00D5319F">
              <w:rPr>
                <w:rFonts w:ascii="Arial" w:hAnsi="Arial" w:cs="Arial"/>
                <w:color w:val="000000"/>
                <w:sz w:val="18"/>
                <w:szCs w:val="18"/>
              </w:rPr>
              <w:t>658</w:t>
            </w:r>
          </w:p>
        </w:tc>
        <w:tc>
          <w:tcPr>
            <w:tcW w:w="1328" w:type="dxa"/>
            <w:tcBorders>
              <w:top w:val="nil"/>
              <w:left w:val="nil"/>
              <w:bottom w:val="nil"/>
              <w:right w:val="nil"/>
            </w:tcBorders>
            <w:shd w:val="clear" w:color="auto" w:fill="auto"/>
            <w:noWrap/>
            <w:vAlign w:val="center"/>
            <w:hideMark/>
          </w:tcPr>
          <w:p w14:paraId="62C7BF5B" w14:textId="77777777" w:rsidR="00DD4366" w:rsidRPr="00D5319F" w:rsidRDefault="00DD4366" w:rsidP="004A4A18">
            <w:pPr>
              <w:jc w:val="right"/>
              <w:rPr>
                <w:rFonts w:ascii="Arial" w:hAnsi="Arial" w:cs="Arial"/>
                <w:color w:val="000000"/>
                <w:sz w:val="18"/>
                <w:szCs w:val="18"/>
              </w:rPr>
            </w:pPr>
            <w:r w:rsidRPr="00D5319F">
              <w:rPr>
                <w:rFonts w:ascii="Arial" w:hAnsi="Arial" w:cs="Arial"/>
                <w:sz w:val="18"/>
                <w:szCs w:val="18"/>
              </w:rPr>
              <w:t xml:space="preserve">                  2.5 </w:t>
            </w:r>
          </w:p>
        </w:tc>
        <w:tc>
          <w:tcPr>
            <w:tcW w:w="1328" w:type="dxa"/>
            <w:tcBorders>
              <w:top w:val="nil"/>
              <w:left w:val="nil"/>
              <w:bottom w:val="nil"/>
              <w:right w:val="nil"/>
            </w:tcBorders>
            <w:shd w:val="clear" w:color="auto" w:fill="auto"/>
            <w:noWrap/>
            <w:vAlign w:val="center"/>
            <w:hideMark/>
          </w:tcPr>
          <w:p w14:paraId="2404FA20" w14:textId="7FDAC225" w:rsidR="00DD4366" w:rsidRPr="00D5319F" w:rsidRDefault="00DD4366" w:rsidP="004A4A18">
            <w:pPr>
              <w:jc w:val="right"/>
              <w:rPr>
                <w:rFonts w:ascii="Arial" w:hAnsi="Arial" w:cs="Arial"/>
                <w:color w:val="000000"/>
                <w:sz w:val="18"/>
                <w:szCs w:val="18"/>
              </w:rPr>
            </w:pPr>
            <w:r w:rsidRPr="00D5319F">
              <w:rPr>
                <w:rFonts w:ascii="Arial" w:hAnsi="Arial" w:cs="Arial"/>
                <w:color w:val="000000"/>
                <w:sz w:val="18"/>
                <w:szCs w:val="18"/>
              </w:rPr>
              <w:t>43</w:t>
            </w:r>
            <w:r w:rsidR="00B3688A">
              <w:rPr>
                <w:rFonts w:ascii="Arial" w:hAnsi="Arial" w:cs="Arial"/>
                <w:color w:val="000000"/>
                <w:sz w:val="18"/>
                <w:szCs w:val="18"/>
              </w:rPr>
              <w:t xml:space="preserve"> </w:t>
            </w:r>
            <w:r w:rsidRPr="00D5319F">
              <w:rPr>
                <w:rFonts w:ascii="Arial" w:hAnsi="Arial" w:cs="Arial"/>
                <w:color w:val="000000"/>
                <w:sz w:val="18"/>
                <w:szCs w:val="18"/>
              </w:rPr>
              <w:t>766</w:t>
            </w:r>
          </w:p>
        </w:tc>
        <w:tc>
          <w:tcPr>
            <w:tcW w:w="1147" w:type="dxa"/>
            <w:tcBorders>
              <w:top w:val="nil"/>
              <w:left w:val="nil"/>
              <w:bottom w:val="nil"/>
              <w:right w:val="single" w:sz="8" w:space="0" w:color="auto"/>
            </w:tcBorders>
            <w:shd w:val="clear" w:color="auto" w:fill="auto"/>
            <w:noWrap/>
            <w:vAlign w:val="center"/>
            <w:hideMark/>
          </w:tcPr>
          <w:p w14:paraId="6DFC5EF6" w14:textId="77777777" w:rsidR="00DD4366" w:rsidRPr="00D5319F" w:rsidRDefault="00DD4366" w:rsidP="004A4A18">
            <w:pPr>
              <w:jc w:val="center"/>
              <w:rPr>
                <w:rFonts w:ascii="Arial" w:hAnsi="Arial" w:cs="Arial"/>
                <w:color w:val="000000"/>
                <w:sz w:val="18"/>
                <w:szCs w:val="18"/>
              </w:rPr>
            </w:pPr>
            <w:r w:rsidRPr="00D5319F">
              <w:rPr>
                <w:rFonts w:ascii="Arial" w:hAnsi="Arial" w:cs="Arial"/>
                <w:sz w:val="18"/>
                <w:szCs w:val="18"/>
              </w:rPr>
              <w:t>2.4</w:t>
            </w:r>
          </w:p>
        </w:tc>
      </w:tr>
      <w:tr w:rsidR="00DD4366" w:rsidRPr="00D5319F" w14:paraId="7A641437" w14:textId="77777777" w:rsidTr="004A4A18">
        <w:trPr>
          <w:trHeight w:val="300"/>
        </w:trPr>
        <w:tc>
          <w:tcPr>
            <w:tcW w:w="3506" w:type="dxa"/>
            <w:tcBorders>
              <w:top w:val="nil"/>
              <w:left w:val="single" w:sz="8" w:space="0" w:color="auto"/>
              <w:bottom w:val="nil"/>
              <w:right w:val="single" w:sz="8" w:space="0" w:color="auto"/>
            </w:tcBorders>
            <w:shd w:val="clear" w:color="auto" w:fill="auto"/>
            <w:noWrap/>
            <w:vAlign w:val="center"/>
            <w:hideMark/>
          </w:tcPr>
          <w:p w14:paraId="2E18F223" w14:textId="77777777" w:rsidR="00DD4366" w:rsidRPr="00D5319F" w:rsidRDefault="00DD4366" w:rsidP="004A4A18">
            <w:pPr>
              <w:rPr>
                <w:rFonts w:ascii="Arial" w:hAnsi="Arial" w:cs="Arial"/>
                <w:color w:val="000000"/>
                <w:sz w:val="18"/>
                <w:szCs w:val="18"/>
              </w:rPr>
            </w:pPr>
            <w:r w:rsidRPr="00D5319F">
              <w:rPr>
                <w:rFonts w:ascii="Arial" w:hAnsi="Arial" w:cs="Arial"/>
                <w:color w:val="000000"/>
                <w:sz w:val="18"/>
                <w:szCs w:val="18"/>
              </w:rPr>
              <w:t xml:space="preserve"> - Demanda final</w:t>
            </w:r>
          </w:p>
        </w:tc>
        <w:tc>
          <w:tcPr>
            <w:tcW w:w="1328" w:type="dxa"/>
            <w:tcBorders>
              <w:top w:val="nil"/>
              <w:left w:val="nil"/>
              <w:bottom w:val="nil"/>
              <w:right w:val="nil"/>
            </w:tcBorders>
            <w:shd w:val="clear" w:color="auto" w:fill="auto"/>
            <w:noWrap/>
            <w:vAlign w:val="center"/>
            <w:hideMark/>
          </w:tcPr>
          <w:p w14:paraId="0E0DF67E" w14:textId="77777777" w:rsidR="00DD4366" w:rsidRPr="00D5319F" w:rsidRDefault="00DD4366" w:rsidP="004A4A18">
            <w:pPr>
              <w:rPr>
                <w:rFonts w:ascii="Arial" w:hAnsi="Arial" w:cs="Arial"/>
                <w:color w:val="000000"/>
                <w:sz w:val="18"/>
                <w:szCs w:val="18"/>
              </w:rPr>
            </w:pPr>
          </w:p>
        </w:tc>
        <w:tc>
          <w:tcPr>
            <w:tcW w:w="1328" w:type="dxa"/>
            <w:tcBorders>
              <w:top w:val="nil"/>
              <w:left w:val="nil"/>
              <w:bottom w:val="nil"/>
              <w:right w:val="nil"/>
            </w:tcBorders>
            <w:shd w:val="clear" w:color="auto" w:fill="auto"/>
            <w:noWrap/>
            <w:vAlign w:val="center"/>
            <w:hideMark/>
          </w:tcPr>
          <w:p w14:paraId="48B60814" w14:textId="77777777" w:rsidR="00DD4366" w:rsidRPr="00D5319F" w:rsidRDefault="00DD4366" w:rsidP="004A4A18">
            <w:pPr>
              <w:jc w:val="right"/>
            </w:pPr>
          </w:p>
        </w:tc>
        <w:tc>
          <w:tcPr>
            <w:tcW w:w="1328" w:type="dxa"/>
            <w:tcBorders>
              <w:top w:val="nil"/>
              <w:left w:val="nil"/>
              <w:bottom w:val="nil"/>
              <w:right w:val="nil"/>
            </w:tcBorders>
            <w:shd w:val="clear" w:color="auto" w:fill="auto"/>
            <w:noWrap/>
            <w:vAlign w:val="center"/>
            <w:hideMark/>
          </w:tcPr>
          <w:p w14:paraId="0A60CBF9" w14:textId="77777777" w:rsidR="00DD4366" w:rsidRPr="00D5319F" w:rsidRDefault="00DD4366" w:rsidP="004A4A18">
            <w:pPr>
              <w:jc w:val="right"/>
            </w:pPr>
          </w:p>
        </w:tc>
        <w:tc>
          <w:tcPr>
            <w:tcW w:w="1147" w:type="dxa"/>
            <w:tcBorders>
              <w:top w:val="nil"/>
              <w:left w:val="nil"/>
              <w:bottom w:val="nil"/>
              <w:right w:val="single" w:sz="8" w:space="0" w:color="auto"/>
            </w:tcBorders>
            <w:shd w:val="clear" w:color="auto" w:fill="auto"/>
            <w:noWrap/>
            <w:vAlign w:val="center"/>
            <w:hideMark/>
          </w:tcPr>
          <w:p w14:paraId="3E7DC7BB" w14:textId="77777777" w:rsidR="00DD4366" w:rsidRPr="00D5319F" w:rsidRDefault="00DD4366" w:rsidP="004A4A18">
            <w:pPr>
              <w:jc w:val="center"/>
              <w:rPr>
                <w:rFonts w:ascii="Arial" w:hAnsi="Arial" w:cs="Arial"/>
                <w:color w:val="000000"/>
                <w:sz w:val="18"/>
                <w:szCs w:val="18"/>
              </w:rPr>
            </w:pPr>
            <w:r w:rsidRPr="00D5319F">
              <w:rPr>
                <w:rFonts w:ascii="Arial" w:hAnsi="Arial" w:cs="Arial"/>
                <w:bCs/>
                <w:color w:val="000000"/>
                <w:sz w:val="18"/>
                <w:szCs w:val="18"/>
              </w:rPr>
              <w:t> </w:t>
            </w:r>
          </w:p>
        </w:tc>
      </w:tr>
      <w:tr w:rsidR="00DD4366" w:rsidRPr="00D5319F" w14:paraId="577A8AD9" w14:textId="77777777" w:rsidTr="004A4A18">
        <w:trPr>
          <w:trHeight w:val="300"/>
        </w:trPr>
        <w:tc>
          <w:tcPr>
            <w:tcW w:w="3506" w:type="dxa"/>
            <w:tcBorders>
              <w:top w:val="nil"/>
              <w:left w:val="single" w:sz="8" w:space="0" w:color="auto"/>
              <w:bottom w:val="nil"/>
              <w:right w:val="single" w:sz="8" w:space="0" w:color="auto"/>
            </w:tcBorders>
            <w:shd w:val="clear" w:color="auto" w:fill="auto"/>
            <w:noWrap/>
            <w:vAlign w:val="center"/>
            <w:hideMark/>
          </w:tcPr>
          <w:p w14:paraId="6C688687" w14:textId="77777777" w:rsidR="00DD4366" w:rsidRPr="00D5319F" w:rsidRDefault="00DD4366" w:rsidP="004A4A18">
            <w:pPr>
              <w:ind w:firstLineChars="100" w:firstLine="180"/>
              <w:rPr>
                <w:rFonts w:ascii="Arial" w:hAnsi="Arial" w:cs="Arial"/>
                <w:color w:val="000000"/>
                <w:sz w:val="18"/>
                <w:szCs w:val="18"/>
              </w:rPr>
            </w:pPr>
            <w:r w:rsidRPr="00D5319F">
              <w:rPr>
                <w:rFonts w:ascii="Arial" w:hAnsi="Arial" w:cs="Arial"/>
                <w:color w:val="000000"/>
                <w:sz w:val="18"/>
                <w:szCs w:val="18"/>
              </w:rPr>
              <w:t xml:space="preserve">  Consumo privado</w:t>
            </w:r>
          </w:p>
        </w:tc>
        <w:tc>
          <w:tcPr>
            <w:tcW w:w="1328" w:type="dxa"/>
            <w:tcBorders>
              <w:top w:val="nil"/>
              <w:left w:val="nil"/>
              <w:bottom w:val="nil"/>
              <w:right w:val="nil"/>
            </w:tcBorders>
            <w:shd w:val="clear" w:color="auto" w:fill="auto"/>
            <w:noWrap/>
            <w:vAlign w:val="center"/>
            <w:hideMark/>
          </w:tcPr>
          <w:p w14:paraId="00FDCF53" w14:textId="6E4B0FE5" w:rsidR="00DD4366" w:rsidRPr="00D5319F" w:rsidRDefault="00DD4366" w:rsidP="004A4A18">
            <w:pPr>
              <w:jc w:val="right"/>
              <w:rPr>
                <w:rFonts w:ascii="Arial" w:hAnsi="Arial" w:cs="Arial"/>
                <w:color w:val="000000"/>
                <w:sz w:val="18"/>
                <w:szCs w:val="18"/>
              </w:rPr>
            </w:pPr>
            <w:r w:rsidRPr="00D5319F">
              <w:rPr>
                <w:rFonts w:ascii="Arial" w:hAnsi="Arial" w:cs="Arial"/>
                <w:color w:val="000000"/>
                <w:sz w:val="18"/>
                <w:szCs w:val="18"/>
              </w:rPr>
              <w:t>500</w:t>
            </w:r>
            <w:r w:rsidR="00B3688A">
              <w:rPr>
                <w:rFonts w:ascii="Arial" w:hAnsi="Arial" w:cs="Arial"/>
                <w:color w:val="000000"/>
                <w:sz w:val="18"/>
                <w:szCs w:val="18"/>
              </w:rPr>
              <w:t xml:space="preserve"> </w:t>
            </w:r>
            <w:r w:rsidRPr="00D5319F">
              <w:rPr>
                <w:rFonts w:ascii="Arial" w:hAnsi="Arial" w:cs="Arial"/>
                <w:color w:val="000000"/>
                <w:sz w:val="18"/>
                <w:szCs w:val="18"/>
              </w:rPr>
              <w:t>176</w:t>
            </w:r>
          </w:p>
        </w:tc>
        <w:tc>
          <w:tcPr>
            <w:tcW w:w="1328" w:type="dxa"/>
            <w:tcBorders>
              <w:top w:val="nil"/>
              <w:left w:val="nil"/>
              <w:bottom w:val="nil"/>
              <w:right w:val="nil"/>
            </w:tcBorders>
            <w:shd w:val="clear" w:color="auto" w:fill="auto"/>
            <w:noWrap/>
            <w:vAlign w:val="center"/>
            <w:hideMark/>
          </w:tcPr>
          <w:p w14:paraId="24075462" w14:textId="77777777" w:rsidR="00DD4366" w:rsidRPr="00D5319F" w:rsidRDefault="00DD4366" w:rsidP="004A4A18">
            <w:pPr>
              <w:jc w:val="right"/>
              <w:rPr>
                <w:rFonts w:ascii="Arial" w:hAnsi="Arial" w:cs="Arial"/>
                <w:color w:val="000000"/>
                <w:sz w:val="18"/>
                <w:szCs w:val="18"/>
              </w:rPr>
            </w:pPr>
            <w:r w:rsidRPr="00D5319F">
              <w:rPr>
                <w:rFonts w:ascii="Arial" w:hAnsi="Arial" w:cs="Arial"/>
                <w:sz w:val="18"/>
                <w:szCs w:val="18"/>
              </w:rPr>
              <w:t xml:space="preserve">                24.9 </w:t>
            </w:r>
          </w:p>
        </w:tc>
        <w:tc>
          <w:tcPr>
            <w:tcW w:w="1328" w:type="dxa"/>
            <w:tcBorders>
              <w:top w:val="nil"/>
              <w:left w:val="nil"/>
              <w:bottom w:val="nil"/>
              <w:right w:val="nil"/>
            </w:tcBorders>
            <w:shd w:val="clear" w:color="auto" w:fill="auto"/>
            <w:noWrap/>
            <w:vAlign w:val="center"/>
            <w:hideMark/>
          </w:tcPr>
          <w:p w14:paraId="483CF40A" w14:textId="556906B4" w:rsidR="00DD4366" w:rsidRPr="00D5319F" w:rsidRDefault="00DD4366" w:rsidP="004A4A18">
            <w:pPr>
              <w:jc w:val="right"/>
              <w:rPr>
                <w:rFonts w:ascii="Arial" w:hAnsi="Arial" w:cs="Arial"/>
                <w:color w:val="000000"/>
                <w:sz w:val="18"/>
                <w:szCs w:val="18"/>
              </w:rPr>
            </w:pPr>
            <w:r w:rsidRPr="00D5319F">
              <w:rPr>
                <w:rFonts w:ascii="Arial" w:hAnsi="Arial" w:cs="Arial"/>
                <w:color w:val="000000"/>
                <w:sz w:val="18"/>
                <w:szCs w:val="18"/>
              </w:rPr>
              <w:t>521</w:t>
            </w:r>
            <w:r w:rsidR="00B3688A">
              <w:rPr>
                <w:rFonts w:ascii="Arial" w:hAnsi="Arial" w:cs="Arial"/>
                <w:color w:val="000000"/>
                <w:sz w:val="18"/>
                <w:szCs w:val="18"/>
              </w:rPr>
              <w:t xml:space="preserve"> </w:t>
            </w:r>
            <w:r w:rsidRPr="00D5319F">
              <w:rPr>
                <w:rFonts w:ascii="Arial" w:hAnsi="Arial" w:cs="Arial"/>
                <w:color w:val="000000"/>
                <w:sz w:val="18"/>
                <w:szCs w:val="18"/>
              </w:rPr>
              <w:t>674</w:t>
            </w:r>
          </w:p>
        </w:tc>
        <w:tc>
          <w:tcPr>
            <w:tcW w:w="1147" w:type="dxa"/>
            <w:tcBorders>
              <w:top w:val="nil"/>
              <w:left w:val="nil"/>
              <w:bottom w:val="nil"/>
              <w:right w:val="single" w:sz="8" w:space="0" w:color="auto"/>
            </w:tcBorders>
            <w:shd w:val="clear" w:color="auto" w:fill="auto"/>
            <w:noWrap/>
            <w:vAlign w:val="center"/>
            <w:hideMark/>
          </w:tcPr>
          <w:p w14:paraId="656B1110" w14:textId="77777777" w:rsidR="00DD4366" w:rsidRPr="00D5319F" w:rsidRDefault="00DD4366" w:rsidP="004A4A18">
            <w:pPr>
              <w:jc w:val="center"/>
              <w:rPr>
                <w:rFonts w:ascii="Arial" w:hAnsi="Arial" w:cs="Arial"/>
                <w:color w:val="000000"/>
                <w:sz w:val="18"/>
                <w:szCs w:val="18"/>
              </w:rPr>
            </w:pPr>
            <w:r w:rsidRPr="00D5319F">
              <w:rPr>
                <w:rFonts w:ascii="Arial" w:hAnsi="Arial" w:cs="Arial"/>
                <w:sz w:val="18"/>
                <w:szCs w:val="18"/>
              </w:rPr>
              <w:t>28.4</w:t>
            </w:r>
          </w:p>
        </w:tc>
      </w:tr>
      <w:tr w:rsidR="00DD4366" w:rsidRPr="00D5319F" w14:paraId="777CD2CC" w14:textId="77777777" w:rsidTr="004A4A18">
        <w:trPr>
          <w:trHeight w:val="300"/>
        </w:trPr>
        <w:tc>
          <w:tcPr>
            <w:tcW w:w="3506" w:type="dxa"/>
            <w:tcBorders>
              <w:top w:val="nil"/>
              <w:left w:val="single" w:sz="8" w:space="0" w:color="auto"/>
              <w:bottom w:val="nil"/>
              <w:right w:val="single" w:sz="8" w:space="0" w:color="auto"/>
            </w:tcBorders>
            <w:shd w:val="clear" w:color="auto" w:fill="auto"/>
            <w:noWrap/>
            <w:vAlign w:val="center"/>
            <w:hideMark/>
          </w:tcPr>
          <w:p w14:paraId="132D8039" w14:textId="77777777" w:rsidR="00DD4366" w:rsidRPr="00D5319F" w:rsidRDefault="00DD4366" w:rsidP="004A4A18">
            <w:pPr>
              <w:ind w:firstLineChars="100" w:firstLine="180"/>
              <w:rPr>
                <w:rFonts w:ascii="Arial" w:hAnsi="Arial" w:cs="Arial"/>
                <w:color w:val="000000"/>
                <w:sz w:val="18"/>
                <w:szCs w:val="18"/>
              </w:rPr>
            </w:pPr>
            <w:r w:rsidRPr="00D5319F">
              <w:rPr>
                <w:rFonts w:ascii="Arial" w:hAnsi="Arial" w:cs="Arial"/>
                <w:color w:val="000000"/>
                <w:sz w:val="18"/>
                <w:szCs w:val="18"/>
              </w:rPr>
              <w:t xml:space="preserve">  Consumo de gobierno</w:t>
            </w:r>
          </w:p>
        </w:tc>
        <w:tc>
          <w:tcPr>
            <w:tcW w:w="1328" w:type="dxa"/>
            <w:tcBorders>
              <w:top w:val="nil"/>
              <w:left w:val="nil"/>
              <w:bottom w:val="nil"/>
              <w:right w:val="nil"/>
            </w:tcBorders>
            <w:shd w:val="clear" w:color="auto" w:fill="auto"/>
            <w:noWrap/>
            <w:vAlign w:val="center"/>
            <w:hideMark/>
          </w:tcPr>
          <w:p w14:paraId="539CD8EE" w14:textId="3596458A" w:rsidR="00DD4366" w:rsidRPr="00D5319F" w:rsidRDefault="00DD4366" w:rsidP="004A4A18">
            <w:pPr>
              <w:jc w:val="right"/>
              <w:rPr>
                <w:rFonts w:ascii="Arial" w:hAnsi="Arial" w:cs="Arial"/>
                <w:color w:val="000000"/>
                <w:sz w:val="18"/>
                <w:szCs w:val="18"/>
              </w:rPr>
            </w:pPr>
            <w:r w:rsidRPr="00D5319F">
              <w:rPr>
                <w:rFonts w:ascii="Arial" w:hAnsi="Arial" w:cs="Arial"/>
                <w:color w:val="000000"/>
                <w:sz w:val="18"/>
                <w:szCs w:val="18"/>
              </w:rPr>
              <w:t>2</w:t>
            </w:r>
            <w:r w:rsidR="00B3688A">
              <w:rPr>
                <w:rFonts w:ascii="Arial" w:hAnsi="Arial" w:cs="Arial"/>
                <w:color w:val="000000"/>
                <w:sz w:val="18"/>
                <w:szCs w:val="18"/>
              </w:rPr>
              <w:t xml:space="preserve"> </w:t>
            </w:r>
            <w:r w:rsidRPr="00D5319F">
              <w:rPr>
                <w:rFonts w:ascii="Arial" w:hAnsi="Arial" w:cs="Arial"/>
                <w:color w:val="000000"/>
                <w:sz w:val="18"/>
                <w:szCs w:val="18"/>
              </w:rPr>
              <w:t>864</w:t>
            </w:r>
          </w:p>
        </w:tc>
        <w:tc>
          <w:tcPr>
            <w:tcW w:w="1328" w:type="dxa"/>
            <w:tcBorders>
              <w:top w:val="nil"/>
              <w:left w:val="nil"/>
              <w:bottom w:val="nil"/>
              <w:right w:val="nil"/>
            </w:tcBorders>
            <w:shd w:val="clear" w:color="auto" w:fill="auto"/>
            <w:noWrap/>
            <w:vAlign w:val="center"/>
            <w:hideMark/>
          </w:tcPr>
          <w:p w14:paraId="433B1494" w14:textId="77777777" w:rsidR="00DD4366" w:rsidRPr="00D5319F" w:rsidRDefault="00DD4366" w:rsidP="004A4A18">
            <w:pPr>
              <w:jc w:val="right"/>
              <w:rPr>
                <w:rFonts w:ascii="Arial" w:hAnsi="Arial" w:cs="Arial"/>
                <w:color w:val="000000"/>
                <w:sz w:val="18"/>
                <w:szCs w:val="18"/>
              </w:rPr>
            </w:pPr>
            <w:r w:rsidRPr="00D5319F">
              <w:rPr>
                <w:rFonts w:ascii="Arial" w:hAnsi="Arial" w:cs="Arial"/>
                <w:color w:val="000000"/>
                <w:sz w:val="18"/>
                <w:szCs w:val="18"/>
              </w:rPr>
              <w:t xml:space="preserve">                  0.1 </w:t>
            </w:r>
          </w:p>
        </w:tc>
        <w:tc>
          <w:tcPr>
            <w:tcW w:w="1328" w:type="dxa"/>
            <w:tcBorders>
              <w:top w:val="nil"/>
              <w:left w:val="nil"/>
              <w:bottom w:val="nil"/>
              <w:right w:val="nil"/>
            </w:tcBorders>
            <w:shd w:val="clear" w:color="auto" w:fill="auto"/>
            <w:noWrap/>
            <w:vAlign w:val="center"/>
            <w:hideMark/>
          </w:tcPr>
          <w:p w14:paraId="4C913DBE" w14:textId="743BEC2E" w:rsidR="00DD4366" w:rsidRPr="00D5319F" w:rsidRDefault="00DD4366" w:rsidP="004A4A18">
            <w:pPr>
              <w:jc w:val="right"/>
              <w:rPr>
                <w:rFonts w:ascii="Arial" w:hAnsi="Arial" w:cs="Arial"/>
                <w:color w:val="000000"/>
                <w:sz w:val="18"/>
                <w:szCs w:val="18"/>
              </w:rPr>
            </w:pPr>
            <w:r w:rsidRPr="00D5319F">
              <w:rPr>
                <w:rFonts w:ascii="Arial" w:hAnsi="Arial" w:cs="Arial"/>
                <w:color w:val="000000"/>
                <w:sz w:val="18"/>
                <w:szCs w:val="18"/>
              </w:rPr>
              <w:t>2</w:t>
            </w:r>
            <w:r w:rsidR="00B3688A">
              <w:rPr>
                <w:rFonts w:ascii="Arial" w:hAnsi="Arial" w:cs="Arial"/>
                <w:color w:val="000000"/>
                <w:sz w:val="18"/>
                <w:szCs w:val="18"/>
              </w:rPr>
              <w:t xml:space="preserve"> </w:t>
            </w:r>
            <w:r w:rsidRPr="00D5319F">
              <w:rPr>
                <w:rFonts w:ascii="Arial" w:hAnsi="Arial" w:cs="Arial"/>
                <w:color w:val="000000"/>
                <w:sz w:val="18"/>
                <w:szCs w:val="18"/>
              </w:rPr>
              <w:t>749</w:t>
            </w:r>
          </w:p>
        </w:tc>
        <w:tc>
          <w:tcPr>
            <w:tcW w:w="1147" w:type="dxa"/>
            <w:tcBorders>
              <w:top w:val="nil"/>
              <w:left w:val="nil"/>
              <w:bottom w:val="nil"/>
              <w:right w:val="single" w:sz="8" w:space="0" w:color="auto"/>
            </w:tcBorders>
            <w:shd w:val="clear" w:color="auto" w:fill="auto"/>
            <w:noWrap/>
            <w:vAlign w:val="center"/>
            <w:hideMark/>
          </w:tcPr>
          <w:p w14:paraId="7AFA82E7" w14:textId="77777777" w:rsidR="00DD4366" w:rsidRPr="00D5319F" w:rsidRDefault="00DD4366" w:rsidP="004A4A18">
            <w:pPr>
              <w:jc w:val="center"/>
              <w:rPr>
                <w:rFonts w:ascii="Arial" w:hAnsi="Arial" w:cs="Arial"/>
                <w:color w:val="000000"/>
                <w:sz w:val="18"/>
                <w:szCs w:val="18"/>
              </w:rPr>
            </w:pPr>
            <w:r w:rsidRPr="00D5319F">
              <w:rPr>
                <w:rFonts w:ascii="Arial" w:hAnsi="Arial" w:cs="Arial"/>
                <w:color w:val="000000"/>
                <w:sz w:val="18"/>
                <w:szCs w:val="18"/>
              </w:rPr>
              <w:t>0.1</w:t>
            </w:r>
          </w:p>
        </w:tc>
      </w:tr>
      <w:tr w:rsidR="00DD4366" w:rsidRPr="00D5319F" w14:paraId="2697DFAD" w14:textId="77777777" w:rsidTr="004A4A18">
        <w:trPr>
          <w:trHeight w:val="315"/>
        </w:trPr>
        <w:tc>
          <w:tcPr>
            <w:tcW w:w="3506" w:type="dxa"/>
            <w:tcBorders>
              <w:top w:val="nil"/>
              <w:left w:val="single" w:sz="8" w:space="0" w:color="auto"/>
              <w:bottom w:val="nil"/>
              <w:right w:val="single" w:sz="8" w:space="0" w:color="auto"/>
            </w:tcBorders>
            <w:shd w:val="clear" w:color="auto" w:fill="auto"/>
            <w:noWrap/>
            <w:vAlign w:val="center"/>
            <w:hideMark/>
          </w:tcPr>
          <w:p w14:paraId="0AAFD81F" w14:textId="77777777" w:rsidR="00DD4366" w:rsidRPr="00D5319F" w:rsidRDefault="00DD4366" w:rsidP="004A4A18">
            <w:pPr>
              <w:ind w:firstLineChars="100" w:firstLine="180"/>
              <w:rPr>
                <w:rFonts w:ascii="Arial" w:hAnsi="Arial" w:cs="Arial"/>
                <w:color w:val="000000"/>
                <w:sz w:val="18"/>
                <w:szCs w:val="18"/>
              </w:rPr>
            </w:pPr>
            <w:r w:rsidRPr="00D5319F">
              <w:rPr>
                <w:rFonts w:ascii="Arial" w:hAnsi="Arial" w:cs="Arial"/>
                <w:color w:val="000000"/>
                <w:sz w:val="18"/>
                <w:szCs w:val="18"/>
              </w:rPr>
              <w:t xml:space="preserve">  Formación bruta de capital fijo</w:t>
            </w:r>
          </w:p>
        </w:tc>
        <w:tc>
          <w:tcPr>
            <w:tcW w:w="1328" w:type="dxa"/>
            <w:tcBorders>
              <w:top w:val="nil"/>
              <w:left w:val="nil"/>
              <w:bottom w:val="nil"/>
              <w:right w:val="nil"/>
            </w:tcBorders>
            <w:shd w:val="clear" w:color="auto" w:fill="auto"/>
            <w:noWrap/>
            <w:vAlign w:val="center"/>
            <w:hideMark/>
          </w:tcPr>
          <w:p w14:paraId="1702C20E" w14:textId="5A8CA418" w:rsidR="00DD4366" w:rsidRPr="00D5319F" w:rsidRDefault="00DD4366" w:rsidP="004A4A18">
            <w:pPr>
              <w:jc w:val="right"/>
              <w:rPr>
                <w:rFonts w:ascii="Arial" w:hAnsi="Arial" w:cs="Arial"/>
                <w:color w:val="000000"/>
                <w:sz w:val="18"/>
                <w:szCs w:val="18"/>
              </w:rPr>
            </w:pPr>
            <w:r w:rsidRPr="00D5319F">
              <w:rPr>
                <w:rFonts w:ascii="Arial" w:hAnsi="Arial" w:cs="Arial"/>
                <w:color w:val="000000"/>
                <w:sz w:val="18"/>
                <w:szCs w:val="18"/>
              </w:rPr>
              <w:t>1</w:t>
            </w:r>
            <w:r w:rsidR="00B3688A">
              <w:rPr>
                <w:rFonts w:ascii="Arial" w:hAnsi="Arial" w:cs="Arial"/>
                <w:color w:val="000000"/>
                <w:sz w:val="18"/>
                <w:szCs w:val="18"/>
              </w:rPr>
              <w:t xml:space="preserve"> </w:t>
            </w:r>
            <w:r w:rsidRPr="00D5319F">
              <w:rPr>
                <w:rFonts w:ascii="Arial" w:hAnsi="Arial" w:cs="Arial"/>
                <w:color w:val="000000"/>
                <w:sz w:val="18"/>
                <w:szCs w:val="18"/>
              </w:rPr>
              <w:t>455</w:t>
            </w:r>
            <w:r w:rsidR="00B3688A">
              <w:rPr>
                <w:rFonts w:ascii="Arial" w:hAnsi="Arial" w:cs="Arial"/>
                <w:color w:val="000000"/>
                <w:sz w:val="18"/>
                <w:szCs w:val="18"/>
              </w:rPr>
              <w:t xml:space="preserve"> </w:t>
            </w:r>
            <w:r w:rsidRPr="00D5319F">
              <w:rPr>
                <w:rFonts w:ascii="Arial" w:hAnsi="Arial" w:cs="Arial"/>
                <w:color w:val="000000"/>
                <w:sz w:val="18"/>
                <w:szCs w:val="18"/>
              </w:rPr>
              <w:t>720</w:t>
            </w:r>
          </w:p>
        </w:tc>
        <w:tc>
          <w:tcPr>
            <w:tcW w:w="1328" w:type="dxa"/>
            <w:tcBorders>
              <w:top w:val="nil"/>
              <w:left w:val="nil"/>
              <w:bottom w:val="nil"/>
              <w:right w:val="nil"/>
            </w:tcBorders>
            <w:shd w:val="clear" w:color="auto" w:fill="auto"/>
            <w:noWrap/>
            <w:vAlign w:val="center"/>
            <w:hideMark/>
          </w:tcPr>
          <w:p w14:paraId="5FDB4DAE" w14:textId="77777777" w:rsidR="00DD4366" w:rsidRPr="00D5319F" w:rsidRDefault="00DD4366" w:rsidP="004A4A18">
            <w:pPr>
              <w:jc w:val="right"/>
              <w:rPr>
                <w:rFonts w:ascii="Arial" w:hAnsi="Arial" w:cs="Arial"/>
                <w:color w:val="000000"/>
                <w:sz w:val="18"/>
                <w:szCs w:val="18"/>
              </w:rPr>
            </w:pPr>
            <w:r w:rsidRPr="00D5319F">
              <w:rPr>
                <w:rFonts w:ascii="Arial" w:hAnsi="Arial" w:cs="Arial"/>
                <w:color w:val="000000"/>
                <w:sz w:val="18"/>
                <w:szCs w:val="18"/>
              </w:rPr>
              <w:t xml:space="preserve">                72.5 </w:t>
            </w:r>
          </w:p>
        </w:tc>
        <w:tc>
          <w:tcPr>
            <w:tcW w:w="1328" w:type="dxa"/>
            <w:tcBorders>
              <w:top w:val="nil"/>
              <w:left w:val="nil"/>
              <w:bottom w:val="nil"/>
              <w:right w:val="nil"/>
            </w:tcBorders>
            <w:shd w:val="clear" w:color="auto" w:fill="auto"/>
            <w:noWrap/>
            <w:vAlign w:val="center"/>
            <w:hideMark/>
          </w:tcPr>
          <w:p w14:paraId="7B3FE7B2" w14:textId="295BF7F5" w:rsidR="00DD4366" w:rsidRPr="00D5319F" w:rsidRDefault="00DD4366" w:rsidP="004A4A18">
            <w:pPr>
              <w:jc w:val="right"/>
              <w:rPr>
                <w:rFonts w:ascii="Arial" w:hAnsi="Arial" w:cs="Arial"/>
                <w:color w:val="000000"/>
                <w:sz w:val="18"/>
                <w:szCs w:val="18"/>
              </w:rPr>
            </w:pPr>
            <w:r w:rsidRPr="00D5319F">
              <w:rPr>
                <w:rFonts w:ascii="Arial" w:hAnsi="Arial" w:cs="Arial"/>
                <w:color w:val="000000"/>
                <w:sz w:val="18"/>
                <w:szCs w:val="18"/>
              </w:rPr>
              <w:t>1</w:t>
            </w:r>
            <w:r w:rsidR="00B3688A">
              <w:rPr>
                <w:rFonts w:ascii="Arial" w:hAnsi="Arial" w:cs="Arial"/>
                <w:color w:val="000000"/>
                <w:sz w:val="18"/>
                <w:szCs w:val="18"/>
              </w:rPr>
              <w:t xml:space="preserve"> </w:t>
            </w:r>
            <w:r w:rsidRPr="00D5319F">
              <w:rPr>
                <w:rFonts w:ascii="Arial" w:hAnsi="Arial" w:cs="Arial"/>
                <w:color w:val="000000"/>
                <w:sz w:val="18"/>
                <w:szCs w:val="18"/>
              </w:rPr>
              <w:t>270</w:t>
            </w:r>
            <w:r w:rsidR="00B3688A">
              <w:rPr>
                <w:rFonts w:ascii="Arial" w:hAnsi="Arial" w:cs="Arial"/>
                <w:color w:val="000000"/>
                <w:sz w:val="18"/>
                <w:szCs w:val="18"/>
              </w:rPr>
              <w:t xml:space="preserve"> </w:t>
            </w:r>
            <w:r w:rsidRPr="00D5319F">
              <w:rPr>
                <w:rFonts w:ascii="Arial" w:hAnsi="Arial" w:cs="Arial"/>
                <w:color w:val="000000"/>
                <w:sz w:val="18"/>
                <w:szCs w:val="18"/>
              </w:rPr>
              <w:t>672</w:t>
            </w:r>
          </w:p>
        </w:tc>
        <w:tc>
          <w:tcPr>
            <w:tcW w:w="1147" w:type="dxa"/>
            <w:tcBorders>
              <w:top w:val="nil"/>
              <w:left w:val="nil"/>
              <w:bottom w:val="nil"/>
              <w:right w:val="single" w:sz="8" w:space="0" w:color="auto"/>
            </w:tcBorders>
            <w:shd w:val="clear" w:color="auto" w:fill="auto"/>
            <w:noWrap/>
            <w:vAlign w:val="center"/>
            <w:hideMark/>
          </w:tcPr>
          <w:p w14:paraId="5DA88F8C" w14:textId="77777777" w:rsidR="00DD4366" w:rsidRPr="00D5319F" w:rsidRDefault="00DD4366" w:rsidP="004A4A18">
            <w:pPr>
              <w:jc w:val="center"/>
              <w:rPr>
                <w:rFonts w:ascii="Arial" w:hAnsi="Arial" w:cs="Arial"/>
                <w:color w:val="000000"/>
                <w:sz w:val="18"/>
                <w:szCs w:val="18"/>
              </w:rPr>
            </w:pPr>
            <w:r w:rsidRPr="00D5319F">
              <w:rPr>
                <w:rFonts w:ascii="Arial" w:hAnsi="Arial" w:cs="Arial"/>
                <w:color w:val="000000"/>
                <w:sz w:val="18"/>
                <w:szCs w:val="18"/>
              </w:rPr>
              <w:t>69.1</w:t>
            </w:r>
          </w:p>
        </w:tc>
      </w:tr>
      <w:tr w:rsidR="00DD4366" w:rsidRPr="00D5319F" w14:paraId="00D62A28" w14:textId="77777777" w:rsidTr="004A4A18">
        <w:trPr>
          <w:trHeight w:val="315"/>
        </w:trPr>
        <w:tc>
          <w:tcPr>
            <w:tcW w:w="3506" w:type="dxa"/>
            <w:tcBorders>
              <w:top w:val="nil"/>
              <w:left w:val="single" w:sz="8" w:space="0" w:color="auto"/>
              <w:bottom w:val="single" w:sz="8" w:space="0" w:color="auto"/>
              <w:right w:val="single" w:sz="8" w:space="0" w:color="auto"/>
            </w:tcBorders>
            <w:shd w:val="clear" w:color="auto" w:fill="auto"/>
            <w:noWrap/>
            <w:vAlign w:val="center"/>
            <w:hideMark/>
          </w:tcPr>
          <w:p w14:paraId="2B6CC651" w14:textId="77777777" w:rsidR="00DD4366" w:rsidRPr="00D5319F" w:rsidRDefault="00DD4366" w:rsidP="004A4A18">
            <w:pPr>
              <w:ind w:firstLineChars="100" w:firstLine="180"/>
              <w:rPr>
                <w:rFonts w:ascii="Arial" w:hAnsi="Arial" w:cs="Arial"/>
                <w:color w:val="000000"/>
                <w:sz w:val="18"/>
                <w:szCs w:val="18"/>
              </w:rPr>
            </w:pPr>
            <w:r w:rsidRPr="00D5319F">
              <w:rPr>
                <w:rFonts w:ascii="Arial" w:hAnsi="Arial" w:cs="Arial"/>
                <w:color w:val="000000"/>
                <w:sz w:val="18"/>
                <w:szCs w:val="18"/>
              </w:rPr>
              <w:t xml:space="preserve">  Exportación de bienes FOB*</w:t>
            </w:r>
          </w:p>
        </w:tc>
        <w:tc>
          <w:tcPr>
            <w:tcW w:w="1328" w:type="dxa"/>
            <w:tcBorders>
              <w:top w:val="nil"/>
              <w:left w:val="nil"/>
              <w:bottom w:val="single" w:sz="8" w:space="0" w:color="auto"/>
              <w:right w:val="nil"/>
            </w:tcBorders>
            <w:shd w:val="clear" w:color="auto" w:fill="auto"/>
            <w:noWrap/>
            <w:vAlign w:val="center"/>
            <w:hideMark/>
          </w:tcPr>
          <w:p w14:paraId="0700DC6F" w14:textId="77777777" w:rsidR="00DD4366" w:rsidRPr="00D5319F" w:rsidRDefault="00DD4366" w:rsidP="004A4A18">
            <w:pPr>
              <w:jc w:val="right"/>
              <w:rPr>
                <w:rFonts w:ascii="Arial" w:hAnsi="Arial" w:cs="Arial"/>
                <w:color w:val="000000"/>
                <w:sz w:val="18"/>
                <w:szCs w:val="18"/>
              </w:rPr>
            </w:pPr>
            <w:r w:rsidRPr="00D5319F">
              <w:rPr>
                <w:rFonts w:ascii="Arial" w:hAnsi="Arial" w:cs="Arial"/>
                <w:color w:val="000000"/>
                <w:sz w:val="18"/>
                <w:szCs w:val="18"/>
              </w:rPr>
              <w:t>0</w:t>
            </w:r>
          </w:p>
        </w:tc>
        <w:tc>
          <w:tcPr>
            <w:tcW w:w="1328" w:type="dxa"/>
            <w:tcBorders>
              <w:top w:val="nil"/>
              <w:left w:val="nil"/>
              <w:bottom w:val="single" w:sz="8" w:space="0" w:color="auto"/>
              <w:right w:val="nil"/>
            </w:tcBorders>
            <w:shd w:val="clear" w:color="auto" w:fill="auto"/>
            <w:noWrap/>
            <w:vAlign w:val="center"/>
            <w:hideMark/>
          </w:tcPr>
          <w:p w14:paraId="47153AFB" w14:textId="77777777" w:rsidR="00DD4366" w:rsidRPr="00D5319F" w:rsidRDefault="00DD4366" w:rsidP="004A4A18">
            <w:pPr>
              <w:jc w:val="right"/>
              <w:rPr>
                <w:rFonts w:ascii="Arial" w:hAnsi="Arial" w:cs="Arial"/>
                <w:color w:val="000000"/>
                <w:sz w:val="18"/>
                <w:szCs w:val="18"/>
              </w:rPr>
            </w:pPr>
            <w:r w:rsidRPr="00D5319F">
              <w:rPr>
                <w:rFonts w:ascii="Arial" w:hAnsi="Arial" w:cs="Arial"/>
                <w:bCs/>
                <w:color w:val="000000"/>
                <w:sz w:val="18"/>
                <w:szCs w:val="18"/>
              </w:rPr>
              <w:t>0.0</w:t>
            </w:r>
          </w:p>
        </w:tc>
        <w:tc>
          <w:tcPr>
            <w:tcW w:w="1328" w:type="dxa"/>
            <w:tcBorders>
              <w:top w:val="nil"/>
              <w:left w:val="nil"/>
              <w:bottom w:val="single" w:sz="8" w:space="0" w:color="auto"/>
              <w:right w:val="nil"/>
            </w:tcBorders>
            <w:shd w:val="clear" w:color="auto" w:fill="auto"/>
            <w:noWrap/>
            <w:vAlign w:val="center"/>
            <w:hideMark/>
          </w:tcPr>
          <w:p w14:paraId="148492EB" w14:textId="77777777" w:rsidR="00DD4366" w:rsidRPr="00D5319F" w:rsidRDefault="00DD4366" w:rsidP="004A4A18">
            <w:pPr>
              <w:jc w:val="right"/>
              <w:rPr>
                <w:rFonts w:ascii="Arial" w:hAnsi="Arial" w:cs="Arial"/>
                <w:color w:val="000000"/>
                <w:sz w:val="18"/>
                <w:szCs w:val="18"/>
              </w:rPr>
            </w:pPr>
            <w:r w:rsidRPr="00D5319F">
              <w:rPr>
                <w:rFonts w:ascii="Arial" w:hAnsi="Arial" w:cs="Arial"/>
                <w:color w:val="000000"/>
                <w:sz w:val="18"/>
                <w:szCs w:val="18"/>
              </w:rPr>
              <w:t>0</w:t>
            </w:r>
          </w:p>
        </w:tc>
        <w:tc>
          <w:tcPr>
            <w:tcW w:w="1147" w:type="dxa"/>
            <w:tcBorders>
              <w:top w:val="nil"/>
              <w:left w:val="nil"/>
              <w:bottom w:val="single" w:sz="8" w:space="0" w:color="auto"/>
              <w:right w:val="single" w:sz="8" w:space="0" w:color="auto"/>
            </w:tcBorders>
            <w:shd w:val="clear" w:color="auto" w:fill="auto"/>
            <w:noWrap/>
            <w:vAlign w:val="center"/>
            <w:hideMark/>
          </w:tcPr>
          <w:p w14:paraId="3D04EBC8" w14:textId="77777777" w:rsidR="00DD4366" w:rsidRPr="00D5319F" w:rsidRDefault="00DD4366" w:rsidP="004A4A18">
            <w:pPr>
              <w:jc w:val="center"/>
              <w:rPr>
                <w:rFonts w:ascii="Arial" w:hAnsi="Arial" w:cs="Arial"/>
                <w:color w:val="000000"/>
                <w:sz w:val="18"/>
                <w:szCs w:val="18"/>
              </w:rPr>
            </w:pPr>
            <w:r w:rsidRPr="00D5319F">
              <w:rPr>
                <w:rFonts w:ascii="Arial" w:hAnsi="Arial" w:cs="Arial"/>
                <w:bCs/>
                <w:color w:val="000000"/>
                <w:sz w:val="18"/>
                <w:szCs w:val="18"/>
              </w:rPr>
              <w:t>0.0</w:t>
            </w:r>
          </w:p>
        </w:tc>
      </w:tr>
    </w:tbl>
    <w:p w14:paraId="3B6CA44C" w14:textId="77777777" w:rsidR="00642EBD" w:rsidRPr="00552DB2" w:rsidRDefault="00642EBD" w:rsidP="00642EBD">
      <w:pPr>
        <w:pStyle w:val="Textoindependiente"/>
        <w:rPr>
          <w:sz w:val="16"/>
          <w:szCs w:val="16"/>
          <w:lang w:val="es-MX"/>
        </w:rPr>
      </w:pPr>
      <w:r>
        <w:rPr>
          <w:sz w:val="16"/>
          <w:szCs w:val="16"/>
          <w:lang w:val="es-MX"/>
        </w:rPr>
        <w:t>NOTA: La suma de los parciales puede no coincidir con el total debido al redondeo.</w:t>
      </w:r>
    </w:p>
    <w:p w14:paraId="51E7D4BF" w14:textId="77777777" w:rsidR="00642EBD" w:rsidRDefault="00642EBD" w:rsidP="00642EBD">
      <w:pPr>
        <w:pStyle w:val="Textoindependiente"/>
        <w:ind w:left="142" w:right="191" w:hanging="142"/>
        <w:rPr>
          <w:sz w:val="16"/>
          <w:szCs w:val="16"/>
          <w:lang w:val="es-MX"/>
        </w:rPr>
      </w:pPr>
      <w:r>
        <w:rPr>
          <w:sz w:val="16"/>
          <w:szCs w:val="16"/>
          <w:lang w:val="es-MX"/>
        </w:rPr>
        <w:t xml:space="preserve">* CIF: </w:t>
      </w:r>
      <w:r w:rsidRPr="00D3230E">
        <w:rPr>
          <w:sz w:val="16"/>
          <w:szCs w:val="16"/>
          <w:lang w:val="es-MX"/>
        </w:rPr>
        <w:t xml:space="preserve">Es el valor comercial de las mercancías compradas en el lugar de procedencia, colocadas en la frontera nacional, incluye el valor de las transacciones de los bienes, el valor de los servicios suministrados para entregarlas en la frontera del país exportador y el valor de los servicios prestados para la entrega desde la frontera del país exportador hasta la frontera del país importador. </w:t>
      </w:r>
      <w:r>
        <w:rPr>
          <w:sz w:val="16"/>
          <w:szCs w:val="16"/>
          <w:lang w:val="es-MX"/>
        </w:rPr>
        <w:t xml:space="preserve">FOB: </w:t>
      </w:r>
      <w:r w:rsidRPr="00D3230E">
        <w:rPr>
          <w:sz w:val="16"/>
          <w:szCs w:val="16"/>
          <w:lang w:val="es-MX"/>
        </w:rPr>
        <w:t>Es el valor de venta de las mercancías en su lugar de origen colocadas en frontera o puerto nacional, incluye el valor de transacción de los bienes y el valor de los servicios suministrados para entregarlas en la frontera del país exportador. No incluye el costo p</w:t>
      </w:r>
      <w:r>
        <w:rPr>
          <w:sz w:val="16"/>
          <w:szCs w:val="16"/>
          <w:lang w:val="es-MX"/>
        </w:rPr>
        <w:t>or concepto de fletes y seguros</w:t>
      </w:r>
      <w:r w:rsidRPr="00AA4332">
        <w:rPr>
          <w:sz w:val="16"/>
          <w:szCs w:val="16"/>
          <w:lang w:val="es-MX"/>
        </w:rPr>
        <w:t>.</w:t>
      </w:r>
    </w:p>
    <w:p w14:paraId="42611A5B" w14:textId="2AA292CE" w:rsidR="00642EBD" w:rsidRPr="008451DE" w:rsidRDefault="00642EBD" w:rsidP="008451DE">
      <w:pPr>
        <w:pStyle w:val="Textoindependiente"/>
        <w:ind w:right="191"/>
        <w:rPr>
          <w:sz w:val="16"/>
          <w:szCs w:val="16"/>
        </w:rPr>
      </w:pPr>
      <w:r>
        <w:rPr>
          <w:sz w:val="16"/>
          <w:szCs w:val="16"/>
        </w:rPr>
        <w:t>F</w:t>
      </w:r>
      <w:r w:rsidRPr="00F761A1">
        <w:rPr>
          <w:sz w:val="16"/>
          <w:szCs w:val="16"/>
        </w:rPr>
        <w:t xml:space="preserve">uente: </w:t>
      </w:r>
      <w:r>
        <w:rPr>
          <w:sz w:val="16"/>
          <w:szCs w:val="16"/>
        </w:rPr>
        <w:t>INEGI.</w:t>
      </w:r>
    </w:p>
    <w:p w14:paraId="19E5BEFA" w14:textId="495449BF" w:rsidR="00585FDD" w:rsidRPr="006D3F7A" w:rsidRDefault="00585FDD" w:rsidP="00585FDD">
      <w:pPr>
        <w:pStyle w:val="n01"/>
        <w:keepLines w:val="0"/>
        <w:spacing w:before="480"/>
        <w:ind w:left="0" w:firstLine="0"/>
        <w:outlineLvl w:val="0"/>
        <w:rPr>
          <w:rFonts w:ascii="Arial" w:hAnsi="Arial" w:cs="Arial"/>
          <w:b/>
          <w:smallCaps/>
          <w:color w:val="auto"/>
          <w:lang w:val="es-MX"/>
        </w:rPr>
      </w:pPr>
      <w:r>
        <w:rPr>
          <w:rFonts w:ascii="Arial" w:hAnsi="Arial" w:cs="Arial"/>
          <w:b/>
          <w:smallCaps/>
          <w:color w:val="auto"/>
          <w:lang w:val="es-MX"/>
        </w:rPr>
        <w:t xml:space="preserve">Puestos </w:t>
      </w:r>
      <w:bookmarkEnd w:id="1"/>
      <w:r>
        <w:rPr>
          <w:rFonts w:ascii="Arial" w:hAnsi="Arial" w:cs="Arial"/>
          <w:b/>
          <w:smallCaps/>
          <w:color w:val="auto"/>
          <w:lang w:val="es-MX"/>
        </w:rPr>
        <w:t xml:space="preserve">de trabajo en el sector de la </w:t>
      </w:r>
      <w:r w:rsidR="00DE7E3B">
        <w:rPr>
          <w:rFonts w:ascii="Arial" w:hAnsi="Arial" w:cs="Arial"/>
          <w:b/>
          <w:smallCaps/>
          <w:color w:val="auto"/>
          <w:lang w:val="es-MX"/>
        </w:rPr>
        <w:t>vivienda</w:t>
      </w:r>
    </w:p>
    <w:p w14:paraId="266E3D54" w14:textId="0AC5FCAC" w:rsidR="005E145B" w:rsidRDefault="005E145B" w:rsidP="005E145B">
      <w:pPr>
        <w:pStyle w:val="parrafo1"/>
        <w:spacing w:before="240"/>
        <w:ind w:left="0" w:right="51"/>
        <w:rPr>
          <w:color w:val="000000"/>
        </w:rPr>
      </w:pPr>
      <w:r w:rsidRPr="00C21DF7">
        <w:rPr>
          <w:color w:val="000000"/>
        </w:rPr>
        <w:t>Durante</w:t>
      </w:r>
      <w:r w:rsidR="00E71D2A">
        <w:rPr>
          <w:color w:val="000000"/>
        </w:rPr>
        <w:t xml:space="preserve"> </w:t>
      </w:r>
      <w:r>
        <w:rPr>
          <w:color w:val="000000"/>
        </w:rPr>
        <w:t>2020</w:t>
      </w:r>
      <w:r w:rsidRPr="00C21DF7">
        <w:rPr>
          <w:color w:val="000000"/>
        </w:rPr>
        <w:t xml:space="preserve">, las actividades vinculadas con la vivienda reportaron un total de </w:t>
      </w:r>
      <w:r>
        <w:rPr>
          <w:color w:val="000000"/>
        </w:rPr>
        <w:t>2</w:t>
      </w:r>
      <w:r w:rsidR="00A02C35">
        <w:rPr>
          <w:color w:val="000000"/>
        </w:rPr>
        <w:t xml:space="preserve"> </w:t>
      </w:r>
      <w:r>
        <w:rPr>
          <w:color w:val="000000"/>
        </w:rPr>
        <w:t>278</w:t>
      </w:r>
      <w:r w:rsidR="00A02C35">
        <w:rPr>
          <w:color w:val="000000"/>
        </w:rPr>
        <w:t xml:space="preserve"> </w:t>
      </w:r>
      <w:r>
        <w:rPr>
          <w:color w:val="000000"/>
        </w:rPr>
        <w:t>417</w:t>
      </w:r>
      <w:r w:rsidRPr="00C21DF7">
        <w:rPr>
          <w:color w:val="000000"/>
        </w:rPr>
        <w:t xml:space="preserve"> puestos de trabajo, que representaron </w:t>
      </w:r>
      <w:r>
        <w:rPr>
          <w:color w:val="000000"/>
        </w:rPr>
        <w:t>5.5</w:t>
      </w:r>
      <w:r w:rsidRPr="00C21DF7">
        <w:rPr>
          <w:color w:val="000000"/>
        </w:rPr>
        <w:t xml:space="preserve">% </w:t>
      </w:r>
      <w:r w:rsidR="00E16EA4">
        <w:rPr>
          <w:color w:val="000000"/>
        </w:rPr>
        <w:t>de</w:t>
      </w:r>
      <w:r w:rsidRPr="00C21DF7">
        <w:rPr>
          <w:color w:val="000000"/>
        </w:rPr>
        <w:t xml:space="preserve">l total del país. </w:t>
      </w:r>
    </w:p>
    <w:p w14:paraId="60A4A173" w14:textId="30D30D58" w:rsidR="004A7392" w:rsidRDefault="004A7392" w:rsidP="005E145B">
      <w:pPr>
        <w:pStyle w:val="parrafo1"/>
        <w:spacing w:before="240"/>
        <w:ind w:left="0" w:right="51"/>
        <w:rPr>
          <w:color w:val="000000"/>
        </w:rPr>
      </w:pPr>
      <w:r>
        <w:rPr>
          <w:color w:val="000000"/>
        </w:rPr>
        <w:t>Es importante destacar que</w:t>
      </w:r>
      <w:r w:rsidR="00E71D2A">
        <w:rPr>
          <w:color w:val="000000"/>
        </w:rPr>
        <w:t xml:space="preserve"> </w:t>
      </w:r>
      <w:r>
        <w:rPr>
          <w:color w:val="000000"/>
        </w:rPr>
        <w:t>86.6% de los puestos de</w:t>
      </w:r>
      <w:r w:rsidR="00E71D2A">
        <w:rPr>
          <w:color w:val="000000"/>
        </w:rPr>
        <w:t xml:space="preserve"> trabajo del sector de </w:t>
      </w:r>
      <w:r>
        <w:rPr>
          <w:color w:val="000000"/>
        </w:rPr>
        <w:t>l</w:t>
      </w:r>
      <w:r w:rsidR="00E71D2A">
        <w:rPr>
          <w:color w:val="000000"/>
        </w:rPr>
        <w:t>a vivienda</w:t>
      </w:r>
      <w:r>
        <w:rPr>
          <w:color w:val="000000"/>
        </w:rPr>
        <w:t xml:space="preserve"> se agruparon en </w:t>
      </w:r>
      <w:r w:rsidR="00E71D2A">
        <w:rPr>
          <w:color w:val="000000"/>
        </w:rPr>
        <w:t>la</w:t>
      </w:r>
      <w:r w:rsidR="00441D68">
        <w:rPr>
          <w:color w:val="000000"/>
        </w:rPr>
        <w:t>s</w:t>
      </w:r>
      <w:r>
        <w:rPr>
          <w:color w:val="000000"/>
        </w:rPr>
        <w:t xml:space="preserve"> actividad</w:t>
      </w:r>
      <w:r w:rsidR="00441D68">
        <w:rPr>
          <w:color w:val="000000"/>
        </w:rPr>
        <w:t>es del sector</w:t>
      </w:r>
      <w:r>
        <w:rPr>
          <w:color w:val="000000"/>
        </w:rPr>
        <w:t xml:space="preserve"> SCIAN 23 Construcción</w:t>
      </w:r>
      <w:r w:rsidR="004D52FF">
        <w:rPr>
          <w:color w:val="000000"/>
        </w:rPr>
        <w:t>;</w:t>
      </w:r>
      <w:r>
        <w:rPr>
          <w:color w:val="000000"/>
        </w:rPr>
        <w:t xml:space="preserve"> 9.3% </w:t>
      </w:r>
      <w:r w:rsidR="00E00FAE">
        <w:rPr>
          <w:color w:val="000000"/>
        </w:rPr>
        <w:t>en</w:t>
      </w:r>
      <w:r w:rsidR="00DE1A22">
        <w:rPr>
          <w:color w:val="000000"/>
        </w:rPr>
        <w:t xml:space="preserve"> el</w:t>
      </w:r>
      <w:r>
        <w:rPr>
          <w:color w:val="000000"/>
        </w:rPr>
        <w:t xml:space="preserve"> 53 Servicios inmobiliarios y de alquiler</w:t>
      </w:r>
      <w:r w:rsidR="004D52FF">
        <w:rPr>
          <w:color w:val="000000"/>
        </w:rPr>
        <w:t xml:space="preserve">; y </w:t>
      </w:r>
      <w:r>
        <w:rPr>
          <w:color w:val="000000"/>
        </w:rPr>
        <w:t>2.4% en el 52 Servicios financieros y de seguros</w:t>
      </w:r>
      <w:r w:rsidR="004D52FF">
        <w:rPr>
          <w:color w:val="000000"/>
        </w:rPr>
        <w:t>;</w:t>
      </w:r>
      <w:r>
        <w:rPr>
          <w:color w:val="000000"/>
        </w:rPr>
        <w:t xml:space="preserve"> por destacar los de mayor participación.</w:t>
      </w:r>
    </w:p>
    <w:p w14:paraId="090204E7" w14:textId="797491FF" w:rsidR="00A42372" w:rsidRDefault="004D52FF" w:rsidP="00DE7E3B">
      <w:pPr>
        <w:pStyle w:val="parrafo1"/>
        <w:spacing w:before="240"/>
        <w:ind w:left="0" w:right="51"/>
        <w:rPr>
          <w:color w:val="000000"/>
        </w:rPr>
      </w:pPr>
      <w:r>
        <w:rPr>
          <w:color w:val="000000"/>
        </w:rPr>
        <w:lastRenderedPageBreak/>
        <w:t>Por otro lado, a</w:t>
      </w:r>
      <w:r w:rsidR="00DE7E3B" w:rsidRPr="00C21DF7">
        <w:rPr>
          <w:color w:val="000000"/>
        </w:rPr>
        <w:t>l revisar la participación de la</w:t>
      </w:r>
      <w:r>
        <w:rPr>
          <w:color w:val="000000"/>
        </w:rPr>
        <w:t xml:space="preserve"> actividad de la </w:t>
      </w:r>
      <w:r w:rsidR="00DE7E3B" w:rsidRPr="00C21DF7">
        <w:rPr>
          <w:color w:val="000000"/>
        </w:rPr>
        <w:t xml:space="preserve">vivienda </w:t>
      </w:r>
      <w:r w:rsidR="007B5C3F">
        <w:rPr>
          <w:color w:val="000000"/>
        </w:rPr>
        <w:t>al interior de</w:t>
      </w:r>
      <w:r w:rsidR="00DE7E3B" w:rsidRPr="00C21DF7">
        <w:rPr>
          <w:color w:val="000000"/>
        </w:rPr>
        <w:t xml:space="preserve"> sectores seleccionados de la economía</w:t>
      </w:r>
      <w:r w:rsidR="00DE7E3B" w:rsidRPr="00515E7B">
        <w:rPr>
          <w:rStyle w:val="Refdenotaalpie"/>
          <w:color w:val="000000" w:themeColor="text1"/>
          <w:sz w:val="20"/>
        </w:rPr>
        <w:footnoteReference w:id="10"/>
      </w:r>
      <w:r w:rsidR="00DE7E3B" w:rsidRPr="00C21DF7">
        <w:rPr>
          <w:color w:val="000000"/>
        </w:rPr>
        <w:t xml:space="preserve">, </w:t>
      </w:r>
      <w:r w:rsidR="005B4E24">
        <w:rPr>
          <w:color w:val="000000"/>
        </w:rPr>
        <w:t>se encontró</w:t>
      </w:r>
      <w:r w:rsidR="004F7A7D">
        <w:rPr>
          <w:color w:val="000000"/>
        </w:rPr>
        <w:t xml:space="preserve"> que</w:t>
      </w:r>
      <w:r w:rsidR="00DE7E3B" w:rsidRPr="00C21DF7">
        <w:rPr>
          <w:color w:val="000000"/>
        </w:rPr>
        <w:t xml:space="preserve"> </w:t>
      </w:r>
      <w:r>
        <w:rPr>
          <w:color w:val="000000"/>
        </w:rPr>
        <w:t xml:space="preserve">la mayor participación se encuentra </w:t>
      </w:r>
      <w:r w:rsidR="00DE7E3B" w:rsidRPr="00C21DF7">
        <w:rPr>
          <w:color w:val="000000"/>
        </w:rPr>
        <w:t xml:space="preserve">en el sector </w:t>
      </w:r>
      <w:r w:rsidR="00174399">
        <w:rPr>
          <w:color w:val="000000"/>
        </w:rPr>
        <w:t>23 C</w:t>
      </w:r>
      <w:r w:rsidR="00DE7E3B" w:rsidRPr="00C21DF7">
        <w:rPr>
          <w:color w:val="000000"/>
        </w:rPr>
        <w:t>onstrucción</w:t>
      </w:r>
      <w:r>
        <w:rPr>
          <w:color w:val="000000"/>
        </w:rPr>
        <w:t>,</w:t>
      </w:r>
      <w:r w:rsidR="00DE7E3B" w:rsidRPr="00C21DF7">
        <w:rPr>
          <w:color w:val="000000"/>
        </w:rPr>
        <w:t xml:space="preserve"> </w:t>
      </w:r>
      <w:r>
        <w:rPr>
          <w:color w:val="000000"/>
        </w:rPr>
        <w:t xml:space="preserve">con </w:t>
      </w:r>
      <w:r w:rsidR="00DE7E3B">
        <w:rPr>
          <w:color w:val="000000"/>
        </w:rPr>
        <w:t>50.1</w:t>
      </w:r>
      <w:r w:rsidR="00DE7E3B" w:rsidRPr="00C21DF7">
        <w:rPr>
          <w:color w:val="000000"/>
        </w:rPr>
        <w:t>%</w:t>
      </w:r>
      <w:r>
        <w:rPr>
          <w:color w:val="000000"/>
        </w:rPr>
        <w:t xml:space="preserve">; mientras que en el sector </w:t>
      </w:r>
      <w:r w:rsidR="00FC2779">
        <w:rPr>
          <w:color w:val="000000"/>
        </w:rPr>
        <w:t>S</w:t>
      </w:r>
      <w:r w:rsidR="00DE7E3B">
        <w:rPr>
          <w:color w:val="000000"/>
        </w:rPr>
        <w:t xml:space="preserve">ervicios </w:t>
      </w:r>
      <w:r w:rsidR="00DE7E3B" w:rsidRPr="002065E6">
        <w:rPr>
          <w:color w:val="000000"/>
        </w:rPr>
        <w:t>inmobiliarios</w:t>
      </w:r>
      <w:r w:rsidR="00DE7E3B">
        <w:rPr>
          <w:color w:val="000000"/>
        </w:rPr>
        <w:t xml:space="preserve"> y de alquiler (sector 53) la contribución de la vivienda fue </w:t>
      </w:r>
      <w:r w:rsidR="00DE7E3B" w:rsidRPr="00C21DF7">
        <w:rPr>
          <w:color w:val="000000"/>
        </w:rPr>
        <w:t>de 3</w:t>
      </w:r>
      <w:r w:rsidR="00DE7E3B">
        <w:rPr>
          <w:color w:val="000000"/>
        </w:rPr>
        <w:t>9.2</w:t>
      </w:r>
      <w:r w:rsidR="00DE7E3B" w:rsidRPr="00C21DF7">
        <w:rPr>
          <w:color w:val="000000"/>
        </w:rPr>
        <w:t>%</w:t>
      </w:r>
      <w:r w:rsidR="00C5279E">
        <w:rPr>
          <w:color w:val="000000"/>
        </w:rPr>
        <w:t>,</w:t>
      </w:r>
      <w:r w:rsidR="00DE7E3B" w:rsidRPr="00C21DF7">
        <w:rPr>
          <w:color w:val="000000"/>
        </w:rPr>
        <w:t xml:space="preserve"> </w:t>
      </w:r>
      <w:r>
        <w:rPr>
          <w:color w:val="000000"/>
        </w:rPr>
        <w:t>por mencionar algunos.</w:t>
      </w:r>
    </w:p>
    <w:p w14:paraId="6804C615" w14:textId="77777777" w:rsidR="00C5178F" w:rsidRDefault="00C5178F" w:rsidP="009C24B0">
      <w:pPr>
        <w:pStyle w:val="Textoindependiente"/>
        <w:rPr>
          <w:rFonts w:ascii="Arial" w:hAnsi="Arial" w:cs="Arial"/>
          <w:b/>
          <w:iCs/>
          <w:smallCaps/>
          <w:sz w:val="22"/>
          <w:szCs w:val="22"/>
          <w:lang w:val="es-MX"/>
        </w:rPr>
      </w:pPr>
    </w:p>
    <w:p w14:paraId="26D7629F" w14:textId="60FAAB14" w:rsidR="00C62773" w:rsidRPr="00C62773" w:rsidRDefault="00C62773" w:rsidP="00684A97">
      <w:pPr>
        <w:pStyle w:val="Textoindependiente"/>
        <w:jc w:val="center"/>
        <w:rPr>
          <w:rFonts w:ascii="Arial" w:hAnsi="Arial" w:cs="Arial"/>
          <w:lang w:val="es-MX"/>
        </w:rPr>
      </w:pPr>
      <w:r w:rsidRPr="00ED417B">
        <w:rPr>
          <w:rFonts w:ascii="Arial" w:hAnsi="Arial" w:cs="Arial"/>
        </w:rPr>
        <w:t xml:space="preserve">Gráfica </w:t>
      </w:r>
      <w:r>
        <w:rPr>
          <w:rFonts w:ascii="Arial" w:hAnsi="Arial" w:cs="Arial"/>
          <w:lang w:val="es-MX"/>
        </w:rPr>
        <w:t>5</w:t>
      </w:r>
    </w:p>
    <w:p w14:paraId="30D73C14" w14:textId="3201C152" w:rsidR="00684A97" w:rsidRPr="0080258B" w:rsidRDefault="00684A97" w:rsidP="00684A97">
      <w:pPr>
        <w:pStyle w:val="Textoindependiente"/>
        <w:jc w:val="center"/>
        <w:rPr>
          <w:rFonts w:ascii="Arial" w:hAnsi="Arial" w:cs="Arial"/>
          <w:b/>
          <w:iCs/>
          <w:smallCaps/>
          <w:sz w:val="22"/>
          <w:szCs w:val="22"/>
          <w:lang w:val="es-MX"/>
        </w:rPr>
      </w:pPr>
      <w:r w:rsidRPr="00684A97">
        <w:rPr>
          <w:rFonts w:ascii="Arial" w:hAnsi="Arial" w:cs="Arial"/>
          <w:b/>
          <w:iCs/>
          <w:smallCaps/>
          <w:sz w:val="22"/>
          <w:szCs w:val="22"/>
          <w:lang w:val="es-MX"/>
        </w:rPr>
        <w:t xml:space="preserve">Puestos de trabajo </w:t>
      </w:r>
      <w:r w:rsidR="00FB2A46">
        <w:rPr>
          <w:rFonts w:ascii="Arial" w:hAnsi="Arial" w:cs="Arial"/>
          <w:b/>
          <w:iCs/>
          <w:smallCaps/>
          <w:sz w:val="22"/>
          <w:szCs w:val="22"/>
          <w:lang w:val="es-MX"/>
        </w:rPr>
        <w:t xml:space="preserve">de la </w:t>
      </w:r>
      <w:r w:rsidR="00DE7E3B">
        <w:rPr>
          <w:rFonts w:ascii="Arial" w:hAnsi="Arial" w:cs="Arial"/>
          <w:b/>
          <w:iCs/>
          <w:smallCaps/>
          <w:sz w:val="22"/>
          <w:szCs w:val="22"/>
          <w:lang w:val="es-MX"/>
        </w:rPr>
        <w:t>vivienda</w:t>
      </w:r>
      <w:r w:rsidR="00FB2A46">
        <w:rPr>
          <w:rFonts w:ascii="Arial" w:hAnsi="Arial" w:cs="Arial"/>
          <w:b/>
          <w:iCs/>
          <w:smallCaps/>
          <w:sz w:val="22"/>
          <w:szCs w:val="22"/>
          <w:lang w:val="es-MX"/>
        </w:rPr>
        <w:t xml:space="preserve"> </w:t>
      </w:r>
      <w:r w:rsidR="00F85A45">
        <w:rPr>
          <w:rFonts w:ascii="Arial" w:hAnsi="Arial" w:cs="Arial"/>
          <w:b/>
          <w:iCs/>
          <w:smallCaps/>
          <w:sz w:val="22"/>
          <w:szCs w:val="22"/>
          <w:lang w:val="es-MX"/>
        </w:rPr>
        <w:t>en</w:t>
      </w:r>
      <w:r w:rsidR="00F85A45" w:rsidRPr="00684A97">
        <w:rPr>
          <w:rFonts w:ascii="Arial" w:hAnsi="Arial" w:cs="Arial"/>
          <w:b/>
          <w:iCs/>
          <w:smallCaps/>
          <w:sz w:val="22"/>
          <w:szCs w:val="22"/>
          <w:lang w:val="es-MX"/>
        </w:rPr>
        <w:t xml:space="preserve"> </w:t>
      </w:r>
      <w:r w:rsidR="00B90C73">
        <w:rPr>
          <w:rFonts w:ascii="Arial" w:hAnsi="Arial" w:cs="Arial"/>
          <w:b/>
          <w:iCs/>
          <w:smallCaps/>
          <w:sz w:val="22"/>
          <w:szCs w:val="22"/>
          <w:lang w:val="es-MX"/>
        </w:rPr>
        <w:t>sector</w:t>
      </w:r>
      <w:r w:rsidR="00F85A45">
        <w:rPr>
          <w:rFonts w:ascii="Arial" w:hAnsi="Arial" w:cs="Arial"/>
          <w:b/>
          <w:iCs/>
          <w:smallCaps/>
          <w:sz w:val="22"/>
          <w:szCs w:val="22"/>
          <w:lang w:val="es-MX"/>
        </w:rPr>
        <w:t>es</w:t>
      </w:r>
      <w:r w:rsidR="00B90C73">
        <w:rPr>
          <w:rFonts w:ascii="Arial" w:hAnsi="Arial" w:cs="Arial"/>
          <w:b/>
          <w:iCs/>
          <w:smallCaps/>
          <w:sz w:val="22"/>
          <w:szCs w:val="22"/>
          <w:lang w:val="es-MX"/>
        </w:rPr>
        <w:t xml:space="preserve"> de actividad</w:t>
      </w:r>
      <w:r w:rsidRPr="00684A97">
        <w:rPr>
          <w:rFonts w:ascii="Arial" w:hAnsi="Arial" w:cs="Arial"/>
          <w:b/>
          <w:iCs/>
          <w:smallCaps/>
          <w:sz w:val="22"/>
          <w:szCs w:val="22"/>
          <w:lang w:val="es-MX"/>
        </w:rPr>
        <w:t>, 2020</w:t>
      </w:r>
    </w:p>
    <w:p w14:paraId="6288AB2B" w14:textId="77777777" w:rsidR="000D486E" w:rsidRDefault="00684A97" w:rsidP="00684A97">
      <w:pPr>
        <w:pStyle w:val="Textoindependiente"/>
        <w:jc w:val="center"/>
        <w:rPr>
          <w:rFonts w:ascii="Arial" w:hAnsi="Arial" w:cs="Arial"/>
          <w:sz w:val="18"/>
          <w:szCs w:val="18"/>
        </w:rPr>
      </w:pPr>
      <w:r w:rsidRPr="0080258B">
        <w:rPr>
          <w:rFonts w:ascii="Arial" w:hAnsi="Arial" w:cs="Arial"/>
          <w:sz w:val="18"/>
          <w:szCs w:val="18"/>
        </w:rPr>
        <w:t>(</w:t>
      </w:r>
      <w:r>
        <w:rPr>
          <w:rFonts w:ascii="Arial" w:hAnsi="Arial" w:cs="Arial"/>
          <w:sz w:val="18"/>
          <w:szCs w:val="18"/>
          <w:lang w:val="es-MX"/>
        </w:rPr>
        <w:t>Participación</w:t>
      </w:r>
      <w:r w:rsidRPr="0080258B">
        <w:rPr>
          <w:rFonts w:ascii="Arial" w:hAnsi="Arial" w:cs="Arial"/>
          <w:sz w:val="18"/>
          <w:szCs w:val="18"/>
          <w:lang w:val="es-MX"/>
        </w:rPr>
        <w:t xml:space="preserve"> porcentual</w:t>
      </w:r>
      <w:r w:rsidR="00F85A45">
        <w:rPr>
          <w:rFonts w:ascii="Arial" w:hAnsi="Arial" w:cs="Arial"/>
          <w:sz w:val="18"/>
          <w:szCs w:val="18"/>
          <w:lang w:val="es-MX"/>
        </w:rPr>
        <w:t xml:space="preserve"> en cada sector</w:t>
      </w:r>
      <w:r w:rsidRPr="0080258B">
        <w:rPr>
          <w:rFonts w:ascii="Arial" w:hAnsi="Arial" w:cs="Arial"/>
          <w:sz w:val="18"/>
          <w:szCs w:val="18"/>
        </w:rPr>
        <w:t>)</w:t>
      </w:r>
    </w:p>
    <w:p w14:paraId="4C28A09C" w14:textId="2A0FE93F" w:rsidR="00684A97" w:rsidRPr="0080258B" w:rsidRDefault="000D486E" w:rsidP="00684A97">
      <w:pPr>
        <w:pStyle w:val="Textoindependiente"/>
        <w:jc w:val="center"/>
        <w:rPr>
          <w:rFonts w:ascii="Arial" w:hAnsi="Arial" w:cs="Arial"/>
          <w:sz w:val="18"/>
          <w:szCs w:val="18"/>
        </w:rPr>
      </w:pPr>
      <w:r>
        <w:rPr>
          <w:noProof/>
        </w:rPr>
        <w:drawing>
          <wp:inline distT="0" distB="0" distL="0" distR="0" wp14:anchorId="3F73DC3F" wp14:editId="5A5C2E6E">
            <wp:extent cx="2812211" cy="3597215"/>
            <wp:effectExtent l="0" t="0" r="7620" b="3810"/>
            <wp:docPr id="2" name="Gráfico 2">
              <a:extLst xmlns:a="http://schemas.openxmlformats.org/drawingml/2006/main">
                <a:ext uri="{FF2B5EF4-FFF2-40B4-BE49-F238E27FC236}">
                  <a16:creationId xmlns:a16="http://schemas.microsoft.com/office/drawing/2014/main" id="{0CF83426-D23A-46F9-BBE9-071D676870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C5178F" w:rsidRPr="00C5178F">
        <w:rPr>
          <w:rFonts w:ascii="Arial" w:hAnsi="Arial" w:cs="Arial"/>
          <w:sz w:val="18"/>
          <w:szCs w:val="18"/>
        </w:rPr>
        <w:t xml:space="preserve"> </w:t>
      </w:r>
      <w:r w:rsidR="00684A97" w:rsidRPr="0080258B">
        <w:rPr>
          <w:noProof/>
        </w:rPr>
        <w:t xml:space="preserve"> </w:t>
      </w:r>
    </w:p>
    <w:p w14:paraId="0C45ABE6" w14:textId="127FD9C9" w:rsidR="00C62773" w:rsidRDefault="00C62773" w:rsidP="00E00FAE">
      <w:pPr>
        <w:pStyle w:val="Textoindependiente"/>
        <w:jc w:val="center"/>
        <w:rPr>
          <w:rFonts w:ascii="Arial" w:hAnsi="Arial" w:cs="Arial"/>
          <w:sz w:val="16"/>
          <w:szCs w:val="16"/>
          <w:lang w:val="es-MX"/>
        </w:rPr>
      </w:pPr>
    </w:p>
    <w:p w14:paraId="6628DCAD" w14:textId="40ADA976" w:rsidR="007B57FC" w:rsidRDefault="007B57FC" w:rsidP="007B57FC">
      <w:pPr>
        <w:pStyle w:val="Textoindependiente"/>
        <w:jc w:val="center"/>
        <w:rPr>
          <w:rFonts w:ascii="Arial" w:hAnsi="Arial" w:cs="Arial"/>
          <w:sz w:val="16"/>
          <w:szCs w:val="16"/>
        </w:rPr>
      </w:pPr>
    </w:p>
    <w:p w14:paraId="175326E4" w14:textId="193E612C" w:rsidR="000D486E" w:rsidRDefault="000D486E" w:rsidP="007B0DE1">
      <w:pPr>
        <w:pStyle w:val="Textoindependiente"/>
        <w:ind w:left="1416"/>
        <w:jc w:val="left"/>
        <w:rPr>
          <w:rFonts w:ascii="Arial" w:hAnsi="Arial" w:cs="Arial"/>
          <w:sz w:val="16"/>
          <w:szCs w:val="16"/>
          <w:lang w:val="es-MX"/>
        </w:rPr>
      </w:pPr>
      <w:r>
        <w:rPr>
          <w:rFonts w:ascii="Arial" w:hAnsi="Arial" w:cs="Arial"/>
          <w:sz w:val="16"/>
          <w:szCs w:val="16"/>
          <w:lang w:val="es-MX"/>
        </w:rPr>
        <w:t>NOTA: Otros se refiere al sector 81 Otros servicios excepto actividades gubernamentales.</w:t>
      </w:r>
    </w:p>
    <w:p w14:paraId="09A711AB" w14:textId="478A14F7" w:rsidR="00A37627" w:rsidRDefault="00A37627" w:rsidP="007B0DE1">
      <w:pPr>
        <w:pStyle w:val="Textoindependiente"/>
        <w:ind w:left="1416"/>
        <w:jc w:val="left"/>
        <w:rPr>
          <w:rFonts w:ascii="Arial" w:hAnsi="Arial" w:cs="Arial"/>
          <w:sz w:val="16"/>
          <w:szCs w:val="16"/>
          <w:lang w:val="es-MX"/>
        </w:rPr>
      </w:pPr>
      <w:r>
        <w:rPr>
          <w:rFonts w:ascii="Arial" w:hAnsi="Arial" w:cs="Arial"/>
          <w:sz w:val="16"/>
          <w:szCs w:val="16"/>
          <w:lang w:val="es-MX"/>
        </w:rPr>
        <w:t>NS. Cifra no significativa.</w:t>
      </w:r>
      <w:r w:rsidR="007B0DE1">
        <w:rPr>
          <w:rFonts w:ascii="Arial" w:hAnsi="Arial" w:cs="Arial"/>
          <w:sz w:val="16"/>
          <w:szCs w:val="16"/>
          <w:lang w:val="es-MX"/>
        </w:rPr>
        <w:t xml:space="preserve">         </w:t>
      </w:r>
      <w:r w:rsidR="00751527">
        <w:rPr>
          <w:rFonts w:ascii="Arial" w:hAnsi="Arial" w:cs="Arial"/>
          <w:sz w:val="16"/>
          <w:szCs w:val="16"/>
          <w:lang w:val="es-MX"/>
        </w:rPr>
        <w:t xml:space="preserve"> </w:t>
      </w:r>
    </w:p>
    <w:p w14:paraId="4DA6563D" w14:textId="116FD0B9" w:rsidR="00684A97" w:rsidRPr="0080258B" w:rsidRDefault="00684A97" w:rsidP="007B0DE1">
      <w:pPr>
        <w:pStyle w:val="Textoindependiente"/>
        <w:ind w:left="1416"/>
        <w:jc w:val="left"/>
        <w:rPr>
          <w:rFonts w:ascii="Arial" w:hAnsi="Arial" w:cs="Arial"/>
          <w:sz w:val="16"/>
          <w:szCs w:val="16"/>
        </w:rPr>
      </w:pPr>
      <w:r w:rsidRPr="0080258B">
        <w:rPr>
          <w:rFonts w:ascii="Arial" w:hAnsi="Arial" w:cs="Arial"/>
          <w:sz w:val="16"/>
          <w:szCs w:val="16"/>
        </w:rPr>
        <w:t>Fuente: INEGI.</w:t>
      </w:r>
    </w:p>
    <w:p w14:paraId="18F14301" w14:textId="330E53B6" w:rsidR="00A42372" w:rsidRPr="00A42372" w:rsidRDefault="00A42372" w:rsidP="00A42372">
      <w:pPr>
        <w:pStyle w:val="parrafo1"/>
        <w:spacing w:before="100" w:beforeAutospacing="1"/>
        <w:ind w:left="0" w:right="51"/>
        <w:rPr>
          <w:color w:val="000000"/>
        </w:rPr>
      </w:pPr>
      <w:r w:rsidRPr="00A42372">
        <w:rPr>
          <w:color w:val="000000"/>
        </w:rPr>
        <w:t>En su comparación anual, el número de puestos de trabajo disminuyó 7.0% respecto al año anterior, en tanto que a nivel nacional el número de puestos disminuyeron 4.9 por ciento.</w:t>
      </w:r>
    </w:p>
    <w:p w14:paraId="1B177DDF" w14:textId="4801555E" w:rsidR="00CD27F3" w:rsidRPr="00A7276A" w:rsidRDefault="00CD27F3" w:rsidP="00CD27F3">
      <w:pPr>
        <w:pStyle w:val="parrafo1"/>
        <w:spacing w:before="100" w:beforeAutospacing="1"/>
        <w:ind w:left="0" w:right="51"/>
        <w:rPr>
          <w:color w:val="000000"/>
        </w:rPr>
      </w:pPr>
      <w:r>
        <w:rPr>
          <w:b/>
          <w:i/>
          <w:smallCaps/>
          <w:color w:val="000000"/>
        </w:rPr>
        <w:t>Alquiler imputado de las viviendas de uso propio</w:t>
      </w:r>
    </w:p>
    <w:p w14:paraId="6F44A741" w14:textId="62069802" w:rsidR="00CD27F3" w:rsidRPr="00C21DF7" w:rsidRDefault="00AE5B30" w:rsidP="00CD27F3">
      <w:pPr>
        <w:pStyle w:val="parrafo1"/>
        <w:spacing w:before="360"/>
        <w:ind w:left="0" w:right="51"/>
        <w:rPr>
          <w:color w:val="000000"/>
        </w:rPr>
      </w:pPr>
      <w:r>
        <w:rPr>
          <w:color w:val="000000"/>
        </w:rPr>
        <w:t>Finalmente</w:t>
      </w:r>
      <w:r w:rsidR="00CD27F3">
        <w:rPr>
          <w:color w:val="000000"/>
        </w:rPr>
        <w:t xml:space="preserve">, esta cuenta satélite proporciona información </w:t>
      </w:r>
      <w:r w:rsidR="005953A9">
        <w:rPr>
          <w:color w:val="000000"/>
        </w:rPr>
        <w:t>sobre</w:t>
      </w:r>
      <w:r w:rsidR="00CD27F3">
        <w:rPr>
          <w:color w:val="000000"/>
        </w:rPr>
        <w:t xml:space="preserve"> la valoración del alquiler imputado de las viviendas de uso propio de los hogares</w:t>
      </w:r>
      <w:r w:rsidR="00CD27F3" w:rsidRPr="007B5209">
        <w:rPr>
          <w:rStyle w:val="Refdenotaalpie"/>
          <w:color w:val="000000"/>
          <w:sz w:val="20"/>
        </w:rPr>
        <w:footnoteReference w:id="11"/>
      </w:r>
      <w:r w:rsidR="00CD27F3">
        <w:rPr>
          <w:color w:val="000000"/>
        </w:rPr>
        <w:t>. Dicho valor alcanzó</w:t>
      </w:r>
      <w:r>
        <w:rPr>
          <w:color w:val="000000"/>
        </w:rPr>
        <w:t>,</w:t>
      </w:r>
      <w:r w:rsidR="00CD27F3">
        <w:rPr>
          <w:color w:val="000000"/>
        </w:rPr>
        <w:t xml:space="preserve"> en 2020</w:t>
      </w:r>
      <w:r>
        <w:rPr>
          <w:color w:val="000000"/>
        </w:rPr>
        <w:t>,</w:t>
      </w:r>
      <w:r w:rsidR="00CD27F3">
        <w:rPr>
          <w:color w:val="000000"/>
        </w:rPr>
        <w:t xml:space="preserve"> un </w:t>
      </w:r>
      <w:r w:rsidR="00765760">
        <w:rPr>
          <w:color w:val="000000"/>
        </w:rPr>
        <w:t>monto</w:t>
      </w:r>
      <w:r w:rsidR="00CD27F3">
        <w:rPr>
          <w:color w:val="000000"/>
        </w:rPr>
        <w:t xml:space="preserve"> equivalente </w:t>
      </w:r>
      <w:r w:rsidR="00CD27F3" w:rsidRPr="00C21DF7">
        <w:rPr>
          <w:color w:val="000000"/>
        </w:rPr>
        <w:t>a 1</w:t>
      </w:r>
      <w:r w:rsidR="005D3D30">
        <w:rPr>
          <w:color w:val="000000"/>
        </w:rPr>
        <w:t xml:space="preserve"> </w:t>
      </w:r>
      <w:r w:rsidR="00CD27F3">
        <w:rPr>
          <w:color w:val="000000"/>
        </w:rPr>
        <w:t>692</w:t>
      </w:r>
      <w:r w:rsidR="005D3D30">
        <w:rPr>
          <w:color w:val="000000"/>
        </w:rPr>
        <w:t xml:space="preserve"> </w:t>
      </w:r>
      <w:r w:rsidR="00CD27F3">
        <w:rPr>
          <w:color w:val="000000"/>
        </w:rPr>
        <w:t>704</w:t>
      </w:r>
      <w:r w:rsidR="00CD27F3" w:rsidRPr="00C21DF7">
        <w:rPr>
          <w:color w:val="000000"/>
        </w:rPr>
        <w:t xml:space="preserve"> millones</w:t>
      </w:r>
      <w:r w:rsidR="00CD27F3">
        <w:rPr>
          <w:color w:val="000000"/>
        </w:rPr>
        <w:t xml:space="preserve"> de pesos</w:t>
      </w:r>
      <w:r w:rsidR="00CD27F3" w:rsidRPr="00C21DF7">
        <w:rPr>
          <w:color w:val="000000"/>
        </w:rPr>
        <w:t xml:space="preserve">, </w:t>
      </w:r>
      <w:r w:rsidR="00407299">
        <w:rPr>
          <w:color w:val="000000"/>
        </w:rPr>
        <w:t>cifra</w:t>
      </w:r>
      <w:r w:rsidR="00CD27F3" w:rsidRPr="00C21DF7">
        <w:rPr>
          <w:color w:val="000000"/>
        </w:rPr>
        <w:t xml:space="preserve"> que </w:t>
      </w:r>
      <w:r w:rsidR="00CD27F3" w:rsidRPr="00C21DF7">
        <w:rPr>
          <w:color w:val="000000"/>
        </w:rPr>
        <w:lastRenderedPageBreak/>
        <w:t xml:space="preserve">representó </w:t>
      </w:r>
      <w:r w:rsidR="00CD27F3">
        <w:rPr>
          <w:color w:val="000000"/>
        </w:rPr>
        <w:t>7.8</w:t>
      </w:r>
      <w:r w:rsidR="00CD27F3" w:rsidRPr="00C21DF7">
        <w:rPr>
          <w:color w:val="000000"/>
        </w:rPr>
        <w:t xml:space="preserve">% del PIB del país. En su comparación anual el valor del alquiler imputado registró un aumento de </w:t>
      </w:r>
      <w:r w:rsidR="00CD27F3">
        <w:rPr>
          <w:color w:val="000000"/>
        </w:rPr>
        <w:t>1</w:t>
      </w:r>
      <w:r w:rsidR="008F3B11">
        <w:rPr>
          <w:color w:val="000000"/>
        </w:rPr>
        <w:t>.0</w:t>
      </w:r>
      <w:r w:rsidR="00CD27F3" w:rsidRPr="00C21DF7">
        <w:rPr>
          <w:color w:val="000000"/>
        </w:rPr>
        <w:t>% en términos reales</w:t>
      </w:r>
      <w:r w:rsidR="008F3B11">
        <w:rPr>
          <w:color w:val="000000"/>
        </w:rPr>
        <w:t>,</w:t>
      </w:r>
      <w:r w:rsidR="00CD27F3" w:rsidRPr="00C21DF7">
        <w:rPr>
          <w:color w:val="000000"/>
        </w:rPr>
        <w:t xml:space="preserve"> </w:t>
      </w:r>
      <w:r w:rsidR="008F3B11">
        <w:rPr>
          <w:color w:val="000000"/>
        </w:rPr>
        <w:t>en</w:t>
      </w:r>
      <w:r w:rsidR="00CD27F3" w:rsidRPr="00C21DF7">
        <w:rPr>
          <w:color w:val="000000"/>
        </w:rPr>
        <w:t xml:space="preserve"> relación </w:t>
      </w:r>
      <w:r>
        <w:rPr>
          <w:color w:val="000000"/>
        </w:rPr>
        <w:t xml:space="preserve">con </w:t>
      </w:r>
      <w:r w:rsidR="00CD27F3">
        <w:rPr>
          <w:color w:val="000000"/>
        </w:rPr>
        <w:t>2019</w:t>
      </w:r>
      <w:r w:rsidR="00CD27F3" w:rsidRPr="00C21DF7">
        <w:rPr>
          <w:color w:val="000000"/>
        </w:rPr>
        <w:t>.</w:t>
      </w:r>
    </w:p>
    <w:p w14:paraId="37D16140" w14:textId="33D2AFF9" w:rsidR="00CD27F3" w:rsidRDefault="00CD27F3" w:rsidP="00CD27F3">
      <w:pPr>
        <w:pStyle w:val="parrafo1"/>
        <w:spacing w:before="360"/>
        <w:ind w:left="0" w:right="51"/>
        <w:rPr>
          <w:color w:val="000000"/>
        </w:rPr>
      </w:pPr>
      <w:r w:rsidRPr="00C21DF7">
        <w:rPr>
          <w:color w:val="000000"/>
        </w:rPr>
        <w:t xml:space="preserve">Al </w:t>
      </w:r>
      <w:r w:rsidR="0071438E">
        <w:rPr>
          <w:color w:val="000000"/>
        </w:rPr>
        <w:t>considerar</w:t>
      </w:r>
      <w:r w:rsidRPr="00C21DF7">
        <w:rPr>
          <w:color w:val="000000"/>
        </w:rPr>
        <w:t xml:space="preserve"> el valor del alquiler imputado</w:t>
      </w:r>
      <w:r w:rsidR="0071438E">
        <w:rPr>
          <w:color w:val="000000"/>
        </w:rPr>
        <w:t>, el</w:t>
      </w:r>
      <w:r w:rsidRPr="00C21DF7">
        <w:rPr>
          <w:color w:val="000000"/>
        </w:rPr>
        <w:t xml:space="preserve"> PIB </w:t>
      </w:r>
      <w:r w:rsidR="009B5B18">
        <w:rPr>
          <w:color w:val="000000"/>
        </w:rPr>
        <w:t xml:space="preserve">total </w:t>
      </w:r>
      <w:r w:rsidRPr="00C21DF7">
        <w:rPr>
          <w:color w:val="000000"/>
        </w:rPr>
        <w:t>de</w:t>
      </w:r>
      <w:r w:rsidR="0071438E">
        <w:rPr>
          <w:color w:val="000000"/>
        </w:rPr>
        <w:t>l sector de</w:t>
      </w:r>
      <w:r w:rsidRPr="00C21DF7">
        <w:rPr>
          <w:color w:val="000000"/>
        </w:rPr>
        <w:t xml:space="preserve"> la vivienda</w:t>
      </w:r>
      <w:r w:rsidR="0071438E">
        <w:rPr>
          <w:color w:val="000000"/>
        </w:rPr>
        <w:t xml:space="preserve"> </w:t>
      </w:r>
      <w:r w:rsidR="005953A9">
        <w:rPr>
          <w:color w:val="000000"/>
        </w:rPr>
        <w:t>alcanza</w:t>
      </w:r>
      <w:r w:rsidR="0071438E">
        <w:rPr>
          <w:color w:val="000000"/>
        </w:rPr>
        <w:t xml:space="preserve"> un monto de</w:t>
      </w:r>
      <w:r>
        <w:rPr>
          <w:color w:val="000000"/>
        </w:rPr>
        <w:t xml:space="preserve"> 2</w:t>
      </w:r>
      <w:r w:rsidR="005D3D30">
        <w:rPr>
          <w:color w:val="000000"/>
        </w:rPr>
        <w:t xml:space="preserve"> </w:t>
      </w:r>
      <w:r>
        <w:rPr>
          <w:color w:val="000000"/>
        </w:rPr>
        <w:t>965</w:t>
      </w:r>
      <w:r w:rsidR="005D3D30">
        <w:rPr>
          <w:color w:val="000000"/>
        </w:rPr>
        <w:t xml:space="preserve"> </w:t>
      </w:r>
      <w:r>
        <w:rPr>
          <w:color w:val="000000"/>
        </w:rPr>
        <w:t>971</w:t>
      </w:r>
      <w:r w:rsidRPr="00C21DF7">
        <w:rPr>
          <w:color w:val="000000"/>
        </w:rPr>
        <w:t xml:space="preserve"> millones de pesos</w:t>
      </w:r>
      <w:r>
        <w:rPr>
          <w:color w:val="000000"/>
        </w:rPr>
        <w:t xml:space="preserve"> a precios corrientes</w:t>
      </w:r>
      <w:r w:rsidR="008F3B11">
        <w:rPr>
          <w:color w:val="000000"/>
        </w:rPr>
        <w:t>,</w:t>
      </w:r>
      <w:r w:rsidRPr="00C21DF7">
        <w:rPr>
          <w:color w:val="000000"/>
        </w:rPr>
        <w:t xml:space="preserve"> </w:t>
      </w:r>
      <w:r w:rsidR="009B5B18">
        <w:rPr>
          <w:color w:val="000000"/>
        </w:rPr>
        <w:t xml:space="preserve">cantidad </w:t>
      </w:r>
      <w:r w:rsidRPr="00C21DF7">
        <w:rPr>
          <w:color w:val="000000"/>
        </w:rPr>
        <w:t>que representa</w:t>
      </w:r>
      <w:r w:rsidR="00826557">
        <w:rPr>
          <w:color w:val="000000"/>
        </w:rPr>
        <w:t xml:space="preserve"> </w:t>
      </w:r>
      <w:r>
        <w:rPr>
          <w:color w:val="000000"/>
        </w:rPr>
        <w:t>13.6</w:t>
      </w:r>
      <w:r w:rsidRPr="00C21DF7">
        <w:rPr>
          <w:color w:val="000000"/>
        </w:rPr>
        <w:t>% del PIB</w:t>
      </w:r>
      <w:r w:rsidR="0071438E">
        <w:rPr>
          <w:color w:val="000000"/>
        </w:rPr>
        <w:t xml:space="preserve"> </w:t>
      </w:r>
      <w:r w:rsidRPr="00C21DF7">
        <w:rPr>
          <w:color w:val="000000"/>
        </w:rPr>
        <w:t xml:space="preserve">de la </w:t>
      </w:r>
      <w:r w:rsidRPr="00B23469">
        <w:rPr>
          <w:color w:val="000000"/>
        </w:rPr>
        <w:t xml:space="preserve">economía </w:t>
      </w:r>
      <w:r w:rsidR="00E76722">
        <w:rPr>
          <w:color w:val="000000"/>
        </w:rPr>
        <w:t>de</w:t>
      </w:r>
      <w:r w:rsidRPr="00B23469">
        <w:rPr>
          <w:color w:val="000000"/>
        </w:rPr>
        <w:t xml:space="preserve"> </w:t>
      </w:r>
      <w:r w:rsidR="0071438E">
        <w:rPr>
          <w:color w:val="000000"/>
        </w:rPr>
        <w:t>2020</w:t>
      </w:r>
      <w:r w:rsidRPr="00B23469">
        <w:rPr>
          <w:color w:val="000000"/>
        </w:rPr>
        <w:t>.</w:t>
      </w:r>
    </w:p>
    <w:p w14:paraId="36D9D2DB" w14:textId="739C0DE9" w:rsidR="00AF2E50" w:rsidRPr="007A5071" w:rsidRDefault="00634AD1" w:rsidP="007A5071">
      <w:pPr>
        <w:pStyle w:val="parrafo1"/>
        <w:spacing w:before="360"/>
        <w:ind w:left="0" w:right="51"/>
        <w:jc w:val="left"/>
        <w:rPr>
          <w:color w:val="000000"/>
        </w:rPr>
      </w:pPr>
      <w:r>
        <w:rPr>
          <w:rFonts w:cs="Arial"/>
          <w:b/>
          <w:smallCaps/>
        </w:rPr>
        <w:t>Aspectos Metodológicos</w:t>
      </w:r>
    </w:p>
    <w:p w14:paraId="3961FCD3" w14:textId="1E4D988D" w:rsidR="00AC36D8" w:rsidRDefault="00CD27F3" w:rsidP="00CD27F3">
      <w:pPr>
        <w:pStyle w:val="parrafo1"/>
        <w:spacing w:before="360"/>
        <w:ind w:left="0" w:right="51"/>
        <w:rPr>
          <w:color w:val="000000"/>
        </w:rPr>
      </w:pPr>
      <w:r w:rsidRPr="00CF2A13">
        <w:rPr>
          <w:color w:val="000000"/>
        </w:rPr>
        <w:t>Para la elaboración de la C</w:t>
      </w:r>
      <w:r>
        <w:rPr>
          <w:color w:val="000000"/>
        </w:rPr>
        <w:t xml:space="preserve">uenta </w:t>
      </w:r>
      <w:r w:rsidRPr="00CF2A13">
        <w:rPr>
          <w:color w:val="000000"/>
        </w:rPr>
        <w:t>S</w:t>
      </w:r>
      <w:r>
        <w:rPr>
          <w:color w:val="000000"/>
        </w:rPr>
        <w:t xml:space="preserve">atélite de </w:t>
      </w:r>
      <w:r w:rsidRPr="00CF2A13">
        <w:rPr>
          <w:color w:val="000000"/>
        </w:rPr>
        <w:t>V</w:t>
      </w:r>
      <w:r>
        <w:rPr>
          <w:color w:val="000000"/>
        </w:rPr>
        <w:t xml:space="preserve">ivienda de </w:t>
      </w:r>
      <w:r w:rsidRPr="00CF2A13">
        <w:rPr>
          <w:color w:val="000000"/>
        </w:rPr>
        <w:t>M</w:t>
      </w:r>
      <w:r>
        <w:rPr>
          <w:color w:val="000000"/>
        </w:rPr>
        <w:t>éxico (CSVM), serie 2008-2020</w:t>
      </w:r>
      <w:r w:rsidRPr="00CF2A13">
        <w:rPr>
          <w:color w:val="000000"/>
        </w:rPr>
        <w:t>, se consideraron las recomendaciones internacionales del SCN 2008</w:t>
      </w:r>
      <w:r>
        <w:rPr>
          <w:color w:val="000000"/>
        </w:rPr>
        <w:t>,</w:t>
      </w:r>
      <w:r w:rsidRPr="00CF2A13">
        <w:rPr>
          <w:color w:val="000000"/>
        </w:rPr>
        <w:t xml:space="preserve"> </w:t>
      </w:r>
      <w:r>
        <w:rPr>
          <w:color w:val="000000"/>
        </w:rPr>
        <w:t xml:space="preserve">manual </w:t>
      </w:r>
      <w:r w:rsidRPr="00CF2A13">
        <w:rPr>
          <w:color w:val="000000"/>
        </w:rPr>
        <w:t xml:space="preserve">elaborado de manera conjunta por la Organización de las Naciones Unidas (ONU), el Banco Mundial (BM), la Organización para la Cooperación y el Desarrollo Económicos (OCDE), el Fondo Monetario Internacional (FMI) </w:t>
      </w:r>
      <w:r w:rsidRPr="000A1FB3">
        <w:rPr>
          <w:color w:val="000000"/>
        </w:rPr>
        <w:t>y la Oficina de Estadística de la Comisión Europea</w:t>
      </w:r>
      <w:r w:rsidRPr="00CF2A13">
        <w:rPr>
          <w:color w:val="000000"/>
        </w:rPr>
        <w:t xml:space="preserve"> (EUROSTAT). </w:t>
      </w:r>
      <w:r w:rsidR="00AC36D8">
        <w:rPr>
          <w:color w:val="000000"/>
        </w:rPr>
        <w:t>Adicionalmente</w:t>
      </w:r>
      <w:r w:rsidR="00AC36D8" w:rsidRPr="00CF2A13">
        <w:rPr>
          <w:color w:val="000000"/>
        </w:rPr>
        <w:t xml:space="preserve">, se consideraron las Recomendaciones Internacionales para las Estadísticas de la Construcción, y el manual </w:t>
      </w:r>
      <w:proofErr w:type="spellStart"/>
      <w:r w:rsidR="00AC36D8" w:rsidRPr="00362C51">
        <w:rPr>
          <w:i/>
          <w:color w:val="000000"/>
        </w:rPr>
        <w:t>Household</w:t>
      </w:r>
      <w:proofErr w:type="spellEnd"/>
      <w:r w:rsidR="00AC36D8" w:rsidRPr="00362C51">
        <w:rPr>
          <w:i/>
          <w:color w:val="000000"/>
        </w:rPr>
        <w:t xml:space="preserve"> </w:t>
      </w:r>
      <w:proofErr w:type="spellStart"/>
      <w:r w:rsidR="00AC36D8" w:rsidRPr="00362C51">
        <w:rPr>
          <w:i/>
          <w:color w:val="000000"/>
        </w:rPr>
        <w:t>Accounting</w:t>
      </w:r>
      <w:proofErr w:type="spellEnd"/>
      <w:r w:rsidR="00AC36D8" w:rsidRPr="00362C51">
        <w:rPr>
          <w:i/>
          <w:color w:val="000000"/>
        </w:rPr>
        <w:t xml:space="preserve">: </w:t>
      </w:r>
      <w:proofErr w:type="spellStart"/>
      <w:r w:rsidR="00AC36D8" w:rsidRPr="00362C51">
        <w:rPr>
          <w:i/>
          <w:color w:val="000000"/>
        </w:rPr>
        <w:t>Experience</w:t>
      </w:r>
      <w:proofErr w:type="spellEnd"/>
      <w:r w:rsidR="00AC36D8" w:rsidRPr="00362C51">
        <w:rPr>
          <w:i/>
          <w:color w:val="000000"/>
        </w:rPr>
        <w:t xml:space="preserve"> in </w:t>
      </w:r>
      <w:proofErr w:type="spellStart"/>
      <w:r w:rsidR="00AC36D8" w:rsidRPr="00362C51">
        <w:rPr>
          <w:i/>
          <w:color w:val="000000"/>
        </w:rPr>
        <w:t>concepts</w:t>
      </w:r>
      <w:proofErr w:type="spellEnd"/>
      <w:r w:rsidR="00AC36D8" w:rsidRPr="00362C51">
        <w:rPr>
          <w:i/>
          <w:color w:val="000000"/>
        </w:rPr>
        <w:t xml:space="preserve"> and </w:t>
      </w:r>
      <w:proofErr w:type="spellStart"/>
      <w:r w:rsidR="00AC36D8" w:rsidRPr="00362C51">
        <w:rPr>
          <w:i/>
          <w:color w:val="000000"/>
        </w:rPr>
        <w:t>compilation</w:t>
      </w:r>
      <w:proofErr w:type="spellEnd"/>
      <w:r w:rsidR="00AC36D8">
        <w:rPr>
          <w:color w:val="000000"/>
        </w:rPr>
        <w:t>,</w:t>
      </w:r>
      <w:r w:rsidR="00AC36D8" w:rsidRPr="00CF2A13">
        <w:rPr>
          <w:color w:val="000000"/>
        </w:rPr>
        <w:t xml:space="preserve"> ambos de la ONU.</w:t>
      </w:r>
    </w:p>
    <w:p w14:paraId="71F2E1A7" w14:textId="4D3803EE" w:rsidR="000C5438" w:rsidRDefault="00AC36D8" w:rsidP="00CD27F3">
      <w:pPr>
        <w:pStyle w:val="parrafo1"/>
        <w:spacing w:before="360"/>
        <w:ind w:left="0" w:right="51"/>
        <w:rPr>
          <w:color w:val="000000"/>
        </w:rPr>
      </w:pPr>
      <w:r>
        <w:rPr>
          <w:color w:val="000000"/>
        </w:rPr>
        <w:t xml:space="preserve">Para la </w:t>
      </w:r>
      <w:r w:rsidR="000C5438">
        <w:rPr>
          <w:color w:val="000000"/>
        </w:rPr>
        <w:t xml:space="preserve">explotación, revisión y presentación </w:t>
      </w:r>
      <w:r>
        <w:rPr>
          <w:color w:val="000000"/>
        </w:rPr>
        <w:t xml:space="preserve">de los datos se </w:t>
      </w:r>
      <w:r w:rsidRPr="00CF2A13">
        <w:rPr>
          <w:color w:val="000000"/>
        </w:rPr>
        <w:t>utiliza</w:t>
      </w:r>
      <w:r>
        <w:rPr>
          <w:color w:val="000000"/>
        </w:rPr>
        <w:t xml:space="preserve"> el clasificador SCIAN 2013</w:t>
      </w:r>
      <w:r w:rsidR="0029110E">
        <w:rPr>
          <w:color w:val="000000"/>
        </w:rPr>
        <w:t>.</w:t>
      </w:r>
      <w:r w:rsidR="003A3D8C">
        <w:rPr>
          <w:color w:val="000000"/>
        </w:rPr>
        <w:t xml:space="preserve"> </w:t>
      </w:r>
      <w:r w:rsidRPr="00CF2A13">
        <w:rPr>
          <w:color w:val="000000"/>
        </w:rPr>
        <w:t xml:space="preserve">Adicionalmente, se hace uso de la </w:t>
      </w:r>
      <w:r w:rsidR="00454E02">
        <w:rPr>
          <w:color w:val="000000"/>
        </w:rPr>
        <w:t>c</w:t>
      </w:r>
      <w:r w:rsidRPr="00CF2A13">
        <w:rPr>
          <w:color w:val="000000"/>
        </w:rPr>
        <w:t xml:space="preserve">lasificación funcional de la CSVM que </w:t>
      </w:r>
      <w:r w:rsidR="003A159C">
        <w:rPr>
          <w:color w:val="000000"/>
        </w:rPr>
        <w:t>ordena</w:t>
      </w:r>
      <w:r>
        <w:rPr>
          <w:color w:val="000000"/>
        </w:rPr>
        <w:t xml:space="preserve"> </w:t>
      </w:r>
      <w:r w:rsidRPr="00CF2A13">
        <w:rPr>
          <w:color w:val="000000"/>
        </w:rPr>
        <w:t>el conjunto de actividades</w:t>
      </w:r>
      <w:r>
        <w:rPr>
          <w:color w:val="000000"/>
        </w:rPr>
        <w:t xml:space="preserve"> asociadas al proceso económico del sector</w:t>
      </w:r>
      <w:r w:rsidRPr="00CF2A13">
        <w:rPr>
          <w:color w:val="000000"/>
        </w:rPr>
        <w:t xml:space="preserve"> agrupadas en </w:t>
      </w:r>
      <w:r>
        <w:rPr>
          <w:color w:val="000000"/>
        </w:rPr>
        <w:t>cuatro</w:t>
      </w:r>
      <w:r w:rsidRPr="00CF2A13">
        <w:rPr>
          <w:color w:val="000000"/>
        </w:rPr>
        <w:t xml:space="preserve"> ámbitos: edificación, adquisición, uso, y regulación y fomento.</w:t>
      </w:r>
    </w:p>
    <w:p w14:paraId="788A93E8" w14:textId="5CA6C334" w:rsidR="00CD27F3" w:rsidRPr="00CF2A13" w:rsidRDefault="00CD27F3" w:rsidP="00CD27F3">
      <w:pPr>
        <w:pStyle w:val="parrafo1"/>
        <w:spacing w:before="360"/>
        <w:ind w:left="0" w:right="51"/>
        <w:rPr>
          <w:color w:val="000000"/>
        </w:rPr>
      </w:pPr>
      <w:r w:rsidRPr="00CF2A13">
        <w:rPr>
          <w:color w:val="000000"/>
        </w:rPr>
        <w:t xml:space="preserve">En la elaboración de la Cuenta Satélite de Vivienda se aprovecharon las experiencias internacionales disponibles, como son los casos de estudio de España y Marruecos, así como las series </w:t>
      </w:r>
      <w:r w:rsidR="002805FF">
        <w:rPr>
          <w:color w:val="000000"/>
        </w:rPr>
        <w:t>de</w:t>
      </w:r>
      <w:r w:rsidR="002805FF" w:rsidRPr="00CF2A13">
        <w:rPr>
          <w:color w:val="000000"/>
        </w:rPr>
        <w:t xml:space="preserve"> la vivienda </w:t>
      </w:r>
      <w:r w:rsidR="002832B8">
        <w:rPr>
          <w:color w:val="000000"/>
        </w:rPr>
        <w:t>de</w:t>
      </w:r>
      <w:r w:rsidRPr="00CF2A13">
        <w:rPr>
          <w:color w:val="000000"/>
        </w:rPr>
        <w:t xml:space="preserve"> Francia.</w:t>
      </w:r>
    </w:p>
    <w:p w14:paraId="77592BDB" w14:textId="78FB9CCC" w:rsidR="00CD27F3" w:rsidRPr="00CF2A13" w:rsidRDefault="006E25A1" w:rsidP="00CD27F3">
      <w:pPr>
        <w:pStyle w:val="parrafo1"/>
        <w:spacing w:before="360"/>
        <w:ind w:left="0" w:right="51"/>
        <w:rPr>
          <w:color w:val="000000"/>
        </w:rPr>
      </w:pPr>
      <w:r>
        <w:rPr>
          <w:color w:val="000000"/>
        </w:rPr>
        <w:t>Mediante el uso del SCIAN</w:t>
      </w:r>
      <w:r w:rsidR="003A159C">
        <w:rPr>
          <w:color w:val="000000"/>
        </w:rPr>
        <w:t>,</w:t>
      </w:r>
      <w:r w:rsidR="00CD27F3" w:rsidRPr="00CF2A13">
        <w:rPr>
          <w:color w:val="000000"/>
        </w:rPr>
        <w:t xml:space="preserve"> se identificaron los bienes y servicios característicos y conexos relacionados con el sector de la vivienda en M</w:t>
      </w:r>
      <w:r w:rsidR="00CD27F3">
        <w:rPr>
          <w:color w:val="000000"/>
        </w:rPr>
        <w:t xml:space="preserve">éxico, </w:t>
      </w:r>
      <w:r w:rsidR="002B6FD7">
        <w:rPr>
          <w:color w:val="000000"/>
        </w:rPr>
        <w:t xml:space="preserve">que agrupados resultaron en </w:t>
      </w:r>
      <w:r w:rsidR="00CD27F3" w:rsidRPr="008C3B36">
        <w:rPr>
          <w:color w:val="000000"/>
        </w:rPr>
        <w:t>79 clases de actividad económica, de las cuales 8 son principales (características) y 71 secundari</w:t>
      </w:r>
      <w:r w:rsidR="008E56AD">
        <w:rPr>
          <w:color w:val="000000"/>
        </w:rPr>
        <w:t>a</w:t>
      </w:r>
      <w:r w:rsidR="00CD27F3" w:rsidRPr="008C3B36">
        <w:rPr>
          <w:color w:val="000000"/>
        </w:rPr>
        <w:t>s</w:t>
      </w:r>
      <w:r w:rsidR="00CD27F3" w:rsidRPr="00CF2A13">
        <w:rPr>
          <w:color w:val="000000"/>
        </w:rPr>
        <w:t xml:space="preserve"> y de apoyo (conexas).</w:t>
      </w:r>
    </w:p>
    <w:p w14:paraId="64D64EC2" w14:textId="00D617B7" w:rsidR="00CD27F3" w:rsidRDefault="00CD27F3" w:rsidP="00CD27F3">
      <w:pPr>
        <w:pStyle w:val="parrafo1"/>
        <w:spacing w:before="360"/>
        <w:ind w:left="0" w:right="51"/>
        <w:rPr>
          <w:color w:val="000000"/>
        </w:rPr>
      </w:pPr>
      <w:r w:rsidRPr="00CF2A13">
        <w:rPr>
          <w:color w:val="000000"/>
        </w:rPr>
        <w:t xml:space="preserve">La </w:t>
      </w:r>
      <w:r>
        <w:rPr>
          <w:color w:val="000000"/>
        </w:rPr>
        <w:t>Cuenta Satélite de Vivienda</w:t>
      </w:r>
      <w:r w:rsidRPr="00CF2A13">
        <w:rPr>
          <w:color w:val="000000"/>
        </w:rPr>
        <w:t xml:space="preserve"> </w:t>
      </w:r>
      <w:r w:rsidR="00D442F7">
        <w:rPr>
          <w:color w:val="000000"/>
        </w:rPr>
        <w:t xml:space="preserve">ofrece </w:t>
      </w:r>
      <w:r w:rsidR="00B6239E">
        <w:rPr>
          <w:color w:val="000000"/>
        </w:rPr>
        <w:t xml:space="preserve">los </w:t>
      </w:r>
      <w:r w:rsidR="00D442F7">
        <w:rPr>
          <w:color w:val="000000"/>
        </w:rPr>
        <w:t xml:space="preserve">resultados </w:t>
      </w:r>
      <w:r w:rsidR="004D047E">
        <w:rPr>
          <w:color w:val="000000"/>
        </w:rPr>
        <w:t xml:space="preserve">de </w:t>
      </w:r>
      <w:r w:rsidR="00B6239E">
        <w:rPr>
          <w:color w:val="000000"/>
        </w:rPr>
        <w:t xml:space="preserve">la medición de </w:t>
      </w:r>
      <w:r w:rsidRPr="00CF2A13">
        <w:rPr>
          <w:color w:val="000000"/>
        </w:rPr>
        <w:t xml:space="preserve">las </w:t>
      </w:r>
      <w:r w:rsidR="0049077E">
        <w:rPr>
          <w:color w:val="000000"/>
        </w:rPr>
        <w:t>actividades</w:t>
      </w:r>
      <w:r w:rsidRPr="00CF2A13">
        <w:rPr>
          <w:color w:val="000000"/>
        </w:rPr>
        <w:t xml:space="preserve"> </w:t>
      </w:r>
      <w:r w:rsidR="0049077E">
        <w:rPr>
          <w:color w:val="000000"/>
        </w:rPr>
        <w:t xml:space="preserve">realizadas por </w:t>
      </w:r>
      <w:r w:rsidRPr="00CF2A13">
        <w:rPr>
          <w:color w:val="000000"/>
        </w:rPr>
        <w:t xml:space="preserve">las unidades económicas dedicadas a la edificación, financiamiento, regulación, fomento, servicios inmobiliarios y el alquiler efectivo de las </w:t>
      </w:r>
      <w:r>
        <w:rPr>
          <w:color w:val="000000"/>
        </w:rPr>
        <w:t>casas</w:t>
      </w:r>
      <w:r w:rsidRPr="00CF2A13">
        <w:rPr>
          <w:color w:val="000000"/>
        </w:rPr>
        <w:t xml:space="preserve">; </w:t>
      </w:r>
      <w:r w:rsidR="004D047E">
        <w:rPr>
          <w:color w:val="000000"/>
        </w:rPr>
        <w:t>asimismo</w:t>
      </w:r>
      <w:r w:rsidR="0049077E">
        <w:rPr>
          <w:color w:val="000000"/>
        </w:rPr>
        <w:t>,</w:t>
      </w:r>
      <w:r w:rsidR="003A159C">
        <w:rPr>
          <w:color w:val="000000"/>
        </w:rPr>
        <w:t xml:space="preserve"> difunde datos sobre</w:t>
      </w:r>
      <w:r w:rsidRPr="00CF2A13">
        <w:rPr>
          <w:color w:val="000000"/>
        </w:rPr>
        <w:t xml:space="preserve"> la construcción, ampliación, mejoramiento y </w:t>
      </w:r>
      <w:r w:rsidR="005A0AB4" w:rsidRPr="00CF2A13">
        <w:rPr>
          <w:color w:val="000000"/>
        </w:rPr>
        <w:t xml:space="preserve">supervisión </w:t>
      </w:r>
      <w:r w:rsidR="005A0AB4">
        <w:rPr>
          <w:color w:val="000000"/>
        </w:rPr>
        <w:t>llevadas</w:t>
      </w:r>
      <w:r w:rsidR="00D442F7">
        <w:rPr>
          <w:color w:val="000000"/>
        </w:rPr>
        <w:t xml:space="preserve"> a cabo </w:t>
      </w:r>
      <w:r w:rsidR="004D047E">
        <w:rPr>
          <w:color w:val="000000"/>
        </w:rPr>
        <w:t>por los hogares</w:t>
      </w:r>
      <w:r w:rsidRPr="00CF2A13">
        <w:rPr>
          <w:color w:val="000000"/>
        </w:rPr>
        <w:t xml:space="preserve">. </w:t>
      </w:r>
      <w:r>
        <w:rPr>
          <w:color w:val="000000"/>
        </w:rPr>
        <w:t xml:space="preserve">Adicionalmente, </w:t>
      </w:r>
      <w:r w:rsidR="003A159C">
        <w:rPr>
          <w:color w:val="000000"/>
        </w:rPr>
        <w:t>presenta información sobre</w:t>
      </w:r>
      <w:r w:rsidR="0049077E">
        <w:rPr>
          <w:color w:val="000000"/>
        </w:rPr>
        <w:t xml:space="preserve"> </w:t>
      </w:r>
      <w:r>
        <w:rPr>
          <w:color w:val="000000"/>
        </w:rPr>
        <w:t>el</w:t>
      </w:r>
      <w:r w:rsidRPr="00CF2A13">
        <w:rPr>
          <w:color w:val="000000"/>
        </w:rPr>
        <w:t xml:space="preserve"> alquiler imputado</w:t>
      </w:r>
      <w:r>
        <w:rPr>
          <w:color w:val="000000"/>
        </w:rPr>
        <w:t xml:space="preserve"> de</w:t>
      </w:r>
      <w:r w:rsidRPr="00CF2A13">
        <w:rPr>
          <w:color w:val="000000"/>
        </w:rPr>
        <w:t xml:space="preserve"> las viviendas</w:t>
      </w:r>
      <w:r w:rsidR="0049077E">
        <w:rPr>
          <w:color w:val="000000"/>
        </w:rPr>
        <w:t xml:space="preserve"> que son</w:t>
      </w:r>
      <w:r w:rsidRPr="00CF2A13">
        <w:rPr>
          <w:color w:val="000000"/>
        </w:rPr>
        <w:t xml:space="preserve"> ocupadas por sus propietarios. Lo anterior como </w:t>
      </w:r>
      <w:r w:rsidR="00ED12C4">
        <w:rPr>
          <w:color w:val="000000"/>
        </w:rPr>
        <w:t>principio contable</w:t>
      </w:r>
      <w:r w:rsidRPr="00CF2A13">
        <w:rPr>
          <w:color w:val="000000"/>
        </w:rPr>
        <w:t xml:space="preserve"> </w:t>
      </w:r>
      <w:r w:rsidR="00ED12C4">
        <w:rPr>
          <w:color w:val="000000"/>
        </w:rPr>
        <w:t xml:space="preserve">establecido en </w:t>
      </w:r>
      <w:r w:rsidRPr="00CF2A13">
        <w:rPr>
          <w:color w:val="000000"/>
        </w:rPr>
        <w:t>el SCN 2008.</w:t>
      </w:r>
    </w:p>
    <w:p w14:paraId="11121D04" w14:textId="1E084609" w:rsidR="00485CDD" w:rsidRDefault="00CD27F3" w:rsidP="00485CDD">
      <w:pPr>
        <w:pStyle w:val="parrafo1"/>
        <w:spacing w:before="360"/>
        <w:ind w:left="0" w:right="51"/>
        <w:rPr>
          <w:color w:val="000000"/>
        </w:rPr>
      </w:pPr>
      <w:r>
        <w:rPr>
          <w:color w:val="000000"/>
        </w:rPr>
        <w:t>Otra</w:t>
      </w:r>
      <w:r w:rsidR="005522E7">
        <w:rPr>
          <w:color w:val="000000"/>
        </w:rPr>
        <w:t>s cifras</w:t>
      </w:r>
      <w:r>
        <w:rPr>
          <w:color w:val="000000"/>
        </w:rPr>
        <w:t xml:space="preserve"> que proporciona la Cuenta </w:t>
      </w:r>
      <w:r w:rsidR="00051883">
        <w:rPr>
          <w:color w:val="000000"/>
        </w:rPr>
        <w:t>corresponde</w:t>
      </w:r>
      <w:r w:rsidR="005522E7">
        <w:rPr>
          <w:color w:val="000000"/>
        </w:rPr>
        <w:t>n</w:t>
      </w:r>
      <w:r w:rsidR="00051883">
        <w:rPr>
          <w:color w:val="000000"/>
        </w:rPr>
        <w:t xml:space="preserve"> a los montos de </w:t>
      </w:r>
      <w:r>
        <w:rPr>
          <w:color w:val="000000"/>
        </w:rPr>
        <w:t xml:space="preserve">financiamiento </w:t>
      </w:r>
      <w:r w:rsidR="00051883">
        <w:rPr>
          <w:color w:val="000000"/>
        </w:rPr>
        <w:t>para acciones</w:t>
      </w:r>
      <w:r>
        <w:rPr>
          <w:color w:val="000000"/>
        </w:rPr>
        <w:t xml:space="preserve"> </w:t>
      </w:r>
      <w:r w:rsidR="000E3E95">
        <w:rPr>
          <w:color w:val="000000"/>
        </w:rPr>
        <w:t xml:space="preserve">en materia </w:t>
      </w:r>
      <w:r w:rsidR="00366A58">
        <w:rPr>
          <w:color w:val="000000"/>
        </w:rPr>
        <w:t>de</w:t>
      </w:r>
      <w:r>
        <w:rPr>
          <w:color w:val="000000"/>
        </w:rPr>
        <w:t xml:space="preserve"> adquisición, construcción y mejoramiento</w:t>
      </w:r>
      <w:r w:rsidR="004D047E">
        <w:rPr>
          <w:color w:val="000000"/>
        </w:rPr>
        <w:t xml:space="preserve"> llevadas a cabo por </w:t>
      </w:r>
      <w:r w:rsidRPr="000A7D2A">
        <w:rPr>
          <w:color w:val="000000"/>
        </w:rPr>
        <w:t xml:space="preserve">diversas instituciones financieras y no </w:t>
      </w:r>
      <w:r w:rsidRPr="000A7D2A">
        <w:rPr>
          <w:color w:val="000000"/>
        </w:rPr>
        <w:lastRenderedPageBreak/>
        <w:t>financieras</w:t>
      </w:r>
      <w:r>
        <w:rPr>
          <w:color w:val="000000"/>
        </w:rPr>
        <w:t>. La información que se ofrece a los usuarios permite</w:t>
      </w:r>
      <w:r w:rsidRPr="000A7D2A">
        <w:rPr>
          <w:color w:val="000000"/>
        </w:rPr>
        <w:t xml:space="preserve"> observar varios aspectos de esta relación</w:t>
      </w:r>
      <w:r w:rsidR="005522E7">
        <w:rPr>
          <w:color w:val="000000"/>
        </w:rPr>
        <w:t>,</w:t>
      </w:r>
      <w:r w:rsidRPr="000A7D2A">
        <w:rPr>
          <w:color w:val="000000"/>
        </w:rPr>
        <w:t xml:space="preserve"> como son las fuentes de financiamiento o inversión, los agentes que se involucran y </w:t>
      </w:r>
      <w:r>
        <w:rPr>
          <w:color w:val="000000"/>
        </w:rPr>
        <w:t>las modalidades de aplicación</w:t>
      </w:r>
      <w:r w:rsidRPr="000A7D2A">
        <w:rPr>
          <w:color w:val="000000"/>
        </w:rPr>
        <w:t xml:space="preserve"> de</w:t>
      </w:r>
      <w:r>
        <w:rPr>
          <w:color w:val="000000"/>
        </w:rPr>
        <w:t xml:space="preserve"> los recursos.</w:t>
      </w:r>
      <w:r w:rsidR="0071266E">
        <w:rPr>
          <w:color w:val="000000"/>
        </w:rPr>
        <w:t xml:space="preserve"> Finalmente, es importante mencionar que </w:t>
      </w:r>
      <w:r w:rsidR="005522E7">
        <w:rPr>
          <w:color w:val="000000"/>
        </w:rPr>
        <w:t xml:space="preserve">también se publican datos sobre </w:t>
      </w:r>
      <w:r w:rsidR="00815D7D">
        <w:rPr>
          <w:color w:val="000000"/>
        </w:rPr>
        <w:t xml:space="preserve">la oferta y utilización de los bienes </w:t>
      </w:r>
      <w:r w:rsidR="00E26CCB">
        <w:rPr>
          <w:color w:val="000000"/>
        </w:rPr>
        <w:t xml:space="preserve">y servicios </w:t>
      </w:r>
      <w:r w:rsidR="00815D7D">
        <w:rPr>
          <w:color w:val="000000"/>
        </w:rPr>
        <w:t>del sector</w:t>
      </w:r>
      <w:r w:rsidR="00C25DC4">
        <w:rPr>
          <w:color w:val="000000"/>
        </w:rPr>
        <w:t>.</w:t>
      </w:r>
    </w:p>
    <w:p w14:paraId="458E33B1" w14:textId="2AE5007D" w:rsidR="00334184" w:rsidRPr="00485CDD" w:rsidRDefault="0048007F" w:rsidP="00485CDD">
      <w:pPr>
        <w:pStyle w:val="parrafo1"/>
        <w:spacing w:before="360"/>
        <w:ind w:left="0" w:right="51"/>
        <w:rPr>
          <w:color w:val="000000"/>
        </w:rPr>
      </w:pPr>
      <w:r w:rsidRPr="0048007F">
        <w:rPr>
          <w:rFonts w:cs="Arial"/>
        </w:rPr>
        <w:t xml:space="preserve">Los resultados que se presentan </w:t>
      </w:r>
      <w:r w:rsidR="002112D1" w:rsidRPr="0048007F">
        <w:rPr>
          <w:rFonts w:cs="Arial"/>
        </w:rPr>
        <w:t xml:space="preserve">en la publicación Cuenta Satélite de </w:t>
      </w:r>
      <w:r w:rsidR="002112D1">
        <w:rPr>
          <w:rFonts w:cs="Arial"/>
        </w:rPr>
        <w:t xml:space="preserve">Vivienda </w:t>
      </w:r>
      <w:r w:rsidR="002112D1" w:rsidRPr="0048007F">
        <w:rPr>
          <w:rFonts w:cs="Arial"/>
        </w:rPr>
        <w:t>de México, 2020. Año Base 2013</w:t>
      </w:r>
      <w:r w:rsidR="006E19BD">
        <w:rPr>
          <w:rFonts w:cs="Arial"/>
        </w:rPr>
        <w:t xml:space="preserve"> </w:t>
      </w:r>
      <w:r w:rsidRPr="0048007F">
        <w:rPr>
          <w:rFonts w:cs="Arial"/>
        </w:rPr>
        <w:t xml:space="preserve">comprenden las variables macroeconómicas que explican el comportamiento del sector </w:t>
      </w:r>
      <w:r>
        <w:rPr>
          <w:rFonts w:cs="Arial"/>
        </w:rPr>
        <w:t>de la vivienda</w:t>
      </w:r>
      <w:r w:rsidRPr="0048007F">
        <w:rPr>
          <w:rFonts w:cs="Arial"/>
        </w:rPr>
        <w:t xml:space="preserve"> en el país</w:t>
      </w:r>
      <w:r w:rsidR="00097E83">
        <w:rPr>
          <w:rFonts w:cs="Arial"/>
        </w:rPr>
        <w:t xml:space="preserve">. </w:t>
      </w:r>
      <w:r w:rsidR="00D8287D">
        <w:rPr>
          <w:rFonts w:cs="Arial"/>
        </w:rPr>
        <w:t xml:space="preserve">Los datos aquí </w:t>
      </w:r>
      <w:r w:rsidR="00C66B42">
        <w:rPr>
          <w:rFonts w:cs="Arial"/>
        </w:rPr>
        <w:t>proporcionados</w:t>
      </w:r>
      <w:r w:rsidR="00097E83">
        <w:rPr>
          <w:rFonts w:cs="Arial"/>
        </w:rPr>
        <w:t>,</w:t>
      </w:r>
      <w:r w:rsidRPr="0048007F">
        <w:rPr>
          <w:rFonts w:cs="Arial"/>
        </w:rPr>
        <w:t xml:space="preserve"> además de otra </w:t>
      </w:r>
      <w:r w:rsidRPr="004F2016">
        <w:rPr>
          <w:rFonts w:cs="Arial"/>
        </w:rPr>
        <w:t>información de interés del sector</w:t>
      </w:r>
      <w:r w:rsidR="003144D1" w:rsidRPr="004F2016">
        <w:rPr>
          <w:rFonts w:cs="Arial"/>
        </w:rPr>
        <w:t xml:space="preserve"> </w:t>
      </w:r>
      <w:r w:rsidR="002F529E">
        <w:rPr>
          <w:rFonts w:cs="Arial"/>
        </w:rPr>
        <w:t>y</w:t>
      </w:r>
      <w:r w:rsidRPr="004F2016">
        <w:rPr>
          <w:rFonts w:cs="Arial"/>
        </w:rPr>
        <w:t xml:space="preserve"> la metodología, pueden consultarse en </w:t>
      </w:r>
      <w:r w:rsidR="00FC2779">
        <w:rPr>
          <w:rFonts w:cs="Arial"/>
        </w:rPr>
        <w:t>el Sitio del</w:t>
      </w:r>
      <w:r w:rsidRPr="004F2016">
        <w:rPr>
          <w:rFonts w:cs="Arial"/>
        </w:rPr>
        <w:t xml:space="preserve"> Instituto:</w:t>
      </w:r>
    </w:p>
    <w:p w14:paraId="7784B641" w14:textId="3EA1AF4E" w:rsidR="00CD27F3" w:rsidRDefault="003E6E53" w:rsidP="00CD27F3">
      <w:pPr>
        <w:pStyle w:val="parrafo1"/>
        <w:spacing w:before="120"/>
        <w:ind w:left="0" w:right="51"/>
      </w:pPr>
      <w:hyperlink r:id="rId29" w:history="1">
        <w:r w:rsidR="00CD27F3" w:rsidRPr="000138E3">
          <w:rPr>
            <w:rStyle w:val="Hipervnculo"/>
          </w:rPr>
          <w:t>https://www.inegi.org.mx/temas/viviendasat/</w:t>
        </w:r>
      </w:hyperlink>
    </w:p>
    <w:p w14:paraId="7BFBF569" w14:textId="4FDAAE6D" w:rsidR="00CD27F3" w:rsidRPr="00335A0E" w:rsidRDefault="003E6E53" w:rsidP="00FA2965">
      <w:pPr>
        <w:pStyle w:val="parrafo1"/>
        <w:spacing w:before="120"/>
        <w:ind w:left="0" w:right="51"/>
      </w:pPr>
      <w:hyperlink r:id="rId30" w:history="1">
        <w:r w:rsidR="00CD27F3" w:rsidRPr="000138E3">
          <w:rPr>
            <w:rStyle w:val="Hipervnculo"/>
          </w:rPr>
          <w:t>https://www.inegi.org.mx/programas/viviendasat/2013/</w:t>
        </w:r>
      </w:hyperlink>
    </w:p>
    <w:sectPr w:rsidR="00CD27F3" w:rsidRPr="00335A0E" w:rsidSect="00F34F83">
      <w:headerReference w:type="default" r:id="rId31"/>
      <w:pgSz w:w="12240" w:h="15840"/>
      <w:pgMar w:top="1695" w:right="1701" w:bottom="1134"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426F7" w14:textId="77777777" w:rsidR="003E6E53" w:rsidRDefault="003E6E53" w:rsidP="00ED71F9">
      <w:r>
        <w:separator/>
      </w:r>
    </w:p>
  </w:endnote>
  <w:endnote w:type="continuationSeparator" w:id="0">
    <w:p w14:paraId="6428C442" w14:textId="77777777" w:rsidR="003E6E53" w:rsidRDefault="003E6E53" w:rsidP="00ED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08B2C" w14:textId="77777777" w:rsidR="009020C8" w:rsidRPr="00287F4C" w:rsidRDefault="009020C8" w:rsidP="00797111">
    <w:pPr>
      <w:pStyle w:val="Piedepgina"/>
      <w:ind w:left="-567"/>
      <w:jc w:val="center"/>
      <w:rPr>
        <w:rFonts w:ascii="Arial" w:hAnsi="Arial" w:cs="Arial"/>
        <w:b/>
        <w:color w:val="002060"/>
        <w:sz w:val="20"/>
        <w:szCs w:val="20"/>
      </w:rPr>
    </w:pPr>
    <w:r w:rsidRPr="00287F4C">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44858" w14:textId="77777777" w:rsidR="003E6E53" w:rsidRDefault="003E6E53" w:rsidP="00ED71F9">
      <w:r>
        <w:separator/>
      </w:r>
    </w:p>
  </w:footnote>
  <w:footnote w:type="continuationSeparator" w:id="0">
    <w:p w14:paraId="373B277E" w14:textId="77777777" w:rsidR="003E6E53" w:rsidRDefault="003E6E53" w:rsidP="00ED71F9">
      <w:r>
        <w:continuationSeparator/>
      </w:r>
    </w:p>
  </w:footnote>
  <w:footnote w:id="1">
    <w:p w14:paraId="052E6E79" w14:textId="4F50F873" w:rsidR="00802346" w:rsidRPr="00B8395F" w:rsidRDefault="00802346" w:rsidP="00B8395F">
      <w:pPr>
        <w:pStyle w:val="Textonotapie"/>
        <w:ind w:left="-426" w:hanging="141"/>
        <w:rPr>
          <w:rFonts w:ascii="Arial" w:hAnsi="Arial" w:cs="Arial"/>
          <w:sz w:val="16"/>
          <w:szCs w:val="16"/>
        </w:rPr>
      </w:pPr>
      <w:r w:rsidRPr="00B8395F">
        <w:rPr>
          <w:rStyle w:val="Refdenotaalpie"/>
          <w:rFonts w:ascii="Arial" w:hAnsi="Arial" w:cs="Arial"/>
          <w:sz w:val="16"/>
          <w:szCs w:val="16"/>
        </w:rPr>
        <w:footnoteRef/>
      </w:r>
      <w:r w:rsidRPr="00B8395F">
        <w:rPr>
          <w:rFonts w:ascii="Arial" w:hAnsi="Arial" w:cs="Arial"/>
          <w:sz w:val="16"/>
          <w:szCs w:val="16"/>
        </w:rPr>
        <w:t xml:space="preserve"> </w:t>
      </w:r>
      <w:r w:rsidRPr="0000022B">
        <w:rPr>
          <w:rFonts w:ascii="Arial" w:hAnsi="Arial" w:cs="Arial"/>
          <w:sz w:val="16"/>
          <w:szCs w:val="16"/>
        </w:rPr>
        <w:t xml:space="preserve">Se refiere al valor agregado bruto, en esta y en las siguientes </w:t>
      </w:r>
      <w:r w:rsidR="00F45C39" w:rsidRPr="0000022B">
        <w:rPr>
          <w:rFonts w:ascii="Arial" w:hAnsi="Arial" w:cs="Arial"/>
          <w:sz w:val="16"/>
          <w:szCs w:val="16"/>
        </w:rPr>
        <w:t>men</w:t>
      </w:r>
      <w:r w:rsidR="00B8395F" w:rsidRPr="0000022B">
        <w:rPr>
          <w:rFonts w:ascii="Arial" w:hAnsi="Arial" w:cs="Arial"/>
          <w:sz w:val="16"/>
          <w:szCs w:val="16"/>
        </w:rPr>
        <w:t>ciones que hagan referencia al PIB de la vivienda o PIB del sector de la vivienda.</w:t>
      </w:r>
    </w:p>
  </w:footnote>
  <w:footnote w:id="2">
    <w:p w14:paraId="0931427F" w14:textId="77777777" w:rsidR="00F17786" w:rsidRDefault="00F17786" w:rsidP="009020C8">
      <w:pPr>
        <w:pStyle w:val="Textonotapie"/>
        <w:ind w:left="-426" w:hanging="141"/>
        <w:jc w:val="both"/>
      </w:pPr>
      <w:r w:rsidRPr="00F24537">
        <w:rPr>
          <w:rStyle w:val="Refdenotaalpie"/>
          <w:rFonts w:ascii="Arial" w:hAnsi="Arial" w:cs="Arial"/>
          <w:sz w:val="16"/>
          <w:szCs w:val="16"/>
        </w:rPr>
        <w:footnoteRef/>
      </w:r>
      <w:r w:rsidRPr="00F24537">
        <w:rPr>
          <w:rFonts w:ascii="Arial" w:hAnsi="Arial" w:cs="Arial"/>
          <w:sz w:val="16"/>
          <w:szCs w:val="16"/>
        </w:rPr>
        <w:t xml:space="preserve"> La producción no de mercado se refiere a los bienes y servicios que se ofrecen a precios no significativos o que no inciden en las decisiones de productores o compradores; éstos generalmente los provee el gobierno o las Instituciones Sin Fines de Lucro (ISFL).</w:t>
      </w:r>
    </w:p>
  </w:footnote>
  <w:footnote w:id="3">
    <w:p w14:paraId="41D0BDDB" w14:textId="77777777" w:rsidR="00F17786" w:rsidRDefault="00F17786" w:rsidP="009020C8">
      <w:pPr>
        <w:pStyle w:val="Textonotapie"/>
        <w:ind w:left="-426" w:hanging="141"/>
        <w:jc w:val="both"/>
      </w:pPr>
      <w:r w:rsidRPr="003E5056">
        <w:rPr>
          <w:rStyle w:val="Refdenotaalpie"/>
          <w:rFonts w:ascii="Arial" w:hAnsi="Arial" w:cs="Arial"/>
          <w:sz w:val="16"/>
          <w:szCs w:val="16"/>
        </w:rPr>
        <w:footnoteRef/>
      </w:r>
      <w:r w:rsidRPr="003E5056">
        <w:rPr>
          <w:rFonts w:ascii="Arial" w:hAnsi="Arial" w:cs="Arial"/>
          <w:sz w:val="16"/>
          <w:szCs w:val="16"/>
        </w:rPr>
        <w:t xml:space="preserve"> </w:t>
      </w:r>
      <w:r w:rsidRPr="0052437D">
        <w:rPr>
          <w:rFonts w:ascii="Arial" w:hAnsi="Arial" w:cs="Arial"/>
          <w:sz w:val="16"/>
          <w:szCs w:val="16"/>
        </w:rPr>
        <w:t>La producción para uso final propio en vivienda corresponde a los bienes y servicios generados por los hogares para su propio consumo y se incluyen: la autoconstrucción, ampliación y el mejoramiento de vivienda, la autoproducción y la supervisión e inspección.</w:t>
      </w:r>
    </w:p>
  </w:footnote>
  <w:footnote w:id="4">
    <w:p w14:paraId="6F22BE6B" w14:textId="77777777" w:rsidR="007E6E94" w:rsidRPr="0052437D" w:rsidRDefault="007E6E94" w:rsidP="007E6E94">
      <w:pPr>
        <w:pStyle w:val="Textonotapie"/>
        <w:ind w:left="-426" w:right="-544" w:hanging="141"/>
        <w:jc w:val="both"/>
        <w:rPr>
          <w:rFonts w:ascii="Arial" w:hAnsi="Arial" w:cs="Arial"/>
          <w:sz w:val="16"/>
          <w:szCs w:val="16"/>
        </w:rPr>
      </w:pPr>
      <w:r w:rsidRPr="0052437D">
        <w:rPr>
          <w:rStyle w:val="Refdenotaalpie"/>
          <w:rFonts w:ascii="Arial" w:hAnsi="Arial"/>
          <w:sz w:val="16"/>
          <w:szCs w:val="16"/>
        </w:rPr>
        <w:footnoteRef/>
      </w:r>
      <w:r w:rsidRPr="0052437D">
        <w:rPr>
          <w:rFonts w:ascii="Arial" w:hAnsi="Arial" w:cs="Arial"/>
          <w:sz w:val="16"/>
          <w:szCs w:val="16"/>
        </w:rPr>
        <w:t xml:space="preserve"> Este valor representa el monto que los hogares tendrían que pagar si alquilaran las viviendas </w:t>
      </w:r>
      <w:r>
        <w:rPr>
          <w:rFonts w:ascii="Arial" w:hAnsi="Arial" w:cs="Arial"/>
          <w:sz w:val="16"/>
          <w:szCs w:val="16"/>
        </w:rPr>
        <w:t xml:space="preserve">de su propiedad </w:t>
      </w:r>
      <w:r w:rsidRPr="0052437D">
        <w:rPr>
          <w:rFonts w:ascii="Arial" w:hAnsi="Arial" w:cs="Arial"/>
          <w:sz w:val="16"/>
          <w:szCs w:val="16"/>
        </w:rPr>
        <w:t>que habitan,</w:t>
      </w:r>
      <w:r>
        <w:rPr>
          <w:rFonts w:ascii="Arial" w:hAnsi="Arial" w:cs="Arial"/>
          <w:sz w:val="16"/>
          <w:szCs w:val="16"/>
        </w:rPr>
        <w:t xml:space="preserve"> </w:t>
      </w:r>
      <w:r w:rsidRPr="0052437D">
        <w:rPr>
          <w:rFonts w:ascii="Arial" w:hAnsi="Arial" w:cs="Arial"/>
          <w:sz w:val="16"/>
          <w:szCs w:val="16"/>
        </w:rPr>
        <w:t>con las mismas características físicas y de ubicación.</w:t>
      </w:r>
      <w:r>
        <w:rPr>
          <w:rFonts w:ascii="Arial" w:hAnsi="Arial" w:cs="Arial"/>
          <w:sz w:val="16"/>
          <w:szCs w:val="16"/>
        </w:rPr>
        <w:t xml:space="preserve"> La medición de este rubro es un principio contable del estándar estadístico internacional del SCN 2008.</w:t>
      </w:r>
    </w:p>
  </w:footnote>
  <w:footnote w:id="5">
    <w:p w14:paraId="715FB7CC" w14:textId="2EE8D64E" w:rsidR="00F24537" w:rsidRDefault="00F24537" w:rsidP="00B3688A">
      <w:pPr>
        <w:pStyle w:val="Textonotapie"/>
        <w:ind w:left="142" w:right="49" w:hanging="142"/>
        <w:jc w:val="both"/>
      </w:pPr>
      <w:r w:rsidRPr="00F24537">
        <w:rPr>
          <w:rStyle w:val="Refdenotaalpie"/>
          <w:rFonts w:ascii="Arial" w:hAnsi="Arial" w:cs="Arial"/>
          <w:sz w:val="16"/>
          <w:szCs w:val="16"/>
        </w:rPr>
        <w:footnoteRef/>
      </w:r>
      <w:r w:rsidRPr="00F24537">
        <w:rPr>
          <w:rFonts w:ascii="Arial" w:hAnsi="Arial" w:cs="Arial"/>
          <w:sz w:val="16"/>
          <w:szCs w:val="16"/>
        </w:rPr>
        <w:t xml:space="preserve"> La producción no de mercado se refiere a los bienes y servicios que se ofrecen a precios no significativos o que no inciden en las decisiones de productores o compradores; éstos generalmente los provee el gobierno o las Instituciones Sin Fines de Lucro (ISFL).</w:t>
      </w:r>
    </w:p>
  </w:footnote>
  <w:footnote w:id="6">
    <w:p w14:paraId="1F6DACC0" w14:textId="325385AD" w:rsidR="003E5056" w:rsidRDefault="003E5056" w:rsidP="00B3688A">
      <w:pPr>
        <w:pStyle w:val="Textonotapie"/>
        <w:ind w:left="142" w:right="49" w:hanging="142"/>
        <w:jc w:val="both"/>
      </w:pPr>
      <w:r w:rsidRPr="003E5056">
        <w:rPr>
          <w:rStyle w:val="Refdenotaalpie"/>
          <w:rFonts w:ascii="Arial" w:hAnsi="Arial" w:cs="Arial"/>
          <w:sz w:val="16"/>
          <w:szCs w:val="16"/>
        </w:rPr>
        <w:footnoteRef/>
      </w:r>
      <w:r w:rsidRPr="003E5056">
        <w:rPr>
          <w:rFonts w:ascii="Arial" w:hAnsi="Arial" w:cs="Arial"/>
          <w:sz w:val="16"/>
          <w:szCs w:val="16"/>
        </w:rPr>
        <w:t xml:space="preserve"> </w:t>
      </w:r>
      <w:r w:rsidRPr="0052437D">
        <w:rPr>
          <w:rFonts w:ascii="Arial" w:hAnsi="Arial" w:cs="Arial"/>
          <w:sz w:val="16"/>
          <w:szCs w:val="16"/>
        </w:rPr>
        <w:t>La producción para uso final propio en vivienda corresponde a los bienes y servicios generados por los hogares para su propio consumo y se incluyen: la autoconstrucción, ampliación y el mejoramiento de vivienda, la autoproducción y la supervisión e inspección.</w:t>
      </w:r>
    </w:p>
  </w:footnote>
  <w:footnote w:id="7">
    <w:p w14:paraId="41998013" w14:textId="77777777" w:rsidR="00EC50F3" w:rsidRPr="0052437D" w:rsidRDefault="00EC50F3" w:rsidP="00B3688A">
      <w:pPr>
        <w:pStyle w:val="Textonotapie"/>
        <w:tabs>
          <w:tab w:val="left" w:pos="284"/>
        </w:tabs>
        <w:ind w:left="142" w:right="49" w:hanging="142"/>
        <w:jc w:val="both"/>
        <w:rPr>
          <w:sz w:val="16"/>
          <w:szCs w:val="16"/>
        </w:rPr>
      </w:pPr>
      <w:r w:rsidRPr="0052437D">
        <w:rPr>
          <w:rStyle w:val="Refdenotaalpie"/>
          <w:rFonts w:ascii="Arial" w:hAnsi="Arial"/>
          <w:color w:val="000000"/>
          <w:sz w:val="16"/>
          <w:szCs w:val="16"/>
        </w:rPr>
        <w:footnoteRef/>
      </w:r>
      <w:r w:rsidRPr="0052437D">
        <w:rPr>
          <w:rFonts w:ascii="Arial" w:hAnsi="Arial" w:cs="Arial"/>
          <w:sz w:val="16"/>
          <w:szCs w:val="16"/>
        </w:rPr>
        <w:t xml:space="preserve"> </w:t>
      </w:r>
      <w:r w:rsidRPr="0052437D">
        <w:rPr>
          <w:rFonts w:ascii="Arial" w:hAnsi="Arial" w:cs="Arial"/>
          <w:sz w:val="16"/>
          <w:szCs w:val="16"/>
        </w:rPr>
        <w:tab/>
        <w:t xml:space="preserve">Actividades económicas </w:t>
      </w:r>
      <w:r>
        <w:rPr>
          <w:rFonts w:ascii="Arial" w:hAnsi="Arial" w:cs="Arial"/>
          <w:sz w:val="16"/>
          <w:szCs w:val="16"/>
        </w:rPr>
        <w:t>de acuerdo con</w:t>
      </w:r>
      <w:r w:rsidRPr="0052437D">
        <w:rPr>
          <w:rFonts w:ascii="Arial" w:hAnsi="Arial" w:cs="Arial"/>
          <w:sz w:val="16"/>
          <w:szCs w:val="16"/>
        </w:rPr>
        <w:t xml:space="preserve"> el Sistema de Clasificación Industrial de América del Norte </w:t>
      </w:r>
      <w:r>
        <w:rPr>
          <w:rFonts w:ascii="Arial" w:hAnsi="Arial" w:cs="Arial"/>
          <w:sz w:val="16"/>
          <w:szCs w:val="16"/>
        </w:rPr>
        <w:t xml:space="preserve">2013 </w:t>
      </w:r>
      <w:r w:rsidRPr="0052437D">
        <w:rPr>
          <w:rFonts w:ascii="Arial" w:hAnsi="Arial" w:cs="Arial"/>
          <w:sz w:val="16"/>
          <w:szCs w:val="16"/>
        </w:rPr>
        <w:t>(SCIAN).</w:t>
      </w:r>
    </w:p>
  </w:footnote>
  <w:footnote w:id="8">
    <w:p w14:paraId="6FA3B8B4" w14:textId="77777777" w:rsidR="00FF1783" w:rsidRPr="007261F4" w:rsidRDefault="00FF1783" w:rsidP="00B3688A">
      <w:pPr>
        <w:pStyle w:val="Textonotapie"/>
        <w:ind w:left="142" w:right="49" w:hanging="142"/>
        <w:jc w:val="both"/>
        <w:rPr>
          <w:rFonts w:ascii="Arial" w:hAnsi="Arial" w:cs="Arial"/>
          <w:sz w:val="16"/>
          <w:szCs w:val="16"/>
        </w:rPr>
      </w:pPr>
      <w:r w:rsidRPr="007261F4">
        <w:rPr>
          <w:rStyle w:val="Refdenotaalpie"/>
          <w:rFonts w:ascii="Arial" w:hAnsi="Arial" w:cs="Arial"/>
          <w:sz w:val="16"/>
          <w:szCs w:val="16"/>
        </w:rPr>
        <w:footnoteRef/>
      </w:r>
      <w:r w:rsidRPr="007261F4">
        <w:rPr>
          <w:rFonts w:ascii="Arial" w:hAnsi="Arial" w:cs="Arial"/>
          <w:sz w:val="16"/>
          <w:szCs w:val="16"/>
        </w:rPr>
        <w:t xml:space="preserve"> La clasificación funcional de las actividades económicas integra las recomendaciones realizadas por el Sistema de Cuentas Nacionales (SCN) en su versión 2008 y los acuerdos alcanzados por el grupo técnico de trabajo de vivienda.</w:t>
      </w:r>
    </w:p>
  </w:footnote>
  <w:footnote w:id="9">
    <w:p w14:paraId="202D3812" w14:textId="77777777" w:rsidR="00F81DE6" w:rsidRPr="005E0662" w:rsidRDefault="00F81DE6" w:rsidP="000B0B5F">
      <w:pPr>
        <w:pStyle w:val="Textonotapie"/>
        <w:ind w:left="142" w:right="-544" w:hanging="142"/>
        <w:rPr>
          <w:rFonts w:ascii="Arial" w:hAnsi="Arial" w:cs="Arial"/>
          <w:sz w:val="16"/>
          <w:szCs w:val="16"/>
        </w:rPr>
      </w:pPr>
      <w:r w:rsidRPr="005E0662">
        <w:rPr>
          <w:rStyle w:val="Refdenotaalpie"/>
          <w:rFonts w:ascii="Arial" w:hAnsi="Arial" w:cs="Arial"/>
          <w:sz w:val="16"/>
          <w:szCs w:val="16"/>
        </w:rPr>
        <w:footnoteRef/>
      </w:r>
      <w:r w:rsidRPr="005E0662">
        <w:rPr>
          <w:rFonts w:ascii="Arial" w:hAnsi="Arial" w:cs="Arial"/>
          <w:sz w:val="16"/>
          <w:szCs w:val="16"/>
        </w:rPr>
        <w:t xml:space="preserve"> Se refiere a la tasa media de crecimiento anual.</w:t>
      </w:r>
    </w:p>
  </w:footnote>
  <w:footnote w:id="10">
    <w:p w14:paraId="76840BBC" w14:textId="4C33451B" w:rsidR="00DE7E3B" w:rsidRPr="00AD5D4A" w:rsidRDefault="00DE7E3B" w:rsidP="000B0B5F">
      <w:pPr>
        <w:pStyle w:val="Textonotapie"/>
        <w:ind w:left="142" w:right="-544" w:hanging="142"/>
        <w:jc w:val="both"/>
        <w:rPr>
          <w:sz w:val="16"/>
          <w:szCs w:val="16"/>
        </w:rPr>
      </w:pPr>
      <w:r w:rsidRPr="00AD5D4A">
        <w:rPr>
          <w:rStyle w:val="Refdenotaalpie"/>
          <w:rFonts w:ascii="Arial" w:hAnsi="Arial"/>
          <w:sz w:val="16"/>
          <w:szCs w:val="16"/>
        </w:rPr>
        <w:footnoteRef/>
      </w:r>
      <w:r w:rsidRPr="00AD5D4A">
        <w:rPr>
          <w:rStyle w:val="Refdenotaalpie"/>
          <w:rFonts w:ascii="Arial" w:hAnsi="Arial"/>
          <w:sz w:val="16"/>
          <w:szCs w:val="16"/>
        </w:rPr>
        <w:t xml:space="preserve"> </w:t>
      </w:r>
      <w:r w:rsidRPr="00AD5D4A">
        <w:rPr>
          <w:rFonts w:ascii="Arial" w:hAnsi="Arial" w:cs="Arial"/>
          <w:sz w:val="16"/>
          <w:szCs w:val="16"/>
        </w:rPr>
        <w:t>Se refiere a los sectores económicos de acuerdo con el SCIAN 2013.</w:t>
      </w:r>
      <w:r w:rsidR="009C24B0" w:rsidRPr="009C24B0">
        <w:rPr>
          <w:rFonts w:ascii="Arial" w:hAnsi="Arial" w:cs="Arial"/>
          <w:noProof/>
          <w:sz w:val="16"/>
          <w:szCs w:val="16"/>
        </w:rPr>
        <w:t xml:space="preserve"> </w:t>
      </w:r>
    </w:p>
  </w:footnote>
  <w:footnote w:id="11">
    <w:p w14:paraId="768C98CE" w14:textId="3D461A92" w:rsidR="00CD27F3" w:rsidRPr="0052437D" w:rsidRDefault="00CD27F3" w:rsidP="000B0B5F">
      <w:pPr>
        <w:pStyle w:val="Textonotapie"/>
        <w:ind w:left="142" w:right="-544" w:hanging="142"/>
        <w:jc w:val="both"/>
        <w:rPr>
          <w:rFonts w:ascii="Arial" w:hAnsi="Arial" w:cs="Arial"/>
          <w:sz w:val="16"/>
          <w:szCs w:val="16"/>
        </w:rPr>
      </w:pPr>
      <w:r w:rsidRPr="0052437D">
        <w:rPr>
          <w:rStyle w:val="Refdenotaalpie"/>
          <w:rFonts w:ascii="Arial" w:hAnsi="Arial"/>
          <w:sz w:val="16"/>
          <w:szCs w:val="16"/>
        </w:rPr>
        <w:footnoteRef/>
      </w:r>
      <w:r w:rsidRPr="0052437D">
        <w:rPr>
          <w:rFonts w:ascii="Arial" w:hAnsi="Arial" w:cs="Arial"/>
          <w:sz w:val="16"/>
          <w:szCs w:val="16"/>
        </w:rPr>
        <w:t xml:space="preserve"> Este valor representa el monto que los hogares tendrían que pagar si alquilaran las viviendas </w:t>
      </w:r>
      <w:r w:rsidR="000765E8">
        <w:rPr>
          <w:rFonts w:ascii="Arial" w:hAnsi="Arial" w:cs="Arial"/>
          <w:sz w:val="16"/>
          <w:szCs w:val="16"/>
        </w:rPr>
        <w:t xml:space="preserve">de su propiedad </w:t>
      </w:r>
      <w:r w:rsidRPr="0052437D">
        <w:rPr>
          <w:rFonts w:ascii="Arial" w:hAnsi="Arial" w:cs="Arial"/>
          <w:sz w:val="16"/>
          <w:szCs w:val="16"/>
        </w:rPr>
        <w:t>que habitan,</w:t>
      </w:r>
      <w:r w:rsidR="00C77FB9">
        <w:rPr>
          <w:rFonts w:ascii="Arial" w:hAnsi="Arial" w:cs="Arial"/>
          <w:sz w:val="16"/>
          <w:szCs w:val="16"/>
        </w:rPr>
        <w:t xml:space="preserve"> </w:t>
      </w:r>
      <w:r w:rsidRPr="0052437D">
        <w:rPr>
          <w:rFonts w:ascii="Arial" w:hAnsi="Arial" w:cs="Arial"/>
          <w:sz w:val="16"/>
          <w:szCs w:val="16"/>
        </w:rPr>
        <w:t>con las mismas características físicas y de ubicación.</w:t>
      </w:r>
      <w:r w:rsidR="005953A9">
        <w:rPr>
          <w:rFonts w:ascii="Arial" w:hAnsi="Arial" w:cs="Arial"/>
          <w:sz w:val="16"/>
          <w:szCs w:val="16"/>
        </w:rPr>
        <w:t xml:space="preserve"> La medición de este rubro es un principio contable del estándar estadístico internacional del SCN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877D2" w14:textId="77777777" w:rsidR="009020C8" w:rsidRPr="00EC31DB" w:rsidRDefault="009020C8" w:rsidP="00287F4C">
    <w:pPr>
      <w:framePr w:w="6178" w:h="1186" w:hRule="exact" w:hSpace="141" w:vSpace="141" w:wrap="auto" w:vAnchor="page" w:hAnchor="page" w:x="5320" w:y="346"/>
      <w:ind w:right="352"/>
      <w:jc w:val="right"/>
      <w:rPr>
        <w:rFonts w:ascii="Arial" w:hAnsi="Arial" w:cs="Arial"/>
        <w:b/>
        <w:color w:val="002060"/>
      </w:rPr>
    </w:pPr>
  </w:p>
  <w:p w14:paraId="28B97FCB" w14:textId="2D3B7D73" w:rsidR="009020C8" w:rsidRPr="00EC31DB" w:rsidRDefault="009020C8" w:rsidP="00287F4C">
    <w:pPr>
      <w:framePr w:w="6178" w:h="1186" w:hRule="exact" w:hSpace="141" w:vSpace="141" w:wrap="auto" w:vAnchor="page" w:hAnchor="page" w:x="5320" w:y="346"/>
      <w:ind w:right="352"/>
      <w:jc w:val="right"/>
      <w:rPr>
        <w:rFonts w:ascii="Arial" w:eastAsia="Arial" w:hAnsi="Arial" w:cs="Arial"/>
      </w:rPr>
    </w:pPr>
    <w:r w:rsidRPr="00EC31DB">
      <w:rPr>
        <w:rFonts w:ascii="Arial" w:hAnsi="Arial" w:cs="Arial"/>
        <w:b/>
        <w:color w:val="002060"/>
      </w:rPr>
      <w:t>COMUNICADO</w:t>
    </w:r>
    <w:r w:rsidRPr="00EC31DB">
      <w:rPr>
        <w:rFonts w:ascii="Arial" w:hAnsi="Arial" w:cs="Arial"/>
        <w:b/>
        <w:color w:val="002060"/>
        <w:spacing w:val="-11"/>
      </w:rPr>
      <w:t xml:space="preserve"> </w:t>
    </w:r>
    <w:r w:rsidRPr="00EC31DB">
      <w:rPr>
        <w:rFonts w:ascii="Arial" w:hAnsi="Arial" w:cs="Arial"/>
        <w:b/>
        <w:color w:val="002060"/>
      </w:rPr>
      <w:t>DE</w:t>
    </w:r>
    <w:r w:rsidRPr="00EC31DB">
      <w:rPr>
        <w:rFonts w:ascii="Arial" w:hAnsi="Arial" w:cs="Arial"/>
        <w:b/>
        <w:color w:val="002060"/>
        <w:spacing w:val="-11"/>
      </w:rPr>
      <w:t xml:space="preserve"> P</w:t>
    </w:r>
    <w:r w:rsidRPr="00EC31DB">
      <w:rPr>
        <w:rFonts w:ascii="Arial" w:hAnsi="Arial" w:cs="Arial"/>
        <w:b/>
        <w:color w:val="002060"/>
        <w:spacing w:val="-1"/>
      </w:rPr>
      <w:t>RENSA</w:t>
    </w:r>
    <w:r w:rsidRPr="00EC31DB">
      <w:rPr>
        <w:rFonts w:ascii="Arial" w:hAnsi="Arial" w:cs="Arial"/>
        <w:b/>
        <w:color w:val="002060"/>
        <w:spacing w:val="-11"/>
      </w:rPr>
      <w:t xml:space="preserve"> </w:t>
    </w:r>
    <w:r w:rsidRPr="00EC31DB">
      <w:rPr>
        <w:rFonts w:ascii="Arial" w:hAnsi="Arial" w:cs="Arial"/>
        <w:b/>
        <w:color w:val="002060"/>
      </w:rPr>
      <w:t xml:space="preserve">NÚM. </w:t>
    </w:r>
    <w:r>
      <w:rPr>
        <w:rFonts w:ascii="Arial" w:hAnsi="Arial" w:cs="Arial"/>
        <w:b/>
        <w:color w:val="002060"/>
      </w:rPr>
      <w:t>71</w:t>
    </w:r>
    <w:r w:rsidR="007E6E94">
      <w:rPr>
        <w:rFonts w:ascii="Arial" w:hAnsi="Arial" w:cs="Arial"/>
        <w:b/>
        <w:color w:val="002060"/>
      </w:rPr>
      <w:t>9</w:t>
    </w:r>
    <w:r w:rsidRPr="00EC31DB">
      <w:rPr>
        <w:rFonts w:ascii="Arial" w:hAnsi="Arial" w:cs="Arial"/>
        <w:b/>
        <w:color w:val="002060"/>
      </w:rPr>
      <w:t>/21</w:t>
    </w:r>
  </w:p>
  <w:p w14:paraId="6F6853AD" w14:textId="7BD1E4C5" w:rsidR="009020C8" w:rsidRPr="00EC31DB" w:rsidRDefault="00FC2779" w:rsidP="00287F4C">
    <w:pPr>
      <w:framePr w:w="6178" w:h="1186" w:hRule="exact" w:hSpace="141" w:vSpace="141" w:wrap="auto" w:vAnchor="page" w:hAnchor="page" w:x="5320" w:y="346"/>
      <w:ind w:right="352"/>
      <w:jc w:val="right"/>
      <w:rPr>
        <w:rFonts w:ascii="Arial" w:eastAsia="Arial" w:hAnsi="Arial" w:cs="Arial"/>
      </w:rPr>
    </w:pPr>
    <w:r>
      <w:rPr>
        <w:rFonts w:ascii="Arial" w:hAnsi="Arial" w:cs="Arial"/>
        <w:b/>
        <w:color w:val="002060"/>
      </w:rPr>
      <w:t>7</w:t>
    </w:r>
    <w:r w:rsidR="009020C8" w:rsidRPr="00EC31DB">
      <w:rPr>
        <w:rFonts w:ascii="Arial" w:hAnsi="Arial" w:cs="Arial"/>
        <w:b/>
        <w:color w:val="002060"/>
      </w:rPr>
      <w:t xml:space="preserve"> DE DICIEMBRE</w:t>
    </w:r>
    <w:r w:rsidR="009020C8" w:rsidRPr="00EC31DB">
      <w:rPr>
        <w:rFonts w:ascii="Arial" w:hAnsi="Arial" w:cs="Arial"/>
        <w:b/>
        <w:color w:val="002060"/>
        <w:spacing w:val="-6"/>
      </w:rPr>
      <w:t xml:space="preserve"> </w:t>
    </w:r>
    <w:r w:rsidR="009020C8" w:rsidRPr="00EC31DB">
      <w:rPr>
        <w:rFonts w:ascii="Arial" w:hAnsi="Arial" w:cs="Arial"/>
        <w:b/>
        <w:color w:val="002060"/>
      </w:rPr>
      <w:t>DE</w:t>
    </w:r>
    <w:r w:rsidR="009020C8" w:rsidRPr="00EC31DB">
      <w:rPr>
        <w:rFonts w:ascii="Arial" w:hAnsi="Arial" w:cs="Arial"/>
        <w:b/>
        <w:color w:val="002060"/>
        <w:spacing w:val="-5"/>
      </w:rPr>
      <w:t xml:space="preserve"> </w:t>
    </w:r>
    <w:r w:rsidR="009020C8" w:rsidRPr="00EC31DB">
      <w:rPr>
        <w:rFonts w:ascii="Arial" w:hAnsi="Arial" w:cs="Arial"/>
        <w:b/>
        <w:color w:val="002060"/>
      </w:rPr>
      <w:t>2021</w:t>
    </w:r>
  </w:p>
  <w:p w14:paraId="105F1840" w14:textId="77777777" w:rsidR="009020C8" w:rsidRPr="00EC31DB" w:rsidRDefault="009020C8" w:rsidP="00287F4C">
    <w:pPr>
      <w:framePr w:w="6178" w:h="1186" w:hRule="exact" w:hSpace="141" w:vSpace="141" w:wrap="auto" w:vAnchor="page" w:hAnchor="page" w:x="5320" w:y="346"/>
      <w:ind w:right="352"/>
      <w:jc w:val="right"/>
      <w:rPr>
        <w:rFonts w:ascii="Arial" w:eastAsia="Arial" w:hAnsi="Arial" w:cs="Arial"/>
      </w:rPr>
    </w:pPr>
    <w:r w:rsidRPr="00EC31DB">
      <w:rPr>
        <w:rFonts w:ascii="Arial" w:hAnsi="Arial" w:cs="Arial"/>
        <w:b/>
        <w:color w:val="002060"/>
      </w:rPr>
      <w:t>PÁGINA</w:t>
    </w:r>
    <w:r w:rsidRPr="00EC31DB">
      <w:rPr>
        <w:rFonts w:ascii="Arial" w:hAnsi="Arial" w:cs="Arial"/>
        <w:b/>
        <w:color w:val="002060"/>
        <w:spacing w:val="-13"/>
      </w:rPr>
      <w:t xml:space="preserve"> </w:t>
    </w:r>
    <w:r w:rsidRPr="00EC31DB">
      <w:rPr>
        <w:rFonts w:ascii="Arial" w:hAnsi="Arial" w:cs="Arial"/>
      </w:rPr>
      <w:fldChar w:fldCharType="begin"/>
    </w:r>
    <w:r w:rsidRPr="00EC31DB">
      <w:rPr>
        <w:rFonts w:ascii="Arial" w:hAnsi="Arial" w:cs="Arial"/>
        <w:b/>
        <w:color w:val="002060"/>
      </w:rPr>
      <w:instrText xml:space="preserve"> PAGE </w:instrText>
    </w:r>
    <w:r w:rsidRPr="00EC31DB">
      <w:rPr>
        <w:rFonts w:ascii="Arial" w:hAnsi="Arial" w:cs="Arial"/>
      </w:rPr>
      <w:fldChar w:fldCharType="separate"/>
    </w:r>
    <w:r w:rsidRPr="00EC31DB">
      <w:rPr>
        <w:rFonts w:ascii="Arial" w:hAnsi="Arial" w:cs="Arial"/>
      </w:rPr>
      <w:t>1</w:t>
    </w:r>
    <w:r w:rsidRPr="00EC31DB">
      <w:rPr>
        <w:rFonts w:ascii="Arial" w:hAnsi="Arial" w:cs="Arial"/>
      </w:rPr>
      <w:fldChar w:fldCharType="end"/>
    </w:r>
    <w:r w:rsidRPr="00EC31DB">
      <w:rPr>
        <w:rFonts w:ascii="Arial" w:hAnsi="Arial" w:cs="Arial"/>
        <w:b/>
        <w:color w:val="002060"/>
      </w:rPr>
      <w:t>/2</w:t>
    </w:r>
  </w:p>
  <w:p w14:paraId="2B32013B" w14:textId="77777777" w:rsidR="009020C8" w:rsidRPr="00A36C24" w:rsidRDefault="009020C8" w:rsidP="00287F4C">
    <w:pPr>
      <w:framePr w:w="6178" w:h="1186" w:hRule="exact" w:hSpace="141" w:vSpace="141" w:wrap="auto" w:vAnchor="page" w:hAnchor="page" w:x="5320" w:y="346"/>
      <w:tabs>
        <w:tab w:val="left" w:pos="6447"/>
      </w:tabs>
      <w:spacing w:line="265" w:lineRule="exact"/>
      <w:ind w:right="353"/>
      <w:rPr>
        <w:rFonts w:eastAsia="Arial" w:cs="Arial"/>
      </w:rPr>
    </w:pPr>
    <w:r w:rsidRPr="00A36C24">
      <w:rPr>
        <w:rFonts w:eastAsia="Arial" w:cs="Arial"/>
      </w:rPr>
      <w:tab/>
    </w:r>
  </w:p>
  <w:p w14:paraId="3865EDD4" w14:textId="77777777" w:rsidR="009020C8" w:rsidRDefault="009020C8" w:rsidP="00EC31DB">
    <w:pPr>
      <w:pStyle w:val="Encabezado"/>
      <w:ind w:left="-567"/>
      <w:rPr>
        <w:noProof/>
      </w:rPr>
    </w:pPr>
    <w:r>
      <w:rPr>
        <w:noProof/>
      </w:rPr>
      <w:drawing>
        <wp:inline distT="0" distB="0" distL="0" distR="0" wp14:anchorId="0AF24932" wp14:editId="0BEEB419">
          <wp:extent cx="678606" cy="70485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pic:nvPicPr>
                <pic:blipFill>
                  <a:blip r:embed="rId1">
                    <a:extLst>
                      <a:ext uri="{28A0092B-C50C-407E-A947-70E740481C1C}">
                        <a14:useLocalDpi xmlns:a14="http://schemas.microsoft.com/office/drawing/2010/main" val="0"/>
                      </a:ext>
                    </a:extLst>
                  </a:blip>
                  <a:stretch>
                    <a:fillRect/>
                  </a:stretch>
                </pic:blipFill>
                <pic:spPr>
                  <a:xfrm>
                    <a:off x="0" y="0"/>
                    <a:ext cx="686623" cy="713177"/>
                  </a:xfrm>
                  <a:prstGeom prst="rect">
                    <a:avLst/>
                  </a:prstGeom>
                </pic:spPr>
              </pic:pic>
            </a:graphicData>
          </a:graphic>
        </wp:inline>
      </w:drawing>
    </w:r>
  </w:p>
  <w:p w14:paraId="3961BD1A" w14:textId="77777777" w:rsidR="009020C8" w:rsidRDefault="009020C8" w:rsidP="00E92F6E">
    <w:pPr>
      <w:pStyle w:val="Encabezado"/>
      <w:tabs>
        <w:tab w:val="clear" w:pos="4419"/>
        <w:tab w:val="clear" w:pos="8838"/>
      </w:tabs>
      <w:rPr>
        <w:b/>
        <w:color w:val="000000"/>
        <w:spacing w:val="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3E44E" w14:textId="77777777" w:rsidR="00F17786" w:rsidRDefault="00F17786" w:rsidP="009020C8">
    <w:pPr>
      <w:pStyle w:val="Encabezado"/>
      <w:tabs>
        <w:tab w:val="clear" w:pos="4419"/>
        <w:tab w:val="clear" w:pos="8838"/>
      </w:tabs>
      <w:ind w:left="-567" w:right="-518"/>
      <w:jc w:val="center"/>
      <w:rPr>
        <w:noProof/>
      </w:rPr>
    </w:pPr>
    <w:r>
      <w:rPr>
        <w:noProof/>
      </w:rPr>
      <w:drawing>
        <wp:inline distT="0" distB="0" distL="0" distR="0" wp14:anchorId="698A3E67" wp14:editId="7788ECDA">
          <wp:extent cx="678606" cy="704850"/>
          <wp:effectExtent l="0" t="0" r="762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pic:nvPicPr>
                <pic:blipFill>
                  <a:blip r:embed="rId1">
                    <a:extLst>
                      <a:ext uri="{28A0092B-C50C-407E-A947-70E740481C1C}">
                        <a14:useLocalDpi xmlns:a14="http://schemas.microsoft.com/office/drawing/2010/main" val="0"/>
                      </a:ext>
                    </a:extLst>
                  </a:blip>
                  <a:stretch>
                    <a:fillRect/>
                  </a:stretch>
                </pic:blipFill>
                <pic:spPr>
                  <a:xfrm>
                    <a:off x="0" y="0"/>
                    <a:ext cx="686623" cy="7131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B31324"/>
    <w:multiLevelType w:val="hybridMultilevel"/>
    <w:tmpl w:val="F138A73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2EAA7656"/>
    <w:multiLevelType w:val="hybridMultilevel"/>
    <w:tmpl w:val="33FC994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94"/>
    <w:rsid w:val="0000022B"/>
    <w:rsid w:val="00000486"/>
    <w:rsid w:val="00001B4D"/>
    <w:rsid w:val="00005C5E"/>
    <w:rsid w:val="00015D57"/>
    <w:rsid w:val="0002598E"/>
    <w:rsid w:val="00025CDD"/>
    <w:rsid w:val="00027C30"/>
    <w:rsid w:val="0003200F"/>
    <w:rsid w:val="00033CE3"/>
    <w:rsid w:val="00035A73"/>
    <w:rsid w:val="0003684D"/>
    <w:rsid w:val="00040DE0"/>
    <w:rsid w:val="00042EAF"/>
    <w:rsid w:val="00043FC8"/>
    <w:rsid w:val="00045539"/>
    <w:rsid w:val="00047B93"/>
    <w:rsid w:val="00051883"/>
    <w:rsid w:val="00052EC0"/>
    <w:rsid w:val="0006168D"/>
    <w:rsid w:val="00066944"/>
    <w:rsid w:val="00066F1F"/>
    <w:rsid w:val="00067615"/>
    <w:rsid w:val="0007127C"/>
    <w:rsid w:val="0007200E"/>
    <w:rsid w:val="0007202D"/>
    <w:rsid w:val="000765E8"/>
    <w:rsid w:val="000771A5"/>
    <w:rsid w:val="00081AD6"/>
    <w:rsid w:val="000850BD"/>
    <w:rsid w:val="00091AF6"/>
    <w:rsid w:val="000936A9"/>
    <w:rsid w:val="000979E1"/>
    <w:rsid w:val="00097E83"/>
    <w:rsid w:val="000A2285"/>
    <w:rsid w:val="000B0B5F"/>
    <w:rsid w:val="000B12CD"/>
    <w:rsid w:val="000B2914"/>
    <w:rsid w:val="000C0585"/>
    <w:rsid w:val="000C1D0A"/>
    <w:rsid w:val="000C4AAC"/>
    <w:rsid w:val="000C5438"/>
    <w:rsid w:val="000D2B1F"/>
    <w:rsid w:val="000D2DAD"/>
    <w:rsid w:val="000D4083"/>
    <w:rsid w:val="000D486E"/>
    <w:rsid w:val="000D6BA3"/>
    <w:rsid w:val="000E3E95"/>
    <w:rsid w:val="000E5057"/>
    <w:rsid w:val="000E6FCC"/>
    <w:rsid w:val="000E75B3"/>
    <w:rsid w:val="000E7DC1"/>
    <w:rsid w:val="000F0AC9"/>
    <w:rsid w:val="000F207A"/>
    <w:rsid w:val="000F3D58"/>
    <w:rsid w:val="000F7899"/>
    <w:rsid w:val="0011425B"/>
    <w:rsid w:val="00123A6C"/>
    <w:rsid w:val="00125305"/>
    <w:rsid w:val="00126CA5"/>
    <w:rsid w:val="00140BDE"/>
    <w:rsid w:val="00141A97"/>
    <w:rsid w:val="00145052"/>
    <w:rsid w:val="00146E06"/>
    <w:rsid w:val="00147A7F"/>
    <w:rsid w:val="00151583"/>
    <w:rsid w:val="00153ACA"/>
    <w:rsid w:val="00156A9B"/>
    <w:rsid w:val="001573E0"/>
    <w:rsid w:val="001650B4"/>
    <w:rsid w:val="00166DD8"/>
    <w:rsid w:val="0016757E"/>
    <w:rsid w:val="00174399"/>
    <w:rsid w:val="001811D3"/>
    <w:rsid w:val="00186B74"/>
    <w:rsid w:val="00194904"/>
    <w:rsid w:val="00197F90"/>
    <w:rsid w:val="001A0262"/>
    <w:rsid w:val="001A28D0"/>
    <w:rsid w:val="001A2AD4"/>
    <w:rsid w:val="001A4D77"/>
    <w:rsid w:val="001A6DB3"/>
    <w:rsid w:val="001B00DB"/>
    <w:rsid w:val="001C0FF0"/>
    <w:rsid w:val="001C1A11"/>
    <w:rsid w:val="001D16AF"/>
    <w:rsid w:val="001D3128"/>
    <w:rsid w:val="001E3FE3"/>
    <w:rsid w:val="001E5EC1"/>
    <w:rsid w:val="001E6B57"/>
    <w:rsid w:val="001F11C1"/>
    <w:rsid w:val="001F3FB9"/>
    <w:rsid w:val="001F59F3"/>
    <w:rsid w:val="002042ED"/>
    <w:rsid w:val="002112D1"/>
    <w:rsid w:val="00217F98"/>
    <w:rsid w:val="002209A6"/>
    <w:rsid w:val="0022125A"/>
    <w:rsid w:val="002255A0"/>
    <w:rsid w:val="00225A19"/>
    <w:rsid w:val="00227EE5"/>
    <w:rsid w:val="0023271E"/>
    <w:rsid w:val="002353E1"/>
    <w:rsid w:val="002357DA"/>
    <w:rsid w:val="00243D53"/>
    <w:rsid w:val="00244454"/>
    <w:rsid w:val="0024476B"/>
    <w:rsid w:val="002505FB"/>
    <w:rsid w:val="002531C2"/>
    <w:rsid w:val="00254DE5"/>
    <w:rsid w:val="00256D03"/>
    <w:rsid w:val="002613D8"/>
    <w:rsid w:val="0026341C"/>
    <w:rsid w:val="00267383"/>
    <w:rsid w:val="002706F0"/>
    <w:rsid w:val="00271E77"/>
    <w:rsid w:val="00274756"/>
    <w:rsid w:val="00274D0F"/>
    <w:rsid w:val="0027728D"/>
    <w:rsid w:val="00277390"/>
    <w:rsid w:val="00277477"/>
    <w:rsid w:val="002779E8"/>
    <w:rsid w:val="002805FF"/>
    <w:rsid w:val="002832B8"/>
    <w:rsid w:val="00284EDE"/>
    <w:rsid w:val="00286103"/>
    <w:rsid w:val="00286B86"/>
    <w:rsid w:val="00287F4C"/>
    <w:rsid w:val="002902AA"/>
    <w:rsid w:val="00290B0E"/>
    <w:rsid w:val="0029110E"/>
    <w:rsid w:val="00291CE7"/>
    <w:rsid w:val="002928D4"/>
    <w:rsid w:val="00293C75"/>
    <w:rsid w:val="002A426A"/>
    <w:rsid w:val="002A47E3"/>
    <w:rsid w:val="002B2F15"/>
    <w:rsid w:val="002B56DC"/>
    <w:rsid w:val="002B6FD7"/>
    <w:rsid w:val="002C3C91"/>
    <w:rsid w:val="002D2731"/>
    <w:rsid w:val="002D2ECC"/>
    <w:rsid w:val="002D3890"/>
    <w:rsid w:val="002D61DC"/>
    <w:rsid w:val="002D6823"/>
    <w:rsid w:val="002E35B2"/>
    <w:rsid w:val="002F00A2"/>
    <w:rsid w:val="002F1847"/>
    <w:rsid w:val="002F2271"/>
    <w:rsid w:val="002F2BCA"/>
    <w:rsid w:val="002F529E"/>
    <w:rsid w:val="002F68AE"/>
    <w:rsid w:val="00300627"/>
    <w:rsid w:val="00306AE8"/>
    <w:rsid w:val="0031041C"/>
    <w:rsid w:val="003144D1"/>
    <w:rsid w:val="0032020C"/>
    <w:rsid w:val="00323124"/>
    <w:rsid w:val="00323E72"/>
    <w:rsid w:val="00327A51"/>
    <w:rsid w:val="00334184"/>
    <w:rsid w:val="00337432"/>
    <w:rsid w:val="00340410"/>
    <w:rsid w:val="00341B85"/>
    <w:rsid w:val="00342E8D"/>
    <w:rsid w:val="00354429"/>
    <w:rsid w:val="00354C45"/>
    <w:rsid w:val="003564D8"/>
    <w:rsid w:val="00356C32"/>
    <w:rsid w:val="00364D3B"/>
    <w:rsid w:val="00365E5D"/>
    <w:rsid w:val="00366A58"/>
    <w:rsid w:val="003674F9"/>
    <w:rsid w:val="003770BC"/>
    <w:rsid w:val="00384CB7"/>
    <w:rsid w:val="00386EF3"/>
    <w:rsid w:val="003A159C"/>
    <w:rsid w:val="003A39CB"/>
    <w:rsid w:val="003A3D8C"/>
    <w:rsid w:val="003B20B5"/>
    <w:rsid w:val="003B295A"/>
    <w:rsid w:val="003B76D4"/>
    <w:rsid w:val="003C0545"/>
    <w:rsid w:val="003C4BCD"/>
    <w:rsid w:val="003C7E4C"/>
    <w:rsid w:val="003D44EF"/>
    <w:rsid w:val="003E3A2A"/>
    <w:rsid w:val="003E5056"/>
    <w:rsid w:val="003E6E53"/>
    <w:rsid w:val="003F40CA"/>
    <w:rsid w:val="00407299"/>
    <w:rsid w:val="00407568"/>
    <w:rsid w:val="00407A0D"/>
    <w:rsid w:val="00415233"/>
    <w:rsid w:val="00420E66"/>
    <w:rsid w:val="00424788"/>
    <w:rsid w:val="004277E7"/>
    <w:rsid w:val="00431377"/>
    <w:rsid w:val="00435BC9"/>
    <w:rsid w:val="00441D68"/>
    <w:rsid w:val="0044200C"/>
    <w:rsid w:val="004427F8"/>
    <w:rsid w:val="004438D5"/>
    <w:rsid w:val="00444F0A"/>
    <w:rsid w:val="00452246"/>
    <w:rsid w:val="00454778"/>
    <w:rsid w:val="00454CDB"/>
    <w:rsid w:val="00454E02"/>
    <w:rsid w:val="00455F4D"/>
    <w:rsid w:val="00456800"/>
    <w:rsid w:val="00460308"/>
    <w:rsid w:val="0046058A"/>
    <w:rsid w:val="00463C39"/>
    <w:rsid w:val="00473CF4"/>
    <w:rsid w:val="00474E9B"/>
    <w:rsid w:val="00477AA0"/>
    <w:rsid w:val="0048007F"/>
    <w:rsid w:val="00480511"/>
    <w:rsid w:val="00480B87"/>
    <w:rsid w:val="00480DD5"/>
    <w:rsid w:val="00480DD6"/>
    <w:rsid w:val="00485CDD"/>
    <w:rsid w:val="0049077E"/>
    <w:rsid w:val="00491D5E"/>
    <w:rsid w:val="00497569"/>
    <w:rsid w:val="004A119F"/>
    <w:rsid w:val="004A5BE7"/>
    <w:rsid w:val="004A7392"/>
    <w:rsid w:val="004B0A6D"/>
    <w:rsid w:val="004B0D3D"/>
    <w:rsid w:val="004B2E6D"/>
    <w:rsid w:val="004C260D"/>
    <w:rsid w:val="004C2761"/>
    <w:rsid w:val="004C3D44"/>
    <w:rsid w:val="004C447C"/>
    <w:rsid w:val="004D047E"/>
    <w:rsid w:val="004D52FF"/>
    <w:rsid w:val="004E07E9"/>
    <w:rsid w:val="004F017B"/>
    <w:rsid w:val="004F2016"/>
    <w:rsid w:val="004F6A71"/>
    <w:rsid w:val="004F7A7D"/>
    <w:rsid w:val="00503A60"/>
    <w:rsid w:val="00503EDE"/>
    <w:rsid w:val="005060A4"/>
    <w:rsid w:val="005060B9"/>
    <w:rsid w:val="00507286"/>
    <w:rsid w:val="00510CE0"/>
    <w:rsid w:val="005127FA"/>
    <w:rsid w:val="005144D9"/>
    <w:rsid w:val="00514B7D"/>
    <w:rsid w:val="00514E65"/>
    <w:rsid w:val="005239FA"/>
    <w:rsid w:val="00524FB1"/>
    <w:rsid w:val="00526D2F"/>
    <w:rsid w:val="00530558"/>
    <w:rsid w:val="0054246D"/>
    <w:rsid w:val="0054251E"/>
    <w:rsid w:val="00544E03"/>
    <w:rsid w:val="0054656C"/>
    <w:rsid w:val="005522E7"/>
    <w:rsid w:val="00555BE8"/>
    <w:rsid w:val="00557A35"/>
    <w:rsid w:val="005638C1"/>
    <w:rsid w:val="00566298"/>
    <w:rsid w:val="00572392"/>
    <w:rsid w:val="00573734"/>
    <w:rsid w:val="005833AB"/>
    <w:rsid w:val="005841C4"/>
    <w:rsid w:val="00585FDD"/>
    <w:rsid w:val="005872B5"/>
    <w:rsid w:val="005953A9"/>
    <w:rsid w:val="005953CD"/>
    <w:rsid w:val="0059720F"/>
    <w:rsid w:val="005A0AB4"/>
    <w:rsid w:val="005A220E"/>
    <w:rsid w:val="005A3D5B"/>
    <w:rsid w:val="005B0DEE"/>
    <w:rsid w:val="005B3174"/>
    <w:rsid w:val="005B4D9D"/>
    <w:rsid w:val="005B4E24"/>
    <w:rsid w:val="005C270C"/>
    <w:rsid w:val="005C413E"/>
    <w:rsid w:val="005C72E0"/>
    <w:rsid w:val="005D3D30"/>
    <w:rsid w:val="005E0662"/>
    <w:rsid w:val="005E145B"/>
    <w:rsid w:val="005F0FE3"/>
    <w:rsid w:val="005F3DFE"/>
    <w:rsid w:val="005F758B"/>
    <w:rsid w:val="005F7E75"/>
    <w:rsid w:val="00600486"/>
    <w:rsid w:val="00600944"/>
    <w:rsid w:val="00615093"/>
    <w:rsid w:val="00620D74"/>
    <w:rsid w:val="00622EEC"/>
    <w:rsid w:val="00627002"/>
    <w:rsid w:val="00632D94"/>
    <w:rsid w:val="00634AD1"/>
    <w:rsid w:val="00635DEF"/>
    <w:rsid w:val="00636D65"/>
    <w:rsid w:val="00640E4B"/>
    <w:rsid w:val="00641B12"/>
    <w:rsid w:val="00642EBD"/>
    <w:rsid w:val="006442D9"/>
    <w:rsid w:val="0064680B"/>
    <w:rsid w:val="0064746D"/>
    <w:rsid w:val="00654AA4"/>
    <w:rsid w:val="00660661"/>
    <w:rsid w:val="00666272"/>
    <w:rsid w:val="00671E0B"/>
    <w:rsid w:val="006759AF"/>
    <w:rsid w:val="006770FE"/>
    <w:rsid w:val="0067746C"/>
    <w:rsid w:val="006821D6"/>
    <w:rsid w:val="00682C6D"/>
    <w:rsid w:val="00683991"/>
    <w:rsid w:val="00684A97"/>
    <w:rsid w:val="00691419"/>
    <w:rsid w:val="00694001"/>
    <w:rsid w:val="006A3F8B"/>
    <w:rsid w:val="006B0A79"/>
    <w:rsid w:val="006B2805"/>
    <w:rsid w:val="006B7D6F"/>
    <w:rsid w:val="006C27E3"/>
    <w:rsid w:val="006C4671"/>
    <w:rsid w:val="006C6EF7"/>
    <w:rsid w:val="006C7E07"/>
    <w:rsid w:val="006D38B6"/>
    <w:rsid w:val="006D437B"/>
    <w:rsid w:val="006D57D2"/>
    <w:rsid w:val="006D7133"/>
    <w:rsid w:val="006E19BD"/>
    <w:rsid w:val="006E25A1"/>
    <w:rsid w:val="006E2D46"/>
    <w:rsid w:val="006F127E"/>
    <w:rsid w:val="006F69D3"/>
    <w:rsid w:val="007108EB"/>
    <w:rsid w:val="0071201C"/>
    <w:rsid w:val="007122BD"/>
    <w:rsid w:val="0071266E"/>
    <w:rsid w:val="00713731"/>
    <w:rsid w:val="00713947"/>
    <w:rsid w:val="0071438E"/>
    <w:rsid w:val="00724605"/>
    <w:rsid w:val="007261F4"/>
    <w:rsid w:val="00735658"/>
    <w:rsid w:val="00735D49"/>
    <w:rsid w:val="007366FA"/>
    <w:rsid w:val="007377B9"/>
    <w:rsid w:val="007400A0"/>
    <w:rsid w:val="00741930"/>
    <w:rsid w:val="00744A09"/>
    <w:rsid w:val="00751527"/>
    <w:rsid w:val="0075509E"/>
    <w:rsid w:val="00756447"/>
    <w:rsid w:val="007607FA"/>
    <w:rsid w:val="00764425"/>
    <w:rsid w:val="00765760"/>
    <w:rsid w:val="00767EF9"/>
    <w:rsid w:val="007716F9"/>
    <w:rsid w:val="0077585A"/>
    <w:rsid w:val="00777CB6"/>
    <w:rsid w:val="00777D18"/>
    <w:rsid w:val="00782122"/>
    <w:rsid w:val="00783E81"/>
    <w:rsid w:val="00785D3F"/>
    <w:rsid w:val="007A0065"/>
    <w:rsid w:val="007A23D0"/>
    <w:rsid w:val="007A25D7"/>
    <w:rsid w:val="007A2EF8"/>
    <w:rsid w:val="007A5071"/>
    <w:rsid w:val="007A5EFC"/>
    <w:rsid w:val="007B0DE1"/>
    <w:rsid w:val="007B32C1"/>
    <w:rsid w:val="007B57FC"/>
    <w:rsid w:val="007B5C3F"/>
    <w:rsid w:val="007B5CCF"/>
    <w:rsid w:val="007B5D55"/>
    <w:rsid w:val="007B6514"/>
    <w:rsid w:val="007C0C09"/>
    <w:rsid w:val="007C294E"/>
    <w:rsid w:val="007C53D8"/>
    <w:rsid w:val="007C54B2"/>
    <w:rsid w:val="007D0312"/>
    <w:rsid w:val="007D0EC2"/>
    <w:rsid w:val="007D506C"/>
    <w:rsid w:val="007D67C7"/>
    <w:rsid w:val="007D7541"/>
    <w:rsid w:val="007E6E94"/>
    <w:rsid w:val="00800EF9"/>
    <w:rsid w:val="00801629"/>
    <w:rsid w:val="00802346"/>
    <w:rsid w:val="0080258B"/>
    <w:rsid w:val="008027D9"/>
    <w:rsid w:val="008036A1"/>
    <w:rsid w:val="00805B00"/>
    <w:rsid w:val="00806BEB"/>
    <w:rsid w:val="008149FE"/>
    <w:rsid w:val="00815B1F"/>
    <w:rsid w:val="00815D7D"/>
    <w:rsid w:val="00820BD1"/>
    <w:rsid w:val="00826557"/>
    <w:rsid w:val="008274BF"/>
    <w:rsid w:val="00827B88"/>
    <w:rsid w:val="00831A7E"/>
    <w:rsid w:val="00834F8F"/>
    <w:rsid w:val="008352F5"/>
    <w:rsid w:val="0083638E"/>
    <w:rsid w:val="00845188"/>
    <w:rsid w:val="008451DE"/>
    <w:rsid w:val="0084672E"/>
    <w:rsid w:val="0085042C"/>
    <w:rsid w:val="008524FE"/>
    <w:rsid w:val="00860186"/>
    <w:rsid w:val="00862457"/>
    <w:rsid w:val="00863BCA"/>
    <w:rsid w:val="00865764"/>
    <w:rsid w:val="00866368"/>
    <w:rsid w:val="008725A2"/>
    <w:rsid w:val="00872BAF"/>
    <w:rsid w:val="00875719"/>
    <w:rsid w:val="0088456D"/>
    <w:rsid w:val="00886176"/>
    <w:rsid w:val="008876F6"/>
    <w:rsid w:val="00890E75"/>
    <w:rsid w:val="008943F6"/>
    <w:rsid w:val="008A1CAE"/>
    <w:rsid w:val="008A2EC3"/>
    <w:rsid w:val="008A3E90"/>
    <w:rsid w:val="008A6A8A"/>
    <w:rsid w:val="008A777B"/>
    <w:rsid w:val="008B4CDD"/>
    <w:rsid w:val="008B5E63"/>
    <w:rsid w:val="008C10A7"/>
    <w:rsid w:val="008C24B8"/>
    <w:rsid w:val="008C7264"/>
    <w:rsid w:val="008D1494"/>
    <w:rsid w:val="008D3481"/>
    <w:rsid w:val="008D46A7"/>
    <w:rsid w:val="008E4269"/>
    <w:rsid w:val="008E56AD"/>
    <w:rsid w:val="008E5845"/>
    <w:rsid w:val="008F1F4F"/>
    <w:rsid w:val="008F3B11"/>
    <w:rsid w:val="009020C8"/>
    <w:rsid w:val="0090294C"/>
    <w:rsid w:val="00903295"/>
    <w:rsid w:val="00903752"/>
    <w:rsid w:val="009043C5"/>
    <w:rsid w:val="00904A80"/>
    <w:rsid w:val="00910613"/>
    <w:rsid w:val="00910871"/>
    <w:rsid w:val="0091106A"/>
    <w:rsid w:val="00912468"/>
    <w:rsid w:val="00930014"/>
    <w:rsid w:val="0093112F"/>
    <w:rsid w:val="009337B1"/>
    <w:rsid w:val="00936545"/>
    <w:rsid w:val="00937E0A"/>
    <w:rsid w:val="00954E47"/>
    <w:rsid w:val="00966BF8"/>
    <w:rsid w:val="00967050"/>
    <w:rsid w:val="00971814"/>
    <w:rsid w:val="00977D98"/>
    <w:rsid w:val="00981BDF"/>
    <w:rsid w:val="00991502"/>
    <w:rsid w:val="00991B7D"/>
    <w:rsid w:val="00994BB9"/>
    <w:rsid w:val="009A09CB"/>
    <w:rsid w:val="009A45F4"/>
    <w:rsid w:val="009B21E0"/>
    <w:rsid w:val="009B5B18"/>
    <w:rsid w:val="009B609B"/>
    <w:rsid w:val="009C0C0B"/>
    <w:rsid w:val="009C12BC"/>
    <w:rsid w:val="009C24B0"/>
    <w:rsid w:val="009C5F83"/>
    <w:rsid w:val="009C7F29"/>
    <w:rsid w:val="009D04C0"/>
    <w:rsid w:val="009D0C99"/>
    <w:rsid w:val="009D2CC4"/>
    <w:rsid w:val="009D38AA"/>
    <w:rsid w:val="009D7D2D"/>
    <w:rsid w:val="009D7D8E"/>
    <w:rsid w:val="009E0F01"/>
    <w:rsid w:val="009F2B76"/>
    <w:rsid w:val="009F38E2"/>
    <w:rsid w:val="009F5CC3"/>
    <w:rsid w:val="00A00AB6"/>
    <w:rsid w:val="00A02C35"/>
    <w:rsid w:val="00A0732E"/>
    <w:rsid w:val="00A10037"/>
    <w:rsid w:val="00A13089"/>
    <w:rsid w:val="00A13F13"/>
    <w:rsid w:val="00A16BC2"/>
    <w:rsid w:val="00A23825"/>
    <w:rsid w:val="00A314A9"/>
    <w:rsid w:val="00A37384"/>
    <w:rsid w:val="00A37627"/>
    <w:rsid w:val="00A42372"/>
    <w:rsid w:val="00A4259D"/>
    <w:rsid w:val="00A454D8"/>
    <w:rsid w:val="00A63879"/>
    <w:rsid w:val="00A6393D"/>
    <w:rsid w:val="00A71913"/>
    <w:rsid w:val="00A7276A"/>
    <w:rsid w:val="00A72E80"/>
    <w:rsid w:val="00A81A2F"/>
    <w:rsid w:val="00A830B6"/>
    <w:rsid w:val="00A83369"/>
    <w:rsid w:val="00A86CFD"/>
    <w:rsid w:val="00A9164B"/>
    <w:rsid w:val="00A964B2"/>
    <w:rsid w:val="00AA1552"/>
    <w:rsid w:val="00AA4E4A"/>
    <w:rsid w:val="00AA653F"/>
    <w:rsid w:val="00AB07AB"/>
    <w:rsid w:val="00AB2B3C"/>
    <w:rsid w:val="00AB4D35"/>
    <w:rsid w:val="00AB52CC"/>
    <w:rsid w:val="00AB561B"/>
    <w:rsid w:val="00AB5F83"/>
    <w:rsid w:val="00AC195B"/>
    <w:rsid w:val="00AC36D8"/>
    <w:rsid w:val="00AC5066"/>
    <w:rsid w:val="00AD0359"/>
    <w:rsid w:val="00AD1872"/>
    <w:rsid w:val="00AD3A37"/>
    <w:rsid w:val="00AD704B"/>
    <w:rsid w:val="00AE2EA3"/>
    <w:rsid w:val="00AE2FA2"/>
    <w:rsid w:val="00AE4C7F"/>
    <w:rsid w:val="00AE5B30"/>
    <w:rsid w:val="00AE7186"/>
    <w:rsid w:val="00AF1CA2"/>
    <w:rsid w:val="00AF2E50"/>
    <w:rsid w:val="00AF7D97"/>
    <w:rsid w:val="00B04302"/>
    <w:rsid w:val="00B124FB"/>
    <w:rsid w:val="00B16B4A"/>
    <w:rsid w:val="00B321B4"/>
    <w:rsid w:val="00B32B06"/>
    <w:rsid w:val="00B338B2"/>
    <w:rsid w:val="00B35A39"/>
    <w:rsid w:val="00B3688A"/>
    <w:rsid w:val="00B419CD"/>
    <w:rsid w:val="00B44434"/>
    <w:rsid w:val="00B454A8"/>
    <w:rsid w:val="00B511F8"/>
    <w:rsid w:val="00B51BA1"/>
    <w:rsid w:val="00B55B80"/>
    <w:rsid w:val="00B6193A"/>
    <w:rsid w:val="00B6239E"/>
    <w:rsid w:val="00B65AED"/>
    <w:rsid w:val="00B66CF2"/>
    <w:rsid w:val="00B66DDA"/>
    <w:rsid w:val="00B729A2"/>
    <w:rsid w:val="00B74004"/>
    <w:rsid w:val="00B75860"/>
    <w:rsid w:val="00B75E02"/>
    <w:rsid w:val="00B8395F"/>
    <w:rsid w:val="00B9010E"/>
    <w:rsid w:val="00B90C73"/>
    <w:rsid w:val="00B94C95"/>
    <w:rsid w:val="00BA3ACE"/>
    <w:rsid w:val="00BB1BF1"/>
    <w:rsid w:val="00BB52CC"/>
    <w:rsid w:val="00BC0C67"/>
    <w:rsid w:val="00BC6CF4"/>
    <w:rsid w:val="00BD2A65"/>
    <w:rsid w:val="00BE0517"/>
    <w:rsid w:val="00BE2116"/>
    <w:rsid w:val="00BE4BC0"/>
    <w:rsid w:val="00BE70F2"/>
    <w:rsid w:val="00BF1C41"/>
    <w:rsid w:val="00C04AF5"/>
    <w:rsid w:val="00C07358"/>
    <w:rsid w:val="00C1453E"/>
    <w:rsid w:val="00C22EA8"/>
    <w:rsid w:val="00C235B3"/>
    <w:rsid w:val="00C23617"/>
    <w:rsid w:val="00C23CB8"/>
    <w:rsid w:val="00C25DC4"/>
    <w:rsid w:val="00C276EA"/>
    <w:rsid w:val="00C3008B"/>
    <w:rsid w:val="00C33F02"/>
    <w:rsid w:val="00C41F82"/>
    <w:rsid w:val="00C45226"/>
    <w:rsid w:val="00C47BA9"/>
    <w:rsid w:val="00C5178F"/>
    <w:rsid w:val="00C5279E"/>
    <w:rsid w:val="00C62773"/>
    <w:rsid w:val="00C64E7A"/>
    <w:rsid w:val="00C65625"/>
    <w:rsid w:val="00C66B42"/>
    <w:rsid w:val="00C67178"/>
    <w:rsid w:val="00C74828"/>
    <w:rsid w:val="00C74C79"/>
    <w:rsid w:val="00C77FB9"/>
    <w:rsid w:val="00C81259"/>
    <w:rsid w:val="00C83753"/>
    <w:rsid w:val="00C866AD"/>
    <w:rsid w:val="00C9297A"/>
    <w:rsid w:val="00C946ED"/>
    <w:rsid w:val="00C95294"/>
    <w:rsid w:val="00CA0BAE"/>
    <w:rsid w:val="00CA135D"/>
    <w:rsid w:val="00CB2951"/>
    <w:rsid w:val="00CC371E"/>
    <w:rsid w:val="00CD220F"/>
    <w:rsid w:val="00CD23F2"/>
    <w:rsid w:val="00CD27F3"/>
    <w:rsid w:val="00CD5430"/>
    <w:rsid w:val="00CD7B00"/>
    <w:rsid w:val="00CE042F"/>
    <w:rsid w:val="00CE601B"/>
    <w:rsid w:val="00CE634C"/>
    <w:rsid w:val="00CF29A6"/>
    <w:rsid w:val="00CF6BEC"/>
    <w:rsid w:val="00D112B7"/>
    <w:rsid w:val="00D13D68"/>
    <w:rsid w:val="00D1734E"/>
    <w:rsid w:val="00D20DE5"/>
    <w:rsid w:val="00D2511C"/>
    <w:rsid w:val="00D36F07"/>
    <w:rsid w:val="00D429A3"/>
    <w:rsid w:val="00D43002"/>
    <w:rsid w:val="00D433A4"/>
    <w:rsid w:val="00D43B51"/>
    <w:rsid w:val="00D442F7"/>
    <w:rsid w:val="00D44CE1"/>
    <w:rsid w:val="00D474AA"/>
    <w:rsid w:val="00D50E0F"/>
    <w:rsid w:val="00D6143D"/>
    <w:rsid w:val="00D61EAC"/>
    <w:rsid w:val="00D62A61"/>
    <w:rsid w:val="00D661D1"/>
    <w:rsid w:val="00D76629"/>
    <w:rsid w:val="00D8287D"/>
    <w:rsid w:val="00D8495B"/>
    <w:rsid w:val="00D86325"/>
    <w:rsid w:val="00D92E38"/>
    <w:rsid w:val="00D92FDE"/>
    <w:rsid w:val="00D94468"/>
    <w:rsid w:val="00D94701"/>
    <w:rsid w:val="00D955B4"/>
    <w:rsid w:val="00D97275"/>
    <w:rsid w:val="00DA4585"/>
    <w:rsid w:val="00DB35B2"/>
    <w:rsid w:val="00DB4B09"/>
    <w:rsid w:val="00DB7532"/>
    <w:rsid w:val="00DC31BC"/>
    <w:rsid w:val="00DC668B"/>
    <w:rsid w:val="00DD1448"/>
    <w:rsid w:val="00DD2FBC"/>
    <w:rsid w:val="00DD4366"/>
    <w:rsid w:val="00DD7B8C"/>
    <w:rsid w:val="00DE1A22"/>
    <w:rsid w:val="00DE1AF8"/>
    <w:rsid w:val="00DE7E3B"/>
    <w:rsid w:val="00DF409B"/>
    <w:rsid w:val="00E00FAE"/>
    <w:rsid w:val="00E01EE3"/>
    <w:rsid w:val="00E02A41"/>
    <w:rsid w:val="00E02EDC"/>
    <w:rsid w:val="00E0427B"/>
    <w:rsid w:val="00E04377"/>
    <w:rsid w:val="00E0724C"/>
    <w:rsid w:val="00E13644"/>
    <w:rsid w:val="00E16EA4"/>
    <w:rsid w:val="00E2284D"/>
    <w:rsid w:val="00E26CCB"/>
    <w:rsid w:val="00E41F26"/>
    <w:rsid w:val="00E432AF"/>
    <w:rsid w:val="00E501B2"/>
    <w:rsid w:val="00E51B91"/>
    <w:rsid w:val="00E525D9"/>
    <w:rsid w:val="00E52652"/>
    <w:rsid w:val="00E54442"/>
    <w:rsid w:val="00E55F74"/>
    <w:rsid w:val="00E62903"/>
    <w:rsid w:val="00E67064"/>
    <w:rsid w:val="00E71D2A"/>
    <w:rsid w:val="00E7232B"/>
    <w:rsid w:val="00E76722"/>
    <w:rsid w:val="00E83A82"/>
    <w:rsid w:val="00E84D74"/>
    <w:rsid w:val="00E86A87"/>
    <w:rsid w:val="00E86CF7"/>
    <w:rsid w:val="00E92592"/>
    <w:rsid w:val="00E97BD6"/>
    <w:rsid w:val="00E97CEE"/>
    <w:rsid w:val="00EA1A96"/>
    <w:rsid w:val="00EA2BCD"/>
    <w:rsid w:val="00EA471C"/>
    <w:rsid w:val="00EB2A31"/>
    <w:rsid w:val="00EB3764"/>
    <w:rsid w:val="00EB5CDB"/>
    <w:rsid w:val="00EC3834"/>
    <w:rsid w:val="00EC50F3"/>
    <w:rsid w:val="00ED12C4"/>
    <w:rsid w:val="00ED3D0C"/>
    <w:rsid w:val="00ED417B"/>
    <w:rsid w:val="00ED61A6"/>
    <w:rsid w:val="00ED71F9"/>
    <w:rsid w:val="00EE01E6"/>
    <w:rsid w:val="00EE235A"/>
    <w:rsid w:val="00EE4147"/>
    <w:rsid w:val="00EE638B"/>
    <w:rsid w:val="00EE7F94"/>
    <w:rsid w:val="00F00E35"/>
    <w:rsid w:val="00F03EBD"/>
    <w:rsid w:val="00F0626E"/>
    <w:rsid w:val="00F070BC"/>
    <w:rsid w:val="00F11F16"/>
    <w:rsid w:val="00F1338E"/>
    <w:rsid w:val="00F13CB1"/>
    <w:rsid w:val="00F17786"/>
    <w:rsid w:val="00F2064E"/>
    <w:rsid w:val="00F22E86"/>
    <w:rsid w:val="00F24537"/>
    <w:rsid w:val="00F24A34"/>
    <w:rsid w:val="00F25DFA"/>
    <w:rsid w:val="00F34F83"/>
    <w:rsid w:val="00F419B5"/>
    <w:rsid w:val="00F45C39"/>
    <w:rsid w:val="00F50862"/>
    <w:rsid w:val="00F54852"/>
    <w:rsid w:val="00F62081"/>
    <w:rsid w:val="00F6376F"/>
    <w:rsid w:val="00F63AED"/>
    <w:rsid w:val="00F65F10"/>
    <w:rsid w:val="00F67734"/>
    <w:rsid w:val="00F713A7"/>
    <w:rsid w:val="00F74F89"/>
    <w:rsid w:val="00F76C3D"/>
    <w:rsid w:val="00F76D54"/>
    <w:rsid w:val="00F8104D"/>
    <w:rsid w:val="00F811B6"/>
    <w:rsid w:val="00F81DE6"/>
    <w:rsid w:val="00F85A45"/>
    <w:rsid w:val="00F85C45"/>
    <w:rsid w:val="00FA2965"/>
    <w:rsid w:val="00FA5325"/>
    <w:rsid w:val="00FB2A46"/>
    <w:rsid w:val="00FB3482"/>
    <w:rsid w:val="00FC146E"/>
    <w:rsid w:val="00FC2779"/>
    <w:rsid w:val="00FC7871"/>
    <w:rsid w:val="00FD09B5"/>
    <w:rsid w:val="00FD4AFE"/>
    <w:rsid w:val="00FE00F8"/>
    <w:rsid w:val="00FE2722"/>
    <w:rsid w:val="00FE3D66"/>
    <w:rsid w:val="00FE435E"/>
    <w:rsid w:val="00FF1783"/>
    <w:rsid w:val="00FF2331"/>
    <w:rsid w:val="00FF5178"/>
    <w:rsid w:val="00FF72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6F570"/>
  <w15:docId w15:val="{25AB2F02-4A33-4A6E-8183-57FBC92E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1F9"/>
    <w:pPr>
      <w:spacing w:after="0" w:line="240" w:lineRule="auto"/>
    </w:pPr>
    <w:rPr>
      <w:rFonts w:ascii="Univers (W1)" w:eastAsia="Univers (W1)" w:hAnsi="Univers (W1)" w:cs="Univers (W1)"/>
      <w:sz w:val="24"/>
      <w:szCs w:val="24"/>
      <w:lang w:eastAsia="es-MX"/>
    </w:rPr>
  </w:style>
  <w:style w:type="paragraph" w:styleId="Ttulo1">
    <w:name w:val="heading 1"/>
    <w:basedOn w:val="Normal"/>
    <w:next w:val="Normal"/>
    <w:link w:val="Ttulo1Car"/>
    <w:uiPriority w:val="9"/>
    <w:qFormat/>
    <w:rsid w:val="00C145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94BB9"/>
    <w:pPr>
      <w:keepNext/>
      <w:spacing w:before="240"/>
      <w:jc w:val="both"/>
      <w:outlineLvl w:val="1"/>
    </w:pPr>
    <w:rPr>
      <w:rFonts w:ascii="MS Sans Serif" w:hAnsi="MS Sans Serif" w:cs="MS Sans Serif"/>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D71F9"/>
    <w:pPr>
      <w:tabs>
        <w:tab w:val="center" w:pos="4419"/>
        <w:tab w:val="right" w:pos="8838"/>
      </w:tabs>
    </w:pPr>
  </w:style>
  <w:style w:type="character" w:customStyle="1" w:styleId="EncabezadoCar">
    <w:name w:val="Encabezado Car"/>
    <w:basedOn w:val="Fuentedeprrafopredeter"/>
    <w:link w:val="Encabezado"/>
    <w:rsid w:val="00ED71F9"/>
  </w:style>
  <w:style w:type="paragraph" w:styleId="Piedepgina">
    <w:name w:val="footer"/>
    <w:basedOn w:val="Normal"/>
    <w:link w:val="PiedepginaCar"/>
    <w:uiPriority w:val="99"/>
    <w:unhideWhenUsed/>
    <w:rsid w:val="00ED71F9"/>
    <w:pPr>
      <w:tabs>
        <w:tab w:val="center" w:pos="4419"/>
        <w:tab w:val="right" w:pos="8838"/>
      </w:tabs>
    </w:pPr>
  </w:style>
  <w:style w:type="character" w:customStyle="1" w:styleId="PiedepginaCar">
    <w:name w:val="Pie de página Car"/>
    <w:basedOn w:val="Fuentedeprrafopredeter"/>
    <w:link w:val="Piedepgina"/>
    <w:uiPriority w:val="99"/>
    <w:rsid w:val="00ED71F9"/>
  </w:style>
  <w:style w:type="paragraph" w:styleId="Textonotapie">
    <w:name w:val="footnote text"/>
    <w:basedOn w:val="Normal"/>
    <w:link w:val="TextonotapieCar"/>
    <w:uiPriority w:val="99"/>
    <w:rsid w:val="00ED71F9"/>
    <w:rPr>
      <w:sz w:val="20"/>
      <w:szCs w:val="20"/>
    </w:rPr>
  </w:style>
  <w:style w:type="character" w:customStyle="1" w:styleId="TextonotapieCar">
    <w:name w:val="Texto nota pie Car"/>
    <w:basedOn w:val="Fuentedeprrafopredeter"/>
    <w:link w:val="Textonotapie"/>
    <w:uiPriority w:val="99"/>
    <w:rsid w:val="00ED71F9"/>
    <w:rPr>
      <w:rFonts w:ascii="Univers (W1)" w:eastAsia="Univers (W1)" w:hAnsi="Univers (W1)" w:cs="Univers (W1)"/>
      <w:sz w:val="20"/>
      <w:szCs w:val="20"/>
      <w:lang w:eastAsia="es-MX"/>
    </w:rPr>
  </w:style>
  <w:style w:type="character" w:styleId="Refdenotaalpie">
    <w:name w:val="footnote reference"/>
    <w:uiPriority w:val="99"/>
    <w:rsid w:val="00ED71F9"/>
    <w:rPr>
      <w:vertAlign w:val="superscript"/>
    </w:rPr>
  </w:style>
  <w:style w:type="paragraph" w:styleId="Textoindependiente">
    <w:name w:val="Body Text"/>
    <w:basedOn w:val="Normal"/>
    <w:link w:val="TextoindependienteCar"/>
    <w:rsid w:val="00ED71F9"/>
    <w:pPr>
      <w:jc w:val="both"/>
    </w:pPr>
    <w:rPr>
      <w:rFonts w:ascii="MS Sans Serif" w:hAnsi="MS Sans Serif"/>
      <w:lang w:val="x-none" w:eastAsia="x-none"/>
    </w:rPr>
  </w:style>
  <w:style w:type="character" w:customStyle="1" w:styleId="TextoindependienteCar">
    <w:name w:val="Texto independiente Car"/>
    <w:basedOn w:val="Fuentedeprrafopredeter"/>
    <w:link w:val="Textoindependiente"/>
    <w:rsid w:val="00ED71F9"/>
    <w:rPr>
      <w:rFonts w:ascii="MS Sans Serif" w:eastAsia="Univers (W1)" w:hAnsi="MS Sans Serif" w:cs="Univers (W1)"/>
      <w:sz w:val="24"/>
      <w:szCs w:val="24"/>
      <w:lang w:val="x-none" w:eastAsia="x-none"/>
    </w:rPr>
  </w:style>
  <w:style w:type="paragraph" w:customStyle="1" w:styleId="Profesin">
    <w:name w:val="Profesión"/>
    <w:basedOn w:val="Normal"/>
    <w:rsid w:val="00ED71F9"/>
    <w:pPr>
      <w:jc w:val="center"/>
    </w:pPr>
    <w:rPr>
      <w:rFonts w:ascii="MS Sans Serif" w:hAnsi="MS Sans Serif"/>
      <w:b/>
      <w:caps/>
      <w:sz w:val="28"/>
      <w:szCs w:val="20"/>
      <w:lang w:val="es-ES_tradnl" w:eastAsia="es-ES"/>
    </w:rPr>
  </w:style>
  <w:style w:type="paragraph" w:customStyle="1" w:styleId="n01">
    <w:name w:val="n01"/>
    <w:basedOn w:val="Normal"/>
    <w:rsid w:val="00ED71F9"/>
    <w:pPr>
      <w:keepLines/>
      <w:spacing w:before="240"/>
      <w:ind w:left="720" w:hanging="720"/>
      <w:jc w:val="both"/>
    </w:pPr>
    <w:rPr>
      <w:rFonts w:ascii="MT Extra" w:hAnsi="MT Extra"/>
      <w:color w:val="800080"/>
      <w:szCs w:val="20"/>
      <w:lang w:val="es-ES_tradnl" w:eastAsia="es-ES"/>
    </w:rPr>
  </w:style>
  <w:style w:type="paragraph" w:customStyle="1" w:styleId="Textodebloque1">
    <w:name w:val="Texto de bloque1"/>
    <w:basedOn w:val="Normal"/>
    <w:rsid w:val="00ED71F9"/>
    <w:pPr>
      <w:spacing w:before="240"/>
      <w:ind w:left="1843" w:right="1361" w:hanging="273"/>
      <w:jc w:val="both"/>
    </w:pPr>
    <w:rPr>
      <w:rFonts w:ascii="MS Sans Serif" w:hAnsi="MS Sans Serif"/>
      <w:b/>
      <w:sz w:val="22"/>
      <w:szCs w:val="20"/>
      <w:lang w:val="es-ES_tradnl" w:eastAsia="es-ES"/>
    </w:rPr>
  </w:style>
  <w:style w:type="character" w:styleId="Hipervnculo">
    <w:name w:val="Hyperlink"/>
    <w:rsid w:val="009D0C99"/>
    <w:rPr>
      <w:color w:val="0000FF"/>
      <w:u w:val="single"/>
    </w:rPr>
  </w:style>
  <w:style w:type="character" w:styleId="Mencinsinresolver">
    <w:name w:val="Unresolved Mention"/>
    <w:basedOn w:val="Fuentedeprrafopredeter"/>
    <w:uiPriority w:val="99"/>
    <w:semiHidden/>
    <w:unhideWhenUsed/>
    <w:rsid w:val="009D0C99"/>
    <w:rPr>
      <w:color w:val="605E5C"/>
      <w:shd w:val="clear" w:color="auto" w:fill="E1DFDD"/>
    </w:rPr>
  </w:style>
  <w:style w:type="character" w:styleId="Refdecomentario">
    <w:name w:val="annotation reference"/>
    <w:basedOn w:val="Fuentedeprrafopredeter"/>
    <w:uiPriority w:val="99"/>
    <w:semiHidden/>
    <w:unhideWhenUsed/>
    <w:rsid w:val="00B16B4A"/>
    <w:rPr>
      <w:sz w:val="16"/>
      <w:szCs w:val="16"/>
    </w:rPr>
  </w:style>
  <w:style w:type="paragraph" w:styleId="Textocomentario">
    <w:name w:val="annotation text"/>
    <w:basedOn w:val="Normal"/>
    <w:link w:val="TextocomentarioCar"/>
    <w:uiPriority w:val="99"/>
    <w:semiHidden/>
    <w:unhideWhenUsed/>
    <w:rsid w:val="00B16B4A"/>
    <w:rPr>
      <w:sz w:val="20"/>
      <w:szCs w:val="20"/>
    </w:rPr>
  </w:style>
  <w:style w:type="character" w:customStyle="1" w:styleId="TextocomentarioCar">
    <w:name w:val="Texto comentario Car"/>
    <w:basedOn w:val="Fuentedeprrafopredeter"/>
    <w:link w:val="Textocomentario"/>
    <w:uiPriority w:val="99"/>
    <w:semiHidden/>
    <w:rsid w:val="00B16B4A"/>
    <w:rPr>
      <w:rFonts w:ascii="Univers (W1)" w:eastAsia="Univers (W1)" w:hAnsi="Univers (W1)" w:cs="Univers (W1)"/>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16B4A"/>
    <w:rPr>
      <w:b/>
      <w:bCs/>
    </w:rPr>
  </w:style>
  <w:style w:type="character" w:customStyle="1" w:styleId="AsuntodelcomentarioCar">
    <w:name w:val="Asunto del comentario Car"/>
    <w:basedOn w:val="TextocomentarioCar"/>
    <w:link w:val="Asuntodelcomentario"/>
    <w:uiPriority w:val="99"/>
    <w:semiHidden/>
    <w:rsid w:val="00B16B4A"/>
    <w:rPr>
      <w:rFonts w:ascii="Univers (W1)" w:eastAsia="Univers (W1)" w:hAnsi="Univers (W1)" w:cs="Univers (W1)"/>
      <w:b/>
      <w:bCs/>
      <w:sz w:val="20"/>
      <w:szCs w:val="20"/>
      <w:lang w:eastAsia="es-MX"/>
    </w:rPr>
  </w:style>
  <w:style w:type="paragraph" w:styleId="Textodeglobo">
    <w:name w:val="Balloon Text"/>
    <w:basedOn w:val="Normal"/>
    <w:link w:val="TextodegloboCar"/>
    <w:uiPriority w:val="99"/>
    <w:semiHidden/>
    <w:unhideWhenUsed/>
    <w:rsid w:val="00B16B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6B4A"/>
    <w:rPr>
      <w:rFonts w:ascii="Segoe UI" w:eastAsia="Univers (W1)" w:hAnsi="Segoe UI" w:cs="Segoe UI"/>
      <w:sz w:val="18"/>
      <w:szCs w:val="18"/>
      <w:lang w:eastAsia="es-MX"/>
    </w:rPr>
  </w:style>
  <w:style w:type="character" w:styleId="Hipervnculovisitado">
    <w:name w:val="FollowedHyperlink"/>
    <w:basedOn w:val="Fuentedeprrafopredeter"/>
    <w:uiPriority w:val="99"/>
    <w:semiHidden/>
    <w:unhideWhenUsed/>
    <w:rsid w:val="00BA3ACE"/>
    <w:rPr>
      <w:color w:val="954F72" w:themeColor="followedHyperlink"/>
      <w:u w:val="single"/>
    </w:rPr>
  </w:style>
  <w:style w:type="character" w:customStyle="1" w:styleId="Ttulo2Car">
    <w:name w:val="Título 2 Car"/>
    <w:basedOn w:val="Fuentedeprrafopredeter"/>
    <w:link w:val="Ttulo2"/>
    <w:rsid w:val="00994BB9"/>
    <w:rPr>
      <w:rFonts w:ascii="MS Sans Serif" w:eastAsia="Univers (W1)" w:hAnsi="MS Sans Serif" w:cs="MS Sans Serif"/>
      <w:b/>
      <w:i/>
      <w:sz w:val="24"/>
      <w:szCs w:val="24"/>
      <w:lang w:eastAsia="es-MX"/>
    </w:rPr>
  </w:style>
  <w:style w:type="paragraph" w:styleId="NormalWeb">
    <w:name w:val="Normal (Web)"/>
    <w:basedOn w:val="Normal"/>
    <w:uiPriority w:val="99"/>
    <w:rsid w:val="00994BB9"/>
    <w:pPr>
      <w:spacing w:before="100" w:beforeAutospacing="1" w:after="100" w:afterAutospacing="1"/>
    </w:pPr>
    <w:rPr>
      <w:lang w:val="es-ES" w:eastAsia="es-ES"/>
    </w:rPr>
  </w:style>
  <w:style w:type="table" w:styleId="Tabladelista3-nfasis2">
    <w:name w:val="List Table 3 Accent 2"/>
    <w:basedOn w:val="Tablanormal"/>
    <w:uiPriority w:val="48"/>
    <w:rsid w:val="002779E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concuadrculaclara">
    <w:name w:val="Grid Table Light"/>
    <w:basedOn w:val="Tablanormal"/>
    <w:uiPriority w:val="40"/>
    <w:rsid w:val="004A119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A2285"/>
    <w:pPr>
      <w:spacing w:before="120"/>
      <w:ind w:left="720"/>
      <w:contextualSpacing/>
    </w:pPr>
    <w:rPr>
      <w:rFonts w:ascii="Times New Roman" w:eastAsia="Times New Roman" w:hAnsi="Times New Roman" w:cs="Times New Roman"/>
      <w:sz w:val="20"/>
      <w:szCs w:val="20"/>
      <w:lang w:val="es-ES_tradnl" w:eastAsia="es-ES"/>
    </w:rPr>
  </w:style>
  <w:style w:type="character" w:customStyle="1" w:styleId="Ttulo1Car">
    <w:name w:val="Título 1 Car"/>
    <w:basedOn w:val="Fuentedeprrafopredeter"/>
    <w:link w:val="Ttulo1"/>
    <w:uiPriority w:val="9"/>
    <w:rsid w:val="00C1453E"/>
    <w:rPr>
      <w:rFonts w:asciiTheme="majorHAnsi" w:eastAsiaTheme="majorEastAsia" w:hAnsiTheme="majorHAnsi" w:cstheme="majorBidi"/>
      <w:color w:val="2F5496" w:themeColor="accent1" w:themeShade="BF"/>
      <w:sz w:val="32"/>
      <w:szCs w:val="32"/>
      <w:lang w:eastAsia="es-MX"/>
    </w:rPr>
  </w:style>
  <w:style w:type="paragraph" w:customStyle="1" w:styleId="parrafo1">
    <w:name w:val="parrafo1"/>
    <w:basedOn w:val="Normal"/>
    <w:link w:val="parrafo1Car"/>
    <w:rsid w:val="00D86325"/>
    <w:pPr>
      <w:spacing w:before="480"/>
      <w:ind w:left="426" w:right="443"/>
      <w:jc w:val="both"/>
    </w:pPr>
    <w:rPr>
      <w:rFonts w:ascii="Arial" w:eastAsia="Times New Roman" w:hAnsi="Arial" w:cs="Times New Roman"/>
      <w:szCs w:val="20"/>
      <w:lang w:val="es-ES_tradnl" w:eastAsia="es-ES"/>
    </w:rPr>
  </w:style>
  <w:style w:type="character" w:customStyle="1" w:styleId="parrafo1Car">
    <w:name w:val="parrafo1 Car"/>
    <w:basedOn w:val="Fuentedeprrafopredeter"/>
    <w:link w:val="parrafo1"/>
    <w:rsid w:val="00D86325"/>
    <w:rPr>
      <w:rFonts w:ascii="Arial" w:eastAsia="Times New Roman" w:hAnsi="Arial" w:cs="Times New Roman"/>
      <w:sz w:val="24"/>
      <w:szCs w:val="20"/>
      <w:lang w:val="es-ES_tradnl" w:eastAsia="es-ES"/>
    </w:rPr>
  </w:style>
  <w:style w:type="character" w:customStyle="1" w:styleId="fontstyle01">
    <w:name w:val="fontstyle01"/>
    <w:basedOn w:val="Fuentedeprrafopredeter"/>
    <w:rsid w:val="00620D74"/>
    <w:rPr>
      <w:rFonts w:ascii="ArialMT" w:hAnsi="ArialMT" w:hint="default"/>
      <w:b w:val="0"/>
      <w:bCs w:val="0"/>
      <w:i w:val="0"/>
      <w:iCs w:val="0"/>
      <w:color w:val="000000"/>
      <w:sz w:val="24"/>
      <w:szCs w:val="24"/>
    </w:rPr>
  </w:style>
  <w:style w:type="character" w:customStyle="1" w:styleId="fontstyle21">
    <w:name w:val="fontstyle21"/>
    <w:basedOn w:val="Fuentedeprrafopredeter"/>
    <w:rsid w:val="000B12CD"/>
    <w:rPr>
      <w:rFonts w:ascii="ArialMT" w:hAnsi="ArialMT" w:hint="default"/>
      <w:b w:val="0"/>
      <w:bCs w:val="0"/>
      <w:i w:val="0"/>
      <w:iCs w:val="0"/>
      <w:color w:val="000000"/>
      <w:sz w:val="24"/>
      <w:szCs w:val="24"/>
    </w:rPr>
  </w:style>
  <w:style w:type="paragraph" w:customStyle="1" w:styleId="Default">
    <w:name w:val="Default"/>
    <w:rsid w:val="009020C8"/>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802346"/>
    <w:pPr>
      <w:spacing w:after="0" w:line="240" w:lineRule="auto"/>
    </w:pPr>
    <w:rPr>
      <w:rFonts w:ascii="Univers (W1)" w:eastAsia="Univers (W1)" w:hAnsi="Univers (W1)" w:cs="Univers (W1)"/>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46901">
      <w:bodyDiv w:val="1"/>
      <w:marLeft w:val="0"/>
      <w:marRight w:val="0"/>
      <w:marTop w:val="0"/>
      <w:marBottom w:val="0"/>
      <w:divBdr>
        <w:top w:val="none" w:sz="0" w:space="0" w:color="auto"/>
        <w:left w:val="none" w:sz="0" w:space="0" w:color="auto"/>
        <w:bottom w:val="none" w:sz="0" w:space="0" w:color="auto"/>
        <w:right w:val="none" w:sz="0" w:space="0" w:color="auto"/>
      </w:divBdr>
    </w:div>
    <w:div w:id="121118640">
      <w:bodyDiv w:val="1"/>
      <w:marLeft w:val="0"/>
      <w:marRight w:val="0"/>
      <w:marTop w:val="0"/>
      <w:marBottom w:val="0"/>
      <w:divBdr>
        <w:top w:val="none" w:sz="0" w:space="0" w:color="auto"/>
        <w:left w:val="none" w:sz="0" w:space="0" w:color="auto"/>
        <w:bottom w:val="none" w:sz="0" w:space="0" w:color="auto"/>
        <w:right w:val="none" w:sz="0" w:space="0" w:color="auto"/>
      </w:divBdr>
    </w:div>
    <w:div w:id="384523012">
      <w:bodyDiv w:val="1"/>
      <w:marLeft w:val="0"/>
      <w:marRight w:val="0"/>
      <w:marTop w:val="0"/>
      <w:marBottom w:val="0"/>
      <w:divBdr>
        <w:top w:val="none" w:sz="0" w:space="0" w:color="auto"/>
        <w:left w:val="none" w:sz="0" w:space="0" w:color="auto"/>
        <w:bottom w:val="none" w:sz="0" w:space="0" w:color="auto"/>
        <w:right w:val="none" w:sz="0" w:space="0" w:color="auto"/>
      </w:divBdr>
    </w:div>
    <w:div w:id="813595650">
      <w:bodyDiv w:val="1"/>
      <w:marLeft w:val="0"/>
      <w:marRight w:val="0"/>
      <w:marTop w:val="0"/>
      <w:marBottom w:val="0"/>
      <w:divBdr>
        <w:top w:val="none" w:sz="0" w:space="0" w:color="auto"/>
        <w:left w:val="none" w:sz="0" w:space="0" w:color="auto"/>
        <w:bottom w:val="none" w:sz="0" w:space="0" w:color="auto"/>
        <w:right w:val="none" w:sz="0" w:space="0" w:color="auto"/>
      </w:divBdr>
    </w:div>
    <w:div w:id="966425185">
      <w:bodyDiv w:val="1"/>
      <w:marLeft w:val="0"/>
      <w:marRight w:val="0"/>
      <w:marTop w:val="0"/>
      <w:marBottom w:val="0"/>
      <w:divBdr>
        <w:top w:val="none" w:sz="0" w:space="0" w:color="auto"/>
        <w:left w:val="none" w:sz="0" w:space="0" w:color="auto"/>
        <w:bottom w:val="none" w:sz="0" w:space="0" w:color="auto"/>
        <w:right w:val="none" w:sz="0" w:space="0" w:color="auto"/>
      </w:divBdr>
    </w:div>
    <w:div w:id="1059088162">
      <w:bodyDiv w:val="1"/>
      <w:marLeft w:val="0"/>
      <w:marRight w:val="0"/>
      <w:marTop w:val="0"/>
      <w:marBottom w:val="0"/>
      <w:divBdr>
        <w:top w:val="none" w:sz="0" w:space="0" w:color="auto"/>
        <w:left w:val="none" w:sz="0" w:space="0" w:color="auto"/>
        <w:bottom w:val="none" w:sz="0" w:space="0" w:color="auto"/>
        <w:right w:val="none" w:sz="0" w:space="0" w:color="auto"/>
      </w:divBdr>
    </w:div>
    <w:div w:id="1629046062">
      <w:bodyDiv w:val="1"/>
      <w:marLeft w:val="0"/>
      <w:marRight w:val="0"/>
      <w:marTop w:val="0"/>
      <w:marBottom w:val="0"/>
      <w:divBdr>
        <w:top w:val="none" w:sz="0" w:space="0" w:color="auto"/>
        <w:left w:val="none" w:sz="0" w:space="0" w:color="auto"/>
        <w:bottom w:val="none" w:sz="0" w:space="0" w:color="auto"/>
        <w:right w:val="none" w:sz="0" w:space="0" w:color="auto"/>
      </w:divBdr>
    </w:div>
    <w:div w:id="1776514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twitter.com/INEGI_INFORMA"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chart" Target="charts/chart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stagram.com/inegi_informa/" TargetMode="External"/><Relationship Id="rId20" Type="http://schemas.openxmlformats.org/officeDocument/2006/relationships/hyperlink" Target="https://www.youtube.com/user/INEGIInforma" TargetMode="External"/><Relationship Id="rId29" Type="http://schemas.openxmlformats.org/officeDocument/2006/relationships/hyperlink" Target="https://www.inegi.org.mx/temas/viviendas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icacionsocial@inegi.org.mx" TargetMode="Externa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7.png"/><Relationship Id="rId28" Type="http://schemas.openxmlformats.org/officeDocument/2006/relationships/chart" Target="charts/chart4.xml"/><Relationship Id="rId10" Type="http://schemas.openxmlformats.org/officeDocument/2006/relationships/hyperlink" Target="https://www.inegi.org.mx/programas/viviendasat/2013/" TargetMode="External"/><Relationship Id="rId19" Type="http://schemas.openxmlformats.org/officeDocument/2006/relationships/image" Target="media/image5.jpe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negi.org.mx/temas/viviendasat/" TargetMode="External"/><Relationship Id="rId14" Type="http://schemas.openxmlformats.org/officeDocument/2006/relationships/hyperlink" Target="https://www.facebook.com/INEGIInforma/" TargetMode="External"/><Relationship Id="rId22" Type="http://schemas.openxmlformats.org/officeDocument/2006/relationships/hyperlink" Target="http://www.inegi.org.mx/" TargetMode="External"/><Relationship Id="rId27" Type="http://schemas.openxmlformats.org/officeDocument/2006/relationships/chart" Target="charts/chart3.xml"/><Relationship Id="rId30" Type="http://schemas.openxmlformats.org/officeDocument/2006/relationships/hyperlink" Target="https://www.inegi.org.mx/programas/viviendasat/2013/"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INEGI_MDC\2021\CAB%202013\6.%20An&#225;lisis%20de%20la%20producci&#243;n\6.2\CSVM_Gr&#225;ficos%20202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D:\INEGI_MDC\2021\CAB%202013\6.%20An&#225;lisis%20de%20la%20producci&#243;n\6.2\CSVM_Gr&#225;ficos%202020.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D:\INEGI_MDC\2021\CAB%202013\6.%20An&#225;lisis%20de%20la%20producci&#243;n\6.2\CSVM_Gr&#225;ficos%202020.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oleObject" Target="file:///D:\al\csvm\Cuenta2021\CAB2013\06.%20Analisis_produccion\6.2\CSVM_Graficos%202020.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vert="horz"/>
        <a:lstStyle/>
        <a:p>
          <a:pPr>
            <a:defRPr/>
          </a:pPr>
          <a:endParaRPr lang="es-MX"/>
        </a:p>
      </c:txPr>
    </c:title>
    <c:autoTitleDeleted val="0"/>
    <c:plotArea>
      <c:layout/>
      <c:barChart>
        <c:barDir val="col"/>
        <c:grouping val="clustered"/>
        <c:varyColors val="0"/>
        <c:dLbls>
          <c:showLegendKey val="0"/>
          <c:showVal val="0"/>
          <c:showCatName val="0"/>
          <c:showSerName val="0"/>
          <c:showPercent val="0"/>
          <c:showBubbleSize val="0"/>
        </c:dLbls>
        <c:gapWidth val="219"/>
        <c:overlap val="-27"/>
        <c:axId val="250124928"/>
        <c:axId val="251670528"/>
      </c:barChart>
      <c:catAx>
        <c:axId val="2501249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51670528"/>
        <c:crosses val="autoZero"/>
        <c:auto val="1"/>
        <c:lblAlgn val="ctr"/>
        <c:lblOffset val="100"/>
        <c:noMultiLvlLbl val="0"/>
      </c:catAx>
      <c:valAx>
        <c:axId val="251670528"/>
        <c:scaling>
          <c:orientation val="minMax"/>
        </c:scaling>
        <c:delete val="0"/>
        <c:axPos val="l"/>
        <c:majorGridlines>
          <c:spPr>
            <a:ln w="9525" cap="flat" cmpd="sng" algn="ctr">
              <a:solidFill>
                <a:schemeClr val="tx1">
                  <a:lumMod val="15000"/>
                  <a:lumOff val="85000"/>
                </a:schemeClr>
              </a:solidFill>
              <a:round/>
            </a:ln>
            <a:effectLst/>
          </c:spPr>
        </c:majorGridlines>
        <c:majorTickMark val="none"/>
        <c:minorTickMark val="none"/>
        <c:tickLblPos val="nextTo"/>
        <c:spPr>
          <a:noFill/>
          <a:ln>
            <a:noFill/>
          </a:ln>
          <a:effectLst/>
        </c:spPr>
        <c:txPr>
          <a:bodyPr rot="-60000000" vert="horz"/>
          <a:lstStyle/>
          <a:p>
            <a:pPr>
              <a:defRPr/>
            </a:pPr>
            <a:endParaRPr lang="es-MX"/>
          </a:p>
        </c:txPr>
        <c:crossAx val="250124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6">
          <a:lumMod val="75000"/>
        </a:schemeClr>
      </a:solidFill>
      <a:round/>
    </a:ln>
    <a:effectLst/>
  </c:spPr>
  <c:txPr>
    <a:bodyPr/>
    <a:lstStyle/>
    <a:p>
      <a:pPr>
        <a:defRPr sz="900" baseline="30000">
          <a:latin typeface="Century Gothic" panose="020B0502020202020204" pitchFamily="34" charset="0"/>
        </a:defRPr>
      </a:pPr>
      <a:endParaRPr lang="es-MX"/>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601422402844806E-2"/>
          <c:y val="6.5961993813235836E-2"/>
          <c:w val="0.89750967992544706"/>
          <c:h val="0.7209458700720025"/>
        </c:manualLayout>
      </c:layout>
      <c:lineChart>
        <c:grouping val="standard"/>
        <c:varyColors val="0"/>
        <c:ser>
          <c:idx val="1"/>
          <c:order val="0"/>
          <c:tx>
            <c:strRef>
              <c:f>Var_nacional!$B$10</c:f>
              <c:strCache>
                <c:ptCount val="1"/>
                <c:pt idx="0">
                  <c:v>Nacional</c:v>
                </c:pt>
              </c:strCache>
            </c:strRef>
          </c:tx>
          <c:spPr>
            <a:ln w="15875">
              <a:solidFill>
                <a:srgbClr val="002060"/>
              </a:solidFill>
              <a:prstDash val="solid"/>
            </a:ln>
          </c:spPr>
          <c:marker>
            <c:symbol val="circle"/>
            <c:size val="6"/>
            <c:spPr>
              <a:solidFill>
                <a:srgbClr val="002060"/>
              </a:solidFill>
              <a:ln w="15875">
                <a:solidFill>
                  <a:srgbClr val="00B0F0"/>
                </a:solidFill>
              </a:ln>
            </c:spPr>
          </c:marker>
          <c:dLbls>
            <c:dLbl>
              <c:idx val="0"/>
              <c:layout>
                <c:manualLayout>
                  <c:x val="-3.1850001567421411E-2"/>
                  <c:y val="-8.06081681790954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CFF-4A59-9C1B-109D94CCA1B4}"/>
                </c:ext>
              </c:extLst>
            </c:dLbl>
            <c:dLbl>
              <c:idx val="1"/>
              <c:layout>
                <c:manualLayout>
                  <c:x val="-4.0699009915537931E-2"/>
                  <c:y val="-5.21046093042343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FF-4A59-9C1B-109D94CCA1B4}"/>
                </c:ext>
              </c:extLst>
            </c:dLbl>
            <c:dLbl>
              <c:idx val="2"/>
              <c:layout>
                <c:manualLayout>
                  <c:x val="-5.8100852790938573E-2"/>
                  <c:y val="4.77044728095858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CFF-4A59-9C1B-109D94CCA1B4}"/>
                </c:ext>
              </c:extLst>
            </c:dLbl>
            <c:dLbl>
              <c:idx val="3"/>
              <c:layout>
                <c:manualLayout>
                  <c:x val="-7.141286214508516E-2"/>
                  <c:y val="5.07986079469197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FF-4A59-9C1B-109D94CCA1B4}"/>
                </c:ext>
              </c:extLst>
            </c:dLbl>
            <c:dLbl>
              <c:idx val="4"/>
              <c:layout>
                <c:manualLayout>
                  <c:x val="-5.9749758238667336E-2"/>
                  <c:y val="-5.17318622613022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CFF-4A59-9C1B-109D94CCA1B4}"/>
                </c:ext>
              </c:extLst>
            </c:dLbl>
            <c:dLbl>
              <c:idx val="5"/>
              <c:layout>
                <c:manualLayout>
                  <c:x val="-4.1502386387217274E-2"/>
                  <c:y val="6.2887204785982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CFF-4A59-9C1B-109D94CCA1B4}"/>
                </c:ext>
              </c:extLst>
            </c:dLbl>
            <c:dLbl>
              <c:idx val="6"/>
              <c:layout>
                <c:manualLayout>
                  <c:x val="-4.2952719365052905E-2"/>
                  <c:y val="4.41197228191829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CFF-4A59-9C1B-109D94CCA1B4}"/>
                </c:ext>
              </c:extLst>
            </c:dLbl>
            <c:dLbl>
              <c:idx val="7"/>
              <c:layout>
                <c:manualLayout>
                  <c:x val="-1.8050811650943053E-2"/>
                  <c:y val="4.29450020374849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CFF-4A59-9C1B-109D94CCA1B4}"/>
                </c:ext>
              </c:extLst>
            </c:dLbl>
            <c:dLbl>
              <c:idx val="11"/>
              <c:layout>
                <c:manualLayout>
                  <c:x val="-3.0182836106790113E-3"/>
                  <c:y val="-2.550479457394558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CFF-4A59-9C1B-109D94CCA1B4}"/>
                </c:ext>
              </c:extLst>
            </c:dLbl>
            <c:spPr>
              <a:noFill/>
              <a:ln>
                <a:noFill/>
              </a:ln>
              <a:effectLst/>
            </c:spPr>
            <c:txPr>
              <a:bodyPr/>
              <a:lstStyle/>
              <a:p>
                <a:pPr>
                  <a:defRPr sz="1000" b="0">
                    <a:solidFill>
                      <a:schemeClr val="accent1"/>
                    </a:solidFill>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Var_nacional!$D$8:$O$8</c:f>
              <c:numCache>
                <c:formatCode>General</c:formatCode>
                <c:ptCount val="12"/>
                <c:pt idx="0">
                  <c:v>2009</c:v>
                </c:pt>
                <c:pt idx="1">
                  <c:v>2010</c:v>
                </c:pt>
                <c:pt idx="2">
                  <c:v>2011</c:v>
                </c:pt>
                <c:pt idx="3">
                  <c:v>2012</c:v>
                </c:pt>
                <c:pt idx="4">
                  <c:v>2013</c:v>
                </c:pt>
                <c:pt idx="5">
                  <c:v>2014</c:v>
                </c:pt>
                <c:pt idx="6">
                  <c:v>2015</c:v>
                </c:pt>
                <c:pt idx="7">
                  <c:v>2016</c:v>
                </c:pt>
                <c:pt idx="8">
                  <c:v>2017</c:v>
                </c:pt>
                <c:pt idx="9">
                  <c:v>2018</c:v>
                </c:pt>
                <c:pt idx="10">
                  <c:v>2019</c:v>
                </c:pt>
                <c:pt idx="11">
                  <c:v>2020</c:v>
                </c:pt>
              </c:numCache>
            </c:numRef>
          </c:cat>
          <c:val>
            <c:numRef>
              <c:f>Var_nacional!$D$10:$O$10</c:f>
              <c:numCache>
                <c:formatCode>_-* #,##0.0_-;\-* #,##0.0_-;_-* "-"??_-;_-@_-</c:formatCode>
                <c:ptCount val="12"/>
                <c:pt idx="0">
                  <c:v>-5.2365645520836699</c:v>
                </c:pt>
                <c:pt idx="1">
                  <c:v>5.1569862208375286</c:v>
                </c:pt>
                <c:pt idx="2">
                  <c:v>3.6467482981879198</c:v>
                </c:pt>
                <c:pt idx="3">
                  <c:v>3.7322096169194907</c:v>
                </c:pt>
                <c:pt idx="4">
                  <c:v>1.3714434891913219</c:v>
                </c:pt>
                <c:pt idx="5">
                  <c:v>2.7139823393182989</c:v>
                </c:pt>
                <c:pt idx="6">
                  <c:v>3.1882162411962947</c:v>
                </c:pt>
                <c:pt idx="7">
                  <c:v>2.4315502206275301</c:v>
                </c:pt>
                <c:pt idx="8">
                  <c:v>2.0447993038284946</c:v>
                </c:pt>
                <c:pt idx="9">
                  <c:v>2.1434467823088199</c:v>
                </c:pt>
                <c:pt idx="10">
                  <c:v>-0.18542401771348477</c:v>
                </c:pt>
                <c:pt idx="11">
                  <c:v>-7.934659785682781</c:v>
                </c:pt>
              </c:numCache>
            </c:numRef>
          </c:val>
          <c:smooth val="1"/>
          <c:extLst>
            <c:ext xmlns:c16="http://schemas.microsoft.com/office/drawing/2014/chart" uri="{C3380CC4-5D6E-409C-BE32-E72D297353CC}">
              <c16:uniqueId val="{00000009-3CFF-4A59-9C1B-109D94CCA1B4}"/>
            </c:ext>
          </c:extLst>
        </c:ser>
        <c:ser>
          <c:idx val="0"/>
          <c:order val="1"/>
          <c:tx>
            <c:strRef>
              <c:f>Var_nacional!$B$11</c:f>
              <c:strCache>
                <c:ptCount val="1"/>
                <c:pt idx="0">
                  <c:v>Vivienda</c:v>
                </c:pt>
              </c:strCache>
            </c:strRef>
          </c:tx>
          <c:spPr>
            <a:ln w="15875">
              <a:solidFill>
                <a:srgbClr val="E46C0A"/>
              </a:solidFill>
              <a:prstDash val="solid"/>
            </a:ln>
          </c:spPr>
          <c:marker>
            <c:symbol val="circle"/>
            <c:size val="6"/>
            <c:spPr>
              <a:solidFill>
                <a:srgbClr val="E46C0A"/>
              </a:solidFill>
              <a:ln w="15875">
                <a:solidFill>
                  <a:srgbClr val="FFC000"/>
                </a:solidFill>
                <a:prstDash val="sysDash"/>
              </a:ln>
            </c:spPr>
          </c:marker>
          <c:dLbls>
            <c:dLbl>
              <c:idx val="0"/>
              <c:layout>
                <c:manualLayout>
                  <c:x val="-2.8592146678358559E-2"/>
                  <c:y val="3.16693479812410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CFF-4A59-9C1B-109D94CCA1B4}"/>
                </c:ext>
              </c:extLst>
            </c:dLbl>
            <c:dLbl>
              <c:idx val="1"/>
              <c:layout>
                <c:manualLayout>
                  <c:x val="-2.8110727591924935E-2"/>
                  <c:y val="2.56864440115606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CFF-4A59-9C1B-109D94CCA1B4}"/>
                </c:ext>
              </c:extLst>
            </c:dLbl>
            <c:dLbl>
              <c:idx val="2"/>
              <c:layout>
                <c:manualLayout>
                  <c:x val="-4.3541186583045365E-2"/>
                  <c:y val="-4.18622303277992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CFF-4A59-9C1B-109D94CCA1B4}"/>
                </c:ext>
              </c:extLst>
            </c:dLbl>
            <c:dLbl>
              <c:idx val="3"/>
              <c:layout>
                <c:manualLayout>
                  <c:x val="-3.3168332601087487E-2"/>
                  <c:y val="-4.57475450072195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CFF-4A59-9C1B-109D94CCA1B4}"/>
                </c:ext>
              </c:extLst>
            </c:dLbl>
            <c:dLbl>
              <c:idx val="4"/>
              <c:layout>
                <c:manualLayout>
                  <c:x val="-5.0253601477553908E-2"/>
                  <c:y val="4.75494826201350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CFF-4A59-9C1B-109D94CCA1B4}"/>
                </c:ext>
              </c:extLst>
            </c:dLbl>
            <c:dLbl>
              <c:idx val="5"/>
              <c:layout>
                <c:manualLayout>
                  <c:x val="-8.4801881921902064E-2"/>
                  <c:y val="-3.17904193450368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CFF-4A59-9C1B-109D94CCA1B4}"/>
                </c:ext>
              </c:extLst>
            </c:dLbl>
            <c:dLbl>
              <c:idx val="6"/>
              <c:layout>
                <c:manualLayout>
                  <c:x val="-2.981642967344654E-2"/>
                  <c:y val="-3.37911589638740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CFF-4A59-9C1B-109D94CCA1B4}"/>
                </c:ext>
              </c:extLst>
            </c:dLbl>
            <c:dLbl>
              <c:idx val="7"/>
              <c:layout>
                <c:manualLayout>
                  <c:x val="-1.4710027641028445E-3"/>
                  <c:y val="-1.82624610463487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CFF-4A59-9C1B-109D94CCA1B4}"/>
                </c:ext>
              </c:extLst>
            </c:dLbl>
            <c:dLbl>
              <c:idx val="11"/>
              <c:layout>
                <c:manualLayout>
                  <c:x val="-1.6248732655872191E-3"/>
                  <c:y val="1.83749122943789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CFF-4A59-9C1B-109D94CCA1B4}"/>
                </c:ext>
              </c:extLst>
            </c:dLbl>
            <c:numFmt formatCode="_-* #,##0.0_-;\-* #,##0.0_-;_-* &quot;-&quot;??_-;_-@_-" sourceLinked="0"/>
            <c:spPr>
              <a:noFill/>
              <a:ln>
                <a:noFill/>
              </a:ln>
              <a:effectLst/>
            </c:spPr>
            <c:txPr>
              <a:bodyPr/>
              <a:lstStyle/>
              <a:p>
                <a:pPr>
                  <a:defRPr sz="1050" b="0">
                    <a:solidFill>
                      <a:srgbClr val="E46C0A"/>
                    </a:solidFill>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Var_nacional!$D$8:$O$8</c:f>
              <c:numCache>
                <c:formatCode>General</c:formatCode>
                <c:ptCount val="12"/>
                <c:pt idx="0">
                  <c:v>2009</c:v>
                </c:pt>
                <c:pt idx="1">
                  <c:v>2010</c:v>
                </c:pt>
                <c:pt idx="2">
                  <c:v>2011</c:v>
                </c:pt>
                <c:pt idx="3">
                  <c:v>2012</c:v>
                </c:pt>
                <c:pt idx="4">
                  <c:v>2013</c:v>
                </c:pt>
                <c:pt idx="5">
                  <c:v>2014</c:v>
                </c:pt>
                <c:pt idx="6">
                  <c:v>2015</c:v>
                </c:pt>
                <c:pt idx="7">
                  <c:v>2016</c:v>
                </c:pt>
                <c:pt idx="8">
                  <c:v>2017</c:v>
                </c:pt>
                <c:pt idx="9">
                  <c:v>2018</c:v>
                </c:pt>
                <c:pt idx="10">
                  <c:v>2019</c:v>
                </c:pt>
                <c:pt idx="11">
                  <c:v>2020</c:v>
                </c:pt>
              </c:numCache>
            </c:numRef>
          </c:cat>
          <c:val>
            <c:numRef>
              <c:f>Var_nacional!$D$11:$O$11</c:f>
              <c:numCache>
                <c:formatCode>_-* #,##0.0_-;\-* #,##0.0_-;_-* "-"??_-;_-@_-</c:formatCode>
                <c:ptCount val="12"/>
                <c:pt idx="0">
                  <c:v>-6.3849470879800752</c:v>
                </c:pt>
                <c:pt idx="1">
                  <c:v>1.1562716917113196</c:v>
                </c:pt>
                <c:pt idx="2">
                  <c:v>3.9956658771500475</c:v>
                </c:pt>
                <c:pt idx="3">
                  <c:v>2.9850784081079569</c:v>
                </c:pt>
                <c:pt idx="4">
                  <c:v>-2.7313386643941513</c:v>
                </c:pt>
                <c:pt idx="5">
                  <c:v>5.1246470268517834</c:v>
                </c:pt>
                <c:pt idx="6">
                  <c:v>4.1173307721066132</c:v>
                </c:pt>
                <c:pt idx="7">
                  <c:v>4.2612969316703149</c:v>
                </c:pt>
                <c:pt idx="8">
                  <c:v>1.5690381502434874</c:v>
                </c:pt>
                <c:pt idx="9">
                  <c:v>1.1821781175176882</c:v>
                </c:pt>
                <c:pt idx="10">
                  <c:v>6.3884847671506095E-2</c:v>
                </c:pt>
                <c:pt idx="11">
                  <c:v>-9.10318002115981</c:v>
                </c:pt>
              </c:numCache>
            </c:numRef>
          </c:val>
          <c:smooth val="1"/>
          <c:extLst>
            <c:ext xmlns:c16="http://schemas.microsoft.com/office/drawing/2014/chart" uri="{C3380CC4-5D6E-409C-BE32-E72D297353CC}">
              <c16:uniqueId val="{00000013-3CFF-4A59-9C1B-109D94CCA1B4}"/>
            </c:ext>
          </c:extLst>
        </c:ser>
        <c:dLbls>
          <c:showLegendKey val="0"/>
          <c:showVal val="1"/>
          <c:showCatName val="0"/>
          <c:showSerName val="0"/>
          <c:showPercent val="0"/>
          <c:showBubbleSize val="0"/>
        </c:dLbls>
        <c:marker val="1"/>
        <c:smooth val="0"/>
        <c:axId val="258287872"/>
        <c:axId val="258278912"/>
      </c:lineChart>
      <c:valAx>
        <c:axId val="258278912"/>
        <c:scaling>
          <c:orientation val="minMax"/>
        </c:scaling>
        <c:delete val="0"/>
        <c:axPos val="l"/>
        <c:numFmt formatCode="0.0" sourceLinked="0"/>
        <c:majorTickMark val="out"/>
        <c:minorTickMark val="none"/>
        <c:tickLblPos val="nextTo"/>
        <c:spPr>
          <a:noFill/>
          <a:ln>
            <a:solidFill>
              <a:schemeClr val="tx1"/>
            </a:solidFill>
          </a:ln>
          <a:effectLst/>
        </c:spPr>
        <c:txPr>
          <a:bodyPr rot="-60000000" vert="horz"/>
          <a:lstStyle/>
          <a:p>
            <a:pPr>
              <a:defRPr sz="800" b="0"/>
            </a:pPr>
            <a:endParaRPr lang="es-MX"/>
          </a:p>
        </c:txPr>
        <c:crossAx val="258287872"/>
        <c:crosses val="autoZero"/>
        <c:crossBetween val="between"/>
        <c:majorUnit val="5"/>
      </c:valAx>
      <c:catAx>
        <c:axId val="258287872"/>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60000000" vert="horz"/>
          <a:lstStyle/>
          <a:p>
            <a:pPr>
              <a:defRPr sz="800" b="0">
                <a:solidFill>
                  <a:sysClr val="windowText" lastClr="000000"/>
                </a:solidFill>
              </a:defRPr>
            </a:pPr>
            <a:endParaRPr lang="es-MX"/>
          </a:p>
        </c:txPr>
        <c:crossAx val="258278912"/>
        <c:crosses val="autoZero"/>
        <c:auto val="1"/>
        <c:lblAlgn val="ctr"/>
        <c:lblOffset val="100"/>
        <c:noMultiLvlLbl val="0"/>
      </c:catAx>
      <c:spPr>
        <a:noFill/>
        <a:ln w="9525" cmpd="sng">
          <a:noFill/>
        </a:ln>
        <a:effectLst/>
      </c:spPr>
    </c:plotArea>
    <c:legend>
      <c:legendPos val="b"/>
      <c:layout>
        <c:manualLayout>
          <c:xMode val="edge"/>
          <c:yMode val="edge"/>
          <c:x val="0.13913077565915258"/>
          <c:y val="0.89343577489208614"/>
          <c:w val="0.76078927634046012"/>
          <c:h val="5.7460196330084333E-2"/>
        </c:manualLayout>
      </c:layout>
      <c:overlay val="0"/>
      <c:txPr>
        <a:bodyPr/>
        <a:lstStyle/>
        <a:p>
          <a:pPr>
            <a:defRPr sz="1200" b="0"/>
          </a:pPr>
          <a:endParaRPr lang="es-MX"/>
        </a:p>
      </c:txPr>
    </c:legend>
    <c:plotVisOnly val="1"/>
    <c:dispBlanksAs val="gap"/>
    <c:showDLblsOverMax val="0"/>
  </c:chart>
  <c:spPr>
    <a:solidFill>
      <a:schemeClr val="bg1"/>
    </a:solidFill>
    <a:ln w="9525" cap="rnd" cmpd="sng" algn="ctr">
      <a:solidFill>
        <a:schemeClr val="accent2"/>
      </a:solidFill>
      <a:round/>
    </a:ln>
    <a:effectLst/>
  </c:spPr>
  <c:txPr>
    <a:bodyPr/>
    <a:lstStyle/>
    <a:p>
      <a:pPr>
        <a:defRPr>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manualLayout>
          <c:layoutTarget val="inner"/>
          <c:xMode val="edge"/>
          <c:yMode val="edge"/>
          <c:x val="4.8088580167782863E-2"/>
          <c:y val="0.12010100035399024"/>
          <c:w val="0.95947286900266371"/>
          <c:h val="0.60075893809858549"/>
        </c:manualLayout>
      </c:layout>
      <c:barChart>
        <c:barDir val="col"/>
        <c:grouping val="clustered"/>
        <c:varyColors val="0"/>
        <c:ser>
          <c:idx val="0"/>
          <c:order val="0"/>
          <c:spPr>
            <a:solidFill>
              <a:srgbClr val="FA8D1C"/>
            </a:solidFill>
            <a:ln>
              <a:noFill/>
            </a:ln>
            <a:effectLst/>
          </c:spPr>
          <c:invertIfNegative val="0"/>
          <c:dPt>
            <c:idx val="0"/>
            <c:invertIfNegative val="0"/>
            <c:bubble3D val="0"/>
            <c:spPr>
              <a:solidFill>
                <a:srgbClr val="FF3300"/>
              </a:solidFill>
              <a:ln>
                <a:noFill/>
              </a:ln>
              <a:effectLst/>
            </c:spPr>
            <c:extLst>
              <c:ext xmlns:c16="http://schemas.microsoft.com/office/drawing/2014/chart" uri="{C3380CC4-5D6E-409C-BE32-E72D297353CC}">
                <c16:uniqueId val="{00000001-3537-4D0A-AE3B-CD0E054A7BB7}"/>
              </c:ext>
            </c:extLst>
          </c:dPt>
          <c:dPt>
            <c:idx val="1"/>
            <c:invertIfNegative val="0"/>
            <c:bubble3D val="0"/>
            <c:spPr>
              <a:solidFill>
                <a:srgbClr val="C00000"/>
              </a:solidFill>
              <a:ln>
                <a:noFill/>
              </a:ln>
              <a:effectLst/>
            </c:spPr>
            <c:extLst>
              <c:ext xmlns:c16="http://schemas.microsoft.com/office/drawing/2014/chart" uri="{C3380CC4-5D6E-409C-BE32-E72D297353CC}">
                <c16:uniqueId val="{00000003-3537-4D0A-AE3B-CD0E054A7BB7}"/>
              </c:ext>
            </c:extLst>
          </c:dPt>
          <c:dPt>
            <c:idx val="2"/>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5-3537-4D0A-AE3B-CD0E054A7BB7}"/>
              </c:ext>
            </c:extLst>
          </c:dPt>
          <c:dPt>
            <c:idx val="3"/>
            <c:invertIfNegative val="0"/>
            <c:bubble3D val="0"/>
            <c:spPr>
              <a:solidFill>
                <a:schemeClr val="accent5">
                  <a:lumMod val="75000"/>
                </a:schemeClr>
              </a:solidFill>
              <a:ln>
                <a:noFill/>
              </a:ln>
              <a:effectLst/>
            </c:spPr>
            <c:extLst>
              <c:ext xmlns:c16="http://schemas.microsoft.com/office/drawing/2014/chart" uri="{C3380CC4-5D6E-409C-BE32-E72D297353CC}">
                <c16:uniqueId val="{00000007-3537-4D0A-AE3B-CD0E054A7BB7}"/>
              </c:ext>
            </c:extLst>
          </c:dPt>
          <c:dPt>
            <c:idx val="4"/>
            <c:invertIfNegative val="0"/>
            <c:bubble3D val="0"/>
            <c:spPr>
              <a:solidFill>
                <a:schemeClr val="accent4">
                  <a:lumMod val="75000"/>
                </a:schemeClr>
              </a:solidFill>
              <a:ln>
                <a:noFill/>
              </a:ln>
              <a:effectLst/>
            </c:spPr>
            <c:extLst>
              <c:ext xmlns:c16="http://schemas.microsoft.com/office/drawing/2014/chart" uri="{C3380CC4-5D6E-409C-BE32-E72D297353CC}">
                <c16:uniqueId val="{00000009-3537-4D0A-AE3B-CD0E054A7BB7}"/>
              </c:ext>
            </c:extLst>
          </c:dPt>
          <c:dPt>
            <c:idx val="5"/>
            <c:invertIfNegative val="0"/>
            <c:bubble3D val="0"/>
            <c:spPr>
              <a:solidFill>
                <a:schemeClr val="bg1">
                  <a:lumMod val="50000"/>
                </a:schemeClr>
              </a:solidFill>
              <a:ln>
                <a:noFill/>
              </a:ln>
              <a:effectLst/>
            </c:spPr>
            <c:extLst>
              <c:ext xmlns:c16="http://schemas.microsoft.com/office/drawing/2014/chart" uri="{C3380CC4-5D6E-409C-BE32-E72D297353CC}">
                <c16:uniqueId val="{0000000B-3537-4D0A-AE3B-CD0E054A7BB7}"/>
              </c:ext>
            </c:extLst>
          </c:dPt>
          <c:dLbls>
            <c:dLbl>
              <c:idx val="0"/>
              <c:layout>
                <c:manualLayout>
                  <c:x val="-2.2629554197782513E-3"/>
                  <c:y val="-2.1278519430354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537-4D0A-AE3B-CD0E054A7BB7}"/>
                </c:ext>
              </c:extLst>
            </c:dLbl>
            <c:dLbl>
              <c:idx val="5"/>
              <c:layout>
                <c:manualLayout>
                  <c:x val="2.543604541996463E-3"/>
                  <c:y val="-2.56011998294597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537-4D0A-AE3B-CD0E054A7BB7}"/>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Var_PIB_f!$C$9:$C$14</c:f>
              <c:strCache>
                <c:ptCount val="6"/>
                <c:pt idx="0">
                  <c:v>Producción de unidades económicas</c:v>
                </c:pt>
                <c:pt idx="1">
                  <c:v>Autoconstrucción, ampliación y mejoramiento</c:v>
                </c:pt>
                <c:pt idx="2">
                  <c:v>Autoproducción</c:v>
                </c:pt>
                <c:pt idx="3">
                  <c:v>Servicios inmobiliarios</c:v>
                </c:pt>
                <c:pt idx="4">
                  <c:v>Alquiler efectivo</c:v>
                </c:pt>
                <c:pt idx="5">
                  <c:v>Otras</c:v>
                </c:pt>
              </c:strCache>
            </c:strRef>
          </c:cat>
          <c:val>
            <c:numRef>
              <c:f>Var_PIB_f!$F$9:$F$14</c:f>
              <c:numCache>
                <c:formatCode>0.0</c:formatCode>
                <c:ptCount val="6"/>
                <c:pt idx="0">
                  <c:v>-2.2849439956310524</c:v>
                </c:pt>
                <c:pt idx="1">
                  <c:v>48.410436581499802</c:v>
                </c:pt>
                <c:pt idx="2">
                  <c:v>-26.024488096222946</c:v>
                </c:pt>
                <c:pt idx="3">
                  <c:v>1.8608361465156458</c:v>
                </c:pt>
                <c:pt idx="4">
                  <c:v>2.4906416020827091</c:v>
                </c:pt>
                <c:pt idx="5">
                  <c:v>3.1729861781433839</c:v>
                </c:pt>
              </c:numCache>
            </c:numRef>
          </c:val>
          <c:extLst>
            <c:ext xmlns:c16="http://schemas.microsoft.com/office/drawing/2014/chart" uri="{C3380CC4-5D6E-409C-BE32-E72D297353CC}">
              <c16:uniqueId val="{0000000C-3537-4D0A-AE3B-CD0E054A7BB7}"/>
            </c:ext>
          </c:extLst>
        </c:ser>
        <c:dLbls>
          <c:showLegendKey val="0"/>
          <c:showVal val="0"/>
          <c:showCatName val="0"/>
          <c:showSerName val="0"/>
          <c:showPercent val="0"/>
          <c:showBubbleSize val="0"/>
        </c:dLbls>
        <c:gapWidth val="0"/>
        <c:axId val="-1374198608"/>
        <c:axId val="-1374194800"/>
      </c:barChart>
      <c:catAx>
        <c:axId val="-1374198608"/>
        <c:scaling>
          <c:orientation val="minMax"/>
        </c:scaling>
        <c:delete val="1"/>
        <c:axPos val="b"/>
        <c:numFmt formatCode="General" sourceLinked="1"/>
        <c:majorTickMark val="out"/>
        <c:minorTickMark val="none"/>
        <c:tickLblPos val="nextTo"/>
        <c:crossAx val="-1374194800"/>
        <c:crosses val="autoZero"/>
        <c:auto val="1"/>
        <c:lblAlgn val="ctr"/>
        <c:lblOffset val="100"/>
        <c:noMultiLvlLbl val="0"/>
      </c:catAx>
      <c:valAx>
        <c:axId val="-1374194800"/>
        <c:scaling>
          <c:orientation val="minMax"/>
        </c:scaling>
        <c:delete val="0"/>
        <c:axPos val="l"/>
        <c:numFmt formatCode="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374198608"/>
        <c:crosses val="autoZero"/>
        <c:crossBetween val="between"/>
        <c:majorUnit val="20"/>
      </c:valAx>
      <c:spPr>
        <a:noFill/>
        <a:ln w="25400">
          <a:noFill/>
        </a:ln>
        <a:effectLst/>
      </c:spPr>
    </c:plotArea>
    <c:plotVisOnly val="1"/>
    <c:dispBlanksAs val="gap"/>
    <c:showDLblsOverMax val="0"/>
  </c:chart>
  <c:spPr>
    <a:solidFill>
      <a:schemeClr val="bg1"/>
    </a:solidFill>
    <a:ln w="12700" cap="flat" cmpd="sng" algn="ctr">
      <a:solidFill>
        <a:srgbClr val="E46C0A"/>
      </a:solidFill>
      <a:round/>
    </a:ln>
    <a:effectLst/>
  </c:spPr>
  <c:txPr>
    <a:bodyPr/>
    <a:lstStyle/>
    <a:p>
      <a:pPr>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dLbls>
          <c:showLegendKey val="0"/>
          <c:showVal val="0"/>
          <c:showCatName val="0"/>
          <c:showSerName val="0"/>
          <c:showPercent val="0"/>
          <c:showBubbleSize val="0"/>
        </c:dLbls>
        <c:gapWidth val="219"/>
        <c:overlap val="-27"/>
        <c:axId val="221900800"/>
        <c:axId val="221891648"/>
      </c:barChart>
      <c:catAx>
        <c:axId val="2219008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21891648"/>
        <c:crosses val="autoZero"/>
        <c:auto val="1"/>
        <c:lblAlgn val="ctr"/>
        <c:lblOffset val="100"/>
        <c:noMultiLvlLbl val="0"/>
      </c:catAx>
      <c:valAx>
        <c:axId val="221891648"/>
        <c:scaling>
          <c:orientation val="minMax"/>
        </c:scaling>
        <c:delete val="0"/>
        <c:axPos val="l"/>
        <c:majorGridlines>
          <c:spPr>
            <a:ln w="9525" cap="flat" cmpd="sng" algn="ctr">
              <a:solidFill>
                <a:schemeClr val="tx1">
                  <a:lumMod val="15000"/>
                  <a:lumOff val="85000"/>
                </a:schemeClr>
              </a:solidFill>
              <a:round/>
            </a:ln>
            <a:effectLst/>
          </c:spPr>
        </c:majorGridlines>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219008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FF6600"/>
      </a:solidFill>
      <a:round/>
    </a:ln>
    <a:effectLst/>
  </c:spPr>
  <c:txPr>
    <a:bodyPr/>
    <a:lstStyle/>
    <a:p>
      <a:pPr>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3.xml.rels><?xml version="1.0" encoding="UTF-8" standalone="yes"?>
<Relationships xmlns="http://schemas.openxmlformats.org/package/2006/relationships"><Relationship Id="rId1" Type="http://schemas.openxmlformats.org/officeDocument/2006/relationships/image" Target="../media/image9.png"/></Relationships>
</file>

<file path=word/drawings/drawing1.xml><?xml version="1.0" encoding="utf-8"?>
<c:userShapes xmlns:c="http://schemas.openxmlformats.org/drawingml/2006/chart">
  <cdr:relSizeAnchor xmlns:cdr="http://schemas.openxmlformats.org/drawingml/2006/chartDrawing">
    <cdr:from>
      <cdr:x>0.03476</cdr:x>
      <cdr:y>0.03282</cdr:y>
    </cdr:from>
    <cdr:to>
      <cdr:x>0.40081</cdr:x>
      <cdr:y>0.23282</cdr:y>
    </cdr:to>
    <cdr:sp macro="" textlink="">
      <cdr:nvSpPr>
        <cdr:cNvPr id="2" name="CuadroTexto 1"/>
        <cdr:cNvSpPr txBox="1"/>
      </cdr:nvSpPr>
      <cdr:spPr>
        <a:xfrm xmlns:a="http://schemas.openxmlformats.org/drawingml/2006/main">
          <a:off x="105658" y="108594"/>
          <a:ext cx="1112656" cy="661667"/>
        </a:xfrm>
        <a:prstGeom xmlns:a="http://schemas.openxmlformats.org/drawingml/2006/main" prst="round2DiagRect">
          <a:avLst>
            <a:gd name="adj1" fmla="val 24057"/>
            <a:gd name="adj2" fmla="val 0"/>
          </a:avLst>
        </a:prstGeom>
        <a:solidFill xmlns:a="http://schemas.openxmlformats.org/drawingml/2006/main">
          <a:srgbClr val="FCB10D"/>
        </a:solidFill>
        <a:ln xmlns:a="http://schemas.openxmlformats.org/drawingml/2006/main">
          <a:noFill/>
        </a:ln>
        <a:effectLst xmlns:a="http://schemas.openxmlformats.org/drawingml/2006/main"/>
      </cdr:spPr>
      <cdr:txBody>
        <a:bodyPr xmlns:a="http://schemas.openxmlformats.org/drawingml/2006/main" vertOverflow="clip" wrap="square" rtlCol="0" anchor="ctr"/>
        <a:lstStyle xmlns:a="http://schemas.openxmlformats.org/drawingml/2006/main"/>
        <a:p xmlns:a="http://schemas.openxmlformats.org/drawingml/2006/main">
          <a:pPr algn="ctr"/>
          <a:r>
            <a:rPr lang="es-MX" sz="1100" b="1">
              <a:solidFill>
                <a:schemeClr val="bg1"/>
              </a:solidFill>
              <a:latin typeface="Arial" pitchFamily="34" charset="0"/>
              <a:cs typeface="Arial" pitchFamily="34" charset="0"/>
            </a:rPr>
            <a:t>Edificación</a:t>
          </a:r>
        </a:p>
        <a:p xmlns:a="http://schemas.openxmlformats.org/drawingml/2006/main">
          <a:pPr algn="ctr"/>
          <a:r>
            <a:rPr lang="es-MX" sz="1100" b="1">
              <a:solidFill>
                <a:schemeClr val="bg1"/>
              </a:solidFill>
              <a:latin typeface="Arial" pitchFamily="34" charset="0"/>
              <a:cs typeface="Arial" pitchFamily="34" charset="0"/>
            </a:rPr>
            <a:t>64.6%</a:t>
          </a:r>
        </a:p>
      </cdr:txBody>
    </cdr:sp>
  </cdr:relSizeAnchor>
  <cdr:relSizeAnchor xmlns:cdr="http://schemas.openxmlformats.org/drawingml/2006/chartDrawing">
    <cdr:from>
      <cdr:x>0.43368</cdr:x>
      <cdr:y>0.0299</cdr:y>
    </cdr:from>
    <cdr:to>
      <cdr:x>0.98682</cdr:x>
      <cdr:y>0.0749</cdr:y>
    </cdr:to>
    <cdr:sp macro="" textlink="">
      <cdr:nvSpPr>
        <cdr:cNvPr id="6" name="CuadroTexto 1"/>
        <cdr:cNvSpPr txBox="1"/>
      </cdr:nvSpPr>
      <cdr:spPr>
        <a:xfrm xmlns:a="http://schemas.openxmlformats.org/drawingml/2006/main">
          <a:off x="1980031" y="97192"/>
          <a:ext cx="2525444" cy="146275"/>
        </a:xfrm>
        <a:prstGeom xmlns:a="http://schemas.openxmlformats.org/drawingml/2006/main" prst="roundRect">
          <a:avLst/>
        </a:prstGeom>
        <a:solidFill xmlns:a="http://schemas.openxmlformats.org/drawingml/2006/main">
          <a:srgbClr val="FCB10D"/>
        </a:solidFill>
        <a:effectLst xmlns:a="http://schemas.openxmlformats.org/drawingml/2006/mai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s-MX" sz="1000">
              <a:solidFill>
                <a:schemeClr val="bg1"/>
              </a:solidFill>
              <a:latin typeface="Arial" pitchFamily="34" charset="0"/>
              <a:cs typeface="Arial" pitchFamily="34" charset="0"/>
            </a:rPr>
            <a:t>Unidades</a:t>
          </a:r>
          <a:r>
            <a:rPr lang="es-MX" sz="1000" baseline="0">
              <a:solidFill>
                <a:schemeClr val="bg1"/>
              </a:solidFill>
              <a:latin typeface="Arial" pitchFamily="34" charset="0"/>
              <a:cs typeface="Arial" pitchFamily="34" charset="0"/>
            </a:rPr>
            <a:t> económicas</a:t>
          </a:r>
          <a:r>
            <a:rPr lang="es-MX" sz="1000">
              <a:solidFill>
                <a:schemeClr val="bg1"/>
              </a:solidFill>
              <a:latin typeface="Arial" pitchFamily="34" charset="0"/>
              <a:cs typeface="Arial" pitchFamily="34" charset="0"/>
            </a:rPr>
            <a:t>: 24.0</a:t>
          </a:r>
          <a:r>
            <a:rPr lang="es-MX" sz="1000" b="1" spc="-80" baseline="0">
              <a:solidFill>
                <a:schemeClr val="bg1"/>
              </a:solidFill>
              <a:latin typeface="Arial" pitchFamily="34" charset="0"/>
              <a:cs typeface="Arial" pitchFamily="34" charset="0"/>
            </a:rPr>
            <a:t>%</a:t>
          </a:r>
        </a:p>
      </cdr:txBody>
    </cdr:sp>
  </cdr:relSizeAnchor>
  <cdr:relSizeAnchor xmlns:cdr="http://schemas.openxmlformats.org/drawingml/2006/chartDrawing">
    <cdr:from>
      <cdr:x>0.43368</cdr:x>
      <cdr:y>0.08189</cdr:y>
    </cdr:from>
    <cdr:to>
      <cdr:x>0.98682</cdr:x>
      <cdr:y>0.12689</cdr:y>
    </cdr:to>
    <cdr:sp macro="" textlink="">
      <cdr:nvSpPr>
        <cdr:cNvPr id="9" name="CuadroTexto 1"/>
        <cdr:cNvSpPr txBox="1"/>
      </cdr:nvSpPr>
      <cdr:spPr>
        <a:xfrm xmlns:a="http://schemas.openxmlformats.org/drawingml/2006/main">
          <a:off x="1980031" y="266189"/>
          <a:ext cx="2525444" cy="146275"/>
        </a:xfrm>
        <a:prstGeom xmlns:a="http://schemas.openxmlformats.org/drawingml/2006/main" prst="roundRect">
          <a:avLst/>
        </a:prstGeom>
        <a:solidFill xmlns:a="http://schemas.openxmlformats.org/drawingml/2006/main">
          <a:srgbClr val="FCB10D"/>
        </a:solidFill>
        <a:effectLst xmlns:a="http://schemas.openxmlformats.org/drawingml/2006/mai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s-MX" sz="1000">
              <a:solidFill>
                <a:schemeClr val="bg1"/>
              </a:solidFill>
              <a:latin typeface="Arial" pitchFamily="34" charset="0"/>
              <a:cs typeface="Arial" pitchFamily="34" charset="0"/>
            </a:rPr>
            <a:t>Autoproducción</a:t>
          </a:r>
          <a:r>
            <a:rPr lang="es-MX" sz="1000" baseline="0">
              <a:solidFill>
                <a:schemeClr val="bg1"/>
              </a:solidFill>
              <a:latin typeface="Arial" pitchFamily="34" charset="0"/>
              <a:cs typeface="Arial" pitchFamily="34" charset="0"/>
            </a:rPr>
            <a:t>: 35.7</a:t>
          </a:r>
          <a:r>
            <a:rPr lang="es-MX" sz="1000" b="1" baseline="0">
              <a:solidFill>
                <a:schemeClr val="bg1"/>
              </a:solidFill>
              <a:latin typeface="Arial" pitchFamily="34" charset="0"/>
              <a:cs typeface="Arial" pitchFamily="34" charset="0"/>
            </a:rPr>
            <a:t>%</a:t>
          </a:r>
          <a:endParaRPr lang="es-MX" sz="1000" b="1">
            <a:solidFill>
              <a:schemeClr val="bg1"/>
            </a:solidFill>
            <a:latin typeface="Arial" pitchFamily="34" charset="0"/>
            <a:cs typeface="Arial" pitchFamily="34" charset="0"/>
          </a:endParaRPr>
        </a:p>
      </cdr:txBody>
    </cdr:sp>
  </cdr:relSizeAnchor>
  <cdr:relSizeAnchor xmlns:cdr="http://schemas.openxmlformats.org/drawingml/2006/chartDrawing">
    <cdr:from>
      <cdr:x>0.43368</cdr:x>
      <cdr:y>0.13169</cdr:y>
    </cdr:from>
    <cdr:to>
      <cdr:x>0.98682</cdr:x>
      <cdr:y>0.17669</cdr:y>
    </cdr:to>
    <cdr:sp macro="" textlink="">
      <cdr:nvSpPr>
        <cdr:cNvPr id="10" name="CuadroTexto 1"/>
        <cdr:cNvSpPr txBox="1"/>
      </cdr:nvSpPr>
      <cdr:spPr>
        <a:xfrm xmlns:a="http://schemas.openxmlformats.org/drawingml/2006/main">
          <a:off x="1980031" y="428067"/>
          <a:ext cx="2525444" cy="146275"/>
        </a:xfrm>
        <a:prstGeom xmlns:a="http://schemas.openxmlformats.org/drawingml/2006/main" prst="roundRect">
          <a:avLst/>
        </a:prstGeom>
        <a:solidFill xmlns:a="http://schemas.openxmlformats.org/drawingml/2006/main">
          <a:srgbClr val="FCB10D"/>
        </a:solidFill>
        <a:effectLst xmlns:a="http://schemas.openxmlformats.org/drawingml/2006/mai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s-MX" sz="1000" baseline="0">
              <a:solidFill>
                <a:schemeClr val="bg1"/>
              </a:solidFill>
              <a:latin typeface="Arial" pitchFamily="34" charset="0"/>
              <a:cs typeface="Arial" pitchFamily="34" charset="0"/>
            </a:rPr>
            <a:t>Autoconstrucción: 3.2 </a:t>
          </a:r>
          <a:r>
            <a:rPr lang="es-MX" sz="1000" b="1" baseline="0">
              <a:solidFill>
                <a:schemeClr val="bg1"/>
              </a:solidFill>
              <a:latin typeface="Arial" pitchFamily="34" charset="0"/>
              <a:cs typeface="Arial" pitchFamily="34" charset="0"/>
            </a:rPr>
            <a:t>%</a:t>
          </a:r>
          <a:endParaRPr lang="es-MX" sz="1000" b="1">
            <a:solidFill>
              <a:schemeClr val="bg1"/>
            </a:solidFill>
            <a:latin typeface="Arial" pitchFamily="34" charset="0"/>
            <a:cs typeface="Arial" pitchFamily="34" charset="0"/>
          </a:endParaRPr>
        </a:p>
      </cdr:txBody>
    </cdr:sp>
  </cdr:relSizeAnchor>
  <cdr:relSizeAnchor xmlns:cdr="http://schemas.openxmlformats.org/drawingml/2006/chartDrawing">
    <cdr:from>
      <cdr:x>0.02535</cdr:x>
      <cdr:y>0.51024</cdr:y>
    </cdr:from>
    <cdr:to>
      <cdr:x>0.40739</cdr:x>
      <cdr:y>0.71024</cdr:y>
    </cdr:to>
    <cdr:sp macro="" textlink="">
      <cdr:nvSpPr>
        <cdr:cNvPr id="12" name="CuadroTexto 1"/>
        <cdr:cNvSpPr txBox="1"/>
      </cdr:nvSpPr>
      <cdr:spPr>
        <a:xfrm xmlns:a="http://schemas.openxmlformats.org/drawingml/2006/main">
          <a:off x="77055" y="1688051"/>
          <a:ext cx="1161260" cy="661668"/>
        </a:xfrm>
        <a:prstGeom xmlns:a="http://schemas.openxmlformats.org/drawingml/2006/main" prst="round2DiagRect">
          <a:avLst>
            <a:gd name="adj1" fmla="val 24057"/>
            <a:gd name="adj2" fmla="val 0"/>
          </a:avLst>
        </a:prstGeom>
        <a:solidFill xmlns:a="http://schemas.openxmlformats.org/drawingml/2006/main">
          <a:srgbClr val="FC760D">
            <a:alpha val="80000"/>
          </a:srgbClr>
        </a:solidFill>
        <a:ln xmlns:a="http://schemas.openxmlformats.org/drawingml/2006/main">
          <a:noFill/>
        </a:ln>
        <a:effectLst xmlns:a="http://schemas.openxmlformats.org/drawingml/2006/mai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1100" b="1">
              <a:solidFill>
                <a:schemeClr val="bg1"/>
              </a:solidFill>
              <a:latin typeface="Arial" pitchFamily="34" charset="0"/>
              <a:cs typeface="Arial" pitchFamily="34" charset="0"/>
            </a:rPr>
            <a:t>Uso</a:t>
          </a:r>
        </a:p>
        <a:p xmlns:a="http://schemas.openxmlformats.org/drawingml/2006/main">
          <a:pPr algn="ctr"/>
          <a:r>
            <a:rPr lang="es-MX" sz="1100" b="1">
              <a:solidFill>
                <a:schemeClr val="bg1"/>
              </a:solidFill>
              <a:latin typeface="Arial" pitchFamily="34" charset="0"/>
              <a:cs typeface="Arial" pitchFamily="34" charset="0"/>
            </a:rPr>
            <a:t>28.6%</a:t>
          </a:r>
        </a:p>
      </cdr:txBody>
    </cdr:sp>
  </cdr:relSizeAnchor>
  <cdr:relSizeAnchor xmlns:cdr="http://schemas.openxmlformats.org/drawingml/2006/chartDrawing">
    <cdr:from>
      <cdr:x>0.02535</cdr:x>
      <cdr:y>0.27153</cdr:y>
    </cdr:from>
    <cdr:to>
      <cdr:x>0.40739</cdr:x>
      <cdr:y>0.47153</cdr:y>
    </cdr:to>
    <cdr:sp macro="" textlink="">
      <cdr:nvSpPr>
        <cdr:cNvPr id="13" name="CuadroTexto 1"/>
        <cdr:cNvSpPr txBox="1"/>
      </cdr:nvSpPr>
      <cdr:spPr>
        <a:xfrm xmlns:a="http://schemas.openxmlformats.org/drawingml/2006/main">
          <a:off x="77055" y="898322"/>
          <a:ext cx="1161260" cy="661668"/>
        </a:xfrm>
        <a:prstGeom xmlns:a="http://schemas.openxmlformats.org/drawingml/2006/main" prst="round2DiagRect">
          <a:avLst>
            <a:gd name="adj1" fmla="val 24057"/>
            <a:gd name="adj2" fmla="val 0"/>
          </a:avLst>
        </a:prstGeom>
        <a:solidFill xmlns:a="http://schemas.openxmlformats.org/drawingml/2006/main">
          <a:srgbClr val="E68600"/>
        </a:solidFill>
        <a:ln xmlns:a="http://schemas.openxmlformats.org/drawingml/2006/main">
          <a:noFill/>
        </a:ln>
        <a:effectLst xmlns:a="http://schemas.openxmlformats.org/drawingml/2006/mai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1100" b="1">
              <a:solidFill>
                <a:schemeClr val="bg1"/>
              </a:solidFill>
              <a:latin typeface="Arial" pitchFamily="34" charset="0"/>
              <a:cs typeface="Arial" pitchFamily="34" charset="0"/>
            </a:rPr>
            <a:t>Adquisición</a:t>
          </a:r>
        </a:p>
        <a:p xmlns:a="http://schemas.openxmlformats.org/drawingml/2006/main">
          <a:pPr algn="ctr"/>
          <a:r>
            <a:rPr lang="es-MX" sz="1100" b="1">
              <a:solidFill>
                <a:schemeClr val="bg1"/>
              </a:solidFill>
              <a:latin typeface="Arial" pitchFamily="34" charset="0"/>
              <a:cs typeface="Arial" pitchFamily="34" charset="0"/>
            </a:rPr>
            <a:t>6.5%</a:t>
          </a:r>
        </a:p>
      </cdr:txBody>
    </cdr:sp>
  </cdr:relSizeAnchor>
  <cdr:relSizeAnchor xmlns:cdr="http://schemas.openxmlformats.org/drawingml/2006/chartDrawing">
    <cdr:from>
      <cdr:x>0.02286</cdr:x>
      <cdr:y>0.74895</cdr:y>
    </cdr:from>
    <cdr:to>
      <cdr:x>0.4074</cdr:x>
      <cdr:y>0.94895</cdr:y>
    </cdr:to>
    <cdr:sp macro="" textlink="">
      <cdr:nvSpPr>
        <cdr:cNvPr id="14" name="CuadroTexto 1"/>
        <cdr:cNvSpPr txBox="1"/>
      </cdr:nvSpPr>
      <cdr:spPr>
        <a:xfrm xmlns:a="http://schemas.openxmlformats.org/drawingml/2006/main">
          <a:off x="71845" y="2858049"/>
          <a:ext cx="1208546" cy="763214"/>
        </a:xfrm>
        <a:prstGeom xmlns:a="http://schemas.openxmlformats.org/drawingml/2006/main" prst="round2DiagRect">
          <a:avLst>
            <a:gd name="adj1" fmla="val 24057"/>
            <a:gd name="adj2" fmla="val 0"/>
          </a:avLst>
        </a:prstGeom>
        <a:solidFill xmlns:a="http://schemas.openxmlformats.org/drawingml/2006/main">
          <a:srgbClr val="F24F0C"/>
        </a:solidFill>
        <a:ln xmlns:a="http://schemas.openxmlformats.org/drawingml/2006/main">
          <a:noFill/>
        </a:ln>
        <a:effectLst xmlns:a="http://schemas.openxmlformats.org/drawingml/2006/mai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1100" b="1">
              <a:solidFill>
                <a:schemeClr val="bg1"/>
              </a:solidFill>
              <a:latin typeface="Arial" pitchFamily="34" charset="0"/>
              <a:cs typeface="Arial" pitchFamily="34" charset="0"/>
            </a:rPr>
            <a:t>Regulación</a:t>
          </a:r>
        </a:p>
        <a:p xmlns:a="http://schemas.openxmlformats.org/drawingml/2006/main">
          <a:pPr algn="ctr"/>
          <a:r>
            <a:rPr lang="es-MX" sz="1100" b="1">
              <a:solidFill>
                <a:schemeClr val="bg1"/>
              </a:solidFill>
              <a:latin typeface="Arial" pitchFamily="34" charset="0"/>
              <a:cs typeface="Arial" pitchFamily="34" charset="0"/>
            </a:rPr>
            <a:t>y</a:t>
          </a:r>
          <a:r>
            <a:rPr lang="es-MX" sz="1100" b="1" baseline="0">
              <a:solidFill>
                <a:schemeClr val="bg1"/>
              </a:solidFill>
              <a:latin typeface="Arial" pitchFamily="34" charset="0"/>
              <a:cs typeface="Arial" pitchFamily="34" charset="0"/>
            </a:rPr>
            <a:t> </a:t>
          </a:r>
          <a:r>
            <a:rPr lang="es-MX" sz="1100" b="1">
              <a:solidFill>
                <a:schemeClr val="bg1"/>
              </a:solidFill>
              <a:latin typeface="Arial" pitchFamily="34" charset="0"/>
              <a:cs typeface="Arial" pitchFamily="34" charset="0"/>
            </a:rPr>
            <a:t>fomento</a:t>
          </a:r>
        </a:p>
        <a:p xmlns:a="http://schemas.openxmlformats.org/drawingml/2006/main">
          <a:pPr algn="ctr"/>
          <a:r>
            <a:rPr lang="es-MX" sz="1100" b="1">
              <a:solidFill>
                <a:schemeClr val="bg1"/>
              </a:solidFill>
              <a:latin typeface="Arial" pitchFamily="34" charset="0"/>
              <a:cs typeface="Arial" pitchFamily="34" charset="0"/>
            </a:rPr>
            <a:t>0.3%</a:t>
          </a:r>
        </a:p>
      </cdr:txBody>
    </cdr:sp>
  </cdr:relSizeAnchor>
  <cdr:relSizeAnchor xmlns:cdr="http://schemas.openxmlformats.org/drawingml/2006/chartDrawing">
    <cdr:from>
      <cdr:x>0.43368</cdr:x>
      <cdr:y>0.18593</cdr:y>
    </cdr:from>
    <cdr:to>
      <cdr:x>0.98682</cdr:x>
      <cdr:y>0.23093</cdr:y>
    </cdr:to>
    <cdr:sp macro="" textlink="">
      <cdr:nvSpPr>
        <cdr:cNvPr id="15" name="CuadroTexto 1"/>
        <cdr:cNvSpPr txBox="1"/>
      </cdr:nvSpPr>
      <cdr:spPr>
        <a:xfrm xmlns:a="http://schemas.openxmlformats.org/drawingml/2006/main">
          <a:off x="1980031" y="604378"/>
          <a:ext cx="2525444" cy="146275"/>
        </a:xfrm>
        <a:prstGeom xmlns:a="http://schemas.openxmlformats.org/drawingml/2006/main" prst="roundRect">
          <a:avLst/>
        </a:prstGeom>
        <a:solidFill xmlns:a="http://schemas.openxmlformats.org/drawingml/2006/main">
          <a:srgbClr val="FCB10D"/>
        </a:solidFill>
        <a:effectLst xmlns:a="http://schemas.openxmlformats.org/drawingml/2006/mai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s-MX" sz="1000">
              <a:solidFill>
                <a:schemeClr val="bg1"/>
              </a:solidFill>
              <a:latin typeface="Arial" pitchFamily="34" charset="0"/>
              <a:cs typeface="Arial" pitchFamily="34" charset="0"/>
            </a:rPr>
            <a:t>Otras de edificación</a:t>
          </a:r>
          <a:r>
            <a:rPr lang="es-MX" sz="1000" baseline="0">
              <a:solidFill>
                <a:schemeClr val="bg1"/>
              </a:solidFill>
              <a:latin typeface="Arial" pitchFamily="34" charset="0"/>
              <a:cs typeface="Arial" pitchFamily="34" charset="0"/>
            </a:rPr>
            <a:t>: 1.7</a:t>
          </a:r>
          <a:r>
            <a:rPr lang="es-MX" sz="1000" b="1" baseline="0">
              <a:solidFill>
                <a:schemeClr val="bg1"/>
              </a:solidFill>
              <a:latin typeface="Arial" pitchFamily="34" charset="0"/>
              <a:cs typeface="Arial" pitchFamily="34" charset="0"/>
            </a:rPr>
            <a:t>%</a:t>
          </a:r>
          <a:endParaRPr lang="es-MX" sz="1000" b="1">
            <a:solidFill>
              <a:schemeClr val="bg1"/>
            </a:solidFill>
            <a:latin typeface="Arial" pitchFamily="34" charset="0"/>
            <a:cs typeface="Arial" pitchFamily="34" charset="0"/>
          </a:endParaRPr>
        </a:p>
      </cdr:txBody>
    </cdr:sp>
  </cdr:relSizeAnchor>
  <cdr:relSizeAnchor xmlns:cdr="http://schemas.openxmlformats.org/drawingml/2006/chartDrawing">
    <cdr:from>
      <cdr:x>0.43162</cdr:x>
      <cdr:y>0.26824</cdr:y>
    </cdr:from>
    <cdr:to>
      <cdr:x>0.98514</cdr:x>
      <cdr:y>0.32824</cdr:y>
    </cdr:to>
    <cdr:sp macro="" textlink="">
      <cdr:nvSpPr>
        <cdr:cNvPr id="16" name="CuadroTexto 1"/>
        <cdr:cNvSpPr txBox="1"/>
      </cdr:nvSpPr>
      <cdr:spPr>
        <a:xfrm xmlns:a="http://schemas.openxmlformats.org/drawingml/2006/main">
          <a:off x="1970626" y="871932"/>
          <a:ext cx="2527200" cy="195033"/>
        </a:xfrm>
        <a:prstGeom xmlns:a="http://schemas.openxmlformats.org/drawingml/2006/main" prst="roundRect">
          <a:avLst/>
        </a:prstGeom>
        <a:solidFill xmlns:a="http://schemas.openxmlformats.org/drawingml/2006/main">
          <a:srgbClr val="E68600"/>
        </a:solidFill>
        <a:effectLst xmlns:a="http://schemas.openxmlformats.org/drawingml/2006/mai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s-MX" sz="1000">
              <a:solidFill>
                <a:schemeClr val="bg1"/>
              </a:solidFill>
              <a:latin typeface="Arial" pitchFamily="34" charset="0"/>
              <a:cs typeface="Arial" pitchFamily="34" charset="0"/>
            </a:rPr>
            <a:t>Servicios inmobiliarios: 1.9</a:t>
          </a:r>
          <a:r>
            <a:rPr lang="es-MX" sz="1000" b="1" spc="0" baseline="0">
              <a:solidFill>
                <a:schemeClr val="bg1"/>
              </a:solidFill>
              <a:latin typeface="Arial" pitchFamily="34" charset="0"/>
              <a:cs typeface="Arial" pitchFamily="34" charset="0"/>
            </a:rPr>
            <a:t>%</a:t>
          </a:r>
        </a:p>
      </cdr:txBody>
    </cdr:sp>
  </cdr:relSizeAnchor>
  <cdr:relSizeAnchor xmlns:cdr="http://schemas.openxmlformats.org/drawingml/2006/chartDrawing">
    <cdr:from>
      <cdr:x>0.43162</cdr:x>
      <cdr:y>0.33523</cdr:y>
    </cdr:from>
    <cdr:to>
      <cdr:x>0.98514</cdr:x>
      <cdr:y>0.39523</cdr:y>
    </cdr:to>
    <cdr:sp macro="" textlink="">
      <cdr:nvSpPr>
        <cdr:cNvPr id="17" name="CuadroTexto 1"/>
        <cdr:cNvSpPr txBox="1"/>
      </cdr:nvSpPr>
      <cdr:spPr>
        <a:xfrm xmlns:a="http://schemas.openxmlformats.org/drawingml/2006/main">
          <a:off x="1970625" y="1089687"/>
          <a:ext cx="2527200" cy="195034"/>
        </a:xfrm>
        <a:prstGeom xmlns:a="http://schemas.openxmlformats.org/drawingml/2006/main" prst="roundRect">
          <a:avLst/>
        </a:prstGeom>
        <a:solidFill xmlns:a="http://schemas.openxmlformats.org/drawingml/2006/main">
          <a:srgbClr val="E68600"/>
        </a:solidFill>
        <a:effectLst xmlns:a="http://schemas.openxmlformats.org/drawingml/2006/mai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s-MX" sz="1000">
              <a:solidFill>
                <a:schemeClr val="bg1"/>
              </a:solidFill>
              <a:latin typeface="Arial" pitchFamily="34" charset="0"/>
              <a:cs typeface="Arial" pitchFamily="34" charset="0"/>
            </a:rPr>
            <a:t>Financiamiento</a:t>
          </a:r>
          <a:r>
            <a:rPr lang="es-MX" sz="1000" baseline="0">
              <a:solidFill>
                <a:schemeClr val="bg1"/>
              </a:solidFill>
              <a:latin typeface="Arial" pitchFamily="34" charset="0"/>
              <a:cs typeface="Arial" pitchFamily="34" charset="0"/>
            </a:rPr>
            <a:t>: 4.5</a:t>
          </a:r>
          <a:r>
            <a:rPr lang="es-MX" sz="1000" b="1" baseline="0">
              <a:solidFill>
                <a:schemeClr val="bg1"/>
              </a:solidFill>
              <a:latin typeface="Arial" pitchFamily="34" charset="0"/>
              <a:cs typeface="Arial" pitchFamily="34" charset="0"/>
            </a:rPr>
            <a:t>%</a:t>
          </a:r>
          <a:endParaRPr lang="es-MX" sz="1000" b="1">
            <a:solidFill>
              <a:schemeClr val="bg1"/>
            </a:solidFill>
            <a:latin typeface="Arial" pitchFamily="34" charset="0"/>
            <a:cs typeface="Arial" pitchFamily="34" charset="0"/>
          </a:endParaRPr>
        </a:p>
      </cdr:txBody>
    </cdr:sp>
  </cdr:relSizeAnchor>
  <cdr:relSizeAnchor xmlns:cdr="http://schemas.openxmlformats.org/drawingml/2006/chartDrawing">
    <cdr:from>
      <cdr:x>0.43162</cdr:x>
      <cdr:y>0.405</cdr:y>
    </cdr:from>
    <cdr:to>
      <cdr:x>0.98514</cdr:x>
      <cdr:y>0.465</cdr:y>
    </cdr:to>
    <cdr:sp macro="" textlink="">
      <cdr:nvSpPr>
        <cdr:cNvPr id="18" name="CuadroTexto 1"/>
        <cdr:cNvSpPr txBox="1"/>
      </cdr:nvSpPr>
      <cdr:spPr>
        <a:xfrm xmlns:a="http://schemas.openxmlformats.org/drawingml/2006/main">
          <a:off x="1970625" y="1316479"/>
          <a:ext cx="2527200" cy="195034"/>
        </a:xfrm>
        <a:prstGeom xmlns:a="http://schemas.openxmlformats.org/drawingml/2006/main" prst="roundRect">
          <a:avLst/>
        </a:prstGeom>
        <a:solidFill xmlns:a="http://schemas.openxmlformats.org/drawingml/2006/main">
          <a:srgbClr val="E68600"/>
        </a:solidFill>
        <a:effectLst xmlns:a="http://schemas.openxmlformats.org/drawingml/2006/mai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s-MX" sz="1000" baseline="0">
              <a:solidFill>
                <a:schemeClr val="bg1"/>
              </a:solidFill>
              <a:latin typeface="Arial" pitchFamily="34" charset="0"/>
              <a:cs typeface="Arial" pitchFamily="34" charset="0"/>
            </a:rPr>
            <a:t>Servicios notariales: 0.1</a:t>
          </a:r>
          <a:r>
            <a:rPr lang="es-MX" sz="1000" b="1" baseline="0">
              <a:solidFill>
                <a:schemeClr val="bg1"/>
              </a:solidFill>
              <a:latin typeface="Arial" pitchFamily="34" charset="0"/>
              <a:cs typeface="Arial" pitchFamily="34" charset="0"/>
            </a:rPr>
            <a:t>%</a:t>
          </a:r>
          <a:endParaRPr lang="es-MX" sz="1000" b="1">
            <a:solidFill>
              <a:schemeClr val="bg1"/>
            </a:solidFill>
            <a:latin typeface="Arial" pitchFamily="34" charset="0"/>
            <a:cs typeface="Arial" pitchFamily="34" charset="0"/>
          </a:endParaRPr>
        </a:p>
      </cdr:txBody>
    </cdr:sp>
  </cdr:relSizeAnchor>
  <cdr:relSizeAnchor xmlns:cdr="http://schemas.openxmlformats.org/drawingml/2006/chartDrawing">
    <cdr:from>
      <cdr:x>0.43162</cdr:x>
      <cdr:y>0.57491</cdr:y>
    </cdr:from>
    <cdr:to>
      <cdr:x>0.98514</cdr:x>
      <cdr:y>0.63349</cdr:y>
    </cdr:to>
    <cdr:sp macro="" textlink="">
      <cdr:nvSpPr>
        <cdr:cNvPr id="21" name="CuadroTexto 1"/>
        <cdr:cNvSpPr txBox="1"/>
      </cdr:nvSpPr>
      <cdr:spPr>
        <a:xfrm xmlns:a="http://schemas.openxmlformats.org/drawingml/2006/main">
          <a:off x="1970626" y="1868782"/>
          <a:ext cx="2527200" cy="190418"/>
        </a:xfrm>
        <a:prstGeom xmlns:a="http://schemas.openxmlformats.org/drawingml/2006/main" prst="roundRect">
          <a:avLst/>
        </a:prstGeom>
        <a:solidFill xmlns:a="http://schemas.openxmlformats.org/drawingml/2006/main">
          <a:srgbClr val="FC760D"/>
        </a:solidFill>
        <a:effectLst xmlns:a="http://schemas.openxmlformats.org/drawingml/2006/mai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s-MX" sz="1000" spc="0">
              <a:solidFill>
                <a:schemeClr val="bg1"/>
              </a:solidFill>
              <a:latin typeface="Arial" pitchFamily="34" charset="0"/>
              <a:cs typeface="Arial" pitchFamily="34" charset="0"/>
            </a:rPr>
            <a:t>Administración</a:t>
          </a:r>
          <a:r>
            <a:rPr lang="es-MX" sz="1000" spc="0" baseline="0">
              <a:solidFill>
                <a:schemeClr val="bg1"/>
              </a:solidFill>
              <a:latin typeface="Arial" pitchFamily="34" charset="0"/>
              <a:cs typeface="Arial" pitchFamily="34" charset="0"/>
            </a:rPr>
            <a:t> bienes raíces: 0.1</a:t>
          </a:r>
          <a:r>
            <a:rPr lang="es-MX" sz="1000" b="1" spc="0" baseline="0">
              <a:solidFill>
                <a:schemeClr val="bg1"/>
              </a:solidFill>
              <a:latin typeface="Arial" pitchFamily="34" charset="0"/>
              <a:cs typeface="Arial" pitchFamily="34" charset="0"/>
            </a:rPr>
            <a:t>%</a:t>
          </a:r>
          <a:endParaRPr lang="es-MX" sz="1000" b="1" spc="0">
            <a:solidFill>
              <a:schemeClr val="bg1"/>
            </a:solidFill>
            <a:latin typeface="Arial" pitchFamily="34" charset="0"/>
            <a:cs typeface="Arial" pitchFamily="34" charset="0"/>
          </a:endParaRPr>
        </a:p>
      </cdr:txBody>
    </cdr:sp>
  </cdr:relSizeAnchor>
  <cdr:relSizeAnchor xmlns:cdr="http://schemas.openxmlformats.org/drawingml/2006/chartDrawing">
    <cdr:from>
      <cdr:x>0.43162</cdr:x>
      <cdr:y>0.64476</cdr:y>
    </cdr:from>
    <cdr:to>
      <cdr:x>0.98514</cdr:x>
      <cdr:y>0.70476</cdr:y>
    </cdr:to>
    <cdr:sp macro="" textlink="">
      <cdr:nvSpPr>
        <cdr:cNvPr id="22" name="CuadroTexto 1"/>
        <cdr:cNvSpPr txBox="1"/>
      </cdr:nvSpPr>
      <cdr:spPr>
        <a:xfrm xmlns:a="http://schemas.openxmlformats.org/drawingml/2006/main">
          <a:off x="1970626" y="2095834"/>
          <a:ext cx="2527200" cy="195034"/>
        </a:xfrm>
        <a:prstGeom xmlns:a="http://schemas.openxmlformats.org/drawingml/2006/main" prst="roundRect">
          <a:avLst/>
        </a:prstGeom>
        <a:solidFill xmlns:a="http://schemas.openxmlformats.org/drawingml/2006/main">
          <a:srgbClr val="FC760D"/>
        </a:solidFill>
        <a:effectLst xmlns:a="http://schemas.openxmlformats.org/drawingml/2006/mai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s-MX" sz="1000" baseline="0">
              <a:solidFill>
                <a:schemeClr val="bg1"/>
              </a:solidFill>
              <a:latin typeface="Arial" pitchFamily="34" charset="0"/>
              <a:cs typeface="Arial" pitchFamily="34" charset="0"/>
            </a:rPr>
            <a:t>Otros de uso: 0.2</a:t>
          </a:r>
          <a:r>
            <a:rPr lang="es-MX" sz="1000" b="1" baseline="0">
              <a:solidFill>
                <a:schemeClr val="bg1"/>
              </a:solidFill>
              <a:latin typeface="Arial" pitchFamily="34" charset="0"/>
              <a:cs typeface="Arial" pitchFamily="34" charset="0"/>
            </a:rPr>
            <a:t>%</a:t>
          </a:r>
          <a:endParaRPr lang="es-MX" sz="1000" b="1">
            <a:solidFill>
              <a:schemeClr val="bg1"/>
            </a:solidFill>
            <a:latin typeface="Arial" pitchFamily="34" charset="0"/>
            <a:cs typeface="Arial" pitchFamily="34" charset="0"/>
          </a:endParaRPr>
        </a:p>
      </cdr:txBody>
    </cdr:sp>
  </cdr:relSizeAnchor>
  <cdr:relSizeAnchor xmlns:cdr="http://schemas.openxmlformats.org/drawingml/2006/chartDrawing">
    <cdr:from>
      <cdr:x>0.43162</cdr:x>
      <cdr:y>0.74338</cdr:y>
    </cdr:from>
    <cdr:to>
      <cdr:x>0.98514</cdr:x>
      <cdr:y>0.83338</cdr:y>
    </cdr:to>
    <cdr:sp macro="" textlink="">
      <cdr:nvSpPr>
        <cdr:cNvPr id="23" name="CuadroTexto 1"/>
        <cdr:cNvSpPr txBox="1"/>
      </cdr:nvSpPr>
      <cdr:spPr>
        <a:xfrm xmlns:a="http://schemas.openxmlformats.org/drawingml/2006/main">
          <a:off x="1970626" y="2416405"/>
          <a:ext cx="2527200" cy="292551"/>
        </a:xfrm>
        <a:prstGeom xmlns:a="http://schemas.openxmlformats.org/drawingml/2006/main" prst="roundRect">
          <a:avLst/>
        </a:prstGeom>
        <a:solidFill xmlns:a="http://schemas.openxmlformats.org/drawingml/2006/main">
          <a:srgbClr val="F24F0C"/>
        </a:solidFill>
        <a:effectLst xmlns:a="http://schemas.openxmlformats.org/drawingml/2006/mai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s-MX" sz="1000">
              <a:solidFill>
                <a:schemeClr val="bg1"/>
              </a:solidFill>
              <a:latin typeface="Arial" pitchFamily="34" charset="0"/>
              <a:cs typeface="Arial" pitchFamily="34" charset="0"/>
            </a:rPr>
            <a:t>Apoyo en producción y adquisición: NS</a:t>
          </a:r>
          <a:endParaRPr lang="es-MX" sz="1000" b="1" spc="0" baseline="0">
            <a:solidFill>
              <a:schemeClr val="bg1"/>
            </a:solidFill>
            <a:latin typeface="Arial" pitchFamily="34" charset="0"/>
            <a:cs typeface="Arial" pitchFamily="34" charset="0"/>
          </a:endParaRPr>
        </a:p>
      </cdr:txBody>
    </cdr:sp>
  </cdr:relSizeAnchor>
  <cdr:relSizeAnchor xmlns:cdr="http://schemas.openxmlformats.org/drawingml/2006/chartDrawing">
    <cdr:from>
      <cdr:x>0.43162</cdr:x>
      <cdr:y>0.8446</cdr:y>
    </cdr:from>
    <cdr:to>
      <cdr:x>0.98514</cdr:x>
      <cdr:y>0.9346</cdr:y>
    </cdr:to>
    <cdr:sp macro="" textlink="">
      <cdr:nvSpPr>
        <cdr:cNvPr id="25" name="CuadroTexto 1"/>
        <cdr:cNvSpPr txBox="1"/>
      </cdr:nvSpPr>
      <cdr:spPr>
        <a:xfrm xmlns:a="http://schemas.openxmlformats.org/drawingml/2006/main">
          <a:off x="1970626" y="2745427"/>
          <a:ext cx="2527200" cy="292551"/>
        </a:xfrm>
        <a:prstGeom xmlns:a="http://schemas.openxmlformats.org/drawingml/2006/main" prst="roundRect">
          <a:avLst/>
        </a:prstGeom>
        <a:solidFill xmlns:a="http://schemas.openxmlformats.org/drawingml/2006/main">
          <a:srgbClr val="F24F0C"/>
        </a:solidFill>
        <a:effectLst xmlns:a="http://schemas.openxmlformats.org/drawingml/2006/mai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s-MX" sz="1000" baseline="0">
              <a:solidFill>
                <a:schemeClr val="bg1"/>
              </a:solidFill>
              <a:latin typeface="Arial" pitchFamily="34" charset="0"/>
              <a:cs typeface="Arial" pitchFamily="34" charset="0"/>
            </a:rPr>
            <a:t>Regulación, promoción y fomento: 0.3</a:t>
          </a:r>
          <a:r>
            <a:rPr lang="es-MX" sz="1000" b="1" baseline="0">
              <a:solidFill>
                <a:schemeClr val="bg1"/>
              </a:solidFill>
              <a:latin typeface="Arial" pitchFamily="34" charset="0"/>
              <a:cs typeface="Arial" pitchFamily="34" charset="0"/>
            </a:rPr>
            <a:t>%</a:t>
          </a:r>
          <a:endParaRPr lang="es-MX" sz="1000" b="1">
            <a:solidFill>
              <a:schemeClr val="bg1"/>
            </a:solidFill>
            <a:latin typeface="Arial" pitchFamily="34" charset="0"/>
            <a:cs typeface="Arial" pitchFamily="34" charset="0"/>
          </a:endParaRPr>
        </a:p>
      </cdr:txBody>
    </cdr:sp>
  </cdr:relSizeAnchor>
  <cdr:relSizeAnchor xmlns:cdr="http://schemas.openxmlformats.org/drawingml/2006/chartDrawing">
    <cdr:from>
      <cdr:x>0.43162</cdr:x>
      <cdr:y>0.50515</cdr:y>
    </cdr:from>
    <cdr:to>
      <cdr:x>0.98514</cdr:x>
      <cdr:y>0.56515</cdr:y>
    </cdr:to>
    <cdr:sp macro="" textlink="">
      <cdr:nvSpPr>
        <cdr:cNvPr id="20" name="CuadroTexto 1"/>
        <cdr:cNvSpPr txBox="1"/>
      </cdr:nvSpPr>
      <cdr:spPr>
        <a:xfrm xmlns:a="http://schemas.openxmlformats.org/drawingml/2006/main">
          <a:off x="1970626" y="1642023"/>
          <a:ext cx="2527200" cy="195034"/>
        </a:xfrm>
        <a:prstGeom xmlns:a="http://schemas.openxmlformats.org/drawingml/2006/main" prst="roundRect">
          <a:avLst/>
        </a:prstGeom>
        <a:solidFill xmlns:a="http://schemas.openxmlformats.org/drawingml/2006/main">
          <a:srgbClr val="FC760D"/>
        </a:solidFill>
        <a:effectLst xmlns:a="http://schemas.openxmlformats.org/drawingml/2006/mai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s-MX" sz="1000">
              <a:solidFill>
                <a:schemeClr val="bg1"/>
              </a:solidFill>
              <a:latin typeface="Arial" pitchFamily="34" charset="0"/>
              <a:cs typeface="Arial" pitchFamily="34" charset="0"/>
            </a:rPr>
            <a:t>Alquiler efectivo: 28.3</a:t>
          </a:r>
          <a:r>
            <a:rPr lang="es-MX" sz="1000" b="1" spc="0" baseline="0">
              <a:solidFill>
                <a:schemeClr val="bg1"/>
              </a:solidFill>
              <a:latin typeface="Arial" pitchFamily="34" charset="0"/>
              <a:cs typeface="Arial" pitchFamily="34" charset="0"/>
            </a:rPr>
            <a:t>%</a:t>
          </a:r>
        </a:p>
      </cdr:txBody>
    </cdr:sp>
  </cdr:relSizeAnchor>
</c:userShapes>
</file>

<file path=word/drawings/drawing2.xml><?xml version="1.0" encoding="utf-8"?>
<c:userShapes xmlns:c="http://schemas.openxmlformats.org/drawingml/2006/chart">
  <cdr:relSizeAnchor xmlns:cdr="http://schemas.openxmlformats.org/drawingml/2006/chartDrawing">
    <cdr:from>
      <cdr:x>0.20366</cdr:x>
      <cdr:y>0.76239</cdr:y>
    </cdr:from>
    <cdr:to>
      <cdr:x>0.39489</cdr:x>
      <cdr:y>0.88401</cdr:y>
    </cdr:to>
    <cdr:sp macro="" textlink="">
      <cdr:nvSpPr>
        <cdr:cNvPr id="20" name="CuadroTexto 1"/>
        <cdr:cNvSpPr txBox="1"/>
      </cdr:nvSpPr>
      <cdr:spPr>
        <a:xfrm xmlns:a="http://schemas.openxmlformats.org/drawingml/2006/main">
          <a:off x="1142958" y="1589842"/>
          <a:ext cx="1073192" cy="25361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s-MX" sz="900" b="0">
              <a:latin typeface="Arial" panose="020B0604020202020204" pitchFamily="34" charset="0"/>
              <a:cs typeface="Arial" panose="020B0604020202020204" pitchFamily="34" charset="0"/>
            </a:rPr>
            <a:t>Autoconstrucción</a:t>
          </a:r>
        </a:p>
      </cdr:txBody>
    </cdr:sp>
  </cdr:relSizeAnchor>
  <cdr:relSizeAnchor xmlns:cdr="http://schemas.openxmlformats.org/drawingml/2006/chartDrawing">
    <cdr:from>
      <cdr:x>0.36382</cdr:x>
      <cdr:y>0.76239</cdr:y>
    </cdr:from>
    <cdr:to>
      <cdr:x>0.5615</cdr:x>
      <cdr:y>0.82696</cdr:y>
    </cdr:to>
    <cdr:sp macro="" textlink="">
      <cdr:nvSpPr>
        <cdr:cNvPr id="21" name="CuadroTexto 1"/>
        <cdr:cNvSpPr txBox="1"/>
      </cdr:nvSpPr>
      <cdr:spPr>
        <a:xfrm xmlns:a="http://schemas.openxmlformats.org/drawingml/2006/main">
          <a:off x="2041794" y="1589842"/>
          <a:ext cx="1109406" cy="1346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900" b="0">
              <a:latin typeface="Arial" panose="020B0604020202020204" pitchFamily="34" charset="0"/>
              <a:cs typeface="Arial" panose="020B0604020202020204" pitchFamily="34" charset="0"/>
            </a:rPr>
            <a:t>Autoproducción</a:t>
          </a:r>
        </a:p>
      </cdr:txBody>
    </cdr:sp>
  </cdr:relSizeAnchor>
  <cdr:relSizeAnchor xmlns:cdr="http://schemas.openxmlformats.org/drawingml/2006/chartDrawing">
    <cdr:from>
      <cdr:x>0.70767</cdr:x>
      <cdr:y>0.76239</cdr:y>
    </cdr:from>
    <cdr:to>
      <cdr:x>0.84029</cdr:x>
      <cdr:y>0.85624</cdr:y>
    </cdr:to>
    <cdr:sp macro="" textlink="">
      <cdr:nvSpPr>
        <cdr:cNvPr id="22" name="CuadroTexto 1"/>
        <cdr:cNvSpPr txBox="1"/>
      </cdr:nvSpPr>
      <cdr:spPr>
        <a:xfrm xmlns:a="http://schemas.openxmlformats.org/drawingml/2006/main">
          <a:off x="3971552" y="1589842"/>
          <a:ext cx="744281" cy="19571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900" b="0">
              <a:latin typeface="Arial" panose="020B0604020202020204" pitchFamily="34" charset="0"/>
              <a:cs typeface="Arial" panose="020B0604020202020204" pitchFamily="34" charset="0"/>
            </a:rPr>
            <a:t>Alquiler efectivo</a:t>
          </a:r>
        </a:p>
      </cdr:txBody>
    </cdr:sp>
  </cdr:relSizeAnchor>
  <cdr:relSizeAnchor xmlns:cdr="http://schemas.openxmlformats.org/drawingml/2006/chartDrawing">
    <cdr:from>
      <cdr:x>0.03924</cdr:x>
      <cdr:y>0.76239</cdr:y>
    </cdr:from>
    <cdr:to>
      <cdr:x>0.20565</cdr:x>
      <cdr:y>0.88401</cdr:y>
    </cdr:to>
    <cdr:sp macro="" textlink="">
      <cdr:nvSpPr>
        <cdr:cNvPr id="23" name="CuadroTexto 1"/>
        <cdr:cNvSpPr txBox="1"/>
      </cdr:nvSpPr>
      <cdr:spPr>
        <a:xfrm xmlns:a="http://schemas.openxmlformats.org/drawingml/2006/main">
          <a:off x="220220" y="1589842"/>
          <a:ext cx="933915" cy="25361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900" b="0">
              <a:latin typeface="Arial" panose="020B0604020202020204" pitchFamily="34" charset="0"/>
              <a:cs typeface="Arial" panose="020B0604020202020204" pitchFamily="34" charset="0"/>
            </a:rPr>
            <a:t>Producción de unidades económicas</a:t>
          </a:r>
        </a:p>
      </cdr:txBody>
    </cdr:sp>
  </cdr:relSizeAnchor>
  <cdr:relSizeAnchor xmlns:cdr="http://schemas.openxmlformats.org/drawingml/2006/chartDrawing">
    <cdr:from>
      <cdr:x>0.87564</cdr:x>
      <cdr:y>0.76239</cdr:y>
    </cdr:from>
    <cdr:to>
      <cdr:x>0.97852</cdr:x>
      <cdr:y>0.8292</cdr:y>
    </cdr:to>
    <cdr:sp macro="" textlink="">
      <cdr:nvSpPr>
        <cdr:cNvPr id="25" name="CuadroTexto 1"/>
        <cdr:cNvSpPr txBox="1"/>
      </cdr:nvSpPr>
      <cdr:spPr>
        <a:xfrm xmlns:a="http://schemas.openxmlformats.org/drawingml/2006/main">
          <a:off x="4914206" y="1589842"/>
          <a:ext cx="577375" cy="1393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900" b="0" dirty="0">
              <a:latin typeface="Arial" panose="020B0604020202020204" pitchFamily="34" charset="0"/>
              <a:cs typeface="Arial" panose="020B0604020202020204" pitchFamily="34" charset="0"/>
            </a:rPr>
            <a:t>Otras*</a:t>
          </a:r>
        </a:p>
      </cdr:txBody>
    </cdr:sp>
  </cdr:relSizeAnchor>
  <cdr:relSizeAnchor xmlns:cdr="http://schemas.openxmlformats.org/drawingml/2006/chartDrawing">
    <cdr:from>
      <cdr:x>0.52896</cdr:x>
      <cdr:y>0.76239</cdr:y>
    </cdr:from>
    <cdr:to>
      <cdr:x>0.72664</cdr:x>
      <cdr:y>0.82696</cdr:y>
    </cdr:to>
    <cdr:sp macro="" textlink="">
      <cdr:nvSpPr>
        <cdr:cNvPr id="11" name="CuadroTexto 1">
          <a:extLst xmlns:a="http://schemas.openxmlformats.org/drawingml/2006/main">
            <a:ext uri="{FF2B5EF4-FFF2-40B4-BE49-F238E27FC236}">
              <a16:creationId xmlns:a16="http://schemas.microsoft.com/office/drawing/2014/main" id="{09A528F6-9837-4F8A-A089-1DCAA17B7EA7}"/>
            </a:ext>
          </a:extLst>
        </cdr:cNvPr>
        <cdr:cNvSpPr txBox="1"/>
      </cdr:nvSpPr>
      <cdr:spPr>
        <a:xfrm xmlns:a="http://schemas.openxmlformats.org/drawingml/2006/main">
          <a:off x="2968573" y="1589842"/>
          <a:ext cx="1109406" cy="1346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900" b="0">
              <a:latin typeface="Arial" panose="020B0604020202020204" pitchFamily="34" charset="0"/>
              <a:cs typeface="Arial" panose="020B0604020202020204" pitchFamily="34" charset="0"/>
            </a:rPr>
            <a:t>Servicios inmobiliarios</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1</cdr:x>
      <cdr:y>1</cdr:y>
    </cdr:to>
    <cdr:pic>
      <cdr:nvPicPr>
        <cdr:cNvPr id="3" name="Imagen 2">
          <a:extLst xmlns:a="http://schemas.openxmlformats.org/drawingml/2006/main">
            <a:ext uri="{FF2B5EF4-FFF2-40B4-BE49-F238E27FC236}">
              <a16:creationId xmlns:a16="http://schemas.microsoft.com/office/drawing/2014/main" id="{15C2FA75-3080-48D0-96A2-E17119A576B6}"/>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0800" y="50800"/>
          <a:ext cx="3969811" cy="5407621"/>
        </a:xfrm>
        <a:prstGeom xmlns:a="http://schemas.openxmlformats.org/drawingml/2006/main" prst="rect">
          <a:avLst/>
        </a:prstGeom>
      </cdr:spPr>
    </cdr:pic>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D44B3-D045-46FF-BC02-6038BDBF4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2385</Words>
  <Characters>13119</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Comunicado de Prensa. Cuenta Satélite de Vivienda de México 2020</vt:lpstr>
    </vt:vector>
  </TitlesOfParts>
  <Company/>
  <LinksUpToDate>false</LinksUpToDate>
  <CharactersWithSpaces>15474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Cuenta Satélite de Vivienda de México 2020</dc:title>
  <dc:subject/>
  <dc:creator>INEGI</dc:creator>
  <cp:keywords/>
  <dc:description/>
  <cp:lastModifiedBy>GUILLEN MEDINA MOISES</cp:lastModifiedBy>
  <cp:revision>9</cp:revision>
  <cp:lastPrinted>2020-09-29T00:33:00Z</cp:lastPrinted>
  <dcterms:created xsi:type="dcterms:W3CDTF">2021-12-06T23:11:00Z</dcterms:created>
  <dcterms:modified xsi:type="dcterms:W3CDTF">2021-12-07T02:14:00Z</dcterms:modified>
</cp:coreProperties>
</file>