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drawings/drawing1.xml" ContentType="application/vnd.openxmlformats-officedocument.drawingml.chartshapes+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1.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9C88A" w14:textId="58DFE42F" w:rsidR="00773F93" w:rsidRDefault="00773F93" w:rsidP="00726757">
      <w:pPr>
        <w:spacing w:after="0" w:line="240" w:lineRule="auto"/>
        <w:ind w:left="720" w:hanging="360"/>
        <w:jc w:val="center"/>
        <w:rPr>
          <w:rFonts w:ascii="Arial" w:hAnsi="Arial" w:cs="Arial"/>
          <w:b/>
          <w:bCs/>
          <w:sz w:val="24"/>
          <w:szCs w:val="24"/>
        </w:rPr>
      </w:pPr>
      <w:r w:rsidRPr="00726757">
        <w:rPr>
          <w:rFonts w:ascii="Arial" w:hAnsi="Arial" w:cs="Arial"/>
          <w:b/>
          <w:bCs/>
          <w:sz w:val="24"/>
          <w:szCs w:val="24"/>
        </w:rPr>
        <w:t xml:space="preserve">CENSO NACIONAL DE PROCURACIÓN DE JUSTICIA </w:t>
      </w:r>
    </w:p>
    <w:p w14:paraId="2F87DB82" w14:textId="149CB9E6" w:rsidR="00057EA6" w:rsidRDefault="00773F93" w:rsidP="00726757">
      <w:pPr>
        <w:spacing w:after="0" w:line="240" w:lineRule="auto"/>
        <w:ind w:left="720" w:hanging="360"/>
        <w:jc w:val="center"/>
        <w:rPr>
          <w:rFonts w:ascii="Arial" w:hAnsi="Arial" w:cs="Arial"/>
          <w:b/>
          <w:bCs/>
          <w:sz w:val="24"/>
          <w:szCs w:val="24"/>
        </w:rPr>
      </w:pPr>
      <w:r w:rsidRPr="00726757">
        <w:rPr>
          <w:rFonts w:ascii="Arial" w:hAnsi="Arial" w:cs="Arial"/>
          <w:b/>
          <w:bCs/>
          <w:sz w:val="24"/>
          <w:szCs w:val="24"/>
        </w:rPr>
        <w:t>ESTATAL</w:t>
      </w:r>
      <w:r>
        <w:rPr>
          <w:rFonts w:ascii="Arial" w:hAnsi="Arial" w:cs="Arial"/>
          <w:b/>
          <w:bCs/>
          <w:sz w:val="24"/>
          <w:szCs w:val="24"/>
        </w:rPr>
        <w:t xml:space="preserve"> Y FEDERAL (CNPJE-F)</w:t>
      </w:r>
      <w:r w:rsidRPr="00726757">
        <w:rPr>
          <w:rFonts w:ascii="Arial" w:hAnsi="Arial" w:cs="Arial"/>
          <w:b/>
          <w:bCs/>
          <w:sz w:val="24"/>
          <w:szCs w:val="24"/>
        </w:rPr>
        <w:t xml:space="preserve"> 2022</w:t>
      </w:r>
      <w:r w:rsidR="00AA0523">
        <w:rPr>
          <w:rStyle w:val="Refdenotaalpie"/>
          <w:rFonts w:ascii="Arial" w:hAnsi="Arial" w:cs="Arial"/>
          <w:b/>
          <w:bCs/>
          <w:sz w:val="24"/>
          <w:szCs w:val="24"/>
        </w:rPr>
        <w:footnoteReference w:id="2"/>
      </w:r>
    </w:p>
    <w:p w14:paraId="3A8B88FB" w14:textId="1612E0AD" w:rsidR="00726757" w:rsidRDefault="00726757" w:rsidP="00726757">
      <w:pPr>
        <w:spacing w:after="0" w:line="240" w:lineRule="auto"/>
        <w:ind w:left="720" w:hanging="360"/>
        <w:jc w:val="center"/>
        <w:rPr>
          <w:rFonts w:ascii="Arial" w:hAnsi="Arial" w:cs="Arial"/>
          <w:b/>
          <w:bCs/>
          <w:sz w:val="24"/>
          <w:szCs w:val="24"/>
        </w:rPr>
      </w:pPr>
    </w:p>
    <w:p w14:paraId="7D8CC5F9" w14:textId="39472EFF" w:rsidR="00944815" w:rsidRDefault="00B2722F" w:rsidP="00DF0D6A">
      <w:pPr>
        <w:pStyle w:val="Prrafodelista"/>
        <w:numPr>
          <w:ilvl w:val="0"/>
          <w:numId w:val="37"/>
        </w:numPr>
        <w:ind w:left="850" w:right="730" w:hanging="425"/>
        <w:jc w:val="both"/>
        <w:rPr>
          <w:rFonts w:ascii="Arial" w:hAnsi="Arial" w:cs="Arial"/>
          <w:bCs/>
          <w:sz w:val="24"/>
          <w:szCs w:val="24"/>
        </w:rPr>
      </w:pPr>
      <w:r>
        <w:rPr>
          <w:rFonts w:ascii="Arial" w:hAnsi="Arial" w:cs="Arial"/>
          <w:bCs/>
          <w:sz w:val="24"/>
          <w:szCs w:val="24"/>
        </w:rPr>
        <w:t xml:space="preserve">Al cierre de 2021, se reportaron </w:t>
      </w:r>
      <w:r w:rsidR="00111E48">
        <w:rPr>
          <w:rFonts w:ascii="Arial" w:hAnsi="Arial" w:cs="Arial"/>
          <w:bCs/>
          <w:sz w:val="24"/>
          <w:szCs w:val="24"/>
        </w:rPr>
        <w:t>1 045 personas titulares en las unidades administrativas de la Fiscalía General de la República (FGR) y para las Fiscalías Generales estatales (FGE). De estas, los hombres representaron 65.4 % y las mujeres, 32.5 por ciento.</w:t>
      </w:r>
    </w:p>
    <w:p w14:paraId="5A8F8165" w14:textId="7A698BB1" w:rsidR="00DC77AD" w:rsidRPr="00D1299C" w:rsidRDefault="00C22334" w:rsidP="00DF0D6A">
      <w:pPr>
        <w:pStyle w:val="Prrafodelista"/>
        <w:numPr>
          <w:ilvl w:val="0"/>
          <w:numId w:val="37"/>
        </w:numPr>
        <w:ind w:left="850" w:right="730" w:hanging="425"/>
        <w:jc w:val="both"/>
        <w:rPr>
          <w:rFonts w:ascii="Arial" w:hAnsi="Arial" w:cs="Arial"/>
          <w:bCs/>
          <w:sz w:val="24"/>
          <w:szCs w:val="24"/>
        </w:rPr>
      </w:pPr>
      <w:r w:rsidRPr="00C22334">
        <w:rPr>
          <w:rFonts w:ascii="Arial" w:hAnsi="Arial" w:cs="Arial"/>
          <w:bCs/>
          <w:sz w:val="24"/>
          <w:szCs w:val="24"/>
        </w:rPr>
        <w:t>Durante 2021, se iniciaron y/o abrieron 2 059 798 averiguaciones previas e investigaciones y carpetas de investigación</w:t>
      </w:r>
      <w:r w:rsidR="00773F93">
        <w:rPr>
          <w:rFonts w:ascii="Arial" w:hAnsi="Arial" w:cs="Arial"/>
          <w:bCs/>
          <w:sz w:val="24"/>
          <w:szCs w:val="24"/>
        </w:rPr>
        <w:t xml:space="preserve">: </w:t>
      </w:r>
      <w:r w:rsidRPr="00C22334">
        <w:rPr>
          <w:rFonts w:ascii="Arial" w:hAnsi="Arial" w:cs="Arial"/>
          <w:bCs/>
          <w:sz w:val="24"/>
          <w:szCs w:val="24"/>
        </w:rPr>
        <w:t xml:space="preserve">3.8 % para </w:t>
      </w:r>
      <w:r w:rsidR="00773F93">
        <w:rPr>
          <w:rFonts w:ascii="Arial" w:hAnsi="Arial" w:cs="Arial"/>
          <w:bCs/>
          <w:sz w:val="24"/>
          <w:szCs w:val="24"/>
        </w:rPr>
        <w:t>F</w:t>
      </w:r>
      <w:r w:rsidRPr="00C22334">
        <w:rPr>
          <w:rFonts w:ascii="Arial" w:hAnsi="Arial" w:cs="Arial"/>
          <w:bCs/>
          <w:sz w:val="24"/>
          <w:szCs w:val="24"/>
        </w:rPr>
        <w:t xml:space="preserve">GR y </w:t>
      </w:r>
      <w:r w:rsidR="00773F93" w:rsidRPr="00C22334">
        <w:rPr>
          <w:rFonts w:ascii="Arial" w:hAnsi="Arial" w:cs="Arial"/>
          <w:bCs/>
          <w:sz w:val="24"/>
          <w:szCs w:val="24"/>
        </w:rPr>
        <w:t>96.2 %</w:t>
      </w:r>
      <w:r w:rsidR="00773F93">
        <w:rPr>
          <w:rFonts w:ascii="Arial" w:hAnsi="Arial" w:cs="Arial"/>
          <w:bCs/>
          <w:sz w:val="24"/>
          <w:szCs w:val="24"/>
        </w:rPr>
        <w:t xml:space="preserve"> </w:t>
      </w:r>
      <w:r w:rsidRPr="00C22334">
        <w:rPr>
          <w:rFonts w:ascii="Arial" w:hAnsi="Arial" w:cs="Arial"/>
          <w:bCs/>
          <w:sz w:val="24"/>
          <w:szCs w:val="24"/>
        </w:rPr>
        <w:t>para las FGE. Esta cantidad aumentó 8.5 % respecto a 2020.</w:t>
      </w:r>
    </w:p>
    <w:p w14:paraId="3C7BE28E" w14:textId="7E9D10CE" w:rsidR="00661B2C" w:rsidRPr="000D19A2" w:rsidRDefault="002A1ADD" w:rsidP="00DF0D6A">
      <w:pPr>
        <w:pStyle w:val="Prrafodelista"/>
        <w:numPr>
          <w:ilvl w:val="0"/>
          <w:numId w:val="37"/>
        </w:numPr>
        <w:ind w:left="850" w:right="730" w:hanging="425"/>
        <w:jc w:val="both"/>
        <w:rPr>
          <w:rFonts w:ascii="Arial" w:hAnsi="Arial" w:cs="Arial"/>
          <w:bCs/>
          <w:sz w:val="24"/>
          <w:szCs w:val="24"/>
        </w:rPr>
      </w:pPr>
      <w:r>
        <w:rPr>
          <w:rFonts w:ascii="Arial" w:hAnsi="Arial" w:cs="Arial"/>
          <w:bCs/>
          <w:sz w:val="24"/>
          <w:szCs w:val="24"/>
        </w:rPr>
        <w:t>En</w:t>
      </w:r>
      <w:r w:rsidR="00661B2C" w:rsidRPr="00D1299C">
        <w:rPr>
          <w:rFonts w:ascii="Arial" w:hAnsi="Arial" w:cs="Arial"/>
          <w:bCs/>
          <w:sz w:val="24"/>
          <w:szCs w:val="24"/>
        </w:rPr>
        <w:t xml:space="preserve"> 2021, </w:t>
      </w:r>
      <w:r w:rsidR="00AD4FD8" w:rsidRPr="00C22B9F">
        <w:rPr>
          <w:rFonts w:ascii="Arial" w:hAnsi="Arial" w:cs="Arial"/>
          <w:bCs/>
          <w:sz w:val="24"/>
          <w:szCs w:val="24"/>
        </w:rPr>
        <w:t xml:space="preserve">los órganos o unidades administrativas encargadas de los mecanismos alternativos de solución de controversias de la FGR y las FGE </w:t>
      </w:r>
      <w:r w:rsidR="00661B2C" w:rsidRPr="00D1299C">
        <w:rPr>
          <w:rFonts w:ascii="Arial" w:hAnsi="Arial" w:cs="Arial"/>
          <w:bCs/>
          <w:sz w:val="24"/>
          <w:szCs w:val="24"/>
        </w:rPr>
        <w:t xml:space="preserve">abrieron </w:t>
      </w:r>
      <w:r w:rsidR="00CD1654">
        <w:rPr>
          <w:rFonts w:ascii="Arial" w:hAnsi="Arial" w:cs="Arial"/>
          <w:bCs/>
          <w:sz w:val="24"/>
          <w:szCs w:val="24"/>
        </w:rPr>
        <w:t>271 048</w:t>
      </w:r>
      <w:r w:rsidR="00661B2C" w:rsidRPr="00D1299C">
        <w:rPr>
          <w:rFonts w:ascii="Arial" w:hAnsi="Arial" w:cs="Arial"/>
          <w:bCs/>
          <w:sz w:val="24"/>
          <w:szCs w:val="24"/>
        </w:rPr>
        <w:t xml:space="preserve"> expedientes en materia penal para adultos y justicia para adolescentes. En comparación con 2020, la cantidad total de expedientes abiertos incrementó 1</w:t>
      </w:r>
      <w:r w:rsidR="00CD1654">
        <w:rPr>
          <w:rFonts w:ascii="Arial" w:hAnsi="Arial" w:cs="Arial"/>
          <w:bCs/>
          <w:sz w:val="24"/>
          <w:szCs w:val="24"/>
        </w:rPr>
        <w:t>4</w:t>
      </w:r>
      <w:r w:rsidR="00661B2C" w:rsidRPr="00D1299C">
        <w:rPr>
          <w:rFonts w:ascii="Arial" w:hAnsi="Arial" w:cs="Arial"/>
          <w:bCs/>
          <w:sz w:val="24"/>
          <w:szCs w:val="24"/>
        </w:rPr>
        <w:t>.6 por ciento.</w:t>
      </w:r>
    </w:p>
    <w:p w14:paraId="6D41F801" w14:textId="4328FF35" w:rsidR="00726757" w:rsidRPr="002E766A" w:rsidRDefault="00726757" w:rsidP="00726757">
      <w:pPr>
        <w:spacing w:after="0" w:line="240" w:lineRule="auto"/>
        <w:ind w:left="720" w:hanging="360"/>
        <w:jc w:val="center"/>
        <w:rPr>
          <w:rFonts w:ascii="Arial" w:hAnsi="Arial" w:cs="Arial"/>
          <w:b/>
          <w:bCs/>
          <w:sz w:val="24"/>
          <w:szCs w:val="24"/>
          <w:highlight w:val="lightGray"/>
        </w:rPr>
      </w:pPr>
    </w:p>
    <w:p w14:paraId="6FD270D7" w14:textId="3312005B" w:rsidR="00DF0D6A" w:rsidRDefault="00801CFB" w:rsidP="00DF0D6A">
      <w:pPr>
        <w:spacing w:after="0" w:line="240" w:lineRule="auto"/>
        <w:ind w:right="163"/>
        <w:jc w:val="both"/>
        <w:rPr>
          <w:rFonts w:ascii="Arial" w:hAnsi="Arial" w:cs="Arial"/>
          <w:sz w:val="24"/>
          <w:szCs w:val="24"/>
        </w:rPr>
      </w:pPr>
      <w:r w:rsidRPr="00494793">
        <w:rPr>
          <w:rFonts w:ascii="Arial" w:hAnsi="Arial" w:cs="Arial"/>
          <w:sz w:val="24"/>
          <w:szCs w:val="24"/>
        </w:rPr>
        <w:t xml:space="preserve">El Instituto Nacional de Estadística y Geografía (INEGI) da a conocer los resultados del </w:t>
      </w:r>
      <w:r w:rsidR="00D32831" w:rsidRPr="00494793">
        <w:rPr>
          <w:rFonts w:ascii="Arial" w:hAnsi="Arial" w:cs="Arial"/>
          <w:sz w:val="24"/>
          <w:szCs w:val="24"/>
        </w:rPr>
        <w:t>Censo Nacional de Procuración de Justicia Estatal</w:t>
      </w:r>
      <w:r w:rsidR="00F7769D">
        <w:rPr>
          <w:rFonts w:ascii="Arial" w:hAnsi="Arial" w:cs="Arial"/>
          <w:sz w:val="24"/>
          <w:szCs w:val="24"/>
        </w:rPr>
        <w:t xml:space="preserve"> y </w:t>
      </w:r>
      <w:r w:rsidR="002A1ADD">
        <w:rPr>
          <w:rFonts w:ascii="Arial" w:hAnsi="Arial" w:cs="Arial"/>
          <w:sz w:val="24"/>
          <w:szCs w:val="24"/>
        </w:rPr>
        <w:t xml:space="preserve">del </w:t>
      </w:r>
      <w:r w:rsidR="002A1ADD" w:rsidRPr="00494793">
        <w:rPr>
          <w:rFonts w:ascii="Arial" w:hAnsi="Arial" w:cs="Arial"/>
          <w:sz w:val="24"/>
          <w:szCs w:val="24"/>
        </w:rPr>
        <w:t xml:space="preserve">Censo Nacional de Procuración de Justicia </w:t>
      </w:r>
      <w:r w:rsidR="00F7769D">
        <w:rPr>
          <w:rFonts w:ascii="Arial" w:hAnsi="Arial" w:cs="Arial"/>
          <w:sz w:val="24"/>
          <w:szCs w:val="24"/>
        </w:rPr>
        <w:t>Federal</w:t>
      </w:r>
      <w:r w:rsidR="00D32831" w:rsidRPr="00494793">
        <w:rPr>
          <w:rFonts w:ascii="Arial" w:hAnsi="Arial" w:cs="Arial"/>
          <w:sz w:val="24"/>
          <w:szCs w:val="24"/>
        </w:rPr>
        <w:t xml:space="preserve"> (CNPJ</w:t>
      </w:r>
      <w:r w:rsidR="00F7769D">
        <w:rPr>
          <w:rFonts w:ascii="Arial" w:hAnsi="Arial" w:cs="Arial"/>
          <w:sz w:val="24"/>
          <w:szCs w:val="24"/>
        </w:rPr>
        <w:t>E-</w:t>
      </w:r>
      <w:r w:rsidR="00D32831" w:rsidRPr="00494793">
        <w:rPr>
          <w:rFonts w:ascii="Arial" w:hAnsi="Arial" w:cs="Arial"/>
          <w:sz w:val="24"/>
          <w:szCs w:val="24"/>
        </w:rPr>
        <w:t>F)</w:t>
      </w:r>
      <w:r w:rsidRPr="00494793">
        <w:rPr>
          <w:rFonts w:ascii="Arial" w:hAnsi="Arial" w:cs="Arial"/>
          <w:sz w:val="24"/>
          <w:szCs w:val="24"/>
        </w:rPr>
        <w:t xml:space="preserve"> 2022. Est</w:t>
      </w:r>
      <w:r w:rsidR="00F7769D">
        <w:rPr>
          <w:rFonts w:ascii="Arial" w:hAnsi="Arial" w:cs="Arial"/>
          <w:sz w:val="24"/>
          <w:szCs w:val="24"/>
        </w:rPr>
        <w:t>os programas</w:t>
      </w:r>
      <w:r w:rsidRPr="00494793">
        <w:rPr>
          <w:rFonts w:ascii="Arial" w:hAnsi="Arial" w:cs="Arial"/>
          <w:sz w:val="24"/>
          <w:szCs w:val="24"/>
        </w:rPr>
        <w:t xml:space="preserve"> </w:t>
      </w:r>
      <w:r w:rsidR="00C927E0">
        <w:rPr>
          <w:rFonts w:ascii="Arial" w:hAnsi="Arial" w:cs="Arial"/>
          <w:sz w:val="24"/>
          <w:szCs w:val="24"/>
        </w:rPr>
        <w:t>estadísticos</w:t>
      </w:r>
      <w:r w:rsidR="00CF5CFC">
        <w:rPr>
          <w:rFonts w:ascii="Arial" w:hAnsi="Arial" w:cs="Arial"/>
          <w:sz w:val="24"/>
          <w:szCs w:val="24"/>
        </w:rPr>
        <w:t xml:space="preserve"> ofrecen </w:t>
      </w:r>
      <w:r w:rsidR="00CF1B91">
        <w:rPr>
          <w:rFonts w:ascii="Arial" w:hAnsi="Arial" w:cs="Arial"/>
          <w:sz w:val="24"/>
          <w:szCs w:val="24"/>
        </w:rPr>
        <w:t xml:space="preserve">información </w:t>
      </w:r>
      <w:r w:rsidR="00CF1B91" w:rsidRPr="00494793">
        <w:rPr>
          <w:rFonts w:ascii="Arial" w:hAnsi="Arial" w:cs="Arial"/>
          <w:sz w:val="24"/>
          <w:szCs w:val="24"/>
        </w:rPr>
        <w:t>sobre</w:t>
      </w:r>
      <w:r w:rsidRPr="00494793">
        <w:rPr>
          <w:rFonts w:ascii="Arial" w:hAnsi="Arial" w:cs="Arial"/>
          <w:sz w:val="24"/>
          <w:szCs w:val="24"/>
        </w:rPr>
        <w:t xml:space="preserve"> la gestión y desempeño </w:t>
      </w:r>
      <w:r w:rsidR="00C17C82" w:rsidRPr="00C17C82">
        <w:rPr>
          <w:rFonts w:ascii="Arial" w:hAnsi="Arial" w:cs="Arial"/>
          <w:sz w:val="24"/>
          <w:szCs w:val="24"/>
        </w:rPr>
        <w:t>de la Fiscalía General de la República</w:t>
      </w:r>
      <w:r w:rsidR="00F7769D">
        <w:rPr>
          <w:rFonts w:ascii="Arial" w:hAnsi="Arial" w:cs="Arial"/>
          <w:sz w:val="24"/>
          <w:szCs w:val="24"/>
        </w:rPr>
        <w:t xml:space="preserve"> (FGR)</w:t>
      </w:r>
      <w:r w:rsidR="006F64CE">
        <w:rPr>
          <w:rFonts w:ascii="Arial" w:hAnsi="Arial" w:cs="Arial"/>
          <w:sz w:val="24"/>
          <w:szCs w:val="24"/>
        </w:rPr>
        <w:t xml:space="preserve"> y de la</w:t>
      </w:r>
      <w:r w:rsidR="00F7769D">
        <w:rPr>
          <w:rFonts w:ascii="Arial" w:hAnsi="Arial" w:cs="Arial"/>
          <w:sz w:val="24"/>
          <w:szCs w:val="24"/>
        </w:rPr>
        <w:t>s</w:t>
      </w:r>
      <w:r w:rsidR="006F64CE">
        <w:rPr>
          <w:rFonts w:ascii="Arial" w:hAnsi="Arial" w:cs="Arial"/>
          <w:sz w:val="24"/>
          <w:szCs w:val="24"/>
        </w:rPr>
        <w:t xml:space="preserve"> </w:t>
      </w:r>
      <w:r w:rsidR="006F64CE" w:rsidRPr="006F64CE">
        <w:rPr>
          <w:rFonts w:ascii="Arial" w:hAnsi="Arial" w:cs="Arial"/>
          <w:sz w:val="24"/>
          <w:szCs w:val="24"/>
        </w:rPr>
        <w:t>Procuraduría</w:t>
      </w:r>
      <w:r w:rsidR="00F7769D">
        <w:rPr>
          <w:rFonts w:ascii="Arial" w:hAnsi="Arial" w:cs="Arial"/>
          <w:sz w:val="24"/>
          <w:szCs w:val="24"/>
        </w:rPr>
        <w:t>s</w:t>
      </w:r>
      <w:r w:rsidR="006F64CE" w:rsidRPr="006F64CE">
        <w:rPr>
          <w:rFonts w:ascii="Arial" w:hAnsi="Arial" w:cs="Arial"/>
          <w:sz w:val="24"/>
          <w:szCs w:val="24"/>
        </w:rPr>
        <w:t xml:space="preserve"> General</w:t>
      </w:r>
      <w:r w:rsidR="00F7769D">
        <w:rPr>
          <w:rFonts w:ascii="Arial" w:hAnsi="Arial" w:cs="Arial"/>
          <w:sz w:val="24"/>
          <w:szCs w:val="24"/>
        </w:rPr>
        <w:t>es</w:t>
      </w:r>
      <w:r w:rsidR="006F64CE" w:rsidRPr="006F64CE">
        <w:rPr>
          <w:rFonts w:ascii="Arial" w:hAnsi="Arial" w:cs="Arial"/>
          <w:sz w:val="24"/>
          <w:szCs w:val="24"/>
        </w:rPr>
        <w:t xml:space="preserve"> de Justicia </w:t>
      </w:r>
      <w:r w:rsidR="006F64CE" w:rsidRPr="00A46484">
        <w:rPr>
          <w:rFonts w:ascii="Arial" w:hAnsi="Arial" w:cs="Arial"/>
          <w:sz w:val="24"/>
          <w:szCs w:val="24"/>
        </w:rPr>
        <w:t xml:space="preserve">o </w:t>
      </w:r>
      <w:r w:rsidR="00A46484" w:rsidRPr="00A46484">
        <w:rPr>
          <w:rFonts w:ascii="Arial" w:hAnsi="Arial" w:cs="Arial"/>
          <w:sz w:val="24"/>
          <w:szCs w:val="24"/>
        </w:rPr>
        <w:t>F</w:t>
      </w:r>
      <w:r w:rsidR="00580CD3" w:rsidRPr="00A46484">
        <w:rPr>
          <w:rFonts w:ascii="Arial" w:hAnsi="Arial" w:cs="Arial"/>
          <w:sz w:val="24"/>
          <w:szCs w:val="24"/>
        </w:rPr>
        <w:t>iscalía</w:t>
      </w:r>
      <w:r w:rsidR="00F7769D">
        <w:rPr>
          <w:rFonts w:ascii="Arial" w:hAnsi="Arial" w:cs="Arial"/>
          <w:sz w:val="24"/>
          <w:szCs w:val="24"/>
        </w:rPr>
        <w:t>s</w:t>
      </w:r>
      <w:r w:rsidR="00580CD3" w:rsidRPr="00A46484">
        <w:rPr>
          <w:rFonts w:ascii="Arial" w:hAnsi="Arial" w:cs="Arial"/>
          <w:sz w:val="24"/>
          <w:szCs w:val="24"/>
        </w:rPr>
        <w:t xml:space="preserve"> </w:t>
      </w:r>
      <w:r w:rsidR="00A46484" w:rsidRPr="00A46484">
        <w:rPr>
          <w:rFonts w:ascii="Arial" w:hAnsi="Arial" w:cs="Arial"/>
          <w:sz w:val="24"/>
          <w:szCs w:val="24"/>
        </w:rPr>
        <w:t>G</w:t>
      </w:r>
      <w:r w:rsidR="00580CD3" w:rsidRPr="00A46484">
        <w:rPr>
          <w:rFonts w:ascii="Arial" w:hAnsi="Arial" w:cs="Arial"/>
          <w:sz w:val="24"/>
          <w:szCs w:val="24"/>
        </w:rPr>
        <w:t>e</w:t>
      </w:r>
      <w:r w:rsidR="00580CD3" w:rsidRPr="006F64CE">
        <w:rPr>
          <w:rFonts w:ascii="Arial" w:hAnsi="Arial" w:cs="Arial"/>
          <w:sz w:val="24"/>
          <w:szCs w:val="24"/>
        </w:rPr>
        <w:t>neral</w:t>
      </w:r>
      <w:r w:rsidR="00F7769D">
        <w:rPr>
          <w:rFonts w:ascii="Arial" w:hAnsi="Arial" w:cs="Arial"/>
          <w:sz w:val="24"/>
          <w:szCs w:val="24"/>
        </w:rPr>
        <w:t>es</w:t>
      </w:r>
      <w:r w:rsidR="006F64CE" w:rsidRPr="006F64CE">
        <w:rPr>
          <w:rFonts w:ascii="Arial" w:hAnsi="Arial" w:cs="Arial"/>
          <w:sz w:val="24"/>
          <w:szCs w:val="24"/>
        </w:rPr>
        <w:t xml:space="preserve"> de cada entidad federativa</w:t>
      </w:r>
      <w:r w:rsidR="00F7769D">
        <w:rPr>
          <w:rFonts w:ascii="Arial" w:hAnsi="Arial" w:cs="Arial"/>
          <w:sz w:val="24"/>
          <w:szCs w:val="24"/>
        </w:rPr>
        <w:t xml:space="preserve"> (FGE)</w:t>
      </w:r>
      <w:r w:rsidR="00DF0D6A">
        <w:rPr>
          <w:rFonts w:ascii="Arial" w:hAnsi="Arial" w:cs="Arial"/>
          <w:sz w:val="24"/>
          <w:szCs w:val="24"/>
        </w:rPr>
        <w:t xml:space="preserve">. En específico, se centran en </w:t>
      </w:r>
      <w:r w:rsidR="00C17C82" w:rsidRPr="00C17C82">
        <w:rPr>
          <w:rFonts w:ascii="Arial" w:hAnsi="Arial" w:cs="Arial"/>
          <w:sz w:val="24"/>
          <w:szCs w:val="24"/>
        </w:rPr>
        <w:t>las funciones de gobierno, procuración de justicia</w:t>
      </w:r>
      <w:r w:rsidR="00EF5047">
        <w:rPr>
          <w:rFonts w:ascii="Arial" w:hAnsi="Arial" w:cs="Arial"/>
          <w:sz w:val="24"/>
          <w:szCs w:val="24"/>
        </w:rPr>
        <w:t xml:space="preserve">, </w:t>
      </w:r>
      <w:r w:rsidR="00EF5047" w:rsidRPr="00EF5047">
        <w:rPr>
          <w:rFonts w:ascii="Arial" w:hAnsi="Arial" w:cs="Arial"/>
          <w:sz w:val="24"/>
          <w:szCs w:val="24"/>
        </w:rPr>
        <w:t>justicia para adolescentes</w:t>
      </w:r>
      <w:r w:rsidR="00C17C82" w:rsidRPr="00C17C82">
        <w:rPr>
          <w:rFonts w:ascii="Arial" w:hAnsi="Arial" w:cs="Arial"/>
          <w:sz w:val="24"/>
          <w:szCs w:val="24"/>
        </w:rPr>
        <w:t xml:space="preserve"> y mecanismos alternativos de solución de controversias</w:t>
      </w:r>
      <w:r w:rsidR="00DF0D6A">
        <w:rPr>
          <w:rFonts w:ascii="Arial" w:hAnsi="Arial" w:cs="Arial"/>
          <w:sz w:val="24"/>
          <w:szCs w:val="24"/>
        </w:rPr>
        <w:t>.</w:t>
      </w:r>
      <w:r w:rsidR="002000BC">
        <w:rPr>
          <w:rStyle w:val="Refdenotaalpie"/>
          <w:rFonts w:ascii="Arial" w:hAnsi="Arial" w:cs="Arial"/>
          <w:sz w:val="24"/>
          <w:szCs w:val="24"/>
        </w:rPr>
        <w:footnoteReference w:id="3"/>
      </w:r>
      <w:r w:rsidR="00DF0D6A" w:rsidRPr="00DF0D6A">
        <w:rPr>
          <w:rFonts w:ascii="Arial" w:hAnsi="Arial" w:cs="Arial"/>
          <w:sz w:val="24"/>
          <w:szCs w:val="24"/>
        </w:rPr>
        <w:t xml:space="preserve"> </w:t>
      </w:r>
      <w:r w:rsidR="00DF0D6A">
        <w:rPr>
          <w:rFonts w:ascii="Arial" w:hAnsi="Arial" w:cs="Arial"/>
          <w:sz w:val="24"/>
          <w:szCs w:val="24"/>
        </w:rPr>
        <w:t xml:space="preserve">El objetivo de estos programas </w:t>
      </w:r>
      <w:r w:rsidR="00DF0D6A" w:rsidRPr="004F5137">
        <w:rPr>
          <w:rFonts w:ascii="Arial" w:hAnsi="Arial" w:cs="Arial"/>
          <w:sz w:val="24"/>
          <w:szCs w:val="24"/>
        </w:rPr>
        <w:t xml:space="preserve">es </w:t>
      </w:r>
      <w:r w:rsidR="0077674C">
        <w:rPr>
          <w:rFonts w:ascii="Arial" w:hAnsi="Arial" w:cs="Arial"/>
          <w:sz w:val="24"/>
          <w:szCs w:val="24"/>
        </w:rPr>
        <w:t>producir información estadística en la materia</w:t>
      </w:r>
      <w:r w:rsidR="001236CA">
        <w:rPr>
          <w:rFonts w:ascii="Arial" w:hAnsi="Arial" w:cs="Arial"/>
          <w:sz w:val="24"/>
          <w:szCs w:val="24"/>
        </w:rPr>
        <w:t xml:space="preserve"> de procuración de justicia</w:t>
      </w:r>
      <w:r w:rsidR="000614DF">
        <w:rPr>
          <w:rFonts w:ascii="Arial" w:hAnsi="Arial" w:cs="Arial"/>
          <w:sz w:val="24"/>
          <w:szCs w:val="24"/>
        </w:rPr>
        <w:t xml:space="preserve"> </w:t>
      </w:r>
      <w:r w:rsidR="001236CA">
        <w:rPr>
          <w:rFonts w:ascii="Arial" w:hAnsi="Arial" w:cs="Arial"/>
          <w:sz w:val="24"/>
          <w:szCs w:val="24"/>
        </w:rPr>
        <w:t>para que se vincul</w:t>
      </w:r>
      <w:r w:rsidR="000614DF">
        <w:rPr>
          <w:rFonts w:ascii="Arial" w:hAnsi="Arial" w:cs="Arial"/>
          <w:sz w:val="24"/>
          <w:szCs w:val="24"/>
        </w:rPr>
        <w:t>e</w:t>
      </w:r>
      <w:r w:rsidR="00DF0D6A" w:rsidRPr="004F5137">
        <w:rPr>
          <w:rFonts w:ascii="Arial" w:hAnsi="Arial" w:cs="Arial"/>
          <w:sz w:val="24"/>
          <w:szCs w:val="24"/>
        </w:rPr>
        <w:t xml:space="preserve"> con el quehacer gubernamental dentro del proceso de diseño, implementación, monitoreo y evaluación de las políticas públicas de alcance nacional en los temas referidos.</w:t>
      </w:r>
    </w:p>
    <w:p w14:paraId="3D4ADEFA" w14:textId="1C1D3F94" w:rsidR="00A50D28" w:rsidRDefault="00A50D28" w:rsidP="00801CFB">
      <w:pPr>
        <w:spacing w:after="0" w:line="240" w:lineRule="auto"/>
        <w:ind w:right="163"/>
        <w:jc w:val="both"/>
        <w:rPr>
          <w:rFonts w:ascii="Arial" w:hAnsi="Arial" w:cs="Arial"/>
          <w:sz w:val="24"/>
          <w:szCs w:val="24"/>
        </w:rPr>
      </w:pPr>
    </w:p>
    <w:p w14:paraId="2AB56A06" w14:textId="752F0D84" w:rsidR="00A50D28" w:rsidRPr="00360792" w:rsidRDefault="00E748D7" w:rsidP="00801CFB">
      <w:pPr>
        <w:spacing w:after="0" w:line="240" w:lineRule="auto"/>
        <w:ind w:right="163"/>
        <w:jc w:val="both"/>
        <w:rPr>
          <w:rFonts w:ascii="Arial" w:hAnsi="Arial" w:cs="Arial"/>
          <w:sz w:val="24"/>
          <w:szCs w:val="24"/>
        </w:rPr>
      </w:pPr>
      <w:r>
        <w:rPr>
          <w:rFonts w:ascii="Arial" w:hAnsi="Arial" w:cs="Arial"/>
          <w:sz w:val="24"/>
          <w:szCs w:val="24"/>
        </w:rPr>
        <w:t>Cabe precisar que l</w:t>
      </w:r>
      <w:r w:rsidR="00360792" w:rsidRPr="00360792">
        <w:rPr>
          <w:rFonts w:ascii="Arial" w:hAnsi="Arial" w:cs="Arial"/>
          <w:sz w:val="24"/>
          <w:szCs w:val="24"/>
        </w:rPr>
        <w:t xml:space="preserve">os resultados de la presente edición incluyen información parcial de la Fiscalía General del Estado de San Luis Potosí </w:t>
      </w:r>
      <w:r w:rsidR="00491F5F">
        <w:rPr>
          <w:rFonts w:ascii="Arial" w:hAnsi="Arial" w:cs="Arial"/>
          <w:sz w:val="24"/>
          <w:szCs w:val="24"/>
        </w:rPr>
        <w:t>para los datos correspondientes a</w:t>
      </w:r>
      <w:r w:rsidR="00360792" w:rsidRPr="00360792">
        <w:rPr>
          <w:rFonts w:ascii="Arial" w:hAnsi="Arial" w:cs="Arial"/>
          <w:sz w:val="24"/>
          <w:szCs w:val="24"/>
        </w:rPr>
        <w:t xml:space="preserve"> los temas de personal adscrito, personal que ejerce funciones en las agencias o fiscalías del Ministerio Público y personal del Centro de Denuncia y Atención Ciudadana </w:t>
      </w:r>
      <w:proofErr w:type="spellStart"/>
      <w:r w:rsidR="00360792" w:rsidRPr="00360792">
        <w:rPr>
          <w:rFonts w:ascii="Arial" w:hAnsi="Arial" w:cs="Arial"/>
          <w:sz w:val="24"/>
          <w:szCs w:val="24"/>
        </w:rPr>
        <w:t>u</w:t>
      </w:r>
      <w:proofErr w:type="spellEnd"/>
      <w:r w:rsidR="00360792" w:rsidRPr="00360792">
        <w:rPr>
          <w:rFonts w:ascii="Arial" w:hAnsi="Arial" w:cs="Arial"/>
          <w:sz w:val="24"/>
          <w:szCs w:val="24"/>
        </w:rPr>
        <w:t xml:space="preserve"> homólogo debido a que negó entregar la información por motivos de reserva.</w:t>
      </w:r>
      <w:r w:rsidR="00482875">
        <w:rPr>
          <w:rFonts w:ascii="Arial" w:hAnsi="Arial" w:cs="Arial"/>
          <w:sz w:val="24"/>
          <w:szCs w:val="24"/>
        </w:rPr>
        <w:t xml:space="preserve"> </w:t>
      </w:r>
      <w:r w:rsidR="0081011E">
        <w:rPr>
          <w:rFonts w:ascii="Arial" w:hAnsi="Arial" w:cs="Arial"/>
          <w:sz w:val="24"/>
          <w:szCs w:val="24"/>
        </w:rPr>
        <w:t>Asimismo, la Fiscalía General del Estado de Guanajuato no proporcionó información sobre policías por motivos de reserva.</w:t>
      </w:r>
    </w:p>
    <w:p w14:paraId="16D36CD2" w14:textId="77777777" w:rsidR="00801CFB" w:rsidRPr="00726757" w:rsidRDefault="00801CFB" w:rsidP="00801CFB">
      <w:pPr>
        <w:spacing w:after="0" w:line="240" w:lineRule="auto"/>
        <w:ind w:left="720" w:hanging="360"/>
        <w:jc w:val="both"/>
        <w:rPr>
          <w:rFonts w:ascii="Arial" w:hAnsi="Arial" w:cs="Arial"/>
          <w:b/>
          <w:bCs/>
          <w:sz w:val="24"/>
          <w:szCs w:val="24"/>
        </w:rPr>
      </w:pPr>
    </w:p>
    <w:p w14:paraId="3EB6AAAF" w14:textId="77777777" w:rsidR="007C56FF" w:rsidRDefault="007C56FF" w:rsidP="00B3327E">
      <w:pPr>
        <w:spacing w:before="46" w:after="0" w:line="276" w:lineRule="auto"/>
        <w:ind w:right="601"/>
        <w:jc w:val="both"/>
        <w:rPr>
          <w:rFonts w:ascii="Arial" w:hAnsi="Arial" w:cs="Arial"/>
          <w:b/>
          <w:smallCaps/>
          <w:sz w:val="24"/>
          <w:szCs w:val="24"/>
        </w:rPr>
      </w:pPr>
    </w:p>
    <w:p w14:paraId="3219EBAF" w14:textId="4ED50EE9" w:rsidR="007C56FF" w:rsidRDefault="007C56FF" w:rsidP="00B3327E">
      <w:pPr>
        <w:spacing w:before="46" w:after="0" w:line="276" w:lineRule="auto"/>
        <w:ind w:right="601"/>
        <w:jc w:val="both"/>
        <w:rPr>
          <w:rFonts w:ascii="Arial" w:hAnsi="Arial" w:cs="Arial"/>
          <w:b/>
          <w:smallCaps/>
          <w:sz w:val="24"/>
          <w:szCs w:val="24"/>
        </w:rPr>
      </w:pPr>
    </w:p>
    <w:p w14:paraId="5EA9F2E9" w14:textId="38D8AE8F" w:rsidR="00B07C56" w:rsidRDefault="00B07C56" w:rsidP="00B3327E">
      <w:pPr>
        <w:spacing w:before="46" w:after="0" w:line="276" w:lineRule="auto"/>
        <w:ind w:right="601"/>
        <w:jc w:val="both"/>
        <w:rPr>
          <w:rFonts w:ascii="Arial" w:hAnsi="Arial" w:cs="Arial"/>
          <w:b/>
          <w:smallCaps/>
          <w:sz w:val="24"/>
          <w:szCs w:val="24"/>
        </w:rPr>
      </w:pPr>
    </w:p>
    <w:p w14:paraId="6BAD7C96" w14:textId="77777777" w:rsidR="00B07C56" w:rsidRDefault="00B07C56" w:rsidP="00B3327E">
      <w:pPr>
        <w:spacing w:before="46" w:after="0" w:line="276" w:lineRule="auto"/>
        <w:ind w:right="601"/>
        <w:jc w:val="both"/>
        <w:rPr>
          <w:rFonts w:ascii="Arial" w:hAnsi="Arial" w:cs="Arial"/>
          <w:b/>
          <w:smallCaps/>
          <w:sz w:val="24"/>
          <w:szCs w:val="24"/>
        </w:rPr>
      </w:pPr>
    </w:p>
    <w:p w14:paraId="37F599B2" w14:textId="77777777" w:rsidR="00360792" w:rsidRDefault="00360792" w:rsidP="00B3327E">
      <w:pPr>
        <w:spacing w:before="46" w:after="0" w:line="276" w:lineRule="auto"/>
        <w:ind w:right="601"/>
        <w:jc w:val="both"/>
        <w:rPr>
          <w:rFonts w:ascii="Arial" w:hAnsi="Arial" w:cs="Arial"/>
          <w:b/>
          <w:smallCaps/>
          <w:sz w:val="24"/>
          <w:szCs w:val="24"/>
        </w:rPr>
      </w:pPr>
    </w:p>
    <w:p w14:paraId="47739F0F" w14:textId="19EE3C42" w:rsidR="00B3327E" w:rsidRDefault="00B3327E" w:rsidP="00B3327E">
      <w:pPr>
        <w:spacing w:before="46" w:after="0" w:line="276" w:lineRule="auto"/>
        <w:ind w:right="601"/>
        <w:jc w:val="both"/>
        <w:rPr>
          <w:rFonts w:ascii="Arial" w:hAnsi="Arial" w:cs="Arial"/>
          <w:b/>
          <w:smallCaps/>
          <w:sz w:val="24"/>
          <w:szCs w:val="24"/>
        </w:rPr>
      </w:pPr>
      <w:r w:rsidRPr="00BF58D2">
        <w:rPr>
          <w:rFonts w:ascii="Arial" w:hAnsi="Arial" w:cs="Arial"/>
          <w:b/>
          <w:smallCaps/>
          <w:sz w:val="24"/>
          <w:szCs w:val="24"/>
        </w:rPr>
        <w:t>Principales resultados</w:t>
      </w:r>
    </w:p>
    <w:p w14:paraId="4F4FE792" w14:textId="27BFD75D" w:rsidR="00B3327E" w:rsidRDefault="00B3327E" w:rsidP="002E766A">
      <w:pPr>
        <w:spacing w:before="46" w:after="0" w:line="276" w:lineRule="auto"/>
        <w:ind w:right="601"/>
        <w:jc w:val="both"/>
      </w:pPr>
    </w:p>
    <w:p w14:paraId="41EB16ED" w14:textId="6C57B12B" w:rsidR="00BC36F5" w:rsidRPr="001C540D" w:rsidRDefault="00293480" w:rsidP="00283A89">
      <w:pPr>
        <w:pStyle w:val="Prrafodelista"/>
        <w:numPr>
          <w:ilvl w:val="0"/>
          <w:numId w:val="30"/>
        </w:numPr>
        <w:spacing w:after="0" w:line="240" w:lineRule="auto"/>
        <w:jc w:val="both"/>
        <w:rPr>
          <w:rFonts w:ascii="Arial Negrita" w:hAnsi="Arial Negrita" w:cs="Arial"/>
          <w:b/>
          <w:bCs/>
          <w:sz w:val="24"/>
          <w:szCs w:val="24"/>
        </w:rPr>
      </w:pPr>
      <w:r w:rsidRPr="001C540D">
        <w:rPr>
          <w:rFonts w:ascii="Arial Negrita" w:hAnsi="Arial Negrita" w:cs="Arial"/>
          <w:b/>
          <w:bCs/>
          <w:sz w:val="24"/>
          <w:szCs w:val="24"/>
        </w:rPr>
        <w:t>Estructura organizacional y recursos</w:t>
      </w:r>
    </w:p>
    <w:p w14:paraId="79E3A837" w14:textId="77777777" w:rsidR="005F6839" w:rsidRDefault="005F6839" w:rsidP="005F6839">
      <w:pPr>
        <w:pStyle w:val="Default"/>
        <w:jc w:val="both"/>
        <w:rPr>
          <w:color w:val="auto"/>
        </w:rPr>
      </w:pPr>
      <w:bookmarkStart w:id="1" w:name="_Hlk85032137"/>
    </w:p>
    <w:p w14:paraId="0AF43F40" w14:textId="78FA5C05" w:rsidR="005F6839" w:rsidRDefault="005F6839" w:rsidP="00C074F2">
      <w:pPr>
        <w:pStyle w:val="Default"/>
        <w:jc w:val="both"/>
        <w:rPr>
          <w:color w:val="auto"/>
        </w:rPr>
      </w:pPr>
      <w:r>
        <w:rPr>
          <w:color w:val="auto"/>
        </w:rPr>
        <w:t xml:space="preserve">Al cierre de 2021, se reportaron </w:t>
      </w:r>
      <w:bookmarkEnd w:id="1"/>
      <w:r w:rsidRPr="002D00F3">
        <w:rPr>
          <w:color w:val="auto"/>
        </w:rPr>
        <w:t>61 unidades administrativas de la FGR y 1 105 unidades administrativas en las</w:t>
      </w:r>
      <w:r w:rsidR="002A1ADD">
        <w:rPr>
          <w:color w:val="auto"/>
        </w:rPr>
        <w:t xml:space="preserve"> </w:t>
      </w:r>
      <w:r w:rsidRPr="002D00F3">
        <w:rPr>
          <w:color w:val="auto"/>
        </w:rPr>
        <w:t>FGE. Estas cifras representa</w:t>
      </w:r>
      <w:r w:rsidR="00001AA4">
        <w:rPr>
          <w:color w:val="auto"/>
        </w:rPr>
        <w:t>ro</w:t>
      </w:r>
      <w:r w:rsidRPr="002D00F3">
        <w:rPr>
          <w:color w:val="auto"/>
        </w:rPr>
        <w:t>n una disminución de 6.2 y 5.5 %, respectivamente</w:t>
      </w:r>
      <w:r w:rsidR="00D0351C">
        <w:rPr>
          <w:color w:val="auto"/>
        </w:rPr>
        <w:t>,</w:t>
      </w:r>
      <w:r w:rsidRPr="002D00F3">
        <w:rPr>
          <w:color w:val="auto"/>
        </w:rPr>
        <w:t xml:space="preserve"> en comparación con 2020.</w:t>
      </w:r>
    </w:p>
    <w:p w14:paraId="638861B0" w14:textId="0D6BC55B" w:rsidR="00BC36F5" w:rsidRDefault="00BC36F5" w:rsidP="00BC36F5">
      <w:pPr>
        <w:spacing w:after="0" w:line="240" w:lineRule="auto"/>
        <w:jc w:val="both"/>
        <w:rPr>
          <w:rFonts w:ascii="Arial Negrita" w:hAnsi="Arial Negrita" w:cs="Arial"/>
          <w:b/>
          <w:bCs/>
          <w:smallCaps/>
          <w:sz w:val="24"/>
          <w:szCs w:val="24"/>
        </w:rPr>
      </w:pPr>
    </w:p>
    <w:p w14:paraId="137BF7D8" w14:textId="77777777" w:rsidR="00452F54" w:rsidRPr="002D00F3" w:rsidRDefault="00452F54" w:rsidP="00452F54">
      <w:pPr>
        <w:pStyle w:val="Default"/>
        <w:jc w:val="center"/>
        <w:rPr>
          <w:color w:val="auto"/>
          <w:sz w:val="20"/>
          <w:szCs w:val="20"/>
        </w:rPr>
      </w:pPr>
      <w:r w:rsidRPr="002D00F3">
        <w:rPr>
          <w:color w:val="auto"/>
          <w:sz w:val="20"/>
          <w:szCs w:val="20"/>
        </w:rPr>
        <w:t xml:space="preserve">Gráfica 1 </w:t>
      </w:r>
    </w:p>
    <w:p w14:paraId="15DFC707" w14:textId="32CE2A3D" w:rsidR="00452F54" w:rsidRDefault="00452F54" w:rsidP="00452F54">
      <w:pPr>
        <w:pStyle w:val="Default"/>
        <w:ind w:left="-567"/>
        <w:jc w:val="center"/>
        <w:rPr>
          <w:b/>
          <w:bCs/>
          <w:iCs/>
          <w:smallCaps/>
          <w:color w:val="000000" w:themeColor="text1"/>
          <w:sz w:val="22"/>
          <w:szCs w:val="22"/>
        </w:rPr>
      </w:pPr>
      <w:r w:rsidRPr="002D00F3">
        <w:rPr>
          <w:b/>
          <w:bCs/>
          <w:iCs/>
          <w:smallCaps/>
          <w:color w:val="000000" w:themeColor="text1"/>
          <w:sz w:val="22"/>
          <w:szCs w:val="22"/>
        </w:rPr>
        <w:t>Unidades administrativas</w:t>
      </w:r>
    </w:p>
    <w:p w14:paraId="0A2D1E35" w14:textId="7FEC8D93" w:rsidR="0037778E" w:rsidRDefault="0037778E" w:rsidP="00452F54">
      <w:pPr>
        <w:pStyle w:val="Default"/>
        <w:ind w:left="-567"/>
        <w:jc w:val="center"/>
        <w:rPr>
          <w:b/>
          <w:bCs/>
          <w:iCs/>
          <w:smallCaps/>
          <w:color w:val="000000" w:themeColor="text1"/>
          <w:sz w:val="22"/>
          <w:szCs w:val="22"/>
        </w:rPr>
      </w:pPr>
    </w:p>
    <w:p w14:paraId="310034B1" w14:textId="2AD93E77" w:rsidR="0037778E" w:rsidRDefault="0037778E" w:rsidP="00452F54">
      <w:pPr>
        <w:pStyle w:val="Default"/>
        <w:ind w:left="-567"/>
        <w:jc w:val="center"/>
        <w:rPr>
          <w:b/>
          <w:bCs/>
          <w:iCs/>
          <w:smallCaps/>
          <w:color w:val="000000" w:themeColor="text1"/>
          <w:sz w:val="22"/>
          <w:szCs w:val="22"/>
        </w:rPr>
      </w:pPr>
      <w:r>
        <w:rPr>
          <w:noProof/>
        </w:rPr>
        <w:drawing>
          <wp:inline distT="0" distB="0" distL="0" distR="0" wp14:anchorId="49DF487A" wp14:editId="02CD652A">
            <wp:extent cx="5037455" cy="2156460"/>
            <wp:effectExtent l="0" t="0" r="0" b="0"/>
            <wp:docPr id="13" name="Gráfico 13">
              <a:extLst xmlns:a="http://schemas.openxmlformats.org/drawingml/2006/main">
                <a:ext uri="{FF2B5EF4-FFF2-40B4-BE49-F238E27FC236}">
                  <a16:creationId xmlns:a16="http://schemas.microsoft.com/office/drawing/2014/main" id="{ACF154FA-E5F6-4ABD-A631-7A4A4078C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62E92E" w14:textId="77777777" w:rsidR="007F05A0" w:rsidRDefault="007F05A0" w:rsidP="00CF7B02">
      <w:pPr>
        <w:pStyle w:val="Default"/>
        <w:jc w:val="both"/>
        <w:rPr>
          <w:sz w:val="16"/>
          <w:szCs w:val="16"/>
        </w:rPr>
      </w:pPr>
    </w:p>
    <w:p w14:paraId="3BA2F0F5" w14:textId="09AE00D7" w:rsidR="0037778E" w:rsidRDefault="006C380C" w:rsidP="00CF7B02">
      <w:pPr>
        <w:pStyle w:val="Default"/>
        <w:jc w:val="both"/>
        <w:rPr>
          <w:b/>
          <w:bCs/>
          <w:iCs/>
          <w:smallCaps/>
          <w:color w:val="000000" w:themeColor="text1"/>
          <w:sz w:val="22"/>
          <w:szCs w:val="22"/>
        </w:rPr>
      </w:pPr>
      <w:r>
        <w:rPr>
          <w:sz w:val="16"/>
          <w:szCs w:val="16"/>
        </w:rPr>
        <w:t xml:space="preserve">Nota: </w:t>
      </w:r>
      <w:r w:rsidR="00CF7B02" w:rsidRPr="004D2144">
        <w:rPr>
          <w:sz w:val="16"/>
          <w:szCs w:val="16"/>
        </w:rPr>
        <w:t>El Censo Nacional de Procuración de Justicia Federal comenzó a captarse en 2014 (información 2013), por lo que no se incluyen cifras para periodos anteriores</w:t>
      </w:r>
      <w:r w:rsidR="00CF7B02">
        <w:rPr>
          <w:sz w:val="16"/>
          <w:szCs w:val="16"/>
        </w:rPr>
        <w:t>.</w:t>
      </w:r>
    </w:p>
    <w:p w14:paraId="1D86BC17" w14:textId="77777777" w:rsidR="00C074F2" w:rsidRDefault="00C074F2" w:rsidP="0037778E">
      <w:pPr>
        <w:pStyle w:val="Default"/>
        <w:ind w:left="-567"/>
        <w:jc w:val="both"/>
        <w:rPr>
          <w:color w:val="auto"/>
        </w:rPr>
      </w:pPr>
    </w:p>
    <w:p w14:paraId="411AEA2E" w14:textId="77777777" w:rsidR="00C074F2" w:rsidRDefault="00C074F2" w:rsidP="0037778E">
      <w:pPr>
        <w:pStyle w:val="Default"/>
        <w:ind w:left="-567"/>
        <w:jc w:val="both"/>
        <w:rPr>
          <w:color w:val="auto"/>
        </w:rPr>
      </w:pPr>
    </w:p>
    <w:p w14:paraId="72F28C8E" w14:textId="77777777" w:rsidR="00C074F2" w:rsidRDefault="00C074F2" w:rsidP="0037778E">
      <w:pPr>
        <w:pStyle w:val="Default"/>
        <w:ind w:left="-567"/>
        <w:jc w:val="both"/>
        <w:rPr>
          <w:color w:val="auto"/>
        </w:rPr>
      </w:pPr>
    </w:p>
    <w:p w14:paraId="515F8070" w14:textId="77777777" w:rsidR="00C074F2" w:rsidRDefault="00C074F2" w:rsidP="0037778E">
      <w:pPr>
        <w:pStyle w:val="Default"/>
        <w:ind w:left="-567"/>
        <w:jc w:val="both"/>
        <w:rPr>
          <w:color w:val="auto"/>
        </w:rPr>
      </w:pPr>
    </w:p>
    <w:p w14:paraId="434965BD" w14:textId="77777777" w:rsidR="00C074F2" w:rsidRDefault="00C074F2" w:rsidP="0037778E">
      <w:pPr>
        <w:pStyle w:val="Default"/>
        <w:ind w:left="-567"/>
        <w:jc w:val="both"/>
        <w:rPr>
          <w:color w:val="auto"/>
        </w:rPr>
      </w:pPr>
    </w:p>
    <w:p w14:paraId="727B43F1" w14:textId="77777777" w:rsidR="00C074F2" w:rsidRDefault="00C074F2" w:rsidP="0037778E">
      <w:pPr>
        <w:pStyle w:val="Default"/>
        <w:ind w:left="-567"/>
        <w:jc w:val="both"/>
        <w:rPr>
          <w:color w:val="auto"/>
        </w:rPr>
      </w:pPr>
    </w:p>
    <w:p w14:paraId="221B9513" w14:textId="77777777" w:rsidR="00C074F2" w:rsidRDefault="00C074F2" w:rsidP="0037778E">
      <w:pPr>
        <w:pStyle w:val="Default"/>
        <w:ind w:left="-567"/>
        <w:jc w:val="both"/>
        <w:rPr>
          <w:color w:val="auto"/>
        </w:rPr>
      </w:pPr>
    </w:p>
    <w:p w14:paraId="124884D7" w14:textId="77777777" w:rsidR="00C074F2" w:rsidRDefault="00C074F2" w:rsidP="0037778E">
      <w:pPr>
        <w:pStyle w:val="Default"/>
        <w:ind w:left="-567"/>
        <w:jc w:val="both"/>
        <w:rPr>
          <w:color w:val="auto"/>
        </w:rPr>
      </w:pPr>
    </w:p>
    <w:p w14:paraId="0513704E" w14:textId="77777777" w:rsidR="00C074F2" w:rsidRDefault="00C074F2" w:rsidP="0037778E">
      <w:pPr>
        <w:pStyle w:val="Default"/>
        <w:ind w:left="-567"/>
        <w:jc w:val="both"/>
        <w:rPr>
          <w:color w:val="auto"/>
        </w:rPr>
      </w:pPr>
    </w:p>
    <w:p w14:paraId="78EEECBE" w14:textId="77777777" w:rsidR="00C074F2" w:rsidRDefault="00C074F2" w:rsidP="0037778E">
      <w:pPr>
        <w:pStyle w:val="Default"/>
        <w:ind w:left="-567"/>
        <w:jc w:val="both"/>
        <w:rPr>
          <w:color w:val="auto"/>
        </w:rPr>
      </w:pPr>
    </w:p>
    <w:p w14:paraId="090A509F" w14:textId="77777777" w:rsidR="00C074F2" w:rsidRDefault="00C074F2" w:rsidP="0037778E">
      <w:pPr>
        <w:pStyle w:val="Default"/>
        <w:ind w:left="-567"/>
        <w:jc w:val="both"/>
        <w:rPr>
          <w:color w:val="auto"/>
        </w:rPr>
      </w:pPr>
    </w:p>
    <w:p w14:paraId="4B11EAE0" w14:textId="77777777" w:rsidR="00C074F2" w:rsidRDefault="00C074F2" w:rsidP="0037778E">
      <w:pPr>
        <w:pStyle w:val="Default"/>
        <w:ind w:left="-567"/>
        <w:jc w:val="both"/>
        <w:rPr>
          <w:color w:val="auto"/>
        </w:rPr>
      </w:pPr>
    </w:p>
    <w:p w14:paraId="1EE8F131" w14:textId="77777777" w:rsidR="00C074F2" w:rsidRDefault="00C074F2" w:rsidP="0037778E">
      <w:pPr>
        <w:pStyle w:val="Default"/>
        <w:ind w:left="-567"/>
        <w:jc w:val="both"/>
        <w:rPr>
          <w:color w:val="auto"/>
        </w:rPr>
      </w:pPr>
    </w:p>
    <w:p w14:paraId="7946A84A" w14:textId="77777777" w:rsidR="00C074F2" w:rsidRDefault="00C074F2" w:rsidP="0037778E">
      <w:pPr>
        <w:pStyle w:val="Default"/>
        <w:ind w:left="-567"/>
        <w:jc w:val="both"/>
        <w:rPr>
          <w:color w:val="auto"/>
        </w:rPr>
      </w:pPr>
    </w:p>
    <w:p w14:paraId="3EF6352C" w14:textId="39806E3E" w:rsidR="00C074F2" w:rsidRDefault="00C074F2" w:rsidP="0037778E">
      <w:pPr>
        <w:pStyle w:val="Default"/>
        <w:ind w:left="-567"/>
        <w:jc w:val="both"/>
        <w:rPr>
          <w:color w:val="auto"/>
        </w:rPr>
      </w:pPr>
    </w:p>
    <w:p w14:paraId="0F121BA4" w14:textId="44BB1142" w:rsidR="00CF7B02" w:rsidRDefault="00CF7B02" w:rsidP="0037778E">
      <w:pPr>
        <w:pStyle w:val="Default"/>
        <w:ind w:left="-567"/>
        <w:jc w:val="both"/>
        <w:rPr>
          <w:color w:val="auto"/>
        </w:rPr>
      </w:pPr>
    </w:p>
    <w:p w14:paraId="5791F109" w14:textId="14D8BADE" w:rsidR="00CF7B02" w:rsidRDefault="00CF7B02" w:rsidP="0037778E">
      <w:pPr>
        <w:pStyle w:val="Default"/>
        <w:ind w:left="-567"/>
        <w:jc w:val="both"/>
        <w:rPr>
          <w:color w:val="auto"/>
        </w:rPr>
      </w:pPr>
    </w:p>
    <w:p w14:paraId="59858CE5" w14:textId="77777777" w:rsidR="00CF7B02" w:rsidRDefault="00CF7B02" w:rsidP="0037778E">
      <w:pPr>
        <w:pStyle w:val="Default"/>
        <w:ind w:left="-567"/>
        <w:jc w:val="both"/>
        <w:rPr>
          <w:color w:val="auto"/>
        </w:rPr>
      </w:pPr>
    </w:p>
    <w:p w14:paraId="1444F0E3" w14:textId="77777777" w:rsidR="00C074F2" w:rsidRDefault="00C074F2" w:rsidP="0037778E">
      <w:pPr>
        <w:pStyle w:val="Default"/>
        <w:ind w:left="-567"/>
        <w:jc w:val="both"/>
        <w:rPr>
          <w:color w:val="auto"/>
        </w:rPr>
      </w:pPr>
    </w:p>
    <w:p w14:paraId="4A7B7086" w14:textId="77777777" w:rsidR="00C074F2" w:rsidRDefault="00C074F2" w:rsidP="0037778E">
      <w:pPr>
        <w:pStyle w:val="Default"/>
        <w:ind w:left="-567"/>
        <w:jc w:val="both"/>
        <w:rPr>
          <w:color w:val="auto"/>
        </w:rPr>
      </w:pPr>
    </w:p>
    <w:p w14:paraId="06876651" w14:textId="25A1C4BA" w:rsidR="0037778E" w:rsidRDefault="0037778E" w:rsidP="00E86A0C">
      <w:pPr>
        <w:pStyle w:val="Default"/>
        <w:jc w:val="both"/>
        <w:rPr>
          <w:color w:val="auto"/>
        </w:rPr>
      </w:pPr>
      <w:r w:rsidRPr="004C6BE8">
        <w:rPr>
          <w:color w:val="auto"/>
        </w:rPr>
        <w:lastRenderedPageBreak/>
        <w:t>En la FGR</w:t>
      </w:r>
      <w:r w:rsidR="00D0351C">
        <w:rPr>
          <w:color w:val="auto"/>
        </w:rPr>
        <w:t>,</w:t>
      </w:r>
      <w:r w:rsidRPr="004C6BE8">
        <w:rPr>
          <w:color w:val="auto"/>
        </w:rPr>
        <w:t xml:space="preserve"> la función principal </w:t>
      </w:r>
      <w:r w:rsidR="00FC0B03">
        <w:rPr>
          <w:color w:val="auto"/>
        </w:rPr>
        <w:t xml:space="preserve">que ejercieron </w:t>
      </w:r>
      <w:r w:rsidRPr="004C6BE8">
        <w:rPr>
          <w:color w:val="auto"/>
        </w:rPr>
        <w:t xml:space="preserve">las unidades administrativas fue </w:t>
      </w:r>
      <w:r w:rsidRPr="00CC5EC1">
        <w:rPr>
          <w:i/>
          <w:iCs/>
          <w:color w:val="auto"/>
        </w:rPr>
        <w:t xml:space="preserve">Policía Federal Ministerial y Asuntos </w:t>
      </w:r>
      <w:r w:rsidR="00D85A51">
        <w:rPr>
          <w:i/>
          <w:iCs/>
          <w:color w:val="auto"/>
        </w:rPr>
        <w:t>j</w:t>
      </w:r>
      <w:r w:rsidRPr="00CC5EC1">
        <w:rPr>
          <w:i/>
          <w:iCs/>
          <w:color w:val="auto"/>
        </w:rPr>
        <w:t>urídicos</w:t>
      </w:r>
      <w:r w:rsidRPr="004C6BE8">
        <w:rPr>
          <w:color w:val="auto"/>
        </w:rPr>
        <w:t xml:space="preserve">, </w:t>
      </w:r>
      <w:r w:rsidR="00FC0B03">
        <w:rPr>
          <w:color w:val="auto"/>
        </w:rPr>
        <w:t xml:space="preserve">que </w:t>
      </w:r>
      <w:r w:rsidRPr="004C6BE8">
        <w:rPr>
          <w:color w:val="auto"/>
        </w:rPr>
        <w:t>represent</w:t>
      </w:r>
      <w:r w:rsidR="00D24358">
        <w:rPr>
          <w:color w:val="auto"/>
        </w:rPr>
        <w:t>ó</w:t>
      </w:r>
      <w:r w:rsidRPr="004C6BE8">
        <w:rPr>
          <w:color w:val="auto"/>
        </w:rPr>
        <w:t xml:space="preserve"> 13.1 </w:t>
      </w:r>
      <w:r w:rsidR="002C70D6">
        <w:rPr>
          <w:color w:val="auto"/>
        </w:rPr>
        <w:t>%</w:t>
      </w:r>
      <w:r w:rsidR="00D24358">
        <w:rPr>
          <w:color w:val="auto"/>
        </w:rPr>
        <w:t>.</w:t>
      </w:r>
      <w:r w:rsidRPr="004C6BE8">
        <w:rPr>
          <w:color w:val="auto"/>
        </w:rPr>
        <w:t xml:space="preserve"> </w:t>
      </w:r>
      <w:r w:rsidR="00D24358">
        <w:rPr>
          <w:color w:val="auto"/>
        </w:rPr>
        <w:t>E</w:t>
      </w:r>
      <w:r w:rsidRPr="004C6BE8">
        <w:rPr>
          <w:color w:val="auto"/>
        </w:rPr>
        <w:t>n las FGE, la principal</w:t>
      </w:r>
      <w:r w:rsidR="00F7769D">
        <w:rPr>
          <w:color w:val="auto"/>
        </w:rPr>
        <w:t xml:space="preserve"> función</w:t>
      </w:r>
      <w:r w:rsidRPr="004C6BE8">
        <w:rPr>
          <w:color w:val="auto"/>
        </w:rPr>
        <w:t xml:space="preserve"> fue </w:t>
      </w:r>
      <w:r w:rsidRPr="00CC5EC1">
        <w:rPr>
          <w:i/>
          <w:iCs/>
          <w:color w:val="auto"/>
        </w:rPr>
        <w:t>Investigación, análisis criminal y/o inteligencia</w:t>
      </w:r>
      <w:r w:rsidR="00FC0B03">
        <w:rPr>
          <w:color w:val="auto"/>
        </w:rPr>
        <w:t>,</w:t>
      </w:r>
      <w:r w:rsidRPr="004C6BE8">
        <w:rPr>
          <w:color w:val="auto"/>
        </w:rPr>
        <w:t xml:space="preserve"> que correspondió a 9.9 por ciento</w:t>
      </w:r>
      <w:r w:rsidRPr="00C074F2">
        <w:rPr>
          <w:color w:val="auto"/>
        </w:rPr>
        <w:t>.</w:t>
      </w:r>
    </w:p>
    <w:p w14:paraId="32E42EC3" w14:textId="76E2BFE9" w:rsidR="00E86A0C" w:rsidRDefault="00E86A0C" w:rsidP="00E86A0C">
      <w:pPr>
        <w:pStyle w:val="Default"/>
        <w:jc w:val="both"/>
        <w:rPr>
          <w:color w:val="auto"/>
        </w:rPr>
      </w:pPr>
    </w:p>
    <w:p w14:paraId="55B02E5B" w14:textId="77777777" w:rsidR="00E86A0C" w:rsidRPr="002D00F3" w:rsidRDefault="00E86A0C" w:rsidP="00E86A0C">
      <w:pPr>
        <w:pStyle w:val="Default"/>
        <w:jc w:val="center"/>
        <w:rPr>
          <w:color w:val="auto"/>
          <w:sz w:val="20"/>
          <w:szCs w:val="20"/>
        </w:rPr>
      </w:pPr>
      <w:r w:rsidRPr="002D00F3">
        <w:rPr>
          <w:color w:val="auto"/>
          <w:sz w:val="20"/>
          <w:szCs w:val="20"/>
        </w:rPr>
        <w:t xml:space="preserve">Gráfica </w:t>
      </w:r>
      <w:r>
        <w:rPr>
          <w:color w:val="auto"/>
          <w:sz w:val="20"/>
          <w:szCs w:val="20"/>
        </w:rPr>
        <w:t>2</w:t>
      </w:r>
      <w:r w:rsidRPr="002D00F3">
        <w:rPr>
          <w:color w:val="auto"/>
          <w:sz w:val="20"/>
          <w:szCs w:val="20"/>
        </w:rPr>
        <w:t xml:space="preserve"> </w:t>
      </w:r>
    </w:p>
    <w:p w14:paraId="62EF4F38" w14:textId="1BBB665A" w:rsidR="00E86A0C" w:rsidRDefault="00E86A0C" w:rsidP="00E86A0C">
      <w:pPr>
        <w:pStyle w:val="Default"/>
        <w:ind w:left="-567"/>
        <w:jc w:val="center"/>
        <w:rPr>
          <w:b/>
          <w:bCs/>
          <w:iCs/>
          <w:smallCaps/>
          <w:color w:val="000000" w:themeColor="text1"/>
          <w:sz w:val="22"/>
          <w:szCs w:val="22"/>
        </w:rPr>
      </w:pPr>
      <w:r w:rsidRPr="00286044">
        <w:rPr>
          <w:b/>
          <w:bCs/>
          <w:iCs/>
          <w:smallCaps/>
          <w:color w:val="000000" w:themeColor="text1"/>
          <w:sz w:val="22"/>
          <w:szCs w:val="22"/>
        </w:rPr>
        <w:t>Unidades administrativas de la FGR, 2021</w:t>
      </w:r>
    </w:p>
    <w:p w14:paraId="7F5255B2" w14:textId="77777777" w:rsidR="008C415F" w:rsidRDefault="008C415F" w:rsidP="00E86A0C">
      <w:pPr>
        <w:pStyle w:val="Default"/>
        <w:ind w:left="-567"/>
        <w:jc w:val="center"/>
        <w:rPr>
          <w:b/>
          <w:i/>
          <w:color w:val="877A67"/>
          <w:sz w:val="20"/>
        </w:rPr>
      </w:pPr>
    </w:p>
    <w:p w14:paraId="11BF0258" w14:textId="350B6599" w:rsidR="00E86A0C" w:rsidRDefault="008C415F" w:rsidP="008C415F">
      <w:pPr>
        <w:pStyle w:val="Default"/>
        <w:ind w:left="-567"/>
        <w:jc w:val="center"/>
        <w:rPr>
          <w:b/>
          <w:i/>
          <w:color w:val="877A67"/>
          <w:sz w:val="20"/>
        </w:rPr>
      </w:pPr>
      <w:r>
        <w:rPr>
          <w:noProof/>
        </w:rPr>
        <w:drawing>
          <wp:inline distT="0" distB="0" distL="0" distR="0" wp14:anchorId="1145816A" wp14:editId="115BB521">
            <wp:extent cx="6407785" cy="5865963"/>
            <wp:effectExtent l="0" t="0" r="0" b="1905"/>
            <wp:docPr id="42" name="Gráfico 42">
              <a:extLst xmlns:a="http://schemas.openxmlformats.org/drawingml/2006/main">
                <a:ext uri="{FF2B5EF4-FFF2-40B4-BE49-F238E27FC236}">
                  <a16:creationId xmlns:a16="http://schemas.microsoft.com/office/drawing/2014/main" id="{38DD292B-1161-4101-8E80-D22032BCD4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E93C03" w14:textId="77777777" w:rsidR="00E86A0C" w:rsidRPr="00C074F2" w:rsidRDefault="00E86A0C" w:rsidP="00E86A0C">
      <w:pPr>
        <w:pStyle w:val="Default"/>
        <w:jc w:val="center"/>
        <w:rPr>
          <w:color w:val="auto"/>
        </w:rPr>
      </w:pPr>
    </w:p>
    <w:p w14:paraId="02000571" w14:textId="534BC37E" w:rsidR="00930807" w:rsidRPr="0017492E" w:rsidRDefault="00930807" w:rsidP="001A7CCB">
      <w:pPr>
        <w:pStyle w:val="Default"/>
        <w:jc w:val="both"/>
        <w:rPr>
          <w:bCs/>
          <w:iCs/>
          <w:color w:val="auto"/>
          <w:sz w:val="16"/>
          <w:szCs w:val="16"/>
        </w:rPr>
      </w:pPr>
      <w:r w:rsidRPr="0017492E">
        <w:rPr>
          <w:bCs/>
          <w:iCs/>
          <w:color w:val="auto"/>
          <w:sz w:val="16"/>
          <w:szCs w:val="16"/>
        </w:rPr>
        <w:t>*Cooperación internacional, asuntos y/o procedimientos internacionales y agregaduría</w:t>
      </w:r>
      <w:r w:rsidR="00A05721">
        <w:rPr>
          <w:bCs/>
          <w:iCs/>
          <w:color w:val="auto"/>
          <w:sz w:val="16"/>
          <w:szCs w:val="16"/>
        </w:rPr>
        <w:t>.</w:t>
      </w:r>
    </w:p>
    <w:p w14:paraId="4A53E45F" w14:textId="77777777" w:rsidR="004651C6" w:rsidRPr="009A6873" w:rsidRDefault="00930807" w:rsidP="00D52B82">
      <w:pPr>
        <w:spacing w:before="46" w:after="0" w:line="276" w:lineRule="auto"/>
        <w:ind w:right="601"/>
        <w:rPr>
          <w:rFonts w:ascii="Arial" w:hAnsi="Arial" w:cs="Arial"/>
          <w:bCs/>
          <w:iCs/>
          <w:sz w:val="16"/>
          <w:szCs w:val="16"/>
        </w:rPr>
      </w:pPr>
      <w:r w:rsidRPr="009A6873">
        <w:rPr>
          <w:rFonts w:ascii="Arial" w:hAnsi="Arial" w:cs="Arial"/>
          <w:bCs/>
          <w:iCs/>
          <w:sz w:val="16"/>
          <w:szCs w:val="16"/>
        </w:rPr>
        <w:t>**Mecanismos alternativos de solución de controversias en materia penal</w:t>
      </w:r>
      <w:r w:rsidR="00A05721" w:rsidRPr="009A6873">
        <w:rPr>
          <w:rFonts w:ascii="Arial" w:hAnsi="Arial" w:cs="Arial"/>
          <w:bCs/>
          <w:iCs/>
          <w:sz w:val="16"/>
          <w:szCs w:val="16"/>
        </w:rPr>
        <w:t>.</w:t>
      </w:r>
    </w:p>
    <w:p w14:paraId="392A2A8B" w14:textId="77777777" w:rsidR="004651C6" w:rsidRDefault="004651C6" w:rsidP="004651C6">
      <w:pPr>
        <w:spacing w:before="46" w:after="0" w:line="276" w:lineRule="auto"/>
        <w:ind w:left="567" w:right="601" w:hanging="28"/>
        <w:jc w:val="center"/>
        <w:rPr>
          <w:bCs/>
          <w:iCs/>
          <w:sz w:val="16"/>
          <w:szCs w:val="16"/>
        </w:rPr>
      </w:pPr>
    </w:p>
    <w:p w14:paraId="23AE2364" w14:textId="77777777" w:rsidR="004651C6" w:rsidRDefault="004651C6" w:rsidP="004651C6">
      <w:pPr>
        <w:spacing w:before="46" w:after="0" w:line="276" w:lineRule="auto"/>
        <w:ind w:left="567" w:right="601" w:hanging="28"/>
        <w:jc w:val="center"/>
        <w:rPr>
          <w:bCs/>
          <w:iCs/>
          <w:sz w:val="16"/>
          <w:szCs w:val="16"/>
        </w:rPr>
      </w:pPr>
    </w:p>
    <w:p w14:paraId="55BF1F1F" w14:textId="77777777" w:rsidR="004651C6" w:rsidRDefault="004651C6" w:rsidP="004651C6">
      <w:pPr>
        <w:spacing w:before="46" w:after="0" w:line="276" w:lineRule="auto"/>
        <w:ind w:left="567" w:right="601" w:hanging="28"/>
        <w:jc w:val="center"/>
        <w:rPr>
          <w:bCs/>
          <w:iCs/>
          <w:sz w:val="16"/>
          <w:szCs w:val="16"/>
        </w:rPr>
      </w:pPr>
    </w:p>
    <w:p w14:paraId="34E05293" w14:textId="77777777" w:rsidR="004651C6" w:rsidRDefault="004651C6" w:rsidP="004651C6">
      <w:pPr>
        <w:spacing w:before="46" w:after="0" w:line="276" w:lineRule="auto"/>
        <w:ind w:left="567" w:right="601" w:hanging="28"/>
        <w:jc w:val="center"/>
        <w:rPr>
          <w:bCs/>
          <w:iCs/>
          <w:sz w:val="16"/>
          <w:szCs w:val="16"/>
        </w:rPr>
      </w:pPr>
    </w:p>
    <w:p w14:paraId="4AB31BF7" w14:textId="2539C8FD" w:rsidR="001F7E04" w:rsidRPr="002D00F3" w:rsidRDefault="001F7E04" w:rsidP="00D52B82">
      <w:pPr>
        <w:pStyle w:val="Default"/>
        <w:jc w:val="center"/>
        <w:rPr>
          <w:color w:val="auto"/>
          <w:sz w:val="20"/>
          <w:szCs w:val="20"/>
        </w:rPr>
      </w:pPr>
      <w:r w:rsidRPr="002D00F3">
        <w:rPr>
          <w:color w:val="auto"/>
          <w:sz w:val="20"/>
          <w:szCs w:val="20"/>
        </w:rPr>
        <w:lastRenderedPageBreak/>
        <w:t xml:space="preserve">Gráfica </w:t>
      </w:r>
      <w:r>
        <w:rPr>
          <w:color w:val="auto"/>
          <w:sz w:val="20"/>
          <w:szCs w:val="20"/>
        </w:rPr>
        <w:t>3</w:t>
      </w:r>
    </w:p>
    <w:p w14:paraId="5444C239" w14:textId="4379BED3" w:rsidR="001F7E04" w:rsidRDefault="001F7E04" w:rsidP="001F7E04">
      <w:pPr>
        <w:pStyle w:val="Default"/>
        <w:ind w:left="-567"/>
        <w:jc w:val="center"/>
        <w:rPr>
          <w:b/>
          <w:i/>
          <w:color w:val="877A67"/>
          <w:sz w:val="20"/>
        </w:rPr>
      </w:pPr>
      <w:r w:rsidRPr="00286044">
        <w:rPr>
          <w:b/>
          <w:bCs/>
          <w:iCs/>
          <w:smallCaps/>
          <w:color w:val="000000" w:themeColor="text1"/>
          <w:sz w:val="22"/>
          <w:szCs w:val="22"/>
        </w:rPr>
        <w:t>Unidades administrativas de la</w:t>
      </w:r>
      <w:r w:rsidR="00D85A51">
        <w:rPr>
          <w:b/>
          <w:bCs/>
          <w:iCs/>
          <w:smallCaps/>
          <w:color w:val="000000" w:themeColor="text1"/>
          <w:sz w:val="22"/>
          <w:szCs w:val="22"/>
        </w:rPr>
        <w:t>s</w:t>
      </w:r>
      <w:r w:rsidRPr="00286044">
        <w:rPr>
          <w:b/>
          <w:bCs/>
          <w:iCs/>
          <w:smallCaps/>
          <w:color w:val="000000" w:themeColor="text1"/>
          <w:sz w:val="22"/>
          <w:szCs w:val="22"/>
        </w:rPr>
        <w:t xml:space="preserve"> FG</w:t>
      </w:r>
      <w:r>
        <w:rPr>
          <w:b/>
          <w:bCs/>
          <w:iCs/>
          <w:smallCaps/>
          <w:color w:val="000000" w:themeColor="text1"/>
          <w:sz w:val="22"/>
          <w:szCs w:val="22"/>
        </w:rPr>
        <w:t>E</w:t>
      </w:r>
      <w:r w:rsidRPr="00286044">
        <w:rPr>
          <w:b/>
          <w:bCs/>
          <w:iCs/>
          <w:smallCaps/>
          <w:color w:val="000000" w:themeColor="text1"/>
          <w:sz w:val="22"/>
          <w:szCs w:val="22"/>
        </w:rPr>
        <w:t>, 2021</w:t>
      </w:r>
    </w:p>
    <w:p w14:paraId="20BD3C7F" w14:textId="4B636394" w:rsidR="00BC36F5" w:rsidRDefault="00BC36F5" w:rsidP="001F7E04">
      <w:pPr>
        <w:spacing w:after="0" w:line="240" w:lineRule="auto"/>
        <w:jc w:val="center"/>
        <w:rPr>
          <w:rFonts w:ascii="Arial Negrita" w:hAnsi="Arial Negrita" w:cs="Arial"/>
          <w:b/>
          <w:bCs/>
          <w:smallCaps/>
          <w:sz w:val="24"/>
          <w:szCs w:val="24"/>
        </w:rPr>
      </w:pPr>
    </w:p>
    <w:p w14:paraId="3EEFF5EA" w14:textId="16B9E0FC" w:rsidR="009530A9" w:rsidRDefault="009530A9" w:rsidP="001F7E04">
      <w:pPr>
        <w:spacing w:after="0" w:line="240" w:lineRule="auto"/>
        <w:jc w:val="center"/>
        <w:rPr>
          <w:rFonts w:ascii="Arial Negrita" w:hAnsi="Arial Negrita" w:cs="Arial"/>
          <w:b/>
          <w:bCs/>
          <w:smallCaps/>
          <w:sz w:val="24"/>
          <w:szCs w:val="24"/>
        </w:rPr>
      </w:pPr>
      <w:r>
        <w:rPr>
          <w:noProof/>
        </w:rPr>
        <w:drawing>
          <wp:inline distT="0" distB="0" distL="0" distR="0" wp14:anchorId="73F8E841" wp14:editId="1DD6A811">
            <wp:extent cx="5649595" cy="6668135"/>
            <wp:effectExtent l="0" t="0" r="8255" b="0"/>
            <wp:docPr id="38" name="Gráfico 38">
              <a:extLst xmlns:a="http://schemas.openxmlformats.org/drawingml/2006/main">
                <a:ext uri="{FF2B5EF4-FFF2-40B4-BE49-F238E27FC236}">
                  <a16:creationId xmlns:a16="http://schemas.microsoft.com/office/drawing/2014/main" id="{15A97403-2480-486F-AE1E-37657D1745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97729A" w14:textId="19145085" w:rsidR="001F7E04" w:rsidRDefault="001F7E04" w:rsidP="00BC36F5">
      <w:pPr>
        <w:spacing w:after="0" w:line="240" w:lineRule="auto"/>
        <w:jc w:val="both"/>
        <w:rPr>
          <w:rFonts w:ascii="Arial Negrita" w:hAnsi="Arial Negrita" w:cs="Arial"/>
          <w:b/>
          <w:bCs/>
          <w:smallCaps/>
          <w:sz w:val="24"/>
          <w:szCs w:val="24"/>
        </w:rPr>
      </w:pPr>
    </w:p>
    <w:p w14:paraId="3B61B83D" w14:textId="2EE5BF4C" w:rsidR="001F7E04" w:rsidRDefault="001F7E04" w:rsidP="00BC36F5">
      <w:pPr>
        <w:spacing w:after="0" w:line="240" w:lineRule="auto"/>
        <w:jc w:val="both"/>
        <w:rPr>
          <w:rFonts w:ascii="Arial Negrita" w:hAnsi="Arial Negrita" w:cs="Arial"/>
          <w:b/>
          <w:bCs/>
          <w:smallCaps/>
          <w:sz w:val="24"/>
          <w:szCs w:val="24"/>
        </w:rPr>
      </w:pPr>
    </w:p>
    <w:p w14:paraId="3EE896DC" w14:textId="7BF03E00" w:rsidR="001F7E04" w:rsidRDefault="001F7E04">
      <w:pPr>
        <w:spacing w:before="46" w:after="0" w:line="276" w:lineRule="auto"/>
        <w:ind w:left="567" w:right="601" w:hanging="28"/>
        <w:jc w:val="both"/>
        <w:rPr>
          <w:rFonts w:ascii="Arial Negrita" w:hAnsi="Arial Negrita" w:cs="Arial"/>
          <w:b/>
          <w:bCs/>
          <w:smallCaps/>
          <w:sz w:val="24"/>
          <w:szCs w:val="24"/>
        </w:rPr>
      </w:pPr>
      <w:r>
        <w:rPr>
          <w:rFonts w:ascii="Arial Negrita" w:hAnsi="Arial Negrita" w:cs="Arial"/>
          <w:b/>
          <w:bCs/>
          <w:smallCaps/>
          <w:sz w:val="24"/>
          <w:szCs w:val="24"/>
        </w:rPr>
        <w:br w:type="page"/>
      </w:r>
    </w:p>
    <w:p w14:paraId="3DF47BBC" w14:textId="35DE9841" w:rsidR="00943981" w:rsidRDefault="00943981" w:rsidP="00943981">
      <w:pPr>
        <w:pStyle w:val="Default"/>
        <w:jc w:val="both"/>
        <w:rPr>
          <w:color w:val="auto"/>
        </w:rPr>
      </w:pPr>
      <w:r w:rsidRPr="00BB770C">
        <w:rPr>
          <w:color w:val="auto"/>
        </w:rPr>
        <w:lastRenderedPageBreak/>
        <w:t>Al cierre de 2021, se reportaron 1 045 personas titulares</w:t>
      </w:r>
      <w:r w:rsidRPr="00F6650B">
        <w:rPr>
          <w:color w:val="auto"/>
          <w:vertAlign w:val="superscript"/>
        </w:rPr>
        <w:footnoteReference w:id="4"/>
      </w:r>
      <w:r w:rsidRPr="00F6650B">
        <w:rPr>
          <w:color w:val="auto"/>
          <w:vertAlign w:val="superscript"/>
        </w:rPr>
        <w:t xml:space="preserve"> </w:t>
      </w:r>
      <w:r w:rsidRPr="00BB770C">
        <w:rPr>
          <w:color w:val="auto"/>
        </w:rPr>
        <w:t>en las unidades administrativas de la FGR y las FGE</w:t>
      </w:r>
      <w:r w:rsidR="00ED0D6E">
        <w:rPr>
          <w:color w:val="auto"/>
        </w:rPr>
        <w:t>. De e</w:t>
      </w:r>
      <w:r w:rsidR="00F6104F">
        <w:rPr>
          <w:color w:val="auto"/>
        </w:rPr>
        <w:t>stas</w:t>
      </w:r>
      <w:r w:rsidR="00ED0D6E">
        <w:rPr>
          <w:color w:val="auto"/>
        </w:rPr>
        <w:t>,</w:t>
      </w:r>
      <w:r w:rsidRPr="00BB770C">
        <w:rPr>
          <w:color w:val="auto"/>
        </w:rPr>
        <w:t xml:space="preserve"> </w:t>
      </w:r>
      <w:r w:rsidR="00F6104F">
        <w:rPr>
          <w:color w:val="auto"/>
        </w:rPr>
        <w:t xml:space="preserve">los hombres representaron </w:t>
      </w:r>
      <w:r w:rsidRPr="00BB770C">
        <w:rPr>
          <w:color w:val="auto"/>
        </w:rPr>
        <w:t xml:space="preserve">65.4 % </w:t>
      </w:r>
      <w:r w:rsidR="00F6104F">
        <w:rPr>
          <w:color w:val="auto"/>
        </w:rPr>
        <w:t xml:space="preserve">y las mujeres, </w:t>
      </w:r>
      <w:r w:rsidRPr="00BB770C">
        <w:rPr>
          <w:color w:val="auto"/>
        </w:rPr>
        <w:t xml:space="preserve">32.5 </w:t>
      </w:r>
      <w:r w:rsidR="00F6104F">
        <w:rPr>
          <w:color w:val="auto"/>
        </w:rPr>
        <w:t xml:space="preserve">por ciento. </w:t>
      </w:r>
      <w:r w:rsidR="00B03B95">
        <w:rPr>
          <w:color w:val="auto"/>
        </w:rPr>
        <w:t xml:space="preserve">A </w:t>
      </w:r>
      <w:r w:rsidR="00204B3E">
        <w:rPr>
          <w:color w:val="auto"/>
        </w:rPr>
        <w:t>continuación,</w:t>
      </w:r>
      <w:r w:rsidR="00B03B95">
        <w:rPr>
          <w:color w:val="auto"/>
        </w:rPr>
        <w:t xml:space="preserve"> se muestra </w:t>
      </w:r>
      <w:r w:rsidR="00755004">
        <w:rPr>
          <w:color w:val="auto"/>
        </w:rPr>
        <w:t xml:space="preserve">la distribución. </w:t>
      </w:r>
    </w:p>
    <w:p w14:paraId="673BB62F" w14:textId="77777777" w:rsidR="00943981" w:rsidRDefault="00943981" w:rsidP="00943981">
      <w:pPr>
        <w:pStyle w:val="Default"/>
        <w:ind w:left="-567"/>
        <w:jc w:val="both"/>
        <w:rPr>
          <w:color w:val="auto"/>
        </w:rPr>
      </w:pPr>
    </w:p>
    <w:p w14:paraId="78C90F93" w14:textId="77777777" w:rsidR="00943981" w:rsidRPr="002D00F3" w:rsidRDefault="00943981" w:rsidP="00943981">
      <w:pPr>
        <w:pStyle w:val="Default"/>
        <w:jc w:val="center"/>
        <w:rPr>
          <w:color w:val="auto"/>
          <w:sz w:val="20"/>
          <w:szCs w:val="20"/>
        </w:rPr>
      </w:pPr>
      <w:r w:rsidRPr="002D00F3">
        <w:rPr>
          <w:color w:val="auto"/>
          <w:sz w:val="20"/>
          <w:szCs w:val="20"/>
        </w:rPr>
        <w:t xml:space="preserve">Gráfica </w:t>
      </w:r>
      <w:r>
        <w:rPr>
          <w:color w:val="auto"/>
          <w:sz w:val="20"/>
          <w:szCs w:val="20"/>
        </w:rPr>
        <w:t>4</w:t>
      </w:r>
      <w:r w:rsidRPr="002D00F3">
        <w:rPr>
          <w:color w:val="auto"/>
          <w:sz w:val="20"/>
          <w:szCs w:val="20"/>
        </w:rPr>
        <w:t xml:space="preserve"> </w:t>
      </w:r>
    </w:p>
    <w:p w14:paraId="546766D3" w14:textId="47D4AE4E" w:rsidR="00943981" w:rsidRDefault="00D85A51" w:rsidP="00943981">
      <w:pPr>
        <w:pStyle w:val="Default"/>
        <w:ind w:right="163"/>
        <w:jc w:val="center"/>
        <w:rPr>
          <w:b/>
          <w:bCs/>
          <w:iCs/>
          <w:smallCaps/>
          <w:color w:val="000000" w:themeColor="text1"/>
          <w:sz w:val="22"/>
          <w:szCs w:val="22"/>
        </w:rPr>
      </w:pPr>
      <w:r>
        <w:rPr>
          <w:b/>
          <w:bCs/>
          <w:iCs/>
          <w:smallCaps/>
          <w:color w:val="000000" w:themeColor="text1"/>
          <w:sz w:val="22"/>
          <w:szCs w:val="22"/>
        </w:rPr>
        <w:t>P</w:t>
      </w:r>
      <w:r w:rsidR="001D285D">
        <w:rPr>
          <w:b/>
          <w:bCs/>
          <w:iCs/>
          <w:smallCaps/>
          <w:color w:val="000000" w:themeColor="text1"/>
          <w:sz w:val="22"/>
          <w:szCs w:val="22"/>
        </w:rPr>
        <w:t xml:space="preserve">ersonas </w:t>
      </w:r>
      <w:r w:rsidR="001E3594">
        <w:rPr>
          <w:b/>
          <w:bCs/>
          <w:iCs/>
          <w:smallCaps/>
          <w:color w:val="000000" w:themeColor="text1"/>
          <w:sz w:val="22"/>
          <w:szCs w:val="22"/>
        </w:rPr>
        <w:t>t</w:t>
      </w:r>
      <w:r w:rsidR="00943981" w:rsidRPr="000F4EC1">
        <w:rPr>
          <w:b/>
          <w:bCs/>
          <w:iCs/>
          <w:smallCaps/>
          <w:color w:val="000000" w:themeColor="text1"/>
          <w:sz w:val="22"/>
          <w:szCs w:val="22"/>
        </w:rPr>
        <w:t>itulares de las</w:t>
      </w:r>
      <w:r w:rsidR="00943981">
        <w:rPr>
          <w:b/>
          <w:bCs/>
          <w:iCs/>
          <w:smallCaps/>
          <w:color w:val="000000" w:themeColor="text1"/>
          <w:sz w:val="22"/>
          <w:szCs w:val="22"/>
        </w:rPr>
        <w:t xml:space="preserve"> Unidades Administrativas de la FGR y las FGE</w:t>
      </w:r>
      <w:r w:rsidR="00943981" w:rsidRPr="000F4EC1">
        <w:rPr>
          <w:b/>
          <w:bCs/>
          <w:iCs/>
          <w:smallCaps/>
          <w:color w:val="000000" w:themeColor="text1"/>
          <w:sz w:val="22"/>
          <w:szCs w:val="22"/>
        </w:rPr>
        <w:t xml:space="preserve">, 2021 </w:t>
      </w:r>
    </w:p>
    <w:p w14:paraId="4A877C29" w14:textId="0ACF4EFA" w:rsidR="001F7E04" w:rsidRDefault="001F7E04" w:rsidP="00943981">
      <w:pPr>
        <w:spacing w:after="0" w:line="240" w:lineRule="auto"/>
        <w:jc w:val="center"/>
        <w:rPr>
          <w:rFonts w:ascii="Arial Negrita" w:hAnsi="Arial Negrita" w:cs="Arial"/>
          <w:b/>
          <w:bCs/>
          <w:smallCaps/>
          <w:sz w:val="24"/>
          <w:szCs w:val="24"/>
        </w:rPr>
      </w:pPr>
    </w:p>
    <w:p w14:paraId="4E158F35" w14:textId="74307B4E" w:rsidR="00642D2E" w:rsidRPr="00B3055F" w:rsidRDefault="00B3055F" w:rsidP="00943981">
      <w:pPr>
        <w:spacing w:after="0" w:line="240" w:lineRule="auto"/>
        <w:jc w:val="center"/>
        <w:rPr>
          <w:rFonts w:ascii="Arial" w:hAnsi="Arial" w:cs="Arial"/>
          <w:b/>
          <w:bCs/>
          <w:smallCaps/>
          <w:sz w:val="16"/>
          <w:szCs w:val="16"/>
        </w:rPr>
      </w:pPr>
      <w:r>
        <w:rPr>
          <w:noProof/>
        </w:rPr>
        <w:drawing>
          <wp:inline distT="0" distB="0" distL="0" distR="0" wp14:anchorId="02F767B6" wp14:editId="6804513E">
            <wp:extent cx="4572000" cy="5943600"/>
            <wp:effectExtent l="0" t="0" r="0" b="0"/>
            <wp:docPr id="17" name="Gráfico 17">
              <a:extLst xmlns:a="http://schemas.openxmlformats.org/drawingml/2006/main">
                <a:ext uri="{FF2B5EF4-FFF2-40B4-BE49-F238E27FC236}">
                  <a16:creationId xmlns:a16="http://schemas.microsoft.com/office/drawing/2014/main" id="{0B7159D3-6BAA-AF9B-AF83-48CBE3F5EE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9BB44C" w14:textId="002B95B7" w:rsidR="00943981" w:rsidRPr="00360792" w:rsidRDefault="00360792" w:rsidP="00BC36F5">
      <w:pPr>
        <w:spacing w:after="0" w:line="240" w:lineRule="auto"/>
        <w:jc w:val="both"/>
        <w:rPr>
          <w:rFonts w:ascii="Arial" w:hAnsi="Arial" w:cs="Arial"/>
          <w:sz w:val="16"/>
          <w:szCs w:val="16"/>
        </w:rPr>
      </w:pPr>
      <w:r w:rsidRPr="00360792">
        <w:rPr>
          <w:rFonts w:ascii="Arial" w:hAnsi="Arial" w:cs="Arial"/>
          <w:sz w:val="16"/>
          <w:szCs w:val="16"/>
        </w:rPr>
        <w:t>Nota: Las cifras de la FGR son de carácter preliminar.</w:t>
      </w:r>
    </w:p>
    <w:p w14:paraId="72304C33" w14:textId="41E841C7" w:rsidR="00943981" w:rsidRDefault="00943981" w:rsidP="00BC36F5">
      <w:pPr>
        <w:spacing w:after="0" w:line="240" w:lineRule="auto"/>
        <w:jc w:val="both"/>
        <w:rPr>
          <w:rFonts w:ascii="Arial Negrita" w:hAnsi="Arial Negrita" w:cs="Arial"/>
          <w:b/>
          <w:bCs/>
          <w:smallCaps/>
          <w:sz w:val="24"/>
          <w:szCs w:val="24"/>
        </w:rPr>
      </w:pPr>
    </w:p>
    <w:p w14:paraId="063055E0" w14:textId="0BCC6DC7" w:rsidR="00943981" w:rsidRDefault="00943981">
      <w:pPr>
        <w:spacing w:before="46" w:after="0" w:line="276" w:lineRule="auto"/>
        <w:ind w:left="567" w:right="601" w:hanging="28"/>
        <w:jc w:val="both"/>
        <w:rPr>
          <w:rFonts w:ascii="Arial Negrita" w:hAnsi="Arial Negrita" w:cs="Arial"/>
          <w:b/>
          <w:bCs/>
          <w:smallCaps/>
          <w:sz w:val="24"/>
          <w:szCs w:val="24"/>
        </w:rPr>
      </w:pPr>
      <w:r>
        <w:rPr>
          <w:rFonts w:ascii="Arial Negrita" w:hAnsi="Arial Negrita" w:cs="Arial"/>
          <w:b/>
          <w:bCs/>
          <w:smallCaps/>
          <w:sz w:val="24"/>
          <w:szCs w:val="24"/>
        </w:rPr>
        <w:br w:type="page"/>
      </w:r>
    </w:p>
    <w:p w14:paraId="7B142DBA" w14:textId="54E2C6D8" w:rsidR="00755004" w:rsidRDefault="00755004" w:rsidP="00755004">
      <w:pPr>
        <w:pStyle w:val="Default"/>
        <w:jc w:val="both"/>
        <w:rPr>
          <w:color w:val="auto"/>
        </w:rPr>
      </w:pPr>
      <w:r w:rsidRPr="00BB770C">
        <w:rPr>
          <w:color w:val="auto"/>
        </w:rPr>
        <w:lastRenderedPageBreak/>
        <w:t>En cuanto a su edad, 27.0 % de los hombres y 21.4 % de las mujeres report</w:t>
      </w:r>
      <w:r>
        <w:rPr>
          <w:color w:val="auto"/>
        </w:rPr>
        <w:t>aron</w:t>
      </w:r>
      <w:r w:rsidRPr="00BB770C">
        <w:rPr>
          <w:color w:val="auto"/>
        </w:rPr>
        <w:t xml:space="preserve"> tener </w:t>
      </w:r>
      <w:r>
        <w:rPr>
          <w:color w:val="auto"/>
        </w:rPr>
        <w:t>entre</w:t>
      </w:r>
      <w:r w:rsidRPr="00BB770C">
        <w:rPr>
          <w:color w:val="auto"/>
        </w:rPr>
        <w:t xml:space="preserve"> </w:t>
      </w:r>
      <w:r w:rsidR="007E6B19">
        <w:rPr>
          <w:color w:val="auto"/>
        </w:rPr>
        <w:t xml:space="preserve">  </w:t>
      </w:r>
      <w:r w:rsidRPr="00BB770C">
        <w:rPr>
          <w:color w:val="auto"/>
        </w:rPr>
        <w:t xml:space="preserve">45 </w:t>
      </w:r>
      <w:r>
        <w:rPr>
          <w:color w:val="auto"/>
        </w:rPr>
        <w:t>y</w:t>
      </w:r>
      <w:r w:rsidRPr="00BB770C">
        <w:rPr>
          <w:color w:val="auto"/>
        </w:rPr>
        <w:t xml:space="preserve"> 49 años.</w:t>
      </w:r>
    </w:p>
    <w:p w14:paraId="3C9C1315" w14:textId="77777777" w:rsidR="00755004" w:rsidRDefault="00755004">
      <w:pPr>
        <w:spacing w:before="46" w:after="0" w:line="276" w:lineRule="auto"/>
        <w:ind w:left="567" w:right="601" w:hanging="28"/>
        <w:jc w:val="both"/>
        <w:rPr>
          <w:rFonts w:ascii="Arial Negrita" w:hAnsi="Arial Negrita" w:cs="Arial"/>
          <w:b/>
          <w:bCs/>
          <w:smallCaps/>
          <w:sz w:val="24"/>
          <w:szCs w:val="24"/>
        </w:rPr>
      </w:pPr>
    </w:p>
    <w:p w14:paraId="680E08E1" w14:textId="77777777" w:rsidR="00D62DDF" w:rsidRPr="002D00F3" w:rsidRDefault="00D62DDF" w:rsidP="00D62DDF">
      <w:pPr>
        <w:pStyle w:val="Default"/>
        <w:jc w:val="center"/>
        <w:rPr>
          <w:color w:val="auto"/>
          <w:sz w:val="20"/>
          <w:szCs w:val="20"/>
        </w:rPr>
      </w:pPr>
      <w:r w:rsidRPr="002D00F3">
        <w:rPr>
          <w:color w:val="auto"/>
          <w:sz w:val="20"/>
          <w:szCs w:val="20"/>
        </w:rPr>
        <w:t xml:space="preserve">Gráfica </w:t>
      </w:r>
      <w:r>
        <w:rPr>
          <w:color w:val="auto"/>
          <w:sz w:val="20"/>
          <w:szCs w:val="20"/>
        </w:rPr>
        <w:t>5</w:t>
      </w:r>
    </w:p>
    <w:p w14:paraId="6EF54C9A" w14:textId="5F4AB089" w:rsidR="00D62DDF" w:rsidRPr="000F4EC1" w:rsidRDefault="00D62DDF">
      <w:pPr>
        <w:pStyle w:val="Default"/>
        <w:ind w:right="163"/>
        <w:jc w:val="center"/>
        <w:rPr>
          <w:b/>
          <w:bCs/>
          <w:iCs/>
          <w:smallCaps/>
          <w:color w:val="000000" w:themeColor="text1"/>
          <w:sz w:val="22"/>
          <w:szCs w:val="22"/>
        </w:rPr>
      </w:pPr>
      <w:r w:rsidRPr="000F4EC1">
        <w:rPr>
          <w:b/>
          <w:bCs/>
          <w:iCs/>
          <w:smallCaps/>
          <w:color w:val="000000" w:themeColor="text1"/>
          <w:sz w:val="22"/>
          <w:szCs w:val="22"/>
        </w:rPr>
        <w:t>Titulares de las</w:t>
      </w:r>
      <w:r>
        <w:rPr>
          <w:b/>
          <w:bCs/>
          <w:iCs/>
          <w:smallCaps/>
          <w:color w:val="000000" w:themeColor="text1"/>
          <w:sz w:val="22"/>
          <w:szCs w:val="22"/>
        </w:rPr>
        <w:t xml:space="preserve"> Unidades Administrativas de la FGR y las FGE</w:t>
      </w:r>
      <w:r w:rsidRPr="000F4EC1">
        <w:rPr>
          <w:b/>
          <w:bCs/>
          <w:iCs/>
          <w:smallCaps/>
          <w:color w:val="000000" w:themeColor="text1"/>
          <w:sz w:val="22"/>
          <w:szCs w:val="22"/>
        </w:rPr>
        <w:t xml:space="preserve"> </w:t>
      </w:r>
      <w:r w:rsidR="00D85A51">
        <w:rPr>
          <w:b/>
          <w:bCs/>
          <w:iCs/>
          <w:smallCaps/>
          <w:color w:val="000000" w:themeColor="text1"/>
          <w:sz w:val="22"/>
          <w:szCs w:val="22"/>
        </w:rPr>
        <w:t>según</w:t>
      </w:r>
      <w:r w:rsidRPr="000F4EC1">
        <w:rPr>
          <w:b/>
          <w:bCs/>
          <w:iCs/>
          <w:smallCaps/>
          <w:color w:val="000000" w:themeColor="text1"/>
          <w:sz w:val="22"/>
          <w:szCs w:val="22"/>
        </w:rPr>
        <w:t xml:space="preserve"> </w:t>
      </w:r>
      <w:r>
        <w:rPr>
          <w:b/>
          <w:bCs/>
          <w:iCs/>
          <w:smallCaps/>
          <w:color w:val="000000" w:themeColor="text1"/>
          <w:sz w:val="22"/>
          <w:szCs w:val="22"/>
        </w:rPr>
        <w:t>edad</w:t>
      </w:r>
      <w:r w:rsidRPr="000F4EC1">
        <w:rPr>
          <w:b/>
          <w:bCs/>
          <w:iCs/>
          <w:smallCaps/>
          <w:color w:val="000000" w:themeColor="text1"/>
          <w:sz w:val="22"/>
          <w:szCs w:val="22"/>
        </w:rPr>
        <w:t>, 2021</w:t>
      </w:r>
    </w:p>
    <w:p w14:paraId="4CDC63FB" w14:textId="777C3F4F" w:rsidR="00943981" w:rsidRDefault="00943981" w:rsidP="00D62DDF">
      <w:pPr>
        <w:spacing w:after="0" w:line="240" w:lineRule="auto"/>
        <w:jc w:val="center"/>
        <w:rPr>
          <w:rFonts w:ascii="Arial Negrita" w:hAnsi="Arial Negrita" w:cs="Arial"/>
          <w:b/>
          <w:bCs/>
          <w:smallCaps/>
          <w:sz w:val="24"/>
          <w:szCs w:val="24"/>
        </w:rPr>
      </w:pPr>
    </w:p>
    <w:p w14:paraId="7495B6FA" w14:textId="2E9989A3" w:rsidR="003E2906" w:rsidRDefault="003E2906" w:rsidP="00D62DDF">
      <w:pPr>
        <w:spacing w:after="0" w:line="240" w:lineRule="auto"/>
        <w:jc w:val="center"/>
        <w:rPr>
          <w:rFonts w:ascii="Arial Negrita" w:hAnsi="Arial Negrita" w:cs="Arial"/>
          <w:b/>
          <w:bCs/>
          <w:smallCaps/>
          <w:sz w:val="24"/>
          <w:szCs w:val="24"/>
        </w:rPr>
      </w:pPr>
      <w:r>
        <w:rPr>
          <w:noProof/>
        </w:rPr>
        <w:drawing>
          <wp:inline distT="0" distB="0" distL="0" distR="0" wp14:anchorId="5341EC95" wp14:editId="0D685AB5">
            <wp:extent cx="3665855" cy="2303145"/>
            <wp:effectExtent l="0" t="0" r="0" b="1905"/>
            <wp:docPr id="40" name="Gráfico 40">
              <a:extLst xmlns:a="http://schemas.openxmlformats.org/drawingml/2006/main">
                <a:ext uri="{FF2B5EF4-FFF2-40B4-BE49-F238E27FC236}">
                  <a16:creationId xmlns:a16="http://schemas.microsoft.com/office/drawing/2014/main" id="{F39CFC65-FD48-4072-88BF-F793CB9E1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2B4EC0" w14:textId="00EB209E" w:rsidR="00D62DDF" w:rsidRDefault="00D62DDF" w:rsidP="00D15267">
      <w:pPr>
        <w:spacing w:after="0" w:line="240" w:lineRule="auto"/>
        <w:jc w:val="center"/>
        <w:rPr>
          <w:rFonts w:ascii="Arial Negrita" w:hAnsi="Arial Negrita" w:cs="Arial"/>
          <w:b/>
          <w:bCs/>
          <w:smallCaps/>
          <w:sz w:val="24"/>
          <w:szCs w:val="24"/>
        </w:rPr>
      </w:pPr>
    </w:p>
    <w:p w14:paraId="0AF5D92B" w14:textId="483F96EC" w:rsidR="00027314" w:rsidRDefault="00027314" w:rsidP="00027314">
      <w:pPr>
        <w:pStyle w:val="Textonotapie"/>
        <w:jc w:val="both"/>
        <w:rPr>
          <w:rFonts w:ascii="Arial" w:hAnsi="Arial" w:cs="Arial"/>
          <w:sz w:val="16"/>
          <w:szCs w:val="16"/>
        </w:rPr>
      </w:pPr>
      <w:r w:rsidRPr="006B2E02">
        <w:rPr>
          <w:rFonts w:ascii="Arial" w:hAnsi="Arial" w:cs="Arial"/>
          <w:sz w:val="16"/>
          <w:szCs w:val="16"/>
        </w:rPr>
        <w:t>Nota: La distribuci</w:t>
      </w:r>
      <w:r w:rsidR="006B56D6">
        <w:rPr>
          <w:rFonts w:ascii="Arial" w:hAnsi="Arial" w:cs="Arial"/>
          <w:sz w:val="16"/>
          <w:szCs w:val="16"/>
        </w:rPr>
        <w:t>ón</w:t>
      </w:r>
      <w:r w:rsidRPr="006B2E02">
        <w:rPr>
          <w:rFonts w:ascii="Arial" w:hAnsi="Arial" w:cs="Arial"/>
          <w:sz w:val="16"/>
          <w:szCs w:val="16"/>
        </w:rPr>
        <w:t xml:space="preserve"> porcentual se calcul</w:t>
      </w:r>
      <w:r w:rsidR="006B56D6">
        <w:rPr>
          <w:rFonts w:ascii="Arial" w:hAnsi="Arial" w:cs="Arial"/>
          <w:sz w:val="16"/>
          <w:szCs w:val="16"/>
        </w:rPr>
        <w:t>ó</w:t>
      </w:r>
      <w:r w:rsidRPr="006B2E02">
        <w:rPr>
          <w:rFonts w:ascii="Arial" w:hAnsi="Arial" w:cs="Arial"/>
          <w:sz w:val="16"/>
          <w:szCs w:val="16"/>
        </w:rPr>
        <w:t xml:space="preserve"> con base en 1 023 titulares para los que se identificó el sexo de la persona.  </w:t>
      </w:r>
    </w:p>
    <w:p w14:paraId="574EF40F" w14:textId="35D7E7A8" w:rsidR="00027314" w:rsidRDefault="00027314" w:rsidP="00027314">
      <w:pPr>
        <w:spacing w:after="0" w:line="240" w:lineRule="auto"/>
        <w:jc w:val="both"/>
        <w:rPr>
          <w:rFonts w:ascii="Arial" w:hAnsi="Arial" w:cs="Arial"/>
          <w:sz w:val="16"/>
          <w:szCs w:val="16"/>
        </w:rPr>
      </w:pPr>
      <w:r w:rsidRPr="006B2E02">
        <w:rPr>
          <w:rFonts w:ascii="Arial" w:hAnsi="Arial" w:cs="Arial"/>
          <w:sz w:val="16"/>
          <w:szCs w:val="16"/>
        </w:rPr>
        <w:t xml:space="preserve">No se incluye la categoría «No se sabe», que para los hombres correspondió a 0.1 </w:t>
      </w:r>
      <w:r w:rsidR="006B56D6">
        <w:rPr>
          <w:rFonts w:ascii="Arial" w:hAnsi="Arial" w:cs="Arial"/>
          <w:sz w:val="16"/>
          <w:szCs w:val="16"/>
        </w:rPr>
        <w:t>por ciento</w:t>
      </w:r>
      <w:r w:rsidR="006B56D6" w:rsidRPr="006B2E02">
        <w:rPr>
          <w:rFonts w:ascii="Arial" w:hAnsi="Arial" w:cs="Arial"/>
          <w:sz w:val="16"/>
          <w:szCs w:val="16"/>
        </w:rPr>
        <w:t>.</w:t>
      </w:r>
      <w:r w:rsidR="00360792">
        <w:rPr>
          <w:rFonts w:ascii="Arial" w:hAnsi="Arial" w:cs="Arial"/>
          <w:sz w:val="16"/>
          <w:szCs w:val="16"/>
        </w:rPr>
        <w:t xml:space="preserve"> </w:t>
      </w:r>
      <w:r w:rsidR="00360792" w:rsidRPr="00360792">
        <w:rPr>
          <w:rFonts w:ascii="Arial" w:hAnsi="Arial" w:cs="Arial"/>
          <w:sz w:val="16"/>
          <w:szCs w:val="16"/>
        </w:rPr>
        <w:t>Las cifras de la FGR son de carácter preliminar</w:t>
      </w:r>
      <w:r w:rsidR="00360792">
        <w:rPr>
          <w:rFonts w:ascii="Arial" w:hAnsi="Arial" w:cs="Arial"/>
          <w:sz w:val="16"/>
          <w:szCs w:val="16"/>
        </w:rPr>
        <w:t>.</w:t>
      </w:r>
    </w:p>
    <w:p w14:paraId="02A03EC0" w14:textId="77777777" w:rsidR="00D85A51" w:rsidRDefault="00D85A51" w:rsidP="00D15267">
      <w:pPr>
        <w:pStyle w:val="Default"/>
        <w:jc w:val="both"/>
        <w:rPr>
          <w:color w:val="auto"/>
        </w:rPr>
      </w:pPr>
    </w:p>
    <w:p w14:paraId="290B6AB4" w14:textId="316F51A3" w:rsidR="00D15267" w:rsidRDefault="00D15267" w:rsidP="00D15267">
      <w:pPr>
        <w:pStyle w:val="Default"/>
        <w:jc w:val="both"/>
        <w:rPr>
          <w:color w:val="auto"/>
        </w:rPr>
      </w:pPr>
      <w:r w:rsidRPr="005D0228">
        <w:rPr>
          <w:color w:val="auto"/>
        </w:rPr>
        <w:t>Respecto de la antigüedad</w:t>
      </w:r>
      <w:r w:rsidR="00442AA0">
        <w:rPr>
          <w:color w:val="auto"/>
        </w:rPr>
        <w:t xml:space="preserve"> en el cargo</w:t>
      </w:r>
      <w:r w:rsidR="00D24358">
        <w:rPr>
          <w:color w:val="auto"/>
        </w:rPr>
        <w:t>,</w:t>
      </w:r>
      <w:r w:rsidRPr="005D0228">
        <w:rPr>
          <w:color w:val="auto"/>
        </w:rPr>
        <w:t xml:space="preserve"> 50.2 % de los hombres y 48.2 % de las mujeres llevaban de </w:t>
      </w:r>
      <w:r w:rsidR="00D85A51">
        <w:rPr>
          <w:color w:val="auto"/>
        </w:rPr>
        <w:t>cero</w:t>
      </w:r>
      <w:r w:rsidRPr="005D0228">
        <w:rPr>
          <w:color w:val="auto"/>
        </w:rPr>
        <w:t xml:space="preserve"> a </w:t>
      </w:r>
      <w:r w:rsidR="00D85A51">
        <w:rPr>
          <w:color w:val="auto"/>
        </w:rPr>
        <w:t>dos</w:t>
      </w:r>
      <w:r w:rsidRPr="005D0228">
        <w:rPr>
          <w:color w:val="auto"/>
        </w:rPr>
        <w:t xml:space="preserve"> años.</w:t>
      </w:r>
    </w:p>
    <w:p w14:paraId="774B145F" w14:textId="77777777" w:rsidR="00D85A51" w:rsidRPr="00D15267" w:rsidRDefault="00D85A51" w:rsidP="00D15267">
      <w:pPr>
        <w:pStyle w:val="Default"/>
        <w:jc w:val="both"/>
        <w:rPr>
          <w:color w:val="auto"/>
        </w:rPr>
      </w:pPr>
    </w:p>
    <w:p w14:paraId="36093B61" w14:textId="77777777" w:rsidR="00D15267" w:rsidRDefault="00D15267" w:rsidP="00D15267">
      <w:pPr>
        <w:pStyle w:val="Default"/>
        <w:ind w:left="-567"/>
        <w:jc w:val="center"/>
        <w:rPr>
          <w:b/>
          <w:i/>
          <w:color w:val="877A67"/>
          <w:sz w:val="20"/>
        </w:rPr>
      </w:pPr>
    </w:p>
    <w:p w14:paraId="1B37D6BA" w14:textId="77777777" w:rsidR="00D15267" w:rsidRPr="002D00F3" w:rsidRDefault="00D15267" w:rsidP="00D15267">
      <w:pPr>
        <w:pStyle w:val="Default"/>
        <w:jc w:val="center"/>
        <w:rPr>
          <w:color w:val="auto"/>
          <w:sz w:val="20"/>
          <w:szCs w:val="20"/>
        </w:rPr>
      </w:pPr>
      <w:bookmarkStart w:id="2" w:name="_Hlk115922610"/>
      <w:r w:rsidRPr="002D00F3">
        <w:rPr>
          <w:color w:val="auto"/>
          <w:sz w:val="20"/>
          <w:szCs w:val="20"/>
        </w:rPr>
        <w:t xml:space="preserve">Gráfica </w:t>
      </w:r>
      <w:r>
        <w:rPr>
          <w:color w:val="auto"/>
          <w:sz w:val="20"/>
          <w:szCs w:val="20"/>
        </w:rPr>
        <w:t>6</w:t>
      </w:r>
    </w:p>
    <w:p w14:paraId="40BAE7CC" w14:textId="547D8C73" w:rsidR="00D15267" w:rsidRDefault="00D15267">
      <w:pPr>
        <w:pStyle w:val="Default"/>
        <w:ind w:right="163"/>
        <w:jc w:val="center"/>
        <w:rPr>
          <w:bCs/>
          <w:iCs/>
          <w:smallCaps/>
          <w:color w:val="000000" w:themeColor="text1"/>
          <w:sz w:val="18"/>
          <w:szCs w:val="18"/>
        </w:rPr>
      </w:pPr>
      <w:r w:rsidRPr="000F4EC1">
        <w:rPr>
          <w:b/>
          <w:bCs/>
          <w:iCs/>
          <w:smallCaps/>
          <w:color w:val="000000" w:themeColor="text1"/>
          <w:sz w:val="22"/>
          <w:szCs w:val="22"/>
        </w:rPr>
        <w:t>Titulares de las</w:t>
      </w:r>
      <w:r>
        <w:rPr>
          <w:b/>
          <w:bCs/>
          <w:iCs/>
          <w:smallCaps/>
          <w:color w:val="000000" w:themeColor="text1"/>
          <w:sz w:val="22"/>
          <w:szCs w:val="22"/>
        </w:rPr>
        <w:t xml:space="preserve"> Unidades Administrativas de la FGR y las FGE</w:t>
      </w:r>
      <w:r w:rsidRPr="000F4EC1">
        <w:rPr>
          <w:b/>
          <w:bCs/>
          <w:iCs/>
          <w:smallCaps/>
          <w:color w:val="000000" w:themeColor="text1"/>
          <w:sz w:val="22"/>
          <w:szCs w:val="22"/>
        </w:rPr>
        <w:t xml:space="preserve">, </w:t>
      </w:r>
      <w:r w:rsidR="00D85A51">
        <w:rPr>
          <w:b/>
          <w:bCs/>
          <w:iCs/>
          <w:smallCaps/>
          <w:color w:val="000000" w:themeColor="text1"/>
          <w:sz w:val="22"/>
          <w:szCs w:val="22"/>
        </w:rPr>
        <w:t>según</w:t>
      </w:r>
      <w:r w:rsidRPr="000F4EC1">
        <w:rPr>
          <w:b/>
          <w:bCs/>
          <w:iCs/>
          <w:smallCaps/>
          <w:color w:val="000000" w:themeColor="text1"/>
          <w:sz w:val="22"/>
          <w:szCs w:val="22"/>
        </w:rPr>
        <w:t xml:space="preserve"> antigüedad en el cargo, 2021 </w:t>
      </w:r>
      <w:bookmarkEnd w:id="2"/>
    </w:p>
    <w:p w14:paraId="4E7E1BDE" w14:textId="56FFF594" w:rsidR="00D0479E" w:rsidRDefault="00D0479E" w:rsidP="00D15267">
      <w:pPr>
        <w:pStyle w:val="Default"/>
        <w:ind w:right="163"/>
        <w:jc w:val="center"/>
        <w:rPr>
          <w:bCs/>
          <w:iCs/>
          <w:smallCaps/>
          <w:color w:val="000000" w:themeColor="text1"/>
          <w:sz w:val="18"/>
          <w:szCs w:val="18"/>
        </w:rPr>
      </w:pPr>
    </w:p>
    <w:p w14:paraId="347D181E" w14:textId="3E12F936" w:rsidR="00D0479E" w:rsidRPr="000F4EC1" w:rsidRDefault="00D0479E" w:rsidP="00D15267">
      <w:pPr>
        <w:pStyle w:val="Default"/>
        <w:ind w:right="163"/>
        <w:jc w:val="center"/>
        <w:rPr>
          <w:b/>
          <w:bCs/>
          <w:iCs/>
          <w:smallCaps/>
          <w:color w:val="000000" w:themeColor="text1"/>
          <w:sz w:val="22"/>
          <w:szCs w:val="22"/>
        </w:rPr>
      </w:pPr>
      <w:r>
        <w:rPr>
          <w:noProof/>
        </w:rPr>
        <w:drawing>
          <wp:inline distT="0" distB="0" distL="0" distR="0" wp14:anchorId="78EF5CF0" wp14:editId="72E988D7">
            <wp:extent cx="3536798" cy="2070201"/>
            <wp:effectExtent l="0" t="0" r="6985" b="6350"/>
            <wp:docPr id="41" name="Gráfico 41">
              <a:extLst xmlns:a="http://schemas.openxmlformats.org/drawingml/2006/main">
                <a:ext uri="{FF2B5EF4-FFF2-40B4-BE49-F238E27FC236}">
                  <a16:creationId xmlns:a16="http://schemas.microsoft.com/office/drawing/2014/main" id="{79A6AD3B-35A5-43B2-87FE-5ACFBB96E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425032" w14:textId="01A05D43" w:rsidR="00D15267" w:rsidRDefault="00D15267" w:rsidP="00D15267">
      <w:pPr>
        <w:spacing w:after="0" w:line="240" w:lineRule="auto"/>
        <w:jc w:val="center"/>
        <w:rPr>
          <w:rFonts w:ascii="Arial Negrita" w:hAnsi="Arial Negrita" w:cs="Arial"/>
          <w:b/>
          <w:bCs/>
          <w:smallCaps/>
          <w:sz w:val="24"/>
          <w:szCs w:val="24"/>
        </w:rPr>
      </w:pPr>
    </w:p>
    <w:p w14:paraId="0A22DB73" w14:textId="36DEEA27" w:rsidR="00027314" w:rsidRDefault="00027314" w:rsidP="00027314">
      <w:pPr>
        <w:pStyle w:val="Default"/>
        <w:ind w:right="163"/>
        <w:jc w:val="both"/>
        <w:rPr>
          <w:b/>
          <w:bCs/>
          <w:color w:val="000000" w:themeColor="text1"/>
        </w:rPr>
      </w:pPr>
      <w:r>
        <w:rPr>
          <w:sz w:val="16"/>
          <w:szCs w:val="16"/>
        </w:rPr>
        <w:t xml:space="preserve">Nota: La </w:t>
      </w:r>
      <w:r w:rsidR="006B56D6">
        <w:rPr>
          <w:sz w:val="16"/>
          <w:szCs w:val="16"/>
        </w:rPr>
        <w:t xml:space="preserve">distribución </w:t>
      </w:r>
      <w:r>
        <w:rPr>
          <w:sz w:val="16"/>
          <w:szCs w:val="16"/>
        </w:rPr>
        <w:t>porcentual se calcul</w:t>
      </w:r>
      <w:r w:rsidR="006B56D6">
        <w:rPr>
          <w:sz w:val="16"/>
          <w:szCs w:val="16"/>
        </w:rPr>
        <w:t>ó</w:t>
      </w:r>
      <w:r>
        <w:rPr>
          <w:sz w:val="16"/>
          <w:szCs w:val="16"/>
        </w:rPr>
        <w:t xml:space="preserve"> con base en 1 023 titulares para los que se identificó el sexo de la persona. No se incluye la categoría «No se sabe», que para los hombres correspondió a 0.1 </w:t>
      </w:r>
      <w:r w:rsidR="00A46484">
        <w:rPr>
          <w:sz w:val="16"/>
          <w:szCs w:val="16"/>
        </w:rPr>
        <w:t>por ciento</w:t>
      </w:r>
      <w:r>
        <w:rPr>
          <w:sz w:val="16"/>
          <w:szCs w:val="16"/>
        </w:rPr>
        <w:t>.</w:t>
      </w:r>
      <w:r w:rsidR="00360792">
        <w:rPr>
          <w:sz w:val="16"/>
          <w:szCs w:val="16"/>
        </w:rPr>
        <w:t xml:space="preserve"> </w:t>
      </w:r>
      <w:r w:rsidR="00360792" w:rsidRPr="00360792">
        <w:rPr>
          <w:sz w:val="16"/>
          <w:szCs w:val="16"/>
        </w:rPr>
        <w:t>Las cifras de la FGR son de carácter preliminar</w:t>
      </w:r>
      <w:r w:rsidR="00360792">
        <w:rPr>
          <w:sz w:val="16"/>
          <w:szCs w:val="16"/>
        </w:rPr>
        <w:t>.</w:t>
      </w:r>
    </w:p>
    <w:p w14:paraId="00267B48" w14:textId="77777777" w:rsidR="00027314" w:rsidRDefault="00027314" w:rsidP="00027314">
      <w:pPr>
        <w:spacing w:after="0" w:line="240" w:lineRule="auto"/>
        <w:jc w:val="both"/>
        <w:rPr>
          <w:rFonts w:ascii="Arial Negrita" w:hAnsi="Arial Negrita" w:cs="Arial"/>
          <w:b/>
          <w:bCs/>
          <w:smallCaps/>
          <w:sz w:val="24"/>
          <w:szCs w:val="24"/>
        </w:rPr>
      </w:pPr>
    </w:p>
    <w:p w14:paraId="0E957482" w14:textId="16A36151" w:rsidR="00D62DDF" w:rsidRDefault="00D62DDF">
      <w:pPr>
        <w:spacing w:before="46" w:after="0" w:line="276" w:lineRule="auto"/>
        <w:ind w:left="567" w:right="601" w:hanging="28"/>
        <w:jc w:val="both"/>
        <w:rPr>
          <w:rFonts w:ascii="Arial Negrita" w:hAnsi="Arial Negrita" w:cs="Arial"/>
          <w:b/>
          <w:bCs/>
          <w:smallCaps/>
          <w:sz w:val="24"/>
          <w:szCs w:val="24"/>
        </w:rPr>
      </w:pPr>
      <w:r>
        <w:rPr>
          <w:rFonts w:ascii="Arial Negrita" w:hAnsi="Arial Negrita" w:cs="Arial"/>
          <w:b/>
          <w:bCs/>
          <w:smallCaps/>
          <w:sz w:val="24"/>
          <w:szCs w:val="24"/>
        </w:rPr>
        <w:br w:type="page"/>
      </w:r>
    </w:p>
    <w:p w14:paraId="79FEB5D5" w14:textId="04708C4F" w:rsidR="00010937" w:rsidRPr="00010937" w:rsidRDefault="00010937" w:rsidP="00010937">
      <w:pPr>
        <w:pStyle w:val="Default"/>
        <w:jc w:val="both"/>
        <w:rPr>
          <w:color w:val="auto"/>
        </w:rPr>
      </w:pPr>
      <w:r w:rsidRPr="002A6360">
        <w:rPr>
          <w:color w:val="auto"/>
        </w:rPr>
        <w:lastRenderedPageBreak/>
        <w:t>Al cierre de 2021</w:t>
      </w:r>
      <w:r w:rsidR="00442AA0">
        <w:rPr>
          <w:color w:val="auto"/>
        </w:rPr>
        <w:t>,</w:t>
      </w:r>
      <w:r w:rsidRPr="002A6360">
        <w:rPr>
          <w:color w:val="auto"/>
        </w:rPr>
        <w:t xml:space="preserve"> el personal adscrito a la FGR contó con 19 919 servidoras y servidores públicos, mientras que 95 386 estaban adscritos a las FGE. Comparado con 2020, la cantidad de personal disminuyó 3.9 y 0.2 %</w:t>
      </w:r>
      <w:r w:rsidR="00060282">
        <w:rPr>
          <w:color w:val="auto"/>
        </w:rPr>
        <w:t>,</w:t>
      </w:r>
      <w:r w:rsidRPr="002A6360">
        <w:rPr>
          <w:color w:val="auto"/>
        </w:rPr>
        <w:t xml:space="preserve"> respectivamente. </w:t>
      </w:r>
    </w:p>
    <w:p w14:paraId="14D91BD9" w14:textId="216631CE" w:rsidR="00D62DDF" w:rsidRDefault="00D62DDF" w:rsidP="00BC36F5">
      <w:pPr>
        <w:spacing w:after="0" w:line="240" w:lineRule="auto"/>
        <w:jc w:val="both"/>
        <w:rPr>
          <w:rFonts w:ascii="Arial Negrita" w:hAnsi="Arial Negrita" w:cs="Arial"/>
          <w:b/>
          <w:bCs/>
          <w:smallCaps/>
          <w:sz w:val="24"/>
          <w:szCs w:val="24"/>
        </w:rPr>
      </w:pPr>
    </w:p>
    <w:p w14:paraId="2D302428" w14:textId="77777777" w:rsidR="00EC0B0D" w:rsidRPr="002D00F3" w:rsidRDefault="00EC0B0D" w:rsidP="00EC0B0D">
      <w:pPr>
        <w:pStyle w:val="Default"/>
        <w:jc w:val="center"/>
        <w:rPr>
          <w:color w:val="auto"/>
          <w:sz w:val="20"/>
          <w:szCs w:val="20"/>
        </w:rPr>
      </w:pPr>
      <w:r w:rsidRPr="002D00F3">
        <w:rPr>
          <w:color w:val="auto"/>
          <w:sz w:val="20"/>
          <w:szCs w:val="20"/>
        </w:rPr>
        <w:t xml:space="preserve">Gráfica </w:t>
      </w:r>
      <w:r>
        <w:rPr>
          <w:color w:val="auto"/>
          <w:sz w:val="20"/>
          <w:szCs w:val="20"/>
        </w:rPr>
        <w:t>7</w:t>
      </w:r>
    </w:p>
    <w:p w14:paraId="2AE7E135" w14:textId="3416E852" w:rsidR="00EC0B0D" w:rsidRDefault="00CC5EC1" w:rsidP="00EC0B0D">
      <w:pPr>
        <w:pStyle w:val="Default"/>
        <w:ind w:right="163"/>
        <w:jc w:val="center"/>
        <w:rPr>
          <w:b/>
          <w:bCs/>
          <w:iCs/>
          <w:smallCaps/>
          <w:color w:val="000000" w:themeColor="text1"/>
          <w:sz w:val="22"/>
          <w:szCs w:val="22"/>
        </w:rPr>
      </w:pPr>
      <w:r>
        <w:rPr>
          <w:noProof/>
        </w:rPr>
        <w:drawing>
          <wp:anchor distT="0" distB="0" distL="114300" distR="114300" simplePos="0" relativeHeight="251681792" behindDoc="0" locked="0" layoutInCell="1" allowOverlap="1" wp14:anchorId="51E388F6" wp14:editId="61E144BC">
            <wp:simplePos x="0" y="0"/>
            <wp:positionH relativeFrom="column">
              <wp:posOffset>4445</wp:posOffset>
            </wp:positionH>
            <wp:positionV relativeFrom="paragraph">
              <wp:posOffset>318770</wp:posOffset>
            </wp:positionV>
            <wp:extent cx="6357620" cy="3148330"/>
            <wp:effectExtent l="0" t="0" r="5080" b="0"/>
            <wp:wrapSquare wrapText="bothSides"/>
            <wp:docPr id="2" name="Gráfico 2">
              <a:extLst xmlns:a="http://schemas.openxmlformats.org/drawingml/2006/main">
                <a:ext uri="{FF2B5EF4-FFF2-40B4-BE49-F238E27FC236}">
                  <a16:creationId xmlns:a16="http://schemas.microsoft.com/office/drawing/2014/main" id="{02BFC3C2-E403-C2BE-60EA-1CD1114625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C0B0D">
        <w:rPr>
          <w:b/>
          <w:bCs/>
          <w:iCs/>
          <w:smallCaps/>
          <w:color w:val="000000" w:themeColor="text1"/>
          <w:sz w:val="22"/>
          <w:szCs w:val="22"/>
        </w:rPr>
        <w:t>Personal adscrito a la FGR y a las FGE</w:t>
      </w:r>
      <w:r w:rsidR="00EC0B0D" w:rsidRPr="000F4EC1">
        <w:rPr>
          <w:b/>
          <w:bCs/>
          <w:iCs/>
          <w:smallCaps/>
          <w:color w:val="000000" w:themeColor="text1"/>
          <w:sz w:val="22"/>
          <w:szCs w:val="22"/>
        </w:rPr>
        <w:t xml:space="preserve"> </w:t>
      </w:r>
    </w:p>
    <w:p w14:paraId="1CB77D75" w14:textId="77777777" w:rsidR="00EC0B0D" w:rsidRDefault="00EC0B0D" w:rsidP="00EC0B0D">
      <w:pPr>
        <w:pStyle w:val="Default"/>
        <w:ind w:right="163"/>
        <w:jc w:val="center"/>
        <w:rPr>
          <w:b/>
          <w:bCs/>
          <w:iCs/>
          <w:smallCaps/>
          <w:color w:val="000000" w:themeColor="text1"/>
          <w:sz w:val="22"/>
          <w:szCs w:val="22"/>
        </w:rPr>
      </w:pPr>
    </w:p>
    <w:p w14:paraId="4654A4C1" w14:textId="7463CF5C" w:rsidR="00EC0B0D" w:rsidRPr="00CC5EC1" w:rsidRDefault="00EC0B0D" w:rsidP="00EC0B0D">
      <w:pPr>
        <w:pStyle w:val="Default"/>
        <w:ind w:right="163"/>
        <w:jc w:val="center"/>
        <w:rPr>
          <w:b/>
          <w:bCs/>
          <w:iCs/>
          <w:smallCaps/>
          <w:color w:val="000000" w:themeColor="text1"/>
          <w:sz w:val="18"/>
          <w:szCs w:val="18"/>
        </w:rPr>
      </w:pPr>
    </w:p>
    <w:p w14:paraId="6891672D" w14:textId="77777777" w:rsidR="00EC0B0D" w:rsidRDefault="00EC0B0D" w:rsidP="00EC0B0D">
      <w:pPr>
        <w:spacing w:after="0" w:line="240" w:lineRule="auto"/>
        <w:jc w:val="center"/>
        <w:rPr>
          <w:rFonts w:ascii="Arial Negrita" w:hAnsi="Arial Negrita" w:cs="Arial"/>
          <w:b/>
          <w:bCs/>
          <w:smallCaps/>
          <w:sz w:val="24"/>
          <w:szCs w:val="24"/>
        </w:rPr>
      </w:pPr>
    </w:p>
    <w:p w14:paraId="76945B84" w14:textId="77777777" w:rsidR="00D277FD" w:rsidRDefault="00D277FD" w:rsidP="00D277FD">
      <w:pPr>
        <w:pStyle w:val="Default"/>
        <w:jc w:val="both"/>
        <w:rPr>
          <w:color w:val="auto"/>
        </w:rPr>
      </w:pPr>
    </w:p>
    <w:p w14:paraId="099955BD" w14:textId="77777777" w:rsidR="00D277FD" w:rsidRDefault="00D277FD" w:rsidP="00D277FD">
      <w:pPr>
        <w:pStyle w:val="Default"/>
        <w:jc w:val="both"/>
        <w:rPr>
          <w:color w:val="auto"/>
        </w:rPr>
      </w:pPr>
    </w:p>
    <w:p w14:paraId="2DF8C28B" w14:textId="77777777" w:rsidR="00D277FD" w:rsidRDefault="00D277FD" w:rsidP="00D277FD">
      <w:pPr>
        <w:pStyle w:val="Default"/>
        <w:jc w:val="both"/>
        <w:rPr>
          <w:color w:val="auto"/>
        </w:rPr>
      </w:pPr>
    </w:p>
    <w:p w14:paraId="2C54B511" w14:textId="77777777" w:rsidR="00D277FD" w:rsidRDefault="00D277FD" w:rsidP="00D277FD">
      <w:pPr>
        <w:pStyle w:val="Default"/>
        <w:jc w:val="both"/>
        <w:rPr>
          <w:color w:val="auto"/>
        </w:rPr>
      </w:pPr>
    </w:p>
    <w:p w14:paraId="6086A245" w14:textId="77777777" w:rsidR="00D277FD" w:rsidRDefault="00D277FD" w:rsidP="00D277FD">
      <w:pPr>
        <w:pStyle w:val="Default"/>
        <w:jc w:val="both"/>
        <w:rPr>
          <w:color w:val="auto"/>
        </w:rPr>
      </w:pPr>
    </w:p>
    <w:p w14:paraId="5CECD2D3" w14:textId="77777777" w:rsidR="00D277FD" w:rsidRDefault="00D277FD" w:rsidP="00D277FD">
      <w:pPr>
        <w:pStyle w:val="Default"/>
        <w:jc w:val="both"/>
        <w:rPr>
          <w:color w:val="auto"/>
        </w:rPr>
      </w:pPr>
    </w:p>
    <w:p w14:paraId="26D148D3" w14:textId="77777777" w:rsidR="00D277FD" w:rsidRDefault="00D277FD" w:rsidP="00D277FD">
      <w:pPr>
        <w:pStyle w:val="Default"/>
        <w:jc w:val="both"/>
        <w:rPr>
          <w:color w:val="auto"/>
        </w:rPr>
      </w:pPr>
    </w:p>
    <w:p w14:paraId="34F12B08" w14:textId="77777777" w:rsidR="00D277FD" w:rsidRDefault="00D277FD" w:rsidP="00D277FD">
      <w:pPr>
        <w:pStyle w:val="Default"/>
        <w:jc w:val="both"/>
        <w:rPr>
          <w:color w:val="auto"/>
        </w:rPr>
      </w:pPr>
    </w:p>
    <w:p w14:paraId="4FBFFC0C" w14:textId="77777777" w:rsidR="00D277FD" w:rsidRDefault="00D277FD" w:rsidP="00D277FD">
      <w:pPr>
        <w:pStyle w:val="Default"/>
        <w:jc w:val="both"/>
        <w:rPr>
          <w:color w:val="auto"/>
        </w:rPr>
      </w:pPr>
    </w:p>
    <w:p w14:paraId="7BCB0437" w14:textId="77777777" w:rsidR="00D277FD" w:rsidRDefault="00D277FD" w:rsidP="00D277FD">
      <w:pPr>
        <w:pStyle w:val="Default"/>
        <w:jc w:val="both"/>
        <w:rPr>
          <w:color w:val="auto"/>
        </w:rPr>
      </w:pPr>
    </w:p>
    <w:p w14:paraId="3CD71752" w14:textId="77777777" w:rsidR="00D277FD" w:rsidRDefault="00D277FD" w:rsidP="00D277FD">
      <w:pPr>
        <w:pStyle w:val="Default"/>
        <w:jc w:val="both"/>
        <w:rPr>
          <w:color w:val="auto"/>
        </w:rPr>
      </w:pPr>
    </w:p>
    <w:p w14:paraId="5C32E854" w14:textId="77777777" w:rsidR="00D277FD" w:rsidRDefault="00D277FD" w:rsidP="00D277FD">
      <w:pPr>
        <w:pStyle w:val="Default"/>
        <w:jc w:val="both"/>
        <w:rPr>
          <w:color w:val="auto"/>
        </w:rPr>
      </w:pPr>
    </w:p>
    <w:p w14:paraId="62FEB1F1" w14:textId="77777777" w:rsidR="00D277FD" w:rsidRDefault="00D277FD" w:rsidP="00D277FD">
      <w:pPr>
        <w:pStyle w:val="Default"/>
        <w:jc w:val="both"/>
        <w:rPr>
          <w:color w:val="auto"/>
        </w:rPr>
      </w:pPr>
    </w:p>
    <w:p w14:paraId="5218617A" w14:textId="77777777" w:rsidR="00D277FD" w:rsidRDefault="00D277FD" w:rsidP="00D277FD">
      <w:pPr>
        <w:pStyle w:val="Default"/>
        <w:jc w:val="both"/>
        <w:rPr>
          <w:color w:val="auto"/>
        </w:rPr>
      </w:pPr>
    </w:p>
    <w:p w14:paraId="1E88E20F" w14:textId="77777777" w:rsidR="00D277FD" w:rsidRDefault="00D277FD" w:rsidP="00D277FD">
      <w:pPr>
        <w:pStyle w:val="Default"/>
        <w:jc w:val="both"/>
        <w:rPr>
          <w:color w:val="auto"/>
        </w:rPr>
      </w:pPr>
    </w:p>
    <w:p w14:paraId="0AB6C134" w14:textId="77777777" w:rsidR="00D277FD" w:rsidRDefault="00D277FD" w:rsidP="00D277FD">
      <w:pPr>
        <w:pStyle w:val="Default"/>
        <w:jc w:val="both"/>
        <w:rPr>
          <w:color w:val="auto"/>
        </w:rPr>
      </w:pPr>
    </w:p>
    <w:p w14:paraId="4CFBEBBC" w14:textId="77777777" w:rsidR="00D277FD" w:rsidRDefault="00D277FD" w:rsidP="00D277FD">
      <w:pPr>
        <w:pStyle w:val="Default"/>
        <w:jc w:val="both"/>
        <w:rPr>
          <w:color w:val="auto"/>
        </w:rPr>
      </w:pPr>
    </w:p>
    <w:p w14:paraId="3D0A85CD" w14:textId="77777777" w:rsidR="00D277FD" w:rsidRDefault="00D277FD" w:rsidP="00D277FD">
      <w:pPr>
        <w:pStyle w:val="Default"/>
        <w:jc w:val="both"/>
        <w:rPr>
          <w:color w:val="auto"/>
        </w:rPr>
      </w:pPr>
    </w:p>
    <w:p w14:paraId="0286AB4E" w14:textId="77777777" w:rsidR="00D277FD" w:rsidRDefault="00D277FD" w:rsidP="00D277FD">
      <w:pPr>
        <w:pStyle w:val="Default"/>
        <w:jc w:val="both"/>
        <w:rPr>
          <w:color w:val="auto"/>
        </w:rPr>
      </w:pPr>
    </w:p>
    <w:p w14:paraId="0BB1D170" w14:textId="73BBEBF0" w:rsidR="00D277FD" w:rsidRPr="00010937" w:rsidRDefault="00D277FD" w:rsidP="00D277FD">
      <w:pPr>
        <w:pStyle w:val="Default"/>
        <w:jc w:val="both"/>
        <w:rPr>
          <w:color w:val="auto"/>
        </w:rPr>
      </w:pPr>
      <w:r>
        <w:rPr>
          <w:color w:val="auto"/>
        </w:rPr>
        <w:lastRenderedPageBreak/>
        <w:t xml:space="preserve">Por </w:t>
      </w:r>
      <w:r w:rsidR="00D85A51">
        <w:rPr>
          <w:color w:val="auto"/>
        </w:rPr>
        <w:t>f</w:t>
      </w:r>
      <w:r>
        <w:rPr>
          <w:color w:val="auto"/>
        </w:rPr>
        <w:t>iscalía</w:t>
      </w:r>
      <w:r w:rsidRPr="002A6360">
        <w:rPr>
          <w:color w:val="auto"/>
        </w:rPr>
        <w:t>,</w:t>
      </w:r>
      <w:r>
        <w:rPr>
          <w:color w:val="auto"/>
        </w:rPr>
        <w:t xml:space="preserve"> la FGR y la F</w:t>
      </w:r>
      <w:r w:rsidR="00D85A51">
        <w:rPr>
          <w:color w:val="auto"/>
        </w:rPr>
        <w:t>iscalía General de Justicia de la</w:t>
      </w:r>
      <w:r w:rsidRPr="002A6360">
        <w:rPr>
          <w:color w:val="auto"/>
        </w:rPr>
        <w:t xml:space="preserve"> Ciudad de México concentraron la mayor cantidad de personal</w:t>
      </w:r>
      <w:r w:rsidR="007A6363">
        <w:rPr>
          <w:color w:val="auto"/>
        </w:rPr>
        <w:t>,</w:t>
      </w:r>
      <w:r w:rsidRPr="002A6360">
        <w:rPr>
          <w:color w:val="auto"/>
        </w:rPr>
        <w:t xml:space="preserve"> con 1</w:t>
      </w:r>
      <w:r>
        <w:rPr>
          <w:color w:val="auto"/>
        </w:rPr>
        <w:t>9</w:t>
      </w:r>
      <w:r w:rsidRPr="002A6360">
        <w:rPr>
          <w:color w:val="auto"/>
        </w:rPr>
        <w:t xml:space="preserve"> </w:t>
      </w:r>
      <w:r>
        <w:rPr>
          <w:color w:val="auto"/>
        </w:rPr>
        <w:t>919</w:t>
      </w:r>
      <w:r w:rsidRPr="002A6360">
        <w:rPr>
          <w:color w:val="auto"/>
        </w:rPr>
        <w:t xml:space="preserve"> y </w:t>
      </w:r>
      <w:r>
        <w:rPr>
          <w:color w:val="auto"/>
        </w:rPr>
        <w:t>15</w:t>
      </w:r>
      <w:r w:rsidRPr="002A6360">
        <w:rPr>
          <w:color w:val="auto"/>
        </w:rPr>
        <w:t xml:space="preserve"> </w:t>
      </w:r>
      <w:r>
        <w:rPr>
          <w:color w:val="auto"/>
        </w:rPr>
        <w:t>705</w:t>
      </w:r>
      <w:r w:rsidRPr="002A6360">
        <w:rPr>
          <w:color w:val="auto"/>
        </w:rPr>
        <w:t xml:space="preserve"> servidoras y servidores público</w:t>
      </w:r>
      <w:r w:rsidR="004678FE">
        <w:rPr>
          <w:color w:val="auto"/>
        </w:rPr>
        <w:t>s</w:t>
      </w:r>
      <w:r w:rsidR="002F04A1">
        <w:rPr>
          <w:color w:val="auto"/>
        </w:rPr>
        <w:t>, respectivamente</w:t>
      </w:r>
      <w:r w:rsidRPr="00010937">
        <w:rPr>
          <w:color w:val="auto"/>
        </w:rPr>
        <w:t>.</w:t>
      </w:r>
    </w:p>
    <w:p w14:paraId="560B907F" w14:textId="14B34768" w:rsidR="00010937" w:rsidRDefault="00010937" w:rsidP="00BC36F5">
      <w:pPr>
        <w:spacing w:after="0" w:line="240" w:lineRule="auto"/>
        <w:jc w:val="both"/>
        <w:rPr>
          <w:rFonts w:ascii="Arial Negrita" w:hAnsi="Arial Negrita" w:cs="Arial"/>
          <w:b/>
          <w:bCs/>
          <w:smallCaps/>
          <w:sz w:val="24"/>
          <w:szCs w:val="24"/>
        </w:rPr>
      </w:pPr>
    </w:p>
    <w:p w14:paraId="53E67066" w14:textId="09088C26" w:rsidR="00D277FD" w:rsidRPr="002D00F3" w:rsidRDefault="00D277FD" w:rsidP="00D277FD">
      <w:pPr>
        <w:pStyle w:val="Default"/>
        <w:jc w:val="center"/>
        <w:rPr>
          <w:color w:val="auto"/>
          <w:sz w:val="20"/>
          <w:szCs w:val="20"/>
        </w:rPr>
      </w:pPr>
      <w:r w:rsidRPr="002D00F3">
        <w:rPr>
          <w:color w:val="auto"/>
          <w:sz w:val="20"/>
          <w:szCs w:val="20"/>
        </w:rPr>
        <w:t xml:space="preserve">Gráfica </w:t>
      </w:r>
      <w:r>
        <w:rPr>
          <w:color w:val="auto"/>
          <w:sz w:val="20"/>
          <w:szCs w:val="20"/>
        </w:rPr>
        <w:t>8</w:t>
      </w:r>
    </w:p>
    <w:p w14:paraId="38D27D3E" w14:textId="77777777" w:rsidR="00D277FD" w:rsidRDefault="00D277FD" w:rsidP="00D277FD">
      <w:pPr>
        <w:pStyle w:val="Default"/>
        <w:ind w:right="163"/>
        <w:jc w:val="center"/>
        <w:rPr>
          <w:b/>
          <w:bCs/>
          <w:iCs/>
          <w:smallCaps/>
          <w:color w:val="000000" w:themeColor="text1"/>
          <w:sz w:val="22"/>
          <w:szCs w:val="22"/>
        </w:rPr>
      </w:pPr>
      <w:r>
        <w:rPr>
          <w:b/>
          <w:bCs/>
          <w:iCs/>
          <w:smallCaps/>
          <w:color w:val="000000" w:themeColor="text1"/>
          <w:sz w:val="22"/>
          <w:szCs w:val="22"/>
        </w:rPr>
        <w:t>Personal adscrito a la FGR y a las FGE, 2021</w:t>
      </w:r>
    </w:p>
    <w:p w14:paraId="4A72ECF8" w14:textId="6C493787" w:rsidR="00D277FD" w:rsidRDefault="00D277FD" w:rsidP="00D277FD">
      <w:pPr>
        <w:pStyle w:val="Default"/>
        <w:ind w:right="163"/>
        <w:jc w:val="center"/>
        <w:rPr>
          <w:b/>
          <w:bCs/>
          <w:iCs/>
          <w:smallCaps/>
          <w:color w:val="000000" w:themeColor="text1"/>
          <w:sz w:val="22"/>
          <w:szCs w:val="22"/>
        </w:rPr>
      </w:pPr>
      <w:r>
        <w:rPr>
          <w:noProof/>
        </w:rPr>
        <w:drawing>
          <wp:anchor distT="0" distB="0" distL="114300" distR="114300" simplePos="0" relativeHeight="251679744" behindDoc="0" locked="0" layoutInCell="1" allowOverlap="1" wp14:anchorId="4FE41BCC" wp14:editId="097F2EBE">
            <wp:simplePos x="0" y="0"/>
            <wp:positionH relativeFrom="margin">
              <wp:posOffset>1288415</wp:posOffset>
            </wp:positionH>
            <wp:positionV relativeFrom="paragraph">
              <wp:posOffset>156845</wp:posOffset>
            </wp:positionV>
            <wp:extent cx="3821430" cy="4874260"/>
            <wp:effectExtent l="0" t="0" r="7620" b="2540"/>
            <wp:wrapSquare wrapText="bothSides"/>
            <wp:docPr id="18" name="Gráfico 18">
              <a:extLst xmlns:a="http://schemas.openxmlformats.org/drawingml/2006/main">
                <a:ext uri="{FF2B5EF4-FFF2-40B4-BE49-F238E27FC236}">
                  <a16:creationId xmlns:a16="http://schemas.microsoft.com/office/drawing/2014/main" id="{74227954-16F5-4326-B163-B8C497EEC3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0F4EC1">
        <w:rPr>
          <w:b/>
          <w:bCs/>
          <w:iCs/>
          <w:smallCaps/>
          <w:color w:val="000000" w:themeColor="text1"/>
          <w:sz w:val="22"/>
          <w:szCs w:val="22"/>
        </w:rPr>
        <w:t xml:space="preserve"> </w:t>
      </w:r>
    </w:p>
    <w:p w14:paraId="3CC73081" w14:textId="409CA8E5" w:rsidR="00010937" w:rsidRDefault="00010937" w:rsidP="00BC36F5">
      <w:pPr>
        <w:spacing w:after="0" w:line="240" w:lineRule="auto"/>
        <w:jc w:val="both"/>
        <w:rPr>
          <w:rFonts w:ascii="Arial Negrita" w:hAnsi="Arial Negrita" w:cs="Arial"/>
          <w:b/>
          <w:bCs/>
          <w:smallCaps/>
          <w:sz w:val="24"/>
          <w:szCs w:val="24"/>
        </w:rPr>
      </w:pPr>
    </w:p>
    <w:p w14:paraId="49E5F069"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0C12B336"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5EB80754"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2F6CBA8D"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45AD7AC6"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184DEA7B"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487C269D"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49E51F28"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0ABA9DF7"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30A01B3E"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3D707E84"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19A3AFAA"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2D5F4F36"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7A5A7D2D"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7EAC8270"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2D091A03"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605CFC62"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62144D16"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48DB7155"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4700298A" w14:textId="77777777" w:rsidR="00CF7B02" w:rsidRDefault="00CF7B02">
      <w:pPr>
        <w:spacing w:before="46" w:after="0" w:line="276" w:lineRule="auto"/>
        <w:ind w:left="567" w:right="601" w:hanging="28"/>
        <w:jc w:val="both"/>
        <w:rPr>
          <w:rFonts w:ascii="Arial Negrita" w:hAnsi="Arial Negrita" w:cs="Arial"/>
          <w:b/>
          <w:bCs/>
          <w:smallCaps/>
          <w:sz w:val="24"/>
          <w:szCs w:val="24"/>
        </w:rPr>
      </w:pPr>
    </w:p>
    <w:p w14:paraId="07F3A8AC" w14:textId="77777777" w:rsidR="00D277FD" w:rsidRDefault="00D277FD">
      <w:pPr>
        <w:spacing w:before="46" w:after="0" w:line="276" w:lineRule="auto"/>
        <w:ind w:left="567" w:right="601" w:hanging="28"/>
        <w:jc w:val="both"/>
        <w:rPr>
          <w:rFonts w:ascii="Arial" w:hAnsi="Arial" w:cs="Arial"/>
          <w:sz w:val="16"/>
          <w:szCs w:val="16"/>
        </w:rPr>
      </w:pPr>
    </w:p>
    <w:p w14:paraId="55081F79" w14:textId="2926673B" w:rsidR="00010937" w:rsidRDefault="00EB6C5B">
      <w:pPr>
        <w:spacing w:before="46" w:after="0" w:line="276" w:lineRule="auto"/>
        <w:ind w:left="567" w:right="601" w:hanging="28"/>
        <w:jc w:val="both"/>
        <w:rPr>
          <w:rFonts w:ascii="Arial Negrita" w:hAnsi="Arial Negrita" w:cs="Arial"/>
          <w:b/>
          <w:bCs/>
          <w:smallCaps/>
          <w:sz w:val="24"/>
          <w:szCs w:val="24"/>
        </w:rPr>
      </w:pPr>
      <w:r>
        <w:rPr>
          <w:rFonts w:ascii="Arial" w:hAnsi="Arial" w:cs="Arial"/>
          <w:sz w:val="16"/>
          <w:szCs w:val="16"/>
        </w:rPr>
        <w:t xml:space="preserve">Nota: </w:t>
      </w:r>
      <w:r w:rsidR="00932A13" w:rsidRPr="00360792">
        <w:rPr>
          <w:rFonts w:ascii="Arial" w:hAnsi="Arial" w:cs="Arial"/>
          <w:sz w:val="16"/>
          <w:szCs w:val="16"/>
        </w:rPr>
        <w:t>La</w:t>
      </w:r>
      <w:r w:rsidR="00B813BC">
        <w:rPr>
          <w:rFonts w:ascii="Arial" w:hAnsi="Arial" w:cs="Arial"/>
          <w:sz w:val="16"/>
          <w:szCs w:val="16"/>
        </w:rPr>
        <w:t xml:space="preserve">s cifras </w:t>
      </w:r>
      <w:r>
        <w:rPr>
          <w:rFonts w:ascii="Arial" w:hAnsi="Arial" w:cs="Arial"/>
          <w:sz w:val="16"/>
          <w:szCs w:val="16"/>
        </w:rPr>
        <w:t>correspondientes a la</w:t>
      </w:r>
      <w:r w:rsidR="00932A13" w:rsidRPr="00360792">
        <w:rPr>
          <w:rFonts w:ascii="Arial" w:hAnsi="Arial" w:cs="Arial"/>
          <w:sz w:val="16"/>
          <w:szCs w:val="16"/>
        </w:rPr>
        <w:t xml:space="preserve"> Fiscalía General del Estado de San Luis Potosí </w:t>
      </w:r>
      <w:r w:rsidR="00B813BC">
        <w:rPr>
          <w:rFonts w:ascii="Arial" w:hAnsi="Arial" w:cs="Arial"/>
          <w:sz w:val="16"/>
          <w:szCs w:val="16"/>
        </w:rPr>
        <w:t xml:space="preserve">son de carácter parcial debido a que </w:t>
      </w:r>
      <w:r w:rsidR="00932A13" w:rsidRPr="00360792">
        <w:rPr>
          <w:rFonts w:ascii="Arial" w:hAnsi="Arial" w:cs="Arial"/>
          <w:sz w:val="16"/>
          <w:szCs w:val="16"/>
        </w:rPr>
        <w:t>negó entregar la información sobre agentes del Ministerio Público, peritos y policías por motivos de reserva.</w:t>
      </w:r>
      <w:r w:rsidR="00010937">
        <w:rPr>
          <w:rFonts w:ascii="Arial Negrita" w:hAnsi="Arial Negrita" w:cs="Arial"/>
          <w:b/>
          <w:bCs/>
          <w:smallCaps/>
          <w:sz w:val="24"/>
          <w:szCs w:val="24"/>
        </w:rPr>
        <w:br w:type="page"/>
      </w:r>
    </w:p>
    <w:p w14:paraId="1AE5ADB8" w14:textId="161D82E1" w:rsidR="00DC508F" w:rsidRDefault="001D285D" w:rsidP="00DC508F">
      <w:pPr>
        <w:pStyle w:val="Default"/>
        <w:ind w:right="163"/>
        <w:jc w:val="both"/>
        <w:rPr>
          <w:color w:val="auto"/>
        </w:rPr>
      </w:pPr>
      <w:r>
        <w:rPr>
          <w:color w:val="auto"/>
        </w:rPr>
        <w:lastRenderedPageBreak/>
        <w:t>Según</w:t>
      </w:r>
      <w:r w:rsidR="00DC508F" w:rsidRPr="00660DAF">
        <w:rPr>
          <w:color w:val="auto"/>
        </w:rPr>
        <w:t xml:space="preserve"> sexo, del total </w:t>
      </w:r>
      <w:r>
        <w:rPr>
          <w:color w:val="auto"/>
        </w:rPr>
        <w:t xml:space="preserve">de personal que laboró en las </w:t>
      </w:r>
      <w:r w:rsidR="00ED0D6E">
        <w:rPr>
          <w:color w:val="auto"/>
        </w:rPr>
        <w:t>f</w:t>
      </w:r>
      <w:r>
        <w:rPr>
          <w:color w:val="auto"/>
        </w:rPr>
        <w:t>iscalías</w:t>
      </w:r>
      <w:r w:rsidR="00D277FD">
        <w:rPr>
          <w:color w:val="auto"/>
        </w:rPr>
        <w:t>,</w:t>
      </w:r>
      <w:r w:rsidR="00DC508F" w:rsidRPr="00660DAF">
        <w:rPr>
          <w:color w:val="auto"/>
        </w:rPr>
        <w:t xml:space="preserve"> 55.8 % </w:t>
      </w:r>
      <w:r w:rsidR="007A6363">
        <w:rPr>
          <w:color w:val="auto"/>
        </w:rPr>
        <w:t xml:space="preserve">correspondió a hombres </w:t>
      </w:r>
      <w:r w:rsidR="00FF1C62">
        <w:rPr>
          <w:color w:val="auto"/>
        </w:rPr>
        <w:t xml:space="preserve">y </w:t>
      </w:r>
      <w:r w:rsidR="00DC508F" w:rsidRPr="00660DAF">
        <w:rPr>
          <w:color w:val="auto"/>
        </w:rPr>
        <w:t>44.2 %</w:t>
      </w:r>
      <w:r w:rsidR="00860B7B">
        <w:rPr>
          <w:color w:val="auto"/>
        </w:rPr>
        <w:t>,</w:t>
      </w:r>
      <w:r w:rsidR="00FF1C62">
        <w:rPr>
          <w:color w:val="auto"/>
        </w:rPr>
        <w:t xml:space="preserve"> a mujeres. </w:t>
      </w:r>
      <w:r w:rsidR="00DC508F" w:rsidRPr="00660DAF">
        <w:rPr>
          <w:color w:val="auto"/>
        </w:rPr>
        <w:t xml:space="preserve">La función principal </w:t>
      </w:r>
      <w:r w:rsidR="00FF1C62">
        <w:rPr>
          <w:color w:val="auto"/>
        </w:rPr>
        <w:t xml:space="preserve">que desempeñaron los </w:t>
      </w:r>
      <w:r w:rsidR="00DC508F" w:rsidRPr="00660DAF">
        <w:rPr>
          <w:color w:val="auto"/>
        </w:rPr>
        <w:t xml:space="preserve">hombres fue </w:t>
      </w:r>
      <w:r w:rsidR="00DC508F" w:rsidRPr="00CC5EC1">
        <w:rPr>
          <w:i/>
          <w:iCs/>
          <w:color w:val="auto"/>
        </w:rPr>
        <w:t>Policía judicial, ministerial o de investigación</w:t>
      </w:r>
      <w:r w:rsidR="00FF1C62">
        <w:rPr>
          <w:color w:val="auto"/>
        </w:rPr>
        <w:t xml:space="preserve">. Las </w:t>
      </w:r>
      <w:r w:rsidR="00DC508F" w:rsidRPr="00660DAF">
        <w:rPr>
          <w:color w:val="auto"/>
        </w:rPr>
        <w:t xml:space="preserve">mujeres destacaron en la función de </w:t>
      </w:r>
      <w:r w:rsidR="00DC508F" w:rsidRPr="00CC5EC1">
        <w:rPr>
          <w:i/>
          <w:iCs/>
          <w:color w:val="auto"/>
        </w:rPr>
        <w:t>Atención especializada en justicia para las mujeres</w:t>
      </w:r>
      <w:r w:rsidR="00DC508F" w:rsidRPr="00DC508F">
        <w:rPr>
          <w:color w:val="auto"/>
        </w:rPr>
        <w:t>.</w:t>
      </w:r>
    </w:p>
    <w:p w14:paraId="5D968E77" w14:textId="73E45746" w:rsidR="00CE7944" w:rsidRDefault="00CE7944" w:rsidP="00DC508F">
      <w:pPr>
        <w:pStyle w:val="Default"/>
        <w:ind w:right="163"/>
        <w:jc w:val="both"/>
        <w:rPr>
          <w:color w:val="auto"/>
        </w:rPr>
      </w:pPr>
    </w:p>
    <w:p w14:paraId="6A519583" w14:textId="3E5AB235" w:rsidR="00CE7944" w:rsidRPr="002D00F3" w:rsidRDefault="00CE7944" w:rsidP="00CE7944">
      <w:pPr>
        <w:pStyle w:val="Default"/>
        <w:jc w:val="center"/>
        <w:rPr>
          <w:color w:val="auto"/>
          <w:sz w:val="20"/>
          <w:szCs w:val="20"/>
        </w:rPr>
      </w:pPr>
      <w:r w:rsidRPr="002D00F3">
        <w:rPr>
          <w:color w:val="auto"/>
          <w:sz w:val="20"/>
          <w:szCs w:val="20"/>
        </w:rPr>
        <w:t xml:space="preserve">Gráfica </w:t>
      </w:r>
      <w:r w:rsidR="00D277FD">
        <w:rPr>
          <w:color w:val="auto"/>
          <w:sz w:val="20"/>
          <w:szCs w:val="20"/>
        </w:rPr>
        <w:t>9</w:t>
      </w:r>
    </w:p>
    <w:p w14:paraId="56E1A618" w14:textId="01D38B23" w:rsidR="00CE7944" w:rsidRDefault="00ED0D6E" w:rsidP="00CE7944">
      <w:pPr>
        <w:pStyle w:val="Default"/>
        <w:ind w:right="163"/>
        <w:jc w:val="center"/>
        <w:rPr>
          <w:b/>
          <w:bCs/>
          <w:iCs/>
          <w:smallCaps/>
          <w:color w:val="000000" w:themeColor="text1"/>
          <w:sz w:val="22"/>
          <w:szCs w:val="22"/>
        </w:rPr>
      </w:pPr>
      <w:r>
        <w:rPr>
          <w:b/>
          <w:bCs/>
          <w:iCs/>
          <w:smallCaps/>
          <w:color w:val="000000" w:themeColor="text1"/>
          <w:sz w:val="22"/>
          <w:szCs w:val="22"/>
        </w:rPr>
        <w:t>P</w:t>
      </w:r>
      <w:r w:rsidR="00CE7944">
        <w:rPr>
          <w:b/>
          <w:bCs/>
          <w:iCs/>
          <w:smallCaps/>
          <w:color w:val="000000" w:themeColor="text1"/>
          <w:sz w:val="22"/>
          <w:szCs w:val="22"/>
        </w:rPr>
        <w:t>ersonal adscrito a la FGR y a las FGE</w:t>
      </w:r>
      <w:r w:rsidR="00CE7944" w:rsidRPr="000F4EC1">
        <w:rPr>
          <w:b/>
          <w:bCs/>
          <w:iCs/>
          <w:smallCaps/>
          <w:color w:val="000000" w:themeColor="text1"/>
          <w:sz w:val="22"/>
          <w:szCs w:val="22"/>
        </w:rPr>
        <w:t xml:space="preserve"> </w:t>
      </w:r>
      <w:r w:rsidR="00CE7944">
        <w:rPr>
          <w:b/>
          <w:bCs/>
          <w:iCs/>
          <w:smallCaps/>
          <w:color w:val="000000" w:themeColor="text1"/>
          <w:sz w:val="22"/>
          <w:szCs w:val="22"/>
        </w:rPr>
        <w:t>según función principal</w:t>
      </w:r>
      <w:r w:rsidR="00CE7944" w:rsidRPr="000F4EC1">
        <w:rPr>
          <w:b/>
          <w:bCs/>
          <w:iCs/>
          <w:smallCaps/>
          <w:color w:val="000000" w:themeColor="text1"/>
          <w:sz w:val="22"/>
          <w:szCs w:val="22"/>
        </w:rPr>
        <w:t xml:space="preserve">, 2021 </w:t>
      </w:r>
    </w:p>
    <w:p w14:paraId="214E87C6" w14:textId="77777777" w:rsidR="003E3BA9" w:rsidRDefault="003E3BA9" w:rsidP="004A7B37">
      <w:pPr>
        <w:pStyle w:val="Default"/>
        <w:ind w:right="163"/>
        <w:rPr>
          <w:color w:val="auto"/>
        </w:rPr>
      </w:pPr>
    </w:p>
    <w:p w14:paraId="19F515CA" w14:textId="0ACE242D" w:rsidR="00CE7944" w:rsidRPr="00DC508F" w:rsidRDefault="00B3055F" w:rsidP="004A7B37">
      <w:pPr>
        <w:pStyle w:val="Default"/>
        <w:ind w:right="163"/>
        <w:rPr>
          <w:color w:val="auto"/>
        </w:rPr>
      </w:pPr>
      <w:r>
        <w:rPr>
          <w:noProof/>
        </w:rPr>
        <w:drawing>
          <wp:inline distT="0" distB="0" distL="0" distR="0" wp14:anchorId="684828FC" wp14:editId="22FEAACD">
            <wp:extent cx="6404610" cy="4629785"/>
            <wp:effectExtent l="0" t="0" r="0" b="0"/>
            <wp:docPr id="20" name="Gráfico 20">
              <a:extLst xmlns:a="http://schemas.openxmlformats.org/drawingml/2006/main">
                <a:ext uri="{FF2B5EF4-FFF2-40B4-BE49-F238E27FC236}">
                  <a16:creationId xmlns:a16="http://schemas.microsoft.com/office/drawing/2014/main" id="{120E5DF7-E734-3CC2-902C-7F72EBCA28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7D548F" w14:textId="41531A06" w:rsidR="003E3BA9" w:rsidRDefault="003E3BA9" w:rsidP="00524D09">
      <w:pPr>
        <w:pStyle w:val="Default"/>
        <w:ind w:right="163"/>
        <w:jc w:val="both"/>
        <w:rPr>
          <w:color w:val="auto"/>
          <w:sz w:val="16"/>
          <w:szCs w:val="16"/>
        </w:rPr>
      </w:pPr>
      <w:r>
        <w:rPr>
          <w:color w:val="auto"/>
          <w:sz w:val="16"/>
          <w:szCs w:val="16"/>
        </w:rPr>
        <w:t xml:space="preserve">Nota: </w:t>
      </w:r>
      <w:r w:rsidRPr="00360792">
        <w:rPr>
          <w:sz w:val="16"/>
          <w:szCs w:val="16"/>
        </w:rPr>
        <w:t>La</w:t>
      </w:r>
      <w:r>
        <w:rPr>
          <w:sz w:val="16"/>
          <w:szCs w:val="16"/>
        </w:rPr>
        <w:t>s cifras correspondientes a la</w:t>
      </w:r>
      <w:r w:rsidRPr="00360792">
        <w:rPr>
          <w:sz w:val="16"/>
          <w:szCs w:val="16"/>
        </w:rPr>
        <w:t xml:space="preserve"> Fiscalía General del Estado de San Luis Potosí </w:t>
      </w:r>
      <w:r>
        <w:rPr>
          <w:sz w:val="16"/>
          <w:szCs w:val="16"/>
        </w:rPr>
        <w:t xml:space="preserve">son de carácter parcial debido a que </w:t>
      </w:r>
      <w:r w:rsidRPr="00360792">
        <w:rPr>
          <w:sz w:val="16"/>
          <w:szCs w:val="16"/>
        </w:rPr>
        <w:t>negó entregar la información sobre agentes del Ministerio Público, peritos y policías por motivos de reserva.</w:t>
      </w:r>
    </w:p>
    <w:p w14:paraId="2EB67006" w14:textId="5BEBD5FE" w:rsidR="00524D09" w:rsidRPr="00F356C3" w:rsidRDefault="00524D09" w:rsidP="00524D09">
      <w:pPr>
        <w:pStyle w:val="Default"/>
        <w:ind w:right="163"/>
        <w:jc w:val="both"/>
        <w:rPr>
          <w:color w:val="auto"/>
          <w:sz w:val="16"/>
          <w:szCs w:val="16"/>
        </w:rPr>
      </w:pPr>
      <w:r w:rsidRPr="00F356C3">
        <w:rPr>
          <w:color w:val="auto"/>
          <w:sz w:val="16"/>
          <w:szCs w:val="16"/>
        </w:rPr>
        <w:t>*Mecanismos alternativos de solución de controversias en materia penal</w:t>
      </w:r>
    </w:p>
    <w:p w14:paraId="27F46B3A" w14:textId="067CB82D" w:rsidR="00524D09" w:rsidRPr="00F356C3" w:rsidRDefault="00524D09" w:rsidP="00524D09">
      <w:pPr>
        <w:pStyle w:val="Default"/>
        <w:ind w:right="163"/>
        <w:jc w:val="both"/>
        <w:rPr>
          <w:color w:val="auto"/>
          <w:sz w:val="16"/>
          <w:szCs w:val="16"/>
        </w:rPr>
      </w:pPr>
      <w:r w:rsidRPr="00F356C3">
        <w:rPr>
          <w:color w:val="auto"/>
          <w:sz w:val="16"/>
          <w:szCs w:val="16"/>
        </w:rPr>
        <w:t>**Supervisión de medidas cautelares y suspensión condicional del proceso</w:t>
      </w:r>
    </w:p>
    <w:p w14:paraId="741F90B0" w14:textId="5C927829" w:rsidR="00010937" w:rsidRPr="004450D0" w:rsidRDefault="00524D09" w:rsidP="004450D0">
      <w:pPr>
        <w:pStyle w:val="Default"/>
        <w:ind w:right="163"/>
        <w:jc w:val="both"/>
        <w:rPr>
          <w:color w:val="auto"/>
          <w:sz w:val="16"/>
          <w:szCs w:val="16"/>
        </w:rPr>
      </w:pPr>
      <w:r w:rsidRPr="00F356C3">
        <w:rPr>
          <w:color w:val="auto"/>
          <w:sz w:val="16"/>
          <w:szCs w:val="16"/>
        </w:rPr>
        <w:t>***Cooperación internacional, asuntos y/o procedimientos internacionales y agregadurías</w:t>
      </w:r>
    </w:p>
    <w:p w14:paraId="1A97E9C3" w14:textId="50EF9762" w:rsidR="00DC508F" w:rsidRDefault="00DC508F" w:rsidP="00BC36F5">
      <w:pPr>
        <w:spacing w:after="0" w:line="240" w:lineRule="auto"/>
        <w:jc w:val="both"/>
        <w:rPr>
          <w:rFonts w:ascii="Arial Negrita" w:hAnsi="Arial Negrita" w:cs="Arial"/>
          <w:b/>
          <w:bCs/>
          <w:smallCaps/>
          <w:sz w:val="24"/>
          <w:szCs w:val="24"/>
        </w:rPr>
      </w:pPr>
    </w:p>
    <w:p w14:paraId="128F77A0" w14:textId="24ECF39E" w:rsidR="00DC508F" w:rsidRDefault="00DC508F">
      <w:pPr>
        <w:spacing w:before="46" w:after="0" w:line="276" w:lineRule="auto"/>
        <w:ind w:left="567" w:right="601" w:hanging="28"/>
        <w:jc w:val="both"/>
        <w:rPr>
          <w:rFonts w:ascii="Arial Negrita" w:hAnsi="Arial Negrita" w:cs="Arial"/>
          <w:b/>
          <w:bCs/>
          <w:smallCaps/>
          <w:sz w:val="24"/>
          <w:szCs w:val="24"/>
        </w:rPr>
      </w:pPr>
      <w:r>
        <w:rPr>
          <w:rFonts w:ascii="Arial Negrita" w:hAnsi="Arial Negrita" w:cs="Arial"/>
          <w:b/>
          <w:bCs/>
          <w:smallCaps/>
          <w:sz w:val="24"/>
          <w:szCs w:val="24"/>
        </w:rPr>
        <w:br w:type="page"/>
      </w:r>
    </w:p>
    <w:p w14:paraId="47F5BEFE" w14:textId="492C07F3" w:rsidR="00EC378C" w:rsidRDefault="00EC378C" w:rsidP="00EC378C">
      <w:pPr>
        <w:pStyle w:val="Default"/>
        <w:ind w:right="163"/>
        <w:jc w:val="both"/>
        <w:rPr>
          <w:color w:val="auto"/>
        </w:rPr>
      </w:pPr>
      <w:r w:rsidRPr="0004227A">
        <w:rPr>
          <w:color w:val="auto"/>
        </w:rPr>
        <w:lastRenderedPageBreak/>
        <w:t>Durante 2021, la FGR ejerció un presupuesto 16 652 245 607.7 pesos y las FGE ejerci</w:t>
      </w:r>
      <w:r w:rsidR="00A46484">
        <w:rPr>
          <w:color w:val="auto"/>
        </w:rPr>
        <w:t>eron</w:t>
      </w:r>
      <w:r w:rsidRPr="0004227A">
        <w:rPr>
          <w:color w:val="auto"/>
        </w:rPr>
        <w:t xml:space="preserve"> </w:t>
      </w:r>
      <w:r w:rsidR="000D1375" w:rsidRPr="000D1375">
        <w:rPr>
          <w:color w:val="auto"/>
        </w:rPr>
        <w:t xml:space="preserve">49 563 310 945.5 </w:t>
      </w:r>
      <w:r w:rsidRPr="0004227A">
        <w:rPr>
          <w:color w:val="auto"/>
        </w:rPr>
        <w:t>pesos</w:t>
      </w:r>
      <w:r w:rsidR="00D277FD">
        <w:rPr>
          <w:color w:val="auto"/>
        </w:rPr>
        <w:t>.</w:t>
      </w:r>
      <w:r w:rsidRPr="0004227A">
        <w:rPr>
          <w:color w:val="auto"/>
        </w:rPr>
        <w:t xml:space="preserve"> </w:t>
      </w:r>
      <w:r w:rsidR="00D277FD">
        <w:rPr>
          <w:color w:val="auto"/>
        </w:rPr>
        <w:t>Esto</w:t>
      </w:r>
      <w:r w:rsidRPr="0004227A">
        <w:rPr>
          <w:color w:val="auto"/>
        </w:rPr>
        <w:t xml:space="preserve"> representó</w:t>
      </w:r>
      <w:r w:rsidR="009559B5">
        <w:rPr>
          <w:color w:val="auto"/>
        </w:rPr>
        <w:t>,</w:t>
      </w:r>
      <w:r w:rsidRPr="0004227A">
        <w:rPr>
          <w:color w:val="auto"/>
        </w:rPr>
        <w:t xml:space="preserve"> en ambos casos</w:t>
      </w:r>
      <w:r w:rsidR="009559B5">
        <w:rPr>
          <w:color w:val="auto"/>
        </w:rPr>
        <w:t>,</w:t>
      </w:r>
      <w:r w:rsidRPr="0004227A">
        <w:rPr>
          <w:color w:val="auto"/>
        </w:rPr>
        <w:t xml:space="preserve"> un aumento de 7.7 % respecto al presupuesto ejercido en 2020.</w:t>
      </w:r>
    </w:p>
    <w:p w14:paraId="314ABA9C" w14:textId="6165C8DD" w:rsidR="00DC508F" w:rsidRDefault="00DC508F" w:rsidP="00BC36F5">
      <w:pPr>
        <w:spacing w:after="0" w:line="240" w:lineRule="auto"/>
        <w:jc w:val="both"/>
        <w:rPr>
          <w:rFonts w:ascii="Arial Negrita" w:hAnsi="Arial Negrita" w:cs="Arial"/>
          <w:b/>
          <w:bCs/>
          <w:smallCaps/>
          <w:sz w:val="24"/>
          <w:szCs w:val="24"/>
        </w:rPr>
      </w:pPr>
    </w:p>
    <w:p w14:paraId="4E0398BB" w14:textId="52A6F5A1" w:rsidR="00256569" w:rsidRPr="002D00F3" w:rsidRDefault="00256569" w:rsidP="00256569">
      <w:pPr>
        <w:pStyle w:val="Default"/>
        <w:jc w:val="center"/>
        <w:rPr>
          <w:color w:val="auto"/>
          <w:sz w:val="20"/>
          <w:szCs w:val="20"/>
        </w:rPr>
      </w:pPr>
      <w:r w:rsidRPr="002D00F3">
        <w:rPr>
          <w:color w:val="auto"/>
          <w:sz w:val="20"/>
          <w:szCs w:val="20"/>
        </w:rPr>
        <w:t xml:space="preserve">Gráfica </w:t>
      </w:r>
      <w:r w:rsidR="001E71F9">
        <w:rPr>
          <w:color w:val="auto"/>
          <w:sz w:val="20"/>
          <w:szCs w:val="20"/>
        </w:rPr>
        <w:t>10</w:t>
      </w:r>
    </w:p>
    <w:p w14:paraId="7B0709C2" w14:textId="61635AE8" w:rsidR="00256569" w:rsidRDefault="00256569" w:rsidP="00256569">
      <w:pPr>
        <w:pStyle w:val="Default"/>
        <w:ind w:right="163"/>
        <w:jc w:val="center"/>
        <w:rPr>
          <w:b/>
          <w:bCs/>
          <w:iCs/>
          <w:smallCaps/>
          <w:color w:val="000000" w:themeColor="text1"/>
          <w:sz w:val="22"/>
          <w:szCs w:val="22"/>
        </w:rPr>
      </w:pPr>
      <w:r>
        <w:rPr>
          <w:b/>
          <w:bCs/>
          <w:iCs/>
          <w:smallCaps/>
          <w:color w:val="000000" w:themeColor="text1"/>
          <w:sz w:val="22"/>
          <w:szCs w:val="22"/>
        </w:rPr>
        <w:t>Presupuesto ejercido por la FGR y las FGE</w:t>
      </w:r>
    </w:p>
    <w:p w14:paraId="51E6D9C1" w14:textId="0B2093AB" w:rsidR="001E71F9" w:rsidRPr="00003FE7" w:rsidRDefault="001E71F9" w:rsidP="001E6A5A">
      <w:pPr>
        <w:pStyle w:val="Default"/>
        <w:jc w:val="center"/>
        <w:rPr>
          <w:iCs/>
          <w:smallCaps/>
          <w:color w:val="000000" w:themeColor="text1"/>
          <w:sz w:val="18"/>
          <w:szCs w:val="18"/>
        </w:rPr>
      </w:pPr>
      <w:r w:rsidRPr="00003FE7">
        <w:rPr>
          <w:iCs/>
          <w:smallCaps/>
          <w:color w:val="000000" w:themeColor="text1"/>
          <w:sz w:val="18"/>
          <w:szCs w:val="18"/>
        </w:rPr>
        <w:t>(Millones de pesos)</w:t>
      </w:r>
    </w:p>
    <w:p w14:paraId="383E0BDB" w14:textId="77777777" w:rsidR="00256569" w:rsidRDefault="00256569" w:rsidP="00256569">
      <w:pPr>
        <w:pStyle w:val="Default"/>
        <w:ind w:right="163"/>
        <w:jc w:val="both"/>
        <w:rPr>
          <w:color w:val="auto"/>
        </w:rPr>
      </w:pPr>
    </w:p>
    <w:p w14:paraId="3F59AC6C" w14:textId="77777777" w:rsidR="00256569" w:rsidRDefault="00256569" w:rsidP="00486F98">
      <w:pPr>
        <w:pStyle w:val="Default"/>
        <w:ind w:right="163"/>
        <w:jc w:val="center"/>
        <w:rPr>
          <w:color w:val="auto"/>
        </w:rPr>
      </w:pPr>
      <w:r>
        <w:rPr>
          <w:noProof/>
        </w:rPr>
        <w:drawing>
          <wp:inline distT="0" distB="0" distL="0" distR="0" wp14:anchorId="6E38793B" wp14:editId="07BE34CD">
            <wp:extent cx="5779827" cy="2743200"/>
            <wp:effectExtent l="0" t="0" r="0" b="0"/>
            <wp:docPr id="45" name="Gráfico 45">
              <a:extLst xmlns:a="http://schemas.openxmlformats.org/drawingml/2006/main">
                <a:ext uri="{FF2B5EF4-FFF2-40B4-BE49-F238E27FC236}">
                  <a16:creationId xmlns:a16="http://schemas.microsoft.com/office/drawing/2014/main" id="{B1FB6A59-7D00-4909-8751-567955D726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D7B64E" w14:textId="26799705" w:rsidR="00EC378C" w:rsidRDefault="00EC378C" w:rsidP="00256569">
      <w:pPr>
        <w:spacing w:after="0" w:line="240" w:lineRule="auto"/>
        <w:jc w:val="center"/>
        <w:rPr>
          <w:rFonts w:ascii="Arial Negrita" w:hAnsi="Arial Negrita" w:cs="Arial"/>
          <w:b/>
          <w:bCs/>
          <w:smallCaps/>
          <w:sz w:val="24"/>
          <w:szCs w:val="24"/>
        </w:rPr>
      </w:pPr>
    </w:p>
    <w:p w14:paraId="4EA3727B" w14:textId="77777777" w:rsidR="001E71F9" w:rsidRDefault="001E71F9" w:rsidP="001E71F9">
      <w:pPr>
        <w:spacing w:before="46" w:after="0" w:line="276" w:lineRule="auto"/>
        <w:ind w:right="601"/>
        <w:jc w:val="both"/>
        <w:rPr>
          <w:rFonts w:ascii="Arial" w:hAnsi="Arial" w:cs="Arial"/>
          <w:sz w:val="24"/>
          <w:szCs w:val="24"/>
        </w:rPr>
      </w:pPr>
    </w:p>
    <w:p w14:paraId="1666EED1" w14:textId="77777777" w:rsidR="001E71F9" w:rsidRDefault="001E71F9" w:rsidP="001E71F9">
      <w:pPr>
        <w:spacing w:before="46" w:after="0" w:line="276" w:lineRule="auto"/>
        <w:ind w:right="601"/>
        <w:jc w:val="both"/>
        <w:rPr>
          <w:rFonts w:ascii="Arial" w:hAnsi="Arial" w:cs="Arial"/>
          <w:sz w:val="24"/>
          <w:szCs w:val="24"/>
        </w:rPr>
      </w:pPr>
    </w:p>
    <w:p w14:paraId="02328E7B" w14:textId="77777777" w:rsidR="001E71F9" w:rsidRDefault="001E71F9" w:rsidP="001E71F9">
      <w:pPr>
        <w:spacing w:before="46" w:after="0" w:line="276" w:lineRule="auto"/>
        <w:ind w:right="601"/>
        <w:jc w:val="both"/>
        <w:rPr>
          <w:rFonts w:ascii="Arial" w:hAnsi="Arial" w:cs="Arial"/>
          <w:sz w:val="24"/>
          <w:szCs w:val="24"/>
        </w:rPr>
      </w:pPr>
    </w:p>
    <w:p w14:paraId="130C57B8" w14:textId="77777777" w:rsidR="001E71F9" w:rsidRDefault="001E71F9" w:rsidP="001E71F9">
      <w:pPr>
        <w:spacing w:before="46" w:after="0" w:line="276" w:lineRule="auto"/>
        <w:ind w:right="601"/>
        <w:jc w:val="both"/>
        <w:rPr>
          <w:rFonts w:ascii="Arial" w:hAnsi="Arial" w:cs="Arial"/>
          <w:sz w:val="24"/>
          <w:szCs w:val="24"/>
        </w:rPr>
      </w:pPr>
    </w:p>
    <w:p w14:paraId="2070D9C6" w14:textId="77777777" w:rsidR="001E71F9" w:rsidRDefault="001E71F9" w:rsidP="001E71F9">
      <w:pPr>
        <w:spacing w:before="46" w:after="0" w:line="276" w:lineRule="auto"/>
        <w:ind w:right="601"/>
        <w:jc w:val="both"/>
        <w:rPr>
          <w:rFonts w:ascii="Arial" w:hAnsi="Arial" w:cs="Arial"/>
          <w:sz w:val="24"/>
          <w:szCs w:val="24"/>
        </w:rPr>
      </w:pPr>
    </w:p>
    <w:p w14:paraId="2D3B3B9A" w14:textId="77777777" w:rsidR="001E71F9" w:rsidRDefault="001E71F9" w:rsidP="001E71F9">
      <w:pPr>
        <w:spacing w:before="46" w:after="0" w:line="276" w:lineRule="auto"/>
        <w:ind w:right="601"/>
        <w:jc w:val="both"/>
        <w:rPr>
          <w:rFonts w:ascii="Arial" w:hAnsi="Arial" w:cs="Arial"/>
          <w:sz w:val="24"/>
          <w:szCs w:val="24"/>
        </w:rPr>
      </w:pPr>
    </w:p>
    <w:p w14:paraId="0F5A8B42" w14:textId="77777777" w:rsidR="001E71F9" w:rsidRDefault="001E71F9" w:rsidP="001E71F9">
      <w:pPr>
        <w:spacing w:before="46" w:after="0" w:line="276" w:lineRule="auto"/>
        <w:ind w:right="601"/>
        <w:jc w:val="both"/>
        <w:rPr>
          <w:rFonts w:ascii="Arial" w:hAnsi="Arial" w:cs="Arial"/>
          <w:sz w:val="24"/>
          <w:szCs w:val="24"/>
        </w:rPr>
      </w:pPr>
    </w:p>
    <w:p w14:paraId="4B8168BF" w14:textId="77777777" w:rsidR="001E71F9" w:rsidRDefault="001E71F9" w:rsidP="001E71F9">
      <w:pPr>
        <w:spacing w:before="46" w:after="0" w:line="276" w:lineRule="auto"/>
        <w:ind w:right="601"/>
        <w:jc w:val="both"/>
        <w:rPr>
          <w:rFonts w:ascii="Arial" w:hAnsi="Arial" w:cs="Arial"/>
          <w:sz w:val="24"/>
          <w:szCs w:val="24"/>
        </w:rPr>
      </w:pPr>
    </w:p>
    <w:p w14:paraId="1A89BDDB" w14:textId="77777777" w:rsidR="001E71F9" w:rsidRDefault="001E71F9" w:rsidP="001E71F9">
      <w:pPr>
        <w:spacing w:before="46" w:after="0" w:line="276" w:lineRule="auto"/>
        <w:ind w:right="601"/>
        <w:jc w:val="both"/>
        <w:rPr>
          <w:rFonts w:ascii="Arial" w:hAnsi="Arial" w:cs="Arial"/>
          <w:sz w:val="24"/>
          <w:szCs w:val="24"/>
        </w:rPr>
      </w:pPr>
    </w:p>
    <w:p w14:paraId="08C222C8" w14:textId="77777777" w:rsidR="001E71F9" w:rsidRDefault="001E71F9" w:rsidP="001E71F9">
      <w:pPr>
        <w:spacing w:before="46" w:after="0" w:line="276" w:lineRule="auto"/>
        <w:ind w:right="601"/>
        <w:jc w:val="both"/>
        <w:rPr>
          <w:rFonts w:ascii="Arial" w:hAnsi="Arial" w:cs="Arial"/>
          <w:sz w:val="24"/>
          <w:szCs w:val="24"/>
        </w:rPr>
      </w:pPr>
    </w:p>
    <w:p w14:paraId="05DDC637" w14:textId="77777777" w:rsidR="001E71F9" w:rsidRDefault="001E71F9" w:rsidP="001E71F9">
      <w:pPr>
        <w:spacing w:before="46" w:after="0" w:line="276" w:lineRule="auto"/>
        <w:ind w:right="601"/>
        <w:jc w:val="both"/>
        <w:rPr>
          <w:rFonts w:ascii="Arial" w:hAnsi="Arial" w:cs="Arial"/>
          <w:sz w:val="24"/>
          <w:szCs w:val="24"/>
        </w:rPr>
      </w:pPr>
    </w:p>
    <w:p w14:paraId="188DC7CB" w14:textId="77777777" w:rsidR="001E71F9" w:rsidRDefault="001E71F9" w:rsidP="001E71F9">
      <w:pPr>
        <w:spacing w:before="46" w:after="0" w:line="276" w:lineRule="auto"/>
        <w:ind w:right="601"/>
        <w:jc w:val="both"/>
        <w:rPr>
          <w:rFonts w:ascii="Arial" w:hAnsi="Arial" w:cs="Arial"/>
          <w:sz w:val="24"/>
          <w:szCs w:val="24"/>
        </w:rPr>
      </w:pPr>
    </w:p>
    <w:p w14:paraId="7AF2B480" w14:textId="77777777" w:rsidR="001E71F9" w:rsidRDefault="001E71F9" w:rsidP="001E71F9">
      <w:pPr>
        <w:spacing w:before="46" w:after="0" w:line="276" w:lineRule="auto"/>
        <w:ind w:right="601"/>
        <w:jc w:val="both"/>
        <w:rPr>
          <w:rFonts w:ascii="Arial" w:hAnsi="Arial" w:cs="Arial"/>
          <w:sz w:val="24"/>
          <w:szCs w:val="24"/>
        </w:rPr>
      </w:pPr>
    </w:p>
    <w:p w14:paraId="75450083" w14:textId="77777777" w:rsidR="001E71F9" w:rsidRDefault="001E71F9" w:rsidP="001E71F9">
      <w:pPr>
        <w:spacing w:before="46" w:after="0" w:line="276" w:lineRule="auto"/>
        <w:ind w:right="601"/>
        <w:jc w:val="both"/>
        <w:rPr>
          <w:rFonts w:ascii="Arial" w:hAnsi="Arial" w:cs="Arial"/>
          <w:sz w:val="24"/>
          <w:szCs w:val="24"/>
        </w:rPr>
      </w:pPr>
    </w:p>
    <w:p w14:paraId="3E47D5D6" w14:textId="77777777" w:rsidR="001E71F9" w:rsidRDefault="001E71F9" w:rsidP="001E71F9">
      <w:pPr>
        <w:spacing w:before="46" w:after="0" w:line="276" w:lineRule="auto"/>
        <w:ind w:right="601"/>
        <w:jc w:val="both"/>
        <w:rPr>
          <w:rFonts w:ascii="Arial" w:hAnsi="Arial" w:cs="Arial"/>
          <w:sz w:val="24"/>
          <w:szCs w:val="24"/>
        </w:rPr>
      </w:pPr>
    </w:p>
    <w:p w14:paraId="6A38F506" w14:textId="77777777" w:rsidR="001E71F9" w:rsidRDefault="001E71F9" w:rsidP="001E71F9">
      <w:pPr>
        <w:spacing w:before="46" w:after="0" w:line="276" w:lineRule="auto"/>
        <w:ind w:right="601"/>
        <w:jc w:val="both"/>
        <w:rPr>
          <w:rFonts w:ascii="Arial" w:hAnsi="Arial" w:cs="Arial"/>
          <w:sz w:val="24"/>
          <w:szCs w:val="24"/>
        </w:rPr>
      </w:pPr>
    </w:p>
    <w:p w14:paraId="6A787E79" w14:textId="14B9EC2B" w:rsidR="001E71F9" w:rsidRDefault="001E71F9" w:rsidP="001E71F9">
      <w:pPr>
        <w:spacing w:before="46" w:after="0" w:line="276" w:lineRule="auto"/>
        <w:ind w:right="601"/>
        <w:jc w:val="both"/>
        <w:rPr>
          <w:rFonts w:ascii="Arial" w:hAnsi="Arial" w:cs="Arial"/>
          <w:sz w:val="24"/>
          <w:szCs w:val="24"/>
        </w:rPr>
      </w:pPr>
      <w:r>
        <w:rPr>
          <w:rFonts w:ascii="Arial" w:hAnsi="Arial" w:cs="Arial"/>
          <w:sz w:val="24"/>
          <w:szCs w:val="24"/>
        </w:rPr>
        <w:lastRenderedPageBreak/>
        <w:t>Las entidades que concentraron la mayor cantidad de presupuesto fueron Ciudad de México (14.4 %), estado de México (11.5 %) y Nuevo León (7.2</w:t>
      </w:r>
      <w:r w:rsidR="00EF552E">
        <w:rPr>
          <w:rFonts w:ascii="Arial" w:hAnsi="Arial" w:cs="Arial"/>
          <w:sz w:val="24"/>
          <w:szCs w:val="24"/>
        </w:rPr>
        <w:t xml:space="preserve"> </w:t>
      </w:r>
      <w:r>
        <w:rPr>
          <w:rFonts w:ascii="Arial" w:hAnsi="Arial" w:cs="Arial"/>
          <w:sz w:val="24"/>
          <w:szCs w:val="24"/>
        </w:rPr>
        <w:t>%).</w:t>
      </w:r>
    </w:p>
    <w:p w14:paraId="03F6B56C" w14:textId="77777777" w:rsidR="001E71F9" w:rsidRDefault="001E71F9" w:rsidP="001E71F9">
      <w:pPr>
        <w:spacing w:before="46" w:after="0" w:line="276" w:lineRule="auto"/>
        <w:ind w:right="601"/>
        <w:jc w:val="both"/>
        <w:rPr>
          <w:rFonts w:ascii="Arial" w:hAnsi="Arial" w:cs="Arial"/>
          <w:sz w:val="24"/>
          <w:szCs w:val="24"/>
        </w:rPr>
      </w:pPr>
    </w:p>
    <w:p w14:paraId="1D58B6FA" w14:textId="7EFCF220" w:rsidR="001E71F9" w:rsidRPr="002D00F3" w:rsidRDefault="001E71F9" w:rsidP="001E71F9">
      <w:pPr>
        <w:pStyle w:val="Default"/>
        <w:jc w:val="center"/>
        <w:rPr>
          <w:color w:val="auto"/>
          <w:sz w:val="20"/>
          <w:szCs w:val="20"/>
        </w:rPr>
      </w:pPr>
      <w:r w:rsidRPr="002D00F3">
        <w:rPr>
          <w:color w:val="auto"/>
          <w:sz w:val="20"/>
          <w:szCs w:val="20"/>
        </w:rPr>
        <w:t xml:space="preserve">Gráfica </w:t>
      </w:r>
      <w:r>
        <w:rPr>
          <w:color w:val="auto"/>
          <w:sz w:val="20"/>
          <w:szCs w:val="20"/>
        </w:rPr>
        <w:t>11</w:t>
      </w:r>
    </w:p>
    <w:p w14:paraId="6F7055DB" w14:textId="6A33EDE1" w:rsidR="001E71F9" w:rsidRDefault="001E71F9" w:rsidP="001E71F9">
      <w:pPr>
        <w:pStyle w:val="Default"/>
        <w:ind w:right="163"/>
        <w:jc w:val="center"/>
        <w:rPr>
          <w:b/>
          <w:bCs/>
          <w:iCs/>
          <w:smallCaps/>
          <w:color w:val="000000" w:themeColor="text1"/>
          <w:sz w:val="22"/>
          <w:szCs w:val="22"/>
        </w:rPr>
      </w:pPr>
      <w:r>
        <w:rPr>
          <w:b/>
          <w:bCs/>
          <w:iCs/>
          <w:smallCaps/>
          <w:color w:val="000000" w:themeColor="text1"/>
          <w:sz w:val="22"/>
          <w:szCs w:val="22"/>
        </w:rPr>
        <w:t>Presupuesto ejercido por la FGR y las FGE, 2021</w:t>
      </w:r>
    </w:p>
    <w:p w14:paraId="130493D0" w14:textId="21DD64F7" w:rsidR="001E71F9" w:rsidRPr="000568E5" w:rsidRDefault="001E71F9" w:rsidP="001E71F9">
      <w:pPr>
        <w:pStyle w:val="Default"/>
        <w:ind w:right="163"/>
        <w:jc w:val="center"/>
        <w:rPr>
          <w:iCs/>
          <w:smallCaps/>
          <w:color w:val="000000" w:themeColor="text1"/>
          <w:sz w:val="18"/>
          <w:szCs w:val="18"/>
        </w:rPr>
      </w:pPr>
      <w:r w:rsidRPr="000568E5">
        <w:rPr>
          <w:iCs/>
          <w:smallCaps/>
          <w:color w:val="000000" w:themeColor="text1"/>
          <w:sz w:val="18"/>
          <w:szCs w:val="18"/>
        </w:rPr>
        <w:t>(millones de pesos)</w:t>
      </w:r>
    </w:p>
    <w:p w14:paraId="45772EF2" w14:textId="77777777" w:rsidR="001E71F9" w:rsidRDefault="001E71F9" w:rsidP="001E71F9">
      <w:pPr>
        <w:pStyle w:val="Default"/>
        <w:ind w:right="163"/>
        <w:jc w:val="center"/>
        <w:rPr>
          <w:b/>
          <w:bCs/>
          <w:iCs/>
          <w:smallCaps/>
          <w:color w:val="000000" w:themeColor="text1"/>
          <w:sz w:val="22"/>
          <w:szCs w:val="22"/>
        </w:rPr>
      </w:pPr>
    </w:p>
    <w:p w14:paraId="7DBCD3BF" w14:textId="17999FCB" w:rsidR="001E71F9" w:rsidRDefault="00CC5EC1" w:rsidP="00CC5EC1">
      <w:pPr>
        <w:spacing w:before="46" w:after="0" w:line="276" w:lineRule="auto"/>
        <w:ind w:right="601"/>
        <w:jc w:val="center"/>
        <w:rPr>
          <w:rFonts w:ascii="Arial" w:hAnsi="Arial" w:cs="Arial"/>
          <w:sz w:val="24"/>
          <w:szCs w:val="24"/>
        </w:rPr>
      </w:pPr>
      <w:r>
        <w:rPr>
          <w:noProof/>
        </w:rPr>
        <w:drawing>
          <wp:inline distT="0" distB="0" distL="0" distR="0" wp14:anchorId="7B93F361" wp14:editId="25516D5F">
            <wp:extent cx="4822166" cy="5881370"/>
            <wp:effectExtent l="0" t="0" r="0" b="5080"/>
            <wp:docPr id="5" name="Gráfico 5">
              <a:extLst xmlns:a="http://schemas.openxmlformats.org/drawingml/2006/main">
                <a:ext uri="{FF2B5EF4-FFF2-40B4-BE49-F238E27FC236}">
                  <a16:creationId xmlns:a16="http://schemas.microsoft.com/office/drawing/2014/main" id="{B6BD868F-4692-BEB0-E1CC-905AE3E08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EA4A0B" w14:textId="77777777" w:rsidR="001E71F9" w:rsidRPr="00CC5EC1" w:rsidRDefault="001E71F9" w:rsidP="00CC5EC1">
      <w:pPr>
        <w:spacing w:before="46" w:after="0" w:line="276" w:lineRule="auto"/>
        <w:ind w:right="601"/>
        <w:jc w:val="both"/>
        <w:rPr>
          <w:rFonts w:ascii="Arial" w:hAnsi="Arial" w:cs="Arial"/>
          <w:b/>
          <w:bCs/>
          <w:smallCaps/>
          <w:sz w:val="28"/>
          <w:szCs w:val="28"/>
        </w:rPr>
      </w:pPr>
    </w:p>
    <w:p w14:paraId="21A355A3" w14:textId="389967A3" w:rsidR="00EC378C" w:rsidRDefault="00EC378C">
      <w:pPr>
        <w:spacing w:before="46" w:after="0" w:line="276" w:lineRule="auto"/>
        <w:ind w:left="567" w:right="601" w:hanging="28"/>
        <w:jc w:val="both"/>
        <w:rPr>
          <w:rFonts w:ascii="Arial Negrita" w:hAnsi="Arial Negrita" w:cs="Arial"/>
          <w:b/>
          <w:bCs/>
          <w:smallCaps/>
          <w:sz w:val="24"/>
          <w:szCs w:val="24"/>
        </w:rPr>
      </w:pPr>
      <w:r>
        <w:rPr>
          <w:rFonts w:ascii="Arial Negrita" w:hAnsi="Arial Negrita" w:cs="Arial"/>
          <w:b/>
          <w:bCs/>
          <w:smallCaps/>
          <w:sz w:val="24"/>
          <w:szCs w:val="24"/>
        </w:rPr>
        <w:br w:type="page"/>
      </w:r>
    </w:p>
    <w:p w14:paraId="21AEB2C3" w14:textId="590BF69C" w:rsidR="00510AF2" w:rsidRPr="001C540D" w:rsidRDefault="00283A89" w:rsidP="00283A89">
      <w:pPr>
        <w:pStyle w:val="Prrafodelista"/>
        <w:numPr>
          <w:ilvl w:val="0"/>
          <w:numId w:val="30"/>
        </w:numPr>
        <w:spacing w:after="0" w:line="240" w:lineRule="auto"/>
        <w:jc w:val="both"/>
        <w:rPr>
          <w:rFonts w:ascii="Arial Negrita" w:hAnsi="Arial Negrita" w:cs="Arial"/>
          <w:b/>
          <w:bCs/>
          <w:sz w:val="24"/>
          <w:szCs w:val="24"/>
        </w:rPr>
      </w:pPr>
      <w:r w:rsidRPr="001C540D">
        <w:rPr>
          <w:rFonts w:ascii="Arial Negrita" w:hAnsi="Arial Negrita" w:cs="Arial"/>
          <w:b/>
          <w:bCs/>
          <w:sz w:val="24"/>
          <w:szCs w:val="24"/>
        </w:rPr>
        <w:lastRenderedPageBreak/>
        <w:t>Agencias y/o fiscal</w:t>
      </w:r>
      <w:r w:rsidRPr="001C540D">
        <w:rPr>
          <w:rFonts w:ascii="Arial Negrita" w:hAnsi="Arial Negrita" w:cs="Arial" w:hint="eastAsia"/>
          <w:b/>
          <w:bCs/>
          <w:sz w:val="24"/>
          <w:szCs w:val="24"/>
        </w:rPr>
        <w:t>í</w:t>
      </w:r>
      <w:r w:rsidRPr="001C540D">
        <w:rPr>
          <w:rFonts w:ascii="Arial Negrita" w:hAnsi="Arial Negrita" w:cs="Arial"/>
          <w:b/>
          <w:bCs/>
          <w:sz w:val="24"/>
          <w:szCs w:val="24"/>
        </w:rPr>
        <w:t>as del Ministerio P</w:t>
      </w:r>
      <w:r w:rsidRPr="001C540D">
        <w:rPr>
          <w:rFonts w:ascii="Arial Negrita" w:hAnsi="Arial Negrita" w:cs="Arial" w:hint="eastAsia"/>
          <w:b/>
          <w:bCs/>
          <w:sz w:val="24"/>
          <w:szCs w:val="24"/>
        </w:rPr>
        <w:t>ú</w:t>
      </w:r>
      <w:r w:rsidRPr="001C540D">
        <w:rPr>
          <w:rFonts w:ascii="Arial Negrita" w:hAnsi="Arial Negrita" w:cs="Arial"/>
          <w:b/>
          <w:bCs/>
          <w:sz w:val="24"/>
          <w:szCs w:val="24"/>
        </w:rPr>
        <w:t>blico</w:t>
      </w:r>
    </w:p>
    <w:p w14:paraId="460CAA65" w14:textId="392ED986" w:rsidR="00510AF2" w:rsidRDefault="00510AF2" w:rsidP="00510AF2">
      <w:pPr>
        <w:spacing w:after="0" w:line="240" w:lineRule="auto"/>
        <w:jc w:val="both"/>
        <w:rPr>
          <w:rFonts w:ascii="Arial Negrita" w:hAnsi="Arial Negrita" w:cs="Arial"/>
          <w:b/>
          <w:bCs/>
          <w:smallCaps/>
          <w:sz w:val="24"/>
          <w:szCs w:val="24"/>
        </w:rPr>
      </w:pPr>
    </w:p>
    <w:p w14:paraId="5435D181" w14:textId="59768D47" w:rsidR="00881868" w:rsidRDefault="00881868" w:rsidP="00881868">
      <w:pPr>
        <w:spacing w:after="0" w:line="240" w:lineRule="auto"/>
        <w:jc w:val="both"/>
        <w:rPr>
          <w:rFonts w:ascii="Arial" w:hAnsi="Arial" w:cs="Arial"/>
          <w:sz w:val="24"/>
          <w:szCs w:val="24"/>
        </w:rPr>
      </w:pPr>
      <w:r>
        <w:rPr>
          <w:rFonts w:ascii="Arial" w:hAnsi="Arial" w:cs="Arial"/>
          <w:sz w:val="24"/>
          <w:szCs w:val="24"/>
        </w:rPr>
        <w:t>En</w:t>
      </w:r>
      <w:r w:rsidRPr="002555B3">
        <w:rPr>
          <w:rFonts w:ascii="Arial" w:hAnsi="Arial" w:cs="Arial"/>
          <w:sz w:val="24"/>
          <w:szCs w:val="24"/>
        </w:rPr>
        <w:t xml:space="preserve"> 2021, se reportaron 190 agencias y/o fiscalías del Ministerio Público de la FGR</w:t>
      </w:r>
      <w:r w:rsidR="00ED0D6E">
        <w:rPr>
          <w:rFonts w:ascii="Arial" w:hAnsi="Arial" w:cs="Arial"/>
          <w:sz w:val="24"/>
          <w:szCs w:val="24"/>
        </w:rPr>
        <w:t xml:space="preserve">. De estas, </w:t>
      </w:r>
      <w:r>
        <w:rPr>
          <w:rFonts w:ascii="Arial" w:hAnsi="Arial" w:cs="Arial"/>
          <w:sz w:val="24"/>
          <w:szCs w:val="24"/>
        </w:rPr>
        <w:t xml:space="preserve"> 64.</w:t>
      </w:r>
      <w:r w:rsidR="005D510A">
        <w:rPr>
          <w:rFonts w:ascii="Arial" w:hAnsi="Arial" w:cs="Arial"/>
          <w:sz w:val="24"/>
          <w:szCs w:val="24"/>
        </w:rPr>
        <w:t>2</w:t>
      </w:r>
      <w:r>
        <w:rPr>
          <w:rFonts w:ascii="Arial" w:hAnsi="Arial" w:cs="Arial"/>
          <w:sz w:val="24"/>
          <w:szCs w:val="24"/>
        </w:rPr>
        <w:t xml:space="preserve"> % (122) correspondió al tipo </w:t>
      </w:r>
      <w:r w:rsidRPr="00DF0D6A">
        <w:rPr>
          <w:rFonts w:ascii="Arial" w:hAnsi="Arial" w:cs="Arial"/>
          <w:i/>
          <w:sz w:val="24"/>
          <w:szCs w:val="24"/>
        </w:rPr>
        <w:t>subsede</w:t>
      </w:r>
      <w:r>
        <w:rPr>
          <w:rFonts w:ascii="Arial" w:hAnsi="Arial" w:cs="Arial"/>
          <w:sz w:val="24"/>
          <w:szCs w:val="24"/>
        </w:rPr>
        <w:t>. En comparación con 2020</w:t>
      </w:r>
      <w:r w:rsidR="00FF1C62">
        <w:rPr>
          <w:rFonts w:ascii="Arial" w:hAnsi="Arial" w:cs="Arial"/>
          <w:sz w:val="24"/>
          <w:szCs w:val="24"/>
        </w:rPr>
        <w:t>,</w:t>
      </w:r>
      <w:r>
        <w:rPr>
          <w:rStyle w:val="Refdenotaalpie"/>
          <w:rFonts w:ascii="Arial" w:hAnsi="Arial" w:cs="Arial"/>
          <w:sz w:val="24"/>
          <w:szCs w:val="24"/>
        </w:rPr>
        <w:footnoteReference w:id="5"/>
      </w:r>
      <w:r>
        <w:rPr>
          <w:rFonts w:ascii="Arial" w:hAnsi="Arial" w:cs="Arial"/>
          <w:sz w:val="24"/>
          <w:szCs w:val="24"/>
        </w:rPr>
        <w:t xml:space="preserve"> el número de agencias y/o fiscalías disminuyó 0.5 por ciento. </w:t>
      </w:r>
    </w:p>
    <w:p w14:paraId="2FB331A8" w14:textId="77777777" w:rsidR="00881868" w:rsidRDefault="00881868" w:rsidP="00881868">
      <w:pPr>
        <w:spacing w:after="0" w:line="240" w:lineRule="auto"/>
        <w:jc w:val="both"/>
        <w:rPr>
          <w:rFonts w:ascii="Arial" w:hAnsi="Arial" w:cs="Arial"/>
          <w:sz w:val="24"/>
          <w:szCs w:val="24"/>
        </w:rPr>
      </w:pPr>
    </w:p>
    <w:p w14:paraId="0884D42C" w14:textId="77777777" w:rsidR="00881868" w:rsidRPr="000F4EC1" w:rsidRDefault="00881868" w:rsidP="00881868">
      <w:pPr>
        <w:pStyle w:val="Default"/>
        <w:jc w:val="center"/>
        <w:rPr>
          <w:color w:val="auto"/>
          <w:sz w:val="20"/>
          <w:szCs w:val="20"/>
        </w:rPr>
      </w:pPr>
      <w:r>
        <w:rPr>
          <w:color w:val="auto"/>
          <w:sz w:val="20"/>
          <w:szCs w:val="20"/>
        </w:rPr>
        <w:t>Tabla</w:t>
      </w:r>
      <w:r w:rsidRPr="000F4EC1">
        <w:rPr>
          <w:color w:val="auto"/>
          <w:sz w:val="20"/>
          <w:szCs w:val="20"/>
        </w:rPr>
        <w:t xml:space="preserve"> </w:t>
      </w:r>
      <w:r w:rsidRPr="003C6C0F">
        <w:rPr>
          <w:color w:val="auto"/>
          <w:sz w:val="20"/>
          <w:szCs w:val="20"/>
        </w:rPr>
        <w:t>1</w:t>
      </w:r>
    </w:p>
    <w:p w14:paraId="6ACC632A" w14:textId="221B3D6D" w:rsidR="00881868" w:rsidRDefault="00881868" w:rsidP="00881868">
      <w:pPr>
        <w:spacing w:after="0" w:line="240" w:lineRule="auto"/>
        <w:jc w:val="center"/>
        <w:rPr>
          <w:rFonts w:ascii="Arial" w:hAnsi="Arial" w:cs="Arial"/>
          <w:b/>
          <w:bCs/>
          <w:iCs/>
          <w:smallCaps/>
          <w:color w:val="000000" w:themeColor="text1"/>
        </w:rPr>
      </w:pPr>
      <w:r w:rsidRPr="00EF4150">
        <w:rPr>
          <w:rFonts w:ascii="Arial" w:hAnsi="Arial" w:cs="Arial"/>
          <w:b/>
          <w:bCs/>
          <w:iCs/>
          <w:smallCaps/>
          <w:color w:val="000000" w:themeColor="text1"/>
        </w:rPr>
        <w:t>Agencias y/o fiscalías del Ministerio Público de la FGR, 2021</w:t>
      </w:r>
    </w:p>
    <w:p w14:paraId="3E053187" w14:textId="77777777" w:rsidR="00881868" w:rsidRDefault="00881868" w:rsidP="00881868">
      <w:pPr>
        <w:spacing w:after="0" w:line="240" w:lineRule="auto"/>
        <w:jc w:val="center"/>
        <w:rPr>
          <w:rFonts w:ascii="Arial" w:hAnsi="Arial" w:cs="Arial"/>
          <w:sz w:val="24"/>
          <w:szCs w:val="24"/>
        </w:rPr>
      </w:pPr>
    </w:p>
    <w:tbl>
      <w:tblPr>
        <w:tblW w:w="4944" w:type="dxa"/>
        <w:jc w:val="center"/>
        <w:tblCellMar>
          <w:left w:w="70" w:type="dxa"/>
          <w:right w:w="70" w:type="dxa"/>
        </w:tblCellMar>
        <w:tblLook w:val="04A0" w:firstRow="1" w:lastRow="0" w:firstColumn="1" w:lastColumn="0" w:noHBand="0" w:noVBand="1"/>
      </w:tblPr>
      <w:tblGrid>
        <w:gridCol w:w="2592"/>
        <w:gridCol w:w="2352"/>
      </w:tblGrid>
      <w:tr w:rsidR="00881868" w:rsidRPr="0031687C" w14:paraId="7C5D53F8" w14:textId="77777777" w:rsidTr="00773F93">
        <w:trPr>
          <w:trHeight w:val="457"/>
          <w:jc w:val="center"/>
        </w:trPr>
        <w:tc>
          <w:tcPr>
            <w:tcW w:w="2592" w:type="dxa"/>
            <w:tcBorders>
              <w:top w:val="single" w:sz="4" w:space="0" w:color="FFFFFF"/>
              <w:left w:val="single" w:sz="4" w:space="0" w:color="FFFFFF"/>
              <w:bottom w:val="nil"/>
              <w:right w:val="single" w:sz="4" w:space="0" w:color="FFFFFF"/>
            </w:tcBorders>
            <w:shd w:val="clear" w:color="000000" w:fill="285072"/>
            <w:noWrap/>
            <w:vAlign w:val="center"/>
            <w:hideMark/>
          </w:tcPr>
          <w:p w14:paraId="6849D7D7" w14:textId="77777777" w:rsidR="00881868" w:rsidRPr="000E2883" w:rsidRDefault="00881868" w:rsidP="00773F93">
            <w:pPr>
              <w:spacing w:after="0" w:line="240" w:lineRule="auto"/>
              <w:jc w:val="center"/>
              <w:rPr>
                <w:rFonts w:ascii="Arial" w:eastAsia="Times New Roman" w:hAnsi="Arial" w:cs="Arial"/>
                <w:b/>
                <w:bCs/>
                <w:color w:val="FFFFFF"/>
                <w:sz w:val="18"/>
                <w:szCs w:val="18"/>
                <w:lang w:eastAsia="es-MX"/>
              </w:rPr>
            </w:pPr>
            <w:r w:rsidRPr="000E2883">
              <w:rPr>
                <w:rFonts w:ascii="Arial" w:eastAsia="Times New Roman" w:hAnsi="Arial" w:cs="Arial"/>
                <w:b/>
                <w:bCs/>
                <w:color w:val="FFFFFF"/>
                <w:sz w:val="18"/>
                <w:szCs w:val="18"/>
                <w:lang w:eastAsia="es-MX"/>
              </w:rPr>
              <w:t>Tipo</w:t>
            </w:r>
          </w:p>
        </w:tc>
        <w:tc>
          <w:tcPr>
            <w:tcW w:w="2352" w:type="dxa"/>
            <w:tcBorders>
              <w:top w:val="single" w:sz="4" w:space="0" w:color="FFFFFF"/>
              <w:left w:val="nil"/>
              <w:bottom w:val="nil"/>
              <w:right w:val="single" w:sz="4" w:space="0" w:color="FFFFFF"/>
            </w:tcBorders>
            <w:shd w:val="clear" w:color="000000" w:fill="285072"/>
            <w:noWrap/>
            <w:vAlign w:val="center"/>
            <w:hideMark/>
          </w:tcPr>
          <w:p w14:paraId="73EA3E1A" w14:textId="77777777" w:rsidR="00881868" w:rsidRPr="000E2883" w:rsidRDefault="00881868" w:rsidP="00773F93">
            <w:pPr>
              <w:spacing w:after="0" w:line="240" w:lineRule="auto"/>
              <w:jc w:val="center"/>
              <w:rPr>
                <w:rFonts w:ascii="Arial" w:eastAsia="Times New Roman" w:hAnsi="Arial" w:cs="Arial"/>
                <w:b/>
                <w:bCs/>
                <w:color w:val="FFFFFF"/>
                <w:sz w:val="18"/>
                <w:szCs w:val="18"/>
                <w:lang w:eastAsia="es-MX"/>
              </w:rPr>
            </w:pPr>
            <w:r w:rsidRPr="000E2883">
              <w:rPr>
                <w:rFonts w:ascii="Arial" w:eastAsia="Times New Roman" w:hAnsi="Arial" w:cs="Arial"/>
                <w:b/>
                <w:bCs/>
                <w:color w:val="FFFFFF"/>
                <w:sz w:val="18"/>
                <w:szCs w:val="18"/>
                <w:lang w:eastAsia="es-MX"/>
              </w:rPr>
              <w:t>Total</w:t>
            </w:r>
          </w:p>
        </w:tc>
      </w:tr>
      <w:tr w:rsidR="00881868" w:rsidRPr="0031687C" w14:paraId="1E024F88" w14:textId="77777777" w:rsidTr="00773F93">
        <w:trPr>
          <w:trHeight w:val="457"/>
          <w:jc w:val="center"/>
        </w:trPr>
        <w:tc>
          <w:tcPr>
            <w:tcW w:w="2592" w:type="dxa"/>
            <w:tcBorders>
              <w:top w:val="nil"/>
              <w:left w:val="single" w:sz="4" w:space="0" w:color="FFFFFF"/>
              <w:bottom w:val="nil"/>
              <w:right w:val="single" w:sz="4" w:space="0" w:color="FFFFFF"/>
            </w:tcBorders>
            <w:shd w:val="clear" w:color="000000" w:fill="909599"/>
            <w:noWrap/>
            <w:vAlign w:val="center"/>
            <w:hideMark/>
          </w:tcPr>
          <w:p w14:paraId="236B39EC" w14:textId="77777777" w:rsidR="00881868" w:rsidRPr="000E2883" w:rsidRDefault="00881868" w:rsidP="00773F93">
            <w:pPr>
              <w:spacing w:after="0" w:line="240" w:lineRule="auto"/>
              <w:rPr>
                <w:rFonts w:ascii="Arial" w:eastAsia="Times New Roman" w:hAnsi="Arial" w:cs="Arial"/>
                <w:color w:val="FFFFFF"/>
                <w:sz w:val="18"/>
                <w:szCs w:val="18"/>
                <w:lang w:eastAsia="es-MX"/>
              </w:rPr>
            </w:pPr>
            <w:r w:rsidRPr="000E2883">
              <w:rPr>
                <w:rFonts w:ascii="Arial" w:eastAsia="Times New Roman" w:hAnsi="Arial" w:cs="Arial"/>
                <w:color w:val="FFFFFF"/>
                <w:sz w:val="18"/>
                <w:szCs w:val="18"/>
                <w:lang w:eastAsia="es-MX"/>
              </w:rPr>
              <w:t>Total</w:t>
            </w:r>
          </w:p>
        </w:tc>
        <w:tc>
          <w:tcPr>
            <w:tcW w:w="2352" w:type="dxa"/>
            <w:tcBorders>
              <w:top w:val="nil"/>
              <w:left w:val="nil"/>
              <w:bottom w:val="nil"/>
              <w:right w:val="single" w:sz="4" w:space="0" w:color="FFFFFF"/>
            </w:tcBorders>
            <w:shd w:val="clear" w:color="000000" w:fill="909599"/>
            <w:noWrap/>
            <w:vAlign w:val="center"/>
            <w:hideMark/>
          </w:tcPr>
          <w:p w14:paraId="6399CAB4" w14:textId="77777777" w:rsidR="00881868" w:rsidRPr="000E2883" w:rsidRDefault="00881868" w:rsidP="00773F93">
            <w:pPr>
              <w:spacing w:after="0" w:line="240" w:lineRule="auto"/>
              <w:jc w:val="center"/>
              <w:rPr>
                <w:rFonts w:ascii="Arial" w:eastAsia="Times New Roman" w:hAnsi="Arial" w:cs="Arial"/>
                <w:color w:val="FFFFFF"/>
                <w:sz w:val="18"/>
                <w:szCs w:val="18"/>
                <w:lang w:eastAsia="es-MX"/>
              </w:rPr>
            </w:pPr>
            <w:r w:rsidRPr="000E2883">
              <w:rPr>
                <w:rFonts w:ascii="Arial" w:eastAsia="Times New Roman" w:hAnsi="Arial" w:cs="Arial"/>
                <w:color w:val="FFFFFF"/>
                <w:sz w:val="18"/>
                <w:szCs w:val="18"/>
                <w:lang w:eastAsia="es-MX"/>
              </w:rPr>
              <w:t>190</w:t>
            </w:r>
          </w:p>
        </w:tc>
      </w:tr>
      <w:tr w:rsidR="00881868" w:rsidRPr="0031687C" w14:paraId="4F1154EC" w14:textId="77777777" w:rsidTr="00773F93">
        <w:trPr>
          <w:trHeight w:val="435"/>
          <w:jc w:val="center"/>
        </w:trPr>
        <w:tc>
          <w:tcPr>
            <w:tcW w:w="2592" w:type="dxa"/>
            <w:tcBorders>
              <w:top w:val="nil"/>
              <w:left w:val="single" w:sz="4" w:space="0" w:color="FFFFFF"/>
              <w:bottom w:val="nil"/>
              <w:right w:val="single" w:sz="4" w:space="0" w:color="FFFFFF"/>
            </w:tcBorders>
            <w:shd w:val="clear" w:color="auto" w:fill="auto"/>
            <w:noWrap/>
            <w:vAlign w:val="center"/>
            <w:hideMark/>
          </w:tcPr>
          <w:p w14:paraId="59B1DCB6" w14:textId="77777777" w:rsidR="00881868" w:rsidRPr="000E2883" w:rsidRDefault="00881868" w:rsidP="00773F93">
            <w:pPr>
              <w:spacing w:after="0" w:line="240" w:lineRule="auto"/>
              <w:rPr>
                <w:rFonts w:ascii="Arial" w:eastAsia="Times New Roman" w:hAnsi="Arial" w:cs="Arial"/>
                <w:sz w:val="18"/>
                <w:szCs w:val="18"/>
                <w:lang w:eastAsia="es-MX"/>
              </w:rPr>
            </w:pPr>
            <w:r w:rsidRPr="000E2883">
              <w:rPr>
                <w:rFonts w:ascii="Arial" w:eastAsia="Times New Roman" w:hAnsi="Arial" w:cs="Arial"/>
                <w:sz w:val="18"/>
                <w:szCs w:val="18"/>
                <w:lang w:eastAsia="es-MX"/>
              </w:rPr>
              <w:t>Subsede</w:t>
            </w:r>
          </w:p>
        </w:tc>
        <w:tc>
          <w:tcPr>
            <w:tcW w:w="2352" w:type="dxa"/>
            <w:tcBorders>
              <w:top w:val="nil"/>
              <w:left w:val="nil"/>
              <w:bottom w:val="nil"/>
              <w:right w:val="single" w:sz="4" w:space="0" w:color="FFFFFF"/>
            </w:tcBorders>
            <w:shd w:val="clear" w:color="auto" w:fill="auto"/>
            <w:noWrap/>
            <w:vAlign w:val="center"/>
            <w:hideMark/>
          </w:tcPr>
          <w:p w14:paraId="176D16D3" w14:textId="77777777" w:rsidR="00881868" w:rsidRPr="000E2883" w:rsidRDefault="00881868" w:rsidP="00773F93">
            <w:pPr>
              <w:spacing w:after="0" w:line="240" w:lineRule="auto"/>
              <w:jc w:val="center"/>
              <w:rPr>
                <w:rFonts w:ascii="Arial" w:eastAsia="Times New Roman" w:hAnsi="Arial" w:cs="Arial"/>
                <w:sz w:val="18"/>
                <w:szCs w:val="18"/>
                <w:lang w:eastAsia="es-MX"/>
              </w:rPr>
            </w:pPr>
            <w:r w:rsidRPr="000E2883">
              <w:rPr>
                <w:rFonts w:ascii="Arial" w:eastAsia="Times New Roman" w:hAnsi="Arial" w:cs="Arial"/>
                <w:sz w:val="18"/>
                <w:szCs w:val="18"/>
                <w:lang w:eastAsia="es-MX"/>
              </w:rPr>
              <w:t>122</w:t>
            </w:r>
          </w:p>
        </w:tc>
      </w:tr>
      <w:tr w:rsidR="00881868" w:rsidRPr="0031687C" w14:paraId="5264A139" w14:textId="77777777" w:rsidTr="00773F93">
        <w:trPr>
          <w:trHeight w:val="435"/>
          <w:jc w:val="center"/>
        </w:trPr>
        <w:tc>
          <w:tcPr>
            <w:tcW w:w="2592" w:type="dxa"/>
            <w:tcBorders>
              <w:top w:val="nil"/>
              <w:left w:val="single" w:sz="4" w:space="0" w:color="FFFFFF"/>
              <w:bottom w:val="nil"/>
              <w:right w:val="single" w:sz="4" w:space="0" w:color="FFFFFF"/>
            </w:tcBorders>
            <w:shd w:val="clear" w:color="auto" w:fill="auto"/>
            <w:noWrap/>
            <w:vAlign w:val="center"/>
            <w:hideMark/>
          </w:tcPr>
          <w:p w14:paraId="66F3CB62" w14:textId="77777777" w:rsidR="00881868" w:rsidRPr="000E2883" w:rsidRDefault="00881868" w:rsidP="00773F93">
            <w:pPr>
              <w:spacing w:after="0" w:line="240" w:lineRule="auto"/>
              <w:rPr>
                <w:rFonts w:ascii="Arial" w:eastAsia="Times New Roman" w:hAnsi="Arial" w:cs="Arial"/>
                <w:sz w:val="18"/>
                <w:szCs w:val="18"/>
                <w:lang w:eastAsia="es-MX"/>
              </w:rPr>
            </w:pPr>
            <w:r w:rsidRPr="000E2883">
              <w:rPr>
                <w:rFonts w:ascii="Arial" w:eastAsia="Times New Roman" w:hAnsi="Arial" w:cs="Arial"/>
                <w:sz w:val="18"/>
                <w:szCs w:val="18"/>
                <w:lang w:eastAsia="es-MX"/>
              </w:rPr>
              <w:t>Sede</w:t>
            </w:r>
          </w:p>
        </w:tc>
        <w:tc>
          <w:tcPr>
            <w:tcW w:w="2352" w:type="dxa"/>
            <w:tcBorders>
              <w:top w:val="nil"/>
              <w:left w:val="nil"/>
              <w:bottom w:val="nil"/>
              <w:right w:val="single" w:sz="4" w:space="0" w:color="FFFFFF"/>
            </w:tcBorders>
            <w:shd w:val="clear" w:color="auto" w:fill="auto"/>
            <w:noWrap/>
            <w:vAlign w:val="center"/>
            <w:hideMark/>
          </w:tcPr>
          <w:p w14:paraId="31CE4CCA" w14:textId="77777777" w:rsidR="00881868" w:rsidRPr="000E2883" w:rsidRDefault="00881868" w:rsidP="00773F93">
            <w:pPr>
              <w:spacing w:after="0" w:line="240" w:lineRule="auto"/>
              <w:jc w:val="center"/>
              <w:rPr>
                <w:rFonts w:ascii="Arial" w:eastAsia="Times New Roman" w:hAnsi="Arial" w:cs="Arial"/>
                <w:sz w:val="18"/>
                <w:szCs w:val="18"/>
                <w:lang w:eastAsia="es-MX"/>
              </w:rPr>
            </w:pPr>
            <w:r w:rsidRPr="000E2883">
              <w:rPr>
                <w:rFonts w:ascii="Arial" w:eastAsia="Times New Roman" w:hAnsi="Arial" w:cs="Arial"/>
                <w:sz w:val="18"/>
                <w:szCs w:val="18"/>
                <w:lang w:eastAsia="es-MX"/>
              </w:rPr>
              <w:t>34</w:t>
            </w:r>
          </w:p>
        </w:tc>
      </w:tr>
      <w:tr w:rsidR="00881868" w:rsidRPr="0031687C" w14:paraId="27F3B581" w14:textId="77777777" w:rsidTr="00773F93">
        <w:trPr>
          <w:trHeight w:val="435"/>
          <w:jc w:val="center"/>
        </w:trPr>
        <w:tc>
          <w:tcPr>
            <w:tcW w:w="2592" w:type="dxa"/>
            <w:tcBorders>
              <w:top w:val="nil"/>
              <w:left w:val="single" w:sz="4" w:space="0" w:color="FFFFFF"/>
              <w:bottom w:val="nil"/>
              <w:right w:val="single" w:sz="4" w:space="0" w:color="FFFFFF"/>
            </w:tcBorders>
            <w:shd w:val="clear" w:color="auto" w:fill="auto"/>
            <w:noWrap/>
            <w:vAlign w:val="center"/>
            <w:hideMark/>
          </w:tcPr>
          <w:p w14:paraId="7989D840" w14:textId="77777777" w:rsidR="00881868" w:rsidRPr="000E2883" w:rsidRDefault="00881868" w:rsidP="00773F93">
            <w:pPr>
              <w:spacing w:after="0" w:line="240" w:lineRule="auto"/>
              <w:rPr>
                <w:rFonts w:ascii="Arial" w:eastAsia="Times New Roman" w:hAnsi="Arial" w:cs="Arial"/>
                <w:sz w:val="18"/>
                <w:szCs w:val="18"/>
                <w:lang w:eastAsia="es-MX"/>
              </w:rPr>
            </w:pPr>
            <w:r w:rsidRPr="000E2883">
              <w:rPr>
                <w:rFonts w:ascii="Arial" w:eastAsia="Times New Roman" w:hAnsi="Arial" w:cs="Arial"/>
                <w:sz w:val="18"/>
                <w:szCs w:val="18"/>
                <w:lang w:eastAsia="es-MX"/>
              </w:rPr>
              <w:t>Especializada</w:t>
            </w:r>
          </w:p>
        </w:tc>
        <w:tc>
          <w:tcPr>
            <w:tcW w:w="2352" w:type="dxa"/>
            <w:tcBorders>
              <w:top w:val="nil"/>
              <w:left w:val="nil"/>
              <w:bottom w:val="nil"/>
              <w:right w:val="single" w:sz="4" w:space="0" w:color="FFFFFF"/>
            </w:tcBorders>
            <w:shd w:val="clear" w:color="auto" w:fill="auto"/>
            <w:noWrap/>
            <w:vAlign w:val="center"/>
            <w:hideMark/>
          </w:tcPr>
          <w:p w14:paraId="383A1992" w14:textId="77777777" w:rsidR="00881868" w:rsidRPr="000E2883" w:rsidRDefault="00881868" w:rsidP="00773F93">
            <w:pPr>
              <w:spacing w:after="0" w:line="240" w:lineRule="auto"/>
              <w:jc w:val="center"/>
              <w:rPr>
                <w:rFonts w:ascii="Arial" w:eastAsia="Times New Roman" w:hAnsi="Arial" w:cs="Arial"/>
                <w:sz w:val="18"/>
                <w:szCs w:val="18"/>
                <w:lang w:eastAsia="es-MX"/>
              </w:rPr>
            </w:pPr>
            <w:r w:rsidRPr="000E2883">
              <w:rPr>
                <w:rFonts w:ascii="Arial" w:eastAsia="Times New Roman" w:hAnsi="Arial" w:cs="Arial"/>
                <w:sz w:val="18"/>
                <w:szCs w:val="18"/>
                <w:lang w:eastAsia="es-MX"/>
              </w:rPr>
              <w:t>29</w:t>
            </w:r>
          </w:p>
        </w:tc>
      </w:tr>
      <w:tr w:rsidR="00881868" w:rsidRPr="0031687C" w14:paraId="71DCCB9E" w14:textId="77777777" w:rsidTr="00773F93">
        <w:trPr>
          <w:trHeight w:val="435"/>
          <w:jc w:val="center"/>
        </w:trPr>
        <w:tc>
          <w:tcPr>
            <w:tcW w:w="2592" w:type="dxa"/>
            <w:tcBorders>
              <w:top w:val="nil"/>
              <w:left w:val="single" w:sz="4" w:space="0" w:color="FFFFFF"/>
              <w:bottom w:val="nil"/>
              <w:right w:val="single" w:sz="4" w:space="0" w:color="FFFFFF"/>
            </w:tcBorders>
            <w:shd w:val="clear" w:color="auto" w:fill="auto"/>
            <w:noWrap/>
            <w:vAlign w:val="center"/>
            <w:hideMark/>
          </w:tcPr>
          <w:p w14:paraId="4B86E9EF" w14:textId="77777777" w:rsidR="00881868" w:rsidRPr="000E2883" w:rsidRDefault="00881868" w:rsidP="00773F93">
            <w:pPr>
              <w:spacing w:after="0" w:line="240" w:lineRule="auto"/>
              <w:rPr>
                <w:rFonts w:ascii="Arial" w:eastAsia="Times New Roman" w:hAnsi="Arial" w:cs="Arial"/>
                <w:sz w:val="18"/>
                <w:szCs w:val="18"/>
                <w:lang w:eastAsia="es-MX"/>
              </w:rPr>
            </w:pPr>
            <w:r w:rsidRPr="000E2883">
              <w:rPr>
                <w:rFonts w:ascii="Arial" w:eastAsia="Times New Roman" w:hAnsi="Arial" w:cs="Arial"/>
                <w:sz w:val="18"/>
                <w:szCs w:val="18"/>
                <w:lang w:eastAsia="es-MX"/>
              </w:rPr>
              <w:t>Agencia</w:t>
            </w:r>
          </w:p>
        </w:tc>
        <w:tc>
          <w:tcPr>
            <w:tcW w:w="2352" w:type="dxa"/>
            <w:tcBorders>
              <w:top w:val="nil"/>
              <w:left w:val="nil"/>
              <w:bottom w:val="nil"/>
              <w:right w:val="single" w:sz="4" w:space="0" w:color="FFFFFF"/>
            </w:tcBorders>
            <w:shd w:val="clear" w:color="auto" w:fill="auto"/>
            <w:noWrap/>
            <w:vAlign w:val="center"/>
            <w:hideMark/>
          </w:tcPr>
          <w:p w14:paraId="11C94806" w14:textId="77777777" w:rsidR="00881868" w:rsidRPr="000E2883" w:rsidRDefault="00881868" w:rsidP="00773F93">
            <w:pPr>
              <w:spacing w:after="0" w:line="240" w:lineRule="auto"/>
              <w:jc w:val="center"/>
              <w:rPr>
                <w:rFonts w:ascii="Arial" w:eastAsia="Times New Roman" w:hAnsi="Arial" w:cs="Arial"/>
                <w:sz w:val="18"/>
                <w:szCs w:val="18"/>
                <w:lang w:eastAsia="es-MX"/>
              </w:rPr>
            </w:pPr>
            <w:r w:rsidRPr="000E2883">
              <w:rPr>
                <w:rFonts w:ascii="Arial" w:eastAsia="Times New Roman" w:hAnsi="Arial" w:cs="Arial"/>
                <w:sz w:val="18"/>
                <w:szCs w:val="18"/>
                <w:lang w:eastAsia="es-MX"/>
              </w:rPr>
              <w:t>4</w:t>
            </w:r>
          </w:p>
        </w:tc>
      </w:tr>
      <w:tr w:rsidR="00881868" w:rsidRPr="0031687C" w14:paraId="3AE8CEB8" w14:textId="77777777" w:rsidTr="00773F93">
        <w:trPr>
          <w:trHeight w:val="435"/>
          <w:jc w:val="center"/>
        </w:trPr>
        <w:tc>
          <w:tcPr>
            <w:tcW w:w="2592" w:type="dxa"/>
            <w:tcBorders>
              <w:top w:val="nil"/>
              <w:left w:val="single" w:sz="4" w:space="0" w:color="FFFFFF"/>
              <w:bottom w:val="single" w:sz="4" w:space="0" w:color="FFFFFF"/>
              <w:right w:val="single" w:sz="4" w:space="0" w:color="FFFFFF"/>
            </w:tcBorders>
            <w:shd w:val="clear" w:color="auto" w:fill="auto"/>
            <w:noWrap/>
            <w:vAlign w:val="center"/>
            <w:hideMark/>
          </w:tcPr>
          <w:p w14:paraId="3E7C6A81" w14:textId="77777777" w:rsidR="00881868" w:rsidRPr="000E2883" w:rsidRDefault="00881868" w:rsidP="00773F93">
            <w:pPr>
              <w:spacing w:after="0" w:line="240" w:lineRule="auto"/>
              <w:rPr>
                <w:rFonts w:ascii="Arial" w:eastAsia="Times New Roman" w:hAnsi="Arial" w:cs="Arial"/>
                <w:sz w:val="18"/>
                <w:szCs w:val="18"/>
                <w:lang w:eastAsia="es-MX"/>
              </w:rPr>
            </w:pPr>
            <w:r w:rsidRPr="000E2883">
              <w:rPr>
                <w:rFonts w:ascii="Arial" w:eastAsia="Times New Roman" w:hAnsi="Arial" w:cs="Arial"/>
                <w:sz w:val="18"/>
                <w:szCs w:val="18"/>
                <w:lang w:eastAsia="es-MX"/>
              </w:rPr>
              <w:t>Otro tipo</w:t>
            </w:r>
          </w:p>
        </w:tc>
        <w:tc>
          <w:tcPr>
            <w:tcW w:w="2352" w:type="dxa"/>
            <w:tcBorders>
              <w:top w:val="nil"/>
              <w:left w:val="nil"/>
              <w:bottom w:val="single" w:sz="4" w:space="0" w:color="FFFFFF"/>
              <w:right w:val="single" w:sz="4" w:space="0" w:color="FFFFFF"/>
            </w:tcBorders>
            <w:shd w:val="clear" w:color="auto" w:fill="auto"/>
            <w:noWrap/>
            <w:vAlign w:val="center"/>
            <w:hideMark/>
          </w:tcPr>
          <w:p w14:paraId="460EA550" w14:textId="77777777" w:rsidR="00881868" w:rsidRPr="000E2883" w:rsidRDefault="00881868" w:rsidP="00773F93">
            <w:pPr>
              <w:spacing w:after="0" w:line="240" w:lineRule="auto"/>
              <w:jc w:val="center"/>
              <w:rPr>
                <w:rFonts w:ascii="Arial" w:eastAsia="Times New Roman" w:hAnsi="Arial" w:cs="Arial"/>
                <w:sz w:val="18"/>
                <w:szCs w:val="18"/>
                <w:lang w:eastAsia="es-MX"/>
              </w:rPr>
            </w:pPr>
            <w:r w:rsidRPr="000E2883">
              <w:rPr>
                <w:rFonts w:ascii="Arial" w:eastAsia="Times New Roman" w:hAnsi="Arial" w:cs="Arial"/>
                <w:sz w:val="18"/>
                <w:szCs w:val="18"/>
                <w:lang w:eastAsia="es-MX"/>
              </w:rPr>
              <w:t>1</w:t>
            </w:r>
          </w:p>
        </w:tc>
      </w:tr>
    </w:tbl>
    <w:p w14:paraId="1F20EDFA" w14:textId="77777777" w:rsidR="00B20DB3" w:rsidRDefault="00B20DB3" w:rsidP="00B20DB3">
      <w:pPr>
        <w:spacing w:after="0" w:line="240" w:lineRule="auto"/>
        <w:jc w:val="both"/>
        <w:rPr>
          <w:rFonts w:ascii="Arial" w:hAnsi="Arial" w:cs="Arial"/>
          <w:sz w:val="24"/>
          <w:szCs w:val="24"/>
        </w:rPr>
      </w:pPr>
    </w:p>
    <w:p w14:paraId="62D5B14E" w14:textId="77777777" w:rsidR="00881868" w:rsidRDefault="00881868" w:rsidP="00881868">
      <w:pPr>
        <w:spacing w:after="0" w:line="240" w:lineRule="auto"/>
        <w:jc w:val="both"/>
        <w:rPr>
          <w:rFonts w:ascii="Arial" w:hAnsi="Arial" w:cs="Arial"/>
          <w:sz w:val="24"/>
          <w:szCs w:val="24"/>
        </w:rPr>
      </w:pPr>
    </w:p>
    <w:p w14:paraId="049283A7" w14:textId="77777777" w:rsidR="00881868" w:rsidRDefault="00881868" w:rsidP="00881868">
      <w:pPr>
        <w:spacing w:after="0" w:line="240" w:lineRule="auto"/>
        <w:jc w:val="both"/>
        <w:rPr>
          <w:rFonts w:ascii="Arial" w:hAnsi="Arial" w:cs="Arial"/>
          <w:sz w:val="24"/>
          <w:szCs w:val="24"/>
        </w:rPr>
      </w:pPr>
    </w:p>
    <w:p w14:paraId="0F5C730A" w14:textId="77777777" w:rsidR="00881868" w:rsidRDefault="00881868" w:rsidP="00881868">
      <w:pPr>
        <w:spacing w:after="0" w:line="240" w:lineRule="auto"/>
        <w:jc w:val="both"/>
        <w:rPr>
          <w:rFonts w:ascii="Arial" w:hAnsi="Arial" w:cs="Arial"/>
          <w:sz w:val="24"/>
          <w:szCs w:val="24"/>
        </w:rPr>
      </w:pPr>
    </w:p>
    <w:p w14:paraId="2A961B55" w14:textId="77777777" w:rsidR="00881868" w:rsidRDefault="00881868" w:rsidP="00881868">
      <w:pPr>
        <w:spacing w:after="0" w:line="240" w:lineRule="auto"/>
        <w:jc w:val="both"/>
        <w:rPr>
          <w:rFonts w:ascii="Arial" w:hAnsi="Arial" w:cs="Arial"/>
          <w:sz w:val="24"/>
          <w:szCs w:val="24"/>
        </w:rPr>
      </w:pPr>
    </w:p>
    <w:p w14:paraId="265137B7" w14:textId="77777777" w:rsidR="00881868" w:rsidRDefault="00881868" w:rsidP="00881868">
      <w:pPr>
        <w:spacing w:after="0" w:line="240" w:lineRule="auto"/>
        <w:jc w:val="both"/>
        <w:rPr>
          <w:rFonts w:ascii="Arial" w:hAnsi="Arial" w:cs="Arial"/>
          <w:sz w:val="24"/>
          <w:szCs w:val="24"/>
        </w:rPr>
      </w:pPr>
    </w:p>
    <w:p w14:paraId="066CA4C0" w14:textId="77777777" w:rsidR="00881868" w:rsidRDefault="00881868" w:rsidP="00881868">
      <w:pPr>
        <w:spacing w:after="0" w:line="240" w:lineRule="auto"/>
        <w:jc w:val="both"/>
        <w:rPr>
          <w:rFonts w:ascii="Arial" w:hAnsi="Arial" w:cs="Arial"/>
          <w:sz w:val="24"/>
          <w:szCs w:val="24"/>
        </w:rPr>
      </w:pPr>
    </w:p>
    <w:p w14:paraId="3E99CEF0" w14:textId="77777777" w:rsidR="00881868" w:rsidRDefault="00881868" w:rsidP="00881868">
      <w:pPr>
        <w:spacing w:after="0" w:line="240" w:lineRule="auto"/>
        <w:jc w:val="both"/>
        <w:rPr>
          <w:rFonts w:ascii="Arial" w:hAnsi="Arial" w:cs="Arial"/>
          <w:sz w:val="24"/>
          <w:szCs w:val="24"/>
        </w:rPr>
      </w:pPr>
    </w:p>
    <w:p w14:paraId="22B0D1CF" w14:textId="77777777" w:rsidR="00881868" w:rsidRDefault="00881868" w:rsidP="00881868">
      <w:pPr>
        <w:spacing w:after="0" w:line="240" w:lineRule="auto"/>
        <w:jc w:val="both"/>
        <w:rPr>
          <w:rFonts w:ascii="Arial" w:hAnsi="Arial" w:cs="Arial"/>
          <w:sz w:val="24"/>
          <w:szCs w:val="24"/>
        </w:rPr>
      </w:pPr>
    </w:p>
    <w:p w14:paraId="309BAB70" w14:textId="77777777" w:rsidR="00881868" w:rsidRDefault="00881868" w:rsidP="00881868">
      <w:pPr>
        <w:spacing w:after="0" w:line="240" w:lineRule="auto"/>
        <w:jc w:val="both"/>
        <w:rPr>
          <w:rFonts w:ascii="Arial" w:hAnsi="Arial" w:cs="Arial"/>
          <w:sz w:val="24"/>
          <w:szCs w:val="24"/>
        </w:rPr>
      </w:pPr>
    </w:p>
    <w:p w14:paraId="0785E86D" w14:textId="77777777" w:rsidR="00881868" w:rsidRDefault="00881868" w:rsidP="00881868">
      <w:pPr>
        <w:spacing w:after="0" w:line="240" w:lineRule="auto"/>
        <w:jc w:val="both"/>
        <w:rPr>
          <w:rFonts w:ascii="Arial" w:hAnsi="Arial" w:cs="Arial"/>
          <w:sz w:val="24"/>
          <w:szCs w:val="24"/>
        </w:rPr>
      </w:pPr>
    </w:p>
    <w:p w14:paraId="1FDE9D44" w14:textId="77777777" w:rsidR="00881868" w:rsidRDefault="00881868" w:rsidP="00881868">
      <w:pPr>
        <w:spacing w:after="0" w:line="240" w:lineRule="auto"/>
        <w:jc w:val="both"/>
        <w:rPr>
          <w:rFonts w:ascii="Arial" w:hAnsi="Arial" w:cs="Arial"/>
          <w:sz w:val="24"/>
          <w:szCs w:val="24"/>
        </w:rPr>
      </w:pPr>
    </w:p>
    <w:p w14:paraId="5F0AE00C" w14:textId="77777777" w:rsidR="00881868" w:rsidRDefault="00881868" w:rsidP="00881868">
      <w:pPr>
        <w:spacing w:after="0" w:line="240" w:lineRule="auto"/>
        <w:jc w:val="both"/>
        <w:rPr>
          <w:rFonts w:ascii="Arial" w:hAnsi="Arial" w:cs="Arial"/>
          <w:sz w:val="24"/>
          <w:szCs w:val="24"/>
        </w:rPr>
      </w:pPr>
    </w:p>
    <w:p w14:paraId="66D177B6" w14:textId="77777777" w:rsidR="00881868" w:rsidRDefault="00881868" w:rsidP="00881868">
      <w:pPr>
        <w:spacing w:after="0" w:line="240" w:lineRule="auto"/>
        <w:jc w:val="both"/>
        <w:rPr>
          <w:rFonts w:ascii="Arial" w:hAnsi="Arial" w:cs="Arial"/>
          <w:sz w:val="24"/>
          <w:szCs w:val="24"/>
        </w:rPr>
      </w:pPr>
    </w:p>
    <w:p w14:paraId="15E3F85A" w14:textId="77777777" w:rsidR="00881868" w:rsidRDefault="00881868" w:rsidP="00881868">
      <w:pPr>
        <w:spacing w:after="0" w:line="240" w:lineRule="auto"/>
        <w:jc w:val="both"/>
        <w:rPr>
          <w:rFonts w:ascii="Arial" w:hAnsi="Arial" w:cs="Arial"/>
          <w:sz w:val="24"/>
          <w:szCs w:val="24"/>
        </w:rPr>
      </w:pPr>
    </w:p>
    <w:p w14:paraId="5D1D0E09" w14:textId="77777777" w:rsidR="00881868" w:rsidRDefault="00881868" w:rsidP="00881868">
      <w:pPr>
        <w:spacing w:after="0" w:line="240" w:lineRule="auto"/>
        <w:jc w:val="both"/>
        <w:rPr>
          <w:rFonts w:ascii="Arial" w:hAnsi="Arial" w:cs="Arial"/>
          <w:sz w:val="24"/>
          <w:szCs w:val="24"/>
        </w:rPr>
      </w:pPr>
    </w:p>
    <w:p w14:paraId="0BD4CA24" w14:textId="77777777" w:rsidR="00881868" w:rsidRDefault="00881868" w:rsidP="00881868">
      <w:pPr>
        <w:spacing w:after="0" w:line="240" w:lineRule="auto"/>
        <w:jc w:val="both"/>
        <w:rPr>
          <w:rFonts w:ascii="Arial" w:hAnsi="Arial" w:cs="Arial"/>
          <w:sz w:val="24"/>
          <w:szCs w:val="24"/>
        </w:rPr>
      </w:pPr>
    </w:p>
    <w:p w14:paraId="39D5671F" w14:textId="77777777" w:rsidR="00881868" w:rsidRDefault="00881868" w:rsidP="00881868">
      <w:pPr>
        <w:spacing w:after="0" w:line="240" w:lineRule="auto"/>
        <w:jc w:val="both"/>
        <w:rPr>
          <w:rFonts w:ascii="Arial" w:hAnsi="Arial" w:cs="Arial"/>
          <w:sz w:val="24"/>
          <w:szCs w:val="24"/>
        </w:rPr>
      </w:pPr>
    </w:p>
    <w:p w14:paraId="554F569A" w14:textId="77777777" w:rsidR="00881868" w:rsidRDefault="00881868" w:rsidP="00881868">
      <w:pPr>
        <w:spacing w:after="0" w:line="240" w:lineRule="auto"/>
        <w:jc w:val="both"/>
        <w:rPr>
          <w:rFonts w:ascii="Arial" w:hAnsi="Arial" w:cs="Arial"/>
          <w:sz w:val="24"/>
          <w:szCs w:val="24"/>
        </w:rPr>
      </w:pPr>
    </w:p>
    <w:p w14:paraId="06F1AFE2" w14:textId="77777777" w:rsidR="00881868" w:rsidRDefault="00881868" w:rsidP="00881868">
      <w:pPr>
        <w:spacing w:after="0" w:line="240" w:lineRule="auto"/>
        <w:jc w:val="both"/>
        <w:rPr>
          <w:rFonts w:ascii="Arial" w:hAnsi="Arial" w:cs="Arial"/>
          <w:sz w:val="24"/>
          <w:szCs w:val="24"/>
        </w:rPr>
      </w:pPr>
    </w:p>
    <w:p w14:paraId="55053068" w14:textId="77777777" w:rsidR="00881868" w:rsidRDefault="00881868" w:rsidP="00881868">
      <w:pPr>
        <w:spacing w:after="0" w:line="240" w:lineRule="auto"/>
        <w:jc w:val="both"/>
        <w:rPr>
          <w:rFonts w:ascii="Arial" w:hAnsi="Arial" w:cs="Arial"/>
          <w:sz w:val="24"/>
          <w:szCs w:val="24"/>
        </w:rPr>
      </w:pPr>
    </w:p>
    <w:p w14:paraId="12C0708A" w14:textId="77777777" w:rsidR="00881868" w:rsidRDefault="00881868" w:rsidP="00881868">
      <w:pPr>
        <w:spacing w:after="0" w:line="240" w:lineRule="auto"/>
        <w:jc w:val="both"/>
        <w:rPr>
          <w:rFonts w:ascii="Arial" w:hAnsi="Arial" w:cs="Arial"/>
          <w:sz w:val="24"/>
          <w:szCs w:val="24"/>
        </w:rPr>
      </w:pPr>
    </w:p>
    <w:p w14:paraId="465E4040" w14:textId="77777777" w:rsidR="00881868" w:rsidRDefault="00881868" w:rsidP="00881868">
      <w:pPr>
        <w:spacing w:after="0" w:line="240" w:lineRule="auto"/>
        <w:jc w:val="both"/>
        <w:rPr>
          <w:rFonts w:ascii="Arial" w:hAnsi="Arial" w:cs="Arial"/>
          <w:sz w:val="24"/>
          <w:szCs w:val="24"/>
        </w:rPr>
      </w:pPr>
    </w:p>
    <w:p w14:paraId="3F69300B" w14:textId="5BD22A18" w:rsidR="00881868" w:rsidRDefault="00881868" w:rsidP="00881868">
      <w:pPr>
        <w:spacing w:after="0" w:line="240" w:lineRule="auto"/>
        <w:jc w:val="both"/>
        <w:rPr>
          <w:rFonts w:ascii="Arial" w:hAnsi="Arial" w:cs="Arial"/>
          <w:sz w:val="24"/>
          <w:szCs w:val="24"/>
        </w:rPr>
      </w:pPr>
      <w:r>
        <w:rPr>
          <w:rFonts w:ascii="Arial" w:hAnsi="Arial" w:cs="Arial"/>
          <w:sz w:val="24"/>
          <w:szCs w:val="24"/>
        </w:rPr>
        <w:lastRenderedPageBreak/>
        <w:t xml:space="preserve">En el mismo periodo, las FGE reportaron 3 606 </w:t>
      </w:r>
      <w:r w:rsidRPr="003C4F1F">
        <w:rPr>
          <w:rFonts w:ascii="Arial" w:hAnsi="Arial" w:cs="Arial"/>
          <w:sz w:val="24"/>
          <w:szCs w:val="24"/>
        </w:rPr>
        <w:t>agencias y/o fiscalías del Ministerio Público</w:t>
      </w:r>
      <w:r>
        <w:rPr>
          <w:rFonts w:ascii="Arial" w:hAnsi="Arial" w:cs="Arial"/>
          <w:sz w:val="24"/>
          <w:szCs w:val="24"/>
        </w:rPr>
        <w:t>. De</w:t>
      </w:r>
      <w:r w:rsidRPr="00EE2CCE">
        <w:rPr>
          <w:rFonts w:ascii="Arial" w:hAnsi="Arial" w:cs="Arial"/>
          <w:sz w:val="24"/>
          <w:szCs w:val="24"/>
        </w:rPr>
        <w:t xml:space="preserve"> acuerdo con el tipo, 52.7 % correspondió a </w:t>
      </w:r>
      <w:r w:rsidR="00ED4014" w:rsidRPr="00DF0D6A">
        <w:rPr>
          <w:rFonts w:ascii="Arial" w:hAnsi="Arial" w:cs="Arial"/>
          <w:i/>
          <w:sz w:val="24"/>
          <w:szCs w:val="24"/>
        </w:rPr>
        <w:t>m</w:t>
      </w:r>
      <w:r w:rsidRPr="00DF0D6A">
        <w:rPr>
          <w:rFonts w:ascii="Arial" w:hAnsi="Arial" w:cs="Arial"/>
          <w:i/>
          <w:sz w:val="24"/>
          <w:szCs w:val="24"/>
        </w:rPr>
        <w:t>ixta o general</w:t>
      </w:r>
      <w:r w:rsidRPr="00EE2CCE">
        <w:rPr>
          <w:rFonts w:ascii="Arial" w:hAnsi="Arial" w:cs="Arial"/>
          <w:sz w:val="24"/>
          <w:szCs w:val="24"/>
        </w:rPr>
        <w:t>.</w:t>
      </w:r>
      <w:r>
        <w:rPr>
          <w:rFonts w:ascii="Arial" w:hAnsi="Arial" w:cs="Arial"/>
          <w:sz w:val="24"/>
          <w:szCs w:val="24"/>
        </w:rPr>
        <w:t xml:space="preserve"> </w:t>
      </w:r>
      <w:r w:rsidRPr="00D46AB1">
        <w:rPr>
          <w:rFonts w:ascii="Arial" w:hAnsi="Arial" w:cs="Arial"/>
          <w:sz w:val="24"/>
          <w:szCs w:val="24"/>
        </w:rPr>
        <w:t>Comparado con 2020</w:t>
      </w:r>
      <w:r w:rsidR="0026177C">
        <w:rPr>
          <w:rFonts w:ascii="Arial" w:hAnsi="Arial" w:cs="Arial"/>
          <w:sz w:val="24"/>
          <w:szCs w:val="24"/>
        </w:rPr>
        <w:t>,</w:t>
      </w:r>
      <w:r>
        <w:rPr>
          <w:rStyle w:val="Refdenotaalpie"/>
          <w:rFonts w:ascii="Arial" w:hAnsi="Arial" w:cs="Arial"/>
          <w:sz w:val="24"/>
          <w:szCs w:val="24"/>
        </w:rPr>
        <w:footnoteReference w:id="6"/>
      </w:r>
      <w:r w:rsidRPr="00D46AB1">
        <w:rPr>
          <w:rFonts w:ascii="Arial" w:hAnsi="Arial" w:cs="Arial"/>
          <w:sz w:val="24"/>
          <w:szCs w:val="24"/>
        </w:rPr>
        <w:t xml:space="preserve"> la cantidad de agencias y/o fiscalías</w:t>
      </w:r>
      <w:r>
        <w:rPr>
          <w:rFonts w:ascii="Arial" w:hAnsi="Arial" w:cs="Arial"/>
          <w:sz w:val="24"/>
          <w:szCs w:val="24"/>
        </w:rPr>
        <w:t xml:space="preserve"> </w:t>
      </w:r>
      <w:r w:rsidRPr="00D46AB1">
        <w:rPr>
          <w:rFonts w:ascii="Arial" w:hAnsi="Arial" w:cs="Arial"/>
          <w:sz w:val="24"/>
          <w:szCs w:val="24"/>
        </w:rPr>
        <w:t>disminuy</w:t>
      </w:r>
      <w:r>
        <w:rPr>
          <w:rFonts w:ascii="Arial" w:hAnsi="Arial" w:cs="Arial"/>
          <w:sz w:val="24"/>
          <w:szCs w:val="24"/>
        </w:rPr>
        <w:t xml:space="preserve">ó </w:t>
      </w:r>
      <w:r w:rsidRPr="00D46AB1">
        <w:rPr>
          <w:rFonts w:ascii="Arial" w:hAnsi="Arial" w:cs="Arial"/>
          <w:sz w:val="24"/>
          <w:szCs w:val="24"/>
        </w:rPr>
        <w:t xml:space="preserve">2.9 </w:t>
      </w:r>
      <w:r>
        <w:rPr>
          <w:rFonts w:ascii="Arial" w:hAnsi="Arial" w:cs="Arial"/>
          <w:sz w:val="24"/>
          <w:szCs w:val="24"/>
        </w:rPr>
        <w:t xml:space="preserve">por ciento. </w:t>
      </w:r>
    </w:p>
    <w:p w14:paraId="4164F0BC" w14:textId="77777777" w:rsidR="00881868" w:rsidRDefault="00881868" w:rsidP="00881868">
      <w:pPr>
        <w:spacing w:after="0" w:line="240" w:lineRule="auto"/>
        <w:jc w:val="both"/>
        <w:rPr>
          <w:rFonts w:ascii="Arial" w:hAnsi="Arial" w:cs="Arial"/>
          <w:sz w:val="24"/>
          <w:szCs w:val="24"/>
        </w:rPr>
      </w:pPr>
    </w:p>
    <w:p w14:paraId="587434DC" w14:textId="77777777" w:rsidR="00881868" w:rsidRPr="000F4EC1" w:rsidRDefault="00881868" w:rsidP="00881868">
      <w:pPr>
        <w:pStyle w:val="Default"/>
        <w:jc w:val="center"/>
        <w:rPr>
          <w:color w:val="auto"/>
          <w:sz w:val="20"/>
          <w:szCs w:val="20"/>
        </w:rPr>
      </w:pPr>
      <w:r>
        <w:rPr>
          <w:color w:val="auto"/>
          <w:sz w:val="20"/>
          <w:szCs w:val="20"/>
        </w:rPr>
        <w:t>Tabla</w:t>
      </w:r>
      <w:r w:rsidRPr="000F4EC1">
        <w:rPr>
          <w:color w:val="auto"/>
          <w:sz w:val="20"/>
          <w:szCs w:val="20"/>
        </w:rPr>
        <w:t xml:space="preserve"> </w:t>
      </w:r>
      <w:r>
        <w:rPr>
          <w:color w:val="auto"/>
          <w:sz w:val="20"/>
          <w:szCs w:val="20"/>
        </w:rPr>
        <w:t>2</w:t>
      </w:r>
    </w:p>
    <w:p w14:paraId="7D1CD095" w14:textId="77777777" w:rsidR="00881868" w:rsidRDefault="00881868" w:rsidP="00881868">
      <w:pPr>
        <w:spacing w:after="0" w:line="240" w:lineRule="auto"/>
        <w:jc w:val="center"/>
        <w:rPr>
          <w:rFonts w:ascii="Arial" w:hAnsi="Arial" w:cs="Arial"/>
          <w:b/>
          <w:bCs/>
          <w:iCs/>
          <w:smallCaps/>
          <w:color w:val="000000" w:themeColor="text1"/>
        </w:rPr>
      </w:pPr>
      <w:r w:rsidRPr="00EF4150">
        <w:rPr>
          <w:rFonts w:ascii="Arial" w:hAnsi="Arial" w:cs="Arial"/>
          <w:b/>
          <w:bCs/>
          <w:iCs/>
          <w:smallCaps/>
          <w:color w:val="000000" w:themeColor="text1"/>
        </w:rPr>
        <w:t>Agencias y/o fiscalías del Ministerio Público de las FGE, por tipo, 2021</w:t>
      </w:r>
    </w:p>
    <w:p w14:paraId="557ADD36" w14:textId="77777777" w:rsidR="00881868" w:rsidRDefault="00881868" w:rsidP="00881868">
      <w:pPr>
        <w:spacing w:after="0" w:line="240" w:lineRule="auto"/>
        <w:jc w:val="center"/>
        <w:rPr>
          <w:rFonts w:ascii="Arial Negrita" w:hAnsi="Arial Negrita" w:cs="Arial"/>
          <w:b/>
          <w:bCs/>
          <w:smallCaps/>
          <w:sz w:val="24"/>
          <w:szCs w:val="24"/>
        </w:rPr>
      </w:pPr>
    </w:p>
    <w:tbl>
      <w:tblPr>
        <w:tblW w:w="10043" w:type="dxa"/>
        <w:jc w:val="center"/>
        <w:tblCellMar>
          <w:left w:w="0" w:type="dxa"/>
          <w:right w:w="0" w:type="dxa"/>
        </w:tblCellMar>
        <w:tblLook w:val="0600" w:firstRow="0" w:lastRow="0" w:firstColumn="0" w:lastColumn="0" w:noHBand="1" w:noVBand="1"/>
      </w:tblPr>
      <w:tblGrid>
        <w:gridCol w:w="8206"/>
        <w:gridCol w:w="1837"/>
      </w:tblGrid>
      <w:tr w:rsidR="00B20DB3" w:rsidRPr="00BF7AC3" w14:paraId="7C5CE33C" w14:textId="77777777" w:rsidTr="00762D5C">
        <w:trPr>
          <w:trHeight w:val="275"/>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285072"/>
            <w:tcMar>
              <w:top w:w="15" w:type="dxa"/>
              <w:left w:w="15" w:type="dxa"/>
              <w:bottom w:w="0" w:type="dxa"/>
              <w:right w:w="15" w:type="dxa"/>
            </w:tcMar>
            <w:vAlign w:val="center"/>
            <w:hideMark/>
          </w:tcPr>
          <w:p w14:paraId="77019E5E" w14:textId="77777777" w:rsidR="00B20DB3" w:rsidRPr="00BF7AC3" w:rsidRDefault="00B20DB3" w:rsidP="00773F93">
            <w:pPr>
              <w:spacing w:after="0" w:line="240" w:lineRule="auto"/>
              <w:jc w:val="center"/>
              <w:textAlignment w:val="center"/>
              <w:rPr>
                <w:rFonts w:ascii="Arial" w:eastAsia="Times New Roman" w:hAnsi="Arial" w:cs="Arial"/>
                <w:sz w:val="18"/>
                <w:szCs w:val="18"/>
                <w:lang w:eastAsia="es-MX"/>
              </w:rPr>
            </w:pPr>
            <w:r w:rsidRPr="00BF7AC3">
              <w:rPr>
                <w:rFonts w:ascii="Arial" w:eastAsia="Times New Roman" w:hAnsi="Arial" w:cs="Arial"/>
                <w:b/>
                <w:bCs/>
                <w:color w:val="FFFFFF"/>
                <w:kern w:val="24"/>
                <w:sz w:val="18"/>
                <w:szCs w:val="18"/>
                <w:lang w:eastAsia="es-MX"/>
              </w:rPr>
              <w:t>Tipo de agencia y/o fiscalía del Ministerio Público</w:t>
            </w:r>
          </w:p>
        </w:tc>
        <w:tc>
          <w:tcPr>
            <w:tcW w:w="1837" w:type="dxa"/>
            <w:tcBorders>
              <w:top w:val="single" w:sz="8" w:space="0" w:color="FFFFFF"/>
              <w:left w:val="single" w:sz="8" w:space="0" w:color="FFFFFF"/>
              <w:bottom w:val="single" w:sz="8" w:space="0" w:color="FFFFFF"/>
              <w:right w:val="single" w:sz="8" w:space="0" w:color="FFFFFF"/>
            </w:tcBorders>
            <w:shd w:val="clear" w:color="auto" w:fill="285072"/>
            <w:tcMar>
              <w:top w:w="15" w:type="dxa"/>
              <w:left w:w="15" w:type="dxa"/>
              <w:bottom w:w="0" w:type="dxa"/>
              <w:right w:w="15" w:type="dxa"/>
            </w:tcMar>
            <w:vAlign w:val="center"/>
            <w:hideMark/>
          </w:tcPr>
          <w:p w14:paraId="14257742" w14:textId="77777777" w:rsidR="00B20DB3" w:rsidRPr="00BF7AC3" w:rsidRDefault="00B20DB3" w:rsidP="00773F93">
            <w:pPr>
              <w:spacing w:after="0" w:line="240" w:lineRule="auto"/>
              <w:jc w:val="center"/>
              <w:textAlignment w:val="center"/>
              <w:rPr>
                <w:rFonts w:ascii="Arial" w:eastAsia="Times New Roman" w:hAnsi="Arial" w:cs="Arial"/>
                <w:sz w:val="18"/>
                <w:szCs w:val="18"/>
                <w:lang w:eastAsia="es-MX"/>
              </w:rPr>
            </w:pPr>
            <w:r w:rsidRPr="00BF7AC3">
              <w:rPr>
                <w:rFonts w:ascii="Arial" w:eastAsia="Times New Roman" w:hAnsi="Arial" w:cs="Arial"/>
                <w:b/>
                <w:bCs/>
                <w:color w:val="FFFFFF"/>
                <w:kern w:val="24"/>
                <w:sz w:val="18"/>
                <w:szCs w:val="18"/>
                <w:lang w:eastAsia="es-MX"/>
              </w:rPr>
              <w:t>Total</w:t>
            </w:r>
          </w:p>
        </w:tc>
      </w:tr>
      <w:tr w:rsidR="00B20DB3" w:rsidRPr="00BF7AC3" w14:paraId="10CFE508" w14:textId="77777777" w:rsidTr="00762D5C">
        <w:trPr>
          <w:trHeight w:val="169"/>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909599"/>
            <w:tcMar>
              <w:top w:w="15" w:type="dxa"/>
              <w:left w:w="15" w:type="dxa"/>
              <w:bottom w:w="0" w:type="dxa"/>
              <w:right w:w="15" w:type="dxa"/>
            </w:tcMar>
            <w:vAlign w:val="center"/>
          </w:tcPr>
          <w:p w14:paraId="128660D9" w14:textId="77777777" w:rsidR="00B20DB3" w:rsidRPr="001D0AF7" w:rsidRDefault="00B20DB3" w:rsidP="00773F93">
            <w:pPr>
              <w:spacing w:after="0" w:line="240" w:lineRule="auto"/>
              <w:ind w:firstLineChars="100" w:firstLine="180"/>
              <w:textAlignment w:val="bottom"/>
              <w:rPr>
                <w:rFonts w:ascii="Arial" w:eastAsia="Times New Roman" w:hAnsi="Arial" w:cs="Arial"/>
                <w:color w:val="FFFFFF" w:themeColor="background1"/>
                <w:kern w:val="24"/>
                <w:sz w:val="18"/>
                <w:szCs w:val="18"/>
                <w:lang w:eastAsia="es-MX"/>
              </w:rPr>
            </w:pPr>
            <w:r w:rsidRPr="001D0AF7">
              <w:rPr>
                <w:rFonts w:ascii="Arial" w:eastAsia="Times New Roman" w:hAnsi="Arial" w:cs="Arial"/>
                <w:color w:val="FFFFFF" w:themeColor="background1"/>
                <w:kern w:val="24"/>
                <w:sz w:val="18"/>
                <w:szCs w:val="18"/>
                <w:lang w:eastAsia="es-MX"/>
              </w:rPr>
              <w:t>Total</w:t>
            </w:r>
          </w:p>
        </w:tc>
        <w:tc>
          <w:tcPr>
            <w:tcW w:w="1837" w:type="dxa"/>
            <w:tcBorders>
              <w:top w:val="single" w:sz="8" w:space="0" w:color="FFFFFF"/>
              <w:left w:val="single" w:sz="8" w:space="0" w:color="FFFFFF"/>
              <w:bottom w:val="single" w:sz="8" w:space="0" w:color="FFFFFF"/>
              <w:right w:val="single" w:sz="8" w:space="0" w:color="FFFFFF"/>
            </w:tcBorders>
            <w:shd w:val="clear" w:color="auto" w:fill="909599"/>
            <w:tcMar>
              <w:top w:w="15" w:type="dxa"/>
              <w:left w:w="15" w:type="dxa"/>
              <w:bottom w:w="0" w:type="dxa"/>
              <w:right w:w="15" w:type="dxa"/>
            </w:tcMar>
            <w:vAlign w:val="center"/>
          </w:tcPr>
          <w:p w14:paraId="483E159C" w14:textId="77777777" w:rsidR="00B20DB3" w:rsidRPr="001D0AF7" w:rsidRDefault="00B20DB3" w:rsidP="00773F93">
            <w:pPr>
              <w:spacing w:after="0" w:line="240" w:lineRule="auto"/>
              <w:jc w:val="center"/>
              <w:textAlignment w:val="center"/>
              <w:rPr>
                <w:rFonts w:ascii="Arial" w:eastAsia="Times New Roman" w:hAnsi="Arial" w:cs="Arial"/>
                <w:color w:val="FFFFFF" w:themeColor="background1"/>
                <w:kern w:val="24"/>
                <w:sz w:val="18"/>
                <w:szCs w:val="18"/>
                <w:lang w:eastAsia="es-MX"/>
              </w:rPr>
            </w:pPr>
            <w:r w:rsidRPr="001D0AF7">
              <w:rPr>
                <w:rFonts w:ascii="Arial" w:eastAsia="Times New Roman" w:hAnsi="Arial" w:cs="Arial"/>
                <w:color w:val="FFFFFF" w:themeColor="background1"/>
                <w:kern w:val="24"/>
                <w:sz w:val="18"/>
                <w:szCs w:val="18"/>
                <w:lang w:eastAsia="es-MX"/>
              </w:rPr>
              <w:t>3 606</w:t>
            </w:r>
          </w:p>
        </w:tc>
      </w:tr>
      <w:tr w:rsidR="00B20DB3" w:rsidRPr="00BF7AC3" w14:paraId="418FA6E9" w14:textId="77777777" w:rsidTr="00762D5C">
        <w:trPr>
          <w:trHeight w:val="169"/>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29211D7"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Mixta o general</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8C325D9"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1 901</w:t>
            </w:r>
          </w:p>
        </w:tc>
      </w:tr>
      <w:tr w:rsidR="00B20DB3" w:rsidRPr="00BF7AC3" w14:paraId="30D43BA8"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F031183"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mecanismos de solución de controversias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3C39266"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210</w:t>
            </w:r>
          </w:p>
        </w:tc>
      </w:tr>
      <w:tr w:rsidR="00B20DB3" w:rsidRPr="00BF7AC3" w14:paraId="53DDBC04"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9016563"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delitos sexuales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59B5A23"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204</w:t>
            </w:r>
          </w:p>
        </w:tc>
      </w:tr>
      <w:tr w:rsidR="00B20DB3" w:rsidRPr="00BF7AC3" w14:paraId="5AF6591C"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C82D458"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delitos contra las mujeres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2192D94"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185</w:t>
            </w:r>
          </w:p>
        </w:tc>
      </w:tr>
      <w:tr w:rsidR="00B20DB3" w:rsidRPr="00BF7AC3" w14:paraId="3267E25A"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7C578EA"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violencia intrafamiliar</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DBC7882"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185</w:t>
            </w:r>
          </w:p>
        </w:tc>
      </w:tr>
      <w:tr w:rsidR="00B20DB3" w:rsidRPr="00BF7AC3" w14:paraId="5CCC57EF"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6636957"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atención de adolescentes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ECD15DB"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152</w:t>
            </w:r>
          </w:p>
        </w:tc>
      </w:tr>
      <w:tr w:rsidR="00B20DB3" w:rsidRPr="00BF7AC3" w14:paraId="7DD4A8D1"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65662D0"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robos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B198A1F"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150</w:t>
            </w:r>
          </w:p>
        </w:tc>
      </w:tr>
      <w:tr w:rsidR="00B20DB3" w:rsidRPr="00BF7AC3" w14:paraId="3D55D5DD"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25D46CB"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homicidios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F71D71A"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125</w:t>
            </w:r>
          </w:p>
        </w:tc>
      </w:tr>
      <w:tr w:rsidR="00B20DB3" w:rsidRPr="00BF7AC3" w14:paraId="2EF80B10"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0FA5BD3"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delitos patrimoniales o fraudes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FA16DA4"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124</w:t>
            </w:r>
          </w:p>
        </w:tc>
      </w:tr>
      <w:tr w:rsidR="00B20DB3" w:rsidRPr="00BF7AC3" w14:paraId="20B56057"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CCD4085"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feminicidios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9313B1B"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113</w:t>
            </w:r>
          </w:p>
        </w:tc>
      </w:tr>
      <w:tr w:rsidR="00B20DB3" w:rsidRPr="00BF7AC3" w14:paraId="332C727A" w14:textId="77777777" w:rsidTr="00762D5C">
        <w:trPr>
          <w:trHeight w:val="202"/>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93DA1CD"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asuntos civiles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C751826"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90</w:t>
            </w:r>
          </w:p>
        </w:tc>
      </w:tr>
      <w:tr w:rsidR="00B20DB3" w:rsidRPr="00BF7AC3" w14:paraId="7532448D" w14:textId="77777777" w:rsidTr="00762D5C">
        <w:trPr>
          <w:trHeight w:val="208"/>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B3071C9"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investigación y combate al delito de secuestro</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C8A0017"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78</w:t>
            </w:r>
          </w:p>
        </w:tc>
      </w:tr>
      <w:tr w:rsidR="00B20DB3" w:rsidRPr="00BF7AC3" w14:paraId="407DD3E5"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7CB907"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contra el robo de vehículos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FD31948"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77</w:t>
            </w:r>
          </w:p>
        </w:tc>
      </w:tr>
      <w:tr w:rsidR="00B20DB3" w:rsidRPr="00BF7AC3" w14:paraId="5F5A895F"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636D1E2"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atención a personas desaparecidas, no localizadas, ausentes o extraviadas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01E8ED6"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66</w:t>
            </w:r>
          </w:p>
        </w:tc>
      </w:tr>
      <w:tr w:rsidR="00B20DB3" w:rsidRPr="00BF7AC3" w14:paraId="77442A7C"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F54F56D"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atención a delitos de narcomenudeo</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958305C"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66</w:t>
            </w:r>
          </w:p>
        </w:tc>
      </w:tr>
      <w:tr w:rsidR="00B20DB3" w:rsidRPr="00BF7AC3" w14:paraId="5C3012C4"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D1EDAED"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combate a la corrupción</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3C15D95"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63</w:t>
            </w:r>
          </w:p>
        </w:tc>
      </w:tr>
      <w:tr w:rsidR="00B20DB3" w:rsidRPr="00BF7AC3" w14:paraId="6E9BDD73" w14:textId="77777777" w:rsidTr="00762D5C">
        <w:trPr>
          <w:trHeight w:val="295"/>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B4CC9F0"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ejecución de penas y medidas judiciales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BEBC2C6"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57</w:t>
            </w:r>
          </w:p>
        </w:tc>
      </w:tr>
      <w:tr w:rsidR="00B20DB3" w:rsidRPr="00BF7AC3" w14:paraId="03E2A5A9" w14:textId="77777777" w:rsidTr="00762D5C">
        <w:trPr>
          <w:trHeight w:val="295"/>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tcPr>
          <w:p w14:paraId="6C8B7578" w14:textId="77777777" w:rsidR="00B20DB3" w:rsidRPr="002A6B4D" w:rsidRDefault="00B20DB3" w:rsidP="00773F93">
            <w:pPr>
              <w:spacing w:after="0" w:line="240" w:lineRule="auto"/>
              <w:textAlignment w:val="bottom"/>
              <w:rPr>
                <w:rFonts w:ascii="Arial" w:eastAsia="Times New Roman" w:hAnsi="Arial" w:cs="Arial"/>
                <w:color w:val="000000"/>
                <w:kern w:val="24"/>
                <w:sz w:val="18"/>
                <w:szCs w:val="18"/>
                <w:lang w:eastAsia="es-MX"/>
              </w:rPr>
            </w:pPr>
            <w:r w:rsidRPr="002A6B4D">
              <w:rPr>
                <w:rFonts w:ascii="Arial" w:eastAsia="Times New Roman" w:hAnsi="Arial" w:cs="Arial"/>
                <w:color w:val="000000"/>
                <w:kern w:val="24"/>
                <w:sz w:val="18"/>
                <w:szCs w:val="18"/>
                <w:lang w:eastAsia="es-MX"/>
              </w:rPr>
              <w:t xml:space="preserve">Especializada en materia de delitos de desaparición forzada de personas y desaparición cometida </w:t>
            </w:r>
            <w:r>
              <w:rPr>
                <w:rFonts w:ascii="Arial" w:eastAsia="Times New Roman" w:hAnsi="Arial" w:cs="Arial"/>
                <w:color w:val="000000"/>
                <w:kern w:val="24"/>
                <w:sz w:val="18"/>
                <w:szCs w:val="18"/>
                <w:lang w:eastAsia="es-MX"/>
              </w:rPr>
              <w:t>por</w:t>
            </w:r>
            <w:r w:rsidRPr="002A6B4D">
              <w:rPr>
                <w:rFonts w:ascii="Arial" w:eastAsia="Times New Roman" w:hAnsi="Arial" w:cs="Arial"/>
                <w:color w:val="000000"/>
                <w:kern w:val="24"/>
                <w:sz w:val="18"/>
                <w:szCs w:val="18"/>
                <w:lang w:eastAsia="es-MX"/>
              </w:rPr>
              <w:t xml:space="preserve"> particulares </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tcPr>
          <w:p w14:paraId="3D265DA0" w14:textId="77777777" w:rsidR="00B20DB3" w:rsidRPr="002A6B4D" w:rsidRDefault="00B20DB3" w:rsidP="00773F93">
            <w:pPr>
              <w:spacing w:after="0" w:line="240" w:lineRule="auto"/>
              <w:jc w:val="center"/>
              <w:textAlignment w:val="center"/>
              <w:rPr>
                <w:rFonts w:ascii="Arial" w:eastAsia="Times New Roman" w:hAnsi="Arial" w:cs="Arial"/>
                <w:color w:val="000000"/>
                <w:kern w:val="24"/>
                <w:sz w:val="18"/>
                <w:szCs w:val="18"/>
                <w:lang w:eastAsia="es-MX"/>
              </w:rPr>
            </w:pPr>
            <w:r w:rsidRPr="002A6B4D">
              <w:rPr>
                <w:rFonts w:ascii="Arial" w:eastAsia="Times New Roman" w:hAnsi="Arial" w:cs="Arial"/>
                <w:color w:val="000000"/>
                <w:kern w:val="24"/>
                <w:sz w:val="18"/>
                <w:szCs w:val="18"/>
                <w:lang w:eastAsia="es-MX"/>
              </w:rPr>
              <w:t>57</w:t>
            </w:r>
          </w:p>
        </w:tc>
      </w:tr>
      <w:tr w:rsidR="00B20DB3" w:rsidRPr="00BF7AC3" w14:paraId="66649BF1"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8F9F267"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contra la trata de personas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7D52121"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48</w:t>
            </w:r>
          </w:p>
        </w:tc>
      </w:tr>
      <w:tr w:rsidR="00B20DB3" w:rsidRPr="00BF7AC3" w14:paraId="52371E48"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CBF6C27"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extorsiones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A4FAD3"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46</w:t>
            </w:r>
          </w:p>
        </w:tc>
      </w:tr>
      <w:tr w:rsidR="00B20DB3" w:rsidRPr="00BF7AC3" w14:paraId="576D486E"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791A1C0"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atención a delitos electorales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8F70451"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32</w:t>
            </w:r>
          </w:p>
        </w:tc>
      </w:tr>
      <w:tr w:rsidR="00B20DB3" w:rsidRPr="00BF7AC3" w14:paraId="1162D36C"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8075DC" w14:textId="77777777" w:rsidR="00B20DB3" w:rsidRPr="002A6B4D" w:rsidRDefault="00B20DB3" w:rsidP="00773F93">
            <w:pPr>
              <w:spacing w:after="0" w:line="240" w:lineRule="auto"/>
              <w:textAlignment w:val="bottom"/>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Especializada en el delito de abigeato</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93640DA" w14:textId="77777777" w:rsidR="00B20DB3" w:rsidRPr="002A6B4D"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2A6B4D">
              <w:rPr>
                <w:rFonts w:ascii="Arial" w:eastAsia="Times New Roman" w:hAnsi="Arial" w:cs="Arial"/>
                <w:color w:val="000000"/>
                <w:kern w:val="24"/>
                <w:sz w:val="18"/>
                <w:szCs w:val="18"/>
                <w:lang w:eastAsia="es-MX"/>
              </w:rPr>
              <w:t>30</w:t>
            </w:r>
          </w:p>
        </w:tc>
      </w:tr>
      <w:tr w:rsidR="00B20DB3" w:rsidRPr="00BF7AC3" w14:paraId="22B143B6"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755A31D"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Especializada en delitos contra la salud</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B5F50F2"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26</w:t>
            </w:r>
          </w:p>
        </w:tc>
      </w:tr>
      <w:tr w:rsidR="00B20DB3" w:rsidRPr="00BF7AC3" w14:paraId="77CCB3C7"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57F50E6"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Especializada en la investigación del delito de tortura</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04F2861"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26</w:t>
            </w:r>
          </w:p>
        </w:tc>
      </w:tr>
      <w:tr w:rsidR="00B20DB3" w:rsidRPr="00BF7AC3" w14:paraId="767A2485"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319CF63"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Especializada en materia de extinción de dominio</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035AEA8"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25</w:t>
            </w:r>
          </w:p>
        </w:tc>
      </w:tr>
      <w:tr w:rsidR="00B20DB3" w:rsidRPr="00BF7AC3" w14:paraId="547ACE7D"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6D7E9B8"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Especializada en atención a indígenas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42E04CB"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24</w:t>
            </w:r>
          </w:p>
        </w:tc>
      </w:tr>
      <w:tr w:rsidR="00B20DB3" w:rsidRPr="00BF7AC3" w14:paraId="745D7419"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6507D16"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Especializada en atención a migrantes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8DB6924"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17</w:t>
            </w:r>
          </w:p>
        </w:tc>
      </w:tr>
      <w:tr w:rsidR="00B20DB3" w:rsidRPr="00BF7AC3" w14:paraId="392A32BB"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03BE41C"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Especializada en delitos contra el medio ambiente</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4AAD7EB"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13</w:t>
            </w:r>
          </w:p>
        </w:tc>
      </w:tr>
      <w:tr w:rsidR="00B20DB3" w:rsidRPr="00BF7AC3" w14:paraId="7DFB8A4B" w14:textId="77777777" w:rsidTr="00762D5C">
        <w:trPr>
          <w:trHeight w:val="198"/>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2E8FA0A"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Especializada en atención a delitos cometidos por medios electrónicos o cibernéticos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ECD1DC2"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11</w:t>
            </w:r>
          </w:p>
        </w:tc>
      </w:tr>
      <w:tr w:rsidR="00B20DB3" w:rsidRPr="00BF7AC3" w14:paraId="58FE46B2"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5F551E3"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Especializada en delitos contra periodistas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F534802"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9</w:t>
            </w:r>
          </w:p>
        </w:tc>
      </w:tr>
      <w:tr w:rsidR="00B20DB3" w:rsidRPr="00BF7AC3" w14:paraId="73BC2724" w14:textId="77777777" w:rsidTr="00762D5C">
        <w:trPr>
          <w:trHeight w:val="221"/>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DEB0FEE"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Especializada en atención a turistas</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DCEDB34"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3</w:t>
            </w:r>
          </w:p>
        </w:tc>
      </w:tr>
      <w:tr w:rsidR="00B20DB3" w:rsidRPr="00BF7AC3" w14:paraId="5E5673ED" w14:textId="77777777" w:rsidTr="00762D5C">
        <w:trPr>
          <w:trHeight w:val="30"/>
          <w:jc w:val="center"/>
        </w:trPr>
        <w:tc>
          <w:tcPr>
            <w:tcW w:w="8206"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4367456" w14:textId="77777777" w:rsidR="00B20DB3" w:rsidRPr="000C7632" w:rsidRDefault="00B20DB3" w:rsidP="00773F93">
            <w:pPr>
              <w:spacing w:after="0" w:line="240" w:lineRule="auto"/>
              <w:textAlignment w:val="bottom"/>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Otro tipo de agencia y/o fiscalía</w:t>
            </w:r>
          </w:p>
        </w:tc>
        <w:tc>
          <w:tcPr>
            <w:tcW w:w="1837"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819BC38" w14:textId="77777777" w:rsidR="00B20DB3" w:rsidRPr="000C7632" w:rsidRDefault="00B20DB3" w:rsidP="00773F93">
            <w:pPr>
              <w:spacing w:after="0" w:line="240" w:lineRule="auto"/>
              <w:jc w:val="center"/>
              <w:textAlignment w:val="center"/>
              <w:rPr>
                <w:rFonts w:ascii="Arial" w:eastAsia="Times New Roman" w:hAnsi="Arial" w:cs="Arial"/>
                <w:color w:val="000000"/>
                <w:sz w:val="18"/>
                <w:szCs w:val="18"/>
                <w:lang w:eastAsia="es-MX"/>
              </w:rPr>
            </w:pPr>
            <w:r w:rsidRPr="000C7632">
              <w:rPr>
                <w:rFonts w:ascii="Arial" w:eastAsia="Times New Roman" w:hAnsi="Arial" w:cs="Arial"/>
                <w:color w:val="000000"/>
                <w:kern w:val="24"/>
                <w:sz w:val="18"/>
                <w:szCs w:val="18"/>
                <w:lang w:eastAsia="es-MX"/>
              </w:rPr>
              <w:t>143</w:t>
            </w:r>
          </w:p>
        </w:tc>
      </w:tr>
    </w:tbl>
    <w:p w14:paraId="35AA4528" w14:textId="77777777" w:rsidR="00B20DB3" w:rsidRDefault="00B20DB3" w:rsidP="00B20DB3">
      <w:pPr>
        <w:spacing w:after="0" w:line="240" w:lineRule="auto"/>
        <w:jc w:val="both"/>
        <w:rPr>
          <w:rFonts w:ascii="Arial" w:hAnsi="Arial" w:cs="Arial"/>
          <w:sz w:val="24"/>
          <w:szCs w:val="24"/>
        </w:rPr>
      </w:pPr>
    </w:p>
    <w:p w14:paraId="0F069A4D" w14:textId="1560D4DD" w:rsidR="00B20DB3" w:rsidRDefault="00B20DB3" w:rsidP="00B20DB3">
      <w:pPr>
        <w:spacing w:after="0" w:line="240" w:lineRule="auto"/>
        <w:jc w:val="both"/>
        <w:rPr>
          <w:rFonts w:ascii="Arial" w:hAnsi="Arial" w:cs="Arial"/>
          <w:sz w:val="24"/>
          <w:szCs w:val="24"/>
        </w:rPr>
      </w:pPr>
      <w:r>
        <w:rPr>
          <w:rFonts w:ascii="Arial" w:hAnsi="Arial" w:cs="Arial"/>
          <w:sz w:val="16"/>
          <w:szCs w:val="16"/>
        </w:rPr>
        <w:t xml:space="preserve">Nota: </w:t>
      </w:r>
      <w:r w:rsidRPr="00F367F5">
        <w:rPr>
          <w:rFonts w:ascii="Arial" w:hAnsi="Arial" w:cs="Arial"/>
          <w:sz w:val="16"/>
          <w:szCs w:val="16"/>
        </w:rPr>
        <w:t>Para las FGE, el total no corresponde con la suma de las cifras de la tabla por tipo</w:t>
      </w:r>
      <w:r w:rsidR="00486F98">
        <w:rPr>
          <w:rFonts w:ascii="Arial" w:hAnsi="Arial" w:cs="Arial"/>
          <w:sz w:val="16"/>
          <w:szCs w:val="16"/>
        </w:rPr>
        <w:t xml:space="preserve"> debido a </w:t>
      </w:r>
      <w:r w:rsidRPr="00F367F5">
        <w:rPr>
          <w:rFonts w:ascii="Arial" w:hAnsi="Arial" w:cs="Arial"/>
          <w:sz w:val="16"/>
          <w:szCs w:val="16"/>
        </w:rPr>
        <w:t xml:space="preserve">que una misma agencia </w:t>
      </w:r>
      <w:r>
        <w:rPr>
          <w:rFonts w:ascii="Arial" w:hAnsi="Arial" w:cs="Arial"/>
          <w:sz w:val="16"/>
          <w:szCs w:val="16"/>
        </w:rPr>
        <w:t>y/</w:t>
      </w:r>
      <w:r w:rsidRPr="00F367F5">
        <w:rPr>
          <w:rFonts w:ascii="Arial" w:hAnsi="Arial" w:cs="Arial"/>
          <w:sz w:val="16"/>
          <w:szCs w:val="16"/>
        </w:rPr>
        <w:t>o fiscalía puede corresponder a más de un tipo.</w:t>
      </w:r>
    </w:p>
    <w:p w14:paraId="074D6CEF" w14:textId="6A0FB53C" w:rsidR="00E370B4" w:rsidRDefault="00E370B4" w:rsidP="0031687C">
      <w:pPr>
        <w:spacing w:after="0" w:line="240" w:lineRule="auto"/>
        <w:jc w:val="center"/>
        <w:rPr>
          <w:rFonts w:ascii="Arial" w:hAnsi="Arial" w:cs="Arial"/>
          <w:sz w:val="24"/>
          <w:szCs w:val="24"/>
        </w:rPr>
      </w:pPr>
    </w:p>
    <w:p w14:paraId="77A8B721" w14:textId="1466F12F" w:rsidR="004A455A" w:rsidRDefault="004A455A" w:rsidP="0031687C">
      <w:pPr>
        <w:spacing w:after="0" w:line="240" w:lineRule="auto"/>
        <w:jc w:val="center"/>
        <w:rPr>
          <w:rFonts w:ascii="Arial" w:hAnsi="Arial" w:cs="Arial"/>
          <w:sz w:val="24"/>
          <w:szCs w:val="24"/>
        </w:rPr>
      </w:pPr>
    </w:p>
    <w:p w14:paraId="4C3F51D8" w14:textId="3433A708" w:rsidR="004A455A" w:rsidRDefault="004A455A" w:rsidP="0031687C">
      <w:pPr>
        <w:spacing w:after="0" w:line="240" w:lineRule="auto"/>
        <w:jc w:val="center"/>
        <w:rPr>
          <w:rFonts w:ascii="Arial" w:hAnsi="Arial" w:cs="Arial"/>
          <w:sz w:val="24"/>
          <w:szCs w:val="24"/>
        </w:rPr>
      </w:pPr>
    </w:p>
    <w:p w14:paraId="381A0D6F" w14:textId="449126CE" w:rsidR="005718B3" w:rsidRDefault="00486F98" w:rsidP="00F367F5">
      <w:pPr>
        <w:spacing w:before="46" w:after="0" w:line="276" w:lineRule="auto"/>
        <w:ind w:right="21"/>
        <w:jc w:val="both"/>
        <w:rPr>
          <w:rFonts w:ascii="Arial" w:hAnsi="Arial" w:cs="Arial"/>
          <w:sz w:val="24"/>
          <w:szCs w:val="24"/>
        </w:rPr>
      </w:pPr>
      <w:r>
        <w:rPr>
          <w:rFonts w:ascii="Arial" w:hAnsi="Arial" w:cs="Arial"/>
          <w:sz w:val="24"/>
          <w:szCs w:val="24"/>
        </w:rPr>
        <w:lastRenderedPageBreak/>
        <w:t>En el mismo periodo s</w:t>
      </w:r>
      <w:r w:rsidR="00895242">
        <w:rPr>
          <w:rFonts w:ascii="Arial" w:hAnsi="Arial" w:cs="Arial"/>
          <w:sz w:val="24"/>
          <w:szCs w:val="24"/>
        </w:rPr>
        <w:t>e registraron</w:t>
      </w:r>
      <w:r w:rsidR="00C24C90" w:rsidRPr="00C24C90">
        <w:rPr>
          <w:rFonts w:ascii="Arial" w:hAnsi="Arial" w:cs="Arial"/>
          <w:sz w:val="24"/>
          <w:szCs w:val="24"/>
        </w:rPr>
        <w:t xml:space="preserve"> </w:t>
      </w:r>
      <w:r w:rsidR="00A93763" w:rsidRPr="00A93763">
        <w:rPr>
          <w:rFonts w:ascii="Arial" w:hAnsi="Arial" w:cs="Arial"/>
          <w:sz w:val="24"/>
          <w:szCs w:val="24"/>
        </w:rPr>
        <w:t>65 572 personas</w:t>
      </w:r>
      <w:r w:rsidR="0026177C">
        <w:rPr>
          <w:rFonts w:ascii="Arial" w:hAnsi="Arial" w:cs="Arial"/>
          <w:sz w:val="24"/>
          <w:szCs w:val="24"/>
        </w:rPr>
        <w:t xml:space="preserve"> que trabajaban </w:t>
      </w:r>
      <w:r w:rsidR="00A93763" w:rsidRPr="00A93763">
        <w:rPr>
          <w:rFonts w:ascii="Arial" w:hAnsi="Arial" w:cs="Arial"/>
          <w:sz w:val="24"/>
          <w:szCs w:val="24"/>
        </w:rPr>
        <w:t>en las agencias y/o fiscalías del Ministerio Público</w:t>
      </w:r>
      <w:r w:rsidR="005718B3">
        <w:rPr>
          <w:rFonts w:ascii="Arial" w:hAnsi="Arial" w:cs="Arial"/>
          <w:sz w:val="24"/>
          <w:szCs w:val="24"/>
        </w:rPr>
        <w:t>. Del total,</w:t>
      </w:r>
      <w:r w:rsidR="00604735">
        <w:rPr>
          <w:rFonts w:ascii="Arial" w:hAnsi="Arial" w:cs="Arial"/>
          <w:sz w:val="24"/>
          <w:szCs w:val="24"/>
        </w:rPr>
        <w:t xml:space="preserve"> </w:t>
      </w:r>
      <w:r w:rsidR="00A93763" w:rsidRPr="00A93763">
        <w:rPr>
          <w:rFonts w:ascii="Arial" w:hAnsi="Arial" w:cs="Arial"/>
          <w:sz w:val="24"/>
          <w:szCs w:val="24"/>
        </w:rPr>
        <w:t xml:space="preserve">55.5 % </w:t>
      </w:r>
      <w:r w:rsidR="0026177C">
        <w:rPr>
          <w:rFonts w:ascii="Arial" w:hAnsi="Arial" w:cs="Arial"/>
          <w:sz w:val="24"/>
          <w:szCs w:val="24"/>
        </w:rPr>
        <w:t>correspondió a hombres (</w:t>
      </w:r>
      <w:r w:rsidR="0026177C" w:rsidRPr="00A93763">
        <w:rPr>
          <w:rFonts w:ascii="Arial" w:hAnsi="Arial" w:cs="Arial"/>
          <w:sz w:val="24"/>
          <w:szCs w:val="24"/>
        </w:rPr>
        <w:t>36 407</w:t>
      </w:r>
      <w:r w:rsidR="0026177C">
        <w:rPr>
          <w:rFonts w:ascii="Arial" w:hAnsi="Arial" w:cs="Arial"/>
          <w:sz w:val="24"/>
          <w:szCs w:val="24"/>
        </w:rPr>
        <w:t xml:space="preserve">) </w:t>
      </w:r>
      <w:r w:rsidR="00A93763" w:rsidRPr="00A93763">
        <w:rPr>
          <w:rFonts w:ascii="Arial" w:hAnsi="Arial" w:cs="Arial"/>
          <w:sz w:val="24"/>
          <w:szCs w:val="24"/>
        </w:rPr>
        <w:t>y 44.5 %</w:t>
      </w:r>
      <w:r w:rsidR="0026177C">
        <w:rPr>
          <w:rFonts w:ascii="Arial" w:hAnsi="Arial" w:cs="Arial"/>
          <w:sz w:val="24"/>
          <w:szCs w:val="24"/>
        </w:rPr>
        <w:t>, a mujeres</w:t>
      </w:r>
      <w:r w:rsidR="00A93763" w:rsidRPr="00A93763">
        <w:rPr>
          <w:rFonts w:ascii="Arial" w:hAnsi="Arial" w:cs="Arial"/>
          <w:sz w:val="24"/>
          <w:szCs w:val="24"/>
        </w:rPr>
        <w:t xml:space="preserve"> (29 165)</w:t>
      </w:r>
      <w:r w:rsidR="0026177C">
        <w:rPr>
          <w:rFonts w:ascii="Arial" w:hAnsi="Arial" w:cs="Arial"/>
          <w:sz w:val="24"/>
          <w:szCs w:val="24"/>
        </w:rPr>
        <w:t xml:space="preserve">. </w:t>
      </w:r>
      <w:r w:rsidR="005718B3">
        <w:rPr>
          <w:rFonts w:ascii="Arial" w:hAnsi="Arial" w:cs="Arial"/>
          <w:sz w:val="24"/>
          <w:szCs w:val="24"/>
        </w:rPr>
        <w:t>Asimismo</w:t>
      </w:r>
      <w:r w:rsidR="00A93763" w:rsidRPr="00A93763">
        <w:rPr>
          <w:rFonts w:ascii="Arial" w:hAnsi="Arial" w:cs="Arial"/>
          <w:sz w:val="24"/>
          <w:szCs w:val="24"/>
        </w:rPr>
        <w:t xml:space="preserve">, </w:t>
      </w:r>
      <w:r w:rsidR="00326630" w:rsidRPr="00A93763">
        <w:rPr>
          <w:rFonts w:ascii="Arial" w:hAnsi="Arial" w:cs="Arial"/>
          <w:sz w:val="24"/>
          <w:szCs w:val="24"/>
        </w:rPr>
        <w:t>18.5 % (12 147) pertenec</w:t>
      </w:r>
      <w:r w:rsidR="008F19BD">
        <w:rPr>
          <w:rFonts w:ascii="Arial" w:hAnsi="Arial" w:cs="Arial"/>
          <w:sz w:val="24"/>
          <w:szCs w:val="24"/>
        </w:rPr>
        <w:t>ía</w:t>
      </w:r>
      <w:r w:rsidR="00326630" w:rsidRPr="00A93763">
        <w:rPr>
          <w:rFonts w:ascii="Arial" w:hAnsi="Arial" w:cs="Arial"/>
          <w:sz w:val="24"/>
          <w:szCs w:val="24"/>
        </w:rPr>
        <w:t xml:space="preserve"> a la FGR</w:t>
      </w:r>
      <w:r w:rsidR="00326630">
        <w:rPr>
          <w:rFonts w:ascii="Arial" w:hAnsi="Arial" w:cs="Arial"/>
          <w:sz w:val="24"/>
          <w:szCs w:val="24"/>
        </w:rPr>
        <w:t xml:space="preserve"> y </w:t>
      </w:r>
      <w:r w:rsidR="00112B8B" w:rsidRPr="00A93763">
        <w:rPr>
          <w:rFonts w:ascii="Arial" w:hAnsi="Arial" w:cs="Arial"/>
          <w:sz w:val="24"/>
          <w:szCs w:val="24"/>
        </w:rPr>
        <w:t>81.5 % (53 425)</w:t>
      </w:r>
      <w:r w:rsidR="00451DCF">
        <w:rPr>
          <w:rFonts w:ascii="Arial" w:hAnsi="Arial" w:cs="Arial"/>
          <w:sz w:val="24"/>
          <w:szCs w:val="24"/>
        </w:rPr>
        <w:t xml:space="preserve"> </w:t>
      </w:r>
      <w:r w:rsidR="00112B8B" w:rsidRPr="00A93763">
        <w:rPr>
          <w:rFonts w:ascii="Arial" w:hAnsi="Arial" w:cs="Arial"/>
          <w:sz w:val="24"/>
          <w:szCs w:val="24"/>
        </w:rPr>
        <w:t>a las FGE</w:t>
      </w:r>
      <w:r w:rsidR="00A93763" w:rsidRPr="00A93763">
        <w:rPr>
          <w:rFonts w:ascii="Arial" w:hAnsi="Arial" w:cs="Arial"/>
          <w:sz w:val="24"/>
          <w:szCs w:val="24"/>
        </w:rPr>
        <w:t>.</w:t>
      </w:r>
      <w:r w:rsidR="005718B3">
        <w:rPr>
          <w:rFonts w:ascii="Arial" w:hAnsi="Arial" w:cs="Arial"/>
          <w:sz w:val="24"/>
          <w:szCs w:val="24"/>
        </w:rPr>
        <w:t xml:space="preserve"> En comparación con 2020, la cantidad de personal en las agencias aumentó 2.4 </w:t>
      </w:r>
      <w:r w:rsidR="008F19BD">
        <w:rPr>
          <w:rFonts w:ascii="Arial" w:hAnsi="Arial" w:cs="Arial"/>
          <w:sz w:val="24"/>
          <w:szCs w:val="24"/>
        </w:rPr>
        <w:t>por ciento</w:t>
      </w:r>
      <w:r w:rsidR="005718B3">
        <w:rPr>
          <w:rFonts w:ascii="Arial" w:hAnsi="Arial" w:cs="Arial"/>
          <w:sz w:val="24"/>
          <w:szCs w:val="24"/>
        </w:rPr>
        <w:t>.</w:t>
      </w:r>
    </w:p>
    <w:p w14:paraId="342CFEB6" w14:textId="479E5549" w:rsidR="005718B3" w:rsidRDefault="005718B3" w:rsidP="00F367F5">
      <w:pPr>
        <w:spacing w:before="46" w:after="0" w:line="276" w:lineRule="auto"/>
        <w:ind w:right="21"/>
        <w:jc w:val="both"/>
        <w:rPr>
          <w:rFonts w:ascii="Arial" w:hAnsi="Arial" w:cs="Arial"/>
          <w:sz w:val="24"/>
          <w:szCs w:val="24"/>
        </w:rPr>
      </w:pPr>
    </w:p>
    <w:p w14:paraId="57ACC03E" w14:textId="2155A35C" w:rsidR="005718B3" w:rsidRPr="002D00F3" w:rsidRDefault="005718B3" w:rsidP="005718B3">
      <w:pPr>
        <w:pStyle w:val="Default"/>
        <w:jc w:val="center"/>
        <w:rPr>
          <w:color w:val="auto"/>
          <w:sz w:val="20"/>
          <w:szCs w:val="20"/>
        </w:rPr>
      </w:pPr>
      <w:r w:rsidRPr="002D00F3">
        <w:rPr>
          <w:color w:val="auto"/>
          <w:sz w:val="20"/>
          <w:szCs w:val="20"/>
        </w:rPr>
        <w:t xml:space="preserve">Gráfica </w:t>
      </w:r>
      <w:r>
        <w:rPr>
          <w:color w:val="auto"/>
          <w:sz w:val="20"/>
          <w:szCs w:val="20"/>
        </w:rPr>
        <w:t>12</w:t>
      </w:r>
    </w:p>
    <w:p w14:paraId="5EE012ED" w14:textId="75023D34" w:rsidR="005718B3" w:rsidRDefault="005718B3" w:rsidP="005718B3">
      <w:pPr>
        <w:pStyle w:val="Default"/>
        <w:ind w:right="163"/>
        <w:jc w:val="center"/>
        <w:rPr>
          <w:b/>
          <w:bCs/>
          <w:iCs/>
          <w:smallCaps/>
          <w:color w:val="000000" w:themeColor="text1"/>
          <w:sz w:val="22"/>
          <w:szCs w:val="22"/>
        </w:rPr>
      </w:pPr>
      <w:r>
        <w:rPr>
          <w:b/>
          <w:bCs/>
          <w:iCs/>
          <w:smallCaps/>
          <w:color w:val="000000" w:themeColor="text1"/>
          <w:sz w:val="22"/>
          <w:szCs w:val="22"/>
        </w:rPr>
        <w:t xml:space="preserve">Personal en las agencias y/o fiscalías del </w:t>
      </w:r>
      <w:r w:rsidR="0030429B">
        <w:rPr>
          <w:b/>
          <w:bCs/>
          <w:iCs/>
          <w:smallCaps/>
          <w:color w:val="000000" w:themeColor="text1"/>
          <w:sz w:val="22"/>
          <w:szCs w:val="22"/>
        </w:rPr>
        <w:t>M</w:t>
      </w:r>
      <w:r>
        <w:rPr>
          <w:b/>
          <w:bCs/>
          <w:iCs/>
          <w:smallCaps/>
          <w:color w:val="000000" w:themeColor="text1"/>
          <w:sz w:val="22"/>
          <w:szCs w:val="22"/>
        </w:rPr>
        <w:t xml:space="preserve">inisterio </w:t>
      </w:r>
      <w:r w:rsidR="0030429B">
        <w:rPr>
          <w:b/>
          <w:bCs/>
          <w:iCs/>
          <w:smallCaps/>
          <w:color w:val="000000" w:themeColor="text1"/>
          <w:sz w:val="22"/>
          <w:szCs w:val="22"/>
        </w:rPr>
        <w:t>P</w:t>
      </w:r>
      <w:r>
        <w:rPr>
          <w:b/>
          <w:bCs/>
          <w:iCs/>
          <w:smallCaps/>
          <w:color w:val="000000" w:themeColor="text1"/>
          <w:sz w:val="22"/>
          <w:szCs w:val="22"/>
        </w:rPr>
        <w:t>úblico de la FG</w:t>
      </w:r>
      <w:r w:rsidR="006B56D6">
        <w:rPr>
          <w:b/>
          <w:bCs/>
          <w:iCs/>
          <w:smallCaps/>
          <w:color w:val="000000" w:themeColor="text1"/>
          <w:sz w:val="22"/>
          <w:szCs w:val="22"/>
        </w:rPr>
        <w:t>R</w:t>
      </w:r>
      <w:r>
        <w:rPr>
          <w:b/>
          <w:bCs/>
          <w:iCs/>
          <w:smallCaps/>
          <w:color w:val="000000" w:themeColor="text1"/>
          <w:sz w:val="22"/>
          <w:szCs w:val="22"/>
        </w:rPr>
        <w:t xml:space="preserve"> y de la</w:t>
      </w:r>
      <w:r w:rsidR="006B56D6">
        <w:rPr>
          <w:b/>
          <w:bCs/>
          <w:iCs/>
          <w:smallCaps/>
          <w:color w:val="000000" w:themeColor="text1"/>
          <w:sz w:val="22"/>
          <w:szCs w:val="22"/>
        </w:rPr>
        <w:t>s</w:t>
      </w:r>
      <w:r>
        <w:rPr>
          <w:b/>
          <w:bCs/>
          <w:iCs/>
          <w:smallCaps/>
          <w:color w:val="000000" w:themeColor="text1"/>
          <w:sz w:val="22"/>
          <w:szCs w:val="22"/>
        </w:rPr>
        <w:t xml:space="preserve"> F</w:t>
      </w:r>
      <w:r w:rsidR="0030429B">
        <w:rPr>
          <w:b/>
          <w:bCs/>
          <w:iCs/>
          <w:smallCaps/>
          <w:color w:val="000000" w:themeColor="text1"/>
          <w:sz w:val="22"/>
          <w:szCs w:val="22"/>
        </w:rPr>
        <w:t>G</w:t>
      </w:r>
      <w:r w:rsidR="006B56D6">
        <w:rPr>
          <w:b/>
          <w:bCs/>
          <w:iCs/>
          <w:smallCaps/>
          <w:color w:val="000000" w:themeColor="text1"/>
          <w:sz w:val="22"/>
          <w:szCs w:val="22"/>
        </w:rPr>
        <w:t>E</w:t>
      </w:r>
    </w:p>
    <w:p w14:paraId="203AAC8F" w14:textId="36787373" w:rsidR="005718B3" w:rsidRDefault="005718B3" w:rsidP="00F367F5">
      <w:pPr>
        <w:spacing w:before="46" w:after="0" w:line="276" w:lineRule="auto"/>
        <w:ind w:right="21"/>
        <w:jc w:val="both"/>
        <w:rPr>
          <w:rFonts w:ascii="Arial" w:hAnsi="Arial" w:cs="Arial"/>
          <w:sz w:val="24"/>
          <w:szCs w:val="24"/>
        </w:rPr>
      </w:pPr>
    </w:p>
    <w:p w14:paraId="45F1C709" w14:textId="70477228" w:rsidR="00A43D22" w:rsidRDefault="000B7C27" w:rsidP="005C08A5">
      <w:pPr>
        <w:spacing w:before="46" w:after="0" w:line="276" w:lineRule="auto"/>
        <w:ind w:right="21"/>
        <w:jc w:val="center"/>
        <w:rPr>
          <w:rFonts w:ascii="Arial" w:hAnsi="Arial" w:cs="Arial"/>
          <w:sz w:val="24"/>
          <w:szCs w:val="24"/>
        </w:rPr>
      </w:pPr>
      <w:r>
        <w:rPr>
          <w:noProof/>
        </w:rPr>
        <w:drawing>
          <wp:inline distT="0" distB="0" distL="0" distR="0" wp14:anchorId="7FF363B6" wp14:editId="160EB3CB">
            <wp:extent cx="6415200" cy="3355200"/>
            <wp:effectExtent l="0" t="0" r="5080" b="0"/>
            <wp:docPr id="1" name="Gráfico 1">
              <a:extLst xmlns:a="http://schemas.openxmlformats.org/drawingml/2006/main">
                <a:ext uri="{FF2B5EF4-FFF2-40B4-BE49-F238E27FC236}">
                  <a16:creationId xmlns:a16="http://schemas.microsoft.com/office/drawing/2014/main" id="{029DC0B2-D06F-40F8-93C7-FF7814F2B6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DA9FE5" w14:textId="77777777" w:rsidR="00F91500" w:rsidRDefault="00F91500" w:rsidP="00360792">
      <w:pPr>
        <w:spacing w:before="46" w:after="0" w:line="240" w:lineRule="auto"/>
        <w:ind w:right="21"/>
        <w:jc w:val="both"/>
        <w:rPr>
          <w:rFonts w:ascii="Arial" w:hAnsi="Arial" w:cs="Arial"/>
          <w:sz w:val="16"/>
          <w:szCs w:val="16"/>
        </w:rPr>
      </w:pPr>
    </w:p>
    <w:p w14:paraId="13AFBFD5" w14:textId="1264283F" w:rsidR="00360792" w:rsidRPr="00360792" w:rsidRDefault="00AE2FC7" w:rsidP="00360792">
      <w:pPr>
        <w:spacing w:before="46"/>
        <w:ind w:right="21"/>
        <w:jc w:val="both"/>
        <w:rPr>
          <w:rFonts w:ascii="Arial" w:hAnsi="Arial" w:cs="Arial"/>
          <w:sz w:val="16"/>
          <w:szCs w:val="16"/>
        </w:rPr>
      </w:pPr>
      <w:r w:rsidRPr="005C08A5">
        <w:rPr>
          <w:rFonts w:ascii="Arial" w:hAnsi="Arial" w:cs="Arial"/>
          <w:sz w:val="16"/>
          <w:szCs w:val="16"/>
        </w:rPr>
        <w:t>Nota: El Censo Nacional de Procuración de Justicia Federal comenzó a captarse en 2014 (información 2013), por lo que no se incluyen cifras para periodos anteriores.</w:t>
      </w:r>
      <w:r w:rsidR="00360792" w:rsidRPr="00360792">
        <w:rPr>
          <w:rFonts w:ascii="Arial" w:hAnsi="Arial" w:cs="Arial"/>
          <w:sz w:val="16"/>
          <w:szCs w:val="16"/>
        </w:rPr>
        <w:t xml:space="preserve"> La Fiscalía General del Estado de San Luis Potosí negó entregar la información sobre agentes del Ministerio Público, peritos y policías por motivos de reserva. La Fiscalía General del Estado de Guanajuato no proporcionó información sobre policías por motivos de reserva. Las cifras proporcionadas por la FGR son de carácter preliminar.</w:t>
      </w:r>
    </w:p>
    <w:p w14:paraId="4A0369BD" w14:textId="585EFF15" w:rsidR="00AE2FC7" w:rsidRPr="005C08A5" w:rsidRDefault="00AE2FC7" w:rsidP="005C08A5">
      <w:pPr>
        <w:spacing w:before="46" w:after="0" w:line="240" w:lineRule="auto"/>
        <w:ind w:right="21"/>
        <w:jc w:val="both"/>
        <w:rPr>
          <w:rFonts w:ascii="Arial" w:hAnsi="Arial" w:cs="Arial"/>
          <w:sz w:val="16"/>
          <w:szCs w:val="16"/>
        </w:rPr>
      </w:pPr>
    </w:p>
    <w:p w14:paraId="6BABB1D8" w14:textId="7FA5EAC9" w:rsidR="00CB11A3" w:rsidRDefault="00CB11A3" w:rsidP="005C08A5">
      <w:pPr>
        <w:spacing w:before="46" w:after="0" w:line="276" w:lineRule="auto"/>
        <w:ind w:right="21"/>
        <w:jc w:val="both"/>
        <w:rPr>
          <w:rFonts w:ascii="Arial" w:hAnsi="Arial" w:cs="Arial"/>
          <w:sz w:val="24"/>
          <w:szCs w:val="24"/>
        </w:rPr>
      </w:pPr>
    </w:p>
    <w:p w14:paraId="1B2D30BC" w14:textId="51D91A7A" w:rsidR="00CB11A3" w:rsidRDefault="00CB11A3" w:rsidP="005718B3">
      <w:pPr>
        <w:spacing w:before="46" w:after="0" w:line="276" w:lineRule="auto"/>
        <w:ind w:right="21"/>
        <w:jc w:val="center"/>
        <w:rPr>
          <w:rFonts w:ascii="Arial" w:hAnsi="Arial" w:cs="Arial"/>
          <w:sz w:val="24"/>
          <w:szCs w:val="24"/>
        </w:rPr>
      </w:pPr>
    </w:p>
    <w:p w14:paraId="10D99BA8" w14:textId="52824A77" w:rsidR="00CB11A3" w:rsidRDefault="00CB11A3" w:rsidP="005718B3">
      <w:pPr>
        <w:spacing w:before="46" w:after="0" w:line="276" w:lineRule="auto"/>
        <w:ind w:right="21"/>
        <w:jc w:val="center"/>
        <w:rPr>
          <w:rFonts w:ascii="Arial" w:hAnsi="Arial" w:cs="Arial"/>
          <w:sz w:val="24"/>
          <w:szCs w:val="24"/>
        </w:rPr>
      </w:pPr>
    </w:p>
    <w:p w14:paraId="6B6F9BA2" w14:textId="6D357384" w:rsidR="00CB11A3" w:rsidRDefault="00CB11A3" w:rsidP="005718B3">
      <w:pPr>
        <w:spacing w:before="46" w:after="0" w:line="276" w:lineRule="auto"/>
        <w:ind w:right="21"/>
        <w:jc w:val="center"/>
        <w:rPr>
          <w:rFonts w:ascii="Arial" w:hAnsi="Arial" w:cs="Arial"/>
          <w:sz w:val="24"/>
          <w:szCs w:val="24"/>
        </w:rPr>
      </w:pPr>
    </w:p>
    <w:p w14:paraId="369D7A1A" w14:textId="22BC0DF5" w:rsidR="00CB11A3" w:rsidRDefault="00CB11A3" w:rsidP="005718B3">
      <w:pPr>
        <w:spacing w:before="46" w:after="0" w:line="276" w:lineRule="auto"/>
        <w:ind w:right="21"/>
        <w:jc w:val="center"/>
        <w:rPr>
          <w:rFonts w:ascii="Arial" w:hAnsi="Arial" w:cs="Arial"/>
          <w:sz w:val="24"/>
          <w:szCs w:val="24"/>
        </w:rPr>
      </w:pPr>
    </w:p>
    <w:p w14:paraId="237046FF" w14:textId="63145587" w:rsidR="00CB11A3" w:rsidRDefault="00CB11A3" w:rsidP="005718B3">
      <w:pPr>
        <w:spacing w:before="46" w:after="0" w:line="276" w:lineRule="auto"/>
        <w:ind w:right="21"/>
        <w:jc w:val="center"/>
        <w:rPr>
          <w:rFonts w:ascii="Arial" w:hAnsi="Arial" w:cs="Arial"/>
          <w:sz w:val="24"/>
          <w:szCs w:val="24"/>
        </w:rPr>
      </w:pPr>
    </w:p>
    <w:p w14:paraId="1E2204B8" w14:textId="1C83E5AD" w:rsidR="00CB11A3" w:rsidRDefault="00CB11A3" w:rsidP="005718B3">
      <w:pPr>
        <w:spacing w:before="46" w:after="0" w:line="276" w:lineRule="auto"/>
        <w:ind w:right="21"/>
        <w:jc w:val="center"/>
        <w:rPr>
          <w:rFonts w:ascii="Arial" w:hAnsi="Arial" w:cs="Arial"/>
          <w:sz w:val="24"/>
          <w:szCs w:val="24"/>
        </w:rPr>
      </w:pPr>
    </w:p>
    <w:p w14:paraId="0B0ED047" w14:textId="4CE45152" w:rsidR="00CB11A3" w:rsidRDefault="00CB11A3" w:rsidP="005718B3">
      <w:pPr>
        <w:spacing w:before="46" w:after="0" w:line="276" w:lineRule="auto"/>
        <w:ind w:right="21"/>
        <w:jc w:val="center"/>
        <w:rPr>
          <w:rFonts w:ascii="Arial" w:hAnsi="Arial" w:cs="Arial"/>
          <w:sz w:val="24"/>
          <w:szCs w:val="24"/>
        </w:rPr>
      </w:pPr>
    </w:p>
    <w:p w14:paraId="6E1099FE" w14:textId="38926CA4" w:rsidR="00CB11A3" w:rsidRDefault="00CB11A3" w:rsidP="005718B3">
      <w:pPr>
        <w:spacing w:before="46" w:after="0" w:line="276" w:lineRule="auto"/>
        <w:ind w:right="21"/>
        <w:jc w:val="center"/>
        <w:rPr>
          <w:rFonts w:ascii="Arial" w:hAnsi="Arial" w:cs="Arial"/>
          <w:sz w:val="24"/>
          <w:szCs w:val="24"/>
        </w:rPr>
      </w:pPr>
    </w:p>
    <w:p w14:paraId="3E95B62B" w14:textId="55114745" w:rsidR="00CB11A3" w:rsidRDefault="00CB11A3" w:rsidP="00360792">
      <w:pPr>
        <w:spacing w:before="46" w:after="0" w:line="276" w:lineRule="auto"/>
        <w:ind w:right="21"/>
        <w:rPr>
          <w:rFonts w:ascii="Arial" w:hAnsi="Arial" w:cs="Arial"/>
          <w:sz w:val="24"/>
          <w:szCs w:val="24"/>
        </w:rPr>
      </w:pPr>
    </w:p>
    <w:p w14:paraId="4E71D1EA" w14:textId="118C9F84" w:rsidR="006B56D6" w:rsidRPr="00C24C90" w:rsidRDefault="006B56D6" w:rsidP="006B56D6">
      <w:pPr>
        <w:spacing w:before="46" w:after="0" w:line="276" w:lineRule="auto"/>
        <w:ind w:right="21"/>
        <w:jc w:val="both"/>
        <w:rPr>
          <w:rFonts w:ascii="Arial" w:hAnsi="Arial" w:cs="Arial"/>
          <w:sz w:val="24"/>
          <w:szCs w:val="24"/>
        </w:rPr>
      </w:pPr>
      <w:r>
        <w:rPr>
          <w:rFonts w:ascii="Arial" w:hAnsi="Arial" w:cs="Arial"/>
          <w:sz w:val="24"/>
          <w:szCs w:val="24"/>
        </w:rPr>
        <w:lastRenderedPageBreak/>
        <w:t xml:space="preserve">Respecto a </w:t>
      </w:r>
      <w:r w:rsidRPr="00C24C90">
        <w:rPr>
          <w:rFonts w:ascii="Arial" w:hAnsi="Arial" w:cs="Arial"/>
          <w:sz w:val="24"/>
          <w:szCs w:val="24"/>
        </w:rPr>
        <w:t xml:space="preserve">la función que </w:t>
      </w:r>
      <w:r>
        <w:rPr>
          <w:rFonts w:ascii="Arial" w:hAnsi="Arial" w:cs="Arial"/>
          <w:sz w:val="24"/>
          <w:szCs w:val="24"/>
        </w:rPr>
        <w:t>desempeñó</w:t>
      </w:r>
      <w:r w:rsidRPr="00C24C90">
        <w:rPr>
          <w:rFonts w:ascii="Arial" w:hAnsi="Arial" w:cs="Arial"/>
          <w:sz w:val="24"/>
          <w:szCs w:val="24"/>
        </w:rPr>
        <w:t xml:space="preserve"> el personal </w:t>
      </w:r>
      <w:r>
        <w:rPr>
          <w:rFonts w:ascii="Arial" w:hAnsi="Arial" w:cs="Arial"/>
          <w:sz w:val="24"/>
          <w:szCs w:val="24"/>
        </w:rPr>
        <w:t>en las fiscalías de la</w:t>
      </w:r>
      <w:r w:rsidRPr="00C24C90">
        <w:rPr>
          <w:rFonts w:ascii="Arial" w:hAnsi="Arial" w:cs="Arial"/>
          <w:sz w:val="24"/>
          <w:szCs w:val="24"/>
        </w:rPr>
        <w:t xml:space="preserve"> FGR, 25.3 % (3 076) </w:t>
      </w:r>
      <w:r w:rsidR="008F19BD">
        <w:rPr>
          <w:rFonts w:ascii="Arial" w:hAnsi="Arial" w:cs="Arial"/>
          <w:sz w:val="24"/>
          <w:szCs w:val="24"/>
        </w:rPr>
        <w:t xml:space="preserve">correspondió a </w:t>
      </w:r>
      <w:r w:rsidRPr="00C22B9F">
        <w:rPr>
          <w:rFonts w:ascii="Arial" w:hAnsi="Arial" w:cs="Arial"/>
          <w:i/>
          <w:iCs/>
          <w:sz w:val="24"/>
          <w:szCs w:val="24"/>
        </w:rPr>
        <w:t>agentes y/o fiscales del Ministerio Público</w:t>
      </w:r>
      <w:r w:rsidRPr="00C24C90">
        <w:rPr>
          <w:rFonts w:ascii="Arial" w:hAnsi="Arial" w:cs="Arial"/>
          <w:sz w:val="24"/>
          <w:szCs w:val="24"/>
        </w:rPr>
        <w:t xml:space="preserve">. </w:t>
      </w:r>
      <w:r w:rsidR="00486F98">
        <w:rPr>
          <w:rFonts w:ascii="Arial" w:hAnsi="Arial" w:cs="Arial"/>
          <w:sz w:val="24"/>
          <w:szCs w:val="24"/>
        </w:rPr>
        <w:t>E</w:t>
      </w:r>
      <w:r w:rsidRPr="00C24C90">
        <w:rPr>
          <w:rFonts w:ascii="Arial" w:hAnsi="Arial" w:cs="Arial"/>
          <w:sz w:val="24"/>
          <w:szCs w:val="24"/>
        </w:rPr>
        <w:t>n las FGE</w:t>
      </w:r>
      <w:r w:rsidR="00486F98">
        <w:rPr>
          <w:rFonts w:ascii="Arial" w:hAnsi="Arial" w:cs="Arial"/>
          <w:sz w:val="24"/>
          <w:szCs w:val="24"/>
        </w:rPr>
        <w:t>,</w:t>
      </w:r>
      <w:r w:rsidRPr="00C24C90">
        <w:rPr>
          <w:rFonts w:ascii="Arial" w:hAnsi="Arial" w:cs="Arial"/>
          <w:sz w:val="24"/>
          <w:szCs w:val="24"/>
        </w:rPr>
        <w:t xml:space="preserve"> 30.1 % (16 090)</w:t>
      </w:r>
      <w:r w:rsidR="00486F98">
        <w:rPr>
          <w:rFonts w:ascii="Arial" w:hAnsi="Arial" w:cs="Arial"/>
          <w:sz w:val="24"/>
          <w:szCs w:val="24"/>
        </w:rPr>
        <w:t xml:space="preserve"> del personal</w:t>
      </w:r>
      <w:r w:rsidRPr="00C24C90">
        <w:rPr>
          <w:rFonts w:ascii="Arial" w:hAnsi="Arial" w:cs="Arial"/>
          <w:sz w:val="24"/>
          <w:szCs w:val="24"/>
        </w:rPr>
        <w:t xml:space="preserve"> fungi</w:t>
      </w:r>
      <w:r w:rsidR="00486F98">
        <w:rPr>
          <w:rFonts w:ascii="Arial" w:hAnsi="Arial" w:cs="Arial"/>
          <w:sz w:val="24"/>
          <w:szCs w:val="24"/>
        </w:rPr>
        <w:t>ó</w:t>
      </w:r>
      <w:r w:rsidRPr="00C24C90">
        <w:rPr>
          <w:rFonts w:ascii="Arial" w:hAnsi="Arial" w:cs="Arial"/>
          <w:sz w:val="24"/>
          <w:szCs w:val="24"/>
        </w:rPr>
        <w:t xml:space="preserve"> como</w:t>
      </w:r>
      <w:r>
        <w:rPr>
          <w:rFonts w:ascii="Arial" w:hAnsi="Arial" w:cs="Arial"/>
          <w:sz w:val="24"/>
          <w:szCs w:val="24"/>
        </w:rPr>
        <w:t xml:space="preserve"> </w:t>
      </w:r>
      <w:r w:rsidRPr="00C22B9F">
        <w:rPr>
          <w:rFonts w:ascii="Arial" w:hAnsi="Arial" w:cs="Arial"/>
          <w:i/>
          <w:iCs/>
          <w:sz w:val="24"/>
          <w:szCs w:val="24"/>
        </w:rPr>
        <w:t>policía ministerial, investigador o judicial</w:t>
      </w:r>
      <w:r w:rsidRPr="00C24C90">
        <w:rPr>
          <w:rFonts w:ascii="Arial" w:hAnsi="Arial" w:cs="Arial"/>
          <w:sz w:val="24"/>
          <w:szCs w:val="24"/>
        </w:rPr>
        <w:t xml:space="preserve">. En comparación con 2020, el personal que ocupó dichos cargos aumentó 2.4 % en la FGR y 11.2 % en las FGE. </w:t>
      </w:r>
    </w:p>
    <w:p w14:paraId="297AE39C" w14:textId="607AD37D" w:rsidR="00722E02" w:rsidRDefault="00722E02" w:rsidP="00F367F5">
      <w:pPr>
        <w:spacing w:before="46" w:after="0" w:line="276" w:lineRule="auto"/>
        <w:ind w:right="21"/>
        <w:jc w:val="both"/>
        <w:rPr>
          <w:rFonts w:ascii="Arial" w:hAnsi="Arial" w:cs="Arial"/>
          <w:sz w:val="24"/>
          <w:szCs w:val="24"/>
        </w:rPr>
      </w:pPr>
    </w:p>
    <w:p w14:paraId="3CDC8433" w14:textId="09D4EE06" w:rsidR="00BB7184" w:rsidRDefault="00722E02" w:rsidP="004F1D6C">
      <w:pPr>
        <w:pStyle w:val="Default"/>
        <w:jc w:val="center"/>
        <w:rPr>
          <w:b/>
          <w:bCs/>
          <w:iCs/>
          <w:smallCaps/>
          <w:color w:val="000000" w:themeColor="text1"/>
        </w:rPr>
      </w:pPr>
      <w:r w:rsidRPr="000F4EC1">
        <w:rPr>
          <w:color w:val="auto"/>
          <w:sz w:val="20"/>
          <w:szCs w:val="20"/>
        </w:rPr>
        <w:t xml:space="preserve">Gráfica </w:t>
      </w:r>
      <w:r w:rsidRPr="00DA311B">
        <w:rPr>
          <w:color w:val="auto"/>
          <w:sz w:val="20"/>
          <w:szCs w:val="20"/>
        </w:rPr>
        <w:t>1</w:t>
      </w:r>
      <w:r w:rsidR="001145DB">
        <w:rPr>
          <w:color w:val="auto"/>
          <w:sz w:val="20"/>
          <w:szCs w:val="20"/>
        </w:rPr>
        <w:t>3</w:t>
      </w:r>
    </w:p>
    <w:p w14:paraId="4F347D98" w14:textId="5142D086" w:rsidR="00BB7184" w:rsidRDefault="00BB7184" w:rsidP="00BB7184">
      <w:pPr>
        <w:spacing w:after="0" w:line="240" w:lineRule="auto"/>
        <w:jc w:val="center"/>
        <w:rPr>
          <w:rFonts w:ascii="Arial" w:hAnsi="Arial" w:cs="Arial"/>
          <w:b/>
          <w:bCs/>
          <w:iCs/>
          <w:smallCaps/>
          <w:color w:val="000000" w:themeColor="text1"/>
        </w:rPr>
      </w:pPr>
      <w:r w:rsidRPr="00162A3D">
        <w:rPr>
          <w:rFonts w:ascii="Arial" w:hAnsi="Arial" w:cs="Arial"/>
          <w:b/>
          <w:bCs/>
          <w:iCs/>
          <w:smallCaps/>
          <w:color w:val="000000" w:themeColor="text1"/>
        </w:rPr>
        <w:t xml:space="preserve">Personal </w:t>
      </w:r>
      <w:r w:rsidR="008F19BD">
        <w:rPr>
          <w:rFonts w:ascii="Arial" w:hAnsi="Arial" w:cs="Arial"/>
          <w:b/>
          <w:bCs/>
          <w:iCs/>
          <w:smallCaps/>
          <w:color w:val="000000" w:themeColor="text1"/>
        </w:rPr>
        <w:t>de</w:t>
      </w:r>
      <w:r w:rsidRPr="00162A3D">
        <w:rPr>
          <w:rFonts w:ascii="Arial" w:hAnsi="Arial" w:cs="Arial"/>
          <w:b/>
          <w:bCs/>
          <w:iCs/>
          <w:smallCaps/>
          <w:color w:val="000000" w:themeColor="text1"/>
        </w:rPr>
        <w:t xml:space="preserve"> l</w:t>
      </w:r>
      <w:r w:rsidR="008F19BD">
        <w:rPr>
          <w:rFonts w:ascii="Arial" w:hAnsi="Arial" w:cs="Arial"/>
          <w:b/>
          <w:bCs/>
          <w:iCs/>
          <w:smallCaps/>
          <w:color w:val="000000" w:themeColor="text1"/>
        </w:rPr>
        <w:t>as</w:t>
      </w:r>
      <w:r w:rsidRPr="00162A3D">
        <w:rPr>
          <w:rFonts w:ascii="Arial" w:hAnsi="Arial" w:cs="Arial"/>
          <w:b/>
          <w:bCs/>
          <w:iCs/>
          <w:smallCaps/>
          <w:color w:val="000000" w:themeColor="text1"/>
        </w:rPr>
        <w:t xml:space="preserve"> fiscalías del Ministerio Público de la FGR</w:t>
      </w:r>
      <w:r>
        <w:rPr>
          <w:rFonts w:ascii="Arial" w:hAnsi="Arial" w:cs="Arial"/>
          <w:b/>
          <w:bCs/>
          <w:iCs/>
          <w:smallCaps/>
          <w:color w:val="000000" w:themeColor="text1"/>
        </w:rPr>
        <w:t>, 2021</w:t>
      </w:r>
    </w:p>
    <w:p w14:paraId="2BC31B71" w14:textId="77777777" w:rsidR="00BB7184" w:rsidRDefault="00BB7184" w:rsidP="00BB7184">
      <w:pPr>
        <w:spacing w:after="0" w:line="240" w:lineRule="auto"/>
        <w:jc w:val="center"/>
        <w:rPr>
          <w:rFonts w:ascii="Arial" w:hAnsi="Arial" w:cs="Arial"/>
          <w:b/>
          <w:bCs/>
          <w:iCs/>
          <w:smallCaps/>
          <w:color w:val="000000" w:themeColor="text1"/>
        </w:rPr>
      </w:pPr>
    </w:p>
    <w:p w14:paraId="7700951D" w14:textId="77777777" w:rsidR="00BB7184" w:rsidRDefault="00BB7184" w:rsidP="00BB7184">
      <w:pPr>
        <w:spacing w:after="0" w:line="240" w:lineRule="auto"/>
        <w:jc w:val="center"/>
        <w:rPr>
          <w:rFonts w:ascii="Arial" w:hAnsi="Arial" w:cs="Arial"/>
          <w:sz w:val="24"/>
          <w:szCs w:val="24"/>
        </w:rPr>
      </w:pPr>
      <w:r>
        <w:rPr>
          <w:noProof/>
        </w:rPr>
        <w:drawing>
          <wp:inline distT="0" distB="0" distL="0" distR="0" wp14:anchorId="06C19B80" wp14:editId="4C7734F2">
            <wp:extent cx="6361044" cy="2161789"/>
            <wp:effectExtent l="0" t="0" r="1905" b="0"/>
            <wp:docPr id="9" name="Gráfico 9">
              <a:extLst xmlns:a="http://schemas.openxmlformats.org/drawingml/2006/main">
                <a:ext uri="{FF2B5EF4-FFF2-40B4-BE49-F238E27FC236}">
                  <a16:creationId xmlns:a16="http://schemas.microsoft.com/office/drawing/2014/main" id="{12A3E9B6-A292-2F31-9B57-94C8B1EC14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F9ACA7" w14:textId="05EF051E" w:rsidR="004F1D6C" w:rsidRDefault="00360792" w:rsidP="00360792">
      <w:pPr>
        <w:pStyle w:val="Default"/>
        <w:jc w:val="both"/>
        <w:rPr>
          <w:sz w:val="16"/>
          <w:szCs w:val="16"/>
        </w:rPr>
      </w:pPr>
      <w:r w:rsidRPr="00360792">
        <w:rPr>
          <w:sz w:val="16"/>
          <w:szCs w:val="16"/>
        </w:rPr>
        <w:t>Nota: Las cifras proporcionadas por la FGR son de carácter preliminar.</w:t>
      </w:r>
    </w:p>
    <w:p w14:paraId="7B722867" w14:textId="77777777" w:rsidR="00360792" w:rsidRPr="00360792" w:rsidRDefault="00360792" w:rsidP="00360792">
      <w:pPr>
        <w:pStyle w:val="Default"/>
        <w:jc w:val="both"/>
        <w:rPr>
          <w:sz w:val="16"/>
          <w:szCs w:val="16"/>
        </w:rPr>
      </w:pPr>
    </w:p>
    <w:p w14:paraId="33A60DAF" w14:textId="77777777" w:rsidR="004F1D6C" w:rsidRDefault="004F1D6C" w:rsidP="00BB7184">
      <w:pPr>
        <w:pStyle w:val="Default"/>
        <w:jc w:val="center"/>
        <w:rPr>
          <w:color w:val="auto"/>
          <w:sz w:val="20"/>
          <w:szCs w:val="20"/>
        </w:rPr>
      </w:pPr>
    </w:p>
    <w:p w14:paraId="63B221FE" w14:textId="29AFD7E1" w:rsidR="00BB7184" w:rsidRDefault="00BB7184" w:rsidP="00BB7184">
      <w:pPr>
        <w:pStyle w:val="Default"/>
        <w:jc w:val="center"/>
        <w:rPr>
          <w:color w:val="auto"/>
          <w:sz w:val="20"/>
          <w:szCs w:val="20"/>
        </w:rPr>
      </w:pPr>
      <w:r w:rsidRPr="000F4EC1">
        <w:rPr>
          <w:color w:val="auto"/>
          <w:sz w:val="20"/>
          <w:szCs w:val="20"/>
        </w:rPr>
        <w:t xml:space="preserve">Gráfica </w:t>
      </w:r>
      <w:r w:rsidRPr="00DA311B">
        <w:rPr>
          <w:color w:val="auto"/>
          <w:sz w:val="20"/>
          <w:szCs w:val="20"/>
        </w:rPr>
        <w:t>1</w:t>
      </w:r>
      <w:r>
        <w:rPr>
          <w:color w:val="auto"/>
          <w:sz w:val="20"/>
          <w:szCs w:val="20"/>
        </w:rPr>
        <w:t>4</w:t>
      </w:r>
    </w:p>
    <w:p w14:paraId="43CEF174" w14:textId="26117D05" w:rsidR="00BB7184" w:rsidRDefault="00BB7184" w:rsidP="00BB7184">
      <w:pPr>
        <w:spacing w:after="0" w:line="240" w:lineRule="auto"/>
        <w:jc w:val="center"/>
        <w:rPr>
          <w:rFonts w:ascii="Arial" w:hAnsi="Arial" w:cs="Arial"/>
          <w:b/>
          <w:bCs/>
          <w:iCs/>
          <w:smallCaps/>
          <w:color w:val="000000" w:themeColor="text1"/>
        </w:rPr>
      </w:pPr>
      <w:r w:rsidRPr="00AA647F">
        <w:rPr>
          <w:rFonts w:ascii="Arial" w:hAnsi="Arial" w:cs="Arial"/>
          <w:b/>
          <w:bCs/>
          <w:iCs/>
          <w:smallCaps/>
          <w:color w:val="000000" w:themeColor="text1"/>
        </w:rPr>
        <w:t xml:space="preserve">Personal </w:t>
      </w:r>
      <w:r w:rsidR="00851A50">
        <w:rPr>
          <w:rFonts w:ascii="Arial" w:hAnsi="Arial" w:cs="Arial"/>
          <w:b/>
          <w:bCs/>
          <w:iCs/>
          <w:smallCaps/>
          <w:color w:val="000000" w:themeColor="text1"/>
        </w:rPr>
        <w:t>de</w:t>
      </w:r>
      <w:r w:rsidRPr="00AA647F">
        <w:rPr>
          <w:rFonts w:ascii="Arial" w:hAnsi="Arial" w:cs="Arial"/>
          <w:b/>
          <w:bCs/>
          <w:iCs/>
          <w:smallCaps/>
          <w:color w:val="000000" w:themeColor="text1"/>
        </w:rPr>
        <w:t xml:space="preserve"> las agencias y/o fiscalías del Ministerio Público de las FGE</w:t>
      </w:r>
      <w:r>
        <w:rPr>
          <w:rFonts w:ascii="Arial" w:hAnsi="Arial" w:cs="Arial"/>
          <w:b/>
          <w:bCs/>
          <w:iCs/>
          <w:smallCaps/>
          <w:color w:val="000000" w:themeColor="text1"/>
        </w:rPr>
        <w:t>, 2021</w:t>
      </w:r>
    </w:p>
    <w:p w14:paraId="6C657C48" w14:textId="77777777" w:rsidR="00BB7184" w:rsidRDefault="00BB7184" w:rsidP="00BB7184">
      <w:pPr>
        <w:spacing w:after="0" w:line="240" w:lineRule="auto"/>
        <w:jc w:val="both"/>
        <w:rPr>
          <w:rFonts w:ascii="Arial" w:hAnsi="Arial" w:cs="Arial"/>
          <w:sz w:val="24"/>
          <w:szCs w:val="24"/>
        </w:rPr>
      </w:pPr>
    </w:p>
    <w:p w14:paraId="0C5DD503" w14:textId="77777777" w:rsidR="00BB7184" w:rsidRDefault="00BB7184" w:rsidP="00BB7184">
      <w:pPr>
        <w:spacing w:after="0" w:line="240" w:lineRule="auto"/>
        <w:jc w:val="center"/>
        <w:rPr>
          <w:rFonts w:ascii="Arial" w:hAnsi="Arial" w:cs="Arial"/>
          <w:sz w:val="24"/>
          <w:szCs w:val="24"/>
        </w:rPr>
      </w:pPr>
    </w:p>
    <w:p w14:paraId="72C87044" w14:textId="77777777" w:rsidR="00BB7184" w:rsidRDefault="00BB7184" w:rsidP="00BB7184">
      <w:pPr>
        <w:spacing w:after="0" w:line="240" w:lineRule="auto"/>
        <w:jc w:val="center"/>
        <w:rPr>
          <w:rFonts w:ascii="Arial" w:hAnsi="Arial" w:cs="Arial"/>
          <w:sz w:val="24"/>
          <w:szCs w:val="24"/>
        </w:rPr>
      </w:pPr>
    </w:p>
    <w:p w14:paraId="0E87D572" w14:textId="77777777" w:rsidR="00BB7184" w:rsidRDefault="00BB7184" w:rsidP="00BB7184">
      <w:pPr>
        <w:spacing w:before="46" w:after="0" w:line="276" w:lineRule="auto"/>
        <w:ind w:right="21"/>
        <w:jc w:val="center"/>
        <w:rPr>
          <w:rFonts w:ascii="Arial" w:hAnsi="Arial" w:cs="Arial"/>
          <w:sz w:val="24"/>
          <w:szCs w:val="24"/>
        </w:rPr>
      </w:pPr>
      <w:r>
        <w:rPr>
          <w:noProof/>
        </w:rPr>
        <w:drawing>
          <wp:inline distT="0" distB="0" distL="0" distR="0" wp14:anchorId="69B2C4E3" wp14:editId="0A382D22">
            <wp:extent cx="6392325" cy="2472690"/>
            <wp:effectExtent l="0" t="0" r="8890" b="3810"/>
            <wp:docPr id="3" name="Gráfico 3">
              <a:extLst xmlns:a="http://schemas.openxmlformats.org/drawingml/2006/main">
                <a:ext uri="{FF2B5EF4-FFF2-40B4-BE49-F238E27FC236}">
                  <a16:creationId xmlns:a16="http://schemas.microsoft.com/office/drawing/2014/main" id="{9B76291F-4412-F643-9341-3EFF1D79D2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1429E5" w14:textId="77777777" w:rsidR="00BB7184" w:rsidRDefault="00BB7184" w:rsidP="00BB7184">
      <w:pPr>
        <w:spacing w:before="46" w:after="0" w:line="240" w:lineRule="auto"/>
        <w:ind w:right="21"/>
        <w:jc w:val="both"/>
        <w:rPr>
          <w:rFonts w:ascii="Arial" w:hAnsi="Arial" w:cs="Arial"/>
          <w:sz w:val="16"/>
          <w:szCs w:val="16"/>
        </w:rPr>
      </w:pPr>
    </w:p>
    <w:p w14:paraId="7C97E17F" w14:textId="5A7550C6" w:rsidR="00BB7184" w:rsidRPr="00A608D8" w:rsidRDefault="00360792" w:rsidP="00BB7184">
      <w:pPr>
        <w:spacing w:before="46" w:after="0" w:line="240" w:lineRule="auto"/>
        <w:ind w:right="21"/>
        <w:jc w:val="both"/>
        <w:rPr>
          <w:rFonts w:ascii="Arial" w:hAnsi="Arial" w:cs="Arial"/>
          <w:sz w:val="16"/>
          <w:szCs w:val="16"/>
        </w:rPr>
      </w:pPr>
      <w:r w:rsidRPr="00360792">
        <w:rPr>
          <w:rFonts w:ascii="Arial" w:hAnsi="Arial" w:cs="Arial"/>
          <w:sz w:val="16"/>
          <w:szCs w:val="16"/>
        </w:rPr>
        <w:t>Nota: La Fiscalía General del Estado de San Luis Potosí  negó entregar la información sobre agentes del Ministerio Público, peritos y policías por motivos de reserva. La Fiscalía General del Estado de Guanajuato no proporcionó información sobre policías por motivos de reserva.</w:t>
      </w:r>
    </w:p>
    <w:p w14:paraId="58BDC114" w14:textId="77777777" w:rsidR="00BB7184" w:rsidRPr="000F4EC1" w:rsidRDefault="00BB7184" w:rsidP="00C24C90">
      <w:pPr>
        <w:pStyle w:val="Default"/>
        <w:jc w:val="center"/>
        <w:rPr>
          <w:color w:val="auto"/>
          <w:sz w:val="20"/>
          <w:szCs w:val="20"/>
        </w:rPr>
      </w:pPr>
    </w:p>
    <w:p w14:paraId="0AD91280" w14:textId="59B45CF1" w:rsidR="00A13511" w:rsidRPr="00A13511" w:rsidRDefault="00E546C1" w:rsidP="00F367F5">
      <w:pPr>
        <w:spacing w:after="0" w:line="240" w:lineRule="auto"/>
        <w:jc w:val="both"/>
        <w:rPr>
          <w:rFonts w:ascii="Arial" w:hAnsi="Arial" w:cs="Arial"/>
          <w:sz w:val="24"/>
          <w:szCs w:val="24"/>
        </w:rPr>
      </w:pPr>
      <w:r>
        <w:rPr>
          <w:rFonts w:ascii="Arial" w:hAnsi="Arial" w:cs="Arial"/>
          <w:sz w:val="24"/>
          <w:szCs w:val="24"/>
        </w:rPr>
        <w:lastRenderedPageBreak/>
        <w:t>Sobre la cantidad de personal</w:t>
      </w:r>
      <w:r w:rsidR="001556A8">
        <w:rPr>
          <w:rFonts w:ascii="Arial" w:hAnsi="Arial" w:cs="Arial"/>
          <w:sz w:val="24"/>
          <w:szCs w:val="24"/>
        </w:rPr>
        <w:t xml:space="preserve"> </w:t>
      </w:r>
      <w:r w:rsidR="005718B3">
        <w:rPr>
          <w:rFonts w:ascii="Arial" w:hAnsi="Arial" w:cs="Arial"/>
          <w:sz w:val="24"/>
          <w:szCs w:val="24"/>
        </w:rPr>
        <w:t xml:space="preserve">que laboró </w:t>
      </w:r>
      <w:r w:rsidR="006F113D" w:rsidRPr="006F113D">
        <w:rPr>
          <w:rFonts w:ascii="Arial" w:hAnsi="Arial" w:cs="Arial"/>
          <w:sz w:val="24"/>
          <w:szCs w:val="24"/>
        </w:rPr>
        <w:t>en las agencias y/o fiscalías del Ministerio Público</w:t>
      </w:r>
      <w:r w:rsidR="001556A8">
        <w:rPr>
          <w:rFonts w:ascii="Arial" w:hAnsi="Arial" w:cs="Arial"/>
          <w:sz w:val="24"/>
          <w:szCs w:val="24"/>
        </w:rPr>
        <w:t xml:space="preserve"> por entidad federativa, d</w:t>
      </w:r>
      <w:r w:rsidR="00A13511" w:rsidRPr="00A13511">
        <w:rPr>
          <w:rFonts w:ascii="Arial" w:hAnsi="Arial" w:cs="Arial"/>
          <w:sz w:val="24"/>
          <w:szCs w:val="24"/>
        </w:rPr>
        <w:t>estac</w:t>
      </w:r>
      <w:r w:rsidR="0015697A">
        <w:rPr>
          <w:rFonts w:ascii="Arial" w:hAnsi="Arial" w:cs="Arial"/>
          <w:sz w:val="24"/>
          <w:szCs w:val="24"/>
        </w:rPr>
        <w:t>ó</w:t>
      </w:r>
      <w:r w:rsidR="00A13511" w:rsidRPr="00A13511">
        <w:rPr>
          <w:rFonts w:ascii="Arial" w:hAnsi="Arial" w:cs="Arial"/>
          <w:sz w:val="24"/>
          <w:szCs w:val="24"/>
        </w:rPr>
        <w:t xml:space="preserve"> Ciudad de México</w:t>
      </w:r>
      <w:r w:rsidR="0015697A">
        <w:rPr>
          <w:rFonts w:ascii="Arial" w:hAnsi="Arial" w:cs="Arial"/>
          <w:sz w:val="24"/>
          <w:szCs w:val="24"/>
        </w:rPr>
        <w:t xml:space="preserve">. Esta </w:t>
      </w:r>
      <w:r w:rsidR="0026177C">
        <w:rPr>
          <w:rFonts w:ascii="Arial" w:hAnsi="Arial" w:cs="Arial"/>
          <w:sz w:val="24"/>
          <w:szCs w:val="24"/>
        </w:rPr>
        <w:t xml:space="preserve">concentró </w:t>
      </w:r>
      <w:r w:rsidR="00A13511" w:rsidRPr="00A13511">
        <w:rPr>
          <w:rFonts w:ascii="Arial" w:hAnsi="Arial" w:cs="Arial"/>
          <w:sz w:val="24"/>
          <w:szCs w:val="24"/>
        </w:rPr>
        <w:t xml:space="preserve">la mayor cantidad de </w:t>
      </w:r>
      <w:r w:rsidR="006F113D">
        <w:rPr>
          <w:rFonts w:ascii="Arial" w:hAnsi="Arial" w:cs="Arial"/>
          <w:sz w:val="24"/>
          <w:szCs w:val="24"/>
        </w:rPr>
        <w:t xml:space="preserve">dicho </w:t>
      </w:r>
      <w:r w:rsidR="00A13511" w:rsidRPr="00A13511">
        <w:rPr>
          <w:rFonts w:ascii="Arial" w:hAnsi="Arial" w:cs="Arial"/>
          <w:sz w:val="24"/>
          <w:szCs w:val="24"/>
        </w:rPr>
        <w:t>personal, con 7 774 servidoras y servidores públicos.</w:t>
      </w:r>
    </w:p>
    <w:p w14:paraId="1AC64961" w14:textId="77777777" w:rsidR="00AA4294" w:rsidRDefault="00AA4294" w:rsidP="00510AF2">
      <w:pPr>
        <w:spacing w:after="0" w:line="240" w:lineRule="auto"/>
        <w:jc w:val="both"/>
        <w:rPr>
          <w:rFonts w:ascii="Arial Negrita" w:hAnsi="Arial Negrita" w:cs="Arial"/>
          <w:b/>
          <w:bCs/>
          <w:smallCaps/>
          <w:sz w:val="24"/>
          <w:szCs w:val="24"/>
        </w:rPr>
      </w:pPr>
    </w:p>
    <w:p w14:paraId="48354F86" w14:textId="2D02DD56" w:rsidR="00162A3D" w:rsidRPr="000F4EC1" w:rsidRDefault="00162A3D" w:rsidP="00162A3D">
      <w:pPr>
        <w:pStyle w:val="Default"/>
        <w:jc w:val="center"/>
        <w:rPr>
          <w:color w:val="auto"/>
          <w:sz w:val="20"/>
          <w:szCs w:val="20"/>
        </w:rPr>
      </w:pPr>
      <w:r w:rsidRPr="000F4EC1">
        <w:rPr>
          <w:color w:val="auto"/>
          <w:sz w:val="20"/>
          <w:szCs w:val="20"/>
        </w:rPr>
        <w:t xml:space="preserve">Gráfica </w:t>
      </w:r>
      <w:r w:rsidRPr="00DA311B">
        <w:rPr>
          <w:color w:val="auto"/>
          <w:sz w:val="20"/>
          <w:szCs w:val="20"/>
        </w:rPr>
        <w:t>1</w:t>
      </w:r>
      <w:r w:rsidR="005718B3">
        <w:rPr>
          <w:color w:val="auto"/>
          <w:sz w:val="20"/>
          <w:szCs w:val="20"/>
        </w:rPr>
        <w:t>5</w:t>
      </w:r>
    </w:p>
    <w:p w14:paraId="40389EAC" w14:textId="07F60249" w:rsidR="00162A3D" w:rsidRDefault="00162A3D" w:rsidP="00162A3D">
      <w:pPr>
        <w:spacing w:after="0" w:line="240" w:lineRule="auto"/>
        <w:jc w:val="center"/>
        <w:rPr>
          <w:rFonts w:ascii="Arial" w:hAnsi="Arial" w:cs="Arial"/>
          <w:b/>
          <w:bCs/>
          <w:iCs/>
          <w:smallCaps/>
          <w:color w:val="000000" w:themeColor="text1"/>
        </w:rPr>
      </w:pPr>
      <w:r w:rsidRPr="00162A3D">
        <w:rPr>
          <w:rFonts w:ascii="Arial" w:hAnsi="Arial" w:cs="Arial"/>
          <w:b/>
          <w:bCs/>
          <w:iCs/>
          <w:smallCaps/>
          <w:color w:val="000000" w:themeColor="text1"/>
        </w:rPr>
        <w:t xml:space="preserve">Personal adscrito a las agencias y/o fiscalías del Ministerio Público de </w:t>
      </w:r>
      <w:r w:rsidR="00C94759" w:rsidRPr="00162A3D">
        <w:rPr>
          <w:rFonts w:ascii="Arial" w:hAnsi="Arial" w:cs="Arial"/>
          <w:b/>
          <w:bCs/>
          <w:iCs/>
          <w:smallCaps/>
          <w:color w:val="000000" w:themeColor="text1"/>
        </w:rPr>
        <w:t>la FGR</w:t>
      </w:r>
      <w:r w:rsidR="008E06DA">
        <w:rPr>
          <w:rFonts w:ascii="Arial" w:hAnsi="Arial" w:cs="Arial"/>
          <w:b/>
          <w:bCs/>
          <w:iCs/>
          <w:smallCaps/>
          <w:color w:val="000000" w:themeColor="text1"/>
        </w:rPr>
        <w:t xml:space="preserve"> y de </w:t>
      </w:r>
      <w:r w:rsidR="008E06DA" w:rsidRPr="00162A3D">
        <w:rPr>
          <w:rFonts w:ascii="Arial" w:hAnsi="Arial" w:cs="Arial"/>
          <w:b/>
          <w:bCs/>
          <w:iCs/>
          <w:smallCaps/>
          <w:color w:val="000000" w:themeColor="text1"/>
        </w:rPr>
        <w:t>las FGE</w:t>
      </w:r>
      <w:r w:rsidRPr="00162A3D">
        <w:rPr>
          <w:rFonts w:ascii="Arial" w:hAnsi="Arial" w:cs="Arial"/>
          <w:b/>
          <w:bCs/>
          <w:iCs/>
          <w:smallCaps/>
          <w:color w:val="000000" w:themeColor="text1"/>
        </w:rPr>
        <w:t xml:space="preserve"> 2021</w:t>
      </w:r>
    </w:p>
    <w:p w14:paraId="61E4FFFE" w14:textId="77777777" w:rsidR="00AA4294" w:rsidRDefault="00AA4294" w:rsidP="00510AF2">
      <w:pPr>
        <w:spacing w:after="0" w:line="240" w:lineRule="auto"/>
        <w:jc w:val="both"/>
        <w:rPr>
          <w:rFonts w:ascii="Arial Negrita" w:hAnsi="Arial Negrita" w:cs="Arial"/>
          <w:b/>
          <w:bCs/>
          <w:smallCaps/>
          <w:sz w:val="24"/>
          <w:szCs w:val="24"/>
        </w:rPr>
      </w:pPr>
    </w:p>
    <w:p w14:paraId="5E6265CB" w14:textId="77777777" w:rsidR="00CF7B02" w:rsidRDefault="00AA4294" w:rsidP="00AA4294">
      <w:pPr>
        <w:spacing w:after="0" w:line="240" w:lineRule="auto"/>
        <w:jc w:val="center"/>
        <w:rPr>
          <w:rFonts w:ascii="Arial" w:hAnsi="Arial" w:cs="Arial"/>
          <w:sz w:val="16"/>
          <w:szCs w:val="16"/>
        </w:rPr>
      </w:pPr>
      <w:r w:rsidRPr="00AA4294">
        <w:rPr>
          <w:rFonts w:ascii="Arial Negrita" w:hAnsi="Arial Negrita" w:cs="Arial"/>
          <w:b/>
          <w:bCs/>
          <w:smallCaps/>
          <w:noProof/>
          <w:sz w:val="24"/>
          <w:szCs w:val="24"/>
        </w:rPr>
        <w:drawing>
          <wp:inline distT="0" distB="0" distL="0" distR="0" wp14:anchorId="08D82C81" wp14:editId="46925339">
            <wp:extent cx="4934585" cy="5745193"/>
            <wp:effectExtent l="0" t="0" r="0" b="8255"/>
            <wp:docPr id="4" name="Gráfico 4">
              <a:extLst xmlns:a="http://schemas.openxmlformats.org/drawingml/2006/main">
                <a:ext uri="{FF2B5EF4-FFF2-40B4-BE49-F238E27FC236}">
                  <a16:creationId xmlns:a16="http://schemas.microsoft.com/office/drawing/2014/main" id="{EA60B968-ACC8-EBD7-2111-C6BE96662C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8F6115" w14:textId="3843AB9A" w:rsidR="008C2465" w:rsidRPr="00360792" w:rsidRDefault="008C2465" w:rsidP="00360792">
      <w:pPr>
        <w:rPr>
          <w:rFonts w:ascii="Arial" w:hAnsi="Arial" w:cs="Arial"/>
          <w:sz w:val="16"/>
          <w:szCs w:val="16"/>
        </w:rPr>
      </w:pPr>
      <w:r>
        <w:rPr>
          <w:rFonts w:ascii="Arial Negrita" w:hAnsi="Arial Negrita" w:cs="Arial"/>
          <w:b/>
          <w:bCs/>
          <w:smallCaps/>
          <w:sz w:val="24"/>
          <w:szCs w:val="24"/>
        </w:rPr>
        <w:br/>
      </w:r>
      <w:r w:rsidR="00360792" w:rsidRPr="00360792">
        <w:rPr>
          <w:rFonts w:ascii="Arial" w:hAnsi="Arial" w:cs="Arial"/>
          <w:sz w:val="16"/>
          <w:szCs w:val="16"/>
        </w:rPr>
        <w:t>Nota: La Fiscalía General del Estado de San Luis Potosí  negó entregar la información sobre agentes del Ministerio Público, peritos y policías por motivos de reserva. La Fiscalía General del Estado de Guanajuato no proporcionó información sobre policías por motivos de reserva. Las cifras proporcionadas por la FGR son de carácter preliminar</w:t>
      </w:r>
      <w:r w:rsidR="00360792">
        <w:rPr>
          <w:rFonts w:ascii="Arial" w:hAnsi="Arial" w:cs="Arial"/>
          <w:sz w:val="16"/>
          <w:szCs w:val="16"/>
        </w:rPr>
        <w:t>.</w:t>
      </w:r>
      <w:r>
        <w:rPr>
          <w:rFonts w:ascii="Arial Negrita" w:hAnsi="Arial Negrita" w:cs="Arial"/>
          <w:b/>
          <w:bCs/>
          <w:smallCaps/>
          <w:sz w:val="24"/>
          <w:szCs w:val="24"/>
        </w:rPr>
        <w:br w:type="page"/>
      </w:r>
    </w:p>
    <w:p w14:paraId="02F5E1AF" w14:textId="77777777" w:rsidR="008460DE" w:rsidRPr="001C540D" w:rsidRDefault="008460DE" w:rsidP="008460DE">
      <w:pPr>
        <w:pStyle w:val="Prrafodelista"/>
        <w:numPr>
          <w:ilvl w:val="0"/>
          <w:numId w:val="30"/>
        </w:numPr>
        <w:spacing w:after="0" w:line="240" w:lineRule="auto"/>
        <w:jc w:val="both"/>
        <w:rPr>
          <w:rFonts w:ascii="Arial Negrita" w:hAnsi="Arial Negrita" w:cs="Arial"/>
          <w:b/>
          <w:bCs/>
          <w:sz w:val="24"/>
          <w:szCs w:val="24"/>
        </w:rPr>
      </w:pPr>
      <w:r w:rsidRPr="001C540D">
        <w:rPr>
          <w:rFonts w:ascii="Arial Negrita" w:hAnsi="Arial Negrita" w:cs="Arial"/>
          <w:b/>
          <w:bCs/>
          <w:sz w:val="24"/>
          <w:szCs w:val="24"/>
        </w:rPr>
        <w:lastRenderedPageBreak/>
        <w:t>Centros de denuncia y atenci</w:t>
      </w:r>
      <w:r w:rsidRPr="001C540D">
        <w:rPr>
          <w:rFonts w:ascii="Arial Negrita" w:hAnsi="Arial Negrita" w:cs="Arial" w:hint="eastAsia"/>
          <w:b/>
          <w:bCs/>
          <w:sz w:val="24"/>
          <w:szCs w:val="24"/>
        </w:rPr>
        <w:t>ó</w:t>
      </w:r>
      <w:r w:rsidRPr="001C540D">
        <w:rPr>
          <w:rFonts w:ascii="Arial Negrita" w:hAnsi="Arial Negrita" w:cs="Arial"/>
          <w:b/>
          <w:bCs/>
          <w:sz w:val="24"/>
          <w:szCs w:val="24"/>
        </w:rPr>
        <w:t>n ciudadana</w:t>
      </w:r>
    </w:p>
    <w:p w14:paraId="2DDFA76E" w14:textId="77777777" w:rsidR="008460DE" w:rsidRPr="008A73DF" w:rsidRDefault="008460DE" w:rsidP="008460DE">
      <w:pPr>
        <w:spacing w:after="0" w:line="240" w:lineRule="auto"/>
        <w:jc w:val="both"/>
        <w:rPr>
          <w:rFonts w:ascii="Arial" w:hAnsi="Arial" w:cs="Arial"/>
          <w:sz w:val="24"/>
          <w:szCs w:val="24"/>
        </w:rPr>
      </w:pPr>
    </w:p>
    <w:p w14:paraId="0BFED873" w14:textId="77777777" w:rsidR="009F748A" w:rsidRDefault="008460DE" w:rsidP="008460DE">
      <w:pPr>
        <w:pStyle w:val="Default"/>
        <w:jc w:val="both"/>
      </w:pPr>
      <w:r w:rsidRPr="00506AD0">
        <w:t>Al cierre de 2021, la FGR y las FGE contaron con 32</w:t>
      </w:r>
      <w:r>
        <w:rPr>
          <w:rStyle w:val="Refdenotaalpie"/>
        </w:rPr>
        <w:footnoteReference w:id="7"/>
      </w:r>
      <w:r w:rsidRPr="00506AD0">
        <w:t xml:space="preserve"> centros de denuncia y atención ciudadana y con </w:t>
      </w:r>
      <w:r w:rsidR="00C3423C">
        <w:t>300</w:t>
      </w:r>
      <w:r w:rsidRPr="00506AD0">
        <w:t xml:space="preserve"> módulos</w:t>
      </w:r>
      <w:r w:rsidR="0026177C">
        <w:t>.</w:t>
      </w:r>
      <w:r>
        <w:rPr>
          <w:rStyle w:val="Refdenotaalpie"/>
        </w:rPr>
        <w:footnoteReference w:id="8"/>
      </w:r>
      <w:r>
        <w:t xml:space="preserve"> </w:t>
      </w:r>
    </w:p>
    <w:p w14:paraId="1CF3C006" w14:textId="77777777" w:rsidR="00800F50" w:rsidRDefault="00800F50" w:rsidP="008460DE">
      <w:pPr>
        <w:pStyle w:val="Default"/>
        <w:jc w:val="both"/>
      </w:pPr>
    </w:p>
    <w:p w14:paraId="7826EAEC" w14:textId="521EB3CC" w:rsidR="008460DE" w:rsidRDefault="00404DFF" w:rsidP="008460DE">
      <w:pPr>
        <w:pStyle w:val="Default"/>
        <w:jc w:val="both"/>
      </w:pPr>
      <w:r>
        <w:t>D</w:t>
      </w:r>
      <w:r w:rsidR="008460DE" w:rsidRPr="005D2D13">
        <w:t>urante 2021, la FGR y las FGE recibieron 1 251 868 registros de quejas y/o denuncias</w:t>
      </w:r>
      <w:r w:rsidR="0026177C">
        <w:t xml:space="preserve"> </w:t>
      </w:r>
      <w:r w:rsidR="00800F50">
        <w:t xml:space="preserve">            </w:t>
      </w:r>
      <w:r w:rsidR="008460DE" w:rsidRPr="005D2D13">
        <w:t>(17 522 en el ámbito federal y 1 234 346 en el estatal)</w:t>
      </w:r>
      <w:r w:rsidR="00097D95">
        <w:t>.</w:t>
      </w:r>
      <w:r w:rsidR="008460DE" w:rsidRPr="005D2D13">
        <w:t xml:space="preserve"> </w:t>
      </w:r>
      <w:r w:rsidR="00097D95">
        <w:t>D</w:t>
      </w:r>
      <w:r w:rsidR="008460DE" w:rsidRPr="005D2D13">
        <w:t xml:space="preserve">el </w:t>
      </w:r>
      <w:r w:rsidR="001E6A5A" w:rsidRPr="005D2D13">
        <w:t>total</w:t>
      </w:r>
      <w:r w:rsidR="001E6A5A">
        <w:t>,</w:t>
      </w:r>
      <w:r w:rsidR="008460DE">
        <w:t xml:space="preserve"> </w:t>
      </w:r>
      <w:r w:rsidR="008460DE" w:rsidRPr="005D2D13">
        <w:t>726 395 fueron procedentes</w:t>
      </w:r>
      <w:r w:rsidR="001D4112">
        <w:t>,</w:t>
      </w:r>
      <w:r w:rsidR="008460DE">
        <w:rPr>
          <w:rStyle w:val="Refdenotaalpie"/>
        </w:rPr>
        <w:footnoteReference w:id="9"/>
      </w:r>
      <w:r w:rsidR="008460DE">
        <w:t xml:space="preserve"> 181 605 no procedentes</w:t>
      </w:r>
      <w:r w:rsidR="001D4112">
        <w:t>,</w:t>
      </w:r>
      <w:r w:rsidR="008460DE">
        <w:rPr>
          <w:rStyle w:val="Refdenotaalpie"/>
        </w:rPr>
        <w:footnoteReference w:id="10"/>
      </w:r>
      <w:r w:rsidR="008460DE">
        <w:t xml:space="preserve"> 2 465 registraron otro estatus y </w:t>
      </w:r>
      <w:r w:rsidR="00097D95">
        <w:t>para</w:t>
      </w:r>
      <w:r w:rsidR="008460DE">
        <w:t xml:space="preserve"> 341 403 no </w:t>
      </w:r>
      <w:r w:rsidR="001D4112">
        <w:t xml:space="preserve">hubo especificación. </w:t>
      </w:r>
      <w:r w:rsidR="008460DE" w:rsidRPr="00440985">
        <w:t xml:space="preserve">Las entidades que recibieron la mayor cantidad de </w:t>
      </w:r>
      <w:r w:rsidR="00DB4957">
        <w:t xml:space="preserve">registros de </w:t>
      </w:r>
      <w:r w:rsidR="00097D95">
        <w:t>quejas y/o denuncias</w:t>
      </w:r>
      <w:r w:rsidR="00097D95" w:rsidRPr="00440985">
        <w:t xml:space="preserve"> </w:t>
      </w:r>
      <w:r w:rsidR="008460DE" w:rsidRPr="00440985">
        <w:t xml:space="preserve">procedentes fueron Nuevo León y </w:t>
      </w:r>
      <w:r w:rsidR="008460DE">
        <w:t>estado de</w:t>
      </w:r>
      <w:r w:rsidR="008460DE" w:rsidRPr="00440985">
        <w:t xml:space="preserve"> México</w:t>
      </w:r>
      <w:r w:rsidR="00851A50">
        <w:t>,</w:t>
      </w:r>
      <w:r w:rsidR="008460DE" w:rsidRPr="00FA13C3">
        <w:rPr>
          <w:rFonts w:asciiTheme="minorHAnsi" w:hAnsiTheme="minorHAnsi" w:cstheme="minorBidi"/>
          <w:color w:val="auto"/>
          <w:sz w:val="22"/>
          <w:szCs w:val="22"/>
        </w:rPr>
        <w:t xml:space="preserve"> </w:t>
      </w:r>
      <w:r w:rsidR="00851A50">
        <w:t>con</w:t>
      </w:r>
      <w:r>
        <w:t xml:space="preserve"> </w:t>
      </w:r>
      <w:r w:rsidR="008460DE" w:rsidRPr="00FA13C3">
        <w:t>45.5 % del total nacional</w:t>
      </w:r>
      <w:r w:rsidR="008460DE">
        <w:t>.</w:t>
      </w:r>
    </w:p>
    <w:p w14:paraId="080F46EA" w14:textId="77777777" w:rsidR="008460DE" w:rsidRDefault="008460DE" w:rsidP="008460DE">
      <w:pPr>
        <w:pStyle w:val="Default"/>
        <w:jc w:val="both"/>
      </w:pPr>
    </w:p>
    <w:p w14:paraId="4D203721" w14:textId="34B1D1E5" w:rsidR="008460DE" w:rsidRPr="00963A3F" w:rsidRDefault="008460DE" w:rsidP="008460DE">
      <w:pPr>
        <w:pStyle w:val="Default"/>
        <w:ind w:right="284"/>
        <w:jc w:val="center"/>
        <w:rPr>
          <w:bCs/>
          <w:iCs/>
          <w:color w:val="000000" w:themeColor="text1"/>
          <w:sz w:val="20"/>
          <w:szCs w:val="20"/>
        </w:rPr>
      </w:pPr>
      <w:r w:rsidRPr="00810B87">
        <w:rPr>
          <w:bCs/>
          <w:iCs/>
          <w:color w:val="000000" w:themeColor="text1"/>
          <w:sz w:val="20"/>
          <w:szCs w:val="20"/>
        </w:rPr>
        <w:t xml:space="preserve">Gráfica </w:t>
      </w:r>
      <w:r>
        <w:rPr>
          <w:bCs/>
          <w:iCs/>
          <w:color w:val="000000" w:themeColor="text1"/>
          <w:sz w:val="20"/>
          <w:szCs w:val="20"/>
        </w:rPr>
        <w:t>1</w:t>
      </w:r>
      <w:r w:rsidR="00097D95">
        <w:rPr>
          <w:bCs/>
          <w:iCs/>
          <w:color w:val="000000" w:themeColor="text1"/>
          <w:sz w:val="20"/>
          <w:szCs w:val="20"/>
        </w:rPr>
        <w:t>6</w:t>
      </w:r>
    </w:p>
    <w:p w14:paraId="74F36174" w14:textId="6319DD02" w:rsidR="008460DE" w:rsidRDefault="008F2224">
      <w:pPr>
        <w:pStyle w:val="Default"/>
        <w:jc w:val="center"/>
        <w:rPr>
          <w:b/>
          <w:bCs/>
          <w:iCs/>
          <w:smallCaps/>
          <w:color w:val="000000" w:themeColor="text1"/>
          <w:sz w:val="22"/>
          <w:szCs w:val="22"/>
        </w:rPr>
      </w:pPr>
      <w:r>
        <w:rPr>
          <w:b/>
          <w:bCs/>
          <w:iCs/>
          <w:smallCaps/>
          <w:color w:val="000000" w:themeColor="text1"/>
          <w:sz w:val="22"/>
          <w:szCs w:val="22"/>
        </w:rPr>
        <w:t xml:space="preserve">Registros de </w:t>
      </w:r>
      <w:r w:rsidR="008460DE" w:rsidRPr="006B5811">
        <w:rPr>
          <w:b/>
          <w:bCs/>
          <w:iCs/>
          <w:smallCaps/>
          <w:color w:val="000000" w:themeColor="text1"/>
          <w:sz w:val="22"/>
          <w:szCs w:val="22"/>
        </w:rPr>
        <w:t>quejas y/o denuncias recibidos por la FGR y las FGE</w:t>
      </w:r>
      <w:r w:rsidR="008460DE">
        <w:rPr>
          <w:b/>
          <w:bCs/>
          <w:iCs/>
          <w:smallCaps/>
          <w:color w:val="000000" w:themeColor="text1"/>
          <w:sz w:val="22"/>
          <w:szCs w:val="22"/>
        </w:rPr>
        <w:t xml:space="preserve">, </w:t>
      </w:r>
      <w:r w:rsidR="008460DE" w:rsidRPr="00BA3651">
        <w:rPr>
          <w:b/>
          <w:bCs/>
          <w:iCs/>
          <w:smallCaps/>
          <w:color w:val="000000" w:themeColor="text1"/>
          <w:sz w:val="20"/>
          <w:szCs w:val="20"/>
        </w:rPr>
        <w:t>2021</w:t>
      </w:r>
    </w:p>
    <w:p w14:paraId="37EE8498" w14:textId="77777777" w:rsidR="008460DE" w:rsidRDefault="008460DE" w:rsidP="008460DE">
      <w:pPr>
        <w:pStyle w:val="Default"/>
        <w:jc w:val="both"/>
      </w:pPr>
      <w:r>
        <w:rPr>
          <w:noProof/>
        </w:rPr>
        <w:drawing>
          <wp:inline distT="0" distB="0" distL="0" distR="0" wp14:anchorId="76C07F0E" wp14:editId="51D731B9">
            <wp:extent cx="6162675" cy="1685925"/>
            <wp:effectExtent l="0" t="0" r="0" b="0"/>
            <wp:docPr id="16" name="Gráfico 16">
              <a:extLst xmlns:a="http://schemas.openxmlformats.org/drawingml/2006/main">
                <a:ext uri="{FF2B5EF4-FFF2-40B4-BE49-F238E27FC236}">
                  <a16:creationId xmlns:a16="http://schemas.microsoft.com/office/drawing/2014/main" id="{7621BA7C-672D-E17F-6891-4128B32668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6192F5" w14:textId="77777777" w:rsidR="008460DE" w:rsidRDefault="008460DE" w:rsidP="008460DE">
      <w:pPr>
        <w:pStyle w:val="Default"/>
        <w:jc w:val="both"/>
      </w:pPr>
    </w:p>
    <w:p w14:paraId="3E4FB5BE" w14:textId="0453466D" w:rsidR="008460DE" w:rsidRDefault="008460DE" w:rsidP="008460DE">
      <w:pPr>
        <w:pStyle w:val="Default"/>
        <w:jc w:val="both"/>
      </w:pPr>
      <w:r w:rsidRPr="00544355">
        <w:t xml:space="preserve">Con respecto a 2020, </w:t>
      </w:r>
      <w:r w:rsidR="001D4112">
        <w:t xml:space="preserve">en 2021 </w:t>
      </w:r>
      <w:r w:rsidR="00BB7184">
        <w:t xml:space="preserve">el total de </w:t>
      </w:r>
      <w:r>
        <w:t>los registros</w:t>
      </w:r>
      <w:r w:rsidRPr="00544355">
        <w:t xml:space="preserve"> procedentes en los distintos </w:t>
      </w:r>
      <w:r>
        <w:t>mecanismos de recepción</w:t>
      </w:r>
      <w:r w:rsidRPr="00544355">
        <w:t xml:space="preserve"> aumentaron</w:t>
      </w:r>
      <w:r>
        <w:t xml:space="preserve"> 62.7 </w:t>
      </w:r>
      <w:r w:rsidR="001D4112">
        <w:t xml:space="preserve">por ciento. </w:t>
      </w:r>
    </w:p>
    <w:p w14:paraId="12FC13B7" w14:textId="77777777" w:rsidR="008460DE" w:rsidRDefault="008460DE" w:rsidP="008460DE">
      <w:pPr>
        <w:pStyle w:val="Default"/>
        <w:ind w:right="284"/>
        <w:jc w:val="center"/>
        <w:rPr>
          <w:bCs/>
          <w:iCs/>
          <w:color w:val="000000" w:themeColor="text1"/>
          <w:sz w:val="20"/>
          <w:szCs w:val="20"/>
        </w:rPr>
      </w:pPr>
    </w:p>
    <w:p w14:paraId="6B8D1737" w14:textId="0FBC50C2" w:rsidR="008460DE" w:rsidRPr="00963A3F" w:rsidRDefault="008460DE" w:rsidP="008460DE">
      <w:pPr>
        <w:pStyle w:val="Default"/>
        <w:ind w:right="284"/>
        <w:jc w:val="center"/>
        <w:rPr>
          <w:bCs/>
          <w:iCs/>
          <w:color w:val="000000" w:themeColor="text1"/>
          <w:sz w:val="20"/>
          <w:szCs w:val="20"/>
        </w:rPr>
      </w:pPr>
      <w:r w:rsidRPr="00810B87">
        <w:rPr>
          <w:bCs/>
          <w:iCs/>
          <w:color w:val="000000" w:themeColor="text1"/>
          <w:sz w:val="20"/>
          <w:szCs w:val="20"/>
        </w:rPr>
        <w:t xml:space="preserve">Gráfica </w:t>
      </w:r>
      <w:r>
        <w:rPr>
          <w:bCs/>
          <w:iCs/>
          <w:color w:val="000000" w:themeColor="text1"/>
          <w:sz w:val="20"/>
          <w:szCs w:val="20"/>
        </w:rPr>
        <w:t>1</w:t>
      </w:r>
      <w:r w:rsidR="00097D95">
        <w:rPr>
          <w:bCs/>
          <w:iCs/>
          <w:color w:val="000000" w:themeColor="text1"/>
          <w:sz w:val="20"/>
          <w:szCs w:val="20"/>
        </w:rPr>
        <w:t>7</w:t>
      </w:r>
    </w:p>
    <w:p w14:paraId="1EC07A9D" w14:textId="72407C00" w:rsidR="008460DE" w:rsidRDefault="008460DE" w:rsidP="008460DE">
      <w:pPr>
        <w:pStyle w:val="Default"/>
        <w:jc w:val="center"/>
        <w:rPr>
          <w:b/>
          <w:bCs/>
          <w:iCs/>
          <w:smallCaps/>
          <w:color w:val="000000" w:themeColor="text1"/>
          <w:sz w:val="22"/>
          <w:szCs w:val="22"/>
        </w:rPr>
      </w:pPr>
      <w:r w:rsidRPr="006B5811">
        <w:rPr>
          <w:b/>
          <w:bCs/>
          <w:iCs/>
          <w:smallCaps/>
          <w:color w:val="000000" w:themeColor="text1"/>
          <w:sz w:val="22"/>
          <w:szCs w:val="22"/>
        </w:rPr>
        <w:t xml:space="preserve">Registros de quejas y/o denuncias recibidos por la FGR y las FGE, </w:t>
      </w:r>
      <w:r w:rsidR="00851A50">
        <w:rPr>
          <w:b/>
          <w:bCs/>
          <w:iCs/>
          <w:smallCaps/>
          <w:color w:val="000000" w:themeColor="text1"/>
          <w:sz w:val="22"/>
          <w:szCs w:val="22"/>
        </w:rPr>
        <w:t>según</w:t>
      </w:r>
      <w:r w:rsidRPr="006B5811">
        <w:rPr>
          <w:b/>
          <w:bCs/>
          <w:iCs/>
          <w:smallCaps/>
          <w:color w:val="000000" w:themeColor="text1"/>
          <w:sz w:val="22"/>
          <w:szCs w:val="22"/>
        </w:rPr>
        <w:t xml:space="preserve"> estatus</w:t>
      </w:r>
    </w:p>
    <w:p w14:paraId="20FFA242" w14:textId="77777777" w:rsidR="008460DE" w:rsidRDefault="008460DE" w:rsidP="008460DE">
      <w:pPr>
        <w:pStyle w:val="Default"/>
        <w:spacing w:after="10"/>
        <w:ind w:right="284"/>
        <w:jc w:val="center"/>
        <w:rPr>
          <w:bCs/>
          <w:iCs/>
          <w:color w:val="000000" w:themeColor="text1"/>
          <w:sz w:val="20"/>
          <w:szCs w:val="20"/>
        </w:rPr>
      </w:pPr>
      <w:r w:rsidRPr="005D2D13">
        <w:rPr>
          <w:bCs/>
          <w:iCs/>
          <w:noProof/>
          <w:color w:val="000000" w:themeColor="text1"/>
          <w:sz w:val="20"/>
          <w:szCs w:val="20"/>
        </w:rPr>
        <w:drawing>
          <wp:inline distT="0" distB="0" distL="0" distR="0" wp14:anchorId="479B66F0" wp14:editId="2FC8F222">
            <wp:extent cx="6404610" cy="1866900"/>
            <wp:effectExtent l="0" t="0" r="0" b="0"/>
            <wp:docPr id="8" name="Gráfico 8">
              <a:extLst xmlns:a="http://schemas.openxmlformats.org/drawingml/2006/main">
                <a:ext uri="{FF2B5EF4-FFF2-40B4-BE49-F238E27FC236}">
                  <a16:creationId xmlns:a16="http://schemas.microsoft.com/office/drawing/2014/main" id="{B83949DA-DA77-7FCA-A917-201E1D3A70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A0088AF" w14:textId="77777777" w:rsidR="008460DE" w:rsidRDefault="008460DE" w:rsidP="008460DE">
      <w:pPr>
        <w:pStyle w:val="Default"/>
        <w:spacing w:after="10"/>
        <w:ind w:right="284"/>
        <w:rPr>
          <w:bCs/>
          <w:iCs/>
          <w:color w:val="000000" w:themeColor="text1"/>
          <w:sz w:val="16"/>
          <w:szCs w:val="16"/>
        </w:rPr>
      </w:pPr>
    </w:p>
    <w:p w14:paraId="518858B8" w14:textId="09C178F3" w:rsidR="008460DE" w:rsidRDefault="008460DE" w:rsidP="008460DE">
      <w:pPr>
        <w:pStyle w:val="Default"/>
        <w:spacing w:after="10"/>
        <w:ind w:right="284"/>
        <w:jc w:val="both"/>
        <w:rPr>
          <w:bCs/>
          <w:iCs/>
          <w:color w:val="000000" w:themeColor="text1"/>
          <w:sz w:val="16"/>
          <w:szCs w:val="16"/>
        </w:rPr>
      </w:pPr>
      <w:r>
        <w:rPr>
          <w:bCs/>
          <w:iCs/>
          <w:color w:val="000000" w:themeColor="text1"/>
          <w:sz w:val="16"/>
          <w:szCs w:val="16"/>
        </w:rPr>
        <w:t xml:space="preserve">Nota: </w:t>
      </w:r>
      <w:r w:rsidRPr="006B5811">
        <w:rPr>
          <w:bCs/>
          <w:iCs/>
          <w:color w:val="000000" w:themeColor="text1"/>
          <w:sz w:val="16"/>
          <w:szCs w:val="16"/>
        </w:rPr>
        <w:t xml:space="preserve">No se incluye la categoría </w:t>
      </w:r>
      <w:r>
        <w:rPr>
          <w:sz w:val="16"/>
          <w:szCs w:val="16"/>
        </w:rPr>
        <w:t>«</w:t>
      </w:r>
      <w:r w:rsidRPr="006B5811">
        <w:rPr>
          <w:bCs/>
          <w:iCs/>
          <w:color w:val="000000" w:themeColor="text1"/>
          <w:sz w:val="16"/>
          <w:szCs w:val="16"/>
        </w:rPr>
        <w:t>No especificado</w:t>
      </w:r>
      <w:r>
        <w:rPr>
          <w:sz w:val="16"/>
          <w:szCs w:val="16"/>
        </w:rPr>
        <w:t>»</w:t>
      </w:r>
      <w:r w:rsidRPr="006B5811">
        <w:rPr>
          <w:bCs/>
          <w:iCs/>
          <w:color w:val="000000" w:themeColor="text1"/>
          <w:sz w:val="16"/>
          <w:szCs w:val="16"/>
        </w:rPr>
        <w:t xml:space="preserve"> que en 2015 registró un total de 43; en 2016, 135; en 2017, 217; en 2020, 1 314 y en 2021, 341 403 registros.</w:t>
      </w:r>
    </w:p>
    <w:p w14:paraId="01E58885" w14:textId="639969A4" w:rsidR="00BA03D8" w:rsidRDefault="0093143F" w:rsidP="008F0CEF">
      <w:pPr>
        <w:pStyle w:val="Prrafodelista"/>
        <w:numPr>
          <w:ilvl w:val="0"/>
          <w:numId w:val="30"/>
        </w:numPr>
        <w:spacing w:after="0" w:line="240" w:lineRule="auto"/>
        <w:jc w:val="both"/>
        <w:rPr>
          <w:rFonts w:ascii="Arial Negrita" w:hAnsi="Arial Negrita" w:cs="Arial"/>
          <w:b/>
          <w:bCs/>
          <w:smallCaps/>
          <w:sz w:val="24"/>
          <w:szCs w:val="24"/>
        </w:rPr>
      </w:pPr>
      <w:bookmarkStart w:id="3" w:name="_Hlk107818566"/>
      <w:r w:rsidRPr="001C540D">
        <w:rPr>
          <w:rFonts w:ascii="Arial Negrita" w:hAnsi="Arial Negrita" w:cs="Arial"/>
          <w:b/>
          <w:bCs/>
          <w:sz w:val="24"/>
          <w:szCs w:val="24"/>
        </w:rPr>
        <w:lastRenderedPageBreak/>
        <w:t>Procuraci</w:t>
      </w:r>
      <w:r w:rsidRPr="001C540D">
        <w:rPr>
          <w:rFonts w:ascii="Arial Negrita" w:hAnsi="Arial Negrita" w:cs="Arial" w:hint="eastAsia"/>
          <w:b/>
          <w:bCs/>
          <w:sz w:val="24"/>
          <w:szCs w:val="24"/>
        </w:rPr>
        <w:t>ó</w:t>
      </w:r>
      <w:r w:rsidRPr="001C540D">
        <w:rPr>
          <w:rFonts w:ascii="Arial Negrita" w:hAnsi="Arial Negrita" w:cs="Arial"/>
          <w:b/>
          <w:bCs/>
          <w:sz w:val="24"/>
          <w:szCs w:val="24"/>
        </w:rPr>
        <w:t>n de justicia federal y estatal</w:t>
      </w:r>
      <w:r w:rsidR="006473D7">
        <w:rPr>
          <w:rStyle w:val="Refdenotaalpie"/>
          <w:rFonts w:ascii="Arial Negrita" w:hAnsi="Arial Negrita" w:cs="Arial"/>
          <w:b/>
          <w:bCs/>
          <w:smallCaps/>
          <w:sz w:val="24"/>
          <w:szCs w:val="24"/>
        </w:rPr>
        <w:footnoteReference w:id="11"/>
      </w:r>
      <w:bookmarkEnd w:id="3"/>
    </w:p>
    <w:p w14:paraId="0F76AA66" w14:textId="77777777" w:rsidR="008F0CEF" w:rsidRPr="008F0CEF" w:rsidRDefault="008F0CEF" w:rsidP="008F0CEF">
      <w:pPr>
        <w:spacing w:after="0" w:line="240" w:lineRule="auto"/>
        <w:ind w:left="360"/>
        <w:jc w:val="both"/>
        <w:rPr>
          <w:rFonts w:ascii="Arial Negrita" w:hAnsi="Arial Negrita" w:cs="Arial"/>
          <w:b/>
          <w:bCs/>
          <w:smallCaps/>
          <w:sz w:val="24"/>
          <w:szCs w:val="24"/>
        </w:rPr>
      </w:pPr>
    </w:p>
    <w:p w14:paraId="3D9A0644" w14:textId="17BD120F" w:rsidR="00D87A83" w:rsidRDefault="00D87A83" w:rsidP="00D87A83">
      <w:pPr>
        <w:pStyle w:val="Default"/>
        <w:ind w:right="163"/>
        <w:jc w:val="both"/>
        <w:rPr>
          <w:color w:val="auto"/>
        </w:rPr>
      </w:pPr>
      <w:bookmarkStart w:id="4" w:name="_Hlk56788583"/>
      <w:r w:rsidRPr="00DC266D">
        <w:rPr>
          <w:color w:val="auto"/>
        </w:rPr>
        <w:t xml:space="preserve">Durante 2021, se iniciaron y/o abrieron 2 059 798 averiguaciones previas e investigaciones y carpetas de investigación (3.8 % para la FGR y </w:t>
      </w:r>
      <w:r w:rsidR="00805A81">
        <w:rPr>
          <w:color w:val="auto"/>
        </w:rPr>
        <w:t>96.2</w:t>
      </w:r>
      <w:r w:rsidR="00D41818">
        <w:rPr>
          <w:color w:val="auto"/>
        </w:rPr>
        <w:t xml:space="preserve"> </w:t>
      </w:r>
      <w:r w:rsidR="00805A81">
        <w:rPr>
          <w:color w:val="auto"/>
        </w:rPr>
        <w:t xml:space="preserve">% </w:t>
      </w:r>
      <w:r w:rsidRPr="00DC266D">
        <w:rPr>
          <w:color w:val="auto"/>
        </w:rPr>
        <w:t>para las FGE)</w:t>
      </w:r>
      <w:r w:rsidR="00097D95">
        <w:rPr>
          <w:color w:val="auto"/>
        </w:rPr>
        <w:t>.</w:t>
      </w:r>
      <w:r w:rsidRPr="00DC266D">
        <w:rPr>
          <w:color w:val="auto"/>
        </w:rPr>
        <w:t xml:space="preserve"> </w:t>
      </w:r>
      <w:r w:rsidR="00097D95">
        <w:rPr>
          <w:color w:val="auto"/>
        </w:rPr>
        <w:t>E</w:t>
      </w:r>
      <w:r w:rsidRPr="00DC266D">
        <w:rPr>
          <w:color w:val="auto"/>
        </w:rPr>
        <w:t xml:space="preserve">sta cantidad aumentó 8.5 % respecto a 2020. </w:t>
      </w:r>
    </w:p>
    <w:p w14:paraId="58EF21EA" w14:textId="77777777" w:rsidR="00D87A83" w:rsidRDefault="00D87A83" w:rsidP="00D87A83">
      <w:pPr>
        <w:pStyle w:val="Default"/>
        <w:ind w:right="163"/>
        <w:jc w:val="both"/>
        <w:rPr>
          <w:color w:val="auto"/>
        </w:rPr>
      </w:pPr>
    </w:p>
    <w:p w14:paraId="68F4E539" w14:textId="12FCC8EF" w:rsidR="00D87A83" w:rsidRPr="002D00F3" w:rsidRDefault="00D87A83" w:rsidP="00D87A83">
      <w:pPr>
        <w:pStyle w:val="Default"/>
        <w:jc w:val="center"/>
        <w:rPr>
          <w:color w:val="auto"/>
          <w:sz w:val="20"/>
          <w:szCs w:val="20"/>
        </w:rPr>
      </w:pPr>
      <w:r w:rsidRPr="002D00F3">
        <w:rPr>
          <w:color w:val="auto"/>
          <w:sz w:val="20"/>
          <w:szCs w:val="20"/>
        </w:rPr>
        <w:t xml:space="preserve">Gráfica </w:t>
      </w:r>
      <w:r w:rsidR="008F0CEF">
        <w:rPr>
          <w:color w:val="auto"/>
          <w:sz w:val="20"/>
          <w:szCs w:val="20"/>
        </w:rPr>
        <w:t>1</w:t>
      </w:r>
      <w:r w:rsidR="00097D95">
        <w:rPr>
          <w:color w:val="auto"/>
          <w:sz w:val="20"/>
          <w:szCs w:val="20"/>
        </w:rPr>
        <w:t>8</w:t>
      </w:r>
    </w:p>
    <w:p w14:paraId="160AA608" w14:textId="4B6A8923" w:rsidR="00D87A83" w:rsidRDefault="00D87A83" w:rsidP="00D87A83">
      <w:pPr>
        <w:pStyle w:val="Default"/>
        <w:ind w:right="163"/>
        <w:jc w:val="center"/>
        <w:rPr>
          <w:b/>
          <w:bCs/>
          <w:iCs/>
          <w:smallCaps/>
          <w:color w:val="000000" w:themeColor="text1"/>
          <w:sz w:val="22"/>
          <w:szCs w:val="22"/>
        </w:rPr>
      </w:pPr>
      <w:r w:rsidRPr="004B55CD">
        <w:rPr>
          <w:b/>
          <w:bCs/>
          <w:iCs/>
          <w:smallCaps/>
          <w:color w:val="000000" w:themeColor="text1"/>
          <w:sz w:val="22"/>
          <w:szCs w:val="22"/>
        </w:rPr>
        <w:t xml:space="preserve">averiguaciones previas e investigaciones y carpetas de investigación </w:t>
      </w:r>
      <w:r w:rsidR="00097D95" w:rsidRPr="004B55CD">
        <w:rPr>
          <w:b/>
          <w:bCs/>
          <w:iCs/>
          <w:smallCaps/>
          <w:color w:val="000000" w:themeColor="text1"/>
          <w:sz w:val="22"/>
          <w:szCs w:val="22"/>
        </w:rPr>
        <w:t xml:space="preserve">iniciadas y/o abiertas </w:t>
      </w:r>
      <w:r w:rsidRPr="004B55CD">
        <w:rPr>
          <w:b/>
          <w:bCs/>
          <w:iCs/>
          <w:smallCaps/>
          <w:color w:val="000000" w:themeColor="text1"/>
          <w:sz w:val="22"/>
          <w:szCs w:val="22"/>
        </w:rPr>
        <w:t xml:space="preserve">por la FGR y las FGE </w:t>
      </w:r>
    </w:p>
    <w:p w14:paraId="31905115" w14:textId="77777777" w:rsidR="00D87A83" w:rsidRDefault="00D87A83" w:rsidP="00D87A83">
      <w:pPr>
        <w:pStyle w:val="Default"/>
        <w:ind w:right="163"/>
        <w:jc w:val="center"/>
        <w:rPr>
          <w:b/>
          <w:bCs/>
          <w:iCs/>
          <w:smallCaps/>
          <w:color w:val="000000" w:themeColor="text1"/>
          <w:sz w:val="22"/>
          <w:szCs w:val="22"/>
        </w:rPr>
      </w:pPr>
      <w:r>
        <w:rPr>
          <w:noProof/>
        </w:rPr>
        <w:drawing>
          <wp:anchor distT="0" distB="0" distL="114300" distR="114300" simplePos="0" relativeHeight="251667456" behindDoc="0" locked="0" layoutInCell="1" allowOverlap="1" wp14:anchorId="59B3839C" wp14:editId="6D0AE27E">
            <wp:simplePos x="0" y="0"/>
            <wp:positionH relativeFrom="margin">
              <wp:posOffset>426720</wp:posOffset>
            </wp:positionH>
            <wp:positionV relativeFrom="paragraph">
              <wp:posOffset>128270</wp:posOffset>
            </wp:positionV>
            <wp:extent cx="5132705" cy="1974850"/>
            <wp:effectExtent l="0" t="0" r="0" b="6350"/>
            <wp:wrapSquare wrapText="bothSides"/>
            <wp:docPr id="46" name="Gráfico 46">
              <a:extLst xmlns:a="http://schemas.openxmlformats.org/drawingml/2006/main">
                <a:ext uri="{FF2B5EF4-FFF2-40B4-BE49-F238E27FC236}">
                  <a16:creationId xmlns:a16="http://schemas.microsoft.com/office/drawing/2014/main" id="{81E96563-BA72-499F-87EE-A7BDE9176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088353BF" w14:textId="77777777" w:rsidR="00D87A83" w:rsidRDefault="00D87A83" w:rsidP="00D87A83">
      <w:pPr>
        <w:pStyle w:val="Default"/>
        <w:ind w:right="163"/>
        <w:jc w:val="both"/>
        <w:rPr>
          <w:color w:val="auto"/>
        </w:rPr>
      </w:pPr>
    </w:p>
    <w:p w14:paraId="313073F2" w14:textId="77777777" w:rsidR="00D87A83" w:rsidRDefault="00D87A83" w:rsidP="00D87A83">
      <w:pPr>
        <w:pStyle w:val="Default"/>
        <w:ind w:right="163"/>
        <w:jc w:val="both"/>
        <w:rPr>
          <w:color w:val="auto"/>
        </w:rPr>
      </w:pPr>
    </w:p>
    <w:p w14:paraId="2ADCCF2D" w14:textId="77777777" w:rsidR="00D87A83" w:rsidRDefault="00D87A83" w:rsidP="00D87A83">
      <w:pPr>
        <w:pStyle w:val="Default"/>
        <w:ind w:right="163"/>
        <w:jc w:val="both"/>
        <w:rPr>
          <w:color w:val="auto"/>
        </w:rPr>
      </w:pPr>
    </w:p>
    <w:p w14:paraId="7404B707" w14:textId="77777777" w:rsidR="00D87A83" w:rsidRDefault="00D87A83" w:rsidP="00D87A83">
      <w:pPr>
        <w:pStyle w:val="Default"/>
        <w:ind w:right="163"/>
        <w:jc w:val="both"/>
        <w:rPr>
          <w:color w:val="auto"/>
        </w:rPr>
      </w:pPr>
    </w:p>
    <w:p w14:paraId="73EE84E5" w14:textId="77777777" w:rsidR="00D87A83" w:rsidRDefault="00D87A83" w:rsidP="00D87A83">
      <w:pPr>
        <w:pStyle w:val="Default"/>
        <w:ind w:right="163"/>
        <w:jc w:val="both"/>
        <w:rPr>
          <w:color w:val="auto"/>
        </w:rPr>
      </w:pPr>
    </w:p>
    <w:p w14:paraId="206D410D" w14:textId="77777777" w:rsidR="00D87A83" w:rsidRDefault="00D87A83" w:rsidP="00D87A83">
      <w:pPr>
        <w:pStyle w:val="Default"/>
        <w:ind w:right="163"/>
        <w:jc w:val="both"/>
        <w:rPr>
          <w:color w:val="auto"/>
        </w:rPr>
      </w:pPr>
    </w:p>
    <w:p w14:paraId="1A654CF1" w14:textId="77777777" w:rsidR="00D87A83" w:rsidRDefault="00D87A83" w:rsidP="00D87A83">
      <w:pPr>
        <w:pStyle w:val="Default"/>
        <w:ind w:right="163"/>
        <w:jc w:val="both"/>
        <w:rPr>
          <w:color w:val="auto"/>
        </w:rPr>
      </w:pPr>
    </w:p>
    <w:p w14:paraId="3B457C63" w14:textId="77777777" w:rsidR="00D87A83" w:rsidRDefault="00D87A83" w:rsidP="00D87A83">
      <w:pPr>
        <w:pStyle w:val="Default"/>
        <w:ind w:right="163"/>
        <w:jc w:val="both"/>
        <w:rPr>
          <w:color w:val="auto"/>
        </w:rPr>
      </w:pPr>
    </w:p>
    <w:p w14:paraId="73C1BCB3" w14:textId="77777777" w:rsidR="00D87A83" w:rsidRDefault="00D87A83" w:rsidP="00D87A83">
      <w:pPr>
        <w:pStyle w:val="Default"/>
        <w:ind w:right="163"/>
        <w:jc w:val="both"/>
        <w:rPr>
          <w:color w:val="auto"/>
        </w:rPr>
      </w:pPr>
    </w:p>
    <w:p w14:paraId="6A711DF4" w14:textId="77777777" w:rsidR="00D87A83" w:rsidRDefault="00D87A83" w:rsidP="00D87A83">
      <w:pPr>
        <w:pStyle w:val="Default"/>
        <w:ind w:right="163"/>
        <w:jc w:val="both"/>
        <w:rPr>
          <w:color w:val="auto"/>
        </w:rPr>
      </w:pPr>
    </w:p>
    <w:p w14:paraId="10970E75" w14:textId="77777777" w:rsidR="00D87A83" w:rsidRDefault="00D87A83" w:rsidP="00D87A83">
      <w:pPr>
        <w:pStyle w:val="Default"/>
        <w:ind w:right="163"/>
        <w:jc w:val="both"/>
        <w:rPr>
          <w:color w:val="auto"/>
        </w:rPr>
      </w:pPr>
    </w:p>
    <w:p w14:paraId="4429E055" w14:textId="77777777" w:rsidR="00891151" w:rsidRDefault="00891151" w:rsidP="00D87A83">
      <w:pPr>
        <w:pStyle w:val="Default"/>
        <w:ind w:right="163"/>
        <w:jc w:val="both"/>
        <w:rPr>
          <w:color w:val="auto"/>
        </w:rPr>
      </w:pPr>
    </w:p>
    <w:p w14:paraId="70E57016" w14:textId="620BACEC" w:rsidR="00D87A83" w:rsidRDefault="00D87A83" w:rsidP="00D87A83">
      <w:pPr>
        <w:pStyle w:val="Default"/>
        <w:ind w:right="163"/>
        <w:jc w:val="both"/>
        <w:rPr>
          <w:color w:val="auto"/>
        </w:rPr>
      </w:pPr>
      <w:r w:rsidRPr="00DC266D">
        <w:rPr>
          <w:color w:val="auto"/>
        </w:rPr>
        <w:t>En el caso de averiguaciones previas e investigaciones y carpetas de investigación determinadas</w:t>
      </w:r>
      <w:r w:rsidR="00097D95">
        <w:rPr>
          <w:color w:val="auto"/>
        </w:rPr>
        <w:t>,</w:t>
      </w:r>
      <w:r w:rsidRPr="00DC266D">
        <w:rPr>
          <w:color w:val="auto"/>
        </w:rPr>
        <w:t xml:space="preserve"> se reportaron 1 751 761 (12.1 % para la FGR y 87.9 % para las FGE)</w:t>
      </w:r>
      <w:r w:rsidR="00097D95">
        <w:rPr>
          <w:color w:val="auto"/>
        </w:rPr>
        <w:t>.</w:t>
      </w:r>
      <w:r w:rsidRPr="00DC266D">
        <w:rPr>
          <w:color w:val="auto"/>
        </w:rPr>
        <w:t xml:space="preserve"> </w:t>
      </w:r>
      <w:r w:rsidR="00097D95">
        <w:rPr>
          <w:color w:val="auto"/>
        </w:rPr>
        <w:t>Esta cifra</w:t>
      </w:r>
      <w:r w:rsidRPr="00DC266D">
        <w:rPr>
          <w:color w:val="auto"/>
        </w:rPr>
        <w:t xml:space="preserve"> representó un aumento de 15.9 % respecto a 2020.</w:t>
      </w:r>
    </w:p>
    <w:p w14:paraId="2D09DE00" w14:textId="77777777" w:rsidR="00D87A83" w:rsidRDefault="00D87A83" w:rsidP="00D87A83">
      <w:pPr>
        <w:pStyle w:val="Default"/>
        <w:ind w:right="163"/>
        <w:jc w:val="both"/>
        <w:rPr>
          <w:color w:val="auto"/>
        </w:rPr>
      </w:pPr>
    </w:p>
    <w:p w14:paraId="6E966FF4" w14:textId="74F5D673" w:rsidR="00D87A83" w:rsidRPr="002D00F3" w:rsidRDefault="00D87A83" w:rsidP="00D87A83">
      <w:pPr>
        <w:pStyle w:val="Default"/>
        <w:jc w:val="center"/>
        <w:rPr>
          <w:color w:val="auto"/>
          <w:sz w:val="20"/>
          <w:szCs w:val="20"/>
        </w:rPr>
      </w:pPr>
      <w:r w:rsidRPr="002D00F3">
        <w:rPr>
          <w:color w:val="auto"/>
          <w:sz w:val="20"/>
          <w:szCs w:val="20"/>
        </w:rPr>
        <w:t xml:space="preserve">Gráfica </w:t>
      </w:r>
      <w:r w:rsidR="00097D95">
        <w:rPr>
          <w:color w:val="auto"/>
          <w:sz w:val="20"/>
          <w:szCs w:val="20"/>
        </w:rPr>
        <w:t>19</w:t>
      </w:r>
    </w:p>
    <w:p w14:paraId="4400A82A" w14:textId="77777777" w:rsidR="00851A50" w:rsidRDefault="00D87A83" w:rsidP="00D87A83">
      <w:pPr>
        <w:pStyle w:val="Default"/>
        <w:ind w:right="163"/>
        <w:jc w:val="center"/>
        <w:rPr>
          <w:b/>
          <w:bCs/>
          <w:iCs/>
          <w:smallCaps/>
          <w:color w:val="000000" w:themeColor="text1"/>
          <w:sz w:val="22"/>
          <w:szCs w:val="22"/>
        </w:rPr>
      </w:pPr>
      <w:r w:rsidRPr="004B55CD">
        <w:rPr>
          <w:b/>
          <w:bCs/>
          <w:iCs/>
          <w:smallCaps/>
          <w:color w:val="000000" w:themeColor="text1"/>
          <w:sz w:val="22"/>
          <w:szCs w:val="22"/>
        </w:rPr>
        <w:t xml:space="preserve">averiguaciones previas e investigaciones y carpetas de investigación </w:t>
      </w:r>
      <w:r w:rsidR="00097D95">
        <w:rPr>
          <w:b/>
          <w:bCs/>
          <w:iCs/>
          <w:smallCaps/>
          <w:color w:val="000000" w:themeColor="text1"/>
          <w:sz w:val="22"/>
          <w:szCs w:val="22"/>
        </w:rPr>
        <w:t>determinadas</w:t>
      </w:r>
      <w:r w:rsidR="00097D95" w:rsidRPr="004B55CD" w:rsidDel="00097D95">
        <w:rPr>
          <w:b/>
          <w:bCs/>
          <w:iCs/>
          <w:smallCaps/>
          <w:color w:val="000000" w:themeColor="text1"/>
          <w:sz w:val="22"/>
          <w:szCs w:val="22"/>
        </w:rPr>
        <w:t xml:space="preserve"> </w:t>
      </w:r>
    </w:p>
    <w:p w14:paraId="1C51C832" w14:textId="11B7673F" w:rsidR="00D87A83" w:rsidRDefault="00D87A83" w:rsidP="00D87A83">
      <w:pPr>
        <w:pStyle w:val="Default"/>
        <w:ind w:right="163"/>
        <w:jc w:val="center"/>
        <w:rPr>
          <w:b/>
          <w:bCs/>
          <w:iCs/>
          <w:smallCaps/>
          <w:color w:val="000000" w:themeColor="text1"/>
          <w:sz w:val="22"/>
          <w:szCs w:val="22"/>
        </w:rPr>
      </w:pPr>
      <w:r w:rsidRPr="004B55CD">
        <w:rPr>
          <w:b/>
          <w:bCs/>
          <w:iCs/>
          <w:smallCaps/>
          <w:color w:val="000000" w:themeColor="text1"/>
          <w:sz w:val="22"/>
          <w:szCs w:val="22"/>
        </w:rPr>
        <w:t xml:space="preserve">por la FGR y las FGE </w:t>
      </w:r>
    </w:p>
    <w:p w14:paraId="0879F704" w14:textId="7B6E9222" w:rsidR="00D87A83" w:rsidRDefault="008239F1" w:rsidP="00D87A83">
      <w:pPr>
        <w:pStyle w:val="Default"/>
        <w:ind w:right="163"/>
        <w:jc w:val="both"/>
        <w:rPr>
          <w:color w:val="auto"/>
        </w:rPr>
      </w:pPr>
      <w:r>
        <w:rPr>
          <w:noProof/>
        </w:rPr>
        <w:drawing>
          <wp:anchor distT="0" distB="0" distL="114300" distR="114300" simplePos="0" relativeHeight="251668480" behindDoc="0" locked="0" layoutInCell="1" allowOverlap="1" wp14:anchorId="0B6316B2" wp14:editId="5BECCB2B">
            <wp:simplePos x="0" y="0"/>
            <wp:positionH relativeFrom="page">
              <wp:posOffset>1630045</wp:posOffset>
            </wp:positionH>
            <wp:positionV relativeFrom="paragraph">
              <wp:posOffset>17145</wp:posOffset>
            </wp:positionV>
            <wp:extent cx="4657725" cy="1889125"/>
            <wp:effectExtent l="0" t="0" r="0" b="0"/>
            <wp:wrapSquare wrapText="bothSides"/>
            <wp:docPr id="47" name="Gráfico 47">
              <a:extLst xmlns:a="http://schemas.openxmlformats.org/drawingml/2006/main">
                <a:ext uri="{FF2B5EF4-FFF2-40B4-BE49-F238E27FC236}">
                  <a16:creationId xmlns:a16="http://schemas.microsoft.com/office/drawing/2014/main" id="{4055C956-D3F0-47DE-B0F3-E750569915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4A06078E" w14:textId="79242A10" w:rsidR="00D87A83" w:rsidRDefault="00D87A83" w:rsidP="00D87A83">
      <w:pPr>
        <w:pStyle w:val="Default"/>
        <w:ind w:right="163"/>
        <w:jc w:val="both"/>
        <w:rPr>
          <w:color w:val="auto"/>
        </w:rPr>
      </w:pPr>
    </w:p>
    <w:p w14:paraId="645CA7C7" w14:textId="77777777" w:rsidR="00D87A83" w:rsidRDefault="00D87A83" w:rsidP="00D87A83">
      <w:pPr>
        <w:pStyle w:val="Default"/>
        <w:ind w:right="163"/>
        <w:jc w:val="both"/>
        <w:rPr>
          <w:color w:val="auto"/>
        </w:rPr>
      </w:pPr>
    </w:p>
    <w:p w14:paraId="519D6B49" w14:textId="77777777" w:rsidR="00D87A83" w:rsidRDefault="00D87A83" w:rsidP="00D87A83">
      <w:pPr>
        <w:pStyle w:val="Default"/>
        <w:ind w:right="163"/>
        <w:jc w:val="both"/>
        <w:rPr>
          <w:color w:val="auto"/>
        </w:rPr>
      </w:pPr>
    </w:p>
    <w:p w14:paraId="1F29C23D" w14:textId="77777777" w:rsidR="00D87A83" w:rsidRDefault="00D87A83" w:rsidP="00D87A83">
      <w:pPr>
        <w:pStyle w:val="Default"/>
        <w:ind w:right="163"/>
        <w:jc w:val="both"/>
        <w:rPr>
          <w:color w:val="auto"/>
        </w:rPr>
      </w:pPr>
    </w:p>
    <w:p w14:paraId="200D5529" w14:textId="77777777" w:rsidR="00D87A83" w:rsidRDefault="00D87A83" w:rsidP="00D87A83">
      <w:pPr>
        <w:pStyle w:val="Default"/>
        <w:ind w:right="163"/>
        <w:jc w:val="both"/>
        <w:rPr>
          <w:color w:val="auto"/>
        </w:rPr>
      </w:pPr>
    </w:p>
    <w:p w14:paraId="3A88C5CF" w14:textId="77777777" w:rsidR="00D87A83" w:rsidRDefault="00D87A83" w:rsidP="00D87A83">
      <w:pPr>
        <w:pStyle w:val="Default"/>
        <w:ind w:right="163"/>
        <w:jc w:val="both"/>
        <w:rPr>
          <w:color w:val="auto"/>
        </w:rPr>
      </w:pPr>
    </w:p>
    <w:p w14:paraId="2C196DB8" w14:textId="77777777" w:rsidR="00D87A83" w:rsidRDefault="00D87A83" w:rsidP="00D87A83">
      <w:pPr>
        <w:pStyle w:val="Default"/>
        <w:ind w:right="163"/>
        <w:jc w:val="both"/>
        <w:rPr>
          <w:color w:val="auto"/>
        </w:rPr>
      </w:pPr>
    </w:p>
    <w:p w14:paraId="6692E550" w14:textId="77777777" w:rsidR="00D87A83" w:rsidRDefault="00D87A83" w:rsidP="00D87A83">
      <w:pPr>
        <w:pStyle w:val="Default"/>
        <w:ind w:right="163"/>
        <w:jc w:val="both"/>
        <w:rPr>
          <w:color w:val="auto"/>
        </w:rPr>
      </w:pPr>
    </w:p>
    <w:p w14:paraId="2C74141E" w14:textId="77777777" w:rsidR="00D87A83" w:rsidRDefault="00D87A83" w:rsidP="00D87A83">
      <w:pPr>
        <w:pStyle w:val="Default"/>
        <w:ind w:right="163"/>
        <w:jc w:val="both"/>
        <w:rPr>
          <w:color w:val="auto"/>
        </w:rPr>
      </w:pPr>
    </w:p>
    <w:p w14:paraId="7C348582" w14:textId="77777777" w:rsidR="00D87A83" w:rsidRDefault="00D87A83" w:rsidP="00D87A83">
      <w:pPr>
        <w:pStyle w:val="Default"/>
        <w:ind w:right="163"/>
        <w:jc w:val="both"/>
        <w:rPr>
          <w:color w:val="auto"/>
        </w:rPr>
      </w:pPr>
    </w:p>
    <w:p w14:paraId="10FBC759" w14:textId="1CB4AA51" w:rsidR="006C380C" w:rsidRDefault="006C380C" w:rsidP="006C380C">
      <w:pPr>
        <w:pStyle w:val="Default"/>
        <w:ind w:right="163"/>
        <w:jc w:val="both"/>
        <w:rPr>
          <w:sz w:val="16"/>
          <w:szCs w:val="16"/>
        </w:rPr>
      </w:pPr>
      <w:r>
        <w:rPr>
          <w:sz w:val="16"/>
          <w:szCs w:val="16"/>
        </w:rPr>
        <w:t>Nota: L</w:t>
      </w:r>
      <w:r w:rsidRPr="00562BD0">
        <w:rPr>
          <w:sz w:val="16"/>
          <w:szCs w:val="16"/>
        </w:rPr>
        <w:t xml:space="preserve">a categoría </w:t>
      </w:r>
      <w:bookmarkStart w:id="5" w:name="_Hlk116254236"/>
      <w:r w:rsidR="00D41A40">
        <w:rPr>
          <w:sz w:val="16"/>
          <w:szCs w:val="16"/>
        </w:rPr>
        <w:t>«</w:t>
      </w:r>
      <w:r w:rsidR="00D41A40">
        <w:rPr>
          <w:bCs/>
          <w:iCs/>
          <w:color w:val="000000" w:themeColor="text1"/>
          <w:sz w:val="16"/>
          <w:szCs w:val="16"/>
        </w:rPr>
        <w:t>Determinadas</w:t>
      </w:r>
      <w:r w:rsidR="00D41A40">
        <w:rPr>
          <w:sz w:val="16"/>
          <w:szCs w:val="16"/>
        </w:rPr>
        <w:t>»</w:t>
      </w:r>
      <w:r w:rsidR="00D41A40" w:rsidRPr="006B5811">
        <w:rPr>
          <w:bCs/>
          <w:iCs/>
          <w:color w:val="000000" w:themeColor="text1"/>
          <w:sz w:val="16"/>
          <w:szCs w:val="16"/>
        </w:rPr>
        <w:t xml:space="preserve"> </w:t>
      </w:r>
      <w:bookmarkEnd w:id="5"/>
      <w:r w:rsidRPr="00562BD0">
        <w:rPr>
          <w:sz w:val="16"/>
          <w:szCs w:val="16"/>
        </w:rPr>
        <w:t>incluye las determinaciones y/o conclusiones registradas en averiguaciones previas e investigaciones y en carpetas de investigación en etapa de investigación inicial.</w:t>
      </w:r>
    </w:p>
    <w:p w14:paraId="1DD2E323" w14:textId="42548CAD" w:rsidR="00DC6E40" w:rsidRDefault="00DC6E40" w:rsidP="00DC6E40">
      <w:pPr>
        <w:pStyle w:val="Default"/>
        <w:ind w:right="163"/>
        <w:jc w:val="both"/>
        <w:rPr>
          <w:color w:val="auto"/>
        </w:rPr>
      </w:pPr>
      <w:r w:rsidRPr="004B55CD">
        <w:rPr>
          <w:color w:val="auto"/>
        </w:rPr>
        <w:lastRenderedPageBreak/>
        <w:t>En el mismo periodo</w:t>
      </w:r>
      <w:r w:rsidR="00097D95">
        <w:rPr>
          <w:color w:val="auto"/>
        </w:rPr>
        <w:t>, las FGE</w:t>
      </w:r>
      <w:r w:rsidRPr="004B55CD">
        <w:rPr>
          <w:color w:val="auto"/>
        </w:rPr>
        <w:t xml:space="preserve"> cerraron 478 036 investigaciones y carpetas de investigación</w:t>
      </w:r>
      <w:r>
        <w:rPr>
          <w:color w:val="auto"/>
        </w:rPr>
        <w:t xml:space="preserve"> </w:t>
      </w:r>
      <w:r w:rsidRPr="004B55CD">
        <w:rPr>
          <w:color w:val="auto"/>
        </w:rPr>
        <w:t>(98.9 % para adultos y 1.1 % para adolescentes)</w:t>
      </w:r>
      <w:r w:rsidR="00097D95">
        <w:rPr>
          <w:color w:val="auto"/>
        </w:rPr>
        <w:t>.</w:t>
      </w:r>
      <w:r w:rsidRPr="004B55CD">
        <w:rPr>
          <w:color w:val="auto"/>
        </w:rPr>
        <w:t xml:space="preserve"> </w:t>
      </w:r>
      <w:r w:rsidR="00097D95">
        <w:rPr>
          <w:color w:val="auto"/>
        </w:rPr>
        <w:t>E</w:t>
      </w:r>
      <w:r w:rsidRPr="004B55CD">
        <w:rPr>
          <w:color w:val="auto"/>
        </w:rPr>
        <w:t>sta cantidad aumentó 325.6 % respecto a 202</w:t>
      </w:r>
      <w:r w:rsidR="003D0113">
        <w:rPr>
          <w:color w:val="auto"/>
        </w:rPr>
        <w:t>0</w:t>
      </w:r>
      <w:r w:rsidRPr="004B55CD">
        <w:rPr>
          <w:color w:val="auto"/>
        </w:rPr>
        <w:t xml:space="preserve">. </w:t>
      </w:r>
    </w:p>
    <w:p w14:paraId="3E607C73" w14:textId="77777777" w:rsidR="00DC6E40" w:rsidRDefault="00DC6E40" w:rsidP="00DC6E40">
      <w:pPr>
        <w:pStyle w:val="Default"/>
        <w:ind w:right="163"/>
        <w:jc w:val="both"/>
        <w:rPr>
          <w:color w:val="auto"/>
        </w:rPr>
      </w:pPr>
    </w:p>
    <w:p w14:paraId="16930D3D" w14:textId="7B2EC4AE" w:rsidR="00DC6E40" w:rsidRPr="002D00F3" w:rsidRDefault="00DC6E40" w:rsidP="00DC6E40">
      <w:pPr>
        <w:pStyle w:val="Default"/>
        <w:jc w:val="center"/>
        <w:rPr>
          <w:color w:val="auto"/>
          <w:sz w:val="20"/>
          <w:szCs w:val="20"/>
        </w:rPr>
      </w:pPr>
      <w:r w:rsidRPr="002D00F3">
        <w:rPr>
          <w:color w:val="auto"/>
          <w:sz w:val="20"/>
          <w:szCs w:val="20"/>
        </w:rPr>
        <w:t xml:space="preserve">Gráfica </w:t>
      </w:r>
      <w:r w:rsidR="008460DE">
        <w:rPr>
          <w:color w:val="auto"/>
          <w:sz w:val="20"/>
          <w:szCs w:val="20"/>
        </w:rPr>
        <w:t>2</w:t>
      </w:r>
      <w:r w:rsidR="00097D95">
        <w:rPr>
          <w:color w:val="auto"/>
          <w:sz w:val="20"/>
          <w:szCs w:val="20"/>
        </w:rPr>
        <w:t>0</w:t>
      </w:r>
    </w:p>
    <w:p w14:paraId="226F9F40" w14:textId="729CC870" w:rsidR="00DC6E40" w:rsidRDefault="001235AB" w:rsidP="00DC6E40">
      <w:pPr>
        <w:pStyle w:val="Default"/>
        <w:ind w:right="163"/>
        <w:jc w:val="center"/>
        <w:rPr>
          <w:b/>
          <w:bCs/>
          <w:iCs/>
          <w:smallCaps/>
          <w:color w:val="000000" w:themeColor="text1"/>
          <w:sz w:val="22"/>
          <w:szCs w:val="22"/>
        </w:rPr>
      </w:pPr>
      <w:r>
        <w:rPr>
          <w:b/>
          <w:bCs/>
          <w:iCs/>
          <w:smallCaps/>
          <w:color w:val="000000" w:themeColor="text1"/>
          <w:sz w:val="22"/>
          <w:szCs w:val="22"/>
        </w:rPr>
        <w:t>I</w:t>
      </w:r>
      <w:r w:rsidR="00DC6E40" w:rsidRPr="004B55CD">
        <w:rPr>
          <w:b/>
          <w:bCs/>
          <w:iCs/>
          <w:smallCaps/>
          <w:color w:val="000000" w:themeColor="text1"/>
          <w:sz w:val="22"/>
          <w:szCs w:val="22"/>
        </w:rPr>
        <w:t xml:space="preserve">nvestigaciones y carpetas de investigación </w:t>
      </w:r>
      <w:r w:rsidR="00097D95">
        <w:rPr>
          <w:b/>
          <w:bCs/>
          <w:iCs/>
          <w:smallCaps/>
          <w:color w:val="000000" w:themeColor="text1"/>
          <w:sz w:val="22"/>
          <w:szCs w:val="22"/>
        </w:rPr>
        <w:t>cerradas</w:t>
      </w:r>
      <w:r w:rsidR="00097D95" w:rsidRPr="004B55CD" w:rsidDel="00097D95">
        <w:rPr>
          <w:b/>
          <w:bCs/>
          <w:iCs/>
          <w:smallCaps/>
          <w:color w:val="000000" w:themeColor="text1"/>
          <w:sz w:val="22"/>
          <w:szCs w:val="22"/>
        </w:rPr>
        <w:t xml:space="preserve"> </w:t>
      </w:r>
      <w:r w:rsidR="00DC6E40" w:rsidRPr="004B55CD">
        <w:rPr>
          <w:b/>
          <w:bCs/>
          <w:iCs/>
          <w:smallCaps/>
          <w:color w:val="000000" w:themeColor="text1"/>
          <w:sz w:val="22"/>
          <w:szCs w:val="22"/>
        </w:rPr>
        <w:t xml:space="preserve">por las FGE </w:t>
      </w:r>
    </w:p>
    <w:p w14:paraId="2F3D15AB" w14:textId="77777777" w:rsidR="00DC6E40" w:rsidRDefault="00DC6E40" w:rsidP="00DC6E40">
      <w:pPr>
        <w:pStyle w:val="Default"/>
        <w:ind w:right="163"/>
        <w:jc w:val="both"/>
        <w:rPr>
          <w:color w:val="auto"/>
        </w:rPr>
      </w:pPr>
    </w:p>
    <w:p w14:paraId="55751C88" w14:textId="77777777" w:rsidR="00DC6E40" w:rsidRDefault="00DC6E40" w:rsidP="00DC6E40">
      <w:pPr>
        <w:pStyle w:val="Default"/>
        <w:ind w:right="163"/>
        <w:jc w:val="both"/>
        <w:rPr>
          <w:color w:val="auto"/>
        </w:rPr>
      </w:pPr>
      <w:r>
        <w:rPr>
          <w:noProof/>
        </w:rPr>
        <w:drawing>
          <wp:anchor distT="0" distB="0" distL="114300" distR="114300" simplePos="0" relativeHeight="251670528" behindDoc="0" locked="0" layoutInCell="1" allowOverlap="1" wp14:anchorId="78A5D3F6" wp14:editId="0CC175E3">
            <wp:simplePos x="0" y="0"/>
            <wp:positionH relativeFrom="margin">
              <wp:align>center</wp:align>
            </wp:positionH>
            <wp:positionV relativeFrom="paragraph">
              <wp:posOffset>4445</wp:posOffset>
            </wp:positionV>
            <wp:extent cx="4580255" cy="2389505"/>
            <wp:effectExtent l="0" t="0" r="0" b="0"/>
            <wp:wrapSquare wrapText="bothSides"/>
            <wp:docPr id="14" name="Gráfico 14">
              <a:extLst xmlns:a="http://schemas.openxmlformats.org/drawingml/2006/main">
                <a:ext uri="{FF2B5EF4-FFF2-40B4-BE49-F238E27FC236}">
                  <a16:creationId xmlns:a16="http://schemas.microsoft.com/office/drawing/2014/main" id="{89F7018B-12B0-4D8D-8C7A-BF42F8A6BB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08D47E54" w14:textId="77777777" w:rsidR="00DC6E40" w:rsidRDefault="00DC6E40" w:rsidP="00DC6E40">
      <w:pPr>
        <w:pStyle w:val="Default"/>
        <w:ind w:right="163"/>
        <w:jc w:val="both"/>
        <w:rPr>
          <w:color w:val="auto"/>
        </w:rPr>
      </w:pPr>
    </w:p>
    <w:p w14:paraId="5AFF05BA" w14:textId="77777777" w:rsidR="00DC6E40" w:rsidRDefault="00DC6E40" w:rsidP="00DC6E40">
      <w:pPr>
        <w:pStyle w:val="Default"/>
        <w:ind w:right="163"/>
        <w:jc w:val="both"/>
        <w:rPr>
          <w:color w:val="auto"/>
        </w:rPr>
      </w:pPr>
    </w:p>
    <w:p w14:paraId="048B86AB" w14:textId="77777777" w:rsidR="00DC6E40" w:rsidRDefault="00DC6E40" w:rsidP="00DC6E40">
      <w:pPr>
        <w:pStyle w:val="Default"/>
        <w:ind w:right="163"/>
        <w:jc w:val="both"/>
        <w:rPr>
          <w:color w:val="auto"/>
        </w:rPr>
      </w:pPr>
    </w:p>
    <w:p w14:paraId="77B9F648" w14:textId="77777777" w:rsidR="00DC6E40" w:rsidRDefault="00DC6E40" w:rsidP="00DC6E40">
      <w:pPr>
        <w:pStyle w:val="Default"/>
        <w:ind w:right="163"/>
        <w:jc w:val="both"/>
        <w:rPr>
          <w:color w:val="auto"/>
        </w:rPr>
      </w:pPr>
    </w:p>
    <w:p w14:paraId="342A0FC8" w14:textId="77777777" w:rsidR="00DC6E40" w:rsidRDefault="00DC6E40" w:rsidP="00DC6E40">
      <w:pPr>
        <w:pStyle w:val="Default"/>
        <w:ind w:right="163"/>
        <w:jc w:val="both"/>
        <w:rPr>
          <w:color w:val="auto"/>
        </w:rPr>
      </w:pPr>
    </w:p>
    <w:p w14:paraId="4CAC4D96" w14:textId="77777777" w:rsidR="00DC6E40" w:rsidRDefault="00DC6E40" w:rsidP="00DC6E40">
      <w:pPr>
        <w:pStyle w:val="Default"/>
        <w:ind w:right="163"/>
        <w:jc w:val="both"/>
        <w:rPr>
          <w:color w:val="auto"/>
        </w:rPr>
      </w:pPr>
    </w:p>
    <w:p w14:paraId="09295CD8" w14:textId="77777777" w:rsidR="00DC6E40" w:rsidRDefault="00DC6E40" w:rsidP="00DC6E40">
      <w:pPr>
        <w:pStyle w:val="Default"/>
        <w:ind w:right="163"/>
        <w:jc w:val="both"/>
        <w:rPr>
          <w:color w:val="auto"/>
        </w:rPr>
      </w:pPr>
    </w:p>
    <w:p w14:paraId="12DB8CC9" w14:textId="77777777" w:rsidR="00DC6E40" w:rsidRDefault="00DC6E40" w:rsidP="00DC6E40">
      <w:pPr>
        <w:pStyle w:val="Default"/>
        <w:ind w:right="163"/>
        <w:jc w:val="both"/>
        <w:rPr>
          <w:color w:val="auto"/>
        </w:rPr>
      </w:pPr>
    </w:p>
    <w:p w14:paraId="0BB4A4FC" w14:textId="77777777" w:rsidR="00DC6E40" w:rsidRDefault="00DC6E40" w:rsidP="00DC6E40">
      <w:pPr>
        <w:pStyle w:val="Default"/>
        <w:ind w:right="163"/>
        <w:jc w:val="both"/>
        <w:rPr>
          <w:color w:val="auto"/>
        </w:rPr>
      </w:pPr>
    </w:p>
    <w:p w14:paraId="2C2A003C" w14:textId="77777777" w:rsidR="00DC6E40" w:rsidRDefault="00DC6E40" w:rsidP="00DC6E40">
      <w:pPr>
        <w:pStyle w:val="Default"/>
        <w:ind w:right="163"/>
        <w:jc w:val="both"/>
        <w:rPr>
          <w:color w:val="auto"/>
        </w:rPr>
      </w:pPr>
    </w:p>
    <w:p w14:paraId="6257C979" w14:textId="77777777" w:rsidR="00DC6E40" w:rsidRDefault="00DC6E40" w:rsidP="00DC6E40">
      <w:pPr>
        <w:pStyle w:val="Default"/>
        <w:ind w:right="163"/>
        <w:jc w:val="both"/>
        <w:rPr>
          <w:color w:val="auto"/>
        </w:rPr>
      </w:pPr>
    </w:p>
    <w:p w14:paraId="5CD91254" w14:textId="40D810AF" w:rsidR="00DC6E40" w:rsidRDefault="00DC6E40" w:rsidP="00DC6E40">
      <w:pPr>
        <w:pStyle w:val="Default"/>
        <w:ind w:right="163"/>
        <w:jc w:val="both"/>
        <w:rPr>
          <w:color w:val="auto"/>
        </w:rPr>
      </w:pPr>
    </w:p>
    <w:p w14:paraId="3C04E42A" w14:textId="22B1E9E3" w:rsidR="00891151" w:rsidRDefault="00891151" w:rsidP="00DC6E40">
      <w:pPr>
        <w:pStyle w:val="Default"/>
        <w:ind w:right="163"/>
        <w:jc w:val="both"/>
        <w:rPr>
          <w:color w:val="auto"/>
        </w:rPr>
      </w:pPr>
    </w:p>
    <w:p w14:paraId="1E668002" w14:textId="5D499EB2" w:rsidR="00891151" w:rsidRDefault="00891151" w:rsidP="00DC6E40">
      <w:pPr>
        <w:pStyle w:val="Default"/>
        <w:ind w:right="163"/>
        <w:jc w:val="both"/>
        <w:rPr>
          <w:color w:val="auto"/>
        </w:rPr>
      </w:pPr>
    </w:p>
    <w:p w14:paraId="54EEF333" w14:textId="5BBCEABE" w:rsidR="00891151" w:rsidRDefault="006C380C" w:rsidP="00891151">
      <w:pPr>
        <w:pStyle w:val="Textonotapie"/>
        <w:jc w:val="both"/>
      </w:pPr>
      <w:r>
        <w:rPr>
          <w:rFonts w:ascii="Arial" w:hAnsi="Arial" w:cs="Arial"/>
          <w:sz w:val="16"/>
          <w:szCs w:val="16"/>
        </w:rPr>
        <w:t xml:space="preserve">Nota: </w:t>
      </w:r>
      <w:r w:rsidR="00891151" w:rsidRPr="005C4172">
        <w:rPr>
          <w:rFonts w:ascii="Arial" w:hAnsi="Arial" w:cs="Arial"/>
          <w:sz w:val="16"/>
          <w:szCs w:val="16"/>
        </w:rPr>
        <w:t xml:space="preserve">La categoría </w:t>
      </w:r>
      <w:r w:rsidR="00D41A40" w:rsidRPr="00D41A40">
        <w:rPr>
          <w:rFonts w:ascii="Arial" w:hAnsi="Arial" w:cs="Arial"/>
          <w:sz w:val="16"/>
          <w:szCs w:val="16"/>
        </w:rPr>
        <w:t>«</w:t>
      </w:r>
      <w:r w:rsidR="00D41A40">
        <w:rPr>
          <w:rFonts w:ascii="Arial" w:hAnsi="Arial" w:cs="Arial"/>
          <w:sz w:val="16"/>
          <w:szCs w:val="16"/>
        </w:rPr>
        <w:t>Cerradas</w:t>
      </w:r>
      <w:r w:rsidR="00D41A40" w:rsidRPr="00D41A40">
        <w:rPr>
          <w:rFonts w:ascii="Arial" w:hAnsi="Arial" w:cs="Arial"/>
          <w:sz w:val="16"/>
          <w:szCs w:val="16"/>
        </w:rPr>
        <w:t xml:space="preserve">» </w:t>
      </w:r>
      <w:r w:rsidR="00891151" w:rsidRPr="005C4172">
        <w:rPr>
          <w:rFonts w:ascii="Arial" w:hAnsi="Arial" w:cs="Arial"/>
          <w:sz w:val="16"/>
          <w:szCs w:val="16"/>
        </w:rPr>
        <w:t xml:space="preserve">se refiere a las determinaciones y/o conclusiones registradas en </w:t>
      </w:r>
      <w:r w:rsidR="001235AB">
        <w:rPr>
          <w:rFonts w:ascii="Arial" w:hAnsi="Arial" w:cs="Arial"/>
          <w:sz w:val="16"/>
          <w:szCs w:val="16"/>
        </w:rPr>
        <w:t xml:space="preserve">las investigaciones del sistema oral de justicia para adolescentes y en las </w:t>
      </w:r>
      <w:r w:rsidR="00891151" w:rsidRPr="005C4172">
        <w:rPr>
          <w:rFonts w:ascii="Arial" w:hAnsi="Arial" w:cs="Arial"/>
          <w:sz w:val="16"/>
          <w:szCs w:val="16"/>
        </w:rPr>
        <w:t>carpetas de investigación en etapa de investigación complementaria</w:t>
      </w:r>
      <w:r w:rsidR="001235AB">
        <w:rPr>
          <w:rFonts w:ascii="Arial" w:hAnsi="Arial" w:cs="Arial"/>
          <w:sz w:val="16"/>
          <w:szCs w:val="16"/>
        </w:rPr>
        <w:t xml:space="preserve"> (adultos y adolescentes)</w:t>
      </w:r>
      <w:r w:rsidR="00891151" w:rsidRPr="005C4172">
        <w:rPr>
          <w:rFonts w:ascii="Arial" w:hAnsi="Arial" w:cs="Arial"/>
          <w:sz w:val="16"/>
          <w:szCs w:val="16"/>
        </w:rPr>
        <w:t xml:space="preserve">. </w:t>
      </w:r>
    </w:p>
    <w:p w14:paraId="6AEEEF08" w14:textId="77777777" w:rsidR="00DC6E40" w:rsidRDefault="00DC6E40" w:rsidP="00DC6E40">
      <w:pPr>
        <w:pStyle w:val="Default"/>
        <w:ind w:right="163"/>
        <w:jc w:val="both"/>
        <w:rPr>
          <w:color w:val="auto"/>
        </w:rPr>
      </w:pPr>
    </w:p>
    <w:p w14:paraId="6B54E596" w14:textId="2EE209E2" w:rsidR="00DC6E40" w:rsidRDefault="00097D95" w:rsidP="00DC6E40">
      <w:pPr>
        <w:pStyle w:val="Default"/>
        <w:ind w:right="163"/>
        <w:jc w:val="both"/>
        <w:rPr>
          <w:color w:val="auto"/>
        </w:rPr>
      </w:pPr>
      <w:r>
        <w:rPr>
          <w:color w:val="auto"/>
        </w:rPr>
        <w:t xml:space="preserve">Finalmente, las </w:t>
      </w:r>
      <w:r w:rsidR="00851A50">
        <w:rPr>
          <w:color w:val="auto"/>
        </w:rPr>
        <w:t>f</w:t>
      </w:r>
      <w:r>
        <w:rPr>
          <w:color w:val="auto"/>
        </w:rPr>
        <w:t xml:space="preserve">iscalías </w:t>
      </w:r>
      <w:r w:rsidRPr="004B55CD">
        <w:rPr>
          <w:color w:val="auto"/>
        </w:rPr>
        <w:t>reportaron</w:t>
      </w:r>
      <w:r>
        <w:rPr>
          <w:color w:val="auto"/>
        </w:rPr>
        <w:t xml:space="preserve"> un total de</w:t>
      </w:r>
      <w:r w:rsidRPr="004B55CD">
        <w:rPr>
          <w:color w:val="auto"/>
        </w:rPr>
        <w:t xml:space="preserve"> 2 629 790 </w:t>
      </w:r>
      <w:r w:rsidR="00DC6E40" w:rsidRPr="004B55CD">
        <w:rPr>
          <w:color w:val="auto"/>
        </w:rPr>
        <w:t xml:space="preserve">averiguaciones previas e investigaciones y carpetas de investigación pendientes de concluir (1.9 % para la FGR y </w:t>
      </w:r>
      <w:r w:rsidR="00DB4957">
        <w:rPr>
          <w:color w:val="auto"/>
        </w:rPr>
        <w:t xml:space="preserve">            </w:t>
      </w:r>
      <w:r w:rsidR="00DC6E40" w:rsidRPr="004B55CD">
        <w:rPr>
          <w:color w:val="auto"/>
        </w:rPr>
        <w:t>98.1 % para las FGE)</w:t>
      </w:r>
      <w:r>
        <w:rPr>
          <w:color w:val="auto"/>
        </w:rPr>
        <w:t>.</w:t>
      </w:r>
      <w:r w:rsidR="00DC6E40" w:rsidRPr="004B55CD">
        <w:rPr>
          <w:color w:val="auto"/>
        </w:rPr>
        <w:t xml:space="preserve"> </w:t>
      </w:r>
      <w:r>
        <w:rPr>
          <w:color w:val="auto"/>
        </w:rPr>
        <w:t>Esto</w:t>
      </w:r>
      <w:r w:rsidR="00DC6E40" w:rsidRPr="004B55CD">
        <w:rPr>
          <w:color w:val="auto"/>
        </w:rPr>
        <w:t xml:space="preserve"> representó un aumento de 4.8 % respecto a 202</w:t>
      </w:r>
      <w:r w:rsidR="00B6156C">
        <w:rPr>
          <w:color w:val="auto"/>
        </w:rPr>
        <w:t>0</w:t>
      </w:r>
      <w:r w:rsidR="00DC6E40" w:rsidRPr="004B55CD">
        <w:rPr>
          <w:color w:val="auto"/>
        </w:rPr>
        <w:t>.</w:t>
      </w:r>
    </w:p>
    <w:p w14:paraId="32F8AA0C" w14:textId="77777777" w:rsidR="00DC6E40" w:rsidRDefault="00DC6E40" w:rsidP="00DC6E40">
      <w:pPr>
        <w:pStyle w:val="Default"/>
        <w:ind w:right="163"/>
        <w:jc w:val="both"/>
        <w:rPr>
          <w:color w:val="auto"/>
        </w:rPr>
      </w:pPr>
    </w:p>
    <w:p w14:paraId="08A06042" w14:textId="5E07D999" w:rsidR="00DC6E40" w:rsidRPr="002D00F3" w:rsidRDefault="00DC6E40" w:rsidP="00DC6E40">
      <w:pPr>
        <w:pStyle w:val="Default"/>
        <w:jc w:val="center"/>
        <w:rPr>
          <w:color w:val="auto"/>
          <w:sz w:val="20"/>
          <w:szCs w:val="20"/>
        </w:rPr>
      </w:pPr>
      <w:r w:rsidRPr="002D00F3">
        <w:rPr>
          <w:color w:val="auto"/>
          <w:sz w:val="20"/>
          <w:szCs w:val="20"/>
        </w:rPr>
        <w:t xml:space="preserve">Gráfica </w:t>
      </w:r>
      <w:r w:rsidR="008239F1">
        <w:rPr>
          <w:color w:val="auto"/>
          <w:sz w:val="20"/>
          <w:szCs w:val="20"/>
        </w:rPr>
        <w:t>2</w:t>
      </w:r>
      <w:r w:rsidR="00097D95">
        <w:rPr>
          <w:color w:val="auto"/>
          <w:sz w:val="20"/>
          <w:szCs w:val="20"/>
        </w:rPr>
        <w:t>1</w:t>
      </w:r>
    </w:p>
    <w:p w14:paraId="0B998BE9" w14:textId="7014A3C5" w:rsidR="00DC6E40" w:rsidRDefault="00DC6E40" w:rsidP="00DC6E40">
      <w:pPr>
        <w:pStyle w:val="Default"/>
        <w:ind w:right="163"/>
        <w:jc w:val="center"/>
        <w:rPr>
          <w:color w:val="auto"/>
        </w:rPr>
      </w:pPr>
      <w:r w:rsidRPr="004B55CD">
        <w:rPr>
          <w:b/>
          <w:bCs/>
          <w:iCs/>
          <w:smallCaps/>
          <w:color w:val="000000" w:themeColor="text1"/>
          <w:sz w:val="22"/>
          <w:szCs w:val="22"/>
        </w:rPr>
        <w:t xml:space="preserve">averiguaciones previas e investigaciones y carpetas de investigación </w:t>
      </w:r>
      <w:r w:rsidR="00097D95">
        <w:rPr>
          <w:b/>
          <w:bCs/>
          <w:iCs/>
          <w:smallCaps/>
          <w:color w:val="000000" w:themeColor="text1"/>
          <w:sz w:val="22"/>
          <w:szCs w:val="22"/>
        </w:rPr>
        <w:t>pendientes de concluir</w:t>
      </w:r>
      <w:r w:rsidR="00097D95" w:rsidRPr="004B55CD" w:rsidDel="00097D95">
        <w:rPr>
          <w:b/>
          <w:bCs/>
          <w:iCs/>
          <w:smallCaps/>
          <w:color w:val="000000" w:themeColor="text1"/>
          <w:sz w:val="22"/>
          <w:szCs w:val="22"/>
        </w:rPr>
        <w:t xml:space="preserve"> </w:t>
      </w:r>
      <w:r w:rsidRPr="004B55CD">
        <w:rPr>
          <w:b/>
          <w:bCs/>
          <w:iCs/>
          <w:smallCaps/>
          <w:color w:val="000000" w:themeColor="text1"/>
          <w:sz w:val="22"/>
          <w:szCs w:val="22"/>
        </w:rPr>
        <w:t xml:space="preserve">por la FGR y las FGE </w:t>
      </w:r>
    </w:p>
    <w:p w14:paraId="1C992B82" w14:textId="77777777" w:rsidR="00DC6E40" w:rsidRDefault="00DC6E40" w:rsidP="00DC6E40">
      <w:pPr>
        <w:pStyle w:val="Default"/>
        <w:ind w:right="163"/>
        <w:jc w:val="both"/>
        <w:rPr>
          <w:color w:val="auto"/>
        </w:rPr>
      </w:pPr>
      <w:r>
        <w:rPr>
          <w:noProof/>
        </w:rPr>
        <w:drawing>
          <wp:anchor distT="0" distB="0" distL="114300" distR="114300" simplePos="0" relativeHeight="251671552" behindDoc="0" locked="0" layoutInCell="1" allowOverlap="1" wp14:anchorId="74D44021" wp14:editId="5C9F3950">
            <wp:simplePos x="0" y="0"/>
            <wp:positionH relativeFrom="page">
              <wp:posOffset>1264920</wp:posOffset>
            </wp:positionH>
            <wp:positionV relativeFrom="paragraph">
              <wp:posOffset>37465</wp:posOffset>
            </wp:positionV>
            <wp:extent cx="5193030" cy="2200910"/>
            <wp:effectExtent l="0" t="0" r="7620" b="8890"/>
            <wp:wrapSquare wrapText="bothSides"/>
            <wp:docPr id="54" name="Gráfico 54">
              <a:extLst xmlns:a="http://schemas.openxmlformats.org/drawingml/2006/main">
                <a:ext uri="{FF2B5EF4-FFF2-40B4-BE49-F238E27FC236}">
                  <a16:creationId xmlns:a16="http://schemas.microsoft.com/office/drawing/2014/main" id="{99E6C099-9D8D-4798-8688-11CE61D45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3B26E71B" w14:textId="77777777" w:rsidR="00DC6E40" w:rsidRDefault="00DC6E40" w:rsidP="00DC6E40">
      <w:pPr>
        <w:pStyle w:val="Default"/>
        <w:ind w:right="163"/>
        <w:jc w:val="both"/>
        <w:rPr>
          <w:color w:val="auto"/>
        </w:rPr>
      </w:pPr>
    </w:p>
    <w:p w14:paraId="5E7CB838" w14:textId="77777777" w:rsidR="00DC6E40" w:rsidRDefault="00DC6E40" w:rsidP="00DC6E40">
      <w:pPr>
        <w:pStyle w:val="Default"/>
        <w:ind w:right="163"/>
        <w:jc w:val="both"/>
        <w:rPr>
          <w:color w:val="auto"/>
        </w:rPr>
      </w:pPr>
    </w:p>
    <w:p w14:paraId="71B42C22" w14:textId="77777777" w:rsidR="00DC6E40" w:rsidRDefault="00DC6E40" w:rsidP="00DC6E40">
      <w:pPr>
        <w:pStyle w:val="Default"/>
        <w:ind w:right="163"/>
        <w:jc w:val="both"/>
        <w:rPr>
          <w:color w:val="auto"/>
        </w:rPr>
      </w:pPr>
    </w:p>
    <w:p w14:paraId="280E14DB" w14:textId="77777777" w:rsidR="00DC6E40" w:rsidRDefault="00DC6E40" w:rsidP="00DC6E40">
      <w:pPr>
        <w:pStyle w:val="Default"/>
        <w:ind w:right="163"/>
        <w:jc w:val="both"/>
        <w:rPr>
          <w:color w:val="auto"/>
        </w:rPr>
      </w:pPr>
    </w:p>
    <w:p w14:paraId="3F42DCD1" w14:textId="77777777" w:rsidR="00DC6E40" w:rsidRDefault="00DC6E40" w:rsidP="00DC6E40">
      <w:pPr>
        <w:pStyle w:val="Default"/>
        <w:ind w:right="163"/>
        <w:jc w:val="both"/>
        <w:rPr>
          <w:color w:val="auto"/>
        </w:rPr>
      </w:pPr>
    </w:p>
    <w:p w14:paraId="031E0DCE" w14:textId="77777777" w:rsidR="00DC6E40" w:rsidRDefault="00DC6E40" w:rsidP="00DC6E40">
      <w:pPr>
        <w:pStyle w:val="Default"/>
        <w:ind w:right="163"/>
        <w:jc w:val="both"/>
        <w:rPr>
          <w:color w:val="auto"/>
        </w:rPr>
      </w:pPr>
    </w:p>
    <w:p w14:paraId="33043D14" w14:textId="77777777" w:rsidR="00DC6E40" w:rsidRDefault="00DC6E40" w:rsidP="00DC6E40">
      <w:pPr>
        <w:pStyle w:val="Default"/>
        <w:ind w:right="163"/>
        <w:jc w:val="both"/>
        <w:rPr>
          <w:color w:val="auto"/>
        </w:rPr>
      </w:pPr>
    </w:p>
    <w:p w14:paraId="44A7E64F" w14:textId="77777777" w:rsidR="00DC6E40" w:rsidRDefault="00DC6E40" w:rsidP="00DC6E40">
      <w:pPr>
        <w:pStyle w:val="Default"/>
        <w:ind w:right="163"/>
        <w:jc w:val="both"/>
        <w:rPr>
          <w:color w:val="auto"/>
        </w:rPr>
      </w:pPr>
    </w:p>
    <w:p w14:paraId="783B3E76" w14:textId="77777777" w:rsidR="00DC6E40" w:rsidRDefault="00DC6E40" w:rsidP="00DC6E40">
      <w:pPr>
        <w:pStyle w:val="Default"/>
        <w:ind w:right="163"/>
        <w:jc w:val="both"/>
        <w:rPr>
          <w:color w:val="auto"/>
        </w:rPr>
      </w:pPr>
    </w:p>
    <w:p w14:paraId="13D825F0" w14:textId="77777777" w:rsidR="00DC6E40" w:rsidRDefault="00DC6E40" w:rsidP="00DC6E40">
      <w:pPr>
        <w:pStyle w:val="Default"/>
        <w:ind w:right="163"/>
        <w:jc w:val="both"/>
        <w:rPr>
          <w:color w:val="auto"/>
        </w:rPr>
      </w:pPr>
    </w:p>
    <w:p w14:paraId="30EDDA40" w14:textId="77777777" w:rsidR="00D41818" w:rsidRDefault="00D41818" w:rsidP="00DC6E40">
      <w:pPr>
        <w:pStyle w:val="Default"/>
        <w:ind w:right="163"/>
        <w:rPr>
          <w:sz w:val="16"/>
          <w:szCs w:val="16"/>
        </w:rPr>
      </w:pPr>
    </w:p>
    <w:p w14:paraId="1BCE3A39" w14:textId="77777777" w:rsidR="00D41818" w:rsidRDefault="00D41818" w:rsidP="00DC6E40">
      <w:pPr>
        <w:pStyle w:val="Default"/>
        <w:ind w:right="163"/>
        <w:rPr>
          <w:sz w:val="16"/>
          <w:szCs w:val="16"/>
        </w:rPr>
      </w:pPr>
    </w:p>
    <w:p w14:paraId="2E7A8363" w14:textId="77777777" w:rsidR="00D41818" w:rsidRDefault="00D41818" w:rsidP="00DC6E40">
      <w:pPr>
        <w:pStyle w:val="Default"/>
        <w:ind w:right="163"/>
        <w:rPr>
          <w:sz w:val="16"/>
          <w:szCs w:val="16"/>
        </w:rPr>
      </w:pPr>
    </w:p>
    <w:p w14:paraId="66341F68" w14:textId="7790AEAE" w:rsidR="00DC6E40" w:rsidRDefault="006C380C" w:rsidP="00D41818">
      <w:pPr>
        <w:pStyle w:val="Default"/>
        <w:ind w:right="163"/>
        <w:jc w:val="both"/>
        <w:rPr>
          <w:sz w:val="16"/>
          <w:szCs w:val="16"/>
        </w:rPr>
      </w:pPr>
      <w:r>
        <w:rPr>
          <w:sz w:val="16"/>
          <w:szCs w:val="16"/>
        </w:rPr>
        <w:t xml:space="preserve">Nota: </w:t>
      </w:r>
      <w:r w:rsidR="00DC6E40" w:rsidRPr="00BB741D">
        <w:rPr>
          <w:sz w:val="16"/>
          <w:szCs w:val="16"/>
        </w:rPr>
        <w:t xml:space="preserve">La categoría </w:t>
      </w:r>
      <w:r w:rsidR="00D41A40">
        <w:rPr>
          <w:sz w:val="16"/>
          <w:szCs w:val="16"/>
        </w:rPr>
        <w:t>«</w:t>
      </w:r>
      <w:r w:rsidR="00D41A40">
        <w:rPr>
          <w:bCs/>
          <w:iCs/>
          <w:color w:val="000000" w:themeColor="text1"/>
          <w:sz w:val="16"/>
          <w:szCs w:val="16"/>
        </w:rPr>
        <w:t>Pendientes</w:t>
      </w:r>
      <w:r w:rsidR="00D41A40">
        <w:rPr>
          <w:sz w:val="16"/>
          <w:szCs w:val="16"/>
        </w:rPr>
        <w:t>»</w:t>
      </w:r>
      <w:r w:rsidR="00DC6E40" w:rsidRPr="00BB741D">
        <w:rPr>
          <w:sz w:val="16"/>
          <w:szCs w:val="16"/>
        </w:rPr>
        <w:t xml:space="preserve"> se refiere al estatus de los procedimientos en las averiguaciones previas, investigaciones y carpetas de investigación (tanto en la etapa de investigación inicial como en la etapa de investigación complementaria) pendientes de concluir. La información puede corresponder a las pendientes de concluir que </w:t>
      </w:r>
      <w:r w:rsidR="0056525F">
        <w:rPr>
          <w:sz w:val="16"/>
          <w:szCs w:val="16"/>
        </w:rPr>
        <w:t xml:space="preserve">se abrieron </w:t>
      </w:r>
      <w:r w:rsidR="00DC6E40" w:rsidRPr="00BB741D">
        <w:rPr>
          <w:sz w:val="16"/>
          <w:szCs w:val="16"/>
        </w:rPr>
        <w:t xml:space="preserve">en 2021 o </w:t>
      </w:r>
      <w:r w:rsidR="0056525F">
        <w:rPr>
          <w:sz w:val="16"/>
          <w:szCs w:val="16"/>
        </w:rPr>
        <w:t xml:space="preserve">en </w:t>
      </w:r>
      <w:r w:rsidR="00DC6E40" w:rsidRPr="00BB741D">
        <w:rPr>
          <w:sz w:val="16"/>
          <w:szCs w:val="16"/>
        </w:rPr>
        <w:t>años anteriores.</w:t>
      </w:r>
    </w:p>
    <w:p w14:paraId="37901170" w14:textId="2CF9B60D" w:rsidR="009819FA" w:rsidRDefault="009819FA" w:rsidP="00DC6E40">
      <w:pPr>
        <w:pStyle w:val="Default"/>
        <w:ind w:right="163"/>
        <w:rPr>
          <w:sz w:val="16"/>
          <w:szCs w:val="16"/>
        </w:rPr>
      </w:pPr>
    </w:p>
    <w:p w14:paraId="02C9EBB1" w14:textId="77777777" w:rsidR="009819FA" w:rsidRPr="00BB741D" w:rsidRDefault="009819FA" w:rsidP="00DC6E40">
      <w:pPr>
        <w:pStyle w:val="Default"/>
        <w:ind w:right="163"/>
        <w:rPr>
          <w:sz w:val="16"/>
          <w:szCs w:val="16"/>
        </w:rPr>
      </w:pPr>
    </w:p>
    <w:p w14:paraId="08E9C4D9" w14:textId="12393F54" w:rsidR="007F6BE4" w:rsidRDefault="00404DFF" w:rsidP="007F6BE4">
      <w:pPr>
        <w:pStyle w:val="Default"/>
        <w:ind w:right="163"/>
        <w:jc w:val="both"/>
        <w:rPr>
          <w:color w:val="auto"/>
        </w:rPr>
      </w:pPr>
      <w:r>
        <w:rPr>
          <w:color w:val="auto"/>
        </w:rPr>
        <w:t>L</w:t>
      </w:r>
      <w:r w:rsidR="00097D95">
        <w:rPr>
          <w:color w:val="auto"/>
        </w:rPr>
        <w:t xml:space="preserve">a siguiente tabla </w:t>
      </w:r>
      <w:r>
        <w:rPr>
          <w:color w:val="auto"/>
        </w:rPr>
        <w:t xml:space="preserve">resume </w:t>
      </w:r>
      <w:r w:rsidR="00097D95">
        <w:rPr>
          <w:color w:val="auto"/>
        </w:rPr>
        <w:t>el flujo de averiguaciones previas e investigaciones y carpetas de investigación</w:t>
      </w:r>
      <w:r w:rsidR="0056525F" w:rsidRPr="0056525F">
        <w:rPr>
          <w:color w:val="auto"/>
        </w:rPr>
        <w:t xml:space="preserve"> </w:t>
      </w:r>
      <w:r w:rsidR="0056525F">
        <w:rPr>
          <w:color w:val="auto"/>
        </w:rPr>
        <w:t>en 2021 para cada fiscalía</w:t>
      </w:r>
      <w:r w:rsidR="00097D95">
        <w:rPr>
          <w:color w:val="auto"/>
        </w:rPr>
        <w:t>, según su estatus procesal.</w:t>
      </w:r>
    </w:p>
    <w:p w14:paraId="0B31706F" w14:textId="77777777" w:rsidR="007F6BE4" w:rsidRDefault="007F6BE4" w:rsidP="007F6BE4">
      <w:pPr>
        <w:pStyle w:val="Default"/>
        <w:ind w:right="163"/>
        <w:jc w:val="both"/>
        <w:rPr>
          <w:color w:val="auto"/>
        </w:rPr>
      </w:pPr>
    </w:p>
    <w:p w14:paraId="02B2FD43" w14:textId="14D0C255" w:rsidR="007F6BE4" w:rsidRDefault="00097D95" w:rsidP="007F6BE4">
      <w:pPr>
        <w:pStyle w:val="Default"/>
        <w:jc w:val="center"/>
        <w:rPr>
          <w:color w:val="auto"/>
          <w:sz w:val="20"/>
          <w:szCs w:val="20"/>
        </w:rPr>
      </w:pPr>
      <w:r>
        <w:rPr>
          <w:color w:val="auto"/>
          <w:sz w:val="20"/>
          <w:szCs w:val="20"/>
        </w:rPr>
        <w:t>Tabla 3</w:t>
      </w:r>
    </w:p>
    <w:p w14:paraId="36BCDB14" w14:textId="7F0A00E6" w:rsidR="009819FA" w:rsidRPr="009819FA" w:rsidRDefault="009819FA" w:rsidP="009819FA">
      <w:pPr>
        <w:pStyle w:val="Default"/>
        <w:jc w:val="center"/>
        <w:rPr>
          <w:b/>
          <w:bCs/>
          <w:iCs/>
          <w:smallCaps/>
          <w:color w:val="000000" w:themeColor="text1"/>
          <w:sz w:val="22"/>
          <w:szCs w:val="22"/>
        </w:rPr>
      </w:pPr>
      <w:r w:rsidRPr="009819FA">
        <w:rPr>
          <w:b/>
          <w:bCs/>
          <w:iCs/>
          <w:smallCaps/>
          <w:color w:val="000000" w:themeColor="text1"/>
          <w:sz w:val="22"/>
          <w:szCs w:val="22"/>
        </w:rPr>
        <w:t>Averiguaciones previas e investigaciones y carpetas de investigación en</w:t>
      </w:r>
    </w:p>
    <w:p w14:paraId="7F06300D" w14:textId="77777777" w:rsidR="00DB4957" w:rsidRDefault="009819FA" w:rsidP="009819FA">
      <w:pPr>
        <w:pStyle w:val="Default"/>
        <w:jc w:val="center"/>
        <w:rPr>
          <w:b/>
          <w:bCs/>
          <w:iCs/>
          <w:smallCaps/>
          <w:color w:val="000000" w:themeColor="text1"/>
          <w:sz w:val="22"/>
          <w:szCs w:val="22"/>
        </w:rPr>
      </w:pPr>
      <w:r w:rsidRPr="009819FA">
        <w:rPr>
          <w:b/>
          <w:bCs/>
          <w:iCs/>
          <w:smallCaps/>
          <w:color w:val="000000" w:themeColor="text1"/>
          <w:sz w:val="22"/>
          <w:szCs w:val="22"/>
        </w:rPr>
        <w:t xml:space="preserve">materia penal para adultos y justicia para adolescentes conocidas </w:t>
      </w:r>
    </w:p>
    <w:p w14:paraId="27BBEB8E" w14:textId="3694A18B" w:rsidR="009819FA" w:rsidRPr="009819FA" w:rsidRDefault="009819FA" w:rsidP="009819FA">
      <w:pPr>
        <w:pStyle w:val="Default"/>
        <w:jc w:val="center"/>
        <w:rPr>
          <w:b/>
          <w:bCs/>
          <w:iCs/>
          <w:smallCaps/>
          <w:color w:val="000000" w:themeColor="text1"/>
          <w:sz w:val="22"/>
          <w:szCs w:val="22"/>
        </w:rPr>
      </w:pPr>
      <w:r w:rsidRPr="009819FA">
        <w:rPr>
          <w:b/>
          <w:bCs/>
          <w:iCs/>
          <w:smallCaps/>
          <w:color w:val="000000" w:themeColor="text1"/>
          <w:sz w:val="22"/>
          <w:szCs w:val="22"/>
        </w:rPr>
        <w:t>por la FGR y las FGE, 2021</w:t>
      </w:r>
    </w:p>
    <w:p w14:paraId="59C77461" w14:textId="7C4B30E5" w:rsidR="00CD5CE9" w:rsidRDefault="00CD5CE9" w:rsidP="006C09DD">
      <w:pPr>
        <w:pStyle w:val="Default"/>
        <w:jc w:val="both"/>
        <w:rPr>
          <w:color w:val="auto"/>
        </w:rPr>
      </w:pPr>
    </w:p>
    <w:tbl>
      <w:tblPr>
        <w:tblW w:w="7780" w:type="dxa"/>
        <w:jc w:val="center"/>
        <w:tblCellMar>
          <w:left w:w="70" w:type="dxa"/>
          <w:right w:w="70" w:type="dxa"/>
        </w:tblCellMar>
        <w:tblLook w:val="04A0" w:firstRow="1" w:lastRow="0" w:firstColumn="1" w:lastColumn="0" w:noHBand="0" w:noVBand="1"/>
      </w:tblPr>
      <w:tblGrid>
        <w:gridCol w:w="1200"/>
        <w:gridCol w:w="2140"/>
        <w:gridCol w:w="1660"/>
        <w:gridCol w:w="1200"/>
        <w:gridCol w:w="1580"/>
      </w:tblGrid>
      <w:tr w:rsidR="00C16B47" w:rsidRPr="001F27A1" w14:paraId="793872D9" w14:textId="77777777" w:rsidTr="00C16B47">
        <w:trPr>
          <w:trHeight w:val="536"/>
          <w:jc w:val="center"/>
        </w:trPr>
        <w:tc>
          <w:tcPr>
            <w:tcW w:w="1200" w:type="dxa"/>
            <w:tcBorders>
              <w:top w:val="single" w:sz="4" w:space="0" w:color="FFFFFF"/>
              <w:left w:val="single" w:sz="4" w:space="0" w:color="FFFFFF"/>
              <w:bottom w:val="single" w:sz="4" w:space="0" w:color="FFFFFF"/>
              <w:right w:val="single" w:sz="4" w:space="0" w:color="FFFFFF"/>
            </w:tcBorders>
            <w:shd w:val="clear" w:color="000000" w:fill="285172"/>
            <w:noWrap/>
            <w:vAlign w:val="center"/>
            <w:hideMark/>
          </w:tcPr>
          <w:p w14:paraId="049D3936" w14:textId="642DC245" w:rsidR="00C16B47" w:rsidRPr="001F27A1" w:rsidRDefault="001235AB" w:rsidP="00773F93">
            <w:pPr>
              <w:spacing w:after="0" w:line="240" w:lineRule="auto"/>
              <w:jc w:val="center"/>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Fiscalía</w:t>
            </w:r>
          </w:p>
        </w:tc>
        <w:tc>
          <w:tcPr>
            <w:tcW w:w="2140" w:type="dxa"/>
            <w:tcBorders>
              <w:top w:val="single" w:sz="4" w:space="0" w:color="FFFFFF"/>
              <w:left w:val="nil"/>
              <w:bottom w:val="single" w:sz="4" w:space="0" w:color="FFFFFF"/>
              <w:right w:val="single" w:sz="4" w:space="0" w:color="FFFFFF"/>
            </w:tcBorders>
            <w:shd w:val="clear" w:color="000000" w:fill="285172"/>
            <w:vAlign w:val="center"/>
            <w:hideMark/>
          </w:tcPr>
          <w:p w14:paraId="1EA89214" w14:textId="77777777" w:rsidR="00C16B47" w:rsidRPr="001F27A1" w:rsidRDefault="00C16B47" w:rsidP="00773F93">
            <w:pPr>
              <w:spacing w:after="0" w:line="240" w:lineRule="auto"/>
              <w:jc w:val="center"/>
              <w:rPr>
                <w:rFonts w:ascii="Arial" w:eastAsia="Times New Roman" w:hAnsi="Arial" w:cs="Arial"/>
                <w:b/>
                <w:bCs/>
                <w:color w:val="FFFFFF"/>
                <w:sz w:val="18"/>
                <w:szCs w:val="18"/>
                <w:lang w:eastAsia="es-MX"/>
              </w:rPr>
            </w:pPr>
            <w:r w:rsidRPr="001F27A1">
              <w:rPr>
                <w:rFonts w:ascii="Arial" w:eastAsia="Times New Roman" w:hAnsi="Arial" w:cs="Arial"/>
                <w:b/>
                <w:bCs/>
                <w:color w:val="FFFFFF"/>
                <w:sz w:val="18"/>
                <w:szCs w:val="18"/>
                <w:lang w:eastAsia="es-MX"/>
              </w:rPr>
              <w:t>Iniciadas/Abiertas</w:t>
            </w:r>
          </w:p>
        </w:tc>
        <w:tc>
          <w:tcPr>
            <w:tcW w:w="1660" w:type="dxa"/>
            <w:tcBorders>
              <w:top w:val="single" w:sz="4" w:space="0" w:color="FFFFFF"/>
              <w:left w:val="nil"/>
              <w:bottom w:val="single" w:sz="4" w:space="0" w:color="FFFFFF"/>
              <w:right w:val="single" w:sz="4" w:space="0" w:color="FFFFFF"/>
            </w:tcBorders>
            <w:shd w:val="clear" w:color="000000" w:fill="285172"/>
            <w:vAlign w:val="center"/>
            <w:hideMark/>
          </w:tcPr>
          <w:p w14:paraId="43F8CB5A" w14:textId="77777777" w:rsidR="00C16B47" w:rsidRPr="001F27A1" w:rsidRDefault="00C16B47" w:rsidP="00773F93">
            <w:pPr>
              <w:spacing w:after="0" w:line="240" w:lineRule="auto"/>
              <w:jc w:val="center"/>
              <w:rPr>
                <w:rFonts w:ascii="Arial" w:eastAsia="Times New Roman" w:hAnsi="Arial" w:cs="Arial"/>
                <w:b/>
                <w:bCs/>
                <w:color w:val="FFFFFF"/>
                <w:sz w:val="18"/>
                <w:szCs w:val="18"/>
                <w:lang w:eastAsia="es-MX"/>
              </w:rPr>
            </w:pPr>
            <w:r w:rsidRPr="001F27A1">
              <w:rPr>
                <w:rFonts w:ascii="Arial" w:eastAsia="Times New Roman" w:hAnsi="Arial" w:cs="Arial"/>
                <w:b/>
                <w:bCs/>
                <w:color w:val="FFFFFF"/>
                <w:sz w:val="18"/>
                <w:szCs w:val="18"/>
                <w:lang w:eastAsia="es-MX"/>
              </w:rPr>
              <w:t>Determinadas</w:t>
            </w:r>
          </w:p>
        </w:tc>
        <w:tc>
          <w:tcPr>
            <w:tcW w:w="1200" w:type="dxa"/>
            <w:tcBorders>
              <w:top w:val="single" w:sz="4" w:space="0" w:color="FFFFFF"/>
              <w:left w:val="nil"/>
              <w:bottom w:val="single" w:sz="4" w:space="0" w:color="FFFFFF"/>
              <w:right w:val="single" w:sz="4" w:space="0" w:color="FFFFFF"/>
            </w:tcBorders>
            <w:shd w:val="clear" w:color="000000" w:fill="285172"/>
            <w:vAlign w:val="center"/>
            <w:hideMark/>
          </w:tcPr>
          <w:p w14:paraId="3A9E1D7A" w14:textId="77777777" w:rsidR="00C16B47" w:rsidRPr="001F27A1" w:rsidRDefault="00C16B47" w:rsidP="00773F93">
            <w:pPr>
              <w:spacing w:after="0" w:line="240" w:lineRule="auto"/>
              <w:jc w:val="center"/>
              <w:rPr>
                <w:rFonts w:ascii="Arial" w:eastAsia="Times New Roman" w:hAnsi="Arial" w:cs="Arial"/>
                <w:b/>
                <w:bCs/>
                <w:color w:val="FFFFFF"/>
                <w:sz w:val="18"/>
                <w:szCs w:val="18"/>
                <w:lang w:eastAsia="es-MX"/>
              </w:rPr>
            </w:pPr>
            <w:r w:rsidRPr="001F27A1">
              <w:rPr>
                <w:rFonts w:ascii="Arial" w:eastAsia="Times New Roman" w:hAnsi="Arial" w:cs="Arial"/>
                <w:b/>
                <w:bCs/>
                <w:color w:val="FFFFFF"/>
                <w:sz w:val="18"/>
                <w:szCs w:val="18"/>
                <w:lang w:eastAsia="es-MX"/>
              </w:rPr>
              <w:t>Cerradas</w:t>
            </w:r>
          </w:p>
        </w:tc>
        <w:tc>
          <w:tcPr>
            <w:tcW w:w="1580" w:type="dxa"/>
            <w:tcBorders>
              <w:top w:val="single" w:sz="4" w:space="0" w:color="FFFFFF"/>
              <w:left w:val="nil"/>
              <w:bottom w:val="single" w:sz="4" w:space="0" w:color="FFFFFF"/>
              <w:right w:val="single" w:sz="4" w:space="0" w:color="FFFFFF"/>
            </w:tcBorders>
            <w:shd w:val="clear" w:color="000000" w:fill="285172"/>
            <w:vAlign w:val="center"/>
            <w:hideMark/>
          </w:tcPr>
          <w:p w14:paraId="5EDDACBB" w14:textId="77777777" w:rsidR="00C16B47" w:rsidRPr="001F27A1" w:rsidRDefault="00C16B47" w:rsidP="00773F93">
            <w:pPr>
              <w:spacing w:after="0" w:line="240" w:lineRule="auto"/>
              <w:jc w:val="center"/>
              <w:rPr>
                <w:rFonts w:ascii="Arial" w:eastAsia="Times New Roman" w:hAnsi="Arial" w:cs="Arial"/>
                <w:b/>
                <w:bCs/>
                <w:color w:val="FFFFFF"/>
                <w:sz w:val="18"/>
                <w:szCs w:val="18"/>
                <w:lang w:eastAsia="es-MX"/>
              </w:rPr>
            </w:pPr>
            <w:r w:rsidRPr="001F27A1">
              <w:rPr>
                <w:rFonts w:ascii="Arial" w:eastAsia="Times New Roman" w:hAnsi="Arial" w:cs="Arial"/>
                <w:b/>
                <w:bCs/>
                <w:color w:val="FFFFFF"/>
                <w:sz w:val="18"/>
                <w:szCs w:val="18"/>
                <w:lang w:eastAsia="es-MX"/>
              </w:rPr>
              <w:t>Pendientes de concluir</w:t>
            </w:r>
          </w:p>
        </w:tc>
      </w:tr>
      <w:tr w:rsidR="00C16B47" w:rsidRPr="001F27A1" w14:paraId="64FBBCE4"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059AE4C6"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Nacional</w:t>
            </w:r>
          </w:p>
        </w:tc>
        <w:tc>
          <w:tcPr>
            <w:tcW w:w="2140" w:type="dxa"/>
            <w:tcBorders>
              <w:top w:val="nil"/>
              <w:left w:val="nil"/>
              <w:bottom w:val="single" w:sz="4" w:space="0" w:color="FFFFFF"/>
              <w:right w:val="single" w:sz="4" w:space="0" w:color="FFFFFF"/>
            </w:tcBorders>
            <w:shd w:val="clear" w:color="auto" w:fill="auto"/>
            <w:noWrap/>
            <w:vAlign w:val="bottom"/>
            <w:hideMark/>
          </w:tcPr>
          <w:p w14:paraId="22472FD0"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2 059 798</w:t>
            </w:r>
          </w:p>
        </w:tc>
        <w:tc>
          <w:tcPr>
            <w:tcW w:w="1660" w:type="dxa"/>
            <w:tcBorders>
              <w:top w:val="nil"/>
              <w:left w:val="nil"/>
              <w:bottom w:val="single" w:sz="4" w:space="0" w:color="FFFFFF"/>
              <w:right w:val="single" w:sz="4" w:space="0" w:color="FFFFFF"/>
            </w:tcBorders>
            <w:shd w:val="clear" w:color="auto" w:fill="auto"/>
            <w:noWrap/>
            <w:vAlign w:val="bottom"/>
            <w:hideMark/>
          </w:tcPr>
          <w:p w14:paraId="2001F4A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1 751 761</w:t>
            </w:r>
          </w:p>
        </w:tc>
        <w:tc>
          <w:tcPr>
            <w:tcW w:w="1200" w:type="dxa"/>
            <w:tcBorders>
              <w:top w:val="nil"/>
              <w:left w:val="nil"/>
              <w:bottom w:val="single" w:sz="4" w:space="0" w:color="FFFFFF"/>
              <w:right w:val="single" w:sz="4" w:space="0" w:color="FFFFFF"/>
            </w:tcBorders>
            <w:shd w:val="clear" w:color="auto" w:fill="auto"/>
            <w:noWrap/>
            <w:vAlign w:val="bottom"/>
            <w:hideMark/>
          </w:tcPr>
          <w:p w14:paraId="0613D6C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478 036</w:t>
            </w:r>
          </w:p>
        </w:tc>
        <w:tc>
          <w:tcPr>
            <w:tcW w:w="1580" w:type="dxa"/>
            <w:tcBorders>
              <w:top w:val="nil"/>
              <w:left w:val="nil"/>
              <w:bottom w:val="single" w:sz="4" w:space="0" w:color="FFFFFF"/>
              <w:right w:val="single" w:sz="4" w:space="0" w:color="FFFFFF"/>
            </w:tcBorders>
            <w:shd w:val="clear" w:color="auto" w:fill="auto"/>
            <w:noWrap/>
            <w:vAlign w:val="bottom"/>
            <w:hideMark/>
          </w:tcPr>
          <w:p w14:paraId="422372E6"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2 629 790</w:t>
            </w:r>
          </w:p>
        </w:tc>
      </w:tr>
      <w:tr w:rsidR="00C16B47" w:rsidRPr="001F27A1" w14:paraId="05C54826"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288A60C7"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FGR</w:t>
            </w:r>
          </w:p>
        </w:tc>
        <w:tc>
          <w:tcPr>
            <w:tcW w:w="2140" w:type="dxa"/>
            <w:tcBorders>
              <w:top w:val="nil"/>
              <w:left w:val="nil"/>
              <w:bottom w:val="single" w:sz="4" w:space="0" w:color="FFFFFF"/>
              <w:right w:val="single" w:sz="4" w:space="0" w:color="FFFFFF"/>
            </w:tcBorders>
            <w:shd w:val="clear" w:color="auto" w:fill="auto"/>
            <w:noWrap/>
            <w:vAlign w:val="bottom"/>
            <w:hideMark/>
          </w:tcPr>
          <w:p w14:paraId="5FAF85F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77 637</w:t>
            </w:r>
          </w:p>
        </w:tc>
        <w:tc>
          <w:tcPr>
            <w:tcW w:w="1660" w:type="dxa"/>
            <w:tcBorders>
              <w:top w:val="nil"/>
              <w:left w:val="nil"/>
              <w:bottom w:val="single" w:sz="4" w:space="0" w:color="FFFFFF"/>
              <w:right w:val="single" w:sz="4" w:space="0" w:color="FFFFFF"/>
            </w:tcBorders>
            <w:shd w:val="clear" w:color="auto" w:fill="auto"/>
            <w:noWrap/>
            <w:vAlign w:val="bottom"/>
            <w:hideMark/>
          </w:tcPr>
          <w:p w14:paraId="6BB410A0"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211 470</w:t>
            </w:r>
          </w:p>
        </w:tc>
        <w:tc>
          <w:tcPr>
            <w:tcW w:w="1200" w:type="dxa"/>
            <w:tcBorders>
              <w:top w:val="nil"/>
              <w:left w:val="nil"/>
              <w:bottom w:val="single" w:sz="4" w:space="0" w:color="FFFFFF"/>
              <w:right w:val="single" w:sz="4" w:space="0" w:color="FFFFFF"/>
            </w:tcBorders>
            <w:shd w:val="clear" w:color="auto" w:fill="auto"/>
            <w:noWrap/>
            <w:vAlign w:val="bottom"/>
            <w:hideMark/>
          </w:tcPr>
          <w:p w14:paraId="75EEC28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NA</w:t>
            </w:r>
          </w:p>
        </w:tc>
        <w:tc>
          <w:tcPr>
            <w:tcW w:w="1580" w:type="dxa"/>
            <w:tcBorders>
              <w:top w:val="nil"/>
              <w:left w:val="nil"/>
              <w:bottom w:val="single" w:sz="4" w:space="0" w:color="FFFFFF"/>
              <w:right w:val="single" w:sz="4" w:space="0" w:color="FFFFFF"/>
            </w:tcBorders>
            <w:shd w:val="clear" w:color="auto" w:fill="auto"/>
            <w:noWrap/>
            <w:vAlign w:val="bottom"/>
            <w:hideMark/>
          </w:tcPr>
          <w:p w14:paraId="63A9D7B6"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50 341</w:t>
            </w:r>
          </w:p>
        </w:tc>
      </w:tr>
      <w:tr w:rsidR="00C16B47" w:rsidRPr="001F27A1" w14:paraId="7AD6458E"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7C6D83E9"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AGS</w:t>
            </w:r>
          </w:p>
        </w:tc>
        <w:tc>
          <w:tcPr>
            <w:tcW w:w="2140" w:type="dxa"/>
            <w:tcBorders>
              <w:top w:val="nil"/>
              <w:left w:val="nil"/>
              <w:bottom w:val="single" w:sz="4" w:space="0" w:color="FFFFFF"/>
              <w:right w:val="single" w:sz="4" w:space="0" w:color="FFFFFF"/>
            </w:tcBorders>
            <w:shd w:val="clear" w:color="auto" w:fill="auto"/>
            <w:noWrap/>
            <w:vAlign w:val="bottom"/>
            <w:hideMark/>
          </w:tcPr>
          <w:p w14:paraId="106A84F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33 678</w:t>
            </w:r>
          </w:p>
        </w:tc>
        <w:tc>
          <w:tcPr>
            <w:tcW w:w="1660" w:type="dxa"/>
            <w:tcBorders>
              <w:top w:val="nil"/>
              <w:left w:val="nil"/>
              <w:bottom w:val="single" w:sz="4" w:space="0" w:color="FFFFFF"/>
              <w:right w:val="single" w:sz="4" w:space="0" w:color="FFFFFF"/>
            </w:tcBorders>
            <w:shd w:val="clear" w:color="auto" w:fill="auto"/>
            <w:noWrap/>
            <w:vAlign w:val="bottom"/>
            <w:hideMark/>
          </w:tcPr>
          <w:p w14:paraId="617CEE25"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17 516</w:t>
            </w:r>
          </w:p>
        </w:tc>
        <w:tc>
          <w:tcPr>
            <w:tcW w:w="1200" w:type="dxa"/>
            <w:tcBorders>
              <w:top w:val="nil"/>
              <w:left w:val="nil"/>
              <w:bottom w:val="single" w:sz="4" w:space="0" w:color="FFFFFF"/>
              <w:right w:val="single" w:sz="4" w:space="0" w:color="FFFFFF"/>
            </w:tcBorders>
            <w:shd w:val="clear" w:color="auto" w:fill="auto"/>
            <w:noWrap/>
            <w:vAlign w:val="bottom"/>
            <w:hideMark/>
          </w:tcPr>
          <w:p w14:paraId="10C8F48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2 730</w:t>
            </w:r>
          </w:p>
        </w:tc>
        <w:tc>
          <w:tcPr>
            <w:tcW w:w="1580" w:type="dxa"/>
            <w:tcBorders>
              <w:top w:val="nil"/>
              <w:left w:val="nil"/>
              <w:bottom w:val="single" w:sz="4" w:space="0" w:color="FFFFFF"/>
              <w:right w:val="single" w:sz="4" w:space="0" w:color="FFFFFF"/>
            </w:tcBorders>
            <w:shd w:val="clear" w:color="auto" w:fill="auto"/>
            <w:noWrap/>
            <w:vAlign w:val="bottom"/>
            <w:hideMark/>
          </w:tcPr>
          <w:p w14:paraId="0859DF40"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37 423</w:t>
            </w:r>
          </w:p>
        </w:tc>
      </w:tr>
      <w:tr w:rsidR="00C16B47" w:rsidRPr="001F27A1" w14:paraId="0254C5F2"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09375858"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BC</w:t>
            </w:r>
          </w:p>
        </w:tc>
        <w:tc>
          <w:tcPr>
            <w:tcW w:w="2140" w:type="dxa"/>
            <w:tcBorders>
              <w:top w:val="nil"/>
              <w:left w:val="nil"/>
              <w:bottom w:val="single" w:sz="4" w:space="0" w:color="FFFFFF"/>
              <w:right w:val="single" w:sz="4" w:space="0" w:color="FFFFFF"/>
            </w:tcBorders>
            <w:shd w:val="clear" w:color="auto" w:fill="auto"/>
            <w:noWrap/>
            <w:vAlign w:val="bottom"/>
            <w:hideMark/>
          </w:tcPr>
          <w:p w14:paraId="2B44CFE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91 318</w:t>
            </w:r>
          </w:p>
        </w:tc>
        <w:tc>
          <w:tcPr>
            <w:tcW w:w="1660" w:type="dxa"/>
            <w:tcBorders>
              <w:top w:val="nil"/>
              <w:left w:val="nil"/>
              <w:bottom w:val="single" w:sz="4" w:space="0" w:color="FFFFFF"/>
              <w:right w:val="single" w:sz="4" w:space="0" w:color="FFFFFF"/>
            </w:tcBorders>
            <w:shd w:val="clear" w:color="auto" w:fill="auto"/>
            <w:noWrap/>
            <w:vAlign w:val="bottom"/>
            <w:hideMark/>
          </w:tcPr>
          <w:p w14:paraId="09E8CA01"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286 593</w:t>
            </w:r>
          </w:p>
        </w:tc>
        <w:tc>
          <w:tcPr>
            <w:tcW w:w="1200" w:type="dxa"/>
            <w:tcBorders>
              <w:top w:val="nil"/>
              <w:left w:val="nil"/>
              <w:bottom w:val="single" w:sz="4" w:space="0" w:color="FFFFFF"/>
              <w:right w:val="single" w:sz="4" w:space="0" w:color="FFFFFF"/>
            </w:tcBorders>
            <w:shd w:val="clear" w:color="auto" w:fill="auto"/>
            <w:noWrap/>
            <w:vAlign w:val="bottom"/>
            <w:hideMark/>
          </w:tcPr>
          <w:p w14:paraId="429A503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6 652</w:t>
            </w:r>
          </w:p>
        </w:tc>
        <w:tc>
          <w:tcPr>
            <w:tcW w:w="1580" w:type="dxa"/>
            <w:tcBorders>
              <w:top w:val="nil"/>
              <w:left w:val="nil"/>
              <w:bottom w:val="single" w:sz="4" w:space="0" w:color="FFFFFF"/>
              <w:right w:val="single" w:sz="4" w:space="0" w:color="FFFFFF"/>
            </w:tcBorders>
            <w:shd w:val="clear" w:color="auto" w:fill="auto"/>
            <w:noWrap/>
            <w:vAlign w:val="bottom"/>
            <w:hideMark/>
          </w:tcPr>
          <w:p w14:paraId="3504559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324 144</w:t>
            </w:r>
          </w:p>
        </w:tc>
      </w:tr>
      <w:tr w:rsidR="00C16B47" w:rsidRPr="001F27A1" w14:paraId="5EE2B8EA"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093A95F5"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BCS</w:t>
            </w:r>
          </w:p>
        </w:tc>
        <w:tc>
          <w:tcPr>
            <w:tcW w:w="2140" w:type="dxa"/>
            <w:tcBorders>
              <w:top w:val="nil"/>
              <w:left w:val="nil"/>
              <w:bottom w:val="single" w:sz="4" w:space="0" w:color="FFFFFF"/>
              <w:right w:val="single" w:sz="4" w:space="0" w:color="FFFFFF"/>
            </w:tcBorders>
            <w:shd w:val="clear" w:color="auto" w:fill="auto"/>
            <w:noWrap/>
            <w:vAlign w:val="bottom"/>
            <w:hideMark/>
          </w:tcPr>
          <w:p w14:paraId="27977E9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18 575</w:t>
            </w:r>
          </w:p>
        </w:tc>
        <w:tc>
          <w:tcPr>
            <w:tcW w:w="1660" w:type="dxa"/>
            <w:tcBorders>
              <w:top w:val="nil"/>
              <w:left w:val="nil"/>
              <w:bottom w:val="single" w:sz="4" w:space="0" w:color="FFFFFF"/>
              <w:right w:val="single" w:sz="4" w:space="0" w:color="FFFFFF"/>
            </w:tcBorders>
            <w:shd w:val="clear" w:color="auto" w:fill="auto"/>
            <w:noWrap/>
            <w:vAlign w:val="bottom"/>
            <w:hideMark/>
          </w:tcPr>
          <w:p w14:paraId="79E06C9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13 715</w:t>
            </w:r>
          </w:p>
        </w:tc>
        <w:tc>
          <w:tcPr>
            <w:tcW w:w="1200" w:type="dxa"/>
            <w:tcBorders>
              <w:top w:val="nil"/>
              <w:left w:val="nil"/>
              <w:bottom w:val="single" w:sz="4" w:space="0" w:color="FFFFFF"/>
              <w:right w:val="single" w:sz="4" w:space="0" w:color="FFFFFF"/>
            </w:tcBorders>
            <w:shd w:val="clear" w:color="auto" w:fill="auto"/>
            <w:noWrap/>
            <w:vAlign w:val="bottom"/>
            <w:hideMark/>
          </w:tcPr>
          <w:p w14:paraId="31B2D694"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569</w:t>
            </w:r>
          </w:p>
        </w:tc>
        <w:tc>
          <w:tcPr>
            <w:tcW w:w="1580" w:type="dxa"/>
            <w:tcBorders>
              <w:top w:val="nil"/>
              <w:left w:val="nil"/>
              <w:bottom w:val="single" w:sz="4" w:space="0" w:color="FFFFFF"/>
              <w:right w:val="single" w:sz="4" w:space="0" w:color="FFFFFF"/>
            </w:tcBorders>
            <w:shd w:val="clear" w:color="auto" w:fill="auto"/>
            <w:noWrap/>
            <w:vAlign w:val="bottom"/>
            <w:hideMark/>
          </w:tcPr>
          <w:p w14:paraId="34DEB56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152 497</w:t>
            </w:r>
          </w:p>
        </w:tc>
      </w:tr>
      <w:tr w:rsidR="00C16B47" w:rsidRPr="001F27A1" w14:paraId="3A7750CE"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3ADCCA31"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CAMP</w:t>
            </w:r>
          </w:p>
        </w:tc>
        <w:tc>
          <w:tcPr>
            <w:tcW w:w="2140" w:type="dxa"/>
            <w:tcBorders>
              <w:top w:val="nil"/>
              <w:left w:val="nil"/>
              <w:bottom w:val="single" w:sz="4" w:space="0" w:color="FFFFFF"/>
              <w:right w:val="single" w:sz="4" w:space="0" w:color="FFFFFF"/>
            </w:tcBorders>
            <w:shd w:val="clear" w:color="auto" w:fill="auto"/>
            <w:noWrap/>
            <w:vAlign w:val="bottom"/>
            <w:hideMark/>
          </w:tcPr>
          <w:p w14:paraId="434583D4"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5 040</w:t>
            </w:r>
          </w:p>
        </w:tc>
        <w:tc>
          <w:tcPr>
            <w:tcW w:w="1660" w:type="dxa"/>
            <w:tcBorders>
              <w:top w:val="nil"/>
              <w:left w:val="nil"/>
              <w:bottom w:val="single" w:sz="4" w:space="0" w:color="FFFFFF"/>
              <w:right w:val="single" w:sz="4" w:space="0" w:color="FFFFFF"/>
            </w:tcBorders>
            <w:shd w:val="clear" w:color="auto" w:fill="auto"/>
            <w:noWrap/>
            <w:vAlign w:val="bottom"/>
            <w:hideMark/>
          </w:tcPr>
          <w:p w14:paraId="5CDF478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1 247</w:t>
            </w:r>
          </w:p>
        </w:tc>
        <w:tc>
          <w:tcPr>
            <w:tcW w:w="1200" w:type="dxa"/>
            <w:tcBorders>
              <w:top w:val="nil"/>
              <w:left w:val="nil"/>
              <w:bottom w:val="single" w:sz="4" w:space="0" w:color="FFFFFF"/>
              <w:right w:val="single" w:sz="4" w:space="0" w:color="FFFFFF"/>
            </w:tcBorders>
            <w:shd w:val="clear" w:color="auto" w:fill="auto"/>
            <w:noWrap/>
            <w:vAlign w:val="bottom"/>
            <w:hideMark/>
          </w:tcPr>
          <w:p w14:paraId="7CC845B5"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501</w:t>
            </w:r>
          </w:p>
        </w:tc>
        <w:tc>
          <w:tcPr>
            <w:tcW w:w="1580" w:type="dxa"/>
            <w:tcBorders>
              <w:top w:val="nil"/>
              <w:left w:val="nil"/>
              <w:bottom w:val="single" w:sz="4" w:space="0" w:color="FFFFFF"/>
              <w:right w:val="single" w:sz="4" w:space="0" w:color="FFFFFF"/>
            </w:tcBorders>
            <w:shd w:val="clear" w:color="auto" w:fill="auto"/>
            <w:noWrap/>
            <w:vAlign w:val="bottom"/>
            <w:hideMark/>
          </w:tcPr>
          <w:p w14:paraId="2A272305"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3 977</w:t>
            </w:r>
          </w:p>
        </w:tc>
      </w:tr>
      <w:tr w:rsidR="00C16B47" w:rsidRPr="001F27A1" w14:paraId="1073E8F7"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0E63CE73"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COAH</w:t>
            </w:r>
          </w:p>
        </w:tc>
        <w:tc>
          <w:tcPr>
            <w:tcW w:w="2140" w:type="dxa"/>
            <w:tcBorders>
              <w:top w:val="nil"/>
              <w:left w:val="nil"/>
              <w:bottom w:val="single" w:sz="4" w:space="0" w:color="FFFFFF"/>
              <w:right w:val="single" w:sz="4" w:space="0" w:color="FFFFFF"/>
            </w:tcBorders>
            <w:shd w:val="clear" w:color="auto" w:fill="auto"/>
            <w:noWrap/>
            <w:vAlign w:val="bottom"/>
            <w:hideMark/>
          </w:tcPr>
          <w:p w14:paraId="25F3BC90"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56 029</w:t>
            </w:r>
          </w:p>
        </w:tc>
        <w:tc>
          <w:tcPr>
            <w:tcW w:w="1660" w:type="dxa"/>
            <w:tcBorders>
              <w:top w:val="nil"/>
              <w:left w:val="nil"/>
              <w:bottom w:val="single" w:sz="4" w:space="0" w:color="FFFFFF"/>
              <w:right w:val="single" w:sz="4" w:space="0" w:color="FFFFFF"/>
            </w:tcBorders>
            <w:shd w:val="clear" w:color="auto" w:fill="auto"/>
            <w:noWrap/>
            <w:vAlign w:val="bottom"/>
            <w:hideMark/>
          </w:tcPr>
          <w:p w14:paraId="1295AF4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23 655</w:t>
            </w:r>
          </w:p>
        </w:tc>
        <w:tc>
          <w:tcPr>
            <w:tcW w:w="1200" w:type="dxa"/>
            <w:tcBorders>
              <w:top w:val="nil"/>
              <w:left w:val="nil"/>
              <w:bottom w:val="single" w:sz="4" w:space="0" w:color="FFFFFF"/>
              <w:right w:val="single" w:sz="4" w:space="0" w:color="FFFFFF"/>
            </w:tcBorders>
            <w:shd w:val="clear" w:color="auto" w:fill="auto"/>
            <w:noWrap/>
            <w:vAlign w:val="bottom"/>
            <w:hideMark/>
          </w:tcPr>
          <w:p w14:paraId="13726E9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4 227</w:t>
            </w:r>
          </w:p>
        </w:tc>
        <w:tc>
          <w:tcPr>
            <w:tcW w:w="1580" w:type="dxa"/>
            <w:tcBorders>
              <w:top w:val="nil"/>
              <w:left w:val="nil"/>
              <w:bottom w:val="single" w:sz="4" w:space="0" w:color="FFFFFF"/>
              <w:right w:val="single" w:sz="4" w:space="0" w:color="FFFFFF"/>
            </w:tcBorders>
            <w:shd w:val="clear" w:color="auto" w:fill="auto"/>
            <w:noWrap/>
            <w:vAlign w:val="bottom"/>
            <w:hideMark/>
          </w:tcPr>
          <w:p w14:paraId="2809865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143 722</w:t>
            </w:r>
          </w:p>
        </w:tc>
      </w:tr>
      <w:tr w:rsidR="00C16B47" w:rsidRPr="001F27A1" w14:paraId="242F90C9"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49BCFD08"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COL</w:t>
            </w:r>
          </w:p>
        </w:tc>
        <w:tc>
          <w:tcPr>
            <w:tcW w:w="2140" w:type="dxa"/>
            <w:tcBorders>
              <w:top w:val="nil"/>
              <w:left w:val="nil"/>
              <w:bottom w:val="single" w:sz="4" w:space="0" w:color="FFFFFF"/>
              <w:right w:val="single" w:sz="4" w:space="0" w:color="FFFFFF"/>
            </w:tcBorders>
            <w:shd w:val="clear" w:color="auto" w:fill="auto"/>
            <w:noWrap/>
            <w:vAlign w:val="bottom"/>
            <w:hideMark/>
          </w:tcPr>
          <w:p w14:paraId="724409A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28 691</w:t>
            </w:r>
          </w:p>
        </w:tc>
        <w:tc>
          <w:tcPr>
            <w:tcW w:w="1660" w:type="dxa"/>
            <w:tcBorders>
              <w:top w:val="nil"/>
              <w:left w:val="nil"/>
              <w:bottom w:val="single" w:sz="4" w:space="0" w:color="FFFFFF"/>
              <w:right w:val="single" w:sz="4" w:space="0" w:color="FFFFFF"/>
            </w:tcBorders>
            <w:shd w:val="clear" w:color="auto" w:fill="auto"/>
            <w:noWrap/>
            <w:vAlign w:val="bottom"/>
            <w:hideMark/>
          </w:tcPr>
          <w:p w14:paraId="37340FA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10 634</w:t>
            </w:r>
          </w:p>
        </w:tc>
        <w:tc>
          <w:tcPr>
            <w:tcW w:w="1200" w:type="dxa"/>
            <w:tcBorders>
              <w:top w:val="nil"/>
              <w:left w:val="nil"/>
              <w:bottom w:val="single" w:sz="4" w:space="0" w:color="FFFFFF"/>
              <w:right w:val="single" w:sz="4" w:space="0" w:color="FFFFFF"/>
            </w:tcBorders>
            <w:shd w:val="clear" w:color="auto" w:fill="auto"/>
            <w:noWrap/>
            <w:vAlign w:val="bottom"/>
            <w:hideMark/>
          </w:tcPr>
          <w:p w14:paraId="634989C1"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491</w:t>
            </w:r>
          </w:p>
        </w:tc>
        <w:tc>
          <w:tcPr>
            <w:tcW w:w="1580" w:type="dxa"/>
            <w:tcBorders>
              <w:top w:val="nil"/>
              <w:left w:val="nil"/>
              <w:bottom w:val="single" w:sz="4" w:space="0" w:color="FFFFFF"/>
              <w:right w:val="single" w:sz="4" w:space="0" w:color="FFFFFF"/>
            </w:tcBorders>
            <w:shd w:val="clear" w:color="auto" w:fill="auto"/>
            <w:noWrap/>
            <w:vAlign w:val="bottom"/>
            <w:hideMark/>
          </w:tcPr>
          <w:p w14:paraId="17369645"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20 574</w:t>
            </w:r>
          </w:p>
        </w:tc>
      </w:tr>
      <w:tr w:rsidR="00C16B47" w:rsidRPr="001F27A1" w14:paraId="6A89DECF"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4FD23FF1"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CHIS</w:t>
            </w:r>
          </w:p>
        </w:tc>
        <w:tc>
          <w:tcPr>
            <w:tcW w:w="2140" w:type="dxa"/>
            <w:tcBorders>
              <w:top w:val="nil"/>
              <w:left w:val="nil"/>
              <w:bottom w:val="single" w:sz="4" w:space="0" w:color="FFFFFF"/>
              <w:right w:val="single" w:sz="4" w:space="0" w:color="FFFFFF"/>
            </w:tcBorders>
            <w:shd w:val="clear" w:color="auto" w:fill="auto"/>
            <w:noWrap/>
            <w:vAlign w:val="bottom"/>
            <w:hideMark/>
          </w:tcPr>
          <w:p w14:paraId="4FEBE0F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15 789</w:t>
            </w:r>
          </w:p>
        </w:tc>
        <w:tc>
          <w:tcPr>
            <w:tcW w:w="1660" w:type="dxa"/>
            <w:tcBorders>
              <w:top w:val="nil"/>
              <w:left w:val="nil"/>
              <w:bottom w:val="single" w:sz="4" w:space="0" w:color="FFFFFF"/>
              <w:right w:val="single" w:sz="4" w:space="0" w:color="FFFFFF"/>
            </w:tcBorders>
            <w:shd w:val="clear" w:color="auto" w:fill="auto"/>
            <w:noWrap/>
            <w:vAlign w:val="bottom"/>
            <w:hideMark/>
          </w:tcPr>
          <w:p w14:paraId="2722F49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11 141</w:t>
            </w:r>
          </w:p>
        </w:tc>
        <w:tc>
          <w:tcPr>
            <w:tcW w:w="1200" w:type="dxa"/>
            <w:tcBorders>
              <w:top w:val="nil"/>
              <w:left w:val="nil"/>
              <w:bottom w:val="single" w:sz="4" w:space="0" w:color="FFFFFF"/>
              <w:right w:val="single" w:sz="4" w:space="0" w:color="FFFFFF"/>
            </w:tcBorders>
            <w:shd w:val="clear" w:color="auto" w:fill="auto"/>
            <w:noWrap/>
            <w:vAlign w:val="bottom"/>
            <w:hideMark/>
          </w:tcPr>
          <w:p w14:paraId="030F3FC6"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363</w:t>
            </w:r>
          </w:p>
        </w:tc>
        <w:tc>
          <w:tcPr>
            <w:tcW w:w="1580" w:type="dxa"/>
            <w:tcBorders>
              <w:top w:val="nil"/>
              <w:left w:val="nil"/>
              <w:bottom w:val="single" w:sz="4" w:space="0" w:color="FFFFFF"/>
              <w:right w:val="single" w:sz="4" w:space="0" w:color="FFFFFF"/>
            </w:tcBorders>
            <w:shd w:val="clear" w:color="auto" w:fill="auto"/>
            <w:noWrap/>
            <w:vAlign w:val="bottom"/>
            <w:hideMark/>
          </w:tcPr>
          <w:p w14:paraId="7B0E3165"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11 586</w:t>
            </w:r>
          </w:p>
        </w:tc>
      </w:tr>
      <w:tr w:rsidR="00C16B47" w:rsidRPr="001F27A1" w14:paraId="785B5E68"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4635AA5A"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CHIH</w:t>
            </w:r>
          </w:p>
        </w:tc>
        <w:tc>
          <w:tcPr>
            <w:tcW w:w="2140" w:type="dxa"/>
            <w:tcBorders>
              <w:top w:val="nil"/>
              <w:left w:val="nil"/>
              <w:bottom w:val="single" w:sz="4" w:space="0" w:color="FFFFFF"/>
              <w:right w:val="single" w:sz="4" w:space="0" w:color="FFFFFF"/>
            </w:tcBorders>
            <w:shd w:val="clear" w:color="auto" w:fill="auto"/>
            <w:noWrap/>
            <w:vAlign w:val="bottom"/>
            <w:hideMark/>
          </w:tcPr>
          <w:p w14:paraId="13D521E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69 171</w:t>
            </w:r>
          </w:p>
        </w:tc>
        <w:tc>
          <w:tcPr>
            <w:tcW w:w="1660" w:type="dxa"/>
            <w:tcBorders>
              <w:top w:val="nil"/>
              <w:left w:val="nil"/>
              <w:bottom w:val="single" w:sz="4" w:space="0" w:color="FFFFFF"/>
              <w:right w:val="single" w:sz="4" w:space="0" w:color="FFFFFF"/>
            </w:tcBorders>
            <w:shd w:val="clear" w:color="auto" w:fill="auto"/>
            <w:noWrap/>
            <w:vAlign w:val="bottom"/>
            <w:hideMark/>
          </w:tcPr>
          <w:p w14:paraId="72826146"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23 759</w:t>
            </w:r>
          </w:p>
        </w:tc>
        <w:tc>
          <w:tcPr>
            <w:tcW w:w="1200" w:type="dxa"/>
            <w:tcBorders>
              <w:top w:val="nil"/>
              <w:left w:val="nil"/>
              <w:bottom w:val="single" w:sz="4" w:space="0" w:color="FFFFFF"/>
              <w:right w:val="single" w:sz="4" w:space="0" w:color="FFFFFF"/>
            </w:tcBorders>
            <w:shd w:val="clear" w:color="auto" w:fill="auto"/>
            <w:noWrap/>
            <w:vAlign w:val="bottom"/>
            <w:hideMark/>
          </w:tcPr>
          <w:p w14:paraId="0EDAA9C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7 128</w:t>
            </w:r>
          </w:p>
        </w:tc>
        <w:tc>
          <w:tcPr>
            <w:tcW w:w="1580" w:type="dxa"/>
            <w:tcBorders>
              <w:top w:val="nil"/>
              <w:left w:val="nil"/>
              <w:bottom w:val="single" w:sz="4" w:space="0" w:color="FFFFFF"/>
              <w:right w:val="single" w:sz="4" w:space="0" w:color="FFFFFF"/>
            </w:tcBorders>
            <w:shd w:val="clear" w:color="auto" w:fill="auto"/>
            <w:noWrap/>
            <w:vAlign w:val="bottom"/>
            <w:hideMark/>
          </w:tcPr>
          <w:p w14:paraId="75AFE7C5"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59 359</w:t>
            </w:r>
          </w:p>
        </w:tc>
      </w:tr>
      <w:tr w:rsidR="00C16B47" w:rsidRPr="001F27A1" w14:paraId="174BA9D4"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6441C712"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CDMX</w:t>
            </w:r>
          </w:p>
        </w:tc>
        <w:tc>
          <w:tcPr>
            <w:tcW w:w="2140" w:type="dxa"/>
            <w:tcBorders>
              <w:top w:val="nil"/>
              <w:left w:val="nil"/>
              <w:bottom w:val="single" w:sz="4" w:space="0" w:color="FFFFFF"/>
              <w:right w:val="single" w:sz="4" w:space="0" w:color="FFFFFF"/>
            </w:tcBorders>
            <w:shd w:val="clear" w:color="auto" w:fill="auto"/>
            <w:noWrap/>
            <w:vAlign w:val="bottom"/>
            <w:hideMark/>
          </w:tcPr>
          <w:p w14:paraId="4A7EF12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223 685</w:t>
            </w:r>
          </w:p>
        </w:tc>
        <w:tc>
          <w:tcPr>
            <w:tcW w:w="1660" w:type="dxa"/>
            <w:tcBorders>
              <w:top w:val="nil"/>
              <w:left w:val="nil"/>
              <w:bottom w:val="single" w:sz="4" w:space="0" w:color="FFFFFF"/>
              <w:right w:val="single" w:sz="4" w:space="0" w:color="FFFFFF"/>
            </w:tcBorders>
            <w:shd w:val="clear" w:color="auto" w:fill="auto"/>
            <w:noWrap/>
            <w:vAlign w:val="bottom"/>
            <w:hideMark/>
          </w:tcPr>
          <w:p w14:paraId="02F6496D"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179 730</w:t>
            </w:r>
          </w:p>
        </w:tc>
        <w:tc>
          <w:tcPr>
            <w:tcW w:w="1200" w:type="dxa"/>
            <w:tcBorders>
              <w:top w:val="nil"/>
              <w:left w:val="nil"/>
              <w:bottom w:val="single" w:sz="4" w:space="0" w:color="FFFFFF"/>
              <w:right w:val="single" w:sz="4" w:space="0" w:color="FFFFFF"/>
            </w:tcBorders>
            <w:shd w:val="clear" w:color="auto" w:fill="auto"/>
            <w:noWrap/>
            <w:vAlign w:val="bottom"/>
            <w:hideMark/>
          </w:tcPr>
          <w:p w14:paraId="3D6B8F6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12 257</w:t>
            </w:r>
          </w:p>
        </w:tc>
        <w:tc>
          <w:tcPr>
            <w:tcW w:w="1580" w:type="dxa"/>
            <w:tcBorders>
              <w:top w:val="nil"/>
              <w:left w:val="nil"/>
              <w:bottom w:val="single" w:sz="4" w:space="0" w:color="FFFFFF"/>
              <w:right w:val="single" w:sz="4" w:space="0" w:color="FFFFFF"/>
            </w:tcBorders>
            <w:shd w:val="clear" w:color="auto" w:fill="auto"/>
            <w:noWrap/>
            <w:vAlign w:val="bottom"/>
            <w:hideMark/>
          </w:tcPr>
          <w:p w14:paraId="6269FE3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224 764</w:t>
            </w:r>
          </w:p>
        </w:tc>
      </w:tr>
      <w:tr w:rsidR="00C16B47" w:rsidRPr="001F27A1" w14:paraId="5094BE27"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4CBEF5EB"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DGO</w:t>
            </w:r>
          </w:p>
        </w:tc>
        <w:tc>
          <w:tcPr>
            <w:tcW w:w="2140" w:type="dxa"/>
            <w:tcBorders>
              <w:top w:val="nil"/>
              <w:left w:val="nil"/>
              <w:bottom w:val="single" w:sz="4" w:space="0" w:color="FFFFFF"/>
              <w:right w:val="single" w:sz="4" w:space="0" w:color="FFFFFF"/>
            </w:tcBorders>
            <w:shd w:val="clear" w:color="auto" w:fill="auto"/>
            <w:noWrap/>
            <w:vAlign w:val="bottom"/>
            <w:hideMark/>
          </w:tcPr>
          <w:p w14:paraId="54ED124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27 741</w:t>
            </w:r>
          </w:p>
        </w:tc>
        <w:tc>
          <w:tcPr>
            <w:tcW w:w="1660" w:type="dxa"/>
            <w:tcBorders>
              <w:top w:val="nil"/>
              <w:left w:val="nil"/>
              <w:bottom w:val="single" w:sz="4" w:space="0" w:color="FFFFFF"/>
              <w:right w:val="single" w:sz="4" w:space="0" w:color="FFFFFF"/>
            </w:tcBorders>
            <w:shd w:val="clear" w:color="auto" w:fill="auto"/>
            <w:noWrap/>
            <w:vAlign w:val="bottom"/>
            <w:hideMark/>
          </w:tcPr>
          <w:p w14:paraId="25E3532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9 411</w:t>
            </w:r>
          </w:p>
        </w:tc>
        <w:tc>
          <w:tcPr>
            <w:tcW w:w="1200" w:type="dxa"/>
            <w:tcBorders>
              <w:top w:val="nil"/>
              <w:left w:val="nil"/>
              <w:bottom w:val="single" w:sz="4" w:space="0" w:color="FFFFFF"/>
              <w:right w:val="single" w:sz="4" w:space="0" w:color="FFFFFF"/>
            </w:tcBorders>
            <w:shd w:val="clear" w:color="auto" w:fill="auto"/>
            <w:noWrap/>
            <w:vAlign w:val="bottom"/>
            <w:hideMark/>
          </w:tcPr>
          <w:p w14:paraId="1CFA212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2 278</w:t>
            </w:r>
          </w:p>
        </w:tc>
        <w:tc>
          <w:tcPr>
            <w:tcW w:w="1580" w:type="dxa"/>
            <w:tcBorders>
              <w:top w:val="nil"/>
              <w:left w:val="nil"/>
              <w:bottom w:val="single" w:sz="4" w:space="0" w:color="FFFFFF"/>
              <w:right w:val="single" w:sz="4" w:space="0" w:color="FFFFFF"/>
            </w:tcBorders>
            <w:shd w:val="clear" w:color="auto" w:fill="auto"/>
            <w:noWrap/>
            <w:vAlign w:val="bottom"/>
            <w:hideMark/>
          </w:tcPr>
          <w:p w14:paraId="42D716D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23 773</w:t>
            </w:r>
          </w:p>
        </w:tc>
      </w:tr>
      <w:tr w:rsidR="00C16B47" w:rsidRPr="001F27A1" w14:paraId="5204FE65"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754FBBE6"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GTO</w:t>
            </w:r>
          </w:p>
        </w:tc>
        <w:tc>
          <w:tcPr>
            <w:tcW w:w="2140" w:type="dxa"/>
            <w:tcBorders>
              <w:top w:val="nil"/>
              <w:left w:val="nil"/>
              <w:bottom w:val="single" w:sz="4" w:space="0" w:color="FFFFFF"/>
              <w:right w:val="single" w:sz="4" w:space="0" w:color="FFFFFF"/>
            </w:tcBorders>
            <w:shd w:val="clear" w:color="auto" w:fill="auto"/>
            <w:noWrap/>
            <w:vAlign w:val="bottom"/>
            <w:hideMark/>
          </w:tcPr>
          <w:p w14:paraId="0EE86FAD"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131 341</w:t>
            </w:r>
          </w:p>
        </w:tc>
        <w:tc>
          <w:tcPr>
            <w:tcW w:w="1660" w:type="dxa"/>
            <w:tcBorders>
              <w:top w:val="nil"/>
              <w:left w:val="nil"/>
              <w:bottom w:val="single" w:sz="4" w:space="0" w:color="FFFFFF"/>
              <w:right w:val="single" w:sz="4" w:space="0" w:color="FFFFFF"/>
            </w:tcBorders>
            <w:shd w:val="clear" w:color="auto" w:fill="auto"/>
            <w:noWrap/>
            <w:vAlign w:val="bottom"/>
            <w:hideMark/>
          </w:tcPr>
          <w:p w14:paraId="061102E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114 632</w:t>
            </w:r>
          </w:p>
        </w:tc>
        <w:tc>
          <w:tcPr>
            <w:tcW w:w="1200" w:type="dxa"/>
            <w:tcBorders>
              <w:top w:val="nil"/>
              <w:left w:val="nil"/>
              <w:bottom w:val="single" w:sz="4" w:space="0" w:color="FFFFFF"/>
              <w:right w:val="single" w:sz="4" w:space="0" w:color="FFFFFF"/>
            </w:tcBorders>
            <w:shd w:val="clear" w:color="auto" w:fill="auto"/>
            <w:noWrap/>
            <w:vAlign w:val="bottom"/>
            <w:hideMark/>
          </w:tcPr>
          <w:p w14:paraId="55A96DE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9 343</w:t>
            </w:r>
          </w:p>
        </w:tc>
        <w:tc>
          <w:tcPr>
            <w:tcW w:w="1580" w:type="dxa"/>
            <w:tcBorders>
              <w:top w:val="nil"/>
              <w:left w:val="nil"/>
              <w:bottom w:val="single" w:sz="4" w:space="0" w:color="FFFFFF"/>
              <w:right w:val="single" w:sz="4" w:space="0" w:color="FFFFFF"/>
            </w:tcBorders>
            <w:shd w:val="clear" w:color="auto" w:fill="auto"/>
            <w:noWrap/>
            <w:vAlign w:val="bottom"/>
            <w:hideMark/>
          </w:tcPr>
          <w:p w14:paraId="5FEAE94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62 761</w:t>
            </w:r>
          </w:p>
        </w:tc>
      </w:tr>
      <w:tr w:rsidR="00C16B47" w:rsidRPr="001F27A1" w14:paraId="45458F17"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24A05736"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GRO</w:t>
            </w:r>
          </w:p>
        </w:tc>
        <w:tc>
          <w:tcPr>
            <w:tcW w:w="2140" w:type="dxa"/>
            <w:tcBorders>
              <w:top w:val="nil"/>
              <w:left w:val="nil"/>
              <w:bottom w:val="single" w:sz="4" w:space="0" w:color="FFFFFF"/>
              <w:right w:val="single" w:sz="4" w:space="0" w:color="FFFFFF"/>
            </w:tcBorders>
            <w:shd w:val="clear" w:color="auto" w:fill="auto"/>
            <w:noWrap/>
            <w:vAlign w:val="bottom"/>
            <w:hideMark/>
          </w:tcPr>
          <w:p w14:paraId="363E8963"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23 535</w:t>
            </w:r>
          </w:p>
        </w:tc>
        <w:tc>
          <w:tcPr>
            <w:tcW w:w="1660" w:type="dxa"/>
            <w:tcBorders>
              <w:top w:val="nil"/>
              <w:left w:val="nil"/>
              <w:bottom w:val="single" w:sz="4" w:space="0" w:color="FFFFFF"/>
              <w:right w:val="single" w:sz="4" w:space="0" w:color="FFFFFF"/>
            </w:tcBorders>
            <w:shd w:val="clear" w:color="auto" w:fill="auto"/>
            <w:noWrap/>
            <w:vAlign w:val="bottom"/>
            <w:hideMark/>
          </w:tcPr>
          <w:p w14:paraId="18295B7B"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22 799</w:t>
            </w:r>
          </w:p>
        </w:tc>
        <w:tc>
          <w:tcPr>
            <w:tcW w:w="1200" w:type="dxa"/>
            <w:tcBorders>
              <w:top w:val="nil"/>
              <w:left w:val="nil"/>
              <w:bottom w:val="single" w:sz="4" w:space="0" w:color="FFFFFF"/>
              <w:right w:val="single" w:sz="4" w:space="0" w:color="FFFFFF"/>
            </w:tcBorders>
            <w:shd w:val="clear" w:color="auto" w:fill="auto"/>
            <w:noWrap/>
            <w:vAlign w:val="bottom"/>
            <w:hideMark/>
          </w:tcPr>
          <w:p w14:paraId="05A7403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541</w:t>
            </w:r>
          </w:p>
        </w:tc>
        <w:tc>
          <w:tcPr>
            <w:tcW w:w="1580" w:type="dxa"/>
            <w:tcBorders>
              <w:top w:val="nil"/>
              <w:left w:val="nil"/>
              <w:bottom w:val="single" w:sz="4" w:space="0" w:color="FFFFFF"/>
              <w:right w:val="single" w:sz="4" w:space="0" w:color="FFFFFF"/>
            </w:tcBorders>
            <w:shd w:val="clear" w:color="auto" w:fill="auto"/>
            <w:noWrap/>
            <w:vAlign w:val="bottom"/>
            <w:hideMark/>
          </w:tcPr>
          <w:p w14:paraId="7C578992"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128 592</w:t>
            </w:r>
          </w:p>
        </w:tc>
      </w:tr>
      <w:tr w:rsidR="00C16B47" w:rsidRPr="001F27A1" w14:paraId="4DA93A76"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188F324F"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HGO</w:t>
            </w:r>
          </w:p>
        </w:tc>
        <w:tc>
          <w:tcPr>
            <w:tcW w:w="2140" w:type="dxa"/>
            <w:tcBorders>
              <w:top w:val="nil"/>
              <w:left w:val="nil"/>
              <w:bottom w:val="single" w:sz="4" w:space="0" w:color="FFFFFF"/>
              <w:right w:val="single" w:sz="4" w:space="0" w:color="FFFFFF"/>
            </w:tcBorders>
            <w:shd w:val="clear" w:color="auto" w:fill="auto"/>
            <w:noWrap/>
            <w:vAlign w:val="bottom"/>
            <w:hideMark/>
          </w:tcPr>
          <w:p w14:paraId="4889C914"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41 393</w:t>
            </w:r>
          </w:p>
        </w:tc>
        <w:tc>
          <w:tcPr>
            <w:tcW w:w="1660" w:type="dxa"/>
            <w:tcBorders>
              <w:top w:val="nil"/>
              <w:left w:val="nil"/>
              <w:bottom w:val="single" w:sz="4" w:space="0" w:color="FFFFFF"/>
              <w:right w:val="single" w:sz="4" w:space="0" w:color="FFFFFF"/>
            </w:tcBorders>
            <w:shd w:val="clear" w:color="auto" w:fill="auto"/>
            <w:noWrap/>
            <w:vAlign w:val="bottom"/>
            <w:hideMark/>
          </w:tcPr>
          <w:p w14:paraId="68F3EFE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6 372</w:t>
            </w:r>
          </w:p>
        </w:tc>
        <w:tc>
          <w:tcPr>
            <w:tcW w:w="1200" w:type="dxa"/>
            <w:tcBorders>
              <w:top w:val="nil"/>
              <w:left w:val="nil"/>
              <w:bottom w:val="single" w:sz="4" w:space="0" w:color="FFFFFF"/>
              <w:right w:val="single" w:sz="4" w:space="0" w:color="FFFFFF"/>
            </w:tcBorders>
            <w:shd w:val="clear" w:color="auto" w:fill="auto"/>
            <w:noWrap/>
            <w:vAlign w:val="bottom"/>
            <w:hideMark/>
          </w:tcPr>
          <w:p w14:paraId="7148A4B3"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3 273</w:t>
            </w:r>
          </w:p>
        </w:tc>
        <w:tc>
          <w:tcPr>
            <w:tcW w:w="1580" w:type="dxa"/>
            <w:tcBorders>
              <w:top w:val="nil"/>
              <w:left w:val="nil"/>
              <w:bottom w:val="single" w:sz="4" w:space="0" w:color="FFFFFF"/>
              <w:right w:val="single" w:sz="4" w:space="0" w:color="FFFFFF"/>
            </w:tcBorders>
            <w:shd w:val="clear" w:color="auto" w:fill="auto"/>
            <w:noWrap/>
            <w:vAlign w:val="bottom"/>
            <w:hideMark/>
          </w:tcPr>
          <w:p w14:paraId="0AE3510E"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175 765</w:t>
            </w:r>
          </w:p>
        </w:tc>
      </w:tr>
      <w:tr w:rsidR="00C16B47" w:rsidRPr="001F27A1" w14:paraId="3033F95E"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7034996E"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JAL</w:t>
            </w:r>
          </w:p>
        </w:tc>
        <w:tc>
          <w:tcPr>
            <w:tcW w:w="2140" w:type="dxa"/>
            <w:tcBorders>
              <w:top w:val="nil"/>
              <w:left w:val="nil"/>
              <w:bottom w:val="single" w:sz="4" w:space="0" w:color="FFFFFF"/>
              <w:right w:val="single" w:sz="4" w:space="0" w:color="FFFFFF"/>
            </w:tcBorders>
            <w:shd w:val="clear" w:color="auto" w:fill="auto"/>
            <w:noWrap/>
            <w:vAlign w:val="bottom"/>
            <w:hideMark/>
          </w:tcPr>
          <w:p w14:paraId="2CEF05A0"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134 184</w:t>
            </w:r>
          </w:p>
        </w:tc>
        <w:tc>
          <w:tcPr>
            <w:tcW w:w="1660" w:type="dxa"/>
            <w:tcBorders>
              <w:top w:val="nil"/>
              <w:left w:val="nil"/>
              <w:bottom w:val="single" w:sz="4" w:space="0" w:color="FFFFFF"/>
              <w:right w:val="single" w:sz="4" w:space="0" w:color="FFFFFF"/>
            </w:tcBorders>
            <w:shd w:val="clear" w:color="auto" w:fill="auto"/>
            <w:noWrap/>
            <w:vAlign w:val="bottom"/>
            <w:hideMark/>
          </w:tcPr>
          <w:p w14:paraId="68B79DEB"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117 747</w:t>
            </w:r>
          </w:p>
        </w:tc>
        <w:tc>
          <w:tcPr>
            <w:tcW w:w="1200" w:type="dxa"/>
            <w:tcBorders>
              <w:top w:val="nil"/>
              <w:left w:val="nil"/>
              <w:bottom w:val="single" w:sz="4" w:space="0" w:color="FFFFFF"/>
              <w:right w:val="single" w:sz="4" w:space="0" w:color="FFFFFF"/>
            </w:tcBorders>
            <w:shd w:val="clear" w:color="auto" w:fill="auto"/>
            <w:noWrap/>
            <w:vAlign w:val="bottom"/>
            <w:hideMark/>
          </w:tcPr>
          <w:p w14:paraId="6732358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4 553</w:t>
            </w:r>
          </w:p>
        </w:tc>
        <w:tc>
          <w:tcPr>
            <w:tcW w:w="1580" w:type="dxa"/>
            <w:tcBorders>
              <w:top w:val="nil"/>
              <w:left w:val="nil"/>
              <w:bottom w:val="single" w:sz="4" w:space="0" w:color="FFFFFF"/>
              <w:right w:val="single" w:sz="4" w:space="0" w:color="FFFFFF"/>
            </w:tcBorders>
            <w:shd w:val="clear" w:color="auto" w:fill="auto"/>
            <w:noWrap/>
            <w:vAlign w:val="bottom"/>
            <w:hideMark/>
          </w:tcPr>
          <w:p w14:paraId="0C3D8C1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311 384</w:t>
            </w:r>
          </w:p>
        </w:tc>
      </w:tr>
      <w:tr w:rsidR="00C16B47" w:rsidRPr="001F27A1" w14:paraId="6C2DBE5A"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54F248AA"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MEX</w:t>
            </w:r>
          </w:p>
        </w:tc>
        <w:tc>
          <w:tcPr>
            <w:tcW w:w="2140" w:type="dxa"/>
            <w:tcBorders>
              <w:top w:val="nil"/>
              <w:left w:val="nil"/>
              <w:bottom w:val="single" w:sz="4" w:space="0" w:color="FFFFFF"/>
              <w:right w:val="single" w:sz="4" w:space="0" w:color="FFFFFF"/>
            </w:tcBorders>
            <w:shd w:val="clear" w:color="auto" w:fill="auto"/>
            <w:noWrap/>
            <w:vAlign w:val="bottom"/>
            <w:hideMark/>
          </w:tcPr>
          <w:p w14:paraId="6DDA807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346 401</w:t>
            </w:r>
          </w:p>
        </w:tc>
        <w:tc>
          <w:tcPr>
            <w:tcW w:w="1660" w:type="dxa"/>
            <w:tcBorders>
              <w:top w:val="nil"/>
              <w:left w:val="nil"/>
              <w:bottom w:val="single" w:sz="4" w:space="0" w:color="FFFFFF"/>
              <w:right w:val="single" w:sz="4" w:space="0" w:color="FFFFFF"/>
            </w:tcBorders>
            <w:shd w:val="clear" w:color="auto" w:fill="auto"/>
            <w:noWrap/>
            <w:vAlign w:val="bottom"/>
            <w:hideMark/>
          </w:tcPr>
          <w:p w14:paraId="727F45D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108 201</w:t>
            </w:r>
          </w:p>
        </w:tc>
        <w:tc>
          <w:tcPr>
            <w:tcW w:w="1200" w:type="dxa"/>
            <w:tcBorders>
              <w:top w:val="nil"/>
              <w:left w:val="nil"/>
              <w:bottom w:val="single" w:sz="4" w:space="0" w:color="FFFFFF"/>
              <w:right w:val="single" w:sz="4" w:space="0" w:color="FFFFFF"/>
            </w:tcBorders>
            <w:shd w:val="clear" w:color="auto" w:fill="auto"/>
            <w:noWrap/>
            <w:vAlign w:val="bottom"/>
            <w:hideMark/>
          </w:tcPr>
          <w:p w14:paraId="17A76FF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346 609</w:t>
            </w:r>
          </w:p>
        </w:tc>
        <w:tc>
          <w:tcPr>
            <w:tcW w:w="1580" w:type="dxa"/>
            <w:tcBorders>
              <w:top w:val="nil"/>
              <w:left w:val="nil"/>
              <w:bottom w:val="single" w:sz="4" w:space="0" w:color="FFFFFF"/>
              <w:right w:val="single" w:sz="4" w:space="0" w:color="FFFFFF"/>
            </w:tcBorders>
            <w:shd w:val="clear" w:color="auto" w:fill="auto"/>
            <w:noWrap/>
            <w:vAlign w:val="bottom"/>
            <w:hideMark/>
          </w:tcPr>
          <w:p w14:paraId="0D7F6AB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62 095</w:t>
            </w:r>
          </w:p>
        </w:tc>
      </w:tr>
      <w:tr w:rsidR="00C16B47" w:rsidRPr="001F27A1" w14:paraId="6E841AF3"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31EC74AA"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MICH</w:t>
            </w:r>
          </w:p>
        </w:tc>
        <w:tc>
          <w:tcPr>
            <w:tcW w:w="2140" w:type="dxa"/>
            <w:tcBorders>
              <w:top w:val="nil"/>
              <w:left w:val="nil"/>
              <w:bottom w:val="single" w:sz="4" w:space="0" w:color="FFFFFF"/>
              <w:right w:val="single" w:sz="4" w:space="0" w:color="FFFFFF"/>
            </w:tcBorders>
            <w:shd w:val="clear" w:color="auto" w:fill="auto"/>
            <w:noWrap/>
            <w:vAlign w:val="bottom"/>
            <w:hideMark/>
          </w:tcPr>
          <w:p w14:paraId="57445BD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46 002</w:t>
            </w:r>
          </w:p>
        </w:tc>
        <w:tc>
          <w:tcPr>
            <w:tcW w:w="1660" w:type="dxa"/>
            <w:tcBorders>
              <w:top w:val="nil"/>
              <w:left w:val="nil"/>
              <w:bottom w:val="single" w:sz="4" w:space="0" w:color="FFFFFF"/>
              <w:right w:val="single" w:sz="4" w:space="0" w:color="FFFFFF"/>
            </w:tcBorders>
            <w:shd w:val="clear" w:color="auto" w:fill="auto"/>
            <w:noWrap/>
            <w:vAlign w:val="bottom"/>
            <w:hideMark/>
          </w:tcPr>
          <w:p w14:paraId="74856A1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22 273</w:t>
            </w:r>
          </w:p>
        </w:tc>
        <w:tc>
          <w:tcPr>
            <w:tcW w:w="1200" w:type="dxa"/>
            <w:tcBorders>
              <w:top w:val="nil"/>
              <w:left w:val="nil"/>
              <w:bottom w:val="single" w:sz="4" w:space="0" w:color="FFFFFF"/>
              <w:right w:val="single" w:sz="4" w:space="0" w:color="FFFFFF"/>
            </w:tcBorders>
            <w:shd w:val="clear" w:color="auto" w:fill="auto"/>
            <w:noWrap/>
            <w:vAlign w:val="bottom"/>
            <w:hideMark/>
          </w:tcPr>
          <w:p w14:paraId="3D445D75"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1 143</w:t>
            </w:r>
          </w:p>
        </w:tc>
        <w:tc>
          <w:tcPr>
            <w:tcW w:w="1580" w:type="dxa"/>
            <w:tcBorders>
              <w:top w:val="nil"/>
              <w:left w:val="nil"/>
              <w:bottom w:val="single" w:sz="4" w:space="0" w:color="FFFFFF"/>
              <w:right w:val="single" w:sz="4" w:space="0" w:color="FFFFFF"/>
            </w:tcBorders>
            <w:shd w:val="clear" w:color="auto" w:fill="auto"/>
            <w:noWrap/>
            <w:vAlign w:val="bottom"/>
            <w:hideMark/>
          </w:tcPr>
          <w:p w14:paraId="02C22EA5"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24 604</w:t>
            </w:r>
          </w:p>
        </w:tc>
      </w:tr>
      <w:tr w:rsidR="00C16B47" w:rsidRPr="001F27A1" w14:paraId="1E8F6E7B"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5D0AC028"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MOR</w:t>
            </w:r>
          </w:p>
        </w:tc>
        <w:tc>
          <w:tcPr>
            <w:tcW w:w="2140" w:type="dxa"/>
            <w:tcBorders>
              <w:top w:val="nil"/>
              <w:left w:val="nil"/>
              <w:bottom w:val="single" w:sz="4" w:space="0" w:color="FFFFFF"/>
              <w:right w:val="single" w:sz="4" w:space="0" w:color="FFFFFF"/>
            </w:tcBorders>
            <w:shd w:val="clear" w:color="auto" w:fill="auto"/>
            <w:noWrap/>
            <w:vAlign w:val="bottom"/>
            <w:hideMark/>
          </w:tcPr>
          <w:p w14:paraId="007AB43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43 903</w:t>
            </w:r>
          </w:p>
        </w:tc>
        <w:tc>
          <w:tcPr>
            <w:tcW w:w="1660" w:type="dxa"/>
            <w:tcBorders>
              <w:top w:val="nil"/>
              <w:left w:val="nil"/>
              <w:bottom w:val="single" w:sz="4" w:space="0" w:color="FFFFFF"/>
              <w:right w:val="single" w:sz="4" w:space="0" w:color="FFFFFF"/>
            </w:tcBorders>
            <w:shd w:val="clear" w:color="auto" w:fill="auto"/>
            <w:noWrap/>
            <w:vAlign w:val="bottom"/>
            <w:hideMark/>
          </w:tcPr>
          <w:p w14:paraId="7E619612"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13 589</w:t>
            </w:r>
          </w:p>
        </w:tc>
        <w:tc>
          <w:tcPr>
            <w:tcW w:w="1200" w:type="dxa"/>
            <w:tcBorders>
              <w:top w:val="nil"/>
              <w:left w:val="nil"/>
              <w:bottom w:val="single" w:sz="4" w:space="0" w:color="FFFFFF"/>
              <w:right w:val="single" w:sz="4" w:space="0" w:color="FFFFFF"/>
            </w:tcBorders>
            <w:shd w:val="clear" w:color="auto" w:fill="auto"/>
            <w:noWrap/>
            <w:vAlign w:val="bottom"/>
            <w:hideMark/>
          </w:tcPr>
          <w:p w14:paraId="00C731C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1 588</w:t>
            </w:r>
          </w:p>
        </w:tc>
        <w:tc>
          <w:tcPr>
            <w:tcW w:w="1580" w:type="dxa"/>
            <w:tcBorders>
              <w:top w:val="nil"/>
              <w:left w:val="nil"/>
              <w:bottom w:val="single" w:sz="4" w:space="0" w:color="FFFFFF"/>
              <w:right w:val="single" w:sz="4" w:space="0" w:color="FFFFFF"/>
            </w:tcBorders>
            <w:shd w:val="clear" w:color="auto" w:fill="auto"/>
            <w:noWrap/>
            <w:vAlign w:val="bottom"/>
            <w:hideMark/>
          </w:tcPr>
          <w:p w14:paraId="74CE047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34 858</w:t>
            </w:r>
          </w:p>
        </w:tc>
      </w:tr>
      <w:tr w:rsidR="00C16B47" w:rsidRPr="001F27A1" w14:paraId="4C2DE02A"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7F8E2ABD"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NAY</w:t>
            </w:r>
          </w:p>
        </w:tc>
        <w:tc>
          <w:tcPr>
            <w:tcW w:w="2140" w:type="dxa"/>
            <w:tcBorders>
              <w:top w:val="nil"/>
              <w:left w:val="nil"/>
              <w:bottom w:val="single" w:sz="4" w:space="0" w:color="FFFFFF"/>
              <w:right w:val="single" w:sz="4" w:space="0" w:color="FFFFFF"/>
            </w:tcBorders>
            <w:shd w:val="clear" w:color="auto" w:fill="auto"/>
            <w:noWrap/>
            <w:vAlign w:val="bottom"/>
            <w:hideMark/>
          </w:tcPr>
          <w:p w14:paraId="0C0A8E7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5 181</w:t>
            </w:r>
          </w:p>
        </w:tc>
        <w:tc>
          <w:tcPr>
            <w:tcW w:w="1660" w:type="dxa"/>
            <w:tcBorders>
              <w:top w:val="nil"/>
              <w:left w:val="nil"/>
              <w:bottom w:val="single" w:sz="4" w:space="0" w:color="FFFFFF"/>
              <w:right w:val="single" w:sz="4" w:space="0" w:color="FFFFFF"/>
            </w:tcBorders>
            <w:shd w:val="clear" w:color="auto" w:fill="auto"/>
            <w:noWrap/>
            <w:vAlign w:val="bottom"/>
            <w:hideMark/>
          </w:tcPr>
          <w:p w14:paraId="0C095F1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4 858</w:t>
            </w:r>
          </w:p>
        </w:tc>
        <w:tc>
          <w:tcPr>
            <w:tcW w:w="1200" w:type="dxa"/>
            <w:tcBorders>
              <w:top w:val="nil"/>
              <w:left w:val="nil"/>
              <w:bottom w:val="single" w:sz="4" w:space="0" w:color="FFFFFF"/>
              <w:right w:val="single" w:sz="4" w:space="0" w:color="FFFFFF"/>
            </w:tcBorders>
            <w:shd w:val="clear" w:color="auto" w:fill="auto"/>
            <w:noWrap/>
            <w:vAlign w:val="bottom"/>
            <w:hideMark/>
          </w:tcPr>
          <w:p w14:paraId="5E922E6D"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3 827</w:t>
            </w:r>
          </w:p>
        </w:tc>
        <w:tc>
          <w:tcPr>
            <w:tcW w:w="1580" w:type="dxa"/>
            <w:tcBorders>
              <w:top w:val="nil"/>
              <w:left w:val="nil"/>
              <w:bottom w:val="single" w:sz="4" w:space="0" w:color="FFFFFF"/>
              <w:right w:val="single" w:sz="4" w:space="0" w:color="FFFFFF"/>
            </w:tcBorders>
            <w:shd w:val="clear" w:color="auto" w:fill="auto"/>
            <w:noWrap/>
            <w:vAlign w:val="bottom"/>
            <w:hideMark/>
          </w:tcPr>
          <w:p w14:paraId="290BFE7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5 049</w:t>
            </w:r>
          </w:p>
        </w:tc>
      </w:tr>
      <w:tr w:rsidR="00C16B47" w:rsidRPr="001F27A1" w14:paraId="7A2B2BFB"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16FD894C"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NL</w:t>
            </w:r>
          </w:p>
        </w:tc>
        <w:tc>
          <w:tcPr>
            <w:tcW w:w="2140" w:type="dxa"/>
            <w:tcBorders>
              <w:top w:val="nil"/>
              <w:left w:val="nil"/>
              <w:bottom w:val="single" w:sz="4" w:space="0" w:color="FFFFFF"/>
              <w:right w:val="single" w:sz="4" w:space="0" w:color="FFFFFF"/>
            </w:tcBorders>
            <w:shd w:val="clear" w:color="auto" w:fill="auto"/>
            <w:noWrap/>
            <w:vAlign w:val="bottom"/>
            <w:hideMark/>
          </w:tcPr>
          <w:p w14:paraId="1788DA84"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92 171</w:t>
            </w:r>
          </w:p>
        </w:tc>
        <w:tc>
          <w:tcPr>
            <w:tcW w:w="1660" w:type="dxa"/>
            <w:tcBorders>
              <w:top w:val="nil"/>
              <w:left w:val="nil"/>
              <w:bottom w:val="single" w:sz="4" w:space="0" w:color="FFFFFF"/>
              <w:right w:val="single" w:sz="4" w:space="0" w:color="FFFFFF"/>
            </w:tcBorders>
            <w:shd w:val="clear" w:color="auto" w:fill="auto"/>
            <w:noWrap/>
            <w:vAlign w:val="bottom"/>
            <w:hideMark/>
          </w:tcPr>
          <w:p w14:paraId="7833AC60"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78 482</w:t>
            </w:r>
          </w:p>
        </w:tc>
        <w:tc>
          <w:tcPr>
            <w:tcW w:w="1200" w:type="dxa"/>
            <w:tcBorders>
              <w:top w:val="nil"/>
              <w:left w:val="nil"/>
              <w:bottom w:val="single" w:sz="4" w:space="0" w:color="FFFFFF"/>
              <w:right w:val="single" w:sz="4" w:space="0" w:color="FFFFFF"/>
            </w:tcBorders>
            <w:shd w:val="clear" w:color="auto" w:fill="auto"/>
            <w:noWrap/>
            <w:vAlign w:val="bottom"/>
            <w:hideMark/>
          </w:tcPr>
          <w:p w14:paraId="7168E871"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33 093</w:t>
            </w:r>
          </w:p>
        </w:tc>
        <w:tc>
          <w:tcPr>
            <w:tcW w:w="1580" w:type="dxa"/>
            <w:tcBorders>
              <w:top w:val="nil"/>
              <w:left w:val="nil"/>
              <w:bottom w:val="single" w:sz="4" w:space="0" w:color="FFFFFF"/>
              <w:right w:val="single" w:sz="4" w:space="0" w:color="FFFFFF"/>
            </w:tcBorders>
            <w:shd w:val="clear" w:color="auto" w:fill="auto"/>
            <w:noWrap/>
            <w:vAlign w:val="bottom"/>
            <w:hideMark/>
          </w:tcPr>
          <w:p w14:paraId="60AA23C5"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220 366</w:t>
            </w:r>
          </w:p>
        </w:tc>
      </w:tr>
      <w:tr w:rsidR="00C16B47" w:rsidRPr="001F27A1" w14:paraId="24E1737F"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65434035"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OAX</w:t>
            </w:r>
          </w:p>
        </w:tc>
        <w:tc>
          <w:tcPr>
            <w:tcW w:w="2140" w:type="dxa"/>
            <w:tcBorders>
              <w:top w:val="nil"/>
              <w:left w:val="nil"/>
              <w:bottom w:val="single" w:sz="4" w:space="0" w:color="FFFFFF"/>
              <w:right w:val="single" w:sz="4" w:space="0" w:color="FFFFFF"/>
            </w:tcBorders>
            <w:shd w:val="clear" w:color="auto" w:fill="auto"/>
            <w:noWrap/>
            <w:vAlign w:val="bottom"/>
            <w:hideMark/>
          </w:tcPr>
          <w:p w14:paraId="60030D30"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43 469</w:t>
            </w:r>
          </w:p>
        </w:tc>
        <w:tc>
          <w:tcPr>
            <w:tcW w:w="1660" w:type="dxa"/>
            <w:tcBorders>
              <w:top w:val="nil"/>
              <w:left w:val="nil"/>
              <w:bottom w:val="single" w:sz="4" w:space="0" w:color="FFFFFF"/>
              <w:right w:val="single" w:sz="4" w:space="0" w:color="FFFFFF"/>
            </w:tcBorders>
            <w:shd w:val="clear" w:color="auto" w:fill="auto"/>
            <w:noWrap/>
            <w:vAlign w:val="bottom"/>
            <w:hideMark/>
          </w:tcPr>
          <w:p w14:paraId="701DE5C4"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7 139</w:t>
            </w:r>
          </w:p>
        </w:tc>
        <w:tc>
          <w:tcPr>
            <w:tcW w:w="1200" w:type="dxa"/>
            <w:tcBorders>
              <w:top w:val="nil"/>
              <w:left w:val="nil"/>
              <w:bottom w:val="single" w:sz="4" w:space="0" w:color="FFFFFF"/>
              <w:right w:val="single" w:sz="4" w:space="0" w:color="FFFFFF"/>
            </w:tcBorders>
            <w:shd w:val="clear" w:color="auto" w:fill="auto"/>
            <w:noWrap/>
            <w:vAlign w:val="bottom"/>
            <w:hideMark/>
          </w:tcPr>
          <w:p w14:paraId="46048FA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7 693</w:t>
            </w:r>
          </w:p>
        </w:tc>
        <w:tc>
          <w:tcPr>
            <w:tcW w:w="1580" w:type="dxa"/>
            <w:tcBorders>
              <w:top w:val="nil"/>
              <w:left w:val="nil"/>
              <w:bottom w:val="single" w:sz="4" w:space="0" w:color="FFFFFF"/>
              <w:right w:val="single" w:sz="4" w:space="0" w:color="FFFFFF"/>
            </w:tcBorders>
            <w:shd w:val="clear" w:color="auto" w:fill="auto"/>
            <w:noWrap/>
            <w:vAlign w:val="bottom"/>
            <w:hideMark/>
          </w:tcPr>
          <w:p w14:paraId="3807F8D2"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73 407</w:t>
            </w:r>
          </w:p>
        </w:tc>
      </w:tr>
      <w:tr w:rsidR="00C16B47" w:rsidRPr="001F27A1" w14:paraId="7AF0A92D"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7818957E"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PUE</w:t>
            </w:r>
          </w:p>
        </w:tc>
        <w:tc>
          <w:tcPr>
            <w:tcW w:w="2140" w:type="dxa"/>
            <w:tcBorders>
              <w:top w:val="nil"/>
              <w:left w:val="nil"/>
              <w:bottom w:val="single" w:sz="4" w:space="0" w:color="FFFFFF"/>
              <w:right w:val="single" w:sz="4" w:space="0" w:color="FFFFFF"/>
            </w:tcBorders>
            <w:shd w:val="clear" w:color="auto" w:fill="auto"/>
            <w:noWrap/>
            <w:vAlign w:val="bottom"/>
            <w:hideMark/>
          </w:tcPr>
          <w:p w14:paraId="622BF21D"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75 141</w:t>
            </w:r>
          </w:p>
        </w:tc>
        <w:tc>
          <w:tcPr>
            <w:tcW w:w="1660" w:type="dxa"/>
            <w:tcBorders>
              <w:top w:val="nil"/>
              <w:left w:val="nil"/>
              <w:bottom w:val="single" w:sz="4" w:space="0" w:color="FFFFFF"/>
              <w:right w:val="single" w:sz="4" w:space="0" w:color="FFFFFF"/>
            </w:tcBorders>
            <w:shd w:val="clear" w:color="auto" w:fill="auto"/>
            <w:noWrap/>
            <w:vAlign w:val="bottom"/>
            <w:hideMark/>
          </w:tcPr>
          <w:p w14:paraId="4AF43FBD"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119 241</w:t>
            </w:r>
          </w:p>
        </w:tc>
        <w:tc>
          <w:tcPr>
            <w:tcW w:w="1200" w:type="dxa"/>
            <w:tcBorders>
              <w:top w:val="nil"/>
              <w:left w:val="nil"/>
              <w:bottom w:val="single" w:sz="4" w:space="0" w:color="FFFFFF"/>
              <w:right w:val="single" w:sz="4" w:space="0" w:color="FFFFFF"/>
            </w:tcBorders>
            <w:shd w:val="clear" w:color="auto" w:fill="auto"/>
            <w:noWrap/>
            <w:vAlign w:val="bottom"/>
            <w:hideMark/>
          </w:tcPr>
          <w:p w14:paraId="173E2382"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6 938</w:t>
            </w:r>
          </w:p>
        </w:tc>
        <w:tc>
          <w:tcPr>
            <w:tcW w:w="1580" w:type="dxa"/>
            <w:tcBorders>
              <w:top w:val="nil"/>
              <w:left w:val="nil"/>
              <w:bottom w:val="single" w:sz="4" w:space="0" w:color="FFFFFF"/>
              <w:right w:val="single" w:sz="4" w:space="0" w:color="FFFFFF"/>
            </w:tcBorders>
            <w:shd w:val="clear" w:color="auto" w:fill="auto"/>
            <w:noWrap/>
            <w:vAlign w:val="bottom"/>
            <w:hideMark/>
          </w:tcPr>
          <w:p w14:paraId="45E4F0A4"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53 321</w:t>
            </w:r>
          </w:p>
        </w:tc>
      </w:tr>
      <w:tr w:rsidR="00C16B47" w:rsidRPr="001F27A1" w14:paraId="3F7762FB"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7D972F3C"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QRO</w:t>
            </w:r>
          </w:p>
        </w:tc>
        <w:tc>
          <w:tcPr>
            <w:tcW w:w="2140" w:type="dxa"/>
            <w:tcBorders>
              <w:top w:val="nil"/>
              <w:left w:val="nil"/>
              <w:bottom w:val="single" w:sz="4" w:space="0" w:color="FFFFFF"/>
              <w:right w:val="single" w:sz="4" w:space="0" w:color="FFFFFF"/>
            </w:tcBorders>
            <w:shd w:val="clear" w:color="auto" w:fill="auto"/>
            <w:noWrap/>
            <w:vAlign w:val="bottom"/>
            <w:hideMark/>
          </w:tcPr>
          <w:p w14:paraId="2BFC15C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53 285</w:t>
            </w:r>
          </w:p>
        </w:tc>
        <w:tc>
          <w:tcPr>
            <w:tcW w:w="1660" w:type="dxa"/>
            <w:tcBorders>
              <w:top w:val="nil"/>
              <w:left w:val="nil"/>
              <w:bottom w:val="single" w:sz="4" w:space="0" w:color="FFFFFF"/>
              <w:right w:val="single" w:sz="4" w:space="0" w:color="FFFFFF"/>
            </w:tcBorders>
            <w:shd w:val="clear" w:color="auto" w:fill="auto"/>
            <w:noWrap/>
            <w:vAlign w:val="bottom"/>
            <w:hideMark/>
          </w:tcPr>
          <w:p w14:paraId="00DCF67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49 524</w:t>
            </w:r>
          </w:p>
        </w:tc>
        <w:tc>
          <w:tcPr>
            <w:tcW w:w="1200" w:type="dxa"/>
            <w:tcBorders>
              <w:top w:val="nil"/>
              <w:left w:val="nil"/>
              <w:bottom w:val="single" w:sz="4" w:space="0" w:color="FFFFFF"/>
              <w:right w:val="single" w:sz="4" w:space="0" w:color="FFFFFF"/>
            </w:tcBorders>
            <w:shd w:val="clear" w:color="auto" w:fill="auto"/>
            <w:noWrap/>
            <w:vAlign w:val="bottom"/>
            <w:hideMark/>
          </w:tcPr>
          <w:p w14:paraId="37E83EBF"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2 615</w:t>
            </w:r>
          </w:p>
        </w:tc>
        <w:tc>
          <w:tcPr>
            <w:tcW w:w="1580" w:type="dxa"/>
            <w:tcBorders>
              <w:top w:val="nil"/>
              <w:left w:val="nil"/>
              <w:bottom w:val="single" w:sz="4" w:space="0" w:color="FFFFFF"/>
              <w:right w:val="single" w:sz="4" w:space="0" w:color="FFFFFF"/>
            </w:tcBorders>
            <w:shd w:val="clear" w:color="auto" w:fill="auto"/>
            <w:noWrap/>
            <w:vAlign w:val="bottom"/>
            <w:hideMark/>
          </w:tcPr>
          <w:p w14:paraId="63BC077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35 832</w:t>
            </w:r>
          </w:p>
        </w:tc>
      </w:tr>
      <w:tr w:rsidR="00C16B47" w:rsidRPr="001F27A1" w14:paraId="43450835"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621D0F99"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QROO</w:t>
            </w:r>
          </w:p>
        </w:tc>
        <w:tc>
          <w:tcPr>
            <w:tcW w:w="2140" w:type="dxa"/>
            <w:tcBorders>
              <w:top w:val="nil"/>
              <w:left w:val="nil"/>
              <w:bottom w:val="single" w:sz="4" w:space="0" w:color="FFFFFF"/>
              <w:right w:val="single" w:sz="4" w:space="0" w:color="FFFFFF"/>
            </w:tcBorders>
            <w:shd w:val="clear" w:color="auto" w:fill="auto"/>
            <w:noWrap/>
            <w:vAlign w:val="bottom"/>
            <w:hideMark/>
          </w:tcPr>
          <w:p w14:paraId="0FEC4750"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48 200</w:t>
            </w:r>
          </w:p>
        </w:tc>
        <w:tc>
          <w:tcPr>
            <w:tcW w:w="1660" w:type="dxa"/>
            <w:tcBorders>
              <w:top w:val="nil"/>
              <w:left w:val="nil"/>
              <w:bottom w:val="single" w:sz="4" w:space="0" w:color="FFFFFF"/>
              <w:right w:val="single" w:sz="4" w:space="0" w:color="FFFFFF"/>
            </w:tcBorders>
            <w:shd w:val="clear" w:color="auto" w:fill="auto"/>
            <w:noWrap/>
            <w:vAlign w:val="bottom"/>
            <w:hideMark/>
          </w:tcPr>
          <w:p w14:paraId="76787CA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17 182</w:t>
            </w:r>
          </w:p>
        </w:tc>
        <w:tc>
          <w:tcPr>
            <w:tcW w:w="1200" w:type="dxa"/>
            <w:tcBorders>
              <w:top w:val="nil"/>
              <w:left w:val="nil"/>
              <w:bottom w:val="single" w:sz="4" w:space="0" w:color="FFFFFF"/>
              <w:right w:val="single" w:sz="4" w:space="0" w:color="FFFFFF"/>
            </w:tcBorders>
            <w:shd w:val="clear" w:color="auto" w:fill="auto"/>
            <w:noWrap/>
            <w:vAlign w:val="bottom"/>
            <w:hideMark/>
          </w:tcPr>
          <w:p w14:paraId="07534CDE"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808</w:t>
            </w:r>
          </w:p>
        </w:tc>
        <w:tc>
          <w:tcPr>
            <w:tcW w:w="1580" w:type="dxa"/>
            <w:tcBorders>
              <w:top w:val="nil"/>
              <w:left w:val="nil"/>
              <w:bottom w:val="single" w:sz="4" w:space="0" w:color="FFFFFF"/>
              <w:right w:val="single" w:sz="4" w:space="0" w:color="FFFFFF"/>
            </w:tcBorders>
            <w:shd w:val="clear" w:color="auto" w:fill="auto"/>
            <w:noWrap/>
            <w:vAlign w:val="bottom"/>
            <w:hideMark/>
          </w:tcPr>
          <w:p w14:paraId="21B8A2A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39 196</w:t>
            </w:r>
          </w:p>
        </w:tc>
      </w:tr>
      <w:tr w:rsidR="00C16B47" w:rsidRPr="001F27A1" w14:paraId="25AB3F1D"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4A58B8CA"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SLP</w:t>
            </w:r>
          </w:p>
        </w:tc>
        <w:tc>
          <w:tcPr>
            <w:tcW w:w="2140" w:type="dxa"/>
            <w:tcBorders>
              <w:top w:val="nil"/>
              <w:left w:val="nil"/>
              <w:bottom w:val="single" w:sz="4" w:space="0" w:color="FFFFFF"/>
              <w:right w:val="single" w:sz="4" w:space="0" w:color="FFFFFF"/>
            </w:tcBorders>
            <w:shd w:val="clear" w:color="auto" w:fill="auto"/>
            <w:noWrap/>
            <w:vAlign w:val="bottom"/>
            <w:hideMark/>
          </w:tcPr>
          <w:p w14:paraId="48B5E790"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51 070</w:t>
            </w:r>
          </w:p>
        </w:tc>
        <w:tc>
          <w:tcPr>
            <w:tcW w:w="1660" w:type="dxa"/>
            <w:tcBorders>
              <w:top w:val="nil"/>
              <w:left w:val="nil"/>
              <w:bottom w:val="single" w:sz="4" w:space="0" w:color="FFFFFF"/>
              <w:right w:val="single" w:sz="4" w:space="0" w:color="FFFFFF"/>
            </w:tcBorders>
            <w:shd w:val="clear" w:color="auto" w:fill="auto"/>
            <w:noWrap/>
            <w:vAlign w:val="bottom"/>
            <w:hideMark/>
          </w:tcPr>
          <w:p w14:paraId="0581526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43 055</w:t>
            </w:r>
          </w:p>
        </w:tc>
        <w:tc>
          <w:tcPr>
            <w:tcW w:w="1200" w:type="dxa"/>
            <w:tcBorders>
              <w:top w:val="nil"/>
              <w:left w:val="nil"/>
              <w:bottom w:val="single" w:sz="4" w:space="0" w:color="FFFFFF"/>
              <w:right w:val="single" w:sz="4" w:space="0" w:color="FFFFFF"/>
            </w:tcBorders>
            <w:shd w:val="clear" w:color="auto" w:fill="auto"/>
            <w:noWrap/>
            <w:vAlign w:val="bottom"/>
            <w:hideMark/>
          </w:tcPr>
          <w:p w14:paraId="4D434A7B"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1 565</w:t>
            </w:r>
          </w:p>
        </w:tc>
        <w:tc>
          <w:tcPr>
            <w:tcW w:w="1580" w:type="dxa"/>
            <w:tcBorders>
              <w:top w:val="nil"/>
              <w:left w:val="nil"/>
              <w:bottom w:val="single" w:sz="4" w:space="0" w:color="FFFFFF"/>
              <w:right w:val="single" w:sz="4" w:space="0" w:color="FFFFFF"/>
            </w:tcBorders>
            <w:shd w:val="clear" w:color="auto" w:fill="auto"/>
            <w:noWrap/>
            <w:vAlign w:val="bottom"/>
            <w:hideMark/>
          </w:tcPr>
          <w:p w14:paraId="298D1D56"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35 130</w:t>
            </w:r>
          </w:p>
        </w:tc>
      </w:tr>
      <w:tr w:rsidR="00C16B47" w:rsidRPr="001F27A1" w14:paraId="5F266BB1"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35A11154"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SIN</w:t>
            </w:r>
          </w:p>
        </w:tc>
        <w:tc>
          <w:tcPr>
            <w:tcW w:w="2140" w:type="dxa"/>
            <w:tcBorders>
              <w:top w:val="nil"/>
              <w:left w:val="nil"/>
              <w:bottom w:val="single" w:sz="4" w:space="0" w:color="FFFFFF"/>
              <w:right w:val="single" w:sz="4" w:space="0" w:color="FFFFFF"/>
            </w:tcBorders>
            <w:shd w:val="clear" w:color="auto" w:fill="auto"/>
            <w:noWrap/>
            <w:vAlign w:val="bottom"/>
            <w:hideMark/>
          </w:tcPr>
          <w:p w14:paraId="7F229C8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26 027</w:t>
            </w:r>
          </w:p>
        </w:tc>
        <w:tc>
          <w:tcPr>
            <w:tcW w:w="1660" w:type="dxa"/>
            <w:tcBorders>
              <w:top w:val="nil"/>
              <w:left w:val="nil"/>
              <w:bottom w:val="single" w:sz="4" w:space="0" w:color="FFFFFF"/>
              <w:right w:val="single" w:sz="4" w:space="0" w:color="FFFFFF"/>
            </w:tcBorders>
            <w:shd w:val="clear" w:color="auto" w:fill="auto"/>
            <w:noWrap/>
            <w:vAlign w:val="bottom"/>
            <w:hideMark/>
          </w:tcPr>
          <w:p w14:paraId="6DDBDF2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25 986</w:t>
            </w:r>
          </w:p>
        </w:tc>
        <w:tc>
          <w:tcPr>
            <w:tcW w:w="1200" w:type="dxa"/>
            <w:tcBorders>
              <w:top w:val="nil"/>
              <w:left w:val="nil"/>
              <w:bottom w:val="single" w:sz="4" w:space="0" w:color="FFFFFF"/>
              <w:right w:val="single" w:sz="4" w:space="0" w:color="FFFFFF"/>
            </w:tcBorders>
            <w:shd w:val="clear" w:color="auto" w:fill="auto"/>
            <w:noWrap/>
            <w:vAlign w:val="bottom"/>
            <w:hideMark/>
          </w:tcPr>
          <w:p w14:paraId="270CBB9A"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7 929</w:t>
            </w:r>
          </w:p>
        </w:tc>
        <w:tc>
          <w:tcPr>
            <w:tcW w:w="1580" w:type="dxa"/>
            <w:tcBorders>
              <w:top w:val="nil"/>
              <w:left w:val="nil"/>
              <w:bottom w:val="single" w:sz="4" w:space="0" w:color="FFFFFF"/>
              <w:right w:val="single" w:sz="4" w:space="0" w:color="FFFFFF"/>
            </w:tcBorders>
            <w:shd w:val="clear" w:color="auto" w:fill="auto"/>
            <w:noWrap/>
            <w:vAlign w:val="bottom"/>
            <w:hideMark/>
          </w:tcPr>
          <w:p w14:paraId="2E85D41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74 704</w:t>
            </w:r>
          </w:p>
        </w:tc>
      </w:tr>
      <w:tr w:rsidR="00C16B47" w:rsidRPr="001F27A1" w14:paraId="0C72F5D1"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5FFE505F"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SON</w:t>
            </w:r>
          </w:p>
        </w:tc>
        <w:tc>
          <w:tcPr>
            <w:tcW w:w="2140" w:type="dxa"/>
            <w:tcBorders>
              <w:top w:val="nil"/>
              <w:left w:val="nil"/>
              <w:bottom w:val="single" w:sz="4" w:space="0" w:color="FFFFFF"/>
              <w:right w:val="single" w:sz="4" w:space="0" w:color="FFFFFF"/>
            </w:tcBorders>
            <w:shd w:val="clear" w:color="auto" w:fill="auto"/>
            <w:noWrap/>
            <w:vAlign w:val="bottom"/>
            <w:hideMark/>
          </w:tcPr>
          <w:p w14:paraId="3A5E3C01"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35 995</w:t>
            </w:r>
          </w:p>
        </w:tc>
        <w:tc>
          <w:tcPr>
            <w:tcW w:w="1660" w:type="dxa"/>
            <w:tcBorders>
              <w:top w:val="nil"/>
              <w:left w:val="nil"/>
              <w:bottom w:val="single" w:sz="4" w:space="0" w:color="FFFFFF"/>
              <w:right w:val="single" w:sz="4" w:space="0" w:color="FFFFFF"/>
            </w:tcBorders>
            <w:shd w:val="clear" w:color="auto" w:fill="auto"/>
            <w:noWrap/>
            <w:vAlign w:val="bottom"/>
            <w:hideMark/>
          </w:tcPr>
          <w:p w14:paraId="4C30D6FE"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38 898</w:t>
            </w:r>
          </w:p>
        </w:tc>
        <w:tc>
          <w:tcPr>
            <w:tcW w:w="1200" w:type="dxa"/>
            <w:tcBorders>
              <w:top w:val="nil"/>
              <w:left w:val="nil"/>
              <w:bottom w:val="single" w:sz="4" w:space="0" w:color="FFFFFF"/>
              <w:right w:val="single" w:sz="4" w:space="0" w:color="FFFFFF"/>
            </w:tcBorders>
            <w:shd w:val="clear" w:color="auto" w:fill="auto"/>
            <w:noWrap/>
            <w:vAlign w:val="bottom"/>
            <w:hideMark/>
          </w:tcPr>
          <w:p w14:paraId="08B4A5F1"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200</w:t>
            </w:r>
          </w:p>
        </w:tc>
        <w:tc>
          <w:tcPr>
            <w:tcW w:w="1580" w:type="dxa"/>
            <w:tcBorders>
              <w:top w:val="nil"/>
              <w:left w:val="nil"/>
              <w:bottom w:val="single" w:sz="4" w:space="0" w:color="FFFFFF"/>
              <w:right w:val="single" w:sz="4" w:space="0" w:color="FFFFFF"/>
            </w:tcBorders>
            <w:shd w:val="clear" w:color="auto" w:fill="auto"/>
            <w:noWrap/>
            <w:vAlign w:val="bottom"/>
            <w:hideMark/>
          </w:tcPr>
          <w:p w14:paraId="154ED5F6"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489</w:t>
            </w:r>
          </w:p>
        </w:tc>
      </w:tr>
      <w:tr w:rsidR="00C16B47" w:rsidRPr="001F27A1" w14:paraId="7656586A"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314D164A"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TAB</w:t>
            </w:r>
          </w:p>
        </w:tc>
        <w:tc>
          <w:tcPr>
            <w:tcW w:w="2140" w:type="dxa"/>
            <w:tcBorders>
              <w:top w:val="nil"/>
              <w:left w:val="nil"/>
              <w:bottom w:val="single" w:sz="4" w:space="0" w:color="FFFFFF"/>
              <w:right w:val="single" w:sz="4" w:space="0" w:color="FFFFFF"/>
            </w:tcBorders>
            <w:shd w:val="clear" w:color="auto" w:fill="auto"/>
            <w:noWrap/>
            <w:vAlign w:val="bottom"/>
            <w:hideMark/>
          </w:tcPr>
          <w:p w14:paraId="755CD3AB"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43 792</w:t>
            </w:r>
          </w:p>
        </w:tc>
        <w:tc>
          <w:tcPr>
            <w:tcW w:w="1660" w:type="dxa"/>
            <w:tcBorders>
              <w:top w:val="nil"/>
              <w:left w:val="nil"/>
              <w:bottom w:val="single" w:sz="4" w:space="0" w:color="FFFFFF"/>
              <w:right w:val="single" w:sz="4" w:space="0" w:color="FFFFFF"/>
            </w:tcBorders>
            <w:shd w:val="clear" w:color="auto" w:fill="auto"/>
            <w:noWrap/>
            <w:vAlign w:val="bottom"/>
            <w:hideMark/>
          </w:tcPr>
          <w:p w14:paraId="05314F92"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65 503</w:t>
            </w:r>
          </w:p>
        </w:tc>
        <w:tc>
          <w:tcPr>
            <w:tcW w:w="1200" w:type="dxa"/>
            <w:tcBorders>
              <w:top w:val="nil"/>
              <w:left w:val="nil"/>
              <w:bottom w:val="single" w:sz="4" w:space="0" w:color="FFFFFF"/>
              <w:right w:val="single" w:sz="4" w:space="0" w:color="FFFFFF"/>
            </w:tcBorders>
            <w:shd w:val="clear" w:color="auto" w:fill="auto"/>
            <w:noWrap/>
            <w:vAlign w:val="bottom"/>
            <w:hideMark/>
          </w:tcPr>
          <w:p w14:paraId="4FC63EAC"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2 126</w:t>
            </w:r>
          </w:p>
        </w:tc>
        <w:tc>
          <w:tcPr>
            <w:tcW w:w="1580" w:type="dxa"/>
            <w:tcBorders>
              <w:top w:val="nil"/>
              <w:left w:val="nil"/>
              <w:bottom w:val="single" w:sz="4" w:space="0" w:color="FFFFFF"/>
              <w:right w:val="single" w:sz="4" w:space="0" w:color="FFFFFF"/>
            </w:tcBorders>
            <w:shd w:val="clear" w:color="auto" w:fill="auto"/>
            <w:noWrap/>
            <w:vAlign w:val="bottom"/>
            <w:hideMark/>
          </w:tcPr>
          <w:p w14:paraId="035F33E4"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91 317</w:t>
            </w:r>
          </w:p>
        </w:tc>
      </w:tr>
      <w:tr w:rsidR="00C16B47" w:rsidRPr="001F27A1" w14:paraId="1168E10A"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698AC940"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TAMPS</w:t>
            </w:r>
          </w:p>
        </w:tc>
        <w:tc>
          <w:tcPr>
            <w:tcW w:w="2140" w:type="dxa"/>
            <w:tcBorders>
              <w:top w:val="nil"/>
              <w:left w:val="nil"/>
              <w:bottom w:val="single" w:sz="4" w:space="0" w:color="FFFFFF"/>
              <w:right w:val="single" w:sz="4" w:space="0" w:color="FFFFFF"/>
            </w:tcBorders>
            <w:shd w:val="clear" w:color="auto" w:fill="auto"/>
            <w:noWrap/>
            <w:vAlign w:val="bottom"/>
            <w:hideMark/>
          </w:tcPr>
          <w:p w14:paraId="0C578813"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36 636</w:t>
            </w:r>
          </w:p>
        </w:tc>
        <w:tc>
          <w:tcPr>
            <w:tcW w:w="1660" w:type="dxa"/>
            <w:tcBorders>
              <w:top w:val="nil"/>
              <w:left w:val="nil"/>
              <w:bottom w:val="single" w:sz="4" w:space="0" w:color="FFFFFF"/>
              <w:right w:val="single" w:sz="4" w:space="0" w:color="FFFFFF"/>
            </w:tcBorders>
            <w:shd w:val="clear" w:color="auto" w:fill="auto"/>
            <w:noWrap/>
            <w:vAlign w:val="bottom"/>
            <w:hideMark/>
          </w:tcPr>
          <w:p w14:paraId="150C02FE"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7 762</w:t>
            </w:r>
          </w:p>
        </w:tc>
        <w:tc>
          <w:tcPr>
            <w:tcW w:w="1200" w:type="dxa"/>
            <w:tcBorders>
              <w:top w:val="nil"/>
              <w:left w:val="nil"/>
              <w:bottom w:val="single" w:sz="4" w:space="0" w:color="FFFFFF"/>
              <w:right w:val="single" w:sz="4" w:space="0" w:color="FFFFFF"/>
            </w:tcBorders>
            <w:shd w:val="clear" w:color="auto" w:fill="auto"/>
            <w:noWrap/>
            <w:vAlign w:val="bottom"/>
            <w:hideMark/>
          </w:tcPr>
          <w:p w14:paraId="08DB85B2"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313</w:t>
            </w:r>
          </w:p>
        </w:tc>
        <w:tc>
          <w:tcPr>
            <w:tcW w:w="1580" w:type="dxa"/>
            <w:tcBorders>
              <w:top w:val="nil"/>
              <w:left w:val="nil"/>
              <w:bottom w:val="single" w:sz="4" w:space="0" w:color="FFFFFF"/>
              <w:right w:val="single" w:sz="4" w:space="0" w:color="FFFFFF"/>
            </w:tcBorders>
            <w:shd w:val="clear" w:color="auto" w:fill="auto"/>
            <w:noWrap/>
            <w:vAlign w:val="bottom"/>
            <w:hideMark/>
          </w:tcPr>
          <w:p w14:paraId="68A4B2B6"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29 030</w:t>
            </w:r>
          </w:p>
        </w:tc>
      </w:tr>
      <w:tr w:rsidR="00C16B47" w:rsidRPr="001F27A1" w14:paraId="4727A91D"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7F8DE5D7"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TLAX</w:t>
            </w:r>
          </w:p>
        </w:tc>
        <w:tc>
          <w:tcPr>
            <w:tcW w:w="2140" w:type="dxa"/>
            <w:tcBorders>
              <w:top w:val="nil"/>
              <w:left w:val="nil"/>
              <w:bottom w:val="single" w:sz="4" w:space="0" w:color="FFFFFF"/>
              <w:right w:val="single" w:sz="4" w:space="0" w:color="FFFFFF"/>
            </w:tcBorders>
            <w:shd w:val="clear" w:color="auto" w:fill="auto"/>
            <w:noWrap/>
            <w:vAlign w:val="bottom"/>
            <w:hideMark/>
          </w:tcPr>
          <w:p w14:paraId="01B76591"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4 527</w:t>
            </w:r>
          </w:p>
        </w:tc>
        <w:tc>
          <w:tcPr>
            <w:tcW w:w="1660" w:type="dxa"/>
            <w:tcBorders>
              <w:top w:val="nil"/>
              <w:left w:val="nil"/>
              <w:bottom w:val="single" w:sz="4" w:space="0" w:color="FFFFFF"/>
              <w:right w:val="single" w:sz="4" w:space="0" w:color="FFFFFF"/>
            </w:tcBorders>
            <w:shd w:val="clear" w:color="auto" w:fill="auto"/>
            <w:noWrap/>
            <w:vAlign w:val="bottom"/>
            <w:hideMark/>
          </w:tcPr>
          <w:p w14:paraId="73C013E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1 142</w:t>
            </w:r>
          </w:p>
        </w:tc>
        <w:tc>
          <w:tcPr>
            <w:tcW w:w="1200" w:type="dxa"/>
            <w:tcBorders>
              <w:top w:val="nil"/>
              <w:left w:val="nil"/>
              <w:bottom w:val="single" w:sz="4" w:space="0" w:color="FFFFFF"/>
              <w:right w:val="single" w:sz="4" w:space="0" w:color="FFFFFF"/>
            </w:tcBorders>
            <w:shd w:val="clear" w:color="auto" w:fill="auto"/>
            <w:noWrap/>
            <w:vAlign w:val="bottom"/>
            <w:hideMark/>
          </w:tcPr>
          <w:p w14:paraId="2AC8C03E"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413</w:t>
            </w:r>
          </w:p>
        </w:tc>
        <w:tc>
          <w:tcPr>
            <w:tcW w:w="1580" w:type="dxa"/>
            <w:tcBorders>
              <w:top w:val="nil"/>
              <w:left w:val="nil"/>
              <w:bottom w:val="single" w:sz="4" w:space="0" w:color="FFFFFF"/>
              <w:right w:val="single" w:sz="4" w:space="0" w:color="FFFFFF"/>
            </w:tcBorders>
            <w:shd w:val="clear" w:color="auto" w:fill="auto"/>
            <w:noWrap/>
            <w:vAlign w:val="bottom"/>
            <w:hideMark/>
          </w:tcPr>
          <w:p w14:paraId="7283D8F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3 831</w:t>
            </w:r>
          </w:p>
        </w:tc>
      </w:tr>
      <w:tr w:rsidR="00C16B47" w:rsidRPr="001F27A1" w14:paraId="0538758A"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578FA3A9"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VER</w:t>
            </w:r>
          </w:p>
        </w:tc>
        <w:tc>
          <w:tcPr>
            <w:tcW w:w="2140" w:type="dxa"/>
            <w:tcBorders>
              <w:top w:val="nil"/>
              <w:left w:val="nil"/>
              <w:bottom w:val="single" w:sz="4" w:space="0" w:color="FFFFFF"/>
              <w:right w:val="single" w:sz="4" w:space="0" w:color="FFFFFF"/>
            </w:tcBorders>
            <w:shd w:val="clear" w:color="auto" w:fill="auto"/>
            <w:noWrap/>
            <w:vAlign w:val="bottom"/>
            <w:hideMark/>
          </w:tcPr>
          <w:p w14:paraId="3C867A5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96 186</w:t>
            </w:r>
          </w:p>
        </w:tc>
        <w:tc>
          <w:tcPr>
            <w:tcW w:w="1660" w:type="dxa"/>
            <w:tcBorders>
              <w:top w:val="nil"/>
              <w:left w:val="nil"/>
              <w:bottom w:val="single" w:sz="4" w:space="0" w:color="FFFFFF"/>
              <w:right w:val="single" w:sz="4" w:space="0" w:color="FFFFFF"/>
            </w:tcBorders>
            <w:shd w:val="clear" w:color="auto" w:fill="auto"/>
            <w:noWrap/>
            <w:vAlign w:val="bottom"/>
            <w:hideMark/>
          </w:tcPr>
          <w:p w14:paraId="0E101D52"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56 367</w:t>
            </w:r>
          </w:p>
        </w:tc>
        <w:tc>
          <w:tcPr>
            <w:tcW w:w="1200" w:type="dxa"/>
            <w:tcBorders>
              <w:top w:val="nil"/>
              <w:left w:val="nil"/>
              <w:bottom w:val="single" w:sz="4" w:space="0" w:color="FFFFFF"/>
              <w:right w:val="single" w:sz="4" w:space="0" w:color="FFFFFF"/>
            </w:tcBorders>
            <w:shd w:val="clear" w:color="auto" w:fill="auto"/>
            <w:noWrap/>
            <w:vAlign w:val="bottom"/>
            <w:hideMark/>
          </w:tcPr>
          <w:p w14:paraId="1B4191BB"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919</w:t>
            </w:r>
          </w:p>
        </w:tc>
        <w:tc>
          <w:tcPr>
            <w:tcW w:w="1580" w:type="dxa"/>
            <w:tcBorders>
              <w:top w:val="nil"/>
              <w:left w:val="nil"/>
              <w:bottom w:val="single" w:sz="4" w:space="0" w:color="FFFFFF"/>
              <w:right w:val="single" w:sz="4" w:space="0" w:color="FFFFFF"/>
            </w:tcBorders>
            <w:shd w:val="clear" w:color="auto" w:fill="auto"/>
            <w:noWrap/>
            <w:vAlign w:val="bottom"/>
            <w:hideMark/>
          </w:tcPr>
          <w:p w14:paraId="3D807C9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39 868</w:t>
            </w:r>
          </w:p>
        </w:tc>
      </w:tr>
      <w:tr w:rsidR="00C16B47" w:rsidRPr="001F27A1" w14:paraId="42F96D27"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6201E9F3"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YUC</w:t>
            </w:r>
          </w:p>
        </w:tc>
        <w:tc>
          <w:tcPr>
            <w:tcW w:w="2140" w:type="dxa"/>
            <w:tcBorders>
              <w:top w:val="nil"/>
              <w:left w:val="nil"/>
              <w:bottom w:val="single" w:sz="4" w:space="0" w:color="FFFFFF"/>
              <w:right w:val="single" w:sz="4" w:space="0" w:color="FFFFFF"/>
            </w:tcBorders>
            <w:shd w:val="clear" w:color="auto" w:fill="auto"/>
            <w:noWrap/>
            <w:vAlign w:val="bottom"/>
            <w:hideMark/>
          </w:tcPr>
          <w:p w14:paraId="7E78FFAB"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8 878</w:t>
            </w:r>
          </w:p>
        </w:tc>
        <w:tc>
          <w:tcPr>
            <w:tcW w:w="1660" w:type="dxa"/>
            <w:tcBorders>
              <w:top w:val="nil"/>
              <w:left w:val="nil"/>
              <w:bottom w:val="single" w:sz="4" w:space="0" w:color="FFFFFF"/>
              <w:right w:val="single" w:sz="4" w:space="0" w:color="FFFFFF"/>
            </w:tcBorders>
            <w:shd w:val="clear" w:color="auto" w:fill="auto"/>
            <w:noWrap/>
            <w:vAlign w:val="bottom"/>
            <w:hideMark/>
          </w:tcPr>
          <w:p w14:paraId="02F52EA6"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9 069</w:t>
            </w:r>
          </w:p>
        </w:tc>
        <w:tc>
          <w:tcPr>
            <w:tcW w:w="1200" w:type="dxa"/>
            <w:tcBorders>
              <w:top w:val="nil"/>
              <w:left w:val="nil"/>
              <w:bottom w:val="single" w:sz="4" w:space="0" w:color="FFFFFF"/>
              <w:right w:val="single" w:sz="4" w:space="0" w:color="FFFFFF"/>
            </w:tcBorders>
            <w:shd w:val="clear" w:color="auto" w:fill="auto"/>
            <w:noWrap/>
            <w:vAlign w:val="bottom"/>
            <w:hideMark/>
          </w:tcPr>
          <w:p w14:paraId="130B3C99"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632</w:t>
            </w:r>
          </w:p>
        </w:tc>
        <w:tc>
          <w:tcPr>
            <w:tcW w:w="1580" w:type="dxa"/>
            <w:tcBorders>
              <w:top w:val="nil"/>
              <w:left w:val="nil"/>
              <w:bottom w:val="single" w:sz="4" w:space="0" w:color="FFFFFF"/>
              <w:right w:val="single" w:sz="4" w:space="0" w:color="FFFFFF"/>
            </w:tcBorders>
            <w:shd w:val="clear" w:color="auto" w:fill="auto"/>
            <w:noWrap/>
            <w:vAlign w:val="bottom"/>
            <w:hideMark/>
          </w:tcPr>
          <w:p w14:paraId="3120661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1 176</w:t>
            </w:r>
          </w:p>
        </w:tc>
      </w:tr>
      <w:tr w:rsidR="00C16B47" w:rsidRPr="001F27A1" w14:paraId="2D89FE9D" w14:textId="77777777" w:rsidTr="00C16B47">
        <w:trPr>
          <w:trHeight w:val="20"/>
          <w:jc w:val="center"/>
        </w:trPr>
        <w:tc>
          <w:tcPr>
            <w:tcW w:w="1200" w:type="dxa"/>
            <w:tcBorders>
              <w:top w:val="nil"/>
              <w:left w:val="single" w:sz="4" w:space="0" w:color="FFFFFF"/>
              <w:bottom w:val="single" w:sz="4" w:space="0" w:color="FFFFFF"/>
              <w:right w:val="single" w:sz="4" w:space="0" w:color="FFFFFF"/>
            </w:tcBorders>
            <w:shd w:val="clear" w:color="auto" w:fill="auto"/>
            <w:noWrap/>
            <w:vAlign w:val="bottom"/>
            <w:hideMark/>
          </w:tcPr>
          <w:p w14:paraId="75DD411D" w14:textId="77777777" w:rsidR="00C16B47" w:rsidRPr="001F27A1" w:rsidRDefault="00C16B47" w:rsidP="00773F93">
            <w:pPr>
              <w:spacing w:after="0" w:line="240" w:lineRule="auto"/>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ZAC</w:t>
            </w:r>
          </w:p>
        </w:tc>
        <w:tc>
          <w:tcPr>
            <w:tcW w:w="2140" w:type="dxa"/>
            <w:tcBorders>
              <w:top w:val="nil"/>
              <w:left w:val="nil"/>
              <w:bottom w:val="single" w:sz="4" w:space="0" w:color="FFFFFF"/>
              <w:right w:val="single" w:sz="4" w:space="0" w:color="FFFFFF"/>
            </w:tcBorders>
            <w:shd w:val="clear" w:color="auto" w:fill="auto"/>
            <w:noWrap/>
            <w:vAlign w:val="bottom"/>
            <w:hideMark/>
          </w:tcPr>
          <w:p w14:paraId="4417EE78"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25 127</w:t>
            </w:r>
          </w:p>
        </w:tc>
        <w:tc>
          <w:tcPr>
            <w:tcW w:w="1660" w:type="dxa"/>
            <w:tcBorders>
              <w:top w:val="nil"/>
              <w:left w:val="nil"/>
              <w:bottom w:val="single" w:sz="4" w:space="0" w:color="FFFFFF"/>
              <w:right w:val="single" w:sz="4" w:space="0" w:color="FFFFFF"/>
            </w:tcBorders>
            <w:shd w:val="clear" w:color="auto" w:fill="auto"/>
            <w:noWrap/>
            <w:vAlign w:val="bottom"/>
            <w:hideMark/>
          </w:tcPr>
          <w:p w14:paraId="65245206"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33 069</w:t>
            </w:r>
          </w:p>
        </w:tc>
        <w:tc>
          <w:tcPr>
            <w:tcW w:w="1200" w:type="dxa"/>
            <w:tcBorders>
              <w:top w:val="nil"/>
              <w:left w:val="nil"/>
              <w:bottom w:val="single" w:sz="4" w:space="0" w:color="FFFFFF"/>
              <w:right w:val="single" w:sz="4" w:space="0" w:color="FFFFFF"/>
            </w:tcBorders>
            <w:shd w:val="clear" w:color="auto" w:fill="auto"/>
            <w:noWrap/>
            <w:vAlign w:val="bottom"/>
            <w:hideMark/>
          </w:tcPr>
          <w:p w14:paraId="3D6BA79E"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4 719</w:t>
            </w:r>
          </w:p>
        </w:tc>
        <w:tc>
          <w:tcPr>
            <w:tcW w:w="1580" w:type="dxa"/>
            <w:tcBorders>
              <w:top w:val="nil"/>
              <w:left w:val="nil"/>
              <w:bottom w:val="single" w:sz="4" w:space="0" w:color="FFFFFF"/>
              <w:right w:val="single" w:sz="4" w:space="0" w:color="FFFFFF"/>
            </w:tcBorders>
            <w:shd w:val="clear" w:color="auto" w:fill="auto"/>
            <w:noWrap/>
            <w:vAlign w:val="bottom"/>
            <w:hideMark/>
          </w:tcPr>
          <w:p w14:paraId="660A2067" w14:textId="77777777" w:rsidR="00C16B47" w:rsidRPr="001F27A1" w:rsidRDefault="00C16B47" w:rsidP="00773F93">
            <w:pPr>
              <w:spacing w:after="0" w:line="240" w:lineRule="auto"/>
              <w:jc w:val="center"/>
              <w:rPr>
                <w:rFonts w:ascii="Arial" w:eastAsia="Times New Roman" w:hAnsi="Arial" w:cs="Arial"/>
                <w:color w:val="000000"/>
                <w:sz w:val="18"/>
                <w:szCs w:val="18"/>
                <w:lang w:eastAsia="es-MX"/>
              </w:rPr>
            </w:pPr>
            <w:r w:rsidRPr="001F27A1">
              <w:rPr>
                <w:rFonts w:ascii="Arial" w:eastAsia="Times New Roman" w:hAnsi="Arial" w:cs="Arial"/>
                <w:color w:val="000000"/>
                <w:sz w:val="18"/>
                <w:szCs w:val="18"/>
                <w:lang w:eastAsia="es-MX"/>
              </w:rPr>
              <w:t xml:space="preserve"> 74 855</w:t>
            </w:r>
          </w:p>
        </w:tc>
      </w:tr>
    </w:tbl>
    <w:p w14:paraId="0E681B5F" w14:textId="4AEECF2C" w:rsidR="00D71706" w:rsidRDefault="00D71706" w:rsidP="006C09DD">
      <w:pPr>
        <w:pStyle w:val="Default"/>
        <w:jc w:val="both"/>
        <w:rPr>
          <w:color w:val="auto"/>
        </w:rPr>
      </w:pPr>
    </w:p>
    <w:p w14:paraId="423FD049" w14:textId="5425AAE4" w:rsidR="00B144E4" w:rsidRPr="00D41A40" w:rsidRDefault="00B144E4" w:rsidP="00B144E4">
      <w:pPr>
        <w:pStyle w:val="Default"/>
        <w:jc w:val="both"/>
        <w:rPr>
          <w:color w:val="auto"/>
          <w:sz w:val="16"/>
          <w:szCs w:val="16"/>
        </w:rPr>
      </w:pPr>
      <w:r w:rsidRPr="00D41A40">
        <w:rPr>
          <w:color w:val="auto"/>
          <w:sz w:val="16"/>
          <w:szCs w:val="16"/>
        </w:rPr>
        <w:t>NA: No aplica debido a que la FGR reportó no contar con información sobre los procesos de trabajo</w:t>
      </w:r>
      <w:r w:rsidR="0056525F">
        <w:rPr>
          <w:color w:val="auto"/>
          <w:sz w:val="16"/>
          <w:szCs w:val="16"/>
        </w:rPr>
        <w:t xml:space="preserve"> que se llevaron </w:t>
      </w:r>
      <w:r w:rsidRPr="00D41A40">
        <w:rPr>
          <w:color w:val="auto"/>
          <w:sz w:val="16"/>
          <w:szCs w:val="16"/>
        </w:rPr>
        <w:t xml:space="preserve">a cabo en las carpetas de investigación en la etapa de investigación complementaria. </w:t>
      </w:r>
    </w:p>
    <w:p w14:paraId="468EA5A6" w14:textId="6975A2E6" w:rsidR="00D71706" w:rsidRDefault="00D71706" w:rsidP="006C09DD">
      <w:pPr>
        <w:pStyle w:val="Default"/>
        <w:jc w:val="both"/>
        <w:rPr>
          <w:color w:val="auto"/>
        </w:rPr>
      </w:pPr>
    </w:p>
    <w:p w14:paraId="60F74A56" w14:textId="77777777" w:rsidR="00D71706" w:rsidRDefault="00D71706" w:rsidP="006C09DD">
      <w:pPr>
        <w:pStyle w:val="Default"/>
        <w:jc w:val="both"/>
        <w:rPr>
          <w:color w:val="auto"/>
        </w:rPr>
      </w:pPr>
    </w:p>
    <w:p w14:paraId="130063FD" w14:textId="77777777" w:rsidR="00CD5CE9" w:rsidRDefault="00CD5CE9" w:rsidP="006C09DD">
      <w:pPr>
        <w:pStyle w:val="Default"/>
        <w:jc w:val="both"/>
        <w:rPr>
          <w:color w:val="auto"/>
        </w:rPr>
      </w:pPr>
    </w:p>
    <w:p w14:paraId="61793CE9" w14:textId="77777777" w:rsidR="00CD5CE9" w:rsidRDefault="00CD5CE9" w:rsidP="00B144E4">
      <w:pPr>
        <w:spacing w:before="46" w:after="0" w:line="276" w:lineRule="auto"/>
        <w:ind w:right="601"/>
        <w:jc w:val="both"/>
        <w:rPr>
          <w:rFonts w:ascii="Arial" w:hAnsi="Arial" w:cs="Arial"/>
          <w:sz w:val="24"/>
          <w:szCs w:val="24"/>
        </w:rPr>
      </w:pPr>
      <w:r>
        <w:br w:type="page"/>
      </w:r>
    </w:p>
    <w:p w14:paraId="27446051" w14:textId="553B9A2B" w:rsidR="00D71706" w:rsidRDefault="00F00EA7" w:rsidP="00D71706">
      <w:pPr>
        <w:pStyle w:val="Default"/>
        <w:ind w:right="163"/>
        <w:jc w:val="both"/>
        <w:rPr>
          <w:color w:val="auto"/>
        </w:rPr>
      </w:pPr>
      <w:r>
        <w:rPr>
          <w:color w:val="auto"/>
        </w:rPr>
        <w:lastRenderedPageBreak/>
        <w:t>S</w:t>
      </w:r>
      <w:r w:rsidR="00D71706" w:rsidRPr="005F5E84">
        <w:rPr>
          <w:color w:val="auto"/>
        </w:rPr>
        <w:t>egún la condición de presentación de</w:t>
      </w:r>
      <w:r w:rsidR="00404DFF">
        <w:rPr>
          <w:color w:val="auto"/>
        </w:rPr>
        <w:t xml:space="preserve"> </w:t>
      </w:r>
      <w:r w:rsidR="00D71706" w:rsidRPr="005F5E84">
        <w:rPr>
          <w:color w:val="auto"/>
        </w:rPr>
        <w:t>l</w:t>
      </w:r>
      <w:r w:rsidR="00404DFF">
        <w:rPr>
          <w:color w:val="auto"/>
        </w:rPr>
        <w:t>a</w:t>
      </w:r>
      <w:r w:rsidR="00D71706" w:rsidRPr="005F5E84">
        <w:rPr>
          <w:color w:val="auto"/>
        </w:rPr>
        <w:t xml:space="preserve"> </w:t>
      </w:r>
      <w:r w:rsidR="00404DFF">
        <w:rPr>
          <w:color w:val="auto"/>
        </w:rPr>
        <w:t xml:space="preserve">persona </w:t>
      </w:r>
      <w:r w:rsidR="001235AB">
        <w:rPr>
          <w:color w:val="auto"/>
        </w:rPr>
        <w:t xml:space="preserve">inculpada o </w:t>
      </w:r>
      <w:r w:rsidR="00D71706" w:rsidRPr="005F5E84">
        <w:rPr>
          <w:color w:val="auto"/>
        </w:rPr>
        <w:t>imputad</w:t>
      </w:r>
      <w:r w:rsidR="00404DFF">
        <w:rPr>
          <w:color w:val="auto"/>
        </w:rPr>
        <w:t>a</w:t>
      </w:r>
      <w:r w:rsidR="00D71706" w:rsidRPr="005F5E84">
        <w:rPr>
          <w:color w:val="auto"/>
        </w:rPr>
        <w:t>, el estado de México concentró la mayor cantidad de averiguaciones previas, investigaciones iniciadas y carpetas de investigación abiertas</w:t>
      </w:r>
      <w:r w:rsidR="0056525F">
        <w:rPr>
          <w:color w:val="auto"/>
        </w:rPr>
        <w:t>,</w:t>
      </w:r>
      <w:r w:rsidR="00D71706" w:rsidRPr="005F5E84">
        <w:rPr>
          <w:color w:val="auto"/>
        </w:rPr>
        <w:t xml:space="preserve"> con y sin inculpado</w:t>
      </w:r>
      <w:r w:rsidR="00404DFF">
        <w:rPr>
          <w:color w:val="auto"/>
        </w:rPr>
        <w:t>,</w:t>
      </w:r>
      <w:r w:rsidR="00D71706" w:rsidRPr="005F5E84">
        <w:rPr>
          <w:color w:val="auto"/>
        </w:rPr>
        <w:t xml:space="preserve"> con 145 424 y 198 524, respectivamente.</w:t>
      </w:r>
    </w:p>
    <w:p w14:paraId="20C3BAB0" w14:textId="0FDDB4DA" w:rsidR="001D3654" w:rsidRDefault="001D3654" w:rsidP="00D71706">
      <w:pPr>
        <w:pStyle w:val="Default"/>
        <w:ind w:right="163"/>
        <w:jc w:val="both"/>
        <w:rPr>
          <w:color w:val="auto"/>
        </w:rPr>
      </w:pPr>
    </w:p>
    <w:p w14:paraId="26B9E494" w14:textId="44D6D36E" w:rsidR="001D3654" w:rsidRPr="00EA11ED" w:rsidRDefault="001D3654" w:rsidP="00EA11ED">
      <w:pPr>
        <w:pStyle w:val="Default"/>
        <w:jc w:val="center"/>
        <w:rPr>
          <w:color w:val="auto"/>
          <w:sz w:val="20"/>
          <w:szCs w:val="20"/>
        </w:rPr>
      </w:pPr>
      <w:r w:rsidRPr="00EA11ED">
        <w:rPr>
          <w:color w:val="auto"/>
          <w:sz w:val="20"/>
          <w:szCs w:val="20"/>
        </w:rPr>
        <w:t xml:space="preserve">Tabla </w:t>
      </w:r>
      <w:r w:rsidR="00F00EA7">
        <w:rPr>
          <w:color w:val="auto"/>
          <w:sz w:val="20"/>
          <w:szCs w:val="20"/>
        </w:rPr>
        <w:t>4</w:t>
      </w:r>
    </w:p>
    <w:p w14:paraId="4482D071" w14:textId="4C97B317" w:rsidR="001D3654" w:rsidRDefault="001D3654" w:rsidP="001D3654">
      <w:pPr>
        <w:spacing w:before="46" w:after="0" w:line="276" w:lineRule="auto"/>
        <w:ind w:right="163"/>
        <w:jc w:val="center"/>
        <w:rPr>
          <w:rFonts w:ascii="Arial" w:hAnsi="Arial" w:cs="Arial"/>
          <w:b/>
          <w:bCs/>
          <w:iCs/>
          <w:smallCaps/>
          <w:color w:val="000000" w:themeColor="text1"/>
        </w:rPr>
      </w:pPr>
      <w:r w:rsidRPr="00757141">
        <w:rPr>
          <w:rFonts w:ascii="Arial" w:hAnsi="Arial" w:cs="Arial"/>
          <w:b/>
          <w:bCs/>
          <w:iCs/>
          <w:smallCaps/>
          <w:color w:val="000000" w:themeColor="text1"/>
        </w:rPr>
        <w:t xml:space="preserve">Averiguaciones previas, investigaciones iniciadas y carpetas de investigación abiertas, </w:t>
      </w:r>
      <w:r>
        <w:rPr>
          <w:rFonts w:ascii="Arial" w:hAnsi="Arial" w:cs="Arial"/>
          <w:b/>
          <w:bCs/>
          <w:iCs/>
          <w:smallCaps/>
          <w:color w:val="000000" w:themeColor="text1"/>
        </w:rPr>
        <w:t>2021</w:t>
      </w:r>
    </w:p>
    <w:p w14:paraId="4662A7AF" w14:textId="51C7C934" w:rsidR="00BF6571" w:rsidRDefault="00BF6571" w:rsidP="001D3654">
      <w:pPr>
        <w:spacing w:before="46" w:after="0" w:line="276" w:lineRule="auto"/>
        <w:ind w:right="163"/>
        <w:jc w:val="center"/>
        <w:rPr>
          <w:rFonts w:ascii="Arial" w:hAnsi="Arial" w:cs="Arial"/>
          <w:b/>
          <w:bCs/>
          <w:iCs/>
          <w:smallCaps/>
          <w:color w:val="000000" w:themeColor="text1"/>
        </w:rPr>
      </w:pPr>
    </w:p>
    <w:tbl>
      <w:tblPr>
        <w:tblW w:w="8508" w:type="dxa"/>
        <w:jc w:val="center"/>
        <w:tblCellMar>
          <w:left w:w="70" w:type="dxa"/>
          <w:right w:w="70" w:type="dxa"/>
        </w:tblCellMar>
        <w:tblLook w:val="04A0" w:firstRow="1" w:lastRow="0" w:firstColumn="1" w:lastColumn="0" w:noHBand="0" w:noVBand="1"/>
      </w:tblPr>
      <w:tblGrid>
        <w:gridCol w:w="1397"/>
        <w:gridCol w:w="2006"/>
        <w:gridCol w:w="1341"/>
        <w:gridCol w:w="1255"/>
        <w:gridCol w:w="1115"/>
        <w:gridCol w:w="1394"/>
      </w:tblGrid>
      <w:tr w:rsidR="00BF6571" w:rsidRPr="00D41818" w14:paraId="591AE4C6" w14:textId="77777777" w:rsidTr="001235AB">
        <w:trPr>
          <w:trHeight w:val="482"/>
          <w:jc w:val="center"/>
        </w:trPr>
        <w:tc>
          <w:tcPr>
            <w:tcW w:w="1397" w:type="dxa"/>
            <w:tcBorders>
              <w:top w:val="single" w:sz="4" w:space="0" w:color="FFFFFF"/>
              <w:left w:val="single" w:sz="4" w:space="0" w:color="FFFFFF"/>
              <w:bottom w:val="single" w:sz="4" w:space="0" w:color="FFFFFF"/>
              <w:right w:val="single" w:sz="4" w:space="0" w:color="FFFFFF"/>
            </w:tcBorders>
            <w:shd w:val="clear" w:color="000000" w:fill="285072"/>
            <w:noWrap/>
            <w:vAlign w:val="center"/>
            <w:hideMark/>
          </w:tcPr>
          <w:p w14:paraId="2DEEE05B" w14:textId="77777777" w:rsidR="00BF6571" w:rsidRPr="00D41818" w:rsidRDefault="00BF6571" w:rsidP="00773F93">
            <w:pPr>
              <w:spacing w:after="0" w:line="240" w:lineRule="auto"/>
              <w:jc w:val="center"/>
              <w:rPr>
                <w:rFonts w:ascii="Arial" w:eastAsia="Times New Roman" w:hAnsi="Arial" w:cs="Arial"/>
                <w:b/>
                <w:bCs/>
                <w:color w:val="FFFFFF"/>
                <w:sz w:val="18"/>
                <w:szCs w:val="18"/>
                <w:lang w:eastAsia="es-MX"/>
              </w:rPr>
            </w:pPr>
            <w:r w:rsidRPr="00D41818">
              <w:rPr>
                <w:rFonts w:ascii="Arial" w:eastAsia="Times New Roman" w:hAnsi="Arial" w:cs="Arial"/>
                <w:b/>
                <w:bCs/>
                <w:color w:val="FFFFFF"/>
                <w:sz w:val="18"/>
                <w:szCs w:val="18"/>
                <w:lang w:eastAsia="es-MX"/>
              </w:rPr>
              <w:t>Fiscalía</w:t>
            </w:r>
          </w:p>
        </w:tc>
        <w:tc>
          <w:tcPr>
            <w:tcW w:w="2006" w:type="dxa"/>
            <w:tcBorders>
              <w:top w:val="single" w:sz="4" w:space="0" w:color="FFFFFF"/>
              <w:left w:val="nil"/>
              <w:bottom w:val="single" w:sz="4" w:space="0" w:color="FFFFFF"/>
              <w:right w:val="single" w:sz="4" w:space="0" w:color="FFFFFF"/>
            </w:tcBorders>
            <w:shd w:val="clear" w:color="000000" w:fill="285072"/>
            <w:vAlign w:val="center"/>
            <w:hideMark/>
          </w:tcPr>
          <w:p w14:paraId="4021E0F2" w14:textId="05F999CE" w:rsidR="00BF6571" w:rsidRPr="00D41818" w:rsidRDefault="001235AB" w:rsidP="00773F93">
            <w:pPr>
              <w:spacing w:after="0" w:line="240" w:lineRule="auto"/>
              <w:jc w:val="center"/>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 xml:space="preserve">Averiguaciones previas e investigaciones iniciadas y </w:t>
            </w:r>
            <w:r w:rsidR="00BF6571" w:rsidRPr="00D41818">
              <w:rPr>
                <w:rFonts w:ascii="Arial" w:eastAsia="Times New Roman" w:hAnsi="Arial" w:cs="Arial"/>
                <w:b/>
                <w:bCs/>
                <w:color w:val="FFFFFF"/>
                <w:sz w:val="18"/>
                <w:szCs w:val="18"/>
                <w:lang w:eastAsia="es-MX"/>
              </w:rPr>
              <w:t>Carpetas de Investigación abiertas</w:t>
            </w:r>
          </w:p>
        </w:tc>
        <w:tc>
          <w:tcPr>
            <w:tcW w:w="1341" w:type="dxa"/>
            <w:tcBorders>
              <w:top w:val="single" w:sz="4" w:space="0" w:color="FFFFFF"/>
              <w:left w:val="nil"/>
              <w:bottom w:val="single" w:sz="4" w:space="0" w:color="FFFFFF"/>
              <w:right w:val="single" w:sz="4" w:space="0" w:color="FFFFFF"/>
            </w:tcBorders>
            <w:shd w:val="clear" w:color="000000" w:fill="285072"/>
            <w:noWrap/>
            <w:vAlign w:val="center"/>
            <w:hideMark/>
          </w:tcPr>
          <w:p w14:paraId="6EBF6E3E" w14:textId="79AD8237" w:rsidR="00BF6571" w:rsidRPr="00D41818" w:rsidRDefault="00BF6571" w:rsidP="00773F93">
            <w:pPr>
              <w:spacing w:after="0" w:line="240" w:lineRule="auto"/>
              <w:jc w:val="center"/>
              <w:rPr>
                <w:rFonts w:ascii="Arial" w:eastAsia="Times New Roman" w:hAnsi="Arial" w:cs="Arial"/>
                <w:b/>
                <w:bCs/>
                <w:color w:val="FFFFFF"/>
                <w:sz w:val="18"/>
                <w:szCs w:val="18"/>
                <w:lang w:eastAsia="es-MX"/>
              </w:rPr>
            </w:pPr>
            <w:r w:rsidRPr="00D41818">
              <w:rPr>
                <w:rFonts w:ascii="Arial" w:eastAsia="Times New Roman" w:hAnsi="Arial" w:cs="Arial"/>
                <w:b/>
                <w:bCs/>
                <w:color w:val="FFFFFF"/>
                <w:sz w:val="18"/>
                <w:szCs w:val="18"/>
                <w:lang w:eastAsia="es-MX"/>
              </w:rPr>
              <w:t xml:space="preserve">Con </w:t>
            </w:r>
            <w:r w:rsidR="001235AB">
              <w:rPr>
                <w:rFonts w:ascii="Arial" w:eastAsia="Times New Roman" w:hAnsi="Arial" w:cs="Arial"/>
                <w:b/>
                <w:bCs/>
                <w:color w:val="FFFFFF"/>
                <w:sz w:val="18"/>
                <w:szCs w:val="18"/>
                <w:lang w:eastAsia="es-MX"/>
              </w:rPr>
              <w:t xml:space="preserve">inculpado/ </w:t>
            </w:r>
            <w:r w:rsidRPr="00D41818">
              <w:rPr>
                <w:rFonts w:ascii="Arial" w:eastAsia="Times New Roman" w:hAnsi="Arial" w:cs="Arial"/>
                <w:b/>
                <w:bCs/>
                <w:color w:val="FFFFFF"/>
                <w:sz w:val="18"/>
                <w:szCs w:val="18"/>
                <w:lang w:eastAsia="es-MX"/>
              </w:rPr>
              <w:t>i</w:t>
            </w:r>
            <w:r w:rsidR="001235AB">
              <w:rPr>
                <w:rFonts w:ascii="Arial" w:eastAsia="Times New Roman" w:hAnsi="Arial" w:cs="Arial"/>
                <w:b/>
                <w:bCs/>
                <w:color w:val="FFFFFF"/>
                <w:sz w:val="18"/>
                <w:szCs w:val="18"/>
                <w:lang w:eastAsia="es-MX"/>
              </w:rPr>
              <w:t>mputado</w:t>
            </w:r>
          </w:p>
        </w:tc>
        <w:tc>
          <w:tcPr>
            <w:tcW w:w="1255" w:type="dxa"/>
            <w:tcBorders>
              <w:top w:val="single" w:sz="4" w:space="0" w:color="FFFFFF"/>
              <w:left w:val="nil"/>
              <w:bottom w:val="single" w:sz="4" w:space="0" w:color="FFFFFF"/>
              <w:right w:val="single" w:sz="4" w:space="0" w:color="FFFFFF"/>
            </w:tcBorders>
            <w:shd w:val="clear" w:color="000000" w:fill="285072"/>
            <w:noWrap/>
            <w:vAlign w:val="center"/>
            <w:hideMark/>
          </w:tcPr>
          <w:p w14:paraId="6B195E1A" w14:textId="77777777" w:rsidR="001235AB" w:rsidRDefault="00BF6571" w:rsidP="00773F93">
            <w:pPr>
              <w:spacing w:after="0" w:line="240" w:lineRule="auto"/>
              <w:jc w:val="center"/>
              <w:rPr>
                <w:rFonts w:ascii="Arial" w:eastAsia="Times New Roman" w:hAnsi="Arial" w:cs="Arial"/>
                <w:b/>
                <w:bCs/>
                <w:color w:val="FFFFFF"/>
                <w:sz w:val="18"/>
                <w:szCs w:val="18"/>
                <w:lang w:eastAsia="es-MX"/>
              </w:rPr>
            </w:pPr>
            <w:r w:rsidRPr="00D41818">
              <w:rPr>
                <w:rFonts w:ascii="Arial" w:eastAsia="Times New Roman" w:hAnsi="Arial" w:cs="Arial"/>
                <w:b/>
                <w:bCs/>
                <w:color w:val="FFFFFF"/>
                <w:sz w:val="18"/>
                <w:szCs w:val="18"/>
                <w:lang w:eastAsia="es-MX"/>
              </w:rPr>
              <w:t>Sin inculpado</w:t>
            </w:r>
            <w:r w:rsidR="001235AB">
              <w:rPr>
                <w:rFonts w:ascii="Arial" w:eastAsia="Times New Roman" w:hAnsi="Arial" w:cs="Arial"/>
                <w:b/>
                <w:bCs/>
                <w:color w:val="FFFFFF"/>
                <w:sz w:val="18"/>
                <w:szCs w:val="18"/>
                <w:lang w:eastAsia="es-MX"/>
              </w:rPr>
              <w:t>/</w:t>
            </w:r>
          </w:p>
          <w:p w14:paraId="40F5218E" w14:textId="5D9D0017" w:rsidR="00BF6571" w:rsidRPr="00D41818" w:rsidRDefault="001235AB" w:rsidP="00773F93">
            <w:pPr>
              <w:spacing w:after="0" w:line="240" w:lineRule="auto"/>
              <w:jc w:val="center"/>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imputado</w:t>
            </w:r>
          </w:p>
        </w:tc>
        <w:tc>
          <w:tcPr>
            <w:tcW w:w="1115" w:type="dxa"/>
            <w:tcBorders>
              <w:top w:val="single" w:sz="4" w:space="0" w:color="FFFFFF"/>
              <w:left w:val="nil"/>
              <w:bottom w:val="single" w:sz="4" w:space="0" w:color="FFFFFF"/>
              <w:right w:val="single" w:sz="4" w:space="0" w:color="FFFFFF"/>
            </w:tcBorders>
            <w:shd w:val="clear" w:color="000000" w:fill="285072"/>
            <w:noWrap/>
            <w:vAlign w:val="center"/>
            <w:hideMark/>
          </w:tcPr>
          <w:p w14:paraId="1715271F" w14:textId="77777777" w:rsidR="00BF6571" w:rsidRPr="00D41818" w:rsidRDefault="00BF6571" w:rsidP="00773F93">
            <w:pPr>
              <w:spacing w:after="0" w:line="240" w:lineRule="auto"/>
              <w:jc w:val="center"/>
              <w:rPr>
                <w:rFonts w:ascii="Arial" w:eastAsia="Times New Roman" w:hAnsi="Arial" w:cs="Arial"/>
                <w:b/>
                <w:bCs/>
                <w:color w:val="FFFFFF"/>
                <w:sz w:val="18"/>
                <w:szCs w:val="18"/>
                <w:lang w:eastAsia="es-MX"/>
              </w:rPr>
            </w:pPr>
            <w:r w:rsidRPr="00D41818">
              <w:rPr>
                <w:rFonts w:ascii="Arial" w:eastAsia="Times New Roman" w:hAnsi="Arial" w:cs="Arial"/>
                <w:b/>
                <w:bCs/>
                <w:color w:val="FFFFFF"/>
                <w:sz w:val="18"/>
                <w:szCs w:val="18"/>
                <w:lang w:eastAsia="es-MX"/>
              </w:rPr>
              <w:t>Mixta</w:t>
            </w:r>
          </w:p>
        </w:tc>
        <w:tc>
          <w:tcPr>
            <w:tcW w:w="1394" w:type="dxa"/>
            <w:tcBorders>
              <w:top w:val="single" w:sz="4" w:space="0" w:color="FFFFFF"/>
              <w:left w:val="nil"/>
              <w:bottom w:val="single" w:sz="4" w:space="0" w:color="FFFFFF"/>
              <w:right w:val="single" w:sz="4" w:space="0" w:color="FFFFFF"/>
            </w:tcBorders>
            <w:shd w:val="clear" w:color="000000" w:fill="285072"/>
            <w:vAlign w:val="center"/>
            <w:hideMark/>
          </w:tcPr>
          <w:p w14:paraId="218A7E45" w14:textId="550EAC5A" w:rsidR="00BF6571" w:rsidRPr="00D41818" w:rsidRDefault="00BF6571" w:rsidP="00773F93">
            <w:pPr>
              <w:spacing w:after="0" w:line="240" w:lineRule="auto"/>
              <w:jc w:val="center"/>
              <w:rPr>
                <w:rFonts w:ascii="Arial" w:eastAsia="Times New Roman" w:hAnsi="Arial" w:cs="Arial"/>
                <w:b/>
                <w:bCs/>
                <w:color w:val="FFFFFF"/>
                <w:sz w:val="18"/>
                <w:szCs w:val="18"/>
                <w:lang w:eastAsia="es-MX"/>
              </w:rPr>
            </w:pPr>
            <w:r w:rsidRPr="00D41818">
              <w:rPr>
                <w:rFonts w:ascii="Arial" w:eastAsia="Times New Roman" w:hAnsi="Arial" w:cs="Arial"/>
                <w:b/>
                <w:bCs/>
                <w:color w:val="FFFFFF"/>
                <w:sz w:val="18"/>
                <w:szCs w:val="18"/>
                <w:lang w:eastAsia="es-MX"/>
              </w:rPr>
              <w:t xml:space="preserve">No </w:t>
            </w:r>
            <w:r w:rsidR="001B16B1" w:rsidRPr="00D41818">
              <w:rPr>
                <w:rFonts w:ascii="Arial" w:eastAsia="Times New Roman" w:hAnsi="Arial" w:cs="Arial"/>
                <w:b/>
                <w:bCs/>
                <w:color w:val="FFFFFF"/>
                <w:sz w:val="18"/>
                <w:szCs w:val="18"/>
                <w:lang w:eastAsia="es-MX"/>
              </w:rPr>
              <w:t>e</w:t>
            </w:r>
            <w:r w:rsidRPr="00D41818">
              <w:rPr>
                <w:rFonts w:ascii="Arial" w:eastAsia="Times New Roman" w:hAnsi="Arial" w:cs="Arial"/>
                <w:b/>
                <w:bCs/>
                <w:color w:val="FFFFFF"/>
                <w:sz w:val="18"/>
                <w:szCs w:val="18"/>
                <w:lang w:eastAsia="es-MX"/>
              </w:rPr>
              <w:t>specificado</w:t>
            </w:r>
          </w:p>
        </w:tc>
      </w:tr>
      <w:tr w:rsidR="00BF6571" w:rsidRPr="00D41818" w14:paraId="2927666B"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77C7533F"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MEX</w:t>
            </w:r>
          </w:p>
        </w:tc>
        <w:tc>
          <w:tcPr>
            <w:tcW w:w="2006" w:type="dxa"/>
            <w:tcBorders>
              <w:top w:val="nil"/>
              <w:left w:val="nil"/>
              <w:bottom w:val="single" w:sz="4" w:space="0" w:color="FFFFFF"/>
              <w:right w:val="single" w:sz="4" w:space="0" w:color="FFFFFF"/>
            </w:tcBorders>
            <w:shd w:val="clear" w:color="auto" w:fill="auto"/>
            <w:noWrap/>
            <w:vAlign w:val="bottom"/>
            <w:hideMark/>
          </w:tcPr>
          <w:p w14:paraId="34D1977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346 401</w:t>
            </w:r>
          </w:p>
        </w:tc>
        <w:tc>
          <w:tcPr>
            <w:tcW w:w="1341" w:type="dxa"/>
            <w:tcBorders>
              <w:top w:val="nil"/>
              <w:left w:val="nil"/>
              <w:bottom w:val="single" w:sz="4" w:space="0" w:color="FFFFFF"/>
              <w:right w:val="single" w:sz="4" w:space="0" w:color="FFFFFF"/>
            </w:tcBorders>
            <w:shd w:val="clear" w:color="auto" w:fill="auto"/>
            <w:noWrap/>
            <w:vAlign w:val="bottom"/>
            <w:hideMark/>
          </w:tcPr>
          <w:p w14:paraId="67AD7D2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145 424</w:t>
            </w:r>
          </w:p>
        </w:tc>
        <w:tc>
          <w:tcPr>
            <w:tcW w:w="1255" w:type="dxa"/>
            <w:tcBorders>
              <w:top w:val="nil"/>
              <w:left w:val="nil"/>
              <w:bottom w:val="single" w:sz="4" w:space="0" w:color="FFFFFF"/>
              <w:right w:val="single" w:sz="4" w:space="0" w:color="FFFFFF"/>
            </w:tcBorders>
            <w:shd w:val="clear" w:color="auto" w:fill="auto"/>
            <w:noWrap/>
            <w:vAlign w:val="bottom"/>
            <w:hideMark/>
          </w:tcPr>
          <w:p w14:paraId="05A682A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199 524</w:t>
            </w:r>
          </w:p>
        </w:tc>
        <w:tc>
          <w:tcPr>
            <w:tcW w:w="1115" w:type="dxa"/>
            <w:tcBorders>
              <w:top w:val="nil"/>
              <w:left w:val="nil"/>
              <w:bottom w:val="single" w:sz="4" w:space="0" w:color="FFFFFF"/>
              <w:right w:val="single" w:sz="4" w:space="0" w:color="FFFFFF"/>
            </w:tcBorders>
            <w:shd w:val="clear" w:color="auto" w:fill="auto"/>
            <w:noWrap/>
            <w:vAlign w:val="bottom"/>
            <w:hideMark/>
          </w:tcPr>
          <w:p w14:paraId="5FF0145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1 453</w:t>
            </w:r>
          </w:p>
        </w:tc>
        <w:tc>
          <w:tcPr>
            <w:tcW w:w="1394" w:type="dxa"/>
            <w:tcBorders>
              <w:top w:val="nil"/>
              <w:left w:val="nil"/>
              <w:bottom w:val="single" w:sz="4" w:space="0" w:color="FFFFFF"/>
              <w:right w:val="single" w:sz="4" w:space="0" w:color="FFFFFF"/>
            </w:tcBorders>
            <w:shd w:val="clear" w:color="auto" w:fill="auto"/>
            <w:noWrap/>
            <w:vAlign w:val="bottom"/>
            <w:hideMark/>
          </w:tcPr>
          <w:p w14:paraId="18484FB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753A6F2B"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6790D429"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CDMX</w:t>
            </w:r>
          </w:p>
        </w:tc>
        <w:tc>
          <w:tcPr>
            <w:tcW w:w="2006" w:type="dxa"/>
            <w:tcBorders>
              <w:top w:val="nil"/>
              <w:left w:val="nil"/>
              <w:bottom w:val="single" w:sz="4" w:space="0" w:color="FFFFFF"/>
              <w:right w:val="single" w:sz="4" w:space="0" w:color="FFFFFF"/>
            </w:tcBorders>
            <w:shd w:val="clear" w:color="auto" w:fill="auto"/>
            <w:noWrap/>
            <w:vAlign w:val="bottom"/>
            <w:hideMark/>
          </w:tcPr>
          <w:p w14:paraId="3A281910"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223 685</w:t>
            </w:r>
          </w:p>
        </w:tc>
        <w:tc>
          <w:tcPr>
            <w:tcW w:w="1341" w:type="dxa"/>
            <w:tcBorders>
              <w:top w:val="nil"/>
              <w:left w:val="nil"/>
              <w:bottom w:val="single" w:sz="4" w:space="0" w:color="FFFFFF"/>
              <w:right w:val="single" w:sz="4" w:space="0" w:color="FFFFFF"/>
            </w:tcBorders>
            <w:shd w:val="clear" w:color="auto" w:fill="auto"/>
            <w:noWrap/>
            <w:vAlign w:val="bottom"/>
            <w:hideMark/>
          </w:tcPr>
          <w:p w14:paraId="2F56516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28 976</w:t>
            </w:r>
          </w:p>
        </w:tc>
        <w:tc>
          <w:tcPr>
            <w:tcW w:w="1255" w:type="dxa"/>
            <w:tcBorders>
              <w:top w:val="nil"/>
              <w:left w:val="nil"/>
              <w:bottom w:val="single" w:sz="4" w:space="0" w:color="FFFFFF"/>
              <w:right w:val="single" w:sz="4" w:space="0" w:color="FFFFFF"/>
            </w:tcBorders>
            <w:shd w:val="clear" w:color="auto" w:fill="auto"/>
            <w:noWrap/>
            <w:vAlign w:val="bottom"/>
            <w:hideMark/>
          </w:tcPr>
          <w:p w14:paraId="1D7EC1E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194 709</w:t>
            </w:r>
          </w:p>
        </w:tc>
        <w:tc>
          <w:tcPr>
            <w:tcW w:w="1115" w:type="dxa"/>
            <w:tcBorders>
              <w:top w:val="nil"/>
              <w:left w:val="nil"/>
              <w:bottom w:val="single" w:sz="4" w:space="0" w:color="FFFFFF"/>
              <w:right w:val="single" w:sz="4" w:space="0" w:color="FFFFFF"/>
            </w:tcBorders>
            <w:shd w:val="clear" w:color="auto" w:fill="auto"/>
            <w:noWrap/>
            <w:vAlign w:val="bottom"/>
            <w:hideMark/>
          </w:tcPr>
          <w:p w14:paraId="22E185B3"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40D2E225"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6F3FDEC0"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5DC7BAA2"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JAL</w:t>
            </w:r>
          </w:p>
        </w:tc>
        <w:tc>
          <w:tcPr>
            <w:tcW w:w="2006" w:type="dxa"/>
            <w:tcBorders>
              <w:top w:val="nil"/>
              <w:left w:val="nil"/>
              <w:bottom w:val="single" w:sz="4" w:space="0" w:color="FFFFFF"/>
              <w:right w:val="single" w:sz="4" w:space="0" w:color="FFFFFF"/>
            </w:tcBorders>
            <w:shd w:val="clear" w:color="auto" w:fill="auto"/>
            <w:noWrap/>
            <w:vAlign w:val="bottom"/>
            <w:hideMark/>
          </w:tcPr>
          <w:p w14:paraId="524FB5FD"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134 184</w:t>
            </w:r>
          </w:p>
        </w:tc>
        <w:tc>
          <w:tcPr>
            <w:tcW w:w="1341" w:type="dxa"/>
            <w:tcBorders>
              <w:top w:val="nil"/>
              <w:left w:val="nil"/>
              <w:bottom w:val="single" w:sz="4" w:space="0" w:color="FFFFFF"/>
              <w:right w:val="single" w:sz="4" w:space="0" w:color="FFFFFF"/>
            </w:tcBorders>
            <w:shd w:val="clear" w:color="auto" w:fill="auto"/>
            <w:noWrap/>
            <w:vAlign w:val="bottom"/>
            <w:hideMark/>
          </w:tcPr>
          <w:p w14:paraId="57057C4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5 981</w:t>
            </w:r>
          </w:p>
        </w:tc>
        <w:tc>
          <w:tcPr>
            <w:tcW w:w="1255" w:type="dxa"/>
            <w:tcBorders>
              <w:top w:val="nil"/>
              <w:left w:val="nil"/>
              <w:bottom w:val="single" w:sz="4" w:space="0" w:color="FFFFFF"/>
              <w:right w:val="single" w:sz="4" w:space="0" w:color="FFFFFF"/>
            </w:tcBorders>
            <w:shd w:val="clear" w:color="auto" w:fill="auto"/>
            <w:noWrap/>
            <w:vAlign w:val="bottom"/>
            <w:hideMark/>
          </w:tcPr>
          <w:p w14:paraId="087DBA0A"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128 128</w:t>
            </w:r>
          </w:p>
        </w:tc>
        <w:tc>
          <w:tcPr>
            <w:tcW w:w="1115" w:type="dxa"/>
            <w:tcBorders>
              <w:top w:val="nil"/>
              <w:left w:val="nil"/>
              <w:bottom w:val="single" w:sz="4" w:space="0" w:color="FFFFFF"/>
              <w:right w:val="single" w:sz="4" w:space="0" w:color="FFFFFF"/>
            </w:tcBorders>
            <w:shd w:val="clear" w:color="auto" w:fill="auto"/>
            <w:noWrap/>
            <w:vAlign w:val="bottom"/>
            <w:hideMark/>
          </w:tcPr>
          <w:p w14:paraId="5A56C9FA"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75</w:t>
            </w:r>
          </w:p>
        </w:tc>
        <w:tc>
          <w:tcPr>
            <w:tcW w:w="1394" w:type="dxa"/>
            <w:tcBorders>
              <w:top w:val="nil"/>
              <w:left w:val="nil"/>
              <w:bottom w:val="single" w:sz="4" w:space="0" w:color="FFFFFF"/>
              <w:right w:val="single" w:sz="4" w:space="0" w:color="FFFFFF"/>
            </w:tcBorders>
            <w:shd w:val="clear" w:color="auto" w:fill="auto"/>
            <w:noWrap/>
            <w:vAlign w:val="bottom"/>
            <w:hideMark/>
          </w:tcPr>
          <w:p w14:paraId="4E8F6C70"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352A8817"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00515255"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GTO</w:t>
            </w:r>
          </w:p>
        </w:tc>
        <w:tc>
          <w:tcPr>
            <w:tcW w:w="2006" w:type="dxa"/>
            <w:tcBorders>
              <w:top w:val="nil"/>
              <w:left w:val="nil"/>
              <w:bottom w:val="single" w:sz="4" w:space="0" w:color="FFFFFF"/>
              <w:right w:val="single" w:sz="4" w:space="0" w:color="FFFFFF"/>
            </w:tcBorders>
            <w:shd w:val="clear" w:color="auto" w:fill="auto"/>
            <w:noWrap/>
            <w:vAlign w:val="bottom"/>
            <w:hideMark/>
          </w:tcPr>
          <w:p w14:paraId="4AD02D9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131 341</w:t>
            </w:r>
          </w:p>
        </w:tc>
        <w:tc>
          <w:tcPr>
            <w:tcW w:w="1341" w:type="dxa"/>
            <w:tcBorders>
              <w:top w:val="nil"/>
              <w:left w:val="nil"/>
              <w:bottom w:val="single" w:sz="4" w:space="0" w:color="FFFFFF"/>
              <w:right w:val="single" w:sz="4" w:space="0" w:color="FFFFFF"/>
            </w:tcBorders>
            <w:shd w:val="clear" w:color="auto" w:fill="auto"/>
            <w:noWrap/>
            <w:vAlign w:val="bottom"/>
            <w:hideMark/>
          </w:tcPr>
          <w:p w14:paraId="2F72DCB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26 618</w:t>
            </w:r>
          </w:p>
        </w:tc>
        <w:tc>
          <w:tcPr>
            <w:tcW w:w="1255" w:type="dxa"/>
            <w:tcBorders>
              <w:top w:val="nil"/>
              <w:left w:val="nil"/>
              <w:bottom w:val="single" w:sz="4" w:space="0" w:color="FFFFFF"/>
              <w:right w:val="single" w:sz="4" w:space="0" w:color="FFFFFF"/>
            </w:tcBorders>
            <w:shd w:val="clear" w:color="auto" w:fill="auto"/>
            <w:noWrap/>
            <w:vAlign w:val="bottom"/>
            <w:hideMark/>
          </w:tcPr>
          <w:p w14:paraId="648A4A4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104 723</w:t>
            </w:r>
          </w:p>
        </w:tc>
        <w:tc>
          <w:tcPr>
            <w:tcW w:w="1115" w:type="dxa"/>
            <w:tcBorders>
              <w:top w:val="nil"/>
              <w:left w:val="nil"/>
              <w:bottom w:val="single" w:sz="4" w:space="0" w:color="FFFFFF"/>
              <w:right w:val="single" w:sz="4" w:space="0" w:color="FFFFFF"/>
            </w:tcBorders>
            <w:shd w:val="clear" w:color="auto" w:fill="auto"/>
            <w:noWrap/>
            <w:vAlign w:val="bottom"/>
            <w:hideMark/>
          </w:tcPr>
          <w:p w14:paraId="28511C14"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4AAEF645"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494156A3"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3BB397B9"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VER</w:t>
            </w:r>
          </w:p>
        </w:tc>
        <w:tc>
          <w:tcPr>
            <w:tcW w:w="2006" w:type="dxa"/>
            <w:tcBorders>
              <w:top w:val="nil"/>
              <w:left w:val="nil"/>
              <w:bottom w:val="single" w:sz="4" w:space="0" w:color="FFFFFF"/>
              <w:right w:val="single" w:sz="4" w:space="0" w:color="FFFFFF"/>
            </w:tcBorders>
            <w:shd w:val="clear" w:color="auto" w:fill="auto"/>
            <w:noWrap/>
            <w:vAlign w:val="bottom"/>
            <w:hideMark/>
          </w:tcPr>
          <w:p w14:paraId="73D064FA"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96 186</w:t>
            </w:r>
          </w:p>
        </w:tc>
        <w:tc>
          <w:tcPr>
            <w:tcW w:w="1341" w:type="dxa"/>
            <w:tcBorders>
              <w:top w:val="nil"/>
              <w:left w:val="nil"/>
              <w:bottom w:val="single" w:sz="4" w:space="0" w:color="FFFFFF"/>
              <w:right w:val="single" w:sz="4" w:space="0" w:color="FFFFFF"/>
            </w:tcBorders>
            <w:shd w:val="clear" w:color="auto" w:fill="auto"/>
            <w:noWrap/>
            <w:vAlign w:val="bottom"/>
            <w:hideMark/>
          </w:tcPr>
          <w:p w14:paraId="1CBEC3A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5 383</w:t>
            </w:r>
          </w:p>
        </w:tc>
        <w:tc>
          <w:tcPr>
            <w:tcW w:w="1255" w:type="dxa"/>
            <w:tcBorders>
              <w:top w:val="nil"/>
              <w:left w:val="nil"/>
              <w:bottom w:val="single" w:sz="4" w:space="0" w:color="FFFFFF"/>
              <w:right w:val="single" w:sz="4" w:space="0" w:color="FFFFFF"/>
            </w:tcBorders>
            <w:shd w:val="clear" w:color="auto" w:fill="auto"/>
            <w:noWrap/>
            <w:vAlign w:val="bottom"/>
            <w:hideMark/>
          </w:tcPr>
          <w:p w14:paraId="5D65C399"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90 746</w:t>
            </w:r>
          </w:p>
        </w:tc>
        <w:tc>
          <w:tcPr>
            <w:tcW w:w="1115" w:type="dxa"/>
            <w:tcBorders>
              <w:top w:val="nil"/>
              <w:left w:val="nil"/>
              <w:bottom w:val="single" w:sz="4" w:space="0" w:color="FFFFFF"/>
              <w:right w:val="single" w:sz="4" w:space="0" w:color="FFFFFF"/>
            </w:tcBorders>
            <w:shd w:val="clear" w:color="auto" w:fill="auto"/>
            <w:noWrap/>
            <w:vAlign w:val="bottom"/>
            <w:hideMark/>
          </w:tcPr>
          <w:p w14:paraId="240DB92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57</w:t>
            </w:r>
          </w:p>
        </w:tc>
        <w:tc>
          <w:tcPr>
            <w:tcW w:w="1394" w:type="dxa"/>
            <w:tcBorders>
              <w:top w:val="nil"/>
              <w:left w:val="nil"/>
              <w:bottom w:val="single" w:sz="4" w:space="0" w:color="FFFFFF"/>
              <w:right w:val="single" w:sz="4" w:space="0" w:color="FFFFFF"/>
            </w:tcBorders>
            <w:shd w:val="clear" w:color="auto" w:fill="auto"/>
            <w:noWrap/>
            <w:vAlign w:val="bottom"/>
            <w:hideMark/>
          </w:tcPr>
          <w:p w14:paraId="3D8598BD"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0F494556"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6AA58C18"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NL</w:t>
            </w:r>
          </w:p>
        </w:tc>
        <w:tc>
          <w:tcPr>
            <w:tcW w:w="2006" w:type="dxa"/>
            <w:tcBorders>
              <w:top w:val="nil"/>
              <w:left w:val="nil"/>
              <w:bottom w:val="single" w:sz="4" w:space="0" w:color="FFFFFF"/>
              <w:right w:val="single" w:sz="4" w:space="0" w:color="FFFFFF"/>
            </w:tcBorders>
            <w:shd w:val="clear" w:color="auto" w:fill="auto"/>
            <w:noWrap/>
            <w:vAlign w:val="bottom"/>
            <w:hideMark/>
          </w:tcPr>
          <w:p w14:paraId="6BFC6F99"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92 171</w:t>
            </w:r>
          </w:p>
        </w:tc>
        <w:tc>
          <w:tcPr>
            <w:tcW w:w="1341" w:type="dxa"/>
            <w:tcBorders>
              <w:top w:val="nil"/>
              <w:left w:val="nil"/>
              <w:bottom w:val="single" w:sz="4" w:space="0" w:color="FFFFFF"/>
              <w:right w:val="single" w:sz="4" w:space="0" w:color="FFFFFF"/>
            </w:tcBorders>
            <w:shd w:val="clear" w:color="auto" w:fill="auto"/>
            <w:noWrap/>
            <w:vAlign w:val="bottom"/>
            <w:hideMark/>
          </w:tcPr>
          <w:p w14:paraId="4E523C9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73 093</w:t>
            </w:r>
          </w:p>
        </w:tc>
        <w:tc>
          <w:tcPr>
            <w:tcW w:w="1255" w:type="dxa"/>
            <w:tcBorders>
              <w:top w:val="nil"/>
              <w:left w:val="nil"/>
              <w:bottom w:val="single" w:sz="4" w:space="0" w:color="FFFFFF"/>
              <w:right w:val="single" w:sz="4" w:space="0" w:color="FFFFFF"/>
            </w:tcBorders>
            <w:shd w:val="clear" w:color="auto" w:fill="auto"/>
            <w:noWrap/>
            <w:vAlign w:val="bottom"/>
            <w:hideMark/>
          </w:tcPr>
          <w:p w14:paraId="43EB380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19 078</w:t>
            </w:r>
          </w:p>
        </w:tc>
        <w:tc>
          <w:tcPr>
            <w:tcW w:w="1115" w:type="dxa"/>
            <w:tcBorders>
              <w:top w:val="nil"/>
              <w:left w:val="nil"/>
              <w:bottom w:val="single" w:sz="4" w:space="0" w:color="FFFFFF"/>
              <w:right w:val="single" w:sz="4" w:space="0" w:color="FFFFFF"/>
            </w:tcBorders>
            <w:shd w:val="clear" w:color="auto" w:fill="auto"/>
            <w:noWrap/>
            <w:vAlign w:val="bottom"/>
            <w:hideMark/>
          </w:tcPr>
          <w:p w14:paraId="31D085A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27A56610"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409E1AA4"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08F5BFB3"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BC</w:t>
            </w:r>
          </w:p>
        </w:tc>
        <w:tc>
          <w:tcPr>
            <w:tcW w:w="2006" w:type="dxa"/>
            <w:tcBorders>
              <w:top w:val="nil"/>
              <w:left w:val="nil"/>
              <w:bottom w:val="single" w:sz="4" w:space="0" w:color="FFFFFF"/>
              <w:right w:val="single" w:sz="4" w:space="0" w:color="FFFFFF"/>
            </w:tcBorders>
            <w:shd w:val="clear" w:color="auto" w:fill="auto"/>
            <w:noWrap/>
            <w:vAlign w:val="bottom"/>
            <w:hideMark/>
          </w:tcPr>
          <w:p w14:paraId="56C7E62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91 318</w:t>
            </w:r>
          </w:p>
        </w:tc>
        <w:tc>
          <w:tcPr>
            <w:tcW w:w="1341" w:type="dxa"/>
            <w:tcBorders>
              <w:top w:val="nil"/>
              <w:left w:val="nil"/>
              <w:bottom w:val="single" w:sz="4" w:space="0" w:color="FFFFFF"/>
              <w:right w:val="single" w:sz="4" w:space="0" w:color="FFFFFF"/>
            </w:tcBorders>
            <w:shd w:val="clear" w:color="auto" w:fill="auto"/>
            <w:noWrap/>
            <w:vAlign w:val="bottom"/>
            <w:hideMark/>
          </w:tcPr>
          <w:p w14:paraId="4DD4715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316</w:t>
            </w:r>
          </w:p>
        </w:tc>
        <w:tc>
          <w:tcPr>
            <w:tcW w:w="1255" w:type="dxa"/>
            <w:tcBorders>
              <w:top w:val="nil"/>
              <w:left w:val="nil"/>
              <w:bottom w:val="single" w:sz="4" w:space="0" w:color="FFFFFF"/>
              <w:right w:val="single" w:sz="4" w:space="0" w:color="FFFFFF"/>
            </w:tcBorders>
            <w:shd w:val="clear" w:color="auto" w:fill="auto"/>
            <w:noWrap/>
            <w:vAlign w:val="bottom"/>
            <w:hideMark/>
          </w:tcPr>
          <w:p w14:paraId="6A0D8314"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348</w:t>
            </w:r>
          </w:p>
        </w:tc>
        <w:tc>
          <w:tcPr>
            <w:tcW w:w="1115" w:type="dxa"/>
            <w:tcBorders>
              <w:top w:val="nil"/>
              <w:left w:val="nil"/>
              <w:bottom w:val="single" w:sz="4" w:space="0" w:color="FFFFFF"/>
              <w:right w:val="single" w:sz="4" w:space="0" w:color="FFFFFF"/>
            </w:tcBorders>
            <w:shd w:val="clear" w:color="auto" w:fill="auto"/>
            <w:noWrap/>
            <w:vAlign w:val="bottom"/>
            <w:hideMark/>
          </w:tcPr>
          <w:p w14:paraId="236A79F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46D6FC69"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90 654</w:t>
            </w:r>
          </w:p>
        </w:tc>
      </w:tr>
      <w:tr w:rsidR="00BF6571" w:rsidRPr="00D41818" w14:paraId="1165889E"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center"/>
            <w:hideMark/>
          </w:tcPr>
          <w:p w14:paraId="0C70DEE5"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FGR</w:t>
            </w:r>
          </w:p>
        </w:tc>
        <w:tc>
          <w:tcPr>
            <w:tcW w:w="2006" w:type="dxa"/>
            <w:tcBorders>
              <w:top w:val="nil"/>
              <w:left w:val="nil"/>
              <w:bottom w:val="single" w:sz="4" w:space="0" w:color="FFFFFF"/>
              <w:right w:val="single" w:sz="4" w:space="0" w:color="FFFFFF"/>
            </w:tcBorders>
            <w:shd w:val="clear" w:color="auto" w:fill="auto"/>
            <w:noWrap/>
            <w:vAlign w:val="bottom"/>
            <w:hideMark/>
          </w:tcPr>
          <w:p w14:paraId="6123BE7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77 637</w:t>
            </w:r>
          </w:p>
        </w:tc>
        <w:tc>
          <w:tcPr>
            <w:tcW w:w="1341" w:type="dxa"/>
            <w:tcBorders>
              <w:top w:val="nil"/>
              <w:left w:val="nil"/>
              <w:bottom w:val="single" w:sz="4" w:space="0" w:color="FFFFFF"/>
              <w:right w:val="single" w:sz="4" w:space="0" w:color="FFFFFF"/>
            </w:tcBorders>
            <w:shd w:val="clear" w:color="auto" w:fill="auto"/>
            <w:noWrap/>
            <w:vAlign w:val="bottom"/>
            <w:hideMark/>
          </w:tcPr>
          <w:p w14:paraId="334E11A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14 859</w:t>
            </w:r>
          </w:p>
        </w:tc>
        <w:tc>
          <w:tcPr>
            <w:tcW w:w="1255" w:type="dxa"/>
            <w:tcBorders>
              <w:top w:val="nil"/>
              <w:left w:val="nil"/>
              <w:bottom w:val="single" w:sz="4" w:space="0" w:color="FFFFFF"/>
              <w:right w:val="single" w:sz="4" w:space="0" w:color="FFFFFF"/>
            </w:tcBorders>
            <w:shd w:val="clear" w:color="auto" w:fill="auto"/>
            <w:noWrap/>
            <w:vAlign w:val="bottom"/>
            <w:hideMark/>
          </w:tcPr>
          <w:p w14:paraId="5507FF45"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62 778</w:t>
            </w:r>
          </w:p>
        </w:tc>
        <w:tc>
          <w:tcPr>
            <w:tcW w:w="1115" w:type="dxa"/>
            <w:tcBorders>
              <w:top w:val="nil"/>
              <w:left w:val="nil"/>
              <w:bottom w:val="single" w:sz="4" w:space="0" w:color="FFFFFF"/>
              <w:right w:val="single" w:sz="4" w:space="0" w:color="FFFFFF"/>
            </w:tcBorders>
            <w:shd w:val="clear" w:color="auto" w:fill="auto"/>
            <w:noWrap/>
            <w:vAlign w:val="bottom"/>
            <w:hideMark/>
          </w:tcPr>
          <w:p w14:paraId="2ED8DE79"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50DB8AB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40237C31"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7F36CBB8"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PUE</w:t>
            </w:r>
          </w:p>
        </w:tc>
        <w:tc>
          <w:tcPr>
            <w:tcW w:w="2006" w:type="dxa"/>
            <w:tcBorders>
              <w:top w:val="nil"/>
              <w:left w:val="nil"/>
              <w:bottom w:val="single" w:sz="4" w:space="0" w:color="FFFFFF"/>
              <w:right w:val="single" w:sz="4" w:space="0" w:color="FFFFFF"/>
            </w:tcBorders>
            <w:shd w:val="clear" w:color="auto" w:fill="auto"/>
            <w:noWrap/>
            <w:vAlign w:val="bottom"/>
            <w:hideMark/>
          </w:tcPr>
          <w:p w14:paraId="7432462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75 141</w:t>
            </w:r>
          </w:p>
        </w:tc>
        <w:tc>
          <w:tcPr>
            <w:tcW w:w="1341" w:type="dxa"/>
            <w:tcBorders>
              <w:top w:val="nil"/>
              <w:left w:val="nil"/>
              <w:bottom w:val="single" w:sz="4" w:space="0" w:color="FFFFFF"/>
              <w:right w:val="single" w:sz="4" w:space="0" w:color="FFFFFF"/>
            </w:tcBorders>
            <w:shd w:val="clear" w:color="auto" w:fill="auto"/>
            <w:noWrap/>
            <w:vAlign w:val="bottom"/>
            <w:hideMark/>
          </w:tcPr>
          <w:p w14:paraId="47B95C9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25 895</w:t>
            </w:r>
          </w:p>
        </w:tc>
        <w:tc>
          <w:tcPr>
            <w:tcW w:w="1255" w:type="dxa"/>
            <w:tcBorders>
              <w:top w:val="nil"/>
              <w:left w:val="nil"/>
              <w:bottom w:val="single" w:sz="4" w:space="0" w:color="FFFFFF"/>
              <w:right w:val="single" w:sz="4" w:space="0" w:color="FFFFFF"/>
            </w:tcBorders>
            <w:shd w:val="clear" w:color="auto" w:fill="auto"/>
            <w:noWrap/>
            <w:vAlign w:val="bottom"/>
            <w:hideMark/>
          </w:tcPr>
          <w:p w14:paraId="2D220FC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48 902</w:t>
            </w:r>
          </w:p>
        </w:tc>
        <w:tc>
          <w:tcPr>
            <w:tcW w:w="1115" w:type="dxa"/>
            <w:tcBorders>
              <w:top w:val="nil"/>
              <w:left w:val="nil"/>
              <w:bottom w:val="single" w:sz="4" w:space="0" w:color="FFFFFF"/>
              <w:right w:val="single" w:sz="4" w:space="0" w:color="FFFFFF"/>
            </w:tcBorders>
            <w:shd w:val="clear" w:color="auto" w:fill="auto"/>
            <w:noWrap/>
            <w:vAlign w:val="bottom"/>
            <w:hideMark/>
          </w:tcPr>
          <w:p w14:paraId="0EC3457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344</w:t>
            </w:r>
          </w:p>
        </w:tc>
        <w:tc>
          <w:tcPr>
            <w:tcW w:w="1394" w:type="dxa"/>
            <w:tcBorders>
              <w:top w:val="nil"/>
              <w:left w:val="nil"/>
              <w:bottom w:val="single" w:sz="4" w:space="0" w:color="FFFFFF"/>
              <w:right w:val="single" w:sz="4" w:space="0" w:color="FFFFFF"/>
            </w:tcBorders>
            <w:shd w:val="clear" w:color="auto" w:fill="auto"/>
            <w:noWrap/>
            <w:vAlign w:val="bottom"/>
            <w:hideMark/>
          </w:tcPr>
          <w:p w14:paraId="744CC4B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2F206736"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2C604A3B"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CHIH</w:t>
            </w:r>
          </w:p>
        </w:tc>
        <w:tc>
          <w:tcPr>
            <w:tcW w:w="2006" w:type="dxa"/>
            <w:tcBorders>
              <w:top w:val="nil"/>
              <w:left w:val="nil"/>
              <w:bottom w:val="single" w:sz="4" w:space="0" w:color="FFFFFF"/>
              <w:right w:val="single" w:sz="4" w:space="0" w:color="FFFFFF"/>
            </w:tcBorders>
            <w:shd w:val="clear" w:color="auto" w:fill="auto"/>
            <w:noWrap/>
            <w:vAlign w:val="bottom"/>
            <w:hideMark/>
          </w:tcPr>
          <w:p w14:paraId="050C788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69 171</w:t>
            </w:r>
          </w:p>
        </w:tc>
        <w:tc>
          <w:tcPr>
            <w:tcW w:w="1341" w:type="dxa"/>
            <w:tcBorders>
              <w:top w:val="nil"/>
              <w:left w:val="nil"/>
              <w:bottom w:val="single" w:sz="4" w:space="0" w:color="FFFFFF"/>
              <w:right w:val="single" w:sz="4" w:space="0" w:color="FFFFFF"/>
            </w:tcBorders>
            <w:shd w:val="clear" w:color="auto" w:fill="auto"/>
            <w:noWrap/>
            <w:vAlign w:val="bottom"/>
            <w:hideMark/>
          </w:tcPr>
          <w:p w14:paraId="4A788445"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48 304</w:t>
            </w:r>
          </w:p>
        </w:tc>
        <w:tc>
          <w:tcPr>
            <w:tcW w:w="1255" w:type="dxa"/>
            <w:tcBorders>
              <w:top w:val="nil"/>
              <w:left w:val="nil"/>
              <w:bottom w:val="single" w:sz="4" w:space="0" w:color="FFFFFF"/>
              <w:right w:val="single" w:sz="4" w:space="0" w:color="FFFFFF"/>
            </w:tcBorders>
            <w:shd w:val="clear" w:color="auto" w:fill="auto"/>
            <w:noWrap/>
            <w:vAlign w:val="bottom"/>
            <w:hideMark/>
          </w:tcPr>
          <w:p w14:paraId="0C7731D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20 867</w:t>
            </w:r>
          </w:p>
        </w:tc>
        <w:tc>
          <w:tcPr>
            <w:tcW w:w="1115" w:type="dxa"/>
            <w:tcBorders>
              <w:top w:val="nil"/>
              <w:left w:val="nil"/>
              <w:bottom w:val="single" w:sz="4" w:space="0" w:color="FFFFFF"/>
              <w:right w:val="single" w:sz="4" w:space="0" w:color="FFFFFF"/>
            </w:tcBorders>
            <w:shd w:val="clear" w:color="auto" w:fill="auto"/>
            <w:noWrap/>
            <w:vAlign w:val="bottom"/>
            <w:hideMark/>
          </w:tcPr>
          <w:p w14:paraId="53C0F394"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2C4D5E1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3F4615D1"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092452F2"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COAH</w:t>
            </w:r>
          </w:p>
        </w:tc>
        <w:tc>
          <w:tcPr>
            <w:tcW w:w="2006" w:type="dxa"/>
            <w:tcBorders>
              <w:top w:val="nil"/>
              <w:left w:val="nil"/>
              <w:bottom w:val="single" w:sz="4" w:space="0" w:color="FFFFFF"/>
              <w:right w:val="single" w:sz="4" w:space="0" w:color="FFFFFF"/>
            </w:tcBorders>
            <w:shd w:val="clear" w:color="auto" w:fill="auto"/>
            <w:noWrap/>
            <w:vAlign w:val="bottom"/>
            <w:hideMark/>
          </w:tcPr>
          <w:p w14:paraId="518EB699"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56 029</w:t>
            </w:r>
          </w:p>
        </w:tc>
        <w:tc>
          <w:tcPr>
            <w:tcW w:w="1341" w:type="dxa"/>
            <w:tcBorders>
              <w:top w:val="nil"/>
              <w:left w:val="nil"/>
              <w:bottom w:val="single" w:sz="4" w:space="0" w:color="FFFFFF"/>
              <w:right w:val="single" w:sz="4" w:space="0" w:color="FFFFFF"/>
            </w:tcBorders>
            <w:shd w:val="clear" w:color="auto" w:fill="auto"/>
            <w:noWrap/>
            <w:vAlign w:val="bottom"/>
            <w:hideMark/>
          </w:tcPr>
          <w:p w14:paraId="6AFFFD9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21 172</w:t>
            </w:r>
          </w:p>
        </w:tc>
        <w:tc>
          <w:tcPr>
            <w:tcW w:w="1255" w:type="dxa"/>
            <w:tcBorders>
              <w:top w:val="nil"/>
              <w:left w:val="nil"/>
              <w:bottom w:val="single" w:sz="4" w:space="0" w:color="FFFFFF"/>
              <w:right w:val="single" w:sz="4" w:space="0" w:color="FFFFFF"/>
            </w:tcBorders>
            <w:shd w:val="clear" w:color="auto" w:fill="auto"/>
            <w:noWrap/>
            <w:vAlign w:val="bottom"/>
            <w:hideMark/>
          </w:tcPr>
          <w:p w14:paraId="79B1A82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34 778</w:t>
            </w:r>
          </w:p>
        </w:tc>
        <w:tc>
          <w:tcPr>
            <w:tcW w:w="1115" w:type="dxa"/>
            <w:tcBorders>
              <w:top w:val="nil"/>
              <w:left w:val="nil"/>
              <w:bottom w:val="single" w:sz="4" w:space="0" w:color="FFFFFF"/>
              <w:right w:val="single" w:sz="4" w:space="0" w:color="FFFFFF"/>
            </w:tcBorders>
            <w:shd w:val="clear" w:color="auto" w:fill="auto"/>
            <w:noWrap/>
            <w:vAlign w:val="bottom"/>
            <w:hideMark/>
          </w:tcPr>
          <w:p w14:paraId="2F8C056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79</w:t>
            </w:r>
          </w:p>
        </w:tc>
        <w:tc>
          <w:tcPr>
            <w:tcW w:w="1394" w:type="dxa"/>
            <w:tcBorders>
              <w:top w:val="nil"/>
              <w:left w:val="nil"/>
              <w:bottom w:val="single" w:sz="4" w:space="0" w:color="FFFFFF"/>
              <w:right w:val="single" w:sz="4" w:space="0" w:color="FFFFFF"/>
            </w:tcBorders>
            <w:shd w:val="clear" w:color="auto" w:fill="auto"/>
            <w:noWrap/>
            <w:vAlign w:val="bottom"/>
            <w:hideMark/>
          </w:tcPr>
          <w:p w14:paraId="29B9282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784ADA51"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7EBFCEDC"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QRO</w:t>
            </w:r>
          </w:p>
        </w:tc>
        <w:tc>
          <w:tcPr>
            <w:tcW w:w="2006" w:type="dxa"/>
            <w:tcBorders>
              <w:top w:val="nil"/>
              <w:left w:val="nil"/>
              <w:bottom w:val="single" w:sz="4" w:space="0" w:color="FFFFFF"/>
              <w:right w:val="single" w:sz="4" w:space="0" w:color="FFFFFF"/>
            </w:tcBorders>
            <w:shd w:val="clear" w:color="auto" w:fill="auto"/>
            <w:noWrap/>
            <w:vAlign w:val="bottom"/>
            <w:hideMark/>
          </w:tcPr>
          <w:p w14:paraId="1F6FC94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53 285</w:t>
            </w:r>
          </w:p>
        </w:tc>
        <w:tc>
          <w:tcPr>
            <w:tcW w:w="1341" w:type="dxa"/>
            <w:tcBorders>
              <w:top w:val="nil"/>
              <w:left w:val="nil"/>
              <w:bottom w:val="single" w:sz="4" w:space="0" w:color="FFFFFF"/>
              <w:right w:val="single" w:sz="4" w:space="0" w:color="FFFFFF"/>
            </w:tcBorders>
            <w:shd w:val="clear" w:color="auto" w:fill="auto"/>
            <w:noWrap/>
            <w:vAlign w:val="bottom"/>
            <w:hideMark/>
          </w:tcPr>
          <w:p w14:paraId="1E889BD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7 245</w:t>
            </w:r>
          </w:p>
        </w:tc>
        <w:tc>
          <w:tcPr>
            <w:tcW w:w="1255" w:type="dxa"/>
            <w:tcBorders>
              <w:top w:val="nil"/>
              <w:left w:val="nil"/>
              <w:bottom w:val="single" w:sz="4" w:space="0" w:color="FFFFFF"/>
              <w:right w:val="single" w:sz="4" w:space="0" w:color="FFFFFF"/>
            </w:tcBorders>
            <w:shd w:val="clear" w:color="auto" w:fill="auto"/>
            <w:noWrap/>
            <w:vAlign w:val="bottom"/>
            <w:hideMark/>
          </w:tcPr>
          <w:p w14:paraId="79CFE0D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45 977</w:t>
            </w:r>
          </w:p>
        </w:tc>
        <w:tc>
          <w:tcPr>
            <w:tcW w:w="1115" w:type="dxa"/>
            <w:tcBorders>
              <w:top w:val="nil"/>
              <w:left w:val="nil"/>
              <w:bottom w:val="single" w:sz="4" w:space="0" w:color="FFFFFF"/>
              <w:right w:val="single" w:sz="4" w:space="0" w:color="FFFFFF"/>
            </w:tcBorders>
            <w:shd w:val="clear" w:color="auto" w:fill="auto"/>
            <w:noWrap/>
            <w:vAlign w:val="bottom"/>
            <w:hideMark/>
          </w:tcPr>
          <w:p w14:paraId="36F1B8D4"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63</w:t>
            </w:r>
          </w:p>
        </w:tc>
        <w:tc>
          <w:tcPr>
            <w:tcW w:w="1394" w:type="dxa"/>
            <w:tcBorders>
              <w:top w:val="nil"/>
              <w:left w:val="nil"/>
              <w:bottom w:val="single" w:sz="4" w:space="0" w:color="FFFFFF"/>
              <w:right w:val="single" w:sz="4" w:space="0" w:color="FFFFFF"/>
            </w:tcBorders>
            <w:shd w:val="clear" w:color="auto" w:fill="auto"/>
            <w:noWrap/>
            <w:vAlign w:val="bottom"/>
            <w:hideMark/>
          </w:tcPr>
          <w:p w14:paraId="724C685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6BD3D42C"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6AA64F08"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SLP</w:t>
            </w:r>
          </w:p>
        </w:tc>
        <w:tc>
          <w:tcPr>
            <w:tcW w:w="2006" w:type="dxa"/>
            <w:tcBorders>
              <w:top w:val="nil"/>
              <w:left w:val="nil"/>
              <w:bottom w:val="single" w:sz="4" w:space="0" w:color="FFFFFF"/>
              <w:right w:val="single" w:sz="4" w:space="0" w:color="FFFFFF"/>
            </w:tcBorders>
            <w:shd w:val="clear" w:color="auto" w:fill="auto"/>
            <w:noWrap/>
            <w:vAlign w:val="bottom"/>
            <w:hideMark/>
          </w:tcPr>
          <w:p w14:paraId="0932DE9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51 070</w:t>
            </w:r>
          </w:p>
        </w:tc>
        <w:tc>
          <w:tcPr>
            <w:tcW w:w="1341" w:type="dxa"/>
            <w:tcBorders>
              <w:top w:val="nil"/>
              <w:left w:val="nil"/>
              <w:bottom w:val="single" w:sz="4" w:space="0" w:color="FFFFFF"/>
              <w:right w:val="single" w:sz="4" w:space="0" w:color="FFFFFF"/>
            </w:tcBorders>
            <w:shd w:val="clear" w:color="auto" w:fill="auto"/>
            <w:noWrap/>
            <w:vAlign w:val="bottom"/>
            <w:hideMark/>
          </w:tcPr>
          <w:p w14:paraId="7F931EC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5 029</w:t>
            </w:r>
          </w:p>
        </w:tc>
        <w:tc>
          <w:tcPr>
            <w:tcW w:w="1255" w:type="dxa"/>
            <w:tcBorders>
              <w:top w:val="nil"/>
              <w:left w:val="nil"/>
              <w:bottom w:val="single" w:sz="4" w:space="0" w:color="FFFFFF"/>
              <w:right w:val="single" w:sz="4" w:space="0" w:color="FFFFFF"/>
            </w:tcBorders>
            <w:shd w:val="clear" w:color="auto" w:fill="auto"/>
            <w:noWrap/>
            <w:vAlign w:val="bottom"/>
            <w:hideMark/>
          </w:tcPr>
          <w:p w14:paraId="4A1087C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46 041</w:t>
            </w:r>
          </w:p>
        </w:tc>
        <w:tc>
          <w:tcPr>
            <w:tcW w:w="1115" w:type="dxa"/>
            <w:tcBorders>
              <w:top w:val="nil"/>
              <w:left w:val="nil"/>
              <w:bottom w:val="single" w:sz="4" w:space="0" w:color="FFFFFF"/>
              <w:right w:val="single" w:sz="4" w:space="0" w:color="FFFFFF"/>
            </w:tcBorders>
            <w:shd w:val="clear" w:color="auto" w:fill="auto"/>
            <w:noWrap/>
            <w:vAlign w:val="bottom"/>
            <w:hideMark/>
          </w:tcPr>
          <w:p w14:paraId="773645F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78262E8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4FFE5578"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387F81D0"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QROO</w:t>
            </w:r>
          </w:p>
        </w:tc>
        <w:tc>
          <w:tcPr>
            <w:tcW w:w="2006" w:type="dxa"/>
            <w:tcBorders>
              <w:top w:val="nil"/>
              <w:left w:val="nil"/>
              <w:bottom w:val="single" w:sz="4" w:space="0" w:color="FFFFFF"/>
              <w:right w:val="single" w:sz="4" w:space="0" w:color="FFFFFF"/>
            </w:tcBorders>
            <w:shd w:val="clear" w:color="auto" w:fill="auto"/>
            <w:noWrap/>
            <w:vAlign w:val="bottom"/>
            <w:hideMark/>
          </w:tcPr>
          <w:p w14:paraId="0EA3DCB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48 200</w:t>
            </w:r>
          </w:p>
        </w:tc>
        <w:tc>
          <w:tcPr>
            <w:tcW w:w="1341" w:type="dxa"/>
            <w:tcBorders>
              <w:top w:val="nil"/>
              <w:left w:val="nil"/>
              <w:bottom w:val="single" w:sz="4" w:space="0" w:color="FFFFFF"/>
              <w:right w:val="single" w:sz="4" w:space="0" w:color="FFFFFF"/>
            </w:tcBorders>
            <w:shd w:val="clear" w:color="auto" w:fill="auto"/>
            <w:noWrap/>
            <w:vAlign w:val="bottom"/>
            <w:hideMark/>
          </w:tcPr>
          <w:p w14:paraId="3F56E4E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400</w:t>
            </w:r>
          </w:p>
        </w:tc>
        <w:tc>
          <w:tcPr>
            <w:tcW w:w="1255" w:type="dxa"/>
            <w:tcBorders>
              <w:top w:val="nil"/>
              <w:left w:val="nil"/>
              <w:bottom w:val="single" w:sz="4" w:space="0" w:color="FFFFFF"/>
              <w:right w:val="single" w:sz="4" w:space="0" w:color="FFFFFF"/>
            </w:tcBorders>
            <w:shd w:val="clear" w:color="auto" w:fill="auto"/>
            <w:noWrap/>
            <w:vAlign w:val="bottom"/>
            <w:hideMark/>
          </w:tcPr>
          <w:p w14:paraId="0398EB0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47</w:t>
            </w:r>
          </w:p>
        </w:tc>
        <w:tc>
          <w:tcPr>
            <w:tcW w:w="1115" w:type="dxa"/>
            <w:tcBorders>
              <w:top w:val="nil"/>
              <w:left w:val="nil"/>
              <w:bottom w:val="single" w:sz="4" w:space="0" w:color="FFFFFF"/>
              <w:right w:val="single" w:sz="4" w:space="0" w:color="FFFFFF"/>
            </w:tcBorders>
            <w:shd w:val="clear" w:color="auto" w:fill="auto"/>
            <w:noWrap/>
            <w:vAlign w:val="bottom"/>
            <w:hideMark/>
          </w:tcPr>
          <w:p w14:paraId="1C7E5034"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34D7A5B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47 753</w:t>
            </w:r>
          </w:p>
        </w:tc>
      </w:tr>
      <w:tr w:rsidR="00BF6571" w:rsidRPr="00D41818" w14:paraId="1BA38E56"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6B21C890"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MICH</w:t>
            </w:r>
          </w:p>
        </w:tc>
        <w:tc>
          <w:tcPr>
            <w:tcW w:w="2006" w:type="dxa"/>
            <w:tcBorders>
              <w:top w:val="nil"/>
              <w:left w:val="nil"/>
              <w:bottom w:val="single" w:sz="4" w:space="0" w:color="FFFFFF"/>
              <w:right w:val="single" w:sz="4" w:space="0" w:color="FFFFFF"/>
            </w:tcBorders>
            <w:shd w:val="clear" w:color="auto" w:fill="auto"/>
            <w:noWrap/>
            <w:vAlign w:val="bottom"/>
            <w:hideMark/>
          </w:tcPr>
          <w:p w14:paraId="0A1832B4"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46 002</w:t>
            </w:r>
          </w:p>
        </w:tc>
        <w:tc>
          <w:tcPr>
            <w:tcW w:w="1341" w:type="dxa"/>
            <w:tcBorders>
              <w:top w:val="nil"/>
              <w:left w:val="nil"/>
              <w:bottom w:val="single" w:sz="4" w:space="0" w:color="FFFFFF"/>
              <w:right w:val="single" w:sz="4" w:space="0" w:color="FFFFFF"/>
            </w:tcBorders>
            <w:shd w:val="clear" w:color="auto" w:fill="auto"/>
            <w:noWrap/>
            <w:vAlign w:val="bottom"/>
            <w:hideMark/>
          </w:tcPr>
          <w:p w14:paraId="5D5DD69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3 708</w:t>
            </w:r>
          </w:p>
        </w:tc>
        <w:tc>
          <w:tcPr>
            <w:tcW w:w="1255" w:type="dxa"/>
            <w:tcBorders>
              <w:top w:val="nil"/>
              <w:left w:val="nil"/>
              <w:bottom w:val="single" w:sz="4" w:space="0" w:color="FFFFFF"/>
              <w:right w:val="single" w:sz="4" w:space="0" w:color="FFFFFF"/>
            </w:tcBorders>
            <w:shd w:val="clear" w:color="auto" w:fill="auto"/>
            <w:noWrap/>
            <w:vAlign w:val="bottom"/>
            <w:hideMark/>
          </w:tcPr>
          <w:p w14:paraId="73FD54D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42 294</w:t>
            </w:r>
          </w:p>
        </w:tc>
        <w:tc>
          <w:tcPr>
            <w:tcW w:w="1115" w:type="dxa"/>
            <w:tcBorders>
              <w:top w:val="nil"/>
              <w:left w:val="nil"/>
              <w:bottom w:val="single" w:sz="4" w:space="0" w:color="FFFFFF"/>
              <w:right w:val="single" w:sz="4" w:space="0" w:color="FFFFFF"/>
            </w:tcBorders>
            <w:shd w:val="clear" w:color="auto" w:fill="auto"/>
            <w:noWrap/>
            <w:vAlign w:val="bottom"/>
            <w:hideMark/>
          </w:tcPr>
          <w:p w14:paraId="58AC7F9D"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6CA89D33"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2413CAB5"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6C9846CA"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MOR</w:t>
            </w:r>
          </w:p>
        </w:tc>
        <w:tc>
          <w:tcPr>
            <w:tcW w:w="2006" w:type="dxa"/>
            <w:tcBorders>
              <w:top w:val="nil"/>
              <w:left w:val="nil"/>
              <w:bottom w:val="single" w:sz="4" w:space="0" w:color="FFFFFF"/>
              <w:right w:val="single" w:sz="4" w:space="0" w:color="FFFFFF"/>
            </w:tcBorders>
            <w:shd w:val="clear" w:color="auto" w:fill="auto"/>
            <w:noWrap/>
            <w:vAlign w:val="bottom"/>
            <w:hideMark/>
          </w:tcPr>
          <w:p w14:paraId="28E0B383"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43 903</w:t>
            </w:r>
          </w:p>
        </w:tc>
        <w:tc>
          <w:tcPr>
            <w:tcW w:w="1341" w:type="dxa"/>
            <w:tcBorders>
              <w:top w:val="nil"/>
              <w:left w:val="nil"/>
              <w:bottom w:val="single" w:sz="4" w:space="0" w:color="FFFFFF"/>
              <w:right w:val="single" w:sz="4" w:space="0" w:color="FFFFFF"/>
            </w:tcBorders>
            <w:shd w:val="clear" w:color="auto" w:fill="auto"/>
            <w:noWrap/>
            <w:vAlign w:val="bottom"/>
            <w:hideMark/>
          </w:tcPr>
          <w:p w14:paraId="4F53737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10 186</w:t>
            </w:r>
          </w:p>
        </w:tc>
        <w:tc>
          <w:tcPr>
            <w:tcW w:w="1255" w:type="dxa"/>
            <w:tcBorders>
              <w:top w:val="nil"/>
              <w:left w:val="nil"/>
              <w:bottom w:val="single" w:sz="4" w:space="0" w:color="FFFFFF"/>
              <w:right w:val="single" w:sz="4" w:space="0" w:color="FFFFFF"/>
            </w:tcBorders>
            <w:shd w:val="clear" w:color="auto" w:fill="auto"/>
            <w:noWrap/>
            <w:vAlign w:val="bottom"/>
            <w:hideMark/>
          </w:tcPr>
          <w:p w14:paraId="4F80A17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33 715</w:t>
            </w:r>
          </w:p>
        </w:tc>
        <w:tc>
          <w:tcPr>
            <w:tcW w:w="1115" w:type="dxa"/>
            <w:tcBorders>
              <w:top w:val="nil"/>
              <w:left w:val="nil"/>
              <w:bottom w:val="single" w:sz="4" w:space="0" w:color="FFFFFF"/>
              <w:right w:val="single" w:sz="4" w:space="0" w:color="FFFFFF"/>
            </w:tcBorders>
            <w:shd w:val="clear" w:color="auto" w:fill="auto"/>
            <w:noWrap/>
            <w:vAlign w:val="bottom"/>
            <w:hideMark/>
          </w:tcPr>
          <w:p w14:paraId="14C0711D"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2</w:t>
            </w:r>
          </w:p>
        </w:tc>
        <w:tc>
          <w:tcPr>
            <w:tcW w:w="1394" w:type="dxa"/>
            <w:tcBorders>
              <w:top w:val="nil"/>
              <w:left w:val="nil"/>
              <w:bottom w:val="single" w:sz="4" w:space="0" w:color="FFFFFF"/>
              <w:right w:val="single" w:sz="4" w:space="0" w:color="FFFFFF"/>
            </w:tcBorders>
            <w:shd w:val="clear" w:color="auto" w:fill="auto"/>
            <w:noWrap/>
            <w:vAlign w:val="bottom"/>
            <w:hideMark/>
          </w:tcPr>
          <w:p w14:paraId="35C00F3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68766FCB"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2654378E"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TAB</w:t>
            </w:r>
          </w:p>
        </w:tc>
        <w:tc>
          <w:tcPr>
            <w:tcW w:w="2006" w:type="dxa"/>
            <w:tcBorders>
              <w:top w:val="nil"/>
              <w:left w:val="nil"/>
              <w:bottom w:val="single" w:sz="4" w:space="0" w:color="FFFFFF"/>
              <w:right w:val="single" w:sz="4" w:space="0" w:color="FFFFFF"/>
            </w:tcBorders>
            <w:shd w:val="clear" w:color="auto" w:fill="auto"/>
            <w:noWrap/>
            <w:vAlign w:val="bottom"/>
            <w:hideMark/>
          </w:tcPr>
          <w:p w14:paraId="07E4061A"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43 792</w:t>
            </w:r>
          </w:p>
        </w:tc>
        <w:tc>
          <w:tcPr>
            <w:tcW w:w="1341" w:type="dxa"/>
            <w:tcBorders>
              <w:top w:val="nil"/>
              <w:left w:val="nil"/>
              <w:bottom w:val="single" w:sz="4" w:space="0" w:color="FFFFFF"/>
              <w:right w:val="single" w:sz="4" w:space="0" w:color="FFFFFF"/>
            </w:tcBorders>
            <w:shd w:val="clear" w:color="auto" w:fill="auto"/>
            <w:noWrap/>
            <w:vAlign w:val="bottom"/>
            <w:hideMark/>
          </w:tcPr>
          <w:p w14:paraId="51CAB9C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148</w:t>
            </w:r>
          </w:p>
        </w:tc>
        <w:tc>
          <w:tcPr>
            <w:tcW w:w="1255" w:type="dxa"/>
            <w:tcBorders>
              <w:top w:val="nil"/>
              <w:left w:val="nil"/>
              <w:bottom w:val="single" w:sz="4" w:space="0" w:color="FFFFFF"/>
              <w:right w:val="single" w:sz="4" w:space="0" w:color="FFFFFF"/>
            </w:tcBorders>
            <w:shd w:val="clear" w:color="auto" w:fill="auto"/>
            <w:noWrap/>
            <w:vAlign w:val="bottom"/>
            <w:hideMark/>
          </w:tcPr>
          <w:p w14:paraId="69471409"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96</w:t>
            </w:r>
          </w:p>
        </w:tc>
        <w:tc>
          <w:tcPr>
            <w:tcW w:w="1115" w:type="dxa"/>
            <w:tcBorders>
              <w:top w:val="nil"/>
              <w:left w:val="nil"/>
              <w:bottom w:val="single" w:sz="4" w:space="0" w:color="FFFFFF"/>
              <w:right w:val="single" w:sz="4" w:space="0" w:color="FFFFFF"/>
            </w:tcBorders>
            <w:shd w:val="clear" w:color="auto" w:fill="auto"/>
            <w:noWrap/>
            <w:vAlign w:val="bottom"/>
            <w:hideMark/>
          </w:tcPr>
          <w:p w14:paraId="66D8954D"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1DE4AABA"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43 548</w:t>
            </w:r>
          </w:p>
        </w:tc>
      </w:tr>
      <w:tr w:rsidR="00BF6571" w:rsidRPr="00D41818" w14:paraId="0EC000F1"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22ABB0DD"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OAX</w:t>
            </w:r>
          </w:p>
        </w:tc>
        <w:tc>
          <w:tcPr>
            <w:tcW w:w="2006" w:type="dxa"/>
            <w:tcBorders>
              <w:top w:val="nil"/>
              <w:left w:val="nil"/>
              <w:bottom w:val="single" w:sz="4" w:space="0" w:color="FFFFFF"/>
              <w:right w:val="single" w:sz="4" w:space="0" w:color="FFFFFF"/>
            </w:tcBorders>
            <w:shd w:val="clear" w:color="auto" w:fill="auto"/>
            <w:noWrap/>
            <w:vAlign w:val="bottom"/>
            <w:hideMark/>
          </w:tcPr>
          <w:p w14:paraId="2FACDA44"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43 469</w:t>
            </w:r>
          </w:p>
        </w:tc>
        <w:tc>
          <w:tcPr>
            <w:tcW w:w="1341" w:type="dxa"/>
            <w:tcBorders>
              <w:top w:val="nil"/>
              <w:left w:val="nil"/>
              <w:bottom w:val="single" w:sz="4" w:space="0" w:color="FFFFFF"/>
              <w:right w:val="single" w:sz="4" w:space="0" w:color="FFFFFF"/>
            </w:tcBorders>
            <w:shd w:val="clear" w:color="auto" w:fill="auto"/>
            <w:noWrap/>
            <w:vAlign w:val="bottom"/>
            <w:hideMark/>
          </w:tcPr>
          <w:p w14:paraId="153E1D3A"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3 511</w:t>
            </w:r>
          </w:p>
        </w:tc>
        <w:tc>
          <w:tcPr>
            <w:tcW w:w="1255" w:type="dxa"/>
            <w:tcBorders>
              <w:top w:val="nil"/>
              <w:left w:val="nil"/>
              <w:bottom w:val="single" w:sz="4" w:space="0" w:color="FFFFFF"/>
              <w:right w:val="single" w:sz="4" w:space="0" w:color="FFFFFF"/>
            </w:tcBorders>
            <w:shd w:val="clear" w:color="auto" w:fill="auto"/>
            <w:noWrap/>
            <w:vAlign w:val="bottom"/>
            <w:hideMark/>
          </w:tcPr>
          <w:p w14:paraId="0AF3E83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39 958</w:t>
            </w:r>
          </w:p>
        </w:tc>
        <w:tc>
          <w:tcPr>
            <w:tcW w:w="1115" w:type="dxa"/>
            <w:tcBorders>
              <w:top w:val="nil"/>
              <w:left w:val="nil"/>
              <w:bottom w:val="single" w:sz="4" w:space="0" w:color="FFFFFF"/>
              <w:right w:val="single" w:sz="4" w:space="0" w:color="FFFFFF"/>
            </w:tcBorders>
            <w:shd w:val="clear" w:color="auto" w:fill="auto"/>
            <w:noWrap/>
            <w:vAlign w:val="bottom"/>
            <w:hideMark/>
          </w:tcPr>
          <w:p w14:paraId="4A20CEB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67A70D8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2BAEC531"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76F0D6CB"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HGO</w:t>
            </w:r>
          </w:p>
        </w:tc>
        <w:tc>
          <w:tcPr>
            <w:tcW w:w="2006" w:type="dxa"/>
            <w:tcBorders>
              <w:top w:val="nil"/>
              <w:left w:val="nil"/>
              <w:bottom w:val="single" w:sz="4" w:space="0" w:color="FFFFFF"/>
              <w:right w:val="single" w:sz="4" w:space="0" w:color="FFFFFF"/>
            </w:tcBorders>
            <w:shd w:val="clear" w:color="auto" w:fill="auto"/>
            <w:noWrap/>
            <w:vAlign w:val="bottom"/>
            <w:hideMark/>
          </w:tcPr>
          <w:p w14:paraId="106D2143"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41 393</w:t>
            </w:r>
          </w:p>
        </w:tc>
        <w:tc>
          <w:tcPr>
            <w:tcW w:w="1341" w:type="dxa"/>
            <w:tcBorders>
              <w:top w:val="nil"/>
              <w:left w:val="nil"/>
              <w:bottom w:val="single" w:sz="4" w:space="0" w:color="FFFFFF"/>
              <w:right w:val="single" w:sz="4" w:space="0" w:color="FFFFFF"/>
            </w:tcBorders>
            <w:shd w:val="clear" w:color="auto" w:fill="auto"/>
            <w:noWrap/>
            <w:vAlign w:val="bottom"/>
            <w:hideMark/>
          </w:tcPr>
          <w:p w14:paraId="45A1B00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21 626</w:t>
            </w:r>
          </w:p>
        </w:tc>
        <w:tc>
          <w:tcPr>
            <w:tcW w:w="1255" w:type="dxa"/>
            <w:tcBorders>
              <w:top w:val="nil"/>
              <w:left w:val="nil"/>
              <w:bottom w:val="single" w:sz="4" w:space="0" w:color="FFFFFF"/>
              <w:right w:val="single" w:sz="4" w:space="0" w:color="FFFFFF"/>
            </w:tcBorders>
            <w:shd w:val="clear" w:color="auto" w:fill="auto"/>
            <w:noWrap/>
            <w:vAlign w:val="bottom"/>
            <w:hideMark/>
          </w:tcPr>
          <w:p w14:paraId="66EAC83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19 767</w:t>
            </w:r>
          </w:p>
        </w:tc>
        <w:tc>
          <w:tcPr>
            <w:tcW w:w="1115" w:type="dxa"/>
            <w:tcBorders>
              <w:top w:val="nil"/>
              <w:left w:val="nil"/>
              <w:bottom w:val="single" w:sz="4" w:space="0" w:color="FFFFFF"/>
              <w:right w:val="single" w:sz="4" w:space="0" w:color="FFFFFF"/>
            </w:tcBorders>
            <w:shd w:val="clear" w:color="auto" w:fill="auto"/>
            <w:noWrap/>
            <w:vAlign w:val="bottom"/>
            <w:hideMark/>
          </w:tcPr>
          <w:p w14:paraId="580FF7B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779F0C7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6C11F7C3"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6ACFC20A"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TAMPS</w:t>
            </w:r>
          </w:p>
        </w:tc>
        <w:tc>
          <w:tcPr>
            <w:tcW w:w="2006" w:type="dxa"/>
            <w:tcBorders>
              <w:top w:val="nil"/>
              <w:left w:val="nil"/>
              <w:bottom w:val="single" w:sz="4" w:space="0" w:color="FFFFFF"/>
              <w:right w:val="single" w:sz="4" w:space="0" w:color="FFFFFF"/>
            </w:tcBorders>
            <w:shd w:val="clear" w:color="auto" w:fill="auto"/>
            <w:noWrap/>
            <w:vAlign w:val="bottom"/>
            <w:hideMark/>
          </w:tcPr>
          <w:p w14:paraId="3F53E049"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36 636</w:t>
            </w:r>
          </w:p>
        </w:tc>
        <w:tc>
          <w:tcPr>
            <w:tcW w:w="1341" w:type="dxa"/>
            <w:tcBorders>
              <w:top w:val="nil"/>
              <w:left w:val="nil"/>
              <w:bottom w:val="single" w:sz="4" w:space="0" w:color="FFFFFF"/>
              <w:right w:val="single" w:sz="4" w:space="0" w:color="FFFFFF"/>
            </w:tcBorders>
            <w:shd w:val="clear" w:color="auto" w:fill="auto"/>
            <w:noWrap/>
            <w:vAlign w:val="bottom"/>
            <w:hideMark/>
          </w:tcPr>
          <w:p w14:paraId="0FD024A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1 004</w:t>
            </w:r>
          </w:p>
        </w:tc>
        <w:tc>
          <w:tcPr>
            <w:tcW w:w="1255" w:type="dxa"/>
            <w:tcBorders>
              <w:top w:val="nil"/>
              <w:left w:val="nil"/>
              <w:bottom w:val="single" w:sz="4" w:space="0" w:color="FFFFFF"/>
              <w:right w:val="single" w:sz="4" w:space="0" w:color="FFFFFF"/>
            </w:tcBorders>
            <w:shd w:val="clear" w:color="auto" w:fill="auto"/>
            <w:noWrap/>
            <w:vAlign w:val="bottom"/>
            <w:hideMark/>
          </w:tcPr>
          <w:p w14:paraId="3F1B66E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35 280</w:t>
            </w:r>
          </w:p>
        </w:tc>
        <w:tc>
          <w:tcPr>
            <w:tcW w:w="1115" w:type="dxa"/>
            <w:tcBorders>
              <w:top w:val="nil"/>
              <w:left w:val="nil"/>
              <w:bottom w:val="single" w:sz="4" w:space="0" w:color="FFFFFF"/>
              <w:right w:val="single" w:sz="4" w:space="0" w:color="FFFFFF"/>
            </w:tcBorders>
            <w:shd w:val="clear" w:color="auto" w:fill="auto"/>
            <w:noWrap/>
            <w:vAlign w:val="bottom"/>
            <w:hideMark/>
          </w:tcPr>
          <w:p w14:paraId="19484B6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05821FF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352</w:t>
            </w:r>
          </w:p>
        </w:tc>
      </w:tr>
      <w:tr w:rsidR="00BF6571" w:rsidRPr="00D41818" w14:paraId="540D7F5A"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085ADF4A"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SON</w:t>
            </w:r>
          </w:p>
        </w:tc>
        <w:tc>
          <w:tcPr>
            <w:tcW w:w="2006" w:type="dxa"/>
            <w:tcBorders>
              <w:top w:val="nil"/>
              <w:left w:val="nil"/>
              <w:bottom w:val="single" w:sz="4" w:space="0" w:color="FFFFFF"/>
              <w:right w:val="single" w:sz="4" w:space="0" w:color="FFFFFF"/>
            </w:tcBorders>
            <w:shd w:val="clear" w:color="auto" w:fill="auto"/>
            <w:noWrap/>
            <w:vAlign w:val="bottom"/>
            <w:hideMark/>
          </w:tcPr>
          <w:p w14:paraId="2134DFA5"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35 995</w:t>
            </w:r>
          </w:p>
        </w:tc>
        <w:tc>
          <w:tcPr>
            <w:tcW w:w="1341" w:type="dxa"/>
            <w:tcBorders>
              <w:top w:val="nil"/>
              <w:left w:val="nil"/>
              <w:bottom w:val="single" w:sz="4" w:space="0" w:color="FFFFFF"/>
              <w:right w:val="single" w:sz="4" w:space="0" w:color="FFFFFF"/>
            </w:tcBorders>
            <w:shd w:val="clear" w:color="auto" w:fill="auto"/>
            <w:noWrap/>
            <w:vAlign w:val="bottom"/>
            <w:hideMark/>
          </w:tcPr>
          <w:p w14:paraId="0474748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24 226</w:t>
            </w:r>
          </w:p>
        </w:tc>
        <w:tc>
          <w:tcPr>
            <w:tcW w:w="1255" w:type="dxa"/>
            <w:tcBorders>
              <w:top w:val="nil"/>
              <w:left w:val="nil"/>
              <w:bottom w:val="single" w:sz="4" w:space="0" w:color="FFFFFF"/>
              <w:right w:val="single" w:sz="4" w:space="0" w:color="FFFFFF"/>
            </w:tcBorders>
            <w:shd w:val="clear" w:color="auto" w:fill="auto"/>
            <w:noWrap/>
            <w:vAlign w:val="bottom"/>
            <w:hideMark/>
          </w:tcPr>
          <w:p w14:paraId="02A7A36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11 733</w:t>
            </w:r>
          </w:p>
        </w:tc>
        <w:tc>
          <w:tcPr>
            <w:tcW w:w="1115" w:type="dxa"/>
            <w:tcBorders>
              <w:top w:val="nil"/>
              <w:left w:val="nil"/>
              <w:bottom w:val="single" w:sz="4" w:space="0" w:color="FFFFFF"/>
              <w:right w:val="single" w:sz="4" w:space="0" w:color="FFFFFF"/>
            </w:tcBorders>
            <w:shd w:val="clear" w:color="auto" w:fill="auto"/>
            <w:noWrap/>
            <w:vAlign w:val="bottom"/>
            <w:hideMark/>
          </w:tcPr>
          <w:p w14:paraId="74358FD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36</w:t>
            </w:r>
          </w:p>
        </w:tc>
        <w:tc>
          <w:tcPr>
            <w:tcW w:w="1394" w:type="dxa"/>
            <w:tcBorders>
              <w:top w:val="nil"/>
              <w:left w:val="nil"/>
              <w:bottom w:val="single" w:sz="4" w:space="0" w:color="FFFFFF"/>
              <w:right w:val="single" w:sz="4" w:space="0" w:color="FFFFFF"/>
            </w:tcBorders>
            <w:shd w:val="clear" w:color="auto" w:fill="auto"/>
            <w:noWrap/>
            <w:vAlign w:val="bottom"/>
            <w:hideMark/>
          </w:tcPr>
          <w:p w14:paraId="45DD40D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456CEBBC"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24DB7437"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AGS</w:t>
            </w:r>
          </w:p>
        </w:tc>
        <w:tc>
          <w:tcPr>
            <w:tcW w:w="2006" w:type="dxa"/>
            <w:tcBorders>
              <w:top w:val="nil"/>
              <w:left w:val="nil"/>
              <w:bottom w:val="single" w:sz="4" w:space="0" w:color="FFFFFF"/>
              <w:right w:val="single" w:sz="4" w:space="0" w:color="FFFFFF"/>
            </w:tcBorders>
            <w:shd w:val="clear" w:color="auto" w:fill="auto"/>
            <w:noWrap/>
            <w:vAlign w:val="bottom"/>
            <w:hideMark/>
          </w:tcPr>
          <w:p w14:paraId="120637A0"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33 678</w:t>
            </w:r>
          </w:p>
        </w:tc>
        <w:tc>
          <w:tcPr>
            <w:tcW w:w="1341" w:type="dxa"/>
            <w:tcBorders>
              <w:top w:val="nil"/>
              <w:left w:val="nil"/>
              <w:bottom w:val="single" w:sz="4" w:space="0" w:color="FFFFFF"/>
              <w:right w:val="single" w:sz="4" w:space="0" w:color="FFFFFF"/>
            </w:tcBorders>
            <w:shd w:val="clear" w:color="auto" w:fill="auto"/>
            <w:noWrap/>
            <w:vAlign w:val="bottom"/>
            <w:hideMark/>
          </w:tcPr>
          <w:p w14:paraId="1390C035"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2 870</w:t>
            </w:r>
          </w:p>
        </w:tc>
        <w:tc>
          <w:tcPr>
            <w:tcW w:w="1255" w:type="dxa"/>
            <w:tcBorders>
              <w:top w:val="nil"/>
              <w:left w:val="nil"/>
              <w:bottom w:val="single" w:sz="4" w:space="0" w:color="FFFFFF"/>
              <w:right w:val="single" w:sz="4" w:space="0" w:color="FFFFFF"/>
            </w:tcBorders>
            <w:shd w:val="clear" w:color="auto" w:fill="auto"/>
            <w:noWrap/>
            <w:vAlign w:val="bottom"/>
            <w:hideMark/>
          </w:tcPr>
          <w:p w14:paraId="332A64E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30 744</w:t>
            </w:r>
          </w:p>
        </w:tc>
        <w:tc>
          <w:tcPr>
            <w:tcW w:w="1115" w:type="dxa"/>
            <w:tcBorders>
              <w:top w:val="nil"/>
              <w:left w:val="nil"/>
              <w:bottom w:val="single" w:sz="4" w:space="0" w:color="FFFFFF"/>
              <w:right w:val="single" w:sz="4" w:space="0" w:color="FFFFFF"/>
            </w:tcBorders>
            <w:shd w:val="clear" w:color="auto" w:fill="auto"/>
            <w:noWrap/>
            <w:vAlign w:val="bottom"/>
            <w:hideMark/>
          </w:tcPr>
          <w:p w14:paraId="7C6CEB5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64</w:t>
            </w:r>
          </w:p>
        </w:tc>
        <w:tc>
          <w:tcPr>
            <w:tcW w:w="1394" w:type="dxa"/>
            <w:tcBorders>
              <w:top w:val="nil"/>
              <w:left w:val="nil"/>
              <w:bottom w:val="single" w:sz="4" w:space="0" w:color="FFFFFF"/>
              <w:right w:val="single" w:sz="4" w:space="0" w:color="FFFFFF"/>
            </w:tcBorders>
            <w:shd w:val="clear" w:color="auto" w:fill="auto"/>
            <w:noWrap/>
            <w:vAlign w:val="bottom"/>
            <w:hideMark/>
          </w:tcPr>
          <w:p w14:paraId="798D867A"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3478EA5D"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7E9C570C"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COL</w:t>
            </w:r>
          </w:p>
        </w:tc>
        <w:tc>
          <w:tcPr>
            <w:tcW w:w="2006" w:type="dxa"/>
            <w:tcBorders>
              <w:top w:val="nil"/>
              <w:left w:val="nil"/>
              <w:bottom w:val="single" w:sz="4" w:space="0" w:color="FFFFFF"/>
              <w:right w:val="single" w:sz="4" w:space="0" w:color="FFFFFF"/>
            </w:tcBorders>
            <w:shd w:val="clear" w:color="auto" w:fill="auto"/>
            <w:noWrap/>
            <w:vAlign w:val="bottom"/>
            <w:hideMark/>
          </w:tcPr>
          <w:p w14:paraId="4EC459B3"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28 691</w:t>
            </w:r>
          </w:p>
        </w:tc>
        <w:tc>
          <w:tcPr>
            <w:tcW w:w="1341" w:type="dxa"/>
            <w:tcBorders>
              <w:top w:val="nil"/>
              <w:left w:val="nil"/>
              <w:bottom w:val="single" w:sz="4" w:space="0" w:color="FFFFFF"/>
              <w:right w:val="single" w:sz="4" w:space="0" w:color="FFFFFF"/>
            </w:tcBorders>
            <w:shd w:val="clear" w:color="auto" w:fill="auto"/>
            <w:noWrap/>
            <w:vAlign w:val="bottom"/>
            <w:hideMark/>
          </w:tcPr>
          <w:p w14:paraId="5DB2090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16 339</w:t>
            </w:r>
          </w:p>
        </w:tc>
        <w:tc>
          <w:tcPr>
            <w:tcW w:w="1255" w:type="dxa"/>
            <w:tcBorders>
              <w:top w:val="nil"/>
              <w:left w:val="nil"/>
              <w:bottom w:val="single" w:sz="4" w:space="0" w:color="FFFFFF"/>
              <w:right w:val="single" w:sz="4" w:space="0" w:color="FFFFFF"/>
            </w:tcBorders>
            <w:shd w:val="clear" w:color="auto" w:fill="auto"/>
            <w:noWrap/>
            <w:vAlign w:val="bottom"/>
            <w:hideMark/>
          </w:tcPr>
          <w:p w14:paraId="121266E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10 413</w:t>
            </w:r>
          </w:p>
        </w:tc>
        <w:tc>
          <w:tcPr>
            <w:tcW w:w="1115" w:type="dxa"/>
            <w:tcBorders>
              <w:top w:val="nil"/>
              <w:left w:val="nil"/>
              <w:bottom w:val="single" w:sz="4" w:space="0" w:color="FFFFFF"/>
              <w:right w:val="single" w:sz="4" w:space="0" w:color="FFFFFF"/>
            </w:tcBorders>
            <w:shd w:val="clear" w:color="auto" w:fill="auto"/>
            <w:noWrap/>
            <w:vAlign w:val="bottom"/>
            <w:hideMark/>
          </w:tcPr>
          <w:p w14:paraId="67029FA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1 939</w:t>
            </w:r>
          </w:p>
        </w:tc>
        <w:tc>
          <w:tcPr>
            <w:tcW w:w="1394" w:type="dxa"/>
            <w:tcBorders>
              <w:top w:val="nil"/>
              <w:left w:val="nil"/>
              <w:bottom w:val="single" w:sz="4" w:space="0" w:color="FFFFFF"/>
              <w:right w:val="single" w:sz="4" w:space="0" w:color="FFFFFF"/>
            </w:tcBorders>
            <w:shd w:val="clear" w:color="auto" w:fill="auto"/>
            <w:noWrap/>
            <w:vAlign w:val="bottom"/>
            <w:hideMark/>
          </w:tcPr>
          <w:p w14:paraId="6AB4C86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33AD30F8"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1DC3CE8C"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DGO</w:t>
            </w:r>
          </w:p>
        </w:tc>
        <w:tc>
          <w:tcPr>
            <w:tcW w:w="2006" w:type="dxa"/>
            <w:tcBorders>
              <w:top w:val="nil"/>
              <w:left w:val="nil"/>
              <w:bottom w:val="single" w:sz="4" w:space="0" w:color="FFFFFF"/>
              <w:right w:val="single" w:sz="4" w:space="0" w:color="FFFFFF"/>
            </w:tcBorders>
            <w:shd w:val="clear" w:color="auto" w:fill="auto"/>
            <w:noWrap/>
            <w:vAlign w:val="bottom"/>
            <w:hideMark/>
          </w:tcPr>
          <w:p w14:paraId="7BD7A5C0"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27 741</w:t>
            </w:r>
          </w:p>
        </w:tc>
        <w:tc>
          <w:tcPr>
            <w:tcW w:w="1341" w:type="dxa"/>
            <w:tcBorders>
              <w:top w:val="nil"/>
              <w:left w:val="nil"/>
              <w:bottom w:val="single" w:sz="4" w:space="0" w:color="FFFFFF"/>
              <w:right w:val="single" w:sz="4" w:space="0" w:color="FFFFFF"/>
            </w:tcBorders>
            <w:shd w:val="clear" w:color="auto" w:fill="auto"/>
            <w:noWrap/>
            <w:vAlign w:val="bottom"/>
            <w:hideMark/>
          </w:tcPr>
          <w:p w14:paraId="1AFEAF3D"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17 054</w:t>
            </w:r>
          </w:p>
        </w:tc>
        <w:tc>
          <w:tcPr>
            <w:tcW w:w="1255" w:type="dxa"/>
            <w:tcBorders>
              <w:top w:val="nil"/>
              <w:left w:val="nil"/>
              <w:bottom w:val="single" w:sz="4" w:space="0" w:color="FFFFFF"/>
              <w:right w:val="single" w:sz="4" w:space="0" w:color="FFFFFF"/>
            </w:tcBorders>
            <w:shd w:val="clear" w:color="auto" w:fill="auto"/>
            <w:noWrap/>
            <w:vAlign w:val="bottom"/>
            <w:hideMark/>
          </w:tcPr>
          <w:p w14:paraId="37956DA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10 608</w:t>
            </w:r>
          </w:p>
        </w:tc>
        <w:tc>
          <w:tcPr>
            <w:tcW w:w="1115" w:type="dxa"/>
            <w:tcBorders>
              <w:top w:val="nil"/>
              <w:left w:val="nil"/>
              <w:bottom w:val="single" w:sz="4" w:space="0" w:color="FFFFFF"/>
              <w:right w:val="single" w:sz="4" w:space="0" w:color="FFFFFF"/>
            </w:tcBorders>
            <w:shd w:val="clear" w:color="auto" w:fill="auto"/>
            <w:noWrap/>
            <w:vAlign w:val="bottom"/>
            <w:hideMark/>
          </w:tcPr>
          <w:p w14:paraId="7A9BBBB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79</w:t>
            </w:r>
          </w:p>
        </w:tc>
        <w:tc>
          <w:tcPr>
            <w:tcW w:w="1394" w:type="dxa"/>
            <w:tcBorders>
              <w:top w:val="nil"/>
              <w:left w:val="nil"/>
              <w:bottom w:val="single" w:sz="4" w:space="0" w:color="FFFFFF"/>
              <w:right w:val="single" w:sz="4" w:space="0" w:color="FFFFFF"/>
            </w:tcBorders>
            <w:shd w:val="clear" w:color="auto" w:fill="auto"/>
            <w:noWrap/>
            <w:vAlign w:val="bottom"/>
            <w:hideMark/>
          </w:tcPr>
          <w:p w14:paraId="437D297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3E0255DC"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163C7968"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SIN</w:t>
            </w:r>
          </w:p>
        </w:tc>
        <w:tc>
          <w:tcPr>
            <w:tcW w:w="2006" w:type="dxa"/>
            <w:tcBorders>
              <w:top w:val="nil"/>
              <w:left w:val="nil"/>
              <w:bottom w:val="single" w:sz="4" w:space="0" w:color="FFFFFF"/>
              <w:right w:val="single" w:sz="4" w:space="0" w:color="FFFFFF"/>
            </w:tcBorders>
            <w:shd w:val="clear" w:color="auto" w:fill="auto"/>
            <w:noWrap/>
            <w:vAlign w:val="bottom"/>
            <w:hideMark/>
          </w:tcPr>
          <w:p w14:paraId="290A400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26 027</w:t>
            </w:r>
          </w:p>
        </w:tc>
        <w:tc>
          <w:tcPr>
            <w:tcW w:w="1341" w:type="dxa"/>
            <w:tcBorders>
              <w:top w:val="nil"/>
              <w:left w:val="nil"/>
              <w:bottom w:val="single" w:sz="4" w:space="0" w:color="FFFFFF"/>
              <w:right w:val="single" w:sz="4" w:space="0" w:color="FFFFFF"/>
            </w:tcBorders>
            <w:shd w:val="clear" w:color="auto" w:fill="auto"/>
            <w:noWrap/>
            <w:vAlign w:val="bottom"/>
            <w:hideMark/>
          </w:tcPr>
          <w:p w14:paraId="0948388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993</w:t>
            </w:r>
          </w:p>
        </w:tc>
        <w:tc>
          <w:tcPr>
            <w:tcW w:w="1255" w:type="dxa"/>
            <w:tcBorders>
              <w:top w:val="nil"/>
              <w:left w:val="nil"/>
              <w:bottom w:val="single" w:sz="4" w:space="0" w:color="FFFFFF"/>
              <w:right w:val="single" w:sz="4" w:space="0" w:color="FFFFFF"/>
            </w:tcBorders>
            <w:shd w:val="clear" w:color="auto" w:fill="auto"/>
            <w:noWrap/>
            <w:vAlign w:val="bottom"/>
            <w:hideMark/>
          </w:tcPr>
          <w:p w14:paraId="32AE161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25 033</w:t>
            </w:r>
          </w:p>
        </w:tc>
        <w:tc>
          <w:tcPr>
            <w:tcW w:w="1115" w:type="dxa"/>
            <w:tcBorders>
              <w:top w:val="nil"/>
              <w:left w:val="nil"/>
              <w:bottom w:val="single" w:sz="4" w:space="0" w:color="FFFFFF"/>
              <w:right w:val="single" w:sz="4" w:space="0" w:color="FFFFFF"/>
            </w:tcBorders>
            <w:shd w:val="clear" w:color="auto" w:fill="auto"/>
            <w:noWrap/>
            <w:vAlign w:val="bottom"/>
            <w:hideMark/>
          </w:tcPr>
          <w:p w14:paraId="5B9187C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1</w:t>
            </w:r>
          </w:p>
        </w:tc>
        <w:tc>
          <w:tcPr>
            <w:tcW w:w="1394" w:type="dxa"/>
            <w:tcBorders>
              <w:top w:val="nil"/>
              <w:left w:val="nil"/>
              <w:bottom w:val="single" w:sz="4" w:space="0" w:color="FFFFFF"/>
              <w:right w:val="single" w:sz="4" w:space="0" w:color="FFFFFF"/>
            </w:tcBorders>
            <w:shd w:val="clear" w:color="auto" w:fill="auto"/>
            <w:noWrap/>
            <w:vAlign w:val="bottom"/>
            <w:hideMark/>
          </w:tcPr>
          <w:p w14:paraId="7911E16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3EA1B872"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7AA4C08B"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ZAC</w:t>
            </w:r>
          </w:p>
        </w:tc>
        <w:tc>
          <w:tcPr>
            <w:tcW w:w="2006" w:type="dxa"/>
            <w:tcBorders>
              <w:top w:val="nil"/>
              <w:left w:val="nil"/>
              <w:bottom w:val="single" w:sz="4" w:space="0" w:color="FFFFFF"/>
              <w:right w:val="single" w:sz="4" w:space="0" w:color="FFFFFF"/>
            </w:tcBorders>
            <w:shd w:val="clear" w:color="auto" w:fill="auto"/>
            <w:noWrap/>
            <w:vAlign w:val="bottom"/>
            <w:hideMark/>
          </w:tcPr>
          <w:p w14:paraId="1D7B9CB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25 127</w:t>
            </w:r>
          </w:p>
        </w:tc>
        <w:tc>
          <w:tcPr>
            <w:tcW w:w="1341" w:type="dxa"/>
            <w:tcBorders>
              <w:top w:val="nil"/>
              <w:left w:val="nil"/>
              <w:bottom w:val="single" w:sz="4" w:space="0" w:color="FFFFFF"/>
              <w:right w:val="single" w:sz="4" w:space="0" w:color="FFFFFF"/>
            </w:tcBorders>
            <w:shd w:val="clear" w:color="auto" w:fill="auto"/>
            <w:noWrap/>
            <w:vAlign w:val="bottom"/>
            <w:hideMark/>
          </w:tcPr>
          <w:p w14:paraId="2A37FB03"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11 446</w:t>
            </w:r>
          </w:p>
        </w:tc>
        <w:tc>
          <w:tcPr>
            <w:tcW w:w="1255" w:type="dxa"/>
            <w:tcBorders>
              <w:top w:val="nil"/>
              <w:left w:val="nil"/>
              <w:bottom w:val="single" w:sz="4" w:space="0" w:color="FFFFFF"/>
              <w:right w:val="single" w:sz="4" w:space="0" w:color="FFFFFF"/>
            </w:tcBorders>
            <w:shd w:val="clear" w:color="auto" w:fill="auto"/>
            <w:noWrap/>
            <w:vAlign w:val="bottom"/>
            <w:hideMark/>
          </w:tcPr>
          <w:p w14:paraId="40A5767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12 073</w:t>
            </w:r>
          </w:p>
        </w:tc>
        <w:tc>
          <w:tcPr>
            <w:tcW w:w="1115" w:type="dxa"/>
            <w:tcBorders>
              <w:top w:val="nil"/>
              <w:left w:val="nil"/>
              <w:bottom w:val="single" w:sz="4" w:space="0" w:color="FFFFFF"/>
              <w:right w:val="single" w:sz="4" w:space="0" w:color="FFFFFF"/>
            </w:tcBorders>
            <w:shd w:val="clear" w:color="auto" w:fill="auto"/>
            <w:noWrap/>
            <w:vAlign w:val="bottom"/>
            <w:hideMark/>
          </w:tcPr>
          <w:p w14:paraId="26BE5493"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1 608</w:t>
            </w:r>
          </w:p>
        </w:tc>
        <w:tc>
          <w:tcPr>
            <w:tcW w:w="1394" w:type="dxa"/>
            <w:tcBorders>
              <w:top w:val="nil"/>
              <w:left w:val="nil"/>
              <w:bottom w:val="single" w:sz="4" w:space="0" w:color="FFFFFF"/>
              <w:right w:val="single" w:sz="4" w:space="0" w:color="FFFFFF"/>
            </w:tcBorders>
            <w:shd w:val="clear" w:color="auto" w:fill="auto"/>
            <w:noWrap/>
            <w:vAlign w:val="bottom"/>
            <w:hideMark/>
          </w:tcPr>
          <w:p w14:paraId="6EBF5EB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79E66828"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5D2DD424"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GRO</w:t>
            </w:r>
          </w:p>
        </w:tc>
        <w:tc>
          <w:tcPr>
            <w:tcW w:w="2006" w:type="dxa"/>
            <w:tcBorders>
              <w:top w:val="nil"/>
              <w:left w:val="nil"/>
              <w:bottom w:val="single" w:sz="4" w:space="0" w:color="FFFFFF"/>
              <w:right w:val="single" w:sz="4" w:space="0" w:color="FFFFFF"/>
            </w:tcBorders>
            <w:shd w:val="clear" w:color="auto" w:fill="auto"/>
            <w:noWrap/>
            <w:vAlign w:val="bottom"/>
            <w:hideMark/>
          </w:tcPr>
          <w:p w14:paraId="4230440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23 535</w:t>
            </w:r>
          </w:p>
        </w:tc>
        <w:tc>
          <w:tcPr>
            <w:tcW w:w="1341" w:type="dxa"/>
            <w:tcBorders>
              <w:top w:val="nil"/>
              <w:left w:val="nil"/>
              <w:bottom w:val="single" w:sz="4" w:space="0" w:color="FFFFFF"/>
              <w:right w:val="single" w:sz="4" w:space="0" w:color="FFFFFF"/>
            </w:tcBorders>
            <w:shd w:val="clear" w:color="auto" w:fill="auto"/>
            <w:noWrap/>
            <w:vAlign w:val="bottom"/>
            <w:hideMark/>
          </w:tcPr>
          <w:p w14:paraId="50AF211A"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6 998</w:t>
            </w:r>
          </w:p>
        </w:tc>
        <w:tc>
          <w:tcPr>
            <w:tcW w:w="1255" w:type="dxa"/>
            <w:tcBorders>
              <w:top w:val="nil"/>
              <w:left w:val="nil"/>
              <w:bottom w:val="single" w:sz="4" w:space="0" w:color="FFFFFF"/>
              <w:right w:val="single" w:sz="4" w:space="0" w:color="FFFFFF"/>
            </w:tcBorders>
            <w:shd w:val="clear" w:color="auto" w:fill="auto"/>
            <w:noWrap/>
            <w:vAlign w:val="bottom"/>
            <w:hideMark/>
          </w:tcPr>
          <w:p w14:paraId="6995CAB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16 252</w:t>
            </w:r>
          </w:p>
        </w:tc>
        <w:tc>
          <w:tcPr>
            <w:tcW w:w="1115" w:type="dxa"/>
            <w:tcBorders>
              <w:top w:val="nil"/>
              <w:left w:val="nil"/>
              <w:bottom w:val="single" w:sz="4" w:space="0" w:color="FFFFFF"/>
              <w:right w:val="single" w:sz="4" w:space="0" w:color="FFFFFF"/>
            </w:tcBorders>
            <w:shd w:val="clear" w:color="auto" w:fill="auto"/>
            <w:noWrap/>
            <w:vAlign w:val="bottom"/>
            <w:hideMark/>
          </w:tcPr>
          <w:p w14:paraId="328FD53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285</w:t>
            </w:r>
          </w:p>
        </w:tc>
        <w:tc>
          <w:tcPr>
            <w:tcW w:w="1394" w:type="dxa"/>
            <w:tcBorders>
              <w:top w:val="nil"/>
              <w:left w:val="nil"/>
              <w:bottom w:val="single" w:sz="4" w:space="0" w:color="FFFFFF"/>
              <w:right w:val="single" w:sz="4" w:space="0" w:color="FFFFFF"/>
            </w:tcBorders>
            <w:shd w:val="clear" w:color="auto" w:fill="auto"/>
            <w:noWrap/>
            <w:vAlign w:val="bottom"/>
            <w:hideMark/>
          </w:tcPr>
          <w:p w14:paraId="52F41C1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431B53DB"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1736C384"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BCS</w:t>
            </w:r>
          </w:p>
        </w:tc>
        <w:tc>
          <w:tcPr>
            <w:tcW w:w="2006" w:type="dxa"/>
            <w:tcBorders>
              <w:top w:val="nil"/>
              <w:left w:val="nil"/>
              <w:bottom w:val="single" w:sz="4" w:space="0" w:color="FFFFFF"/>
              <w:right w:val="single" w:sz="4" w:space="0" w:color="FFFFFF"/>
            </w:tcBorders>
            <w:shd w:val="clear" w:color="auto" w:fill="auto"/>
            <w:noWrap/>
            <w:vAlign w:val="bottom"/>
            <w:hideMark/>
          </w:tcPr>
          <w:p w14:paraId="2AF7518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18 575</w:t>
            </w:r>
          </w:p>
        </w:tc>
        <w:tc>
          <w:tcPr>
            <w:tcW w:w="1341" w:type="dxa"/>
            <w:tcBorders>
              <w:top w:val="nil"/>
              <w:left w:val="nil"/>
              <w:bottom w:val="single" w:sz="4" w:space="0" w:color="FFFFFF"/>
              <w:right w:val="single" w:sz="4" w:space="0" w:color="FFFFFF"/>
            </w:tcBorders>
            <w:shd w:val="clear" w:color="auto" w:fill="auto"/>
            <w:noWrap/>
            <w:vAlign w:val="bottom"/>
            <w:hideMark/>
          </w:tcPr>
          <w:p w14:paraId="6CFF992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10 418</w:t>
            </w:r>
          </w:p>
        </w:tc>
        <w:tc>
          <w:tcPr>
            <w:tcW w:w="1255" w:type="dxa"/>
            <w:tcBorders>
              <w:top w:val="nil"/>
              <w:left w:val="nil"/>
              <w:bottom w:val="single" w:sz="4" w:space="0" w:color="FFFFFF"/>
              <w:right w:val="single" w:sz="4" w:space="0" w:color="FFFFFF"/>
            </w:tcBorders>
            <w:shd w:val="clear" w:color="auto" w:fill="auto"/>
            <w:noWrap/>
            <w:vAlign w:val="bottom"/>
            <w:hideMark/>
          </w:tcPr>
          <w:p w14:paraId="24A4848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8 157</w:t>
            </w:r>
          </w:p>
        </w:tc>
        <w:tc>
          <w:tcPr>
            <w:tcW w:w="1115" w:type="dxa"/>
            <w:tcBorders>
              <w:top w:val="nil"/>
              <w:left w:val="nil"/>
              <w:bottom w:val="single" w:sz="4" w:space="0" w:color="FFFFFF"/>
              <w:right w:val="single" w:sz="4" w:space="0" w:color="FFFFFF"/>
            </w:tcBorders>
            <w:shd w:val="clear" w:color="auto" w:fill="auto"/>
            <w:noWrap/>
            <w:vAlign w:val="bottom"/>
            <w:hideMark/>
          </w:tcPr>
          <w:p w14:paraId="567E0564"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3BA1A3F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0F19952A"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0A6CC357"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CHIS</w:t>
            </w:r>
          </w:p>
        </w:tc>
        <w:tc>
          <w:tcPr>
            <w:tcW w:w="2006" w:type="dxa"/>
            <w:tcBorders>
              <w:top w:val="nil"/>
              <w:left w:val="nil"/>
              <w:bottom w:val="single" w:sz="4" w:space="0" w:color="FFFFFF"/>
              <w:right w:val="single" w:sz="4" w:space="0" w:color="FFFFFF"/>
            </w:tcBorders>
            <w:shd w:val="clear" w:color="auto" w:fill="auto"/>
            <w:noWrap/>
            <w:vAlign w:val="bottom"/>
            <w:hideMark/>
          </w:tcPr>
          <w:p w14:paraId="098E9EBA"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15 789</w:t>
            </w:r>
          </w:p>
        </w:tc>
        <w:tc>
          <w:tcPr>
            <w:tcW w:w="1341" w:type="dxa"/>
            <w:tcBorders>
              <w:top w:val="nil"/>
              <w:left w:val="nil"/>
              <w:bottom w:val="single" w:sz="4" w:space="0" w:color="FFFFFF"/>
              <w:right w:val="single" w:sz="4" w:space="0" w:color="FFFFFF"/>
            </w:tcBorders>
            <w:shd w:val="clear" w:color="auto" w:fill="auto"/>
            <w:noWrap/>
            <w:vAlign w:val="bottom"/>
            <w:hideMark/>
          </w:tcPr>
          <w:p w14:paraId="3F6BE8F0"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3 450</w:t>
            </w:r>
          </w:p>
        </w:tc>
        <w:tc>
          <w:tcPr>
            <w:tcW w:w="1255" w:type="dxa"/>
            <w:tcBorders>
              <w:top w:val="nil"/>
              <w:left w:val="nil"/>
              <w:bottom w:val="single" w:sz="4" w:space="0" w:color="FFFFFF"/>
              <w:right w:val="single" w:sz="4" w:space="0" w:color="FFFFFF"/>
            </w:tcBorders>
            <w:shd w:val="clear" w:color="auto" w:fill="auto"/>
            <w:noWrap/>
            <w:vAlign w:val="bottom"/>
            <w:hideMark/>
          </w:tcPr>
          <w:p w14:paraId="29D40ED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12 339</w:t>
            </w:r>
          </w:p>
        </w:tc>
        <w:tc>
          <w:tcPr>
            <w:tcW w:w="1115" w:type="dxa"/>
            <w:tcBorders>
              <w:top w:val="nil"/>
              <w:left w:val="nil"/>
              <w:bottom w:val="single" w:sz="4" w:space="0" w:color="FFFFFF"/>
              <w:right w:val="single" w:sz="4" w:space="0" w:color="FFFFFF"/>
            </w:tcBorders>
            <w:shd w:val="clear" w:color="auto" w:fill="auto"/>
            <w:noWrap/>
            <w:vAlign w:val="bottom"/>
            <w:hideMark/>
          </w:tcPr>
          <w:p w14:paraId="474A04CE"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7DA71D3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6246CABE"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637C243A"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YUC</w:t>
            </w:r>
          </w:p>
        </w:tc>
        <w:tc>
          <w:tcPr>
            <w:tcW w:w="2006" w:type="dxa"/>
            <w:tcBorders>
              <w:top w:val="nil"/>
              <w:left w:val="nil"/>
              <w:bottom w:val="single" w:sz="4" w:space="0" w:color="FFFFFF"/>
              <w:right w:val="single" w:sz="4" w:space="0" w:color="FFFFFF"/>
            </w:tcBorders>
            <w:shd w:val="clear" w:color="auto" w:fill="auto"/>
            <w:noWrap/>
            <w:vAlign w:val="bottom"/>
            <w:hideMark/>
          </w:tcPr>
          <w:p w14:paraId="2C86B93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8 878</w:t>
            </w:r>
          </w:p>
        </w:tc>
        <w:tc>
          <w:tcPr>
            <w:tcW w:w="1341" w:type="dxa"/>
            <w:tcBorders>
              <w:top w:val="nil"/>
              <w:left w:val="nil"/>
              <w:bottom w:val="single" w:sz="4" w:space="0" w:color="FFFFFF"/>
              <w:right w:val="single" w:sz="4" w:space="0" w:color="FFFFFF"/>
            </w:tcBorders>
            <w:shd w:val="clear" w:color="auto" w:fill="auto"/>
            <w:noWrap/>
            <w:vAlign w:val="bottom"/>
            <w:hideMark/>
          </w:tcPr>
          <w:p w14:paraId="477C14E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5 483</w:t>
            </w:r>
          </w:p>
        </w:tc>
        <w:tc>
          <w:tcPr>
            <w:tcW w:w="1255" w:type="dxa"/>
            <w:tcBorders>
              <w:top w:val="nil"/>
              <w:left w:val="nil"/>
              <w:bottom w:val="single" w:sz="4" w:space="0" w:color="FFFFFF"/>
              <w:right w:val="single" w:sz="4" w:space="0" w:color="FFFFFF"/>
            </w:tcBorders>
            <w:shd w:val="clear" w:color="auto" w:fill="auto"/>
            <w:noWrap/>
            <w:vAlign w:val="bottom"/>
            <w:hideMark/>
          </w:tcPr>
          <w:p w14:paraId="7E3B866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3 395</w:t>
            </w:r>
          </w:p>
        </w:tc>
        <w:tc>
          <w:tcPr>
            <w:tcW w:w="1115" w:type="dxa"/>
            <w:tcBorders>
              <w:top w:val="nil"/>
              <w:left w:val="nil"/>
              <w:bottom w:val="single" w:sz="4" w:space="0" w:color="FFFFFF"/>
              <w:right w:val="single" w:sz="4" w:space="0" w:color="FFFFFF"/>
            </w:tcBorders>
            <w:shd w:val="clear" w:color="auto" w:fill="auto"/>
            <w:noWrap/>
            <w:vAlign w:val="bottom"/>
            <w:hideMark/>
          </w:tcPr>
          <w:p w14:paraId="4CA15552"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64531483"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5A0FD2D1"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50DCBD1B"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NAY</w:t>
            </w:r>
          </w:p>
        </w:tc>
        <w:tc>
          <w:tcPr>
            <w:tcW w:w="2006" w:type="dxa"/>
            <w:tcBorders>
              <w:top w:val="nil"/>
              <w:left w:val="nil"/>
              <w:bottom w:val="single" w:sz="4" w:space="0" w:color="FFFFFF"/>
              <w:right w:val="single" w:sz="4" w:space="0" w:color="FFFFFF"/>
            </w:tcBorders>
            <w:shd w:val="clear" w:color="auto" w:fill="auto"/>
            <w:noWrap/>
            <w:vAlign w:val="bottom"/>
            <w:hideMark/>
          </w:tcPr>
          <w:p w14:paraId="3F4F85BB"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5 181</w:t>
            </w:r>
          </w:p>
        </w:tc>
        <w:tc>
          <w:tcPr>
            <w:tcW w:w="1341" w:type="dxa"/>
            <w:tcBorders>
              <w:top w:val="nil"/>
              <w:left w:val="nil"/>
              <w:bottom w:val="single" w:sz="4" w:space="0" w:color="FFFFFF"/>
              <w:right w:val="single" w:sz="4" w:space="0" w:color="FFFFFF"/>
            </w:tcBorders>
            <w:shd w:val="clear" w:color="auto" w:fill="auto"/>
            <w:noWrap/>
            <w:vAlign w:val="bottom"/>
            <w:hideMark/>
          </w:tcPr>
          <w:p w14:paraId="68CA375D"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977</w:t>
            </w:r>
          </w:p>
        </w:tc>
        <w:tc>
          <w:tcPr>
            <w:tcW w:w="1255" w:type="dxa"/>
            <w:tcBorders>
              <w:top w:val="nil"/>
              <w:left w:val="nil"/>
              <w:bottom w:val="single" w:sz="4" w:space="0" w:color="FFFFFF"/>
              <w:right w:val="single" w:sz="4" w:space="0" w:color="FFFFFF"/>
            </w:tcBorders>
            <w:shd w:val="clear" w:color="auto" w:fill="auto"/>
            <w:noWrap/>
            <w:vAlign w:val="bottom"/>
            <w:hideMark/>
          </w:tcPr>
          <w:p w14:paraId="30BAE239"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4 204</w:t>
            </w:r>
          </w:p>
        </w:tc>
        <w:tc>
          <w:tcPr>
            <w:tcW w:w="1115" w:type="dxa"/>
            <w:tcBorders>
              <w:top w:val="nil"/>
              <w:left w:val="nil"/>
              <w:bottom w:val="single" w:sz="4" w:space="0" w:color="FFFFFF"/>
              <w:right w:val="single" w:sz="4" w:space="0" w:color="FFFFFF"/>
            </w:tcBorders>
            <w:shd w:val="clear" w:color="auto" w:fill="auto"/>
            <w:noWrap/>
            <w:vAlign w:val="bottom"/>
            <w:hideMark/>
          </w:tcPr>
          <w:p w14:paraId="0C856CB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75A8714F"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3830E60C"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2C178427"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CAMP</w:t>
            </w:r>
          </w:p>
        </w:tc>
        <w:tc>
          <w:tcPr>
            <w:tcW w:w="2006" w:type="dxa"/>
            <w:tcBorders>
              <w:top w:val="nil"/>
              <w:left w:val="nil"/>
              <w:bottom w:val="single" w:sz="4" w:space="0" w:color="FFFFFF"/>
              <w:right w:val="single" w:sz="4" w:space="0" w:color="FFFFFF"/>
            </w:tcBorders>
            <w:shd w:val="clear" w:color="auto" w:fill="auto"/>
            <w:noWrap/>
            <w:vAlign w:val="bottom"/>
            <w:hideMark/>
          </w:tcPr>
          <w:p w14:paraId="1D35990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5 040</w:t>
            </w:r>
          </w:p>
        </w:tc>
        <w:tc>
          <w:tcPr>
            <w:tcW w:w="1341" w:type="dxa"/>
            <w:tcBorders>
              <w:top w:val="nil"/>
              <w:left w:val="nil"/>
              <w:bottom w:val="single" w:sz="4" w:space="0" w:color="FFFFFF"/>
              <w:right w:val="single" w:sz="4" w:space="0" w:color="FFFFFF"/>
            </w:tcBorders>
            <w:shd w:val="clear" w:color="auto" w:fill="auto"/>
            <w:noWrap/>
            <w:vAlign w:val="bottom"/>
            <w:hideMark/>
          </w:tcPr>
          <w:p w14:paraId="2C3D22C6"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841</w:t>
            </w:r>
          </w:p>
        </w:tc>
        <w:tc>
          <w:tcPr>
            <w:tcW w:w="1255" w:type="dxa"/>
            <w:tcBorders>
              <w:top w:val="nil"/>
              <w:left w:val="nil"/>
              <w:bottom w:val="single" w:sz="4" w:space="0" w:color="FFFFFF"/>
              <w:right w:val="single" w:sz="4" w:space="0" w:color="FFFFFF"/>
            </w:tcBorders>
            <w:shd w:val="clear" w:color="auto" w:fill="auto"/>
            <w:noWrap/>
            <w:vAlign w:val="bottom"/>
            <w:hideMark/>
          </w:tcPr>
          <w:p w14:paraId="406BCF5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4 149</w:t>
            </w:r>
          </w:p>
        </w:tc>
        <w:tc>
          <w:tcPr>
            <w:tcW w:w="1115" w:type="dxa"/>
            <w:tcBorders>
              <w:top w:val="nil"/>
              <w:left w:val="nil"/>
              <w:bottom w:val="single" w:sz="4" w:space="0" w:color="FFFFFF"/>
              <w:right w:val="single" w:sz="4" w:space="0" w:color="FFFFFF"/>
            </w:tcBorders>
            <w:shd w:val="clear" w:color="auto" w:fill="auto"/>
            <w:noWrap/>
            <w:vAlign w:val="bottom"/>
            <w:hideMark/>
          </w:tcPr>
          <w:p w14:paraId="02FED691"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50</w:t>
            </w:r>
          </w:p>
        </w:tc>
        <w:tc>
          <w:tcPr>
            <w:tcW w:w="1394" w:type="dxa"/>
            <w:tcBorders>
              <w:top w:val="nil"/>
              <w:left w:val="nil"/>
              <w:bottom w:val="single" w:sz="4" w:space="0" w:color="FFFFFF"/>
              <w:right w:val="single" w:sz="4" w:space="0" w:color="FFFFFF"/>
            </w:tcBorders>
            <w:shd w:val="clear" w:color="auto" w:fill="auto"/>
            <w:noWrap/>
            <w:vAlign w:val="bottom"/>
            <w:hideMark/>
          </w:tcPr>
          <w:p w14:paraId="057A1980"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r w:rsidR="00BF6571" w:rsidRPr="00D41818" w14:paraId="24AE6B9A" w14:textId="77777777" w:rsidTr="001235AB">
        <w:trPr>
          <w:trHeight w:val="246"/>
          <w:jc w:val="center"/>
        </w:trPr>
        <w:tc>
          <w:tcPr>
            <w:tcW w:w="1397" w:type="dxa"/>
            <w:tcBorders>
              <w:top w:val="nil"/>
              <w:left w:val="single" w:sz="4" w:space="0" w:color="FFFFFF"/>
              <w:bottom w:val="single" w:sz="4" w:space="0" w:color="FFFFFF"/>
              <w:right w:val="single" w:sz="4" w:space="0" w:color="FFFFFF"/>
            </w:tcBorders>
            <w:shd w:val="clear" w:color="auto" w:fill="auto"/>
            <w:noWrap/>
            <w:vAlign w:val="bottom"/>
            <w:hideMark/>
          </w:tcPr>
          <w:p w14:paraId="46F61AB7" w14:textId="77777777" w:rsidR="00BF6571" w:rsidRPr="00D41818" w:rsidRDefault="00BF6571" w:rsidP="00773F93">
            <w:pPr>
              <w:spacing w:after="0" w:line="240" w:lineRule="auto"/>
              <w:rPr>
                <w:rFonts w:ascii="Arial" w:eastAsia="Times New Roman" w:hAnsi="Arial" w:cs="Arial"/>
                <w:color w:val="000000"/>
                <w:sz w:val="18"/>
                <w:szCs w:val="18"/>
                <w:lang w:eastAsia="es-MX"/>
              </w:rPr>
            </w:pPr>
            <w:r w:rsidRPr="00D41818">
              <w:rPr>
                <w:rFonts w:ascii="Arial" w:eastAsia="Times New Roman" w:hAnsi="Arial" w:cs="Arial"/>
                <w:color w:val="000000"/>
                <w:sz w:val="18"/>
                <w:szCs w:val="18"/>
                <w:lang w:eastAsia="es-MX"/>
              </w:rPr>
              <w:t>TLAX</w:t>
            </w:r>
          </w:p>
        </w:tc>
        <w:tc>
          <w:tcPr>
            <w:tcW w:w="2006" w:type="dxa"/>
            <w:tcBorders>
              <w:top w:val="nil"/>
              <w:left w:val="nil"/>
              <w:bottom w:val="single" w:sz="4" w:space="0" w:color="FFFFFF"/>
              <w:right w:val="single" w:sz="4" w:space="0" w:color="FFFFFF"/>
            </w:tcBorders>
            <w:shd w:val="clear" w:color="auto" w:fill="auto"/>
            <w:noWrap/>
            <w:vAlign w:val="bottom"/>
            <w:hideMark/>
          </w:tcPr>
          <w:p w14:paraId="6A6BAA28"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4 527</w:t>
            </w:r>
          </w:p>
        </w:tc>
        <w:tc>
          <w:tcPr>
            <w:tcW w:w="1341" w:type="dxa"/>
            <w:tcBorders>
              <w:top w:val="nil"/>
              <w:left w:val="nil"/>
              <w:bottom w:val="single" w:sz="4" w:space="0" w:color="FFFFFF"/>
              <w:right w:val="single" w:sz="4" w:space="0" w:color="FFFFFF"/>
            </w:tcBorders>
            <w:shd w:val="clear" w:color="auto" w:fill="auto"/>
            <w:noWrap/>
            <w:vAlign w:val="bottom"/>
            <w:hideMark/>
          </w:tcPr>
          <w:p w14:paraId="3F6BABE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1 740</w:t>
            </w:r>
          </w:p>
        </w:tc>
        <w:tc>
          <w:tcPr>
            <w:tcW w:w="1255" w:type="dxa"/>
            <w:tcBorders>
              <w:top w:val="nil"/>
              <w:left w:val="nil"/>
              <w:bottom w:val="single" w:sz="4" w:space="0" w:color="FFFFFF"/>
              <w:right w:val="single" w:sz="4" w:space="0" w:color="FFFFFF"/>
            </w:tcBorders>
            <w:shd w:val="clear" w:color="auto" w:fill="auto"/>
            <w:noWrap/>
            <w:vAlign w:val="bottom"/>
            <w:hideMark/>
          </w:tcPr>
          <w:p w14:paraId="20AEA1EC"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2 787</w:t>
            </w:r>
          </w:p>
        </w:tc>
        <w:tc>
          <w:tcPr>
            <w:tcW w:w="1115" w:type="dxa"/>
            <w:tcBorders>
              <w:top w:val="nil"/>
              <w:left w:val="nil"/>
              <w:bottom w:val="single" w:sz="4" w:space="0" w:color="FFFFFF"/>
              <w:right w:val="single" w:sz="4" w:space="0" w:color="FFFFFF"/>
            </w:tcBorders>
            <w:shd w:val="clear" w:color="auto" w:fill="auto"/>
            <w:noWrap/>
            <w:vAlign w:val="bottom"/>
            <w:hideMark/>
          </w:tcPr>
          <w:p w14:paraId="6686AEE0"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c>
          <w:tcPr>
            <w:tcW w:w="1394" w:type="dxa"/>
            <w:tcBorders>
              <w:top w:val="nil"/>
              <w:left w:val="nil"/>
              <w:bottom w:val="single" w:sz="4" w:space="0" w:color="FFFFFF"/>
              <w:right w:val="single" w:sz="4" w:space="0" w:color="FFFFFF"/>
            </w:tcBorders>
            <w:shd w:val="clear" w:color="auto" w:fill="auto"/>
            <w:noWrap/>
            <w:vAlign w:val="bottom"/>
            <w:hideMark/>
          </w:tcPr>
          <w:p w14:paraId="57EFC6E7" w14:textId="77777777" w:rsidR="00BF6571" w:rsidRPr="00D41818" w:rsidRDefault="00BF6571" w:rsidP="00773F93">
            <w:pPr>
              <w:spacing w:after="0" w:line="240" w:lineRule="auto"/>
              <w:jc w:val="center"/>
              <w:rPr>
                <w:rFonts w:ascii="Arial" w:eastAsia="Times New Roman" w:hAnsi="Arial" w:cs="Arial"/>
                <w:sz w:val="18"/>
                <w:szCs w:val="18"/>
                <w:lang w:eastAsia="es-MX"/>
              </w:rPr>
            </w:pPr>
            <w:r w:rsidRPr="00D41818">
              <w:rPr>
                <w:rFonts w:ascii="Arial" w:eastAsia="Times New Roman" w:hAnsi="Arial" w:cs="Arial"/>
                <w:sz w:val="18"/>
                <w:szCs w:val="18"/>
                <w:lang w:eastAsia="es-MX"/>
              </w:rPr>
              <w:t xml:space="preserve"> 0</w:t>
            </w:r>
          </w:p>
        </w:tc>
      </w:tr>
    </w:tbl>
    <w:p w14:paraId="787EA78E" w14:textId="77777777" w:rsidR="00BF6571" w:rsidRDefault="00BF6571" w:rsidP="001D3654">
      <w:pPr>
        <w:spacing w:before="46" w:after="0" w:line="276" w:lineRule="auto"/>
        <w:ind w:right="163"/>
        <w:jc w:val="center"/>
        <w:rPr>
          <w:rFonts w:ascii="Arial" w:hAnsi="Arial" w:cs="Arial"/>
          <w:b/>
          <w:bCs/>
          <w:iCs/>
          <w:smallCaps/>
          <w:color w:val="000000" w:themeColor="text1"/>
        </w:rPr>
      </w:pPr>
    </w:p>
    <w:p w14:paraId="476FCA8A" w14:textId="77777777" w:rsidR="001D3654" w:rsidRDefault="001D3654" w:rsidP="001D3654">
      <w:pPr>
        <w:pStyle w:val="Default"/>
        <w:ind w:right="163"/>
        <w:jc w:val="center"/>
        <w:rPr>
          <w:color w:val="auto"/>
        </w:rPr>
      </w:pPr>
    </w:p>
    <w:p w14:paraId="33E30505" w14:textId="77777777" w:rsidR="00D71706" w:rsidRDefault="00D71706" w:rsidP="00D71706">
      <w:pPr>
        <w:spacing w:before="46" w:after="0" w:line="276" w:lineRule="auto"/>
        <w:ind w:right="601"/>
        <w:jc w:val="both"/>
        <w:rPr>
          <w:rFonts w:ascii="Arial" w:hAnsi="Arial" w:cs="Arial"/>
          <w:sz w:val="24"/>
          <w:szCs w:val="24"/>
        </w:rPr>
      </w:pPr>
      <w:r>
        <w:br w:type="page"/>
      </w:r>
    </w:p>
    <w:p w14:paraId="3E18A1CE" w14:textId="5ED2CDA8" w:rsidR="00D41818" w:rsidRDefault="00D02884" w:rsidP="00D41818">
      <w:pPr>
        <w:pStyle w:val="Default"/>
        <w:ind w:right="163"/>
        <w:jc w:val="both"/>
        <w:rPr>
          <w:color w:val="auto"/>
        </w:rPr>
      </w:pPr>
      <w:r>
        <w:rPr>
          <w:color w:val="auto"/>
        </w:rPr>
        <w:lastRenderedPageBreak/>
        <w:t>E</w:t>
      </w:r>
      <w:r w:rsidRPr="005768BD">
        <w:rPr>
          <w:color w:val="auto"/>
        </w:rPr>
        <w:t xml:space="preserve">n 2021, se registraron 2 130 </w:t>
      </w:r>
      <w:r>
        <w:rPr>
          <w:color w:val="auto"/>
        </w:rPr>
        <w:t>732</w:t>
      </w:r>
      <w:r w:rsidRPr="005768BD">
        <w:rPr>
          <w:color w:val="auto"/>
        </w:rPr>
        <w:t xml:space="preserve"> delitos en las averiguaciones previas, investigaciones y carpetas de investigación abiertas</w:t>
      </w:r>
      <w:r w:rsidR="00F00EA7">
        <w:rPr>
          <w:color w:val="auto"/>
        </w:rPr>
        <w:t xml:space="preserve"> </w:t>
      </w:r>
      <w:r w:rsidR="00F00EA7" w:rsidRPr="005768BD">
        <w:rPr>
          <w:color w:val="auto"/>
        </w:rPr>
        <w:t>(77 637 en la FGR y 2 053 0</w:t>
      </w:r>
      <w:r w:rsidR="00F00EA7">
        <w:rPr>
          <w:color w:val="auto"/>
        </w:rPr>
        <w:t>95</w:t>
      </w:r>
      <w:r w:rsidR="00F00EA7" w:rsidRPr="005768BD">
        <w:rPr>
          <w:color w:val="auto"/>
        </w:rPr>
        <w:t xml:space="preserve"> en las FGE)</w:t>
      </w:r>
      <w:r w:rsidR="001235AB">
        <w:rPr>
          <w:rStyle w:val="Refdenotaalpie"/>
          <w:color w:val="auto"/>
        </w:rPr>
        <w:footnoteReference w:id="12"/>
      </w:r>
      <w:r w:rsidR="00F00EA7">
        <w:rPr>
          <w:color w:val="auto"/>
        </w:rPr>
        <w:t>.</w:t>
      </w:r>
      <w:r>
        <w:rPr>
          <w:color w:val="auto"/>
        </w:rPr>
        <w:t xml:space="preserve"> </w:t>
      </w:r>
      <w:r w:rsidR="00851A50">
        <w:rPr>
          <w:color w:val="auto"/>
        </w:rPr>
        <w:t>A nivel nacional, e</w:t>
      </w:r>
      <w:r w:rsidR="00F00EA7">
        <w:rPr>
          <w:color w:val="auto"/>
        </w:rPr>
        <w:t>sto</w:t>
      </w:r>
      <w:r>
        <w:rPr>
          <w:color w:val="auto"/>
        </w:rPr>
        <w:t xml:space="preserve"> representó un aumento de 10.9 % respecto a 2020.</w:t>
      </w:r>
      <w:r w:rsidR="00D41818">
        <w:rPr>
          <w:color w:val="auto"/>
        </w:rPr>
        <w:t xml:space="preserve"> En la FGR, </w:t>
      </w:r>
      <w:r w:rsidR="005A02B8">
        <w:rPr>
          <w:color w:val="auto"/>
        </w:rPr>
        <w:t xml:space="preserve">y en contraste con 2020, </w:t>
      </w:r>
      <w:r w:rsidR="00D41818">
        <w:rPr>
          <w:color w:val="auto"/>
        </w:rPr>
        <w:t>la cantidad total de delitos registrados presentó una disminución de 1.1</w:t>
      </w:r>
      <w:r w:rsidR="0056525F">
        <w:rPr>
          <w:color w:val="auto"/>
        </w:rPr>
        <w:t xml:space="preserve"> </w:t>
      </w:r>
      <w:r w:rsidR="005A02B8">
        <w:rPr>
          <w:color w:val="auto"/>
        </w:rPr>
        <w:t xml:space="preserve">por ciento. </w:t>
      </w:r>
      <w:r w:rsidR="0056525F">
        <w:rPr>
          <w:color w:val="auto"/>
        </w:rPr>
        <w:t xml:space="preserve">En </w:t>
      </w:r>
      <w:r w:rsidR="00D41818">
        <w:rPr>
          <w:color w:val="auto"/>
        </w:rPr>
        <w:t>las FGE</w:t>
      </w:r>
      <w:r w:rsidR="0056525F">
        <w:rPr>
          <w:color w:val="auto"/>
        </w:rPr>
        <w:t>,</w:t>
      </w:r>
      <w:r w:rsidR="00D41818">
        <w:rPr>
          <w:color w:val="auto"/>
        </w:rPr>
        <w:t xml:space="preserve"> los delitos registrados aumentaron 10.6 por ciento. </w:t>
      </w:r>
    </w:p>
    <w:p w14:paraId="0A90D597" w14:textId="52041E39" w:rsidR="00D02884" w:rsidRDefault="00D02884" w:rsidP="00D02884">
      <w:pPr>
        <w:pStyle w:val="Default"/>
        <w:ind w:right="163"/>
        <w:jc w:val="both"/>
        <w:rPr>
          <w:color w:val="auto"/>
        </w:rPr>
      </w:pPr>
    </w:p>
    <w:p w14:paraId="5BE8F252" w14:textId="7C044A41" w:rsidR="00D02884" w:rsidRPr="002D00F3" w:rsidRDefault="00D02884" w:rsidP="00D02884">
      <w:pPr>
        <w:pStyle w:val="Default"/>
        <w:jc w:val="center"/>
        <w:rPr>
          <w:color w:val="auto"/>
          <w:sz w:val="20"/>
          <w:szCs w:val="20"/>
        </w:rPr>
      </w:pPr>
      <w:r w:rsidRPr="002D00F3">
        <w:rPr>
          <w:color w:val="auto"/>
          <w:sz w:val="20"/>
          <w:szCs w:val="20"/>
        </w:rPr>
        <w:t xml:space="preserve">Gráfica </w:t>
      </w:r>
      <w:r w:rsidR="001B6698">
        <w:rPr>
          <w:color w:val="auto"/>
          <w:sz w:val="20"/>
          <w:szCs w:val="20"/>
        </w:rPr>
        <w:t>2</w:t>
      </w:r>
      <w:r w:rsidR="00F00EA7">
        <w:rPr>
          <w:color w:val="auto"/>
          <w:sz w:val="20"/>
          <w:szCs w:val="20"/>
        </w:rPr>
        <w:t>2</w:t>
      </w:r>
    </w:p>
    <w:p w14:paraId="12A528E8" w14:textId="77777777" w:rsidR="00D02884" w:rsidRDefault="00D02884" w:rsidP="00D02884">
      <w:pPr>
        <w:pStyle w:val="Default"/>
        <w:ind w:right="163"/>
        <w:jc w:val="center"/>
        <w:rPr>
          <w:color w:val="auto"/>
        </w:rPr>
      </w:pPr>
      <w:r>
        <w:rPr>
          <w:b/>
          <w:bCs/>
          <w:iCs/>
          <w:smallCaps/>
          <w:color w:val="000000" w:themeColor="text1"/>
          <w:sz w:val="22"/>
          <w:szCs w:val="22"/>
        </w:rPr>
        <w:t xml:space="preserve">Delitos registrados </w:t>
      </w:r>
      <w:r w:rsidRPr="004B55CD">
        <w:rPr>
          <w:b/>
          <w:bCs/>
          <w:iCs/>
          <w:smallCaps/>
          <w:color w:val="000000" w:themeColor="text1"/>
          <w:sz w:val="22"/>
          <w:szCs w:val="22"/>
        </w:rPr>
        <w:t>e</w:t>
      </w:r>
      <w:r>
        <w:rPr>
          <w:b/>
          <w:bCs/>
          <w:iCs/>
          <w:smallCaps/>
          <w:color w:val="000000" w:themeColor="text1"/>
          <w:sz w:val="22"/>
          <w:szCs w:val="22"/>
        </w:rPr>
        <w:t>n las</w:t>
      </w:r>
      <w:r w:rsidRPr="004B55CD">
        <w:rPr>
          <w:b/>
          <w:bCs/>
          <w:iCs/>
          <w:smallCaps/>
          <w:color w:val="000000" w:themeColor="text1"/>
          <w:sz w:val="22"/>
          <w:szCs w:val="22"/>
        </w:rPr>
        <w:t xml:space="preserve"> averiguaciones previas e investigaciones y carpetas de investigación </w:t>
      </w:r>
      <w:r>
        <w:rPr>
          <w:b/>
          <w:bCs/>
          <w:iCs/>
          <w:smallCaps/>
          <w:color w:val="000000" w:themeColor="text1"/>
          <w:sz w:val="22"/>
          <w:szCs w:val="22"/>
        </w:rPr>
        <w:t>abiertas</w:t>
      </w:r>
      <w:r w:rsidRPr="004B55CD">
        <w:rPr>
          <w:b/>
          <w:bCs/>
          <w:iCs/>
          <w:smallCaps/>
          <w:color w:val="000000" w:themeColor="text1"/>
          <w:sz w:val="22"/>
          <w:szCs w:val="22"/>
        </w:rPr>
        <w:t xml:space="preserve"> por la FGR y las FGE </w:t>
      </w:r>
    </w:p>
    <w:p w14:paraId="651EFC15" w14:textId="77777777" w:rsidR="00D02884" w:rsidRDefault="00D02884" w:rsidP="00D02884">
      <w:pPr>
        <w:pStyle w:val="Default"/>
        <w:ind w:right="163"/>
        <w:jc w:val="both"/>
        <w:rPr>
          <w:color w:val="auto"/>
        </w:rPr>
      </w:pPr>
    </w:p>
    <w:p w14:paraId="70B9AD7C" w14:textId="77777777" w:rsidR="00D02884" w:rsidRDefault="00D02884" w:rsidP="00D02884">
      <w:pPr>
        <w:pStyle w:val="Default"/>
        <w:ind w:right="163"/>
        <w:jc w:val="center"/>
        <w:rPr>
          <w:color w:val="auto"/>
        </w:rPr>
      </w:pPr>
      <w:r>
        <w:rPr>
          <w:noProof/>
        </w:rPr>
        <w:drawing>
          <wp:inline distT="0" distB="0" distL="0" distR="0" wp14:anchorId="34C91CCC" wp14:editId="057E6FDF">
            <wp:extent cx="5615305" cy="1866900"/>
            <wp:effectExtent l="0" t="0" r="4445" b="0"/>
            <wp:docPr id="57" name="Gráfico 57">
              <a:extLst xmlns:a="http://schemas.openxmlformats.org/drawingml/2006/main">
                <a:ext uri="{FF2B5EF4-FFF2-40B4-BE49-F238E27FC236}">
                  <a16:creationId xmlns:a16="http://schemas.microsoft.com/office/drawing/2014/main" id="{A5CA7B27-5A02-4B6F-BEC6-D437E1238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E41518E" w14:textId="77777777" w:rsidR="00D02884" w:rsidRDefault="00D02884" w:rsidP="00D02884">
      <w:pPr>
        <w:pStyle w:val="Default"/>
        <w:ind w:right="163"/>
        <w:jc w:val="both"/>
        <w:rPr>
          <w:color w:val="auto"/>
        </w:rPr>
      </w:pPr>
    </w:p>
    <w:p w14:paraId="4AE27074" w14:textId="7FC8A09B" w:rsidR="00D02884" w:rsidRDefault="00F00EA7" w:rsidP="00D02884">
      <w:pPr>
        <w:pStyle w:val="Default"/>
        <w:ind w:right="163"/>
        <w:jc w:val="both"/>
        <w:rPr>
          <w:color w:val="auto"/>
        </w:rPr>
      </w:pPr>
      <w:r>
        <w:t>Del total de</w:t>
      </w:r>
      <w:r w:rsidR="00D02884" w:rsidRPr="005F61DD">
        <w:rPr>
          <w:color w:val="auto"/>
        </w:rPr>
        <w:t xml:space="preserve"> delitos </w:t>
      </w:r>
      <w:r w:rsidR="00D02884">
        <w:rPr>
          <w:color w:val="auto"/>
        </w:rPr>
        <w:t xml:space="preserve">registrados </w:t>
      </w:r>
      <w:r w:rsidR="00D02884" w:rsidRPr="005F61DD">
        <w:rPr>
          <w:color w:val="auto"/>
        </w:rPr>
        <w:t>en las averiguaciones previas iniciadas y carpetas de investigación abiertas</w:t>
      </w:r>
      <w:r>
        <w:rPr>
          <w:color w:val="auto"/>
        </w:rPr>
        <w:t xml:space="preserve"> por la FGR,</w:t>
      </w:r>
      <w:r w:rsidR="00D02884" w:rsidRPr="005F61DD">
        <w:rPr>
          <w:color w:val="auto"/>
        </w:rPr>
        <w:t xml:space="preserve"> 43 correspondieron al Sistema Tradicional y 77 594 al Sistema Penal Acusatorio</w:t>
      </w:r>
      <w:r>
        <w:rPr>
          <w:color w:val="auto"/>
        </w:rPr>
        <w:t>.</w:t>
      </w:r>
      <w:r w:rsidR="00D02884" w:rsidRPr="005F61DD">
        <w:rPr>
          <w:color w:val="auto"/>
        </w:rPr>
        <w:t xml:space="preserve"> Los </w:t>
      </w:r>
      <w:r w:rsidR="00D02884" w:rsidRPr="00DF0D6A">
        <w:rPr>
          <w:i/>
          <w:color w:val="auto"/>
        </w:rPr>
        <w:t>delitos en materia de armas, explosivos y otros materiales destructivos</w:t>
      </w:r>
      <w:r w:rsidR="00D02884" w:rsidRPr="005F61DD">
        <w:rPr>
          <w:color w:val="auto"/>
        </w:rPr>
        <w:t xml:space="preserve"> concentraron</w:t>
      </w:r>
      <w:r w:rsidR="00D02884">
        <w:rPr>
          <w:color w:val="auto"/>
        </w:rPr>
        <w:t xml:space="preserve"> </w:t>
      </w:r>
      <w:r w:rsidR="00D02884" w:rsidRPr="005F61DD">
        <w:rPr>
          <w:color w:val="auto"/>
        </w:rPr>
        <w:t>17.4 % del total nacional.</w:t>
      </w:r>
    </w:p>
    <w:p w14:paraId="6C00F0FF" w14:textId="77777777" w:rsidR="00D02884" w:rsidRDefault="00D02884" w:rsidP="00D02884">
      <w:pPr>
        <w:pStyle w:val="Default"/>
        <w:ind w:right="163"/>
        <w:jc w:val="both"/>
        <w:rPr>
          <w:color w:val="auto"/>
        </w:rPr>
      </w:pPr>
    </w:p>
    <w:p w14:paraId="7B2A6530" w14:textId="2B9E5B72" w:rsidR="00D02884" w:rsidRPr="002D00F3" w:rsidRDefault="00D02884" w:rsidP="00D02884">
      <w:pPr>
        <w:pStyle w:val="Default"/>
        <w:jc w:val="center"/>
        <w:rPr>
          <w:color w:val="auto"/>
          <w:sz w:val="20"/>
          <w:szCs w:val="20"/>
        </w:rPr>
      </w:pPr>
      <w:r w:rsidRPr="002D00F3">
        <w:rPr>
          <w:color w:val="auto"/>
          <w:sz w:val="20"/>
          <w:szCs w:val="20"/>
        </w:rPr>
        <w:t xml:space="preserve">Gráfica </w:t>
      </w:r>
      <w:r w:rsidR="001B6698">
        <w:rPr>
          <w:color w:val="auto"/>
          <w:sz w:val="20"/>
          <w:szCs w:val="20"/>
        </w:rPr>
        <w:t>2</w:t>
      </w:r>
      <w:r w:rsidR="00F00EA7">
        <w:rPr>
          <w:color w:val="auto"/>
          <w:sz w:val="20"/>
          <w:szCs w:val="20"/>
        </w:rPr>
        <w:t>3</w:t>
      </w:r>
    </w:p>
    <w:p w14:paraId="1BF41ACA" w14:textId="728F6784" w:rsidR="003C1549" w:rsidRDefault="00D02884" w:rsidP="00D02884">
      <w:pPr>
        <w:pStyle w:val="Default"/>
        <w:ind w:right="163"/>
        <w:jc w:val="center"/>
        <w:rPr>
          <w:b/>
          <w:bCs/>
          <w:iCs/>
          <w:smallCaps/>
          <w:color w:val="000000" w:themeColor="text1"/>
          <w:sz w:val="22"/>
          <w:szCs w:val="22"/>
        </w:rPr>
      </w:pPr>
      <w:r>
        <w:rPr>
          <w:noProof/>
        </w:rPr>
        <w:drawing>
          <wp:anchor distT="0" distB="0" distL="114300" distR="114300" simplePos="0" relativeHeight="251673600" behindDoc="0" locked="0" layoutInCell="1" allowOverlap="1" wp14:anchorId="38E833EB" wp14:editId="3F1C9A29">
            <wp:simplePos x="0" y="0"/>
            <wp:positionH relativeFrom="margin">
              <wp:posOffset>-10688</wp:posOffset>
            </wp:positionH>
            <wp:positionV relativeFrom="paragraph">
              <wp:posOffset>445842</wp:posOffset>
            </wp:positionV>
            <wp:extent cx="6192520" cy="2068830"/>
            <wp:effectExtent l="0" t="0" r="0" b="7620"/>
            <wp:wrapSquare wrapText="bothSides"/>
            <wp:docPr id="58" name="Gráfico 58">
              <a:extLst xmlns:a="http://schemas.openxmlformats.org/drawingml/2006/main">
                <a:ext uri="{FF2B5EF4-FFF2-40B4-BE49-F238E27FC236}">
                  <a16:creationId xmlns:a16="http://schemas.microsoft.com/office/drawing/2014/main" id="{3A7C9044-7974-4861-AE22-F5A88A1608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Pr>
          <w:b/>
          <w:bCs/>
          <w:iCs/>
          <w:smallCaps/>
          <w:color w:val="000000" w:themeColor="text1"/>
          <w:sz w:val="22"/>
          <w:szCs w:val="22"/>
        </w:rPr>
        <w:t xml:space="preserve">Principales delitos registrados </w:t>
      </w:r>
      <w:r w:rsidRPr="004B55CD">
        <w:rPr>
          <w:b/>
          <w:bCs/>
          <w:iCs/>
          <w:smallCaps/>
          <w:color w:val="000000" w:themeColor="text1"/>
          <w:sz w:val="22"/>
          <w:szCs w:val="22"/>
        </w:rPr>
        <w:t>e</w:t>
      </w:r>
      <w:r>
        <w:rPr>
          <w:b/>
          <w:bCs/>
          <w:iCs/>
          <w:smallCaps/>
          <w:color w:val="000000" w:themeColor="text1"/>
          <w:sz w:val="22"/>
          <w:szCs w:val="22"/>
        </w:rPr>
        <w:t>n las</w:t>
      </w:r>
      <w:r w:rsidRPr="004B55CD">
        <w:rPr>
          <w:b/>
          <w:bCs/>
          <w:iCs/>
          <w:smallCaps/>
          <w:color w:val="000000" w:themeColor="text1"/>
          <w:sz w:val="22"/>
          <w:szCs w:val="22"/>
        </w:rPr>
        <w:t xml:space="preserve"> averiguaciones previas </w:t>
      </w:r>
    </w:p>
    <w:p w14:paraId="2478DAB3" w14:textId="49513489" w:rsidR="00D02884" w:rsidRDefault="00D02884" w:rsidP="00D02884">
      <w:pPr>
        <w:pStyle w:val="Default"/>
        <w:ind w:right="163"/>
        <w:jc w:val="center"/>
        <w:rPr>
          <w:color w:val="auto"/>
        </w:rPr>
      </w:pPr>
      <w:r w:rsidRPr="004B55CD">
        <w:rPr>
          <w:b/>
          <w:bCs/>
          <w:iCs/>
          <w:smallCaps/>
          <w:color w:val="000000" w:themeColor="text1"/>
          <w:sz w:val="22"/>
          <w:szCs w:val="22"/>
        </w:rPr>
        <w:t xml:space="preserve">y carpetas de investigación </w:t>
      </w:r>
      <w:r>
        <w:rPr>
          <w:b/>
          <w:bCs/>
          <w:iCs/>
          <w:smallCaps/>
          <w:color w:val="000000" w:themeColor="text1"/>
          <w:sz w:val="22"/>
          <w:szCs w:val="22"/>
        </w:rPr>
        <w:t>abiertas</w:t>
      </w:r>
      <w:r w:rsidRPr="004B55CD">
        <w:rPr>
          <w:b/>
          <w:bCs/>
          <w:iCs/>
          <w:smallCaps/>
          <w:color w:val="000000" w:themeColor="text1"/>
          <w:sz w:val="22"/>
          <w:szCs w:val="22"/>
        </w:rPr>
        <w:t xml:space="preserve"> por la FGR</w:t>
      </w:r>
    </w:p>
    <w:p w14:paraId="4B6ACD08" w14:textId="77777777" w:rsidR="00D02884" w:rsidRDefault="00D02884" w:rsidP="00D02884">
      <w:pPr>
        <w:pStyle w:val="Default"/>
        <w:ind w:right="163"/>
        <w:jc w:val="both"/>
        <w:rPr>
          <w:color w:val="auto"/>
          <w:sz w:val="16"/>
          <w:szCs w:val="16"/>
        </w:rPr>
      </w:pPr>
    </w:p>
    <w:p w14:paraId="5B489B19" w14:textId="77777777" w:rsidR="00D02884" w:rsidRDefault="00D02884" w:rsidP="00D02884">
      <w:pPr>
        <w:pStyle w:val="Default"/>
        <w:ind w:right="163"/>
        <w:jc w:val="both"/>
        <w:rPr>
          <w:color w:val="auto"/>
          <w:sz w:val="16"/>
          <w:szCs w:val="16"/>
        </w:rPr>
      </w:pPr>
    </w:p>
    <w:p w14:paraId="0B72FD34" w14:textId="4B59490E" w:rsidR="00D02884" w:rsidRPr="00BE3BE5" w:rsidRDefault="00D02884" w:rsidP="00D02884">
      <w:pPr>
        <w:pStyle w:val="Default"/>
        <w:ind w:right="163"/>
        <w:jc w:val="both"/>
        <w:rPr>
          <w:color w:val="auto"/>
          <w:sz w:val="16"/>
          <w:szCs w:val="16"/>
        </w:rPr>
      </w:pPr>
      <w:r w:rsidRPr="00BE3BE5">
        <w:rPr>
          <w:color w:val="auto"/>
          <w:sz w:val="16"/>
          <w:szCs w:val="16"/>
        </w:rPr>
        <w:t xml:space="preserve">**Incluye todas las modalidades de </w:t>
      </w:r>
      <w:r w:rsidR="003C1549">
        <w:rPr>
          <w:color w:val="auto"/>
          <w:sz w:val="16"/>
          <w:szCs w:val="16"/>
        </w:rPr>
        <w:t>r</w:t>
      </w:r>
      <w:r w:rsidRPr="00BE3BE5">
        <w:rPr>
          <w:color w:val="auto"/>
          <w:sz w:val="16"/>
          <w:szCs w:val="16"/>
        </w:rPr>
        <w:t>obo.</w:t>
      </w:r>
    </w:p>
    <w:p w14:paraId="556875AD" w14:textId="67FB71FC" w:rsidR="00D02884" w:rsidRPr="00BE3BE5" w:rsidRDefault="00D02884" w:rsidP="00D02884">
      <w:pPr>
        <w:pStyle w:val="Default"/>
        <w:ind w:right="163"/>
        <w:jc w:val="both"/>
        <w:rPr>
          <w:color w:val="auto"/>
          <w:sz w:val="16"/>
          <w:szCs w:val="16"/>
        </w:rPr>
      </w:pPr>
      <w:r w:rsidRPr="00BE3BE5">
        <w:rPr>
          <w:color w:val="auto"/>
          <w:sz w:val="16"/>
          <w:szCs w:val="16"/>
        </w:rPr>
        <w:t xml:space="preserve">***Incluye: </w:t>
      </w:r>
      <w:r w:rsidRPr="001C540D">
        <w:rPr>
          <w:i/>
          <w:iCs/>
          <w:color w:val="auto"/>
          <w:sz w:val="16"/>
          <w:szCs w:val="16"/>
        </w:rPr>
        <w:t>producción</w:t>
      </w:r>
      <w:r w:rsidRPr="00BE3BE5">
        <w:rPr>
          <w:color w:val="auto"/>
          <w:sz w:val="16"/>
          <w:szCs w:val="16"/>
        </w:rPr>
        <w:t xml:space="preserve">, </w:t>
      </w:r>
      <w:r w:rsidRPr="001C540D">
        <w:rPr>
          <w:i/>
          <w:iCs/>
          <w:color w:val="auto"/>
          <w:sz w:val="16"/>
          <w:szCs w:val="16"/>
        </w:rPr>
        <w:t>transporte</w:t>
      </w:r>
      <w:r w:rsidRPr="00BE3BE5">
        <w:rPr>
          <w:color w:val="auto"/>
          <w:sz w:val="16"/>
          <w:szCs w:val="16"/>
        </w:rPr>
        <w:t xml:space="preserve">, </w:t>
      </w:r>
      <w:r w:rsidRPr="001C540D">
        <w:rPr>
          <w:i/>
          <w:iCs/>
          <w:color w:val="auto"/>
          <w:sz w:val="16"/>
          <w:szCs w:val="16"/>
        </w:rPr>
        <w:t>tráfico</w:t>
      </w:r>
      <w:r w:rsidRPr="00BE3BE5">
        <w:rPr>
          <w:color w:val="auto"/>
          <w:sz w:val="16"/>
          <w:szCs w:val="16"/>
        </w:rPr>
        <w:t xml:space="preserve">, </w:t>
      </w:r>
      <w:r w:rsidRPr="001C540D">
        <w:rPr>
          <w:i/>
          <w:iCs/>
          <w:color w:val="auto"/>
          <w:sz w:val="16"/>
          <w:szCs w:val="16"/>
        </w:rPr>
        <w:t>comercio</w:t>
      </w:r>
      <w:r w:rsidRPr="00BE3BE5">
        <w:rPr>
          <w:color w:val="auto"/>
          <w:sz w:val="16"/>
          <w:szCs w:val="16"/>
        </w:rPr>
        <w:t xml:space="preserve">, </w:t>
      </w:r>
      <w:r w:rsidRPr="001C540D">
        <w:rPr>
          <w:i/>
          <w:iCs/>
          <w:color w:val="auto"/>
          <w:sz w:val="16"/>
          <w:szCs w:val="16"/>
        </w:rPr>
        <w:t>suministro y posesión de narcóticos</w:t>
      </w:r>
      <w:r w:rsidRPr="00BE3BE5">
        <w:rPr>
          <w:color w:val="auto"/>
          <w:sz w:val="16"/>
          <w:szCs w:val="16"/>
        </w:rPr>
        <w:t xml:space="preserve">, así como </w:t>
      </w:r>
      <w:r w:rsidR="005A02B8" w:rsidRPr="001C540D">
        <w:rPr>
          <w:i/>
          <w:iCs/>
          <w:color w:val="auto"/>
          <w:sz w:val="16"/>
          <w:szCs w:val="16"/>
        </w:rPr>
        <w:t>o</w:t>
      </w:r>
      <w:r w:rsidRPr="001C540D">
        <w:rPr>
          <w:i/>
          <w:iCs/>
          <w:color w:val="auto"/>
          <w:sz w:val="16"/>
          <w:szCs w:val="16"/>
        </w:rPr>
        <w:t>tros delitos federales contra la salud relacionados con narcóticos</w:t>
      </w:r>
      <w:r w:rsidRPr="00BE3BE5">
        <w:rPr>
          <w:color w:val="auto"/>
          <w:sz w:val="16"/>
          <w:szCs w:val="16"/>
        </w:rPr>
        <w:t>.</w:t>
      </w:r>
    </w:p>
    <w:p w14:paraId="23775A1F" w14:textId="6BDD2B3E" w:rsidR="00D02884" w:rsidRPr="00BE3BE5" w:rsidRDefault="00D02884" w:rsidP="00D02884">
      <w:pPr>
        <w:pStyle w:val="Default"/>
        <w:ind w:right="163"/>
        <w:jc w:val="both"/>
        <w:rPr>
          <w:color w:val="auto"/>
          <w:sz w:val="16"/>
          <w:szCs w:val="16"/>
        </w:rPr>
      </w:pPr>
      <w:r w:rsidRPr="00BE3BE5">
        <w:rPr>
          <w:color w:val="auto"/>
          <w:sz w:val="16"/>
          <w:szCs w:val="16"/>
        </w:rPr>
        <w:t xml:space="preserve">Nota: </w:t>
      </w:r>
      <w:r w:rsidR="00D41A40">
        <w:rPr>
          <w:color w:val="auto"/>
          <w:sz w:val="16"/>
          <w:szCs w:val="16"/>
        </w:rPr>
        <w:t>S</w:t>
      </w:r>
      <w:r w:rsidRPr="00BE3BE5">
        <w:rPr>
          <w:color w:val="auto"/>
          <w:sz w:val="16"/>
          <w:szCs w:val="16"/>
        </w:rPr>
        <w:t>e muestran los diez principales delitos, de acuerdo con la mayor frecuencia de registros en 2021.</w:t>
      </w:r>
    </w:p>
    <w:p w14:paraId="2EBF1E7D" w14:textId="138ED2E2" w:rsidR="000754D6" w:rsidRPr="0008195A" w:rsidRDefault="00102BB3" w:rsidP="000754D6">
      <w:pPr>
        <w:pStyle w:val="Default"/>
        <w:ind w:right="163"/>
        <w:jc w:val="both"/>
      </w:pPr>
      <w:r>
        <w:lastRenderedPageBreak/>
        <w:t>Para</w:t>
      </w:r>
      <w:r w:rsidR="000754D6">
        <w:t xml:space="preserve"> </w:t>
      </w:r>
      <w:r w:rsidR="000754D6" w:rsidRPr="0008195A">
        <w:t>los delitos registrados</w:t>
      </w:r>
      <w:r>
        <w:t xml:space="preserve"> en 2021</w:t>
      </w:r>
      <w:r w:rsidR="000754D6" w:rsidRPr="0008195A">
        <w:t xml:space="preserve"> </w:t>
      </w:r>
      <w:r w:rsidRPr="0008195A">
        <w:t xml:space="preserve">por las FGE </w:t>
      </w:r>
      <w:r w:rsidR="000754D6" w:rsidRPr="0008195A">
        <w:t xml:space="preserve">en las averiguaciones previas iniciadas, investigaciones y carpetas de investigación abiertas, </w:t>
      </w:r>
      <w:r w:rsidR="00066D00">
        <w:rPr>
          <w:color w:val="auto"/>
        </w:rPr>
        <w:t>409</w:t>
      </w:r>
      <w:r w:rsidR="00066D00" w:rsidRPr="005F61DD">
        <w:rPr>
          <w:color w:val="auto"/>
        </w:rPr>
        <w:t xml:space="preserve"> correspondieron al Sistema Tradicional y </w:t>
      </w:r>
      <w:r w:rsidR="00066D00">
        <w:rPr>
          <w:color w:val="auto"/>
        </w:rPr>
        <w:t>2 052 591</w:t>
      </w:r>
      <w:r w:rsidR="00066D00" w:rsidRPr="005F61DD">
        <w:rPr>
          <w:color w:val="auto"/>
        </w:rPr>
        <w:t xml:space="preserve"> al Sistema Penal Acusatorio</w:t>
      </w:r>
      <w:r w:rsidR="00066D00">
        <w:t xml:space="preserve">. Asimismo, </w:t>
      </w:r>
      <w:r w:rsidR="000754D6" w:rsidRPr="0008195A">
        <w:t>98.9 % correspondió al sistema de justicia para adultos y 1.1 % al sistema de adolescentes</w:t>
      </w:r>
      <w:r w:rsidR="00F00EA7">
        <w:t>.</w:t>
      </w:r>
      <w:r w:rsidR="000754D6" w:rsidRPr="0008195A">
        <w:t xml:space="preserve"> El delito de </w:t>
      </w:r>
      <w:r w:rsidR="000754D6" w:rsidRPr="00DF0D6A">
        <w:rPr>
          <w:i/>
        </w:rPr>
        <w:t>robo</w:t>
      </w:r>
      <w:r w:rsidR="000754D6" w:rsidRPr="0008195A">
        <w:rPr>
          <w:i/>
          <w:iCs/>
        </w:rPr>
        <w:t xml:space="preserve"> </w:t>
      </w:r>
      <w:r w:rsidR="000754D6" w:rsidRPr="0008195A">
        <w:t xml:space="preserve">registró la mayor frecuencia al concentrar 29. 9 % del total nacional. </w:t>
      </w:r>
    </w:p>
    <w:p w14:paraId="75015F39" w14:textId="77777777" w:rsidR="000754D6" w:rsidRDefault="000754D6" w:rsidP="000754D6">
      <w:pPr>
        <w:pStyle w:val="Default"/>
        <w:ind w:right="163"/>
        <w:jc w:val="both"/>
        <w:rPr>
          <w:color w:val="auto"/>
        </w:rPr>
      </w:pPr>
    </w:p>
    <w:p w14:paraId="50AF16AD" w14:textId="662FAC78" w:rsidR="000754D6" w:rsidRDefault="000754D6" w:rsidP="000754D6">
      <w:pPr>
        <w:pStyle w:val="Default"/>
        <w:jc w:val="center"/>
        <w:rPr>
          <w:color w:val="auto"/>
          <w:sz w:val="20"/>
          <w:szCs w:val="20"/>
        </w:rPr>
      </w:pPr>
      <w:r w:rsidRPr="002D00F3">
        <w:rPr>
          <w:color w:val="auto"/>
          <w:sz w:val="20"/>
          <w:szCs w:val="20"/>
        </w:rPr>
        <w:t xml:space="preserve">Gráfica </w:t>
      </w:r>
      <w:r w:rsidR="001B6698">
        <w:rPr>
          <w:color w:val="auto"/>
          <w:sz w:val="20"/>
          <w:szCs w:val="20"/>
        </w:rPr>
        <w:t>2</w:t>
      </w:r>
      <w:r w:rsidR="00F00EA7">
        <w:rPr>
          <w:color w:val="auto"/>
          <w:sz w:val="20"/>
          <w:szCs w:val="20"/>
        </w:rPr>
        <w:t>4</w:t>
      </w:r>
    </w:p>
    <w:p w14:paraId="6805C62F" w14:textId="3B5488DC" w:rsidR="000754D6" w:rsidRPr="002D00F3" w:rsidRDefault="000754D6" w:rsidP="000754D6">
      <w:pPr>
        <w:pStyle w:val="Default"/>
        <w:jc w:val="center"/>
        <w:rPr>
          <w:color w:val="auto"/>
          <w:sz w:val="20"/>
          <w:szCs w:val="20"/>
        </w:rPr>
      </w:pPr>
      <w:r>
        <w:rPr>
          <w:noProof/>
        </w:rPr>
        <w:drawing>
          <wp:anchor distT="0" distB="0" distL="114300" distR="114300" simplePos="0" relativeHeight="251675648" behindDoc="0" locked="0" layoutInCell="1" allowOverlap="1" wp14:anchorId="6EC18625" wp14:editId="11442065">
            <wp:simplePos x="0" y="0"/>
            <wp:positionH relativeFrom="margin">
              <wp:posOffset>6350</wp:posOffset>
            </wp:positionH>
            <wp:positionV relativeFrom="paragraph">
              <wp:posOffset>436880</wp:posOffset>
            </wp:positionV>
            <wp:extent cx="6115685" cy="3035935"/>
            <wp:effectExtent l="0" t="0" r="0" b="0"/>
            <wp:wrapSquare wrapText="bothSides"/>
            <wp:docPr id="60" name="Gráfico 60">
              <a:extLst xmlns:a="http://schemas.openxmlformats.org/drawingml/2006/main">
                <a:ext uri="{FF2B5EF4-FFF2-40B4-BE49-F238E27FC236}">
                  <a16:creationId xmlns:a16="http://schemas.microsoft.com/office/drawing/2014/main" id="{3DA923D1-25A7-4011-B487-F3C0F3E0A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Pr>
          <w:b/>
          <w:bCs/>
          <w:iCs/>
          <w:smallCaps/>
          <w:color w:val="000000" w:themeColor="text1"/>
          <w:sz w:val="22"/>
          <w:szCs w:val="22"/>
        </w:rPr>
        <w:t xml:space="preserve">Principales delitos registrados </w:t>
      </w:r>
      <w:r w:rsidRPr="004B55CD">
        <w:rPr>
          <w:b/>
          <w:bCs/>
          <w:iCs/>
          <w:smallCaps/>
          <w:color w:val="000000" w:themeColor="text1"/>
          <w:sz w:val="22"/>
          <w:szCs w:val="22"/>
        </w:rPr>
        <w:t>e</w:t>
      </w:r>
      <w:r>
        <w:rPr>
          <w:b/>
          <w:bCs/>
          <w:iCs/>
          <w:smallCaps/>
          <w:color w:val="000000" w:themeColor="text1"/>
          <w:sz w:val="22"/>
          <w:szCs w:val="22"/>
        </w:rPr>
        <w:t>n las</w:t>
      </w:r>
      <w:r w:rsidRPr="004B55CD">
        <w:rPr>
          <w:b/>
          <w:bCs/>
          <w:iCs/>
          <w:smallCaps/>
          <w:color w:val="000000" w:themeColor="text1"/>
          <w:sz w:val="22"/>
          <w:szCs w:val="22"/>
        </w:rPr>
        <w:t xml:space="preserve"> averiguaciones previas e investigaciones y carpetas de investigación </w:t>
      </w:r>
      <w:r>
        <w:rPr>
          <w:b/>
          <w:bCs/>
          <w:iCs/>
          <w:smallCaps/>
          <w:color w:val="000000" w:themeColor="text1"/>
          <w:sz w:val="22"/>
          <w:szCs w:val="22"/>
        </w:rPr>
        <w:t>abiertas</w:t>
      </w:r>
      <w:r w:rsidRPr="004B55CD">
        <w:rPr>
          <w:b/>
          <w:bCs/>
          <w:iCs/>
          <w:smallCaps/>
          <w:color w:val="000000" w:themeColor="text1"/>
          <w:sz w:val="22"/>
          <w:szCs w:val="22"/>
        </w:rPr>
        <w:t xml:space="preserve"> por la</w:t>
      </w:r>
      <w:r w:rsidR="00F00EA7">
        <w:rPr>
          <w:b/>
          <w:bCs/>
          <w:iCs/>
          <w:smallCaps/>
          <w:color w:val="000000" w:themeColor="text1"/>
          <w:sz w:val="22"/>
          <w:szCs w:val="22"/>
        </w:rPr>
        <w:t>s</w:t>
      </w:r>
      <w:r w:rsidRPr="004B55CD">
        <w:rPr>
          <w:b/>
          <w:bCs/>
          <w:iCs/>
          <w:smallCaps/>
          <w:color w:val="000000" w:themeColor="text1"/>
          <w:sz w:val="22"/>
          <w:szCs w:val="22"/>
        </w:rPr>
        <w:t xml:space="preserve"> FG</w:t>
      </w:r>
      <w:r>
        <w:rPr>
          <w:b/>
          <w:bCs/>
          <w:iCs/>
          <w:smallCaps/>
          <w:color w:val="000000" w:themeColor="text1"/>
          <w:sz w:val="22"/>
          <w:szCs w:val="22"/>
        </w:rPr>
        <w:t>E</w:t>
      </w:r>
    </w:p>
    <w:p w14:paraId="4090E306" w14:textId="77777777" w:rsidR="000754D6" w:rsidRDefault="000754D6" w:rsidP="000754D6">
      <w:pPr>
        <w:pStyle w:val="Default"/>
        <w:ind w:right="163"/>
        <w:rPr>
          <w:sz w:val="16"/>
          <w:szCs w:val="16"/>
        </w:rPr>
      </w:pPr>
    </w:p>
    <w:p w14:paraId="116230E1" w14:textId="77777777" w:rsidR="000754D6" w:rsidRDefault="000754D6" w:rsidP="000754D6">
      <w:pPr>
        <w:pStyle w:val="Default"/>
        <w:ind w:right="163"/>
        <w:rPr>
          <w:sz w:val="16"/>
          <w:szCs w:val="16"/>
        </w:rPr>
      </w:pPr>
    </w:p>
    <w:p w14:paraId="7EF9D717" w14:textId="3513338B" w:rsidR="000754D6" w:rsidRPr="00183F18" w:rsidRDefault="000754D6" w:rsidP="00183F18">
      <w:pPr>
        <w:pStyle w:val="Default"/>
        <w:ind w:right="163"/>
        <w:jc w:val="both"/>
        <w:rPr>
          <w:color w:val="auto"/>
          <w:sz w:val="16"/>
          <w:szCs w:val="16"/>
        </w:rPr>
      </w:pPr>
      <w:r w:rsidRPr="00183F18">
        <w:rPr>
          <w:color w:val="auto"/>
          <w:sz w:val="16"/>
          <w:szCs w:val="16"/>
        </w:rPr>
        <w:t xml:space="preserve">*Incluye todas las modalidades de </w:t>
      </w:r>
      <w:r w:rsidR="003C1549">
        <w:rPr>
          <w:color w:val="auto"/>
          <w:sz w:val="16"/>
          <w:szCs w:val="16"/>
        </w:rPr>
        <w:t>r</w:t>
      </w:r>
      <w:r w:rsidRPr="00183F18">
        <w:rPr>
          <w:color w:val="auto"/>
          <w:sz w:val="16"/>
          <w:szCs w:val="16"/>
        </w:rPr>
        <w:t>obo.</w:t>
      </w:r>
    </w:p>
    <w:p w14:paraId="51BD85C4" w14:textId="07E394A5" w:rsidR="000754D6" w:rsidRPr="00183F18" w:rsidRDefault="000754D6" w:rsidP="000754D6">
      <w:pPr>
        <w:pStyle w:val="Default"/>
        <w:ind w:right="163"/>
        <w:jc w:val="both"/>
        <w:rPr>
          <w:color w:val="auto"/>
          <w:sz w:val="16"/>
          <w:szCs w:val="16"/>
        </w:rPr>
      </w:pPr>
      <w:r w:rsidRPr="00183F18">
        <w:rPr>
          <w:color w:val="auto"/>
          <w:sz w:val="16"/>
          <w:szCs w:val="16"/>
        </w:rPr>
        <w:t>Nota: Se muestran los diez principales delitos, de acuerdo con la mayor frecuencia de registros en 2021. No se contempla</w:t>
      </w:r>
      <w:r w:rsidR="00D41A40">
        <w:rPr>
          <w:color w:val="auto"/>
          <w:sz w:val="16"/>
          <w:szCs w:val="16"/>
        </w:rPr>
        <w:t>n</w:t>
      </w:r>
      <w:r w:rsidRPr="00183F18">
        <w:rPr>
          <w:color w:val="auto"/>
          <w:sz w:val="16"/>
          <w:szCs w:val="16"/>
        </w:rPr>
        <w:t xml:space="preserve"> los delitos del fuero federal para el sistema de adolescentes, toda vez que el instrumento de captación no contempla la desagregación de delitos por tipo del fuero federal para dicho sistema.</w:t>
      </w:r>
      <w:r w:rsidR="002311A0">
        <w:rPr>
          <w:color w:val="auto"/>
          <w:sz w:val="16"/>
          <w:szCs w:val="16"/>
        </w:rPr>
        <w:t xml:space="preserve"> Para las entidades Ciudad de México, Morelos, México y Tamaulipas, las cifras son de carácter preliminar.</w:t>
      </w:r>
    </w:p>
    <w:p w14:paraId="005A997E" w14:textId="77777777" w:rsidR="000754D6" w:rsidRDefault="000754D6" w:rsidP="000754D6">
      <w:pPr>
        <w:spacing w:before="46" w:after="0" w:line="276" w:lineRule="auto"/>
        <w:ind w:right="601"/>
        <w:jc w:val="both"/>
        <w:rPr>
          <w:rFonts w:ascii="Arial" w:hAnsi="Arial" w:cs="Arial"/>
          <w:sz w:val="24"/>
          <w:szCs w:val="24"/>
        </w:rPr>
      </w:pPr>
      <w:r>
        <w:br w:type="page"/>
      </w:r>
    </w:p>
    <w:p w14:paraId="47A80DD5" w14:textId="609DCEFE" w:rsidR="00495600" w:rsidRDefault="00495600" w:rsidP="00495600">
      <w:pPr>
        <w:pStyle w:val="Default"/>
        <w:ind w:right="163"/>
        <w:jc w:val="both"/>
        <w:rPr>
          <w:color w:val="auto"/>
        </w:rPr>
      </w:pPr>
      <w:r w:rsidRPr="006425F2">
        <w:rPr>
          <w:color w:val="auto"/>
        </w:rPr>
        <w:lastRenderedPageBreak/>
        <w:t>Según la forma de acción de los delitos registrados en las averiguaciones previas iniciadas, investigaciones y carpetas de investigación abiertas</w:t>
      </w:r>
      <w:r>
        <w:rPr>
          <w:color w:val="auto"/>
        </w:rPr>
        <w:t xml:space="preserve"> </w:t>
      </w:r>
      <w:r w:rsidR="00F00EA7">
        <w:rPr>
          <w:color w:val="auto"/>
        </w:rPr>
        <w:t>por</w:t>
      </w:r>
      <w:r>
        <w:rPr>
          <w:color w:val="auto"/>
        </w:rPr>
        <w:t xml:space="preserve"> las FGE</w:t>
      </w:r>
      <w:r w:rsidRPr="006425F2">
        <w:rPr>
          <w:color w:val="auto"/>
        </w:rPr>
        <w:t xml:space="preserve">, </w:t>
      </w:r>
      <w:r w:rsidR="00102BB3">
        <w:rPr>
          <w:color w:val="auto"/>
        </w:rPr>
        <w:t>41.8 % (</w:t>
      </w:r>
      <w:r w:rsidRPr="006425F2">
        <w:rPr>
          <w:color w:val="auto"/>
        </w:rPr>
        <w:t>849 034</w:t>
      </w:r>
      <w:r w:rsidR="00102BB3">
        <w:rPr>
          <w:color w:val="auto"/>
        </w:rPr>
        <w:t>)</w:t>
      </w:r>
      <w:r w:rsidRPr="006425F2">
        <w:rPr>
          <w:color w:val="auto"/>
        </w:rPr>
        <w:t xml:space="preserve"> </w:t>
      </w:r>
      <w:r w:rsidR="005A02B8">
        <w:rPr>
          <w:color w:val="auto"/>
        </w:rPr>
        <w:t xml:space="preserve">se cometió </w:t>
      </w:r>
      <w:r w:rsidRPr="00DF0D6A">
        <w:rPr>
          <w:i/>
          <w:color w:val="auto"/>
        </w:rPr>
        <w:t>con violencia</w:t>
      </w:r>
      <w:r w:rsidRPr="006425F2">
        <w:rPr>
          <w:color w:val="auto"/>
        </w:rPr>
        <w:t xml:space="preserve">, </w:t>
      </w:r>
      <w:r w:rsidR="00102BB3">
        <w:rPr>
          <w:color w:val="auto"/>
        </w:rPr>
        <w:t>55.6 % (</w:t>
      </w:r>
      <w:r w:rsidRPr="006425F2">
        <w:rPr>
          <w:color w:val="auto"/>
        </w:rPr>
        <w:t>1 027 093</w:t>
      </w:r>
      <w:r w:rsidR="00102BB3">
        <w:rPr>
          <w:color w:val="auto"/>
        </w:rPr>
        <w:t>)</w:t>
      </w:r>
      <w:r w:rsidR="005A02B8">
        <w:rPr>
          <w:color w:val="auto"/>
        </w:rPr>
        <w:t>,</w:t>
      </w:r>
      <w:r w:rsidRPr="006425F2">
        <w:rPr>
          <w:color w:val="auto"/>
        </w:rPr>
        <w:t xml:space="preserve"> </w:t>
      </w:r>
      <w:r w:rsidRPr="00DF0D6A">
        <w:rPr>
          <w:i/>
          <w:color w:val="auto"/>
        </w:rPr>
        <w:t>sin violencia</w:t>
      </w:r>
      <w:r w:rsidRPr="006425F2">
        <w:rPr>
          <w:color w:val="auto"/>
        </w:rPr>
        <w:t xml:space="preserve"> y </w:t>
      </w:r>
      <w:r w:rsidR="00102BB3">
        <w:rPr>
          <w:color w:val="auto"/>
        </w:rPr>
        <w:t>para 7.7</w:t>
      </w:r>
      <w:r w:rsidR="005A02B8">
        <w:rPr>
          <w:color w:val="auto"/>
        </w:rPr>
        <w:t xml:space="preserve"> </w:t>
      </w:r>
      <w:r w:rsidR="00102BB3">
        <w:rPr>
          <w:color w:val="auto"/>
        </w:rPr>
        <w:t>%</w:t>
      </w:r>
      <w:r w:rsidRPr="006425F2">
        <w:rPr>
          <w:color w:val="auto"/>
        </w:rPr>
        <w:t xml:space="preserve"> </w:t>
      </w:r>
      <w:r w:rsidR="00102BB3">
        <w:rPr>
          <w:color w:val="auto"/>
        </w:rPr>
        <w:t>(</w:t>
      </w:r>
      <w:r w:rsidRPr="006425F2">
        <w:rPr>
          <w:color w:val="auto"/>
        </w:rPr>
        <w:t>155 513</w:t>
      </w:r>
      <w:r w:rsidR="00102BB3">
        <w:rPr>
          <w:color w:val="auto"/>
        </w:rPr>
        <w:t>)</w:t>
      </w:r>
      <w:r w:rsidRPr="006425F2">
        <w:rPr>
          <w:color w:val="auto"/>
        </w:rPr>
        <w:t xml:space="preserve"> </w:t>
      </w:r>
      <w:r w:rsidRPr="00DF0D6A">
        <w:rPr>
          <w:i/>
          <w:color w:val="auto"/>
        </w:rPr>
        <w:t>no se identificó</w:t>
      </w:r>
      <w:r w:rsidRPr="006425F2">
        <w:rPr>
          <w:color w:val="auto"/>
        </w:rPr>
        <w:t xml:space="preserve"> la forma de acción. Destaca que </w:t>
      </w:r>
      <w:r w:rsidRPr="00DF0D6A">
        <w:rPr>
          <w:i/>
          <w:color w:val="auto"/>
        </w:rPr>
        <w:t>violencia familiar</w:t>
      </w:r>
      <w:r w:rsidRPr="006425F2">
        <w:rPr>
          <w:color w:val="auto"/>
        </w:rPr>
        <w:t xml:space="preserve"> y</w:t>
      </w:r>
      <w:r w:rsidRPr="00DF0D6A">
        <w:rPr>
          <w:i/>
          <w:color w:val="auto"/>
        </w:rPr>
        <w:t xml:space="preserve"> lesiones</w:t>
      </w:r>
      <w:r w:rsidRPr="006425F2">
        <w:rPr>
          <w:color w:val="auto"/>
        </w:rPr>
        <w:t xml:space="preserve"> fueron los delitos</w:t>
      </w:r>
      <w:r w:rsidR="00102BB3">
        <w:rPr>
          <w:color w:val="auto"/>
        </w:rPr>
        <w:t xml:space="preserve"> registrados</w:t>
      </w:r>
      <w:r w:rsidRPr="006425F2">
        <w:rPr>
          <w:color w:val="auto"/>
        </w:rPr>
        <w:t xml:space="preserve"> que</w:t>
      </w:r>
      <w:r w:rsidR="005A02B8">
        <w:rPr>
          <w:color w:val="auto"/>
        </w:rPr>
        <w:t>, con mayor frecuencia,</w:t>
      </w:r>
      <w:r w:rsidRPr="006425F2">
        <w:rPr>
          <w:color w:val="auto"/>
        </w:rPr>
        <w:t xml:space="preserve"> </w:t>
      </w:r>
      <w:r w:rsidR="00F00EA7" w:rsidRPr="006425F2">
        <w:rPr>
          <w:color w:val="auto"/>
        </w:rPr>
        <w:t xml:space="preserve">se ejecutaron </w:t>
      </w:r>
      <w:r w:rsidR="005A02B8">
        <w:rPr>
          <w:color w:val="auto"/>
        </w:rPr>
        <w:t xml:space="preserve">de manera violenta. </w:t>
      </w:r>
    </w:p>
    <w:p w14:paraId="1527736E" w14:textId="77777777" w:rsidR="00495600" w:rsidRDefault="00495600" w:rsidP="00495600">
      <w:pPr>
        <w:pStyle w:val="Default"/>
        <w:ind w:right="163"/>
        <w:jc w:val="both"/>
        <w:rPr>
          <w:color w:val="auto"/>
        </w:rPr>
      </w:pPr>
    </w:p>
    <w:p w14:paraId="25840EA4" w14:textId="63891F9F" w:rsidR="00495600" w:rsidRDefault="00495600" w:rsidP="00E011CA">
      <w:pPr>
        <w:spacing w:before="46" w:after="0" w:line="276" w:lineRule="auto"/>
        <w:ind w:left="567" w:right="163" w:hanging="28"/>
        <w:jc w:val="center"/>
        <w:rPr>
          <w:rFonts w:ascii="Arial" w:hAnsi="Arial" w:cs="Arial"/>
          <w:bCs/>
          <w:iCs/>
          <w:color w:val="000000" w:themeColor="text1"/>
          <w:sz w:val="20"/>
          <w:szCs w:val="20"/>
        </w:rPr>
      </w:pPr>
      <w:r w:rsidRPr="008B40D3">
        <w:rPr>
          <w:rFonts w:ascii="Arial" w:hAnsi="Arial" w:cs="Arial"/>
          <w:bCs/>
          <w:iCs/>
          <w:color w:val="000000" w:themeColor="text1"/>
          <w:sz w:val="20"/>
          <w:szCs w:val="20"/>
        </w:rPr>
        <w:t>Tabla</w:t>
      </w:r>
      <w:r w:rsidR="00F77453">
        <w:rPr>
          <w:rFonts w:ascii="Arial" w:hAnsi="Arial" w:cs="Arial"/>
          <w:bCs/>
          <w:iCs/>
          <w:color w:val="000000" w:themeColor="text1"/>
          <w:sz w:val="20"/>
          <w:szCs w:val="20"/>
        </w:rPr>
        <w:t xml:space="preserve"> </w:t>
      </w:r>
      <w:r w:rsidR="00F00EA7">
        <w:rPr>
          <w:rFonts w:ascii="Arial" w:hAnsi="Arial" w:cs="Arial"/>
          <w:bCs/>
          <w:iCs/>
          <w:color w:val="000000" w:themeColor="text1"/>
          <w:sz w:val="20"/>
          <w:szCs w:val="20"/>
        </w:rPr>
        <w:t>5</w:t>
      </w:r>
    </w:p>
    <w:p w14:paraId="56326E96" w14:textId="77777777" w:rsidR="00495600" w:rsidRPr="0039335E" w:rsidRDefault="00495600" w:rsidP="00E011CA">
      <w:pPr>
        <w:spacing w:after="0" w:line="276" w:lineRule="auto"/>
        <w:ind w:left="567" w:right="164" w:hanging="28"/>
        <w:rPr>
          <w:rFonts w:ascii="Arial" w:hAnsi="Arial" w:cs="Arial"/>
          <w:b/>
          <w:bCs/>
          <w:iCs/>
          <w:smallCaps/>
          <w:color w:val="000000" w:themeColor="text1"/>
        </w:rPr>
      </w:pPr>
      <w:r w:rsidRPr="0039335E">
        <w:rPr>
          <w:rFonts w:ascii="Arial" w:hAnsi="Arial" w:cs="Arial"/>
          <w:b/>
          <w:bCs/>
          <w:iCs/>
          <w:smallCaps/>
          <w:color w:val="000000" w:themeColor="text1"/>
        </w:rPr>
        <w:t>Principales delitos registrados en las averiguaciones previas, investigaciones y</w:t>
      </w:r>
    </w:p>
    <w:p w14:paraId="67C9557E" w14:textId="708560BA" w:rsidR="00495600" w:rsidRPr="0039335E" w:rsidRDefault="00495600" w:rsidP="00E011CA">
      <w:pPr>
        <w:spacing w:after="0" w:line="276" w:lineRule="auto"/>
        <w:ind w:left="567" w:right="164" w:hanging="28"/>
        <w:rPr>
          <w:rFonts w:ascii="Arial" w:hAnsi="Arial" w:cs="Arial"/>
          <w:b/>
          <w:bCs/>
          <w:iCs/>
          <w:smallCaps/>
          <w:color w:val="000000" w:themeColor="text1"/>
        </w:rPr>
      </w:pPr>
      <w:r w:rsidRPr="0039335E">
        <w:rPr>
          <w:rFonts w:ascii="Arial" w:hAnsi="Arial" w:cs="Arial"/>
          <w:b/>
          <w:bCs/>
          <w:iCs/>
          <w:smallCaps/>
          <w:color w:val="000000" w:themeColor="text1"/>
        </w:rPr>
        <w:t xml:space="preserve">carpetas de investigación abiertas </w:t>
      </w:r>
      <w:r w:rsidR="00F00EA7">
        <w:rPr>
          <w:rFonts w:ascii="Arial" w:hAnsi="Arial" w:cs="Arial"/>
          <w:b/>
          <w:bCs/>
          <w:iCs/>
          <w:smallCaps/>
          <w:color w:val="000000" w:themeColor="text1"/>
        </w:rPr>
        <w:t>por</w:t>
      </w:r>
      <w:r w:rsidRPr="0039335E">
        <w:rPr>
          <w:rFonts w:ascii="Arial" w:hAnsi="Arial" w:cs="Arial"/>
          <w:b/>
          <w:bCs/>
          <w:iCs/>
          <w:smallCaps/>
          <w:color w:val="000000" w:themeColor="text1"/>
        </w:rPr>
        <w:t xml:space="preserve"> las FGE</w:t>
      </w:r>
      <w:r w:rsidR="00F00EA7">
        <w:rPr>
          <w:rFonts w:ascii="Arial" w:hAnsi="Arial" w:cs="Arial"/>
          <w:b/>
          <w:bCs/>
          <w:iCs/>
          <w:smallCaps/>
          <w:color w:val="000000" w:themeColor="text1"/>
        </w:rPr>
        <w:t>,</w:t>
      </w:r>
      <w:r w:rsidRPr="0039335E">
        <w:rPr>
          <w:rFonts w:ascii="Arial" w:hAnsi="Arial" w:cs="Arial"/>
          <w:b/>
          <w:bCs/>
          <w:iCs/>
          <w:smallCaps/>
          <w:color w:val="000000" w:themeColor="text1"/>
        </w:rPr>
        <w:t xml:space="preserve"> según tipo y forma de acción, 2021</w:t>
      </w:r>
    </w:p>
    <w:p w14:paraId="31E1BD48" w14:textId="77777777" w:rsidR="00495600" w:rsidRDefault="00495600" w:rsidP="00495600">
      <w:pPr>
        <w:spacing w:before="46" w:after="0" w:line="276" w:lineRule="auto"/>
        <w:ind w:left="567" w:right="163" w:hanging="28"/>
        <w:jc w:val="center"/>
        <w:rPr>
          <w:rFonts w:ascii="Arial" w:hAnsi="Arial" w:cs="Arial"/>
          <w:b/>
          <w:bCs/>
          <w:iCs/>
          <w:smallCaps/>
          <w:color w:val="000000" w:themeColor="text1"/>
        </w:rPr>
      </w:pPr>
    </w:p>
    <w:tbl>
      <w:tblPr>
        <w:tblW w:w="9351" w:type="dxa"/>
        <w:jc w:val="center"/>
        <w:tblCellMar>
          <w:left w:w="70" w:type="dxa"/>
          <w:right w:w="70" w:type="dxa"/>
        </w:tblCellMar>
        <w:tblLook w:val="04A0" w:firstRow="1" w:lastRow="0" w:firstColumn="1" w:lastColumn="0" w:noHBand="0" w:noVBand="1"/>
      </w:tblPr>
      <w:tblGrid>
        <w:gridCol w:w="2689"/>
        <w:gridCol w:w="1134"/>
        <w:gridCol w:w="1275"/>
        <w:gridCol w:w="1209"/>
        <w:gridCol w:w="1537"/>
        <w:gridCol w:w="1507"/>
      </w:tblGrid>
      <w:tr w:rsidR="00495600" w:rsidRPr="0039335E" w14:paraId="5AF8FBC2" w14:textId="77777777" w:rsidTr="00F77453">
        <w:trPr>
          <w:trHeight w:val="367"/>
          <w:jc w:val="center"/>
        </w:trPr>
        <w:tc>
          <w:tcPr>
            <w:tcW w:w="2689" w:type="dxa"/>
            <w:tcBorders>
              <w:top w:val="single" w:sz="4" w:space="0" w:color="FFFFFF"/>
              <w:left w:val="single" w:sz="4" w:space="0" w:color="FFFFFF"/>
              <w:bottom w:val="single" w:sz="4" w:space="0" w:color="FFFFFF"/>
              <w:right w:val="single" w:sz="4" w:space="0" w:color="FFFFFF"/>
            </w:tcBorders>
            <w:shd w:val="clear" w:color="auto" w:fill="285072"/>
            <w:vAlign w:val="center"/>
            <w:hideMark/>
          </w:tcPr>
          <w:p w14:paraId="3C274C52" w14:textId="77777777" w:rsidR="00495600" w:rsidRPr="0039335E" w:rsidRDefault="00495600" w:rsidP="00773F93">
            <w:pPr>
              <w:spacing w:after="0" w:line="240" w:lineRule="auto"/>
              <w:jc w:val="center"/>
              <w:rPr>
                <w:rFonts w:ascii="Arial" w:eastAsia="Times New Roman" w:hAnsi="Arial" w:cs="Arial"/>
                <w:color w:val="FFFFFF"/>
                <w:sz w:val="18"/>
                <w:szCs w:val="18"/>
                <w:lang w:eastAsia="es-MX"/>
              </w:rPr>
            </w:pPr>
            <w:r w:rsidRPr="0039335E">
              <w:rPr>
                <w:rFonts w:ascii="Arial" w:eastAsia="Times New Roman" w:hAnsi="Arial" w:cs="Arial"/>
                <w:color w:val="FFFFFF"/>
                <w:sz w:val="18"/>
                <w:szCs w:val="18"/>
                <w:lang w:eastAsia="es-MX"/>
              </w:rPr>
              <w:t>Tipo de delito</w:t>
            </w:r>
          </w:p>
        </w:tc>
        <w:tc>
          <w:tcPr>
            <w:tcW w:w="1134" w:type="dxa"/>
            <w:tcBorders>
              <w:top w:val="single" w:sz="4" w:space="0" w:color="FFFFFF"/>
              <w:left w:val="nil"/>
              <w:bottom w:val="single" w:sz="4" w:space="0" w:color="FFFFFF"/>
              <w:right w:val="single" w:sz="4" w:space="0" w:color="FFFFFF"/>
            </w:tcBorders>
            <w:shd w:val="clear" w:color="auto" w:fill="285072"/>
            <w:noWrap/>
            <w:vAlign w:val="center"/>
            <w:hideMark/>
          </w:tcPr>
          <w:p w14:paraId="4AA7C579" w14:textId="77777777" w:rsidR="00495600" w:rsidRPr="0039335E" w:rsidRDefault="00495600" w:rsidP="00773F93">
            <w:pPr>
              <w:spacing w:after="0" w:line="240" w:lineRule="auto"/>
              <w:jc w:val="center"/>
              <w:rPr>
                <w:rFonts w:ascii="Arial" w:eastAsia="Times New Roman" w:hAnsi="Arial" w:cs="Arial"/>
                <w:color w:val="FFFFFF"/>
                <w:sz w:val="18"/>
                <w:szCs w:val="18"/>
                <w:lang w:eastAsia="es-MX"/>
              </w:rPr>
            </w:pPr>
            <w:r w:rsidRPr="0039335E">
              <w:rPr>
                <w:rFonts w:ascii="Arial" w:eastAsia="Times New Roman" w:hAnsi="Arial" w:cs="Arial"/>
                <w:color w:val="FFFFFF"/>
                <w:sz w:val="18"/>
                <w:szCs w:val="18"/>
                <w:lang w:eastAsia="es-MX"/>
              </w:rPr>
              <w:t>Total</w:t>
            </w:r>
          </w:p>
        </w:tc>
        <w:tc>
          <w:tcPr>
            <w:tcW w:w="1275" w:type="dxa"/>
            <w:tcBorders>
              <w:top w:val="single" w:sz="4" w:space="0" w:color="FFFFFF"/>
              <w:left w:val="nil"/>
              <w:bottom w:val="single" w:sz="4" w:space="0" w:color="FFFFFF"/>
              <w:right w:val="single" w:sz="4" w:space="0" w:color="FFFFFF"/>
            </w:tcBorders>
            <w:shd w:val="clear" w:color="auto" w:fill="285072"/>
            <w:vAlign w:val="center"/>
            <w:hideMark/>
          </w:tcPr>
          <w:p w14:paraId="214F8B13" w14:textId="77777777" w:rsidR="00495600" w:rsidRPr="0039335E" w:rsidRDefault="00495600" w:rsidP="00773F93">
            <w:pPr>
              <w:spacing w:after="0" w:line="240" w:lineRule="auto"/>
              <w:jc w:val="center"/>
              <w:rPr>
                <w:rFonts w:ascii="Arial" w:eastAsia="Times New Roman" w:hAnsi="Arial" w:cs="Arial"/>
                <w:color w:val="FFFFFF"/>
                <w:sz w:val="18"/>
                <w:szCs w:val="18"/>
                <w:lang w:eastAsia="es-MX"/>
              </w:rPr>
            </w:pPr>
            <w:r w:rsidRPr="0039335E">
              <w:rPr>
                <w:rFonts w:ascii="Arial" w:eastAsia="Times New Roman" w:hAnsi="Arial" w:cs="Arial"/>
                <w:color w:val="FFFFFF"/>
                <w:sz w:val="18"/>
                <w:szCs w:val="18"/>
                <w:lang w:eastAsia="es-MX"/>
              </w:rPr>
              <w:t>Con violencia</w:t>
            </w:r>
          </w:p>
        </w:tc>
        <w:tc>
          <w:tcPr>
            <w:tcW w:w="1209" w:type="dxa"/>
            <w:tcBorders>
              <w:top w:val="single" w:sz="4" w:space="0" w:color="FFFFFF"/>
              <w:left w:val="nil"/>
              <w:bottom w:val="single" w:sz="4" w:space="0" w:color="FFFFFF"/>
              <w:right w:val="single" w:sz="4" w:space="0" w:color="FFFFFF"/>
            </w:tcBorders>
            <w:shd w:val="clear" w:color="auto" w:fill="285072"/>
            <w:vAlign w:val="center"/>
            <w:hideMark/>
          </w:tcPr>
          <w:p w14:paraId="039722C2" w14:textId="77777777" w:rsidR="00495600" w:rsidRPr="0039335E" w:rsidRDefault="00495600" w:rsidP="00773F93">
            <w:pPr>
              <w:spacing w:after="0" w:line="240" w:lineRule="auto"/>
              <w:jc w:val="center"/>
              <w:rPr>
                <w:rFonts w:ascii="Arial" w:eastAsia="Times New Roman" w:hAnsi="Arial" w:cs="Arial"/>
                <w:color w:val="FFFFFF"/>
                <w:sz w:val="18"/>
                <w:szCs w:val="18"/>
                <w:lang w:eastAsia="es-MX"/>
              </w:rPr>
            </w:pPr>
            <w:r w:rsidRPr="0039335E">
              <w:rPr>
                <w:rFonts w:ascii="Arial" w:eastAsia="Times New Roman" w:hAnsi="Arial" w:cs="Arial"/>
                <w:color w:val="FFFFFF"/>
                <w:sz w:val="18"/>
                <w:szCs w:val="18"/>
                <w:lang w:eastAsia="es-MX"/>
              </w:rPr>
              <w:t>Sin violencia</w:t>
            </w:r>
          </w:p>
        </w:tc>
        <w:tc>
          <w:tcPr>
            <w:tcW w:w="1537" w:type="dxa"/>
            <w:tcBorders>
              <w:top w:val="single" w:sz="4" w:space="0" w:color="FFFFFF"/>
              <w:left w:val="nil"/>
              <w:bottom w:val="single" w:sz="4" w:space="0" w:color="FFFFFF"/>
              <w:right w:val="single" w:sz="4" w:space="0" w:color="FFFFFF"/>
            </w:tcBorders>
            <w:shd w:val="clear" w:color="auto" w:fill="285072"/>
            <w:vAlign w:val="center"/>
            <w:hideMark/>
          </w:tcPr>
          <w:p w14:paraId="581D318F" w14:textId="77777777" w:rsidR="00495600" w:rsidRPr="0039335E" w:rsidRDefault="00495600" w:rsidP="00773F93">
            <w:pPr>
              <w:spacing w:after="0" w:line="240" w:lineRule="auto"/>
              <w:jc w:val="center"/>
              <w:rPr>
                <w:rFonts w:ascii="Arial" w:eastAsia="Times New Roman" w:hAnsi="Arial" w:cs="Arial"/>
                <w:color w:val="FFFFFF"/>
                <w:sz w:val="18"/>
                <w:szCs w:val="18"/>
                <w:lang w:eastAsia="es-MX"/>
              </w:rPr>
            </w:pPr>
            <w:r w:rsidRPr="0039335E">
              <w:rPr>
                <w:rFonts w:ascii="Arial" w:eastAsia="Times New Roman" w:hAnsi="Arial" w:cs="Arial"/>
                <w:color w:val="FFFFFF"/>
                <w:sz w:val="18"/>
                <w:szCs w:val="18"/>
                <w:lang w:eastAsia="es-MX"/>
              </w:rPr>
              <w:t>No identificado</w:t>
            </w:r>
          </w:p>
        </w:tc>
        <w:tc>
          <w:tcPr>
            <w:tcW w:w="1507" w:type="dxa"/>
            <w:tcBorders>
              <w:top w:val="single" w:sz="4" w:space="0" w:color="FFFFFF"/>
              <w:left w:val="nil"/>
              <w:bottom w:val="single" w:sz="4" w:space="0" w:color="FFFFFF"/>
              <w:right w:val="single" w:sz="4" w:space="0" w:color="FFFFFF"/>
            </w:tcBorders>
            <w:shd w:val="clear" w:color="auto" w:fill="285072"/>
            <w:vAlign w:val="center"/>
            <w:hideMark/>
          </w:tcPr>
          <w:p w14:paraId="730326EB" w14:textId="780E3ECB" w:rsidR="00495600" w:rsidRPr="0039335E" w:rsidRDefault="00495600" w:rsidP="00773F93">
            <w:pPr>
              <w:spacing w:after="0" w:line="240" w:lineRule="auto"/>
              <w:jc w:val="center"/>
              <w:rPr>
                <w:rFonts w:ascii="Arial" w:eastAsia="Times New Roman" w:hAnsi="Arial" w:cs="Arial"/>
                <w:color w:val="FFFFFF"/>
                <w:sz w:val="18"/>
                <w:szCs w:val="18"/>
                <w:lang w:eastAsia="es-MX"/>
              </w:rPr>
            </w:pPr>
            <w:r w:rsidRPr="0039335E">
              <w:rPr>
                <w:rFonts w:ascii="Arial" w:eastAsia="Times New Roman" w:hAnsi="Arial" w:cs="Arial"/>
                <w:color w:val="FFFFFF"/>
                <w:sz w:val="18"/>
                <w:szCs w:val="18"/>
                <w:lang w:eastAsia="es-MX"/>
              </w:rPr>
              <w:t xml:space="preserve">No </w:t>
            </w:r>
            <w:r w:rsidR="001B16B1">
              <w:rPr>
                <w:rFonts w:ascii="Arial" w:eastAsia="Times New Roman" w:hAnsi="Arial" w:cs="Arial"/>
                <w:color w:val="FFFFFF"/>
                <w:sz w:val="18"/>
                <w:szCs w:val="18"/>
                <w:lang w:eastAsia="es-MX"/>
              </w:rPr>
              <w:t>e</w:t>
            </w:r>
            <w:r w:rsidRPr="0039335E">
              <w:rPr>
                <w:rFonts w:ascii="Arial" w:eastAsia="Times New Roman" w:hAnsi="Arial" w:cs="Arial"/>
                <w:color w:val="FFFFFF"/>
                <w:sz w:val="18"/>
                <w:szCs w:val="18"/>
                <w:lang w:eastAsia="es-MX"/>
              </w:rPr>
              <w:t>specificado</w:t>
            </w:r>
          </w:p>
        </w:tc>
      </w:tr>
      <w:tr w:rsidR="00495600" w:rsidRPr="0039335E" w14:paraId="14936269" w14:textId="77777777" w:rsidTr="00F77453">
        <w:trPr>
          <w:trHeight w:val="163"/>
          <w:jc w:val="center"/>
        </w:trPr>
        <w:tc>
          <w:tcPr>
            <w:tcW w:w="2689" w:type="dxa"/>
            <w:tcBorders>
              <w:top w:val="nil"/>
              <w:left w:val="single" w:sz="4" w:space="0" w:color="FFFFFF"/>
              <w:bottom w:val="single" w:sz="4" w:space="0" w:color="FFFFFF"/>
              <w:right w:val="single" w:sz="4" w:space="0" w:color="FFFFFF"/>
            </w:tcBorders>
            <w:shd w:val="clear" w:color="auto" w:fill="auto"/>
            <w:noWrap/>
            <w:vAlign w:val="center"/>
            <w:hideMark/>
          </w:tcPr>
          <w:p w14:paraId="1CDF1B05" w14:textId="77777777"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Robo</w:t>
            </w:r>
          </w:p>
        </w:tc>
        <w:tc>
          <w:tcPr>
            <w:tcW w:w="1134" w:type="dxa"/>
            <w:tcBorders>
              <w:top w:val="nil"/>
              <w:left w:val="nil"/>
              <w:bottom w:val="single" w:sz="4" w:space="0" w:color="FFFFFF"/>
              <w:right w:val="single" w:sz="4" w:space="0" w:color="FFFFFF"/>
            </w:tcBorders>
            <w:shd w:val="clear" w:color="auto" w:fill="auto"/>
            <w:noWrap/>
            <w:vAlign w:val="center"/>
            <w:hideMark/>
          </w:tcPr>
          <w:p w14:paraId="361C449E"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614 737</w:t>
            </w:r>
          </w:p>
        </w:tc>
        <w:tc>
          <w:tcPr>
            <w:tcW w:w="1275" w:type="dxa"/>
            <w:tcBorders>
              <w:top w:val="nil"/>
              <w:left w:val="nil"/>
              <w:bottom w:val="single" w:sz="4" w:space="0" w:color="FFFFFF"/>
              <w:right w:val="single" w:sz="4" w:space="0" w:color="FFFFFF"/>
            </w:tcBorders>
            <w:shd w:val="clear" w:color="auto" w:fill="auto"/>
            <w:noWrap/>
            <w:vAlign w:val="center"/>
            <w:hideMark/>
          </w:tcPr>
          <w:p w14:paraId="758124E8"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38.9 %</w:t>
            </w:r>
          </w:p>
        </w:tc>
        <w:tc>
          <w:tcPr>
            <w:tcW w:w="1209" w:type="dxa"/>
            <w:tcBorders>
              <w:top w:val="nil"/>
              <w:left w:val="nil"/>
              <w:bottom w:val="single" w:sz="4" w:space="0" w:color="FFFFFF"/>
              <w:right w:val="single" w:sz="4" w:space="0" w:color="FFFFFF"/>
            </w:tcBorders>
            <w:shd w:val="clear" w:color="auto" w:fill="auto"/>
            <w:noWrap/>
            <w:vAlign w:val="center"/>
            <w:hideMark/>
          </w:tcPr>
          <w:p w14:paraId="7671CB5E"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58.1 %</w:t>
            </w:r>
          </w:p>
        </w:tc>
        <w:tc>
          <w:tcPr>
            <w:tcW w:w="1537" w:type="dxa"/>
            <w:tcBorders>
              <w:top w:val="nil"/>
              <w:left w:val="nil"/>
              <w:bottom w:val="single" w:sz="4" w:space="0" w:color="FFFFFF"/>
              <w:right w:val="single" w:sz="4" w:space="0" w:color="FFFFFF"/>
            </w:tcBorders>
            <w:shd w:val="clear" w:color="auto" w:fill="auto"/>
            <w:noWrap/>
            <w:vAlign w:val="center"/>
            <w:hideMark/>
          </w:tcPr>
          <w:p w14:paraId="0693D55B"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3.0 %</w:t>
            </w:r>
          </w:p>
        </w:tc>
        <w:tc>
          <w:tcPr>
            <w:tcW w:w="1507" w:type="dxa"/>
            <w:tcBorders>
              <w:top w:val="nil"/>
              <w:left w:val="nil"/>
              <w:bottom w:val="single" w:sz="4" w:space="0" w:color="FFFFFF"/>
              <w:right w:val="single" w:sz="4" w:space="0" w:color="FFFFFF"/>
            </w:tcBorders>
            <w:shd w:val="clear" w:color="auto" w:fill="auto"/>
            <w:noWrap/>
            <w:vAlign w:val="center"/>
            <w:hideMark/>
          </w:tcPr>
          <w:p w14:paraId="706CAF70"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0.0 %</w:t>
            </w:r>
          </w:p>
        </w:tc>
      </w:tr>
      <w:tr w:rsidR="00495600" w:rsidRPr="0039335E" w14:paraId="7F210676" w14:textId="77777777" w:rsidTr="00F77453">
        <w:trPr>
          <w:trHeight w:val="163"/>
          <w:jc w:val="center"/>
        </w:trPr>
        <w:tc>
          <w:tcPr>
            <w:tcW w:w="2689" w:type="dxa"/>
            <w:tcBorders>
              <w:top w:val="nil"/>
              <w:left w:val="single" w:sz="4" w:space="0" w:color="FFFFFF"/>
              <w:bottom w:val="single" w:sz="4" w:space="0" w:color="FFFFFF"/>
              <w:right w:val="single" w:sz="4" w:space="0" w:color="FFFFFF"/>
            </w:tcBorders>
            <w:shd w:val="clear" w:color="auto" w:fill="auto"/>
            <w:noWrap/>
            <w:vAlign w:val="center"/>
            <w:hideMark/>
          </w:tcPr>
          <w:p w14:paraId="75332065" w14:textId="77777777"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Violencia familiar</w:t>
            </w:r>
          </w:p>
        </w:tc>
        <w:tc>
          <w:tcPr>
            <w:tcW w:w="1134" w:type="dxa"/>
            <w:tcBorders>
              <w:top w:val="nil"/>
              <w:left w:val="nil"/>
              <w:bottom w:val="single" w:sz="4" w:space="0" w:color="FFFFFF"/>
              <w:right w:val="single" w:sz="4" w:space="0" w:color="FFFFFF"/>
            </w:tcBorders>
            <w:shd w:val="clear" w:color="auto" w:fill="auto"/>
            <w:noWrap/>
            <w:vAlign w:val="center"/>
            <w:hideMark/>
          </w:tcPr>
          <w:p w14:paraId="456EC31E"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254 030</w:t>
            </w:r>
          </w:p>
        </w:tc>
        <w:tc>
          <w:tcPr>
            <w:tcW w:w="1275" w:type="dxa"/>
            <w:tcBorders>
              <w:top w:val="nil"/>
              <w:left w:val="nil"/>
              <w:bottom w:val="single" w:sz="4" w:space="0" w:color="FFFFFF"/>
              <w:right w:val="single" w:sz="4" w:space="0" w:color="FFFFFF"/>
            </w:tcBorders>
            <w:shd w:val="clear" w:color="auto" w:fill="auto"/>
            <w:noWrap/>
            <w:vAlign w:val="center"/>
            <w:hideMark/>
          </w:tcPr>
          <w:p w14:paraId="45403CA0"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80.9 %</w:t>
            </w:r>
          </w:p>
        </w:tc>
        <w:tc>
          <w:tcPr>
            <w:tcW w:w="1209" w:type="dxa"/>
            <w:tcBorders>
              <w:top w:val="nil"/>
              <w:left w:val="nil"/>
              <w:bottom w:val="single" w:sz="4" w:space="0" w:color="FFFFFF"/>
              <w:right w:val="single" w:sz="4" w:space="0" w:color="FFFFFF"/>
            </w:tcBorders>
            <w:shd w:val="clear" w:color="auto" w:fill="auto"/>
            <w:noWrap/>
            <w:vAlign w:val="center"/>
            <w:hideMark/>
          </w:tcPr>
          <w:p w14:paraId="4C62A116"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6.6 %</w:t>
            </w:r>
          </w:p>
        </w:tc>
        <w:tc>
          <w:tcPr>
            <w:tcW w:w="1537" w:type="dxa"/>
            <w:tcBorders>
              <w:top w:val="nil"/>
              <w:left w:val="nil"/>
              <w:bottom w:val="single" w:sz="4" w:space="0" w:color="FFFFFF"/>
              <w:right w:val="single" w:sz="4" w:space="0" w:color="FFFFFF"/>
            </w:tcBorders>
            <w:shd w:val="clear" w:color="auto" w:fill="auto"/>
            <w:noWrap/>
            <w:vAlign w:val="center"/>
            <w:hideMark/>
          </w:tcPr>
          <w:p w14:paraId="7ECAB675"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12.5 %</w:t>
            </w:r>
          </w:p>
        </w:tc>
        <w:tc>
          <w:tcPr>
            <w:tcW w:w="1507" w:type="dxa"/>
            <w:tcBorders>
              <w:top w:val="nil"/>
              <w:left w:val="nil"/>
              <w:bottom w:val="single" w:sz="4" w:space="0" w:color="FFFFFF"/>
              <w:right w:val="single" w:sz="4" w:space="0" w:color="FFFFFF"/>
            </w:tcBorders>
            <w:shd w:val="clear" w:color="auto" w:fill="auto"/>
            <w:noWrap/>
            <w:vAlign w:val="center"/>
            <w:hideMark/>
          </w:tcPr>
          <w:p w14:paraId="41C6B52B"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0.0 %</w:t>
            </w:r>
          </w:p>
        </w:tc>
      </w:tr>
      <w:tr w:rsidR="00495600" w:rsidRPr="0039335E" w14:paraId="3765190D" w14:textId="77777777" w:rsidTr="00F77453">
        <w:trPr>
          <w:trHeight w:val="163"/>
          <w:jc w:val="center"/>
        </w:trPr>
        <w:tc>
          <w:tcPr>
            <w:tcW w:w="2689" w:type="dxa"/>
            <w:tcBorders>
              <w:top w:val="nil"/>
              <w:left w:val="single" w:sz="4" w:space="0" w:color="FFFFFF"/>
              <w:bottom w:val="single" w:sz="4" w:space="0" w:color="FFFFFF"/>
              <w:right w:val="single" w:sz="4" w:space="0" w:color="FFFFFF"/>
            </w:tcBorders>
            <w:shd w:val="clear" w:color="auto" w:fill="auto"/>
            <w:noWrap/>
            <w:vAlign w:val="center"/>
            <w:hideMark/>
          </w:tcPr>
          <w:p w14:paraId="3101E6E3" w14:textId="77777777"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Lesiones</w:t>
            </w:r>
          </w:p>
        </w:tc>
        <w:tc>
          <w:tcPr>
            <w:tcW w:w="1134" w:type="dxa"/>
            <w:tcBorders>
              <w:top w:val="nil"/>
              <w:left w:val="nil"/>
              <w:bottom w:val="single" w:sz="4" w:space="0" w:color="FFFFFF"/>
              <w:right w:val="single" w:sz="4" w:space="0" w:color="FFFFFF"/>
            </w:tcBorders>
            <w:shd w:val="clear" w:color="auto" w:fill="auto"/>
            <w:noWrap/>
            <w:vAlign w:val="center"/>
            <w:hideMark/>
          </w:tcPr>
          <w:p w14:paraId="31035C6C"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202 746</w:t>
            </w:r>
          </w:p>
        </w:tc>
        <w:tc>
          <w:tcPr>
            <w:tcW w:w="1275" w:type="dxa"/>
            <w:tcBorders>
              <w:top w:val="nil"/>
              <w:left w:val="nil"/>
              <w:bottom w:val="single" w:sz="4" w:space="0" w:color="FFFFFF"/>
              <w:right w:val="single" w:sz="4" w:space="0" w:color="FFFFFF"/>
            </w:tcBorders>
            <w:shd w:val="clear" w:color="auto" w:fill="auto"/>
            <w:noWrap/>
            <w:vAlign w:val="center"/>
            <w:hideMark/>
          </w:tcPr>
          <w:p w14:paraId="68FD596C"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72.6 %</w:t>
            </w:r>
          </w:p>
        </w:tc>
        <w:tc>
          <w:tcPr>
            <w:tcW w:w="1209" w:type="dxa"/>
            <w:tcBorders>
              <w:top w:val="nil"/>
              <w:left w:val="nil"/>
              <w:bottom w:val="single" w:sz="4" w:space="0" w:color="FFFFFF"/>
              <w:right w:val="single" w:sz="4" w:space="0" w:color="FFFFFF"/>
            </w:tcBorders>
            <w:shd w:val="clear" w:color="auto" w:fill="auto"/>
            <w:noWrap/>
            <w:vAlign w:val="center"/>
            <w:hideMark/>
          </w:tcPr>
          <w:p w14:paraId="5A5C7B4B"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20.6 %</w:t>
            </w:r>
          </w:p>
        </w:tc>
        <w:tc>
          <w:tcPr>
            <w:tcW w:w="1537" w:type="dxa"/>
            <w:tcBorders>
              <w:top w:val="nil"/>
              <w:left w:val="nil"/>
              <w:bottom w:val="single" w:sz="4" w:space="0" w:color="FFFFFF"/>
              <w:right w:val="single" w:sz="4" w:space="0" w:color="FFFFFF"/>
            </w:tcBorders>
            <w:shd w:val="clear" w:color="auto" w:fill="auto"/>
            <w:noWrap/>
            <w:vAlign w:val="center"/>
            <w:hideMark/>
          </w:tcPr>
          <w:p w14:paraId="28F2DE24"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5.2 %</w:t>
            </w:r>
          </w:p>
        </w:tc>
        <w:tc>
          <w:tcPr>
            <w:tcW w:w="1507" w:type="dxa"/>
            <w:tcBorders>
              <w:top w:val="nil"/>
              <w:left w:val="nil"/>
              <w:bottom w:val="single" w:sz="4" w:space="0" w:color="FFFFFF"/>
              <w:right w:val="single" w:sz="4" w:space="0" w:color="FFFFFF"/>
            </w:tcBorders>
            <w:shd w:val="clear" w:color="auto" w:fill="auto"/>
            <w:noWrap/>
            <w:vAlign w:val="center"/>
            <w:hideMark/>
          </w:tcPr>
          <w:p w14:paraId="0840C227"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1.5 %</w:t>
            </w:r>
          </w:p>
        </w:tc>
      </w:tr>
      <w:tr w:rsidR="00495600" w:rsidRPr="0039335E" w14:paraId="42538206" w14:textId="77777777" w:rsidTr="00F77453">
        <w:trPr>
          <w:trHeight w:val="163"/>
          <w:jc w:val="center"/>
        </w:trPr>
        <w:tc>
          <w:tcPr>
            <w:tcW w:w="2689" w:type="dxa"/>
            <w:tcBorders>
              <w:top w:val="nil"/>
              <w:left w:val="single" w:sz="4" w:space="0" w:color="FFFFFF"/>
              <w:bottom w:val="single" w:sz="4" w:space="0" w:color="FFFFFF"/>
              <w:right w:val="single" w:sz="4" w:space="0" w:color="FFFFFF"/>
            </w:tcBorders>
            <w:shd w:val="clear" w:color="auto" w:fill="auto"/>
            <w:noWrap/>
            <w:vAlign w:val="center"/>
            <w:hideMark/>
          </w:tcPr>
          <w:p w14:paraId="3C7EDB1E" w14:textId="77777777"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Daño a la propiedad</w:t>
            </w:r>
          </w:p>
        </w:tc>
        <w:tc>
          <w:tcPr>
            <w:tcW w:w="1134" w:type="dxa"/>
            <w:tcBorders>
              <w:top w:val="nil"/>
              <w:left w:val="nil"/>
              <w:bottom w:val="single" w:sz="4" w:space="0" w:color="FFFFFF"/>
              <w:right w:val="single" w:sz="4" w:space="0" w:color="FFFFFF"/>
            </w:tcBorders>
            <w:shd w:val="clear" w:color="auto" w:fill="auto"/>
            <w:noWrap/>
            <w:vAlign w:val="center"/>
            <w:hideMark/>
          </w:tcPr>
          <w:p w14:paraId="69A8EE1B"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136 904</w:t>
            </w:r>
          </w:p>
        </w:tc>
        <w:tc>
          <w:tcPr>
            <w:tcW w:w="1275" w:type="dxa"/>
            <w:tcBorders>
              <w:top w:val="nil"/>
              <w:left w:val="nil"/>
              <w:bottom w:val="single" w:sz="4" w:space="0" w:color="FFFFFF"/>
              <w:right w:val="single" w:sz="4" w:space="0" w:color="FFFFFF"/>
            </w:tcBorders>
            <w:shd w:val="clear" w:color="auto" w:fill="auto"/>
            <w:noWrap/>
            <w:vAlign w:val="center"/>
            <w:hideMark/>
          </w:tcPr>
          <w:p w14:paraId="10C36458"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15.8 %</w:t>
            </w:r>
          </w:p>
        </w:tc>
        <w:tc>
          <w:tcPr>
            <w:tcW w:w="1209" w:type="dxa"/>
            <w:tcBorders>
              <w:top w:val="nil"/>
              <w:left w:val="nil"/>
              <w:bottom w:val="single" w:sz="4" w:space="0" w:color="FFFFFF"/>
              <w:right w:val="single" w:sz="4" w:space="0" w:color="FFFFFF"/>
            </w:tcBorders>
            <w:shd w:val="clear" w:color="auto" w:fill="auto"/>
            <w:noWrap/>
            <w:vAlign w:val="center"/>
            <w:hideMark/>
          </w:tcPr>
          <w:p w14:paraId="32ED31FA"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74.5 %</w:t>
            </w:r>
          </w:p>
        </w:tc>
        <w:tc>
          <w:tcPr>
            <w:tcW w:w="1537" w:type="dxa"/>
            <w:tcBorders>
              <w:top w:val="nil"/>
              <w:left w:val="nil"/>
              <w:bottom w:val="single" w:sz="4" w:space="0" w:color="FFFFFF"/>
              <w:right w:val="single" w:sz="4" w:space="0" w:color="FFFFFF"/>
            </w:tcBorders>
            <w:shd w:val="clear" w:color="auto" w:fill="auto"/>
            <w:noWrap/>
            <w:vAlign w:val="center"/>
            <w:hideMark/>
          </w:tcPr>
          <w:p w14:paraId="50A30B87"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7.6 %</w:t>
            </w:r>
          </w:p>
        </w:tc>
        <w:tc>
          <w:tcPr>
            <w:tcW w:w="1507" w:type="dxa"/>
            <w:tcBorders>
              <w:top w:val="nil"/>
              <w:left w:val="nil"/>
              <w:bottom w:val="single" w:sz="4" w:space="0" w:color="FFFFFF"/>
              <w:right w:val="single" w:sz="4" w:space="0" w:color="FFFFFF"/>
            </w:tcBorders>
            <w:shd w:val="clear" w:color="auto" w:fill="auto"/>
            <w:noWrap/>
            <w:vAlign w:val="center"/>
            <w:hideMark/>
          </w:tcPr>
          <w:p w14:paraId="19FE0D5E"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2.0 %</w:t>
            </w:r>
          </w:p>
        </w:tc>
      </w:tr>
      <w:tr w:rsidR="00495600" w:rsidRPr="0039335E" w14:paraId="15E2470A" w14:textId="77777777" w:rsidTr="00F77453">
        <w:trPr>
          <w:trHeight w:val="163"/>
          <w:jc w:val="center"/>
        </w:trPr>
        <w:tc>
          <w:tcPr>
            <w:tcW w:w="2689" w:type="dxa"/>
            <w:tcBorders>
              <w:top w:val="nil"/>
              <w:left w:val="single" w:sz="4" w:space="0" w:color="FFFFFF"/>
              <w:bottom w:val="single" w:sz="4" w:space="0" w:color="FFFFFF"/>
              <w:right w:val="single" w:sz="4" w:space="0" w:color="FFFFFF"/>
            </w:tcBorders>
            <w:shd w:val="clear" w:color="auto" w:fill="auto"/>
            <w:noWrap/>
            <w:vAlign w:val="center"/>
            <w:hideMark/>
          </w:tcPr>
          <w:p w14:paraId="18B006D6" w14:textId="77777777"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Amenazas</w:t>
            </w:r>
          </w:p>
        </w:tc>
        <w:tc>
          <w:tcPr>
            <w:tcW w:w="1134" w:type="dxa"/>
            <w:tcBorders>
              <w:top w:val="nil"/>
              <w:left w:val="nil"/>
              <w:bottom w:val="single" w:sz="4" w:space="0" w:color="FFFFFF"/>
              <w:right w:val="single" w:sz="4" w:space="0" w:color="FFFFFF"/>
            </w:tcBorders>
            <w:shd w:val="clear" w:color="auto" w:fill="auto"/>
            <w:noWrap/>
            <w:vAlign w:val="center"/>
            <w:hideMark/>
          </w:tcPr>
          <w:p w14:paraId="3402ED60"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120 864</w:t>
            </w:r>
          </w:p>
        </w:tc>
        <w:tc>
          <w:tcPr>
            <w:tcW w:w="1275" w:type="dxa"/>
            <w:tcBorders>
              <w:top w:val="nil"/>
              <w:left w:val="nil"/>
              <w:bottom w:val="single" w:sz="4" w:space="0" w:color="FFFFFF"/>
              <w:right w:val="single" w:sz="4" w:space="0" w:color="FFFFFF"/>
            </w:tcBorders>
            <w:shd w:val="clear" w:color="auto" w:fill="auto"/>
            <w:noWrap/>
            <w:vAlign w:val="center"/>
            <w:hideMark/>
          </w:tcPr>
          <w:p w14:paraId="6F59471A"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57.7 %</w:t>
            </w:r>
          </w:p>
        </w:tc>
        <w:tc>
          <w:tcPr>
            <w:tcW w:w="1209" w:type="dxa"/>
            <w:tcBorders>
              <w:top w:val="nil"/>
              <w:left w:val="nil"/>
              <w:bottom w:val="single" w:sz="4" w:space="0" w:color="FFFFFF"/>
              <w:right w:val="single" w:sz="4" w:space="0" w:color="FFFFFF"/>
            </w:tcBorders>
            <w:shd w:val="clear" w:color="auto" w:fill="auto"/>
            <w:noWrap/>
            <w:vAlign w:val="center"/>
            <w:hideMark/>
          </w:tcPr>
          <w:p w14:paraId="4F09985F"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32.2 %</w:t>
            </w:r>
          </w:p>
        </w:tc>
        <w:tc>
          <w:tcPr>
            <w:tcW w:w="1537" w:type="dxa"/>
            <w:tcBorders>
              <w:top w:val="nil"/>
              <w:left w:val="nil"/>
              <w:bottom w:val="single" w:sz="4" w:space="0" w:color="FFFFFF"/>
              <w:right w:val="single" w:sz="4" w:space="0" w:color="FFFFFF"/>
            </w:tcBorders>
            <w:shd w:val="clear" w:color="auto" w:fill="auto"/>
            <w:noWrap/>
            <w:vAlign w:val="center"/>
            <w:hideMark/>
          </w:tcPr>
          <w:p w14:paraId="3E274BF4"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9.0 %</w:t>
            </w:r>
          </w:p>
        </w:tc>
        <w:tc>
          <w:tcPr>
            <w:tcW w:w="1507" w:type="dxa"/>
            <w:tcBorders>
              <w:top w:val="nil"/>
              <w:left w:val="nil"/>
              <w:bottom w:val="single" w:sz="4" w:space="0" w:color="FFFFFF"/>
              <w:right w:val="single" w:sz="4" w:space="0" w:color="FFFFFF"/>
            </w:tcBorders>
            <w:shd w:val="clear" w:color="auto" w:fill="auto"/>
            <w:noWrap/>
            <w:vAlign w:val="center"/>
            <w:hideMark/>
          </w:tcPr>
          <w:p w14:paraId="0499A882"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1.1 %</w:t>
            </w:r>
          </w:p>
        </w:tc>
      </w:tr>
      <w:tr w:rsidR="00495600" w:rsidRPr="0039335E" w14:paraId="0DB97769" w14:textId="77777777" w:rsidTr="00F77453">
        <w:trPr>
          <w:trHeight w:val="522"/>
          <w:jc w:val="center"/>
        </w:trPr>
        <w:tc>
          <w:tcPr>
            <w:tcW w:w="2689" w:type="dxa"/>
            <w:tcBorders>
              <w:top w:val="nil"/>
              <w:left w:val="single" w:sz="4" w:space="0" w:color="FFFFFF"/>
              <w:bottom w:val="single" w:sz="4" w:space="0" w:color="FFFFFF"/>
              <w:right w:val="single" w:sz="4" w:space="0" w:color="FFFFFF"/>
            </w:tcBorders>
            <w:shd w:val="clear" w:color="auto" w:fill="auto"/>
            <w:vAlign w:val="center"/>
            <w:hideMark/>
          </w:tcPr>
          <w:p w14:paraId="24CC0CDF" w14:textId="3564E4F8"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 xml:space="preserve">Delitos contra la salud relacionados con narcóticos en su modalidad de </w:t>
            </w:r>
            <w:r w:rsidR="00D159CE">
              <w:rPr>
                <w:rFonts w:ascii="Arial" w:eastAsia="Times New Roman" w:hAnsi="Arial" w:cs="Arial"/>
                <w:sz w:val="18"/>
                <w:szCs w:val="18"/>
                <w:lang w:eastAsia="es-MX"/>
              </w:rPr>
              <w:t>n</w:t>
            </w:r>
            <w:r w:rsidRPr="0039335E">
              <w:rPr>
                <w:rFonts w:ascii="Arial" w:eastAsia="Times New Roman" w:hAnsi="Arial" w:cs="Arial"/>
                <w:sz w:val="18"/>
                <w:szCs w:val="18"/>
                <w:lang w:eastAsia="es-MX"/>
              </w:rPr>
              <w:t>arcomenudeo</w:t>
            </w:r>
          </w:p>
        </w:tc>
        <w:tc>
          <w:tcPr>
            <w:tcW w:w="1134" w:type="dxa"/>
            <w:tcBorders>
              <w:top w:val="nil"/>
              <w:left w:val="nil"/>
              <w:bottom w:val="single" w:sz="4" w:space="0" w:color="FFFFFF"/>
              <w:right w:val="single" w:sz="4" w:space="0" w:color="FFFFFF"/>
            </w:tcBorders>
            <w:shd w:val="clear" w:color="auto" w:fill="auto"/>
            <w:noWrap/>
            <w:vAlign w:val="center"/>
            <w:hideMark/>
          </w:tcPr>
          <w:p w14:paraId="4316905E"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104 587</w:t>
            </w:r>
          </w:p>
        </w:tc>
        <w:tc>
          <w:tcPr>
            <w:tcW w:w="1275" w:type="dxa"/>
            <w:tcBorders>
              <w:top w:val="nil"/>
              <w:left w:val="nil"/>
              <w:bottom w:val="single" w:sz="4" w:space="0" w:color="FFFFFF"/>
              <w:right w:val="single" w:sz="4" w:space="0" w:color="FFFFFF"/>
            </w:tcBorders>
            <w:shd w:val="clear" w:color="auto" w:fill="auto"/>
            <w:noWrap/>
            <w:vAlign w:val="center"/>
            <w:hideMark/>
          </w:tcPr>
          <w:p w14:paraId="53AD3951"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6.7 %</w:t>
            </w:r>
          </w:p>
        </w:tc>
        <w:tc>
          <w:tcPr>
            <w:tcW w:w="1209" w:type="dxa"/>
            <w:tcBorders>
              <w:top w:val="nil"/>
              <w:left w:val="nil"/>
              <w:bottom w:val="single" w:sz="4" w:space="0" w:color="FFFFFF"/>
              <w:right w:val="single" w:sz="4" w:space="0" w:color="FFFFFF"/>
            </w:tcBorders>
            <w:shd w:val="clear" w:color="auto" w:fill="auto"/>
            <w:noWrap/>
            <w:vAlign w:val="center"/>
            <w:hideMark/>
          </w:tcPr>
          <w:p w14:paraId="377CCA18"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87.0 %</w:t>
            </w:r>
          </w:p>
        </w:tc>
        <w:tc>
          <w:tcPr>
            <w:tcW w:w="1537" w:type="dxa"/>
            <w:tcBorders>
              <w:top w:val="nil"/>
              <w:left w:val="nil"/>
              <w:bottom w:val="single" w:sz="4" w:space="0" w:color="FFFFFF"/>
              <w:right w:val="single" w:sz="4" w:space="0" w:color="FFFFFF"/>
            </w:tcBorders>
            <w:shd w:val="clear" w:color="auto" w:fill="auto"/>
            <w:noWrap/>
            <w:vAlign w:val="center"/>
            <w:hideMark/>
          </w:tcPr>
          <w:p w14:paraId="4961C340"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3.4 %</w:t>
            </w:r>
          </w:p>
        </w:tc>
        <w:tc>
          <w:tcPr>
            <w:tcW w:w="1507" w:type="dxa"/>
            <w:tcBorders>
              <w:top w:val="nil"/>
              <w:left w:val="nil"/>
              <w:bottom w:val="single" w:sz="4" w:space="0" w:color="FFFFFF"/>
              <w:right w:val="single" w:sz="4" w:space="0" w:color="FFFFFF"/>
            </w:tcBorders>
            <w:shd w:val="clear" w:color="auto" w:fill="auto"/>
            <w:noWrap/>
            <w:vAlign w:val="center"/>
            <w:hideMark/>
          </w:tcPr>
          <w:p w14:paraId="468C417F"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2.9 %</w:t>
            </w:r>
          </w:p>
        </w:tc>
      </w:tr>
      <w:tr w:rsidR="00495600" w:rsidRPr="0039335E" w14:paraId="222784AF" w14:textId="77777777" w:rsidTr="00F77453">
        <w:trPr>
          <w:trHeight w:val="163"/>
          <w:jc w:val="center"/>
        </w:trPr>
        <w:tc>
          <w:tcPr>
            <w:tcW w:w="2689" w:type="dxa"/>
            <w:tcBorders>
              <w:top w:val="nil"/>
              <w:left w:val="single" w:sz="4" w:space="0" w:color="FFFFFF"/>
              <w:bottom w:val="single" w:sz="4" w:space="0" w:color="FFFFFF"/>
              <w:right w:val="single" w:sz="4" w:space="0" w:color="FFFFFF"/>
            </w:tcBorders>
            <w:shd w:val="clear" w:color="auto" w:fill="auto"/>
            <w:noWrap/>
            <w:vAlign w:val="center"/>
            <w:hideMark/>
          </w:tcPr>
          <w:p w14:paraId="1F26BB8E" w14:textId="77777777"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Fraude</w:t>
            </w:r>
          </w:p>
        </w:tc>
        <w:tc>
          <w:tcPr>
            <w:tcW w:w="1134" w:type="dxa"/>
            <w:tcBorders>
              <w:top w:val="nil"/>
              <w:left w:val="nil"/>
              <w:bottom w:val="single" w:sz="4" w:space="0" w:color="FFFFFF"/>
              <w:right w:val="single" w:sz="4" w:space="0" w:color="FFFFFF"/>
            </w:tcBorders>
            <w:shd w:val="clear" w:color="auto" w:fill="auto"/>
            <w:noWrap/>
            <w:vAlign w:val="center"/>
            <w:hideMark/>
          </w:tcPr>
          <w:p w14:paraId="2BF60A35"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94 643</w:t>
            </w:r>
          </w:p>
        </w:tc>
        <w:tc>
          <w:tcPr>
            <w:tcW w:w="1275" w:type="dxa"/>
            <w:tcBorders>
              <w:top w:val="nil"/>
              <w:left w:val="nil"/>
              <w:bottom w:val="single" w:sz="4" w:space="0" w:color="FFFFFF"/>
              <w:right w:val="single" w:sz="4" w:space="0" w:color="FFFFFF"/>
            </w:tcBorders>
            <w:shd w:val="clear" w:color="auto" w:fill="auto"/>
            <w:noWrap/>
            <w:vAlign w:val="center"/>
            <w:hideMark/>
          </w:tcPr>
          <w:p w14:paraId="18F26202"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0.6 %</w:t>
            </w:r>
          </w:p>
        </w:tc>
        <w:tc>
          <w:tcPr>
            <w:tcW w:w="1209" w:type="dxa"/>
            <w:tcBorders>
              <w:top w:val="nil"/>
              <w:left w:val="nil"/>
              <w:bottom w:val="single" w:sz="4" w:space="0" w:color="FFFFFF"/>
              <w:right w:val="single" w:sz="4" w:space="0" w:color="FFFFFF"/>
            </w:tcBorders>
            <w:shd w:val="clear" w:color="auto" w:fill="auto"/>
            <w:noWrap/>
            <w:vAlign w:val="center"/>
            <w:hideMark/>
          </w:tcPr>
          <w:p w14:paraId="25A69688"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93.7 %</w:t>
            </w:r>
          </w:p>
        </w:tc>
        <w:tc>
          <w:tcPr>
            <w:tcW w:w="1537" w:type="dxa"/>
            <w:tcBorders>
              <w:top w:val="nil"/>
              <w:left w:val="nil"/>
              <w:bottom w:val="single" w:sz="4" w:space="0" w:color="FFFFFF"/>
              <w:right w:val="single" w:sz="4" w:space="0" w:color="FFFFFF"/>
            </w:tcBorders>
            <w:shd w:val="clear" w:color="auto" w:fill="auto"/>
            <w:noWrap/>
            <w:vAlign w:val="center"/>
            <w:hideMark/>
          </w:tcPr>
          <w:p w14:paraId="02E9B4E7"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5.0 %</w:t>
            </w:r>
          </w:p>
        </w:tc>
        <w:tc>
          <w:tcPr>
            <w:tcW w:w="1507" w:type="dxa"/>
            <w:tcBorders>
              <w:top w:val="nil"/>
              <w:left w:val="nil"/>
              <w:bottom w:val="single" w:sz="4" w:space="0" w:color="FFFFFF"/>
              <w:right w:val="single" w:sz="4" w:space="0" w:color="FFFFFF"/>
            </w:tcBorders>
            <w:shd w:val="clear" w:color="auto" w:fill="auto"/>
            <w:noWrap/>
            <w:vAlign w:val="center"/>
            <w:hideMark/>
          </w:tcPr>
          <w:p w14:paraId="5ACDBF0F"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0.7 %</w:t>
            </w:r>
          </w:p>
        </w:tc>
      </w:tr>
      <w:tr w:rsidR="00495600" w:rsidRPr="0039335E" w14:paraId="22D32011" w14:textId="77777777" w:rsidTr="00F77453">
        <w:trPr>
          <w:trHeight w:val="163"/>
          <w:jc w:val="center"/>
        </w:trPr>
        <w:tc>
          <w:tcPr>
            <w:tcW w:w="2689" w:type="dxa"/>
            <w:tcBorders>
              <w:top w:val="nil"/>
              <w:left w:val="single" w:sz="4" w:space="0" w:color="FFFFFF"/>
              <w:bottom w:val="single" w:sz="4" w:space="0" w:color="FFFFFF"/>
              <w:right w:val="single" w:sz="4" w:space="0" w:color="FFFFFF"/>
            </w:tcBorders>
            <w:shd w:val="clear" w:color="auto" w:fill="auto"/>
            <w:noWrap/>
            <w:vAlign w:val="center"/>
            <w:hideMark/>
          </w:tcPr>
          <w:p w14:paraId="6119FD12" w14:textId="77777777"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Homicidio</w:t>
            </w:r>
          </w:p>
        </w:tc>
        <w:tc>
          <w:tcPr>
            <w:tcW w:w="1134" w:type="dxa"/>
            <w:tcBorders>
              <w:top w:val="nil"/>
              <w:left w:val="nil"/>
              <w:bottom w:val="single" w:sz="4" w:space="0" w:color="FFFFFF"/>
              <w:right w:val="single" w:sz="4" w:space="0" w:color="FFFFFF"/>
            </w:tcBorders>
            <w:shd w:val="clear" w:color="auto" w:fill="auto"/>
            <w:noWrap/>
            <w:vAlign w:val="center"/>
            <w:hideMark/>
          </w:tcPr>
          <w:p w14:paraId="3D0E9107"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46 728</w:t>
            </w:r>
          </w:p>
        </w:tc>
        <w:tc>
          <w:tcPr>
            <w:tcW w:w="1275" w:type="dxa"/>
            <w:tcBorders>
              <w:top w:val="nil"/>
              <w:left w:val="nil"/>
              <w:bottom w:val="single" w:sz="4" w:space="0" w:color="FFFFFF"/>
              <w:right w:val="single" w:sz="4" w:space="0" w:color="FFFFFF"/>
            </w:tcBorders>
            <w:shd w:val="clear" w:color="auto" w:fill="auto"/>
            <w:noWrap/>
            <w:vAlign w:val="center"/>
            <w:hideMark/>
          </w:tcPr>
          <w:p w14:paraId="72DE8C30"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65.8 %</w:t>
            </w:r>
          </w:p>
        </w:tc>
        <w:tc>
          <w:tcPr>
            <w:tcW w:w="1209" w:type="dxa"/>
            <w:tcBorders>
              <w:top w:val="nil"/>
              <w:left w:val="nil"/>
              <w:bottom w:val="single" w:sz="4" w:space="0" w:color="FFFFFF"/>
              <w:right w:val="single" w:sz="4" w:space="0" w:color="FFFFFF"/>
            </w:tcBorders>
            <w:shd w:val="clear" w:color="auto" w:fill="auto"/>
            <w:noWrap/>
            <w:vAlign w:val="center"/>
            <w:hideMark/>
          </w:tcPr>
          <w:p w14:paraId="5EB4F4B0"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24.1 %</w:t>
            </w:r>
          </w:p>
        </w:tc>
        <w:tc>
          <w:tcPr>
            <w:tcW w:w="1537" w:type="dxa"/>
            <w:tcBorders>
              <w:top w:val="nil"/>
              <w:left w:val="nil"/>
              <w:bottom w:val="single" w:sz="4" w:space="0" w:color="FFFFFF"/>
              <w:right w:val="single" w:sz="4" w:space="0" w:color="FFFFFF"/>
            </w:tcBorders>
            <w:shd w:val="clear" w:color="auto" w:fill="auto"/>
            <w:noWrap/>
            <w:vAlign w:val="center"/>
            <w:hideMark/>
          </w:tcPr>
          <w:p w14:paraId="5F1BE977"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5.2 %</w:t>
            </w:r>
          </w:p>
        </w:tc>
        <w:tc>
          <w:tcPr>
            <w:tcW w:w="1507" w:type="dxa"/>
            <w:tcBorders>
              <w:top w:val="nil"/>
              <w:left w:val="nil"/>
              <w:bottom w:val="single" w:sz="4" w:space="0" w:color="FFFFFF"/>
              <w:right w:val="single" w:sz="4" w:space="0" w:color="FFFFFF"/>
            </w:tcBorders>
            <w:shd w:val="clear" w:color="auto" w:fill="auto"/>
            <w:noWrap/>
            <w:vAlign w:val="center"/>
            <w:hideMark/>
          </w:tcPr>
          <w:p w14:paraId="4CD858CA"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4.9 %</w:t>
            </w:r>
          </w:p>
        </w:tc>
      </w:tr>
      <w:tr w:rsidR="00495600" w:rsidRPr="0039335E" w14:paraId="30256102" w14:textId="77777777" w:rsidTr="00F77453">
        <w:trPr>
          <w:trHeight w:val="163"/>
          <w:jc w:val="center"/>
        </w:trPr>
        <w:tc>
          <w:tcPr>
            <w:tcW w:w="2689" w:type="dxa"/>
            <w:tcBorders>
              <w:top w:val="nil"/>
              <w:left w:val="single" w:sz="4" w:space="0" w:color="FFFFFF"/>
              <w:bottom w:val="single" w:sz="4" w:space="0" w:color="FFFFFF"/>
              <w:right w:val="single" w:sz="4" w:space="0" w:color="FFFFFF"/>
            </w:tcBorders>
            <w:shd w:val="clear" w:color="auto" w:fill="auto"/>
            <w:noWrap/>
            <w:vAlign w:val="center"/>
            <w:hideMark/>
          </w:tcPr>
          <w:p w14:paraId="1881E81F" w14:textId="77777777"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Despojo</w:t>
            </w:r>
          </w:p>
        </w:tc>
        <w:tc>
          <w:tcPr>
            <w:tcW w:w="1134" w:type="dxa"/>
            <w:tcBorders>
              <w:top w:val="nil"/>
              <w:left w:val="nil"/>
              <w:bottom w:val="single" w:sz="4" w:space="0" w:color="FFFFFF"/>
              <w:right w:val="single" w:sz="4" w:space="0" w:color="FFFFFF"/>
            </w:tcBorders>
            <w:shd w:val="clear" w:color="auto" w:fill="auto"/>
            <w:noWrap/>
            <w:vAlign w:val="center"/>
            <w:hideMark/>
          </w:tcPr>
          <w:p w14:paraId="4AB2ACBA"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32 886</w:t>
            </w:r>
          </w:p>
        </w:tc>
        <w:tc>
          <w:tcPr>
            <w:tcW w:w="1275" w:type="dxa"/>
            <w:tcBorders>
              <w:top w:val="nil"/>
              <w:left w:val="nil"/>
              <w:bottom w:val="single" w:sz="4" w:space="0" w:color="FFFFFF"/>
              <w:right w:val="single" w:sz="4" w:space="0" w:color="FFFFFF"/>
            </w:tcBorders>
            <w:shd w:val="clear" w:color="auto" w:fill="auto"/>
            <w:noWrap/>
            <w:vAlign w:val="center"/>
            <w:hideMark/>
          </w:tcPr>
          <w:p w14:paraId="43992FA4"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32.5 %</w:t>
            </w:r>
          </w:p>
        </w:tc>
        <w:tc>
          <w:tcPr>
            <w:tcW w:w="1209" w:type="dxa"/>
            <w:tcBorders>
              <w:top w:val="nil"/>
              <w:left w:val="nil"/>
              <w:bottom w:val="single" w:sz="4" w:space="0" w:color="FFFFFF"/>
              <w:right w:val="single" w:sz="4" w:space="0" w:color="FFFFFF"/>
            </w:tcBorders>
            <w:shd w:val="clear" w:color="auto" w:fill="auto"/>
            <w:noWrap/>
            <w:vAlign w:val="center"/>
            <w:hideMark/>
          </w:tcPr>
          <w:p w14:paraId="66C578C6"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50.4 %</w:t>
            </w:r>
          </w:p>
        </w:tc>
        <w:tc>
          <w:tcPr>
            <w:tcW w:w="1537" w:type="dxa"/>
            <w:tcBorders>
              <w:top w:val="nil"/>
              <w:left w:val="nil"/>
              <w:bottom w:val="single" w:sz="4" w:space="0" w:color="FFFFFF"/>
              <w:right w:val="single" w:sz="4" w:space="0" w:color="FFFFFF"/>
            </w:tcBorders>
            <w:shd w:val="clear" w:color="auto" w:fill="auto"/>
            <w:noWrap/>
            <w:vAlign w:val="center"/>
            <w:hideMark/>
          </w:tcPr>
          <w:p w14:paraId="40B727BC"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16.1 %</w:t>
            </w:r>
          </w:p>
        </w:tc>
        <w:tc>
          <w:tcPr>
            <w:tcW w:w="1507" w:type="dxa"/>
            <w:tcBorders>
              <w:top w:val="nil"/>
              <w:left w:val="nil"/>
              <w:bottom w:val="single" w:sz="4" w:space="0" w:color="FFFFFF"/>
              <w:right w:val="single" w:sz="4" w:space="0" w:color="FFFFFF"/>
            </w:tcBorders>
            <w:shd w:val="clear" w:color="auto" w:fill="auto"/>
            <w:noWrap/>
            <w:vAlign w:val="center"/>
            <w:hideMark/>
          </w:tcPr>
          <w:p w14:paraId="4D7C2F0A"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1.0 %</w:t>
            </w:r>
          </w:p>
        </w:tc>
      </w:tr>
      <w:tr w:rsidR="00495600" w:rsidRPr="0039335E" w14:paraId="1A9D1119" w14:textId="77777777" w:rsidTr="00F77453">
        <w:trPr>
          <w:trHeight w:val="163"/>
          <w:jc w:val="center"/>
        </w:trPr>
        <w:tc>
          <w:tcPr>
            <w:tcW w:w="2689" w:type="dxa"/>
            <w:tcBorders>
              <w:top w:val="nil"/>
              <w:left w:val="single" w:sz="4" w:space="0" w:color="FFFFFF"/>
              <w:bottom w:val="single" w:sz="4" w:space="0" w:color="FFFFFF"/>
              <w:right w:val="single" w:sz="4" w:space="0" w:color="FFFFFF"/>
            </w:tcBorders>
            <w:shd w:val="clear" w:color="auto" w:fill="auto"/>
            <w:noWrap/>
            <w:vAlign w:val="center"/>
            <w:hideMark/>
          </w:tcPr>
          <w:p w14:paraId="2507636B" w14:textId="77777777" w:rsidR="00495600" w:rsidRPr="0039335E" w:rsidRDefault="00495600" w:rsidP="00773F93">
            <w:pPr>
              <w:spacing w:after="0" w:line="240" w:lineRule="auto"/>
              <w:rPr>
                <w:rFonts w:ascii="Arial" w:eastAsia="Times New Roman" w:hAnsi="Arial" w:cs="Arial"/>
                <w:sz w:val="18"/>
                <w:szCs w:val="18"/>
                <w:lang w:eastAsia="es-MX"/>
              </w:rPr>
            </w:pPr>
            <w:r w:rsidRPr="0039335E">
              <w:rPr>
                <w:rFonts w:ascii="Arial" w:eastAsia="Times New Roman" w:hAnsi="Arial" w:cs="Arial"/>
                <w:sz w:val="18"/>
                <w:szCs w:val="18"/>
                <w:lang w:eastAsia="es-MX"/>
              </w:rPr>
              <w:t>Abuso de confianza</w:t>
            </w:r>
          </w:p>
        </w:tc>
        <w:tc>
          <w:tcPr>
            <w:tcW w:w="1134" w:type="dxa"/>
            <w:tcBorders>
              <w:top w:val="nil"/>
              <w:left w:val="nil"/>
              <w:bottom w:val="single" w:sz="4" w:space="0" w:color="FFFFFF"/>
              <w:right w:val="single" w:sz="4" w:space="0" w:color="FFFFFF"/>
            </w:tcBorders>
            <w:shd w:val="clear" w:color="auto" w:fill="auto"/>
            <w:noWrap/>
            <w:vAlign w:val="center"/>
            <w:hideMark/>
          </w:tcPr>
          <w:p w14:paraId="277DC39C"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 xml:space="preserve"> 30 476</w:t>
            </w:r>
          </w:p>
        </w:tc>
        <w:tc>
          <w:tcPr>
            <w:tcW w:w="1275" w:type="dxa"/>
            <w:tcBorders>
              <w:top w:val="nil"/>
              <w:left w:val="nil"/>
              <w:bottom w:val="single" w:sz="4" w:space="0" w:color="FFFFFF"/>
              <w:right w:val="single" w:sz="4" w:space="0" w:color="FFFFFF"/>
            </w:tcBorders>
            <w:shd w:val="clear" w:color="auto" w:fill="auto"/>
            <w:noWrap/>
            <w:vAlign w:val="center"/>
            <w:hideMark/>
          </w:tcPr>
          <w:p w14:paraId="1EC5F2F1"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0.8 %</w:t>
            </w:r>
          </w:p>
        </w:tc>
        <w:tc>
          <w:tcPr>
            <w:tcW w:w="1209" w:type="dxa"/>
            <w:tcBorders>
              <w:top w:val="nil"/>
              <w:left w:val="nil"/>
              <w:bottom w:val="single" w:sz="4" w:space="0" w:color="FFFFFF"/>
              <w:right w:val="single" w:sz="4" w:space="0" w:color="FFFFFF"/>
            </w:tcBorders>
            <w:shd w:val="clear" w:color="auto" w:fill="auto"/>
            <w:noWrap/>
            <w:vAlign w:val="center"/>
            <w:hideMark/>
          </w:tcPr>
          <w:p w14:paraId="2B05D507"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92.8 %</w:t>
            </w:r>
          </w:p>
        </w:tc>
        <w:tc>
          <w:tcPr>
            <w:tcW w:w="1537" w:type="dxa"/>
            <w:tcBorders>
              <w:top w:val="nil"/>
              <w:left w:val="nil"/>
              <w:bottom w:val="single" w:sz="4" w:space="0" w:color="FFFFFF"/>
              <w:right w:val="single" w:sz="4" w:space="0" w:color="FFFFFF"/>
            </w:tcBorders>
            <w:shd w:val="clear" w:color="auto" w:fill="auto"/>
            <w:noWrap/>
            <w:vAlign w:val="center"/>
            <w:hideMark/>
          </w:tcPr>
          <w:p w14:paraId="19CA4057"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5.7 %</w:t>
            </w:r>
          </w:p>
        </w:tc>
        <w:tc>
          <w:tcPr>
            <w:tcW w:w="1507" w:type="dxa"/>
            <w:tcBorders>
              <w:top w:val="nil"/>
              <w:left w:val="nil"/>
              <w:bottom w:val="single" w:sz="4" w:space="0" w:color="FFFFFF"/>
              <w:right w:val="single" w:sz="4" w:space="0" w:color="FFFFFF"/>
            </w:tcBorders>
            <w:shd w:val="clear" w:color="auto" w:fill="auto"/>
            <w:noWrap/>
            <w:vAlign w:val="center"/>
            <w:hideMark/>
          </w:tcPr>
          <w:p w14:paraId="7F13186D" w14:textId="77777777" w:rsidR="00495600" w:rsidRPr="0039335E" w:rsidRDefault="00495600" w:rsidP="00773F93">
            <w:pPr>
              <w:spacing w:after="0" w:line="240" w:lineRule="auto"/>
              <w:jc w:val="center"/>
              <w:rPr>
                <w:rFonts w:ascii="Arial" w:eastAsia="Times New Roman" w:hAnsi="Arial" w:cs="Arial"/>
                <w:color w:val="000000"/>
                <w:sz w:val="18"/>
                <w:szCs w:val="18"/>
                <w:lang w:eastAsia="es-MX"/>
              </w:rPr>
            </w:pPr>
            <w:r w:rsidRPr="0039335E">
              <w:rPr>
                <w:rFonts w:ascii="Arial" w:eastAsia="Times New Roman" w:hAnsi="Arial" w:cs="Arial"/>
                <w:color w:val="000000"/>
                <w:sz w:val="18"/>
                <w:szCs w:val="18"/>
                <w:lang w:eastAsia="es-MX"/>
              </w:rPr>
              <w:t>0.7 %</w:t>
            </w:r>
          </w:p>
        </w:tc>
      </w:tr>
    </w:tbl>
    <w:p w14:paraId="16A5BD88" w14:textId="77777777" w:rsidR="00495600" w:rsidRDefault="00495600" w:rsidP="00495600">
      <w:pPr>
        <w:pStyle w:val="Default"/>
        <w:ind w:right="163"/>
        <w:jc w:val="center"/>
        <w:rPr>
          <w:color w:val="auto"/>
        </w:rPr>
      </w:pPr>
    </w:p>
    <w:p w14:paraId="6F64CEE3" w14:textId="77777777" w:rsidR="00495600" w:rsidRDefault="00495600" w:rsidP="00495600">
      <w:pPr>
        <w:pStyle w:val="Default"/>
        <w:ind w:right="163"/>
        <w:jc w:val="center"/>
        <w:rPr>
          <w:color w:val="auto"/>
        </w:rPr>
      </w:pPr>
    </w:p>
    <w:p w14:paraId="0961DB6C" w14:textId="1B208083" w:rsidR="00495600" w:rsidRPr="0039335E" w:rsidRDefault="00495600" w:rsidP="00495600">
      <w:pPr>
        <w:pStyle w:val="Default"/>
        <w:ind w:right="163"/>
        <w:jc w:val="both"/>
        <w:rPr>
          <w:sz w:val="16"/>
          <w:szCs w:val="16"/>
        </w:rPr>
      </w:pPr>
      <w:r w:rsidRPr="0039335E">
        <w:rPr>
          <w:sz w:val="16"/>
          <w:szCs w:val="16"/>
        </w:rPr>
        <w:t>Nota: Se muestran los diez principales delitos</w:t>
      </w:r>
      <w:r w:rsidR="007724D5">
        <w:rPr>
          <w:sz w:val="16"/>
          <w:szCs w:val="16"/>
        </w:rPr>
        <w:t xml:space="preserve"> con base en </w:t>
      </w:r>
      <w:r w:rsidRPr="0039335E">
        <w:rPr>
          <w:sz w:val="16"/>
          <w:szCs w:val="16"/>
        </w:rPr>
        <w:t xml:space="preserve">la mayor frecuencia de registros en 2021. </w:t>
      </w:r>
    </w:p>
    <w:p w14:paraId="0A2B6294" w14:textId="77777777" w:rsidR="00495600" w:rsidRDefault="00495600" w:rsidP="00495600">
      <w:pPr>
        <w:pStyle w:val="Default"/>
        <w:ind w:right="163"/>
        <w:jc w:val="center"/>
        <w:rPr>
          <w:color w:val="auto"/>
        </w:rPr>
      </w:pPr>
    </w:p>
    <w:p w14:paraId="69ED1769" w14:textId="77777777" w:rsidR="00495600" w:rsidRDefault="00495600" w:rsidP="00495600">
      <w:pPr>
        <w:spacing w:before="46" w:after="0" w:line="276" w:lineRule="auto"/>
        <w:ind w:right="601"/>
        <w:jc w:val="both"/>
        <w:rPr>
          <w:rFonts w:ascii="Arial" w:hAnsi="Arial" w:cs="Arial"/>
          <w:sz w:val="24"/>
          <w:szCs w:val="24"/>
        </w:rPr>
      </w:pPr>
      <w:r>
        <w:br w:type="page"/>
      </w:r>
    </w:p>
    <w:p w14:paraId="48845051" w14:textId="5EF823F0" w:rsidR="00D6028F" w:rsidRDefault="00D6028F" w:rsidP="001228F9">
      <w:pPr>
        <w:spacing w:before="46" w:after="0" w:line="276" w:lineRule="auto"/>
        <w:ind w:right="21"/>
        <w:jc w:val="both"/>
        <w:rPr>
          <w:rFonts w:ascii="Arial" w:hAnsi="Arial" w:cs="Arial"/>
          <w:sz w:val="24"/>
          <w:szCs w:val="24"/>
        </w:rPr>
      </w:pPr>
      <w:r>
        <w:rPr>
          <w:rFonts w:ascii="Arial" w:hAnsi="Arial" w:cs="Arial"/>
          <w:sz w:val="24"/>
          <w:szCs w:val="24"/>
        </w:rPr>
        <w:lastRenderedPageBreak/>
        <w:t>Durante 2021, las FGE registraron 2 196 015 víctimas en las averiguaciones previas</w:t>
      </w:r>
      <w:r w:rsidR="00437448">
        <w:rPr>
          <w:rFonts w:ascii="Arial" w:hAnsi="Arial" w:cs="Arial"/>
          <w:sz w:val="24"/>
          <w:szCs w:val="24"/>
        </w:rPr>
        <w:t>, investigaciones</w:t>
      </w:r>
      <w:r>
        <w:rPr>
          <w:rFonts w:ascii="Arial" w:hAnsi="Arial" w:cs="Arial"/>
          <w:sz w:val="24"/>
          <w:szCs w:val="24"/>
        </w:rPr>
        <w:t xml:space="preserve"> y carpetas de investigación abiertas. Del total, 98.9 % correspondió al sistema de justicia para adultos y 1.1 % al sistema de justicia para adolescentes. Esta cifra representó un aumento de 9.7 % en comparación con 2020. </w:t>
      </w:r>
    </w:p>
    <w:p w14:paraId="3FA17F0C" w14:textId="70F1E273" w:rsidR="00D6028F" w:rsidRDefault="00D6028F" w:rsidP="001228F9">
      <w:pPr>
        <w:spacing w:before="46" w:after="0" w:line="276" w:lineRule="auto"/>
        <w:ind w:right="21"/>
        <w:jc w:val="both"/>
        <w:rPr>
          <w:rFonts w:ascii="Arial" w:hAnsi="Arial" w:cs="Arial"/>
          <w:sz w:val="24"/>
          <w:szCs w:val="24"/>
        </w:rPr>
      </w:pPr>
    </w:p>
    <w:p w14:paraId="5024C1D5" w14:textId="7527C7B2" w:rsidR="003A03E8" w:rsidRDefault="003A03E8" w:rsidP="003A03E8">
      <w:pPr>
        <w:pStyle w:val="Default"/>
        <w:jc w:val="center"/>
        <w:rPr>
          <w:color w:val="auto"/>
          <w:sz w:val="20"/>
          <w:szCs w:val="20"/>
        </w:rPr>
      </w:pPr>
      <w:r w:rsidRPr="000F4EC1">
        <w:rPr>
          <w:color w:val="auto"/>
          <w:sz w:val="20"/>
          <w:szCs w:val="20"/>
        </w:rPr>
        <w:t xml:space="preserve">Gráfica </w:t>
      </w:r>
      <w:r>
        <w:rPr>
          <w:color w:val="auto"/>
          <w:sz w:val="20"/>
          <w:szCs w:val="20"/>
        </w:rPr>
        <w:t>25</w:t>
      </w:r>
    </w:p>
    <w:p w14:paraId="1224DB19" w14:textId="3CAD2A3F" w:rsidR="0063743F" w:rsidRPr="0063743F" w:rsidRDefault="0063743F" w:rsidP="003A03E8">
      <w:pPr>
        <w:pStyle w:val="Default"/>
        <w:jc w:val="center"/>
        <w:rPr>
          <w:b/>
          <w:bCs/>
          <w:iCs/>
          <w:smallCaps/>
          <w:color w:val="000000" w:themeColor="text1"/>
          <w:sz w:val="22"/>
          <w:szCs w:val="22"/>
        </w:rPr>
      </w:pPr>
      <w:r w:rsidRPr="0063743F">
        <w:rPr>
          <w:b/>
          <w:bCs/>
          <w:iCs/>
          <w:smallCaps/>
          <w:color w:val="000000" w:themeColor="text1"/>
          <w:sz w:val="22"/>
          <w:szCs w:val="22"/>
        </w:rPr>
        <w:t>Víctimas registradas en las averiguaciones previas, investigaciones y carpetas de investigación abiertas de las FGE, 2021</w:t>
      </w:r>
    </w:p>
    <w:p w14:paraId="55B88E61" w14:textId="243B084A" w:rsidR="003A03E8" w:rsidRDefault="003A03E8" w:rsidP="003A03E8">
      <w:pPr>
        <w:pStyle w:val="Default"/>
        <w:jc w:val="center"/>
        <w:rPr>
          <w:color w:val="auto"/>
          <w:sz w:val="20"/>
          <w:szCs w:val="20"/>
        </w:rPr>
      </w:pPr>
    </w:p>
    <w:p w14:paraId="07B9CBB0" w14:textId="482478EE" w:rsidR="003A03E8" w:rsidRDefault="003A03E8" w:rsidP="003A03E8">
      <w:pPr>
        <w:pStyle w:val="Default"/>
        <w:jc w:val="center"/>
        <w:rPr>
          <w:color w:val="auto"/>
          <w:sz w:val="20"/>
          <w:szCs w:val="20"/>
        </w:rPr>
      </w:pPr>
      <w:r>
        <w:rPr>
          <w:noProof/>
        </w:rPr>
        <w:drawing>
          <wp:inline distT="0" distB="0" distL="0" distR="0" wp14:anchorId="748BC5E0" wp14:editId="1DAD6247">
            <wp:extent cx="6659245" cy="1992702"/>
            <wp:effectExtent l="0" t="0" r="8255" b="7620"/>
            <wp:docPr id="6" name="Gráfico 6">
              <a:extLst xmlns:a="http://schemas.openxmlformats.org/drawingml/2006/main">
                <a:ext uri="{FF2B5EF4-FFF2-40B4-BE49-F238E27FC236}">
                  <a16:creationId xmlns:a16="http://schemas.microsoft.com/office/drawing/2014/main" id="{0D5BE9CB-5799-73C1-E377-48915B1FF7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E36EF14" w14:textId="25B5EA0D" w:rsidR="003A03E8" w:rsidRPr="003A03E8" w:rsidRDefault="003A03E8" w:rsidP="003A03E8">
      <w:pPr>
        <w:pStyle w:val="Default"/>
        <w:rPr>
          <w:sz w:val="16"/>
          <w:szCs w:val="16"/>
        </w:rPr>
      </w:pPr>
      <w:r w:rsidRPr="003A03E8">
        <w:rPr>
          <w:color w:val="auto"/>
          <w:sz w:val="16"/>
          <w:szCs w:val="16"/>
        </w:rPr>
        <w:t>Nota: No se incluye información de la FGR debido a que reportó no contar con información sobre las víctimas registradas en las carpetas de investigación abiertas.</w:t>
      </w:r>
      <w:r>
        <w:rPr>
          <w:color w:val="auto"/>
          <w:sz w:val="16"/>
          <w:szCs w:val="16"/>
        </w:rPr>
        <w:t xml:space="preserve"> </w:t>
      </w:r>
      <w:r w:rsidRPr="003A03E8">
        <w:rPr>
          <w:sz w:val="16"/>
          <w:szCs w:val="16"/>
        </w:rPr>
        <w:t xml:space="preserve">No se grafica la categoría </w:t>
      </w:r>
      <w:r w:rsidR="008F2224" w:rsidRPr="00AA1C5B">
        <w:rPr>
          <w:sz w:val="16"/>
          <w:szCs w:val="16"/>
        </w:rPr>
        <w:t>«</w:t>
      </w:r>
      <w:r w:rsidRPr="003A03E8">
        <w:rPr>
          <w:sz w:val="16"/>
          <w:szCs w:val="16"/>
        </w:rPr>
        <w:t>No especificado</w:t>
      </w:r>
      <w:r w:rsidR="008F2224" w:rsidRPr="00AA1C5B">
        <w:rPr>
          <w:sz w:val="16"/>
          <w:szCs w:val="16"/>
        </w:rPr>
        <w:t>»</w:t>
      </w:r>
      <w:r w:rsidR="007724D5">
        <w:rPr>
          <w:sz w:val="16"/>
          <w:szCs w:val="16"/>
        </w:rPr>
        <w:t xml:space="preserve"> que contó con </w:t>
      </w:r>
      <w:r w:rsidRPr="003A03E8">
        <w:rPr>
          <w:sz w:val="16"/>
          <w:szCs w:val="16"/>
        </w:rPr>
        <w:t>13 personas</w:t>
      </w:r>
      <w:r>
        <w:rPr>
          <w:sz w:val="16"/>
          <w:szCs w:val="16"/>
        </w:rPr>
        <w:t xml:space="preserve">. </w:t>
      </w:r>
    </w:p>
    <w:p w14:paraId="30E55326" w14:textId="77777777" w:rsidR="003A03E8" w:rsidRPr="003A03E8" w:rsidRDefault="003A03E8" w:rsidP="003A03E8">
      <w:pPr>
        <w:pStyle w:val="Default"/>
        <w:rPr>
          <w:sz w:val="16"/>
          <w:szCs w:val="16"/>
        </w:rPr>
      </w:pPr>
      <w:r w:rsidRPr="003A03E8">
        <w:rPr>
          <w:sz w:val="16"/>
          <w:szCs w:val="16"/>
        </w:rPr>
        <w:t>En 2020, el total de víctimas registradas en las averiguaciones previas, investigaciones y carpetas de investigación abiertas fue de 2 001 738.</w:t>
      </w:r>
    </w:p>
    <w:p w14:paraId="3A401F00" w14:textId="7C7EAE0D" w:rsidR="003A03E8" w:rsidRPr="003A03E8" w:rsidRDefault="003A03E8" w:rsidP="003A03E8">
      <w:pPr>
        <w:pStyle w:val="Default"/>
        <w:jc w:val="both"/>
        <w:rPr>
          <w:color w:val="auto"/>
          <w:sz w:val="16"/>
          <w:szCs w:val="16"/>
        </w:rPr>
      </w:pPr>
    </w:p>
    <w:p w14:paraId="4E5FB1DA" w14:textId="1FBEEC1C" w:rsidR="001228F9" w:rsidRDefault="001228F9" w:rsidP="001228F9">
      <w:pPr>
        <w:spacing w:before="46" w:after="0" w:line="276" w:lineRule="auto"/>
        <w:ind w:right="21"/>
        <w:jc w:val="both"/>
        <w:rPr>
          <w:rFonts w:ascii="Arial" w:hAnsi="Arial" w:cs="Arial"/>
          <w:sz w:val="24"/>
          <w:szCs w:val="24"/>
        </w:rPr>
      </w:pPr>
      <w:r w:rsidRPr="00F4322C">
        <w:rPr>
          <w:rFonts w:ascii="Arial" w:hAnsi="Arial" w:cs="Arial"/>
          <w:sz w:val="24"/>
          <w:szCs w:val="24"/>
        </w:rPr>
        <w:t>Al cierre de 2021,</w:t>
      </w:r>
      <w:r w:rsidR="00E73FC9">
        <w:rPr>
          <w:rFonts w:ascii="Arial" w:hAnsi="Arial" w:cs="Arial"/>
          <w:sz w:val="24"/>
          <w:szCs w:val="24"/>
        </w:rPr>
        <w:t xml:space="preserve"> la</w:t>
      </w:r>
      <w:r w:rsidR="000F201E">
        <w:rPr>
          <w:rFonts w:ascii="Arial" w:hAnsi="Arial" w:cs="Arial"/>
          <w:sz w:val="24"/>
          <w:szCs w:val="24"/>
        </w:rPr>
        <w:t xml:space="preserve"> FGR y las</w:t>
      </w:r>
      <w:r w:rsidR="00E73FC9">
        <w:rPr>
          <w:rFonts w:ascii="Arial" w:hAnsi="Arial" w:cs="Arial"/>
          <w:sz w:val="24"/>
          <w:szCs w:val="24"/>
        </w:rPr>
        <w:t xml:space="preserve"> FGE registraron </w:t>
      </w:r>
      <w:r w:rsidR="00611EDD" w:rsidRPr="00611EDD">
        <w:rPr>
          <w:rFonts w:ascii="Arial" w:hAnsi="Arial" w:cs="Arial"/>
          <w:sz w:val="24"/>
          <w:szCs w:val="24"/>
        </w:rPr>
        <w:t xml:space="preserve">1 935 548 </w:t>
      </w:r>
      <w:r w:rsidRPr="00F4322C">
        <w:rPr>
          <w:rFonts w:ascii="Arial" w:hAnsi="Arial" w:cs="Arial"/>
          <w:sz w:val="24"/>
          <w:szCs w:val="24"/>
        </w:rPr>
        <w:t>personas inculpadas y/o imputadas en las averiguaciones previas, investigaciones y carpetas de investigación abiertas</w:t>
      </w:r>
      <w:r w:rsidR="00E73FC9">
        <w:rPr>
          <w:rFonts w:ascii="Arial" w:hAnsi="Arial" w:cs="Arial"/>
          <w:sz w:val="24"/>
          <w:szCs w:val="24"/>
        </w:rPr>
        <w:t>. Del total,</w:t>
      </w:r>
      <w:r w:rsidRPr="00F4322C">
        <w:rPr>
          <w:rFonts w:ascii="Arial" w:hAnsi="Arial" w:cs="Arial"/>
          <w:sz w:val="24"/>
          <w:szCs w:val="24"/>
        </w:rPr>
        <w:t xml:space="preserve"> 98.8 % correspondió al sistema de justicia para adultos y 1.2</w:t>
      </w:r>
      <w:r w:rsidR="00EE58E9">
        <w:rPr>
          <w:rFonts w:ascii="Arial" w:hAnsi="Arial" w:cs="Arial"/>
          <w:sz w:val="24"/>
          <w:szCs w:val="24"/>
        </w:rPr>
        <w:t xml:space="preserve"> </w:t>
      </w:r>
      <w:r w:rsidRPr="00F4322C">
        <w:rPr>
          <w:rFonts w:ascii="Arial" w:hAnsi="Arial" w:cs="Arial"/>
          <w:sz w:val="24"/>
          <w:szCs w:val="24"/>
        </w:rPr>
        <w:t>% al sistema de adolescentes. Dicha cifra representó un aumento de 6.4 % en comparación con 202</w:t>
      </w:r>
      <w:r w:rsidR="00192CF4">
        <w:rPr>
          <w:rFonts w:ascii="Arial" w:hAnsi="Arial" w:cs="Arial"/>
          <w:sz w:val="24"/>
          <w:szCs w:val="24"/>
        </w:rPr>
        <w:t>0</w:t>
      </w:r>
      <w:r w:rsidR="007724D5">
        <w:rPr>
          <w:rFonts w:ascii="Arial" w:hAnsi="Arial" w:cs="Arial"/>
          <w:sz w:val="24"/>
          <w:szCs w:val="24"/>
        </w:rPr>
        <w:t>.</w:t>
      </w:r>
      <w:r w:rsidR="00A81F00">
        <w:rPr>
          <w:rStyle w:val="Refdenotaalpie"/>
          <w:rFonts w:ascii="Arial" w:hAnsi="Arial" w:cs="Arial"/>
          <w:sz w:val="24"/>
          <w:szCs w:val="24"/>
        </w:rPr>
        <w:footnoteReference w:id="13"/>
      </w:r>
    </w:p>
    <w:p w14:paraId="09B0BCC9" w14:textId="77777777" w:rsidR="00E73FC9" w:rsidRDefault="00E73FC9" w:rsidP="001228F9">
      <w:pPr>
        <w:spacing w:before="46" w:after="0" w:line="276" w:lineRule="auto"/>
        <w:ind w:right="21"/>
        <w:jc w:val="both"/>
        <w:rPr>
          <w:rFonts w:ascii="Arial" w:hAnsi="Arial" w:cs="Arial"/>
          <w:sz w:val="24"/>
          <w:szCs w:val="24"/>
        </w:rPr>
      </w:pPr>
    </w:p>
    <w:p w14:paraId="4836D867" w14:textId="048B14E3" w:rsidR="001228F9" w:rsidRPr="000F4EC1" w:rsidRDefault="001228F9" w:rsidP="001228F9">
      <w:pPr>
        <w:pStyle w:val="Default"/>
        <w:jc w:val="center"/>
        <w:rPr>
          <w:color w:val="auto"/>
          <w:sz w:val="20"/>
          <w:szCs w:val="20"/>
        </w:rPr>
      </w:pPr>
      <w:r w:rsidRPr="000F4EC1">
        <w:rPr>
          <w:color w:val="auto"/>
          <w:sz w:val="20"/>
          <w:szCs w:val="20"/>
        </w:rPr>
        <w:t xml:space="preserve">Gráfica </w:t>
      </w:r>
      <w:r>
        <w:rPr>
          <w:color w:val="auto"/>
          <w:sz w:val="20"/>
          <w:szCs w:val="20"/>
        </w:rPr>
        <w:t>2</w:t>
      </w:r>
      <w:r w:rsidR="00E73FC9">
        <w:rPr>
          <w:color w:val="auto"/>
          <w:sz w:val="20"/>
          <w:szCs w:val="20"/>
        </w:rPr>
        <w:t>6</w:t>
      </w:r>
    </w:p>
    <w:p w14:paraId="7B18C9F2" w14:textId="1F601DAD" w:rsidR="001228F9" w:rsidRPr="00F4322C" w:rsidRDefault="001228F9" w:rsidP="005E1BA8">
      <w:pPr>
        <w:spacing w:before="46" w:after="0" w:line="276" w:lineRule="auto"/>
        <w:ind w:right="21"/>
        <w:jc w:val="center"/>
        <w:rPr>
          <w:rFonts w:ascii="Arial" w:hAnsi="Arial" w:cs="Arial"/>
          <w:b/>
          <w:bCs/>
          <w:sz w:val="24"/>
          <w:szCs w:val="24"/>
        </w:rPr>
      </w:pPr>
      <w:r w:rsidRPr="001235D0">
        <w:rPr>
          <w:rFonts w:ascii="Arial" w:hAnsi="Arial" w:cs="Arial"/>
          <w:b/>
          <w:bCs/>
          <w:iCs/>
          <w:smallCaps/>
          <w:color w:val="000000" w:themeColor="text1"/>
        </w:rPr>
        <w:t xml:space="preserve">Personas inculpadas y/o imputadas en las averiguaciones previas, investigaciones y carpetas de investigación abiertas </w:t>
      </w:r>
      <w:r w:rsidR="00E73FC9">
        <w:rPr>
          <w:rFonts w:ascii="Arial" w:hAnsi="Arial" w:cs="Arial"/>
          <w:b/>
          <w:bCs/>
          <w:iCs/>
          <w:smallCaps/>
          <w:color w:val="000000" w:themeColor="text1"/>
        </w:rPr>
        <w:t xml:space="preserve">por </w:t>
      </w:r>
      <w:r w:rsidR="00CA3128">
        <w:rPr>
          <w:rFonts w:ascii="Arial" w:hAnsi="Arial" w:cs="Arial"/>
          <w:b/>
          <w:bCs/>
          <w:iCs/>
          <w:smallCaps/>
          <w:color w:val="000000" w:themeColor="text1"/>
        </w:rPr>
        <w:t xml:space="preserve">el </w:t>
      </w:r>
      <w:r w:rsidR="00CA3128" w:rsidRPr="00162A3D">
        <w:rPr>
          <w:rFonts w:ascii="Arial" w:hAnsi="Arial" w:cs="Arial"/>
          <w:b/>
          <w:bCs/>
          <w:iCs/>
          <w:smallCaps/>
          <w:color w:val="000000" w:themeColor="text1"/>
        </w:rPr>
        <w:t xml:space="preserve">Ministerio Público </w:t>
      </w:r>
      <w:r w:rsidR="00631543">
        <w:rPr>
          <w:rFonts w:ascii="Arial" w:hAnsi="Arial" w:cs="Arial"/>
          <w:b/>
          <w:bCs/>
          <w:iCs/>
          <w:smallCaps/>
          <w:color w:val="000000" w:themeColor="text1"/>
        </w:rPr>
        <w:t xml:space="preserve">de </w:t>
      </w:r>
      <w:r w:rsidR="00E73FC9">
        <w:rPr>
          <w:rFonts w:ascii="Arial" w:hAnsi="Arial" w:cs="Arial"/>
          <w:b/>
          <w:bCs/>
          <w:iCs/>
          <w:smallCaps/>
          <w:color w:val="000000" w:themeColor="text1"/>
        </w:rPr>
        <w:t>la</w:t>
      </w:r>
      <w:r w:rsidR="00A36C57">
        <w:rPr>
          <w:rFonts w:ascii="Arial" w:hAnsi="Arial" w:cs="Arial"/>
          <w:b/>
          <w:bCs/>
          <w:iCs/>
          <w:smallCaps/>
          <w:color w:val="000000" w:themeColor="text1"/>
        </w:rPr>
        <w:t xml:space="preserve"> FGR y las</w:t>
      </w:r>
      <w:r w:rsidR="00E73FC9">
        <w:rPr>
          <w:rFonts w:ascii="Arial" w:hAnsi="Arial" w:cs="Arial"/>
          <w:b/>
          <w:bCs/>
          <w:iCs/>
          <w:smallCaps/>
          <w:color w:val="000000" w:themeColor="text1"/>
        </w:rPr>
        <w:t xml:space="preserve"> FGE</w:t>
      </w:r>
      <w:r w:rsidRPr="001235D0">
        <w:rPr>
          <w:rFonts w:ascii="Arial" w:hAnsi="Arial" w:cs="Arial"/>
          <w:b/>
          <w:bCs/>
          <w:iCs/>
          <w:smallCaps/>
          <w:color w:val="000000" w:themeColor="text1"/>
        </w:rPr>
        <w:t>, 2021</w:t>
      </w:r>
    </w:p>
    <w:p w14:paraId="010843A7" w14:textId="6B22CD79" w:rsidR="001228F9" w:rsidRDefault="003C3F67" w:rsidP="003C3F67">
      <w:pPr>
        <w:spacing w:before="46" w:after="0" w:line="276" w:lineRule="auto"/>
        <w:ind w:right="601"/>
        <w:jc w:val="center"/>
        <w:rPr>
          <w:rFonts w:ascii="Arial" w:hAnsi="Arial" w:cs="Arial"/>
          <w:sz w:val="24"/>
          <w:szCs w:val="24"/>
        </w:rPr>
      </w:pPr>
      <w:r w:rsidRPr="003108A4">
        <w:rPr>
          <w:noProof/>
          <w:color w:val="000000"/>
          <w:shd w:val="clear" w:color="auto" w:fill="FFFFFF" w:themeFill="background1"/>
        </w:rPr>
        <w:drawing>
          <wp:anchor distT="0" distB="0" distL="114300" distR="114300" simplePos="0" relativeHeight="251685888" behindDoc="0" locked="0" layoutInCell="1" allowOverlap="1" wp14:anchorId="31318FC5" wp14:editId="2177551B">
            <wp:simplePos x="0" y="0"/>
            <wp:positionH relativeFrom="page">
              <wp:align>center</wp:align>
            </wp:positionH>
            <wp:positionV relativeFrom="paragraph">
              <wp:posOffset>47530</wp:posOffset>
            </wp:positionV>
            <wp:extent cx="5392420" cy="1457325"/>
            <wp:effectExtent l="0" t="0" r="0" b="0"/>
            <wp:wrapSquare wrapText="bothSides"/>
            <wp:docPr id="34" name="Gráfico 34">
              <a:extLst xmlns:a="http://schemas.openxmlformats.org/drawingml/2006/main">
                <a:ext uri="{FF2B5EF4-FFF2-40B4-BE49-F238E27FC236}">
                  <a16:creationId xmlns:a16="http://schemas.microsoft.com/office/drawing/2014/main" id="{CA191D3A-0A7B-4E6C-A2D1-0138AE142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V relativeFrom="margin">
              <wp14:pctHeight>0</wp14:pctHeight>
            </wp14:sizeRelV>
          </wp:anchor>
        </w:drawing>
      </w:r>
    </w:p>
    <w:p w14:paraId="3517FF29" w14:textId="7401178B" w:rsidR="001228F9" w:rsidRDefault="001228F9" w:rsidP="001228F9">
      <w:pPr>
        <w:spacing w:before="46" w:after="0" w:line="276" w:lineRule="auto"/>
        <w:ind w:right="601"/>
        <w:jc w:val="center"/>
        <w:rPr>
          <w:rFonts w:ascii="Arial" w:hAnsi="Arial" w:cs="Arial"/>
          <w:sz w:val="24"/>
          <w:szCs w:val="24"/>
        </w:rPr>
      </w:pPr>
    </w:p>
    <w:p w14:paraId="305E5B72" w14:textId="169607D1" w:rsidR="00D92773" w:rsidRDefault="00D92773" w:rsidP="001228F9">
      <w:pPr>
        <w:pStyle w:val="Default"/>
        <w:ind w:right="163"/>
        <w:jc w:val="both"/>
        <w:rPr>
          <w:sz w:val="16"/>
          <w:szCs w:val="16"/>
        </w:rPr>
      </w:pPr>
    </w:p>
    <w:p w14:paraId="3F0BB7F7" w14:textId="34920AE9" w:rsidR="00CE7869" w:rsidRDefault="00CE7869" w:rsidP="001228F9">
      <w:pPr>
        <w:pStyle w:val="Default"/>
        <w:ind w:right="163"/>
        <w:jc w:val="both"/>
        <w:rPr>
          <w:sz w:val="16"/>
          <w:szCs w:val="16"/>
        </w:rPr>
      </w:pPr>
    </w:p>
    <w:p w14:paraId="112DD84B" w14:textId="77777777" w:rsidR="00CE7869" w:rsidRDefault="00CE7869" w:rsidP="001228F9">
      <w:pPr>
        <w:pStyle w:val="Default"/>
        <w:ind w:right="163"/>
        <w:jc w:val="both"/>
        <w:rPr>
          <w:sz w:val="16"/>
          <w:szCs w:val="16"/>
        </w:rPr>
      </w:pPr>
    </w:p>
    <w:p w14:paraId="7F7B2128" w14:textId="77777777" w:rsidR="00CE7869" w:rsidRDefault="00CE7869" w:rsidP="001228F9">
      <w:pPr>
        <w:pStyle w:val="Default"/>
        <w:ind w:right="163"/>
        <w:jc w:val="both"/>
        <w:rPr>
          <w:sz w:val="16"/>
          <w:szCs w:val="16"/>
        </w:rPr>
      </w:pPr>
    </w:p>
    <w:p w14:paraId="625CBB24" w14:textId="71F2A51F" w:rsidR="00CE7869" w:rsidRDefault="00CE7869" w:rsidP="001228F9">
      <w:pPr>
        <w:pStyle w:val="Default"/>
        <w:ind w:right="163"/>
        <w:jc w:val="both"/>
        <w:rPr>
          <w:sz w:val="16"/>
          <w:szCs w:val="16"/>
        </w:rPr>
      </w:pPr>
    </w:p>
    <w:p w14:paraId="5E4C663D" w14:textId="01D62BDD" w:rsidR="00CE7869" w:rsidRDefault="00CE7869" w:rsidP="001228F9">
      <w:pPr>
        <w:pStyle w:val="Default"/>
        <w:ind w:right="163"/>
        <w:jc w:val="both"/>
        <w:rPr>
          <w:sz w:val="16"/>
          <w:szCs w:val="16"/>
        </w:rPr>
      </w:pPr>
    </w:p>
    <w:p w14:paraId="406A14C9" w14:textId="498ADB07" w:rsidR="00CE7869" w:rsidRDefault="00CE7869" w:rsidP="001228F9">
      <w:pPr>
        <w:pStyle w:val="Default"/>
        <w:ind w:right="163"/>
        <w:jc w:val="both"/>
        <w:rPr>
          <w:sz w:val="16"/>
          <w:szCs w:val="16"/>
        </w:rPr>
      </w:pPr>
    </w:p>
    <w:p w14:paraId="2A0F3C73" w14:textId="460C0081" w:rsidR="00CE7869" w:rsidRDefault="00CE7869" w:rsidP="001228F9">
      <w:pPr>
        <w:pStyle w:val="Default"/>
        <w:ind w:right="163"/>
        <w:jc w:val="both"/>
        <w:rPr>
          <w:sz w:val="16"/>
          <w:szCs w:val="16"/>
        </w:rPr>
      </w:pPr>
    </w:p>
    <w:p w14:paraId="4AD16CE8" w14:textId="77777777" w:rsidR="00DA0F51" w:rsidRDefault="00DA0F51" w:rsidP="001228F9">
      <w:pPr>
        <w:pStyle w:val="Default"/>
        <w:ind w:right="163"/>
        <w:jc w:val="both"/>
        <w:rPr>
          <w:sz w:val="16"/>
          <w:szCs w:val="16"/>
        </w:rPr>
      </w:pPr>
    </w:p>
    <w:p w14:paraId="75DE02C8" w14:textId="1F45D5F6" w:rsidR="00CE7869" w:rsidRDefault="00CE7869" w:rsidP="001228F9">
      <w:pPr>
        <w:pStyle w:val="Default"/>
        <w:ind w:right="163"/>
        <w:jc w:val="both"/>
        <w:rPr>
          <w:sz w:val="16"/>
          <w:szCs w:val="16"/>
        </w:rPr>
      </w:pPr>
    </w:p>
    <w:p w14:paraId="0FAB7928" w14:textId="61A8B29D" w:rsidR="005650AE" w:rsidRDefault="005650AE" w:rsidP="00340E1E">
      <w:pPr>
        <w:pStyle w:val="Default"/>
        <w:ind w:right="163"/>
        <w:jc w:val="both"/>
        <w:rPr>
          <w:sz w:val="16"/>
          <w:szCs w:val="16"/>
        </w:rPr>
      </w:pPr>
      <w:r w:rsidRPr="005650AE">
        <w:rPr>
          <w:sz w:val="16"/>
          <w:szCs w:val="16"/>
        </w:rPr>
        <w:t>Nota: No se grafica la categoría «No especificado» correspondiente a 3 837.</w:t>
      </w:r>
      <w:r w:rsidR="006038D0">
        <w:rPr>
          <w:sz w:val="16"/>
          <w:szCs w:val="16"/>
        </w:rPr>
        <w:t xml:space="preserve"> </w:t>
      </w:r>
      <w:r w:rsidR="00340E1E">
        <w:rPr>
          <w:sz w:val="16"/>
          <w:szCs w:val="16"/>
        </w:rPr>
        <w:t>Para la FGR, l</w:t>
      </w:r>
      <w:r w:rsidR="006038D0" w:rsidRPr="006038D0">
        <w:rPr>
          <w:sz w:val="16"/>
          <w:szCs w:val="16"/>
        </w:rPr>
        <w:t>as cifras corresponden únicamente a los inculpados registrados en las averiguaciones previas iniciadas, debido a que reportó no contar con información sobre los imputados registrados en las carpetas de investigación abiertas.</w:t>
      </w:r>
    </w:p>
    <w:p w14:paraId="37CA66E9" w14:textId="71E61D64" w:rsidR="001228F9" w:rsidRDefault="00D822AB" w:rsidP="00AF665E">
      <w:pPr>
        <w:pStyle w:val="Default"/>
        <w:ind w:right="163"/>
        <w:jc w:val="both"/>
        <w:rPr>
          <w:color w:val="auto"/>
        </w:rPr>
      </w:pPr>
      <w:r>
        <w:rPr>
          <w:color w:val="auto"/>
        </w:rPr>
        <w:lastRenderedPageBreak/>
        <w:t xml:space="preserve">De acuerdo con </w:t>
      </w:r>
      <w:r w:rsidR="00F00952">
        <w:rPr>
          <w:color w:val="auto"/>
        </w:rPr>
        <w:t>su</w:t>
      </w:r>
      <w:r>
        <w:rPr>
          <w:color w:val="auto"/>
        </w:rPr>
        <w:t xml:space="preserve"> estatus jurídico</w:t>
      </w:r>
      <w:r w:rsidR="001228F9" w:rsidRPr="005525E0">
        <w:rPr>
          <w:color w:val="auto"/>
        </w:rPr>
        <w:t>,</w:t>
      </w:r>
      <w:r w:rsidR="00D457EA">
        <w:rPr>
          <w:color w:val="auto"/>
        </w:rPr>
        <w:t xml:space="preserve"> </w:t>
      </w:r>
      <w:r w:rsidR="001228F9" w:rsidRPr="005525E0">
        <w:rPr>
          <w:color w:val="auto"/>
        </w:rPr>
        <w:t>3</w:t>
      </w:r>
      <w:r w:rsidR="00D813C4">
        <w:rPr>
          <w:color w:val="auto"/>
        </w:rPr>
        <w:t>1</w:t>
      </w:r>
      <w:r w:rsidR="001228F9" w:rsidRPr="005525E0">
        <w:rPr>
          <w:color w:val="auto"/>
        </w:rPr>
        <w:t>.4 % (</w:t>
      </w:r>
      <w:r w:rsidR="008E5DEB" w:rsidRPr="008E5DEB">
        <w:rPr>
          <w:color w:val="auto"/>
        </w:rPr>
        <w:t>470 031</w:t>
      </w:r>
      <w:r w:rsidR="001228F9" w:rsidRPr="005525E0">
        <w:rPr>
          <w:color w:val="auto"/>
        </w:rPr>
        <w:t>) correspondi</w:t>
      </w:r>
      <w:r w:rsidR="00E73FC9">
        <w:rPr>
          <w:color w:val="auto"/>
        </w:rPr>
        <w:t>ó a</w:t>
      </w:r>
      <w:r w:rsidR="001228F9" w:rsidRPr="005525E0">
        <w:rPr>
          <w:color w:val="auto"/>
        </w:rPr>
        <w:t xml:space="preserve"> </w:t>
      </w:r>
      <w:r w:rsidR="00D457EA">
        <w:rPr>
          <w:color w:val="auto"/>
        </w:rPr>
        <w:t xml:space="preserve">personas </w:t>
      </w:r>
      <w:r w:rsidR="00FB20AC" w:rsidRPr="006A693C">
        <w:rPr>
          <w:color w:val="auto"/>
        </w:rPr>
        <w:t>inculpadas</w:t>
      </w:r>
      <w:r w:rsidR="00FB20AC">
        <w:rPr>
          <w:color w:val="auto"/>
        </w:rPr>
        <w:t xml:space="preserve"> y</w:t>
      </w:r>
      <w:r w:rsidR="00FB20AC" w:rsidRPr="006A693C">
        <w:rPr>
          <w:color w:val="auto"/>
        </w:rPr>
        <w:t>/</w:t>
      </w:r>
      <w:r w:rsidR="00FB20AC">
        <w:rPr>
          <w:color w:val="auto"/>
        </w:rPr>
        <w:t xml:space="preserve">o </w:t>
      </w:r>
      <w:r w:rsidR="001228F9" w:rsidRPr="005525E0">
        <w:rPr>
          <w:color w:val="auto"/>
        </w:rPr>
        <w:t>imputad</w:t>
      </w:r>
      <w:r w:rsidR="007724D5">
        <w:rPr>
          <w:color w:val="auto"/>
        </w:rPr>
        <w:t>a</w:t>
      </w:r>
      <w:r w:rsidR="001228F9" w:rsidRPr="005525E0">
        <w:rPr>
          <w:color w:val="auto"/>
        </w:rPr>
        <w:t>s detenid</w:t>
      </w:r>
      <w:r w:rsidR="007724D5">
        <w:rPr>
          <w:color w:val="auto"/>
        </w:rPr>
        <w:t>a</w:t>
      </w:r>
      <w:r w:rsidR="001228F9" w:rsidRPr="005525E0">
        <w:rPr>
          <w:color w:val="auto"/>
        </w:rPr>
        <w:t>s y</w:t>
      </w:r>
      <w:r w:rsidR="001228F9">
        <w:rPr>
          <w:color w:val="auto"/>
        </w:rPr>
        <w:t xml:space="preserve"> </w:t>
      </w:r>
      <w:r w:rsidR="001228F9" w:rsidRPr="005525E0">
        <w:rPr>
          <w:color w:val="auto"/>
        </w:rPr>
        <w:t>6</w:t>
      </w:r>
      <w:r w:rsidR="00F43E36">
        <w:rPr>
          <w:color w:val="auto"/>
        </w:rPr>
        <w:t>5.4</w:t>
      </w:r>
      <w:r w:rsidR="001228F9" w:rsidRPr="005525E0">
        <w:rPr>
          <w:color w:val="auto"/>
        </w:rPr>
        <w:t xml:space="preserve"> % (</w:t>
      </w:r>
      <w:r w:rsidR="00CB5B9B" w:rsidRPr="00CB5B9B">
        <w:rPr>
          <w:color w:val="auto"/>
        </w:rPr>
        <w:t>980 115</w:t>
      </w:r>
      <w:r w:rsidR="001228F9" w:rsidRPr="005525E0">
        <w:rPr>
          <w:color w:val="auto"/>
        </w:rPr>
        <w:t>)</w:t>
      </w:r>
      <w:r w:rsidR="00603E2B">
        <w:rPr>
          <w:color w:val="auto"/>
        </w:rPr>
        <w:t>,</w:t>
      </w:r>
      <w:r w:rsidR="001228F9" w:rsidRPr="005525E0">
        <w:rPr>
          <w:color w:val="auto"/>
        </w:rPr>
        <w:t xml:space="preserve"> a </w:t>
      </w:r>
      <w:r w:rsidR="00225EBD" w:rsidRPr="006A693C">
        <w:rPr>
          <w:color w:val="auto"/>
        </w:rPr>
        <w:t>inculpadas</w:t>
      </w:r>
      <w:r w:rsidR="00225EBD">
        <w:rPr>
          <w:color w:val="auto"/>
        </w:rPr>
        <w:t xml:space="preserve"> y</w:t>
      </w:r>
      <w:r w:rsidR="00225EBD" w:rsidRPr="006A693C">
        <w:rPr>
          <w:color w:val="auto"/>
        </w:rPr>
        <w:t>/</w:t>
      </w:r>
      <w:r w:rsidR="00225EBD">
        <w:rPr>
          <w:color w:val="auto"/>
        </w:rPr>
        <w:t xml:space="preserve">o </w:t>
      </w:r>
      <w:r w:rsidR="001228F9" w:rsidRPr="005525E0">
        <w:rPr>
          <w:color w:val="auto"/>
        </w:rPr>
        <w:t>imputad</w:t>
      </w:r>
      <w:r w:rsidR="007724D5">
        <w:rPr>
          <w:color w:val="auto"/>
        </w:rPr>
        <w:t>a</w:t>
      </w:r>
      <w:r w:rsidR="001228F9" w:rsidRPr="005525E0">
        <w:rPr>
          <w:color w:val="auto"/>
        </w:rPr>
        <w:t>s no detenid</w:t>
      </w:r>
      <w:r w:rsidR="007724D5">
        <w:rPr>
          <w:color w:val="auto"/>
        </w:rPr>
        <w:t>a</w:t>
      </w:r>
      <w:r w:rsidR="001228F9" w:rsidRPr="005525E0">
        <w:rPr>
          <w:color w:val="auto"/>
        </w:rPr>
        <w:t>s. Respecto al tipo de detención u orden judicial</w:t>
      </w:r>
      <w:r w:rsidR="00E73FC9">
        <w:rPr>
          <w:color w:val="auto"/>
        </w:rPr>
        <w:t xml:space="preserve">, </w:t>
      </w:r>
      <w:r w:rsidR="0056397C">
        <w:rPr>
          <w:color w:val="auto"/>
        </w:rPr>
        <w:t xml:space="preserve">para </w:t>
      </w:r>
      <w:r w:rsidR="007724D5">
        <w:rPr>
          <w:color w:val="auto"/>
        </w:rPr>
        <w:t xml:space="preserve">las personas </w:t>
      </w:r>
      <w:r w:rsidR="00225EBD" w:rsidRPr="006A693C">
        <w:rPr>
          <w:color w:val="auto"/>
        </w:rPr>
        <w:t>inculpadas</w:t>
      </w:r>
      <w:r w:rsidR="00225EBD">
        <w:rPr>
          <w:color w:val="auto"/>
        </w:rPr>
        <w:t xml:space="preserve"> y</w:t>
      </w:r>
      <w:r w:rsidR="00225EBD" w:rsidRPr="006A693C">
        <w:rPr>
          <w:color w:val="auto"/>
        </w:rPr>
        <w:t>/</w:t>
      </w:r>
      <w:r w:rsidR="00225EBD">
        <w:rPr>
          <w:color w:val="auto"/>
        </w:rPr>
        <w:t xml:space="preserve">o </w:t>
      </w:r>
      <w:r w:rsidR="0056397C">
        <w:rPr>
          <w:color w:val="auto"/>
        </w:rPr>
        <w:t>imputad</w:t>
      </w:r>
      <w:r w:rsidR="007724D5">
        <w:rPr>
          <w:color w:val="auto"/>
        </w:rPr>
        <w:t>a</w:t>
      </w:r>
      <w:r w:rsidR="0056397C">
        <w:rPr>
          <w:color w:val="auto"/>
        </w:rPr>
        <w:t>s detenid</w:t>
      </w:r>
      <w:r w:rsidR="007724D5">
        <w:rPr>
          <w:color w:val="auto"/>
        </w:rPr>
        <w:t>a</w:t>
      </w:r>
      <w:r w:rsidR="0056397C">
        <w:rPr>
          <w:color w:val="auto"/>
        </w:rPr>
        <w:t xml:space="preserve">s </w:t>
      </w:r>
      <w:r w:rsidR="001228F9" w:rsidRPr="005525E0">
        <w:rPr>
          <w:color w:val="auto"/>
        </w:rPr>
        <w:t>destac</w:t>
      </w:r>
      <w:r w:rsidR="007724D5">
        <w:rPr>
          <w:color w:val="auto"/>
        </w:rPr>
        <w:t>ó</w:t>
      </w:r>
      <w:r w:rsidR="001228F9">
        <w:rPr>
          <w:color w:val="auto"/>
        </w:rPr>
        <w:t xml:space="preserve"> </w:t>
      </w:r>
      <w:r w:rsidR="001228F9" w:rsidRPr="00564692">
        <w:rPr>
          <w:i/>
          <w:iCs/>
          <w:color w:val="auto"/>
        </w:rPr>
        <w:t>flagrancia</w:t>
      </w:r>
      <w:r w:rsidR="007724D5">
        <w:rPr>
          <w:color w:val="auto"/>
        </w:rPr>
        <w:t xml:space="preserve">. Para las </w:t>
      </w:r>
      <w:r w:rsidR="00FA6F86" w:rsidRPr="006A693C">
        <w:rPr>
          <w:color w:val="auto"/>
        </w:rPr>
        <w:t>inculpadas</w:t>
      </w:r>
      <w:r w:rsidR="00FA6F86">
        <w:rPr>
          <w:color w:val="auto"/>
        </w:rPr>
        <w:t xml:space="preserve"> y</w:t>
      </w:r>
      <w:r w:rsidR="00FA6F86" w:rsidRPr="006A693C">
        <w:rPr>
          <w:color w:val="auto"/>
        </w:rPr>
        <w:t>/</w:t>
      </w:r>
      <w:r w:rsidR="00FA6F86">
        <w:rPr>
          <w:color w:val="auto"/>
        </w:rPr>
        <w:t xml:space="preserve">o </w:t>
      </w:r>
      <w:r w:rsidR="0056397C">
        <w:rPr>
          <w:color w:val="auto"/>
        </w:rPr>
        <w:t>imputad</w:t>
      </w:r>
      <w:r w:rsidR="007724D5">
        <w:rPr>
          <w:color w:val="auto"/>
        </w:rPr>
        <w:t>a</w:t>
      </w:r>
      <w:r w:rsidR="0056397C">
        <w:rPr>
          <w:color w:val="auto"/>
        </w:rPr>
        <w:t>s no detenid</w:t>
      </w:r>
      <w:r w:rsidR="007724D5">
        <w:rPr>
          <w:color w:val="auto"/>
        </w:rPr>
        <w:t>a</w:t>
      </w:r>
      <w:r w:rsidR="0056397C">
        <w:rPr>
          <w:color w:val="auto"/>
        </w:rPr>
        <w:t>s sobresal</w:t>
      </w:r>
      <w:r w:rsidR="007724D5">
        <w:rPr>
          <w:color w:val="auto"/>
        </w:rPr>
        <w:t>ió</w:t>
      </w:r>
      <w:r w:rsidR="001228F9" w:rsidRPr="005525E0">
        <w:rPr>
          <w:color w:val="auto"/>
        </w:rPr>
        <w:t xml:space="preserve"> </w:t>
      </w:r>
      <w:r w:rsidR="001228F9" w:rsidRPr="00564692">
        <w:rPr>
          <w:i/>
          <w:iCs/>
          <w:color w:val="auto"/>
        </w:rPr>
        <w:t>sin orden judicial</w:t>
      </w:r>
      <w:r w:rsidR="001228F9" w:rsidRPr="005525E0">
        <w:rPr>
          <w:color w:val="auto"/>
        </w:rPr>
        <w:t>.</w:t>
      </w:r>
    </w:p>
    <w:p w14:paraId="6ADAC7B1" w14:textId="77777777" w:rsidR="001228F9" w:rsidRDefault="001228F9" w:rsidP="001228F9">
      <w:pPr>
        <w:pStyle w:val="Default"/>
        <w:ind w:right="163"/>
        <w:jc w:val="both"/>
        <w:rPr>
          <w:color w:val="auto"/>
        </w:rPr>
      </w:pPr>
    </w:p>
    <w:p w14:paraId="662BC357" w14:textId="451636C3" w:rsidR="001228F9" w:rsidRPr="000F4EC1" w:rsidRDefault="001228F9" w:rsidP="001228F9">
      <w:pPr>
        <w:pStyle w:val="Default"/>
        <w:jc w:val="center"/>
        <w:rPr>
          <w:color w:val="auto"/>
          <w:sz w:val="20"/>
          <w:szCs w:val="20"/>
        </w:rPr>
      </w:pPr>
      <w:r w:rsidRPr="000F4EC1">
        <w:rPr>
          <w:color w:val="auto"/>
          <w:sz w:val="20"/>
          <w:szCs w:val="20"/>
        </w:rPr>
        <w:t xml:space="preserve">Gráfica </w:t>
      </w:r>
      <w:r>
        <w:rPr>
          <w:color w:val="auto"/>
          <w:sz w:val="20"/>
          <w:szCs w:val="20"/>
        </w:rPr>
        <w:t>2</w:t>
      </w:r>
      <w:r w:rsidR="00E73FC9">
        <w:rPr>
          <w:color w:val="auto"/>
          <w:sz w:val="20"/>
          <w:szCs w:val="20"/>
        </w:rPr>
        <w:t>7</w:t>
      </w:r>
    </w:p>
    <w:p w14:paraId="37F1CC21" w14:textId="29081A98" w:rsidR="001228F9" w:rsidRPr="00ED4014" w:rsidRDefault="001228F9" w:rsidP="00E1047E">
      <w:pPr>
        <w:pStyle w:val="Default"/>
        <w:ind w:right="163"/>
        <w:jc w:val="center"/>
        <w:rPr>
          <w:b/>
          <w:bCs/>
          <w:iCs/>
          <w:smallCaps/>
          <w:color w:val="000000" w:themeColor="text1"/>
          <w:sz w:val="22"/>
          <w:szCs w:val="22"/>
        </w:rPr>
      </w:pPr>
      <w:r w:rsidRPr="00ED4014">
        <w:rPr>
          <w:b/>
          <w:bCs/>
          <w:iCs/>
          <w:smallCaps/>
          <w:color w:val="000000" w:themeColor="text1"/>
          <w:sz w:val="22"/>
          <w:szCs w:val="22"/>
        </w:rPr>
        <w:t xml:space="preserve">Personas </w:t>
      </w:r>
      <w:r w:rsidR="00333AD4" w:rsidRPr="00333AD4">
        <w:rPr>
          <w:b/>
          <w:bCs/>
          <w:iCs/>
          <w:smallCaps/>
          <w:color w:val="000000" w:themeColor="text1"/>
          <w:sz w:val="22"/>
          <w:szCs w:val="22"/>
        </w:rPr>
        <w:t xml:space="preserve">inculpadas y/o </w:t>
      </w:r>
      <w:r w:rsidRPr="00ED4014">
        <w:rPr>
          <w:b/>
          <w:bCs/>
          <w:iCs/>
          <w:smallCaps/>
          <w:color w:val="000000" w:themeColor="text1"/>
          <w:sz w:val="22"/>
          <w:szCs w:val="22"/>
        </w:rPr>
        <w:t xml:space="preserve">imputadas en las </w:t>
      </w:r>
      <w:r w:rsidR="007E2EE0" w:rsidRPr="00776B1B">
        <w:rPr>
          <w:b/>
          <w:bCs/>
          <w:iCs/>
          <w:smallCaps/>
          <w:color w:val="000000" w:themeColor="text1"/>
          <w:sz w:val="22"/>
          <w:szCs w:val="22"/>
        </w:rPr>
        <w:t>averiguaciones previas, investigaciones y carpetas de investigación abiertas</w:t>
      </w:r>
      <w:r w:rsidR="00631543" w:rsidRPr="00DF0D6A">
        <w:rPr>
          <w:b/>
          <w:bCs/>
          <w:iCs/>
          <w:smallCaps/>
          <w:color w:val="000000" w:themeColor="text1"/>
          <w:sz w:val="22"/>
          <w:szCs w:val="22"/>
        </w:rPr>
        <w:t xml:space="preserve"> Ministerio Público de la</w:t>
      </w:r>
      <w:r w:rsidR="00A540C5">
        <w:rPr>
          <w:b/>
          <w:bCs/>
          <w:iCs/>
          <w:smallCaps/>
          <w:color w:val="000000" w:themeColor="text1"/>
          <w:sz w:val="22"/>
          <w:szCs w:val="22"/>
        </w:rPr>
        <w:t xml:space="preserve"> FGR y las</w:t>
      </w:r>
      <w:r w:rsidR="00E1047E" w:rsidRPr="00ED4014">
        <w:rPr>
          <w:b/>
          <w:bCs/>
          <w:iCs/>
          <w:smallCaps/>
          <w:color w:val="000000" w:themeColor="text1"/>
          <w:sz w:val="22"/>
          <w:szCs w:val="22"/>
        </w:rPr>
        <w:t xml:space="preserve"> FGE</w:t>
      </w:r>
      <w:r w:rsidRPr="00ED4014">
        <w:rPr>
          <w:b/>
          <w:bCs/>
          <w:iCs/>
          <w:smallCaps/>
          <w:color w:val="000000" w:themeColor="text1"/>
          <w:sz w:val="22"/>
          <w:szCs w:val="22"/>
        </w:rPr>
        <w:t>, según estatus jurídico y tipo de detención u orden judicial, 202</w:t>
      </w:r>
      <w:r w:rsidR="00CF7B02" w:rsidRPr="00ED4014">
        <w:rPr>
          <w:b/>
          <w:bCs/>
          <w:iCs/>
          <w:smallCaps/>
          <w:color w:val="000000" w:themeColor="text1"/>
          <w:sz w:val="22"/>
          <w:szCs w:val="22"/>
        </w:rPr>
        <w:t>1</w:t>
      </w:r>
    </w:p>
    <w:p w14:paraId="373DB894" w14:textId="22E8F64F" w:rsidR="001228F9" w:rsidRDefault="00B82130" w:rsidP="00CE7869">
      <w:pPr>
        <w:pStyle w:val="Default"/>
        <w:ind w:right="163"/>
        <w:jc w:val="center"/>
        <w:rPr>
          <w:b/>
          <w:bCs/>
          <w:iCs/>
          <w:smallCaps/>
          <w:color w:val="000000" w:themeColor="text1"/>
          <w:sz w:val="22"/>
          <w:szCs w:val="22"/>
        </w:rPr>
      </w:pPr>
      <w:r w:rsidRPr="00B82130">
        <w:rPr>
          <w:b/>
          <w:bCs/>
          <w:iCs/>
          <w:smallCaps/>
          <w:noProof/>
          <w:color w:val="000000" w:themeColor="text1"/>
          <w:sz w:val="22"/>
          <w:szCs w:val="22"/>
        </w:rPr>
        <w:drawing>
          <wp:inline distT="0" distB="0" distL="0" distR="0" wp14:anchorId="5E3DF30A" wp14:editId="7033735B">
            <wp:extent cx="5925185" cy="1589964"/>
            <wp:effectExtent l="0" t="0" r="0" b="0"/>
            <wp:docPr id="23" name="Gráfico 23">
              <a:extLst xmlns:a="http://schemas.openxmlformats.org/drawingml/2006/main">
                <a:ext uri="{FF2B5EF4-FFF2-40B4-BE49-F238E27FC236}">
                  <a16:creationId xmlns:a16="http://schemas.microsoft.com/office/drawing/2014/main" id="{871F3AA2-E798-5B59-81EB-7CF7EEE85E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88E8DDC" w14:textId="77777777" w:rsidR="00D92773" w:rsidRPr="00421716" w:rsidRDefault="00D92773" w:rsidP="00D92773">
      <w:pPr>
        <w:pStyle w:val="Default"/>
        <w:tabs>
          <w:tab w:val="left" w:pos="815"/>
        </w:tabs>
        <w:ind w:right="163"/>
        <w:jc w:val="both"/>
      </w:pPr>
    </w:p>
    <w:p w14:paraId="7A9C23A9" w14:textId="71D230BC" w:rsidR="00E977E9" w:rsidRDefault="006C380C" w:rsidP="00D92773">
      <w:pPr>
        <w:pStyle w:val="Default"/>
        <w:tabs>
          <w:tab w:val="left" w:pos="815"/>
        </w:tabs>
        <w:ind w:right="163"/>
        <w:jc w:val="both"/>
        <w:rPr>
          <w:sz w:val="16"/>
          <w:szCs w:val="16"/>
        </w:rPr>
      </w:pPr>
      <w:r>
        <w:rPr>
          <w:sz w:val="16"/>
          <w:szCs w:val="16"/>
        </w:rPr>
        <w:t xml:space="preserve">Nota: </w:t>
      </w:r>
      <w:r w:rsidR="00C15377" w:rsidRPr="00C15377">
        <w:rPr>
          <w:sz w:val="16"/>
          <w:szCs w:val="16"/>
        </w:rPr>
        <w:t>No se grafican las categorías: «No especificado detenidos» correspondiente a 22 047, «No especificado no detenidos» con 222 369 registros y «No especificado» con 47 753.</w:t>
      </w:r>
    </w:p>
    <w:p w14:paraId="0945DD85" w14:textId="68FCA576" w:rsidR="00585E9F" w:rsidRDefault="00585E9F" w:rsidP="0069092D">
      <w:pPr>
        <w:pStyle w:val="Default"/>
        <w:tabs>
          <w:tab w:val="left" w:pos="815"/>
        </w:tabs>
        <w:ind w:right="163"/>
        <w:rPr>
          <w:color w:val="auto"/>
        </w:rPr>
      </w:pPr>
    </w:p>
    <w:p w14:paraId="715C3664" w14:textId="5A9E944D" w:rsidR="00287B43" w:rsidRPr="00D41818" w:rsidRDefault="007724D5" w:rsidP="00920907">
      <w:pPr>
        <w:pStyle w:val="Default"/>
        <w:tabs>
          <w:tab w:val="left" w:pos="815"/>
        </w:tabs>
        <w:ind w:right="21"/>
        <w:jc w:val="both"/>
        <w:rPr>
          <w:color w:val="auto"/>
          <w:spacing w:val="-4"/>
        </w:rPr>
      </w:pPr>
      <w:r>
        <w:rPr>
          <w:color w:val="auto"/>
          <w:spacing w:val="-4"/>
        </w:rPr>
        <w:t>En 2021, a</w:t>
      </w:r>
      <w:r w:rsidR="0056397C" w:rsidRPr="00D41818">
        <w:rPr>
          <w:color w:val="auto"/>
          <w:spacing w:val="-4"/>
        </w:rPr>
        <w:t xml:space="preserve"> nivel nacional</w:t>
      </w:r>
      <w:r>
        <w:rPr>
          <w:color w:val="auto"/>
          <w:spacing w:val="-4"/>
        </w:rPr>
        <w:t xml:space="preserve"> </w:t>
      </w:r>
      <w:r w:rsidR="0056397C" w:rsidRPr="00D41818">
        <w:rPr>
          <w:color w:val="auto"/>
          <w:spacing w:val="-4"/>
        </w:rPr>
        <w:t xml:space="preserve">se registraron </w:t>
      </w:r>
      <w:r w:rsidR="00B80206" w:rsidRPr="00B80206">
        <w:rPr>
          <w:color w:val="auto"/>
          <w:spacing w:val="-4"/>
        </w:rPr>
        <w:t xml:space="preserve">214 997 </w:t>
      </w:r>
      <w:r w:rsidR="001C3CCF" w:rsidRPr="00D41818">
        <w:rPr>
          <w:color w:val="auto"/>
          <w:spacing w:val="-4"/>
        </w:rPr>
        <w:t>determinaciones y/o conclusiones efectuadas en las averiguaciones previas e investigaciones</w:t>
      </w:r>
      <w:r w:rsidR="009E644C" w:rsidRPr="00D41818">
        <w:rPr>
          <w:color w:val="auto"/>
          <w:spacing w:val="-4"/>
        </w:rPr>
        <w:t>. D</w:t>
      </w:r>
      <w:r w:rsidR="0008014C" w:rsidRPr="00D41818">
        <w:rPr>
          <w:color w:val="auto"/>
          <w:spacing w:val="-4"/>
        </w:rPr>
        <w:t>e e</w:t>
      </w:r>
      <w:r w:rsidR="0056397C" w:rsidRPr="00D41818">
        <w:rPr>
          <w:color w:val="auto"/>
          <w:spacing w:val="-4"/>
        </w:rPr>
        <w:t>stas</w:t>
      </w:r>
      <w:r w:rsidR="0008014C" w:rsidRPr="00D41818">
        <w:rPr>
          <w:color w:val="auto"/>
          <w:spacing w:val="-4"/>
        </w:rPr>
        <w:t xml:space="preserve">, </w:t>
      </w:r>
      <w:r w:rsidR="00300954" w:rsidRPr="00D41818">
        <w:rPr>
          <w:color w:val="auto"/>
          <w:spacing w:val="-4"/>
        </w:rPr>
        <w:t>73.2 % (</w:t>
      </w:r>
      <w:r w:rsidR="00BB40D0" w:rsidRPr="00BB40D0">
        <w:rPr>
          <w:color w:val="auto"/>
          <w:spacing w:val="-4"/>
        </w:rPr>
        <w:t>157 293</w:t>
      </w:r>
      <w:r w:rsidR="00300954" w:rsidRPr="00D41818">
        <w:rPr>
          <w:color w:val="auto"/>
          <w:spacing w:val="-4"/>
        </w:rPr>
        <w:t xml:space="preserve">) correspondió al </w:t>
      </w:r>
      <w:r w:rsidR="00ED4014">
        <w:rPr>
          <w:color w:val="auto"/>
          <w:spacing w:val="-4"/>
        </w:rPr>
        <w:t>M</w:t>
      </w:r>
      <w:r w:rsidR="00300954" w:rsidRPr="00D41818">
        <w:rPr>
          <w:color w:val="auto"/>
          <w:spacing w:val="-4"/>
        </w:rPr>
        <w:t xml:space="preserve">inisterio </w:t>
      </w:r>
      <w:r w:rsidR="00ED4014">
        <w:rPr>
          <w:color w:val="auto"/>
          <w:spacing w:val="-4"/>
        </w:rPr>
        <w:t>P</w:t>
      </w:r>
      <w:r w:rsidR="00300954" w:rsidRPr="00D41818">
        <w:rPr>
          <w:color w:val="auto"/>
          <w:spacing w:val="-4"/>
        </w:rPr>
        <w:t xml:space="preserve">úblico estatal y </w:t>
      </w:r>
      <w:r w:rsidR="00160E57" w:rsidRPr="00D41818">
        <w:rPr>
          <w:color w:val="auto"/>
          <w:spacing w:val="-4"/>
        </w:rPr>
        <w:t>26</w:t>
      </w:r>
      <w:r w:rsidR="00585326" w:rsidRPr="00D41818">
        <w:rPr>
          <w:color w:val="auto"/>
          <w:spacing w:val="-4"/>
        </w:rPr>
        <w:t>.8</w:t>
      </w:r>
      <w:r w:rsidR="00160E57" w:rsidRPr="00D41818">
        <w:rPr>
          <w:color w:val="auto"/>
          <w:spacing w:val="-4"/>
        </w:rPr>
        <w:t xml:space="preserve"> % (</w:t>
      </w:r>
      <w:r w:rsidR="002F0EB6" w:rsidRPr="00D41818">
        <w:rPr>
          <w:color w:val="auto"/>
          <w:spacing w:val="-4"/>
        </w:rPr>
        <w:t>57 704)</w:t>
      </w:r>
      <w:r w:rsidR="00E11D42" w:rsidRPr="00D41818">
        <w:rPr>
          <w:color w:val="auto"/>
          <w:spacing w:val="-4"/>
        </w:rPr>
        <w:t xml:space="preserve"> </w:t>
      </w:r>
      <w:r w:rsidR="000C0D37" w:rsidRPr="00D41818">
        <w:rPr>
          <w:color w:val="auto"/>
          <w:spacing w:val="-4"/>
        </w:rPr>
        <w:t>al</w:t>
      </w:r>
      <w:r w:rsidR="007E62BD" w:rsidRPr="00D41818">
        <w:rPr>
          <w:color w:val="auto"/>
          <w:spacing w:val="-4"/>
        </w:rPr>
        <w:t xml:space="preserve"> </w:t>
      </w:r>
      <w:r w:rsidR="00ED4014">
        <w:rPr>
          <w:color w:val="auto"/>
          <w:spacing w:val="-4"/>
        </w:rPr>
        <w:t>M</w:t>
      </w:r>
      <w:r w:rsidR="007E62BD" w:rsidRPr="00D41818">
        <w:rPr>
          <w:color w:val="auto"/>
          <w:spacing w:val="-4"/>
        </w:rPr>
        <w:t xml:space="preserve">inisterio </w:t>
      </w:r>
      <w:r w:rsidR="00ED4014">
        <w:rPr>
          <w:color w:val="auto"/>
          <w:spacing w:val="-4"/>
        </w:rPr>
        <w:t>P</w:t>
      </w:r>
      <w:r w:rsidR="007E62BD" w:rsidRPr="00D41818">
        <w:rPr>
          <w:color w:val="auto"/>
          <w:spacing w:val="-4"/>
        </w:rPr>
        <w:t xml:space="preserve">úblico </w:t>
      </w:r>
      <w:r w:rsidR="001842BE" w:rsidRPr="00D41818">
        <w:rPr>
          <w:color w:val="auto"/>
          <w:spacing w:val="-4"/>
        </w:rPr>
        <w:t xml:space="preserve">de la </w:t>
      </w:r>
      <w:r w:rsidR="008B0D34">
        <w:rPr>
          <w:color w:val="auto"/>
          <w:spacing w:val="-4"/>
        </w:rPr>
        <w:t>f</w:t>
      </w:r>
      <w:r w:rsidR="001842BE" w:rsidRPr="00D41818">
        <w:rPr>
          <w:color w:val="auto"/>
          <w:spacing w:val="-4"/>
        </w:rPr>
        <w:t>ederación</w:t>
      </w:r>
      <w:r w:rsidR="00B32352" w:rsidRPr="00D41818">
        <w:rPr>
          <w:color w:val="auto"/>
          <w:spacing w:val="-4"/>
        </w:rPr>
        <w:t xml:space="preserve">. </w:t>
      </w:r>
      <w:r w:rsidR="0056397C" w:rsidRPr="00D41818">
        <w:rPr>
          <w:color w:val="auto"/>
          <w:spacing w:val="-4"/>
        </w:rPr>
        <w:t>C</w:t>
      </w:r>
      <w:r w:rsidR="00A956B9" w:rsidRPr="00D41818">
        <w:rPr>
          <w:color w:val="auto"/>
          <w:spacing w:val="-4"/>
        </w:rPr>
        <w:t>on respecto a lo reportado en 2020</w:t>
      </w:r>
      <w:r w:rsidR="00820AEF">
        <w:rPr>
          <w:color w:val="auto"/>
          <w:spacing w:val="-4"/>
        </w:rPr>
        <w:t>,</w:t>
      </w:r>
      <w:r w:rsidR="00A956B9" w:rsidRPr="00D41818">
        <w:rPr>
          <w:rStyle w:val="Refdenotaalpie"/>
          <w:color w:val="auto"/>
          <w:spacing w:val="-4"/>
        </w:rPr>
        <w:footnoteReference w:id="14"/>
      </w:r>
      <w:r w:rsidR="0056397C" w:rsidRPr="00D41818">
        <w:rPr>
          <w:color w:val="auto"/>
          <w:spacing w:val="-4"/>
        </w:rPr>
        <w:t xml:space="preserve"> las determinaciones</w:t>
      </w:r>
      <w:r w:rsidR="000379BF" w:rsidRPr="00D41818">
        <w:rPr>
          <w:color w:val="auto"/>
          <w:spacing w:val="-4"/>
        </w:rPr>
        <w:t xml:space="preserve"> disminuy</w:t>
      </w:r>
      <w:r w:rsidR="0056397C" w:rsidRPr="00D41818">
        <w:rPr>
          <w:color w:val="auto"/>
          <w:spacing w:val="-4"/>
        </w:rPr>
        <w:t>eron</w:t>
      </w:r>
      <w:r w:rsidR="000379BF" w:rsidRPr="00D41818">
        <w:rPr>
          <w:color w:val="auto"/>
          <w:spacing w:val="-4"/>
        </w:rPr>
        <w:t xml:space="preserve"> </w:t>
      </w:r>
      <w:r w:rsidR="00990DAF" w:rsidRPr="00D41818">
        <w:rPr>
          <w:color w:val="auto"/>
          <w:spacing w:val="-4"/>
        </w:rPr>
        <w:t>14.0</w:t>
      </w:r>
      <w:r w:rsidR="00285E7E">
        <w:rPr>
          <w:color w:val="auto"/>
          <w:spacing w:val="-4"/>
        </w:rPr>
        <w:t xml:space="preserve"> %</w:t>
      </w:r>
      <w:r w:rsidR="000379BF" w:rsidRPr="00D41818">
        <w:rPr>
          <w:color w:val="auto"/>
          <w:spacing w:val="-4"/>
        </w:rPr>
        <w:t xml:space="preserve">. </w:t>
      </w:r>
      <w:r w:rsidR="0056397C" w:rsidRPr="00D41818">
        <w:rPr>
          <w:color w:val="auto"/>
          <w:spacing w:val="-4"/>
        </w:rPr>
        <w:t>Por</w:t>
      </w:r>
      <w:r w:rsidR="00C063A6" w:rsidRPr="00D41818">
        <w:rPr>
          <w:color w:val="auto"/>
          <w:spacing w:val="-4"/>
        </w:rPr>
        <w:t xml:space="preserve"> tipo</w:t>
      </w:r>
      <w:r w:rsidR="0056397C" w:rsidRPr="00D41818">
        <w:rPr>
          <w:color w:val="auto"/>
          <w:spacing w:val="-4"/>
        </w:rPr>
        <w:t xml:space="preserve"> de determinación</w:t>
      </w:r>
      <w:r w:rsidR="00C063A6" w:rsidRPr="00D41818">
        <w:rPr>
          <w:color w:val="auto"/>
          <w:spacing w:val="-4"/>
        </w:rPr>
        <w:t>,</w:t>
      </w:r>
      <w:r w:rsidR="0056397C" w:rsidRPr="00D41818">
        <w:rPr>
          <w:color w:val="auto"/>
          <w:spacing w:val="-4"/>
        </w:rPr>
        <w:t xml:space="preserve"> destac</w:t>
      </w:r>
      <w:r w:rsidR="00820AEF">
        <w:rPr>
          <w:color w:val="auto"/>
          <w:spacing w:val="-4"/>
        </w:rPr>
        <w:t>ó</w:t>
      </w:r>
      <w:r w:rsidR="0056397C" w:rsidRPr="00D41818">
        <w:rPr>
          <w:color w:val="auto"/>
          <w:spacing w:val="-4"/>
        </w:rPr>
        <w:t xml:space="preserve"> el </w:t>
      </w:r>
      <w:r w:rsidR="0056397C" w:rsidRPr="00D41818">
        <w:rPr>
          <w:i/>
          <w:iCs/>
          <w:color w:val="auto"/>
          <w:spacing w:val="-4"/>
        </w:rPr>
        <w:t>no ejercicio de la acción penal/</w:t>
      </w:r>
      <w:r w:rsidR="00820AEF">
        <w:rPr>
          <w:i/>
          <w:iCs/>
          <w:color w:val="auto"/>
          <w:spacing w:val="-4"/>
        </w:rPr>
        <w:t xml:space="preserve"> i</w:t>
      </w:r>
      <w:r w:rsidR="00820AEF" w:rsidRPr="00D41818">
        <w:rPr>
          <w:i/>
          <w:iCs/>
          <w:color w:val="auto"/>
          <w:spacing w:val="-4"/>
        </w:rPr>
        <w:t>mprocedencia</w:t>
      </w:r>
      <w:r w:rsidR="0056397C" w:rsidRPr="00D41818">
        <w:rPr>
          <w:i/>
          <w:iCs/>
          <w:color w:val="auto"/>
          <w:spacing w:val="-4"/>
        </w:rPr>
        <w:t>,</w:t>
      </w:r>
      <w:r w:rsidR="0056397C" w:rsidRPr="00D41818">
        <w:rPr>
          <w:color w:val="auto"/>
          <w:spacing w:val="-4"/>
        </w:rPr>
        <w:t xml:space="preserve"> con </w:t>
      </w:r>
      <w:r w:rsidR="001C3CCF" w:rsidRPr="00D41818">
        <w:rPr>
          <w:color w:val="auto"/>
          <w:spacing w:val="-4"/>
        </w:rPr>
        <w:t>94.5</w:t>
      </w:r>
      <w:r w:rsidR="00CB58DC" w:rsidRPr="00D41818">
        <w:rPr>
          <w:color w:val="auto"/>
          <w:spacing w:val="-4"/>
        </w:rPr>
        <w:t xml:space="preserve"> </w:t>
      </w:r>
      <w:r w:rsidR="0056397C" w:rsidRPr="00D41818">
        <w:rPr>
          <w:color w:val="auto"/>
          <w:spacing w:val="-4"/>
        </w:rPr>
        <w:t>por ciento</w:t>
      </w:r>
      <w:r w:rsidR="001C3CCF" w:rsidRPr="00D41818">
        <w:rPr>
          <w:color w:val="auto"/>
          <w:spacing w:val="-4"/>
        </w:rPr>
        <w:t>.</w:t>
      </w:r>
    </w:p>
    <w:p w14:paraId="12011279" w14:textId="4E2E77B6" w:rsidR="00717E2A" w:rsidRDefault="00717E2A" w:rsidP="006C09DD">
      <w:pPr>
        <w:pStyle w:val="Default"/>
        <w:jc w:val="both"/>
        <w:rPr>
          <w:color w:val="auto"/>
        </w:rPr>
      </w:pPr>
    </w:p>
    <w:p w14:paraId="64A17299" w14:textId="51BC31C6" w:rsidR="00717E2A" w:rsidRPr="000F4EC1" w:rsidRDefault="00717E2A" w:rsidP="00717E2A">
      <w:pPr>
        <w:pStyle w:val="Default"/>
        <w:jc w:val="center"/>
        <w:rPr>
          <w:color w:val="auto"/>
          <w:sz w:val="20"/>
          <w:szCs w:val="20"/>
        </w:rPr>
      </w:pPr>
      <w:r w:rsidRPr="000F4EC1">
        <w:rPr>
          <w:color w:val="auto"/>
          <w:sz w:val="20"/>
          <w:szCs w:val="20"/>
        </w:rPr>
        <w:t xml:space="preserve">Gráfica </w:t>
      </w:r>
      <w:r w:rsidR="00EA11ED">
        <w:rPr>
          <w:color w:val="auto"/>
          <w:sz w:val="20"/>
          <w:szCs w:val="20"/>
        </w:rPr>
        <w:t>2</w:t>
      </w:r>
      <w:r w:rsidR="0056397C">
        <w:rPr>
          <w:color w:val="auto"/>
          <w:sz w:val="20"/>
          <w:szCs w:val="20"/>
        </w:rPr>
        <w:t>8</w:t>
      </w:r>
    </w:p>
    <w:p w14:paraId="7C9A7086" w14:textId="336DA179" w:rsidR="00EE62A1" w:rsidRDefault="00EE62A1" w:rsidP="00717E2A">
      <w:pPr>
        <w:pStyle w:val="Default"/>
        <w:jc w:val="center"/>
        <w:rPr>
          <w:b/>
          <w:bCs/>
          <w:iCs/>
          <w:smallCaps/>
          <w:color w:val="000000" w:themeColor="text1"/>
          <w:sz w:val="22"/>
          <w:szCs w:val="22"/>
        </w:rPr>
      </w:pPr>
      <w:r w:rsidRPr="00EE62A1">
        <w:rPr>
          <w:b/>
          <w:bCs/>
          <w:iCs/>
          <w:smallCaps/>
          <w:color w:val="000000" w:themeColor="text1"/>
          <w:sz w:val="22"/>
          <w:szCs w:val="22"/>
        </w:rPr>
        <w:t>Determinaciones y/</w:t>
      </w:r>
      <w:r w:rsidR="00820AEF">
        <w:rPr>
          <w:b/>
          <w:bCs/>
          <w:iCs/>
          <w:smallCaps/>
          <w:color w:val="000000" w:themeColor="text1"/>
          <w:sz w:val="22"/>
          <w:szCs w:val="22"/>
        </w:rPr>
        <w:t>o</w:t>
      </w:r>
      <w:r w:rsidR="00820AEF" w:rsidRPr="00EE62A1">
        <w:rPr>
          <w:b/>
          <w:bCs/>
          <w:iCs/>
          <w:smallCaps/>
          <w:color w:val="000000" w:themeColor="text1"/>
          <w:sz w:val="22"/>
          <w:szCs w:val="22"/>
        </w:rPr>
        <w:t xml:space="preserve"> </w:t>
      </w:r>
      <w:r w:rsidRPr="00EE62A1">
        <w:rPr>
          <w:b/>
          <w:bCs/>
          <w:iCs/>
          <w:smallCaps/>
          <w:color w:val="000000" w:themeColor="text1"/>
          <w:sz w:val="22"/>
          <w:szCs w:val="22"/>
        </w:rPr>
        <w:t xml:space="preserve">conclusiones efectuadas en </w:t>
      </w:r>
      <w:r w:rsidRPr="00AA3C57">
        <w:rPr>
          <w:b/>
          <w:bCs/>
          <w:iCs/>
          <w:smallCaps/>
          <w:color w:val="000000" w:themeColor="text1"/>
          <w:sz w:val="22"/>
          <w:szCs w:val="22"/>
        </w:rPr>
        <w:t xml:space="preserve">las averiguaciones previas e investigaciones </w:t>
      </w:r>
      <w:r w:rsidR="00C00F23" w:rsidRPr="00C00F23">
        <w:rPr>
          <w:b/>
          <w:bCs/>
          <w:iCs/>
          <w:smallCaps/>
          <w:color w:val="000000" w:themeColor="text1"/>
          <w:sz w:val="22"/>
          <w:szCs w:val="22"/>
        </w:rPr>
        <w:t xml:space="preserve">por el Ministerio Público de </w:t>
      </w:r>
      <w:r w:rsidR="00C00F23">
        <w:rPr>
          <w:b/>
          <w:bCs/>
          <w:iCs/>
          <w:smallCaps/>
          <w:color w:val="000000" w:themeColor="text1"/>
          <w:sz w:val="22"/>
          <w:szCs w:val="22"/>
        </w:rPr>
        <w:t>la FGR</w:t>
      </w:r>
      <w:r w:rsidR="000B18F0">
        <w:rPr>
          <w:b/>
          <w:bCs/>
          <w:iCs/>
          <w:smallCaps/>
          <w:color w:val="000000" w:themeColor="text1"/>
          <w:sz w:val="22"/>
          <w:szCs w:val="22"/>
        </w:rPr>
        <w:t xml:space="preserve"> y </w:t>
      </w:r>
      <w:r w:rsidR="000B18F0" w:rsidRPr="00C00F23">
        <w:rPr>
          <w:b/>
          <w:bCs/>
          <w:iCs/>
          <w:smallCaps/>
          <w:color w:val="000000" w:themeColor="text1"/>
          <w:sz w:val="22"/>
          <w:szCs w:val="22"/>
        </w:rPr>
        <w:t>las FGE</w:t>
      </w:r>
    </w:p>
    <w:p w14:paraId="7418EEDA" w14:textId="3F30BECB" w:rsidR="000000FC" w:rsidRDefault="00CE7869" w:rsidP="00717E2A">
      <w:pPr>
        <w:pStyle w:val="Default"/>
        <w:jc w:val="center"/>
        <w:rPr>
          <w:b/>
          <w:bCs/>
          <w:iCs/>
          <w:smallCaps/>
          <w:color w:val="000000" w:themeColor="text1"/>
          <w:sz w:val="22"/>
          <w:szCs w:val="22"/>
        </w:rPr>
      </w:pPr>
      <w:r w:rsidRPr="00F97B68">
        <w:rPr>
          <w:noProof/>
        </w:rPr>
        <w:drawing>
          <wp:inline distT="0" distB="0" distL="0" distR="0" wp14:anchorId="4C1458C6" wp14:editId="67551483">
            <wp:extent cx="6486525" cy="2104845"/>
            <wp:effectExtent l="0" t="0" r="0" b="0"/>
            <wp:docPr id="48" name="Gráfico 48">
              <a:extLst xmlns:a="http://schemas.openxmlformats.org/drawingml/2006/main">
                <a:ext uri="{FF2B5EF4-FFF2-40B4-BE49-F238E27FC236}">
                  <a16:creationId xmlns:a16="http://schemas.microsoft.com/office/drawing/2014/main" id="{3139A653-CD82-6171-BCCF-64EF0DDB74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EF05190" w14:textId="632AD9E3" w:rsidR="00CF7B02" w:rsidRPr="00CF7B02" w:rsidRDefault="006C380C" w:rsidP="00CF7B02">
      <w:pPr>
        <w:pStyle w:val="Default"/>
        <w:jc w:val="both"/>
        <w:rPr>
          <w:sz w:val="16"/>
          <w:szCs w:val="16"/>
        </w:rPr>
      </w:pPr>
      <w:r>
        <w:rPr>
          <w:sz w:val="16"/>
          <w:szCs w:val="16"/>
        </w:rPr>
        <w:t xml:space="preserve">Nota: </w:t>
      </w:r>
      <w:r w:rsidR="00CF7B02" w:rsidRPr="00CF7B02">
        <w:rPr>
          <w:sz w:val="16"/>
          <w:szCs w:val="16"/>
        </w:rPr>
        <w:t>Se integra información del sistema de justicia para adultos y justicia para adolescentes.</w:t>
      </w:r>
    </w:p>
    <w:p w14:paraId="4CBB70FB" w14:textId="363EAC03" w:rsidR="000000FC" w:rsidRPr="000000FC" w:rsidRDefault="0056397C" w:rsidP="000000FC">
      <w:pPr>
        <w:pStyle w:val="Default"/>
        <w:jc w:val="both"/>
        <w:rPr>
          <w:color w:val="auto"/>
        </w:rPr>
      </w:pPr>
      <w:r>
        <w:rPr>
          <w:color w:val="auto"/>
        </w:rPr>
        <w:lastRenderedPageBreak/>
        <w:t>A nivel nacional</w:t>
      </w:r>
      <w:r w:rsidR="008B0D34">
        <w:rPr>
          <w:color w:val="auto"/>
        </w:rPr>
        <w:t>, en 2021</w:t>
      </w:r>
      <w:r>
        <w:rPr>
          <w:color w:val="auto"/>
        </w:rPr>
        <w:t xml:space="preserve"> se contabilizaron </w:t>
      </w:r>
      <w:r w:rsidRPr="000000FC">
        <w:rPr>
          <w:color w:val="auto"/>
        </w:rPr>
        <w:t>1 536 764</w:t>
      </w:r>
      <w:r>
        <w:rPr>
          <w:color w:val="auto"/>
        </w:rPr>
        <w:t xml:space="preserve"> </w:t>
      </w:r>
      <w:r w:rsidR="000000FC" w:rsidRPr="000000FC">
        <w:rPr>
          <w:color w:val="auto"/>
        </w:rPr>
        <w:t>determinaciones y/o conclusiones efectuadas en las carpetas de investigación en la etapa de investigación inicial</w:t>
      </w:r>
      <w:r>
        <w:rPr>
          <w:color w:val="auto"/>
        </w:rPr>
        <w:t>. Del total,</w:t>
      </w:r>
      <w:r w:rsidR="00D41818">
        <w:rPr>
          <w:color w:val="auto"/>
        </w:rPr>
        <w:t xml:space="preserve"> </w:t>
      </w:r>
      <w:r w:rsidR="008B0D34">
        <w:rPr>
          <w:color w:val="auto"/>
        </w:rPr>
        <w:t xml:space="preserve">         </w:t>
      </w:r>
      <w:r w:rsidR="00B73666">
        <w:rPr>
          <w:color w:val="auto"/>
        </w:rPr>
        <w:t>10.0 %</w:t>
      </w:r>
      <w:r w:rsidR="00EF1F59">
        <w:rPr>
          <w:color w:val="auto"/>
        </w:rPr>
        <w:t xml:space="preserve"> (</w:t>
      </w:r>
      <w:r w:rsidR="008D0D5D" w:rsidRPr="008D0D5D">
        <w:rPr>
          <w:color w:val="auto"/>
        </w:rPr>
        <w:t>153</w:t>
      </w:r>
      <w:r w:rsidR="008D0D5D">
        <w:rPr>
          <w:color w:val="auto"/>
        </w:rPr>
        <w:t xml:space="preserve"> </w:t>
      </w:r>
      <w:r w:rsidR="008D0D5D" w:rsidRPr="008D0D5D">
        <w:rPr>
          <w:color w:val="auto"/>
        </w:rPr>
        <w:t>766</w:t>
      </w:r>
      <w:r w:rsidR="008D0D5D">
        <w:rPr>
          <w:color w:val="auto"/>
        </w:rPr>
        <w:t xml:space="preserve">) correspondió al </w:t>
      </w:r>
      <w:r w:rsidR="008B0D34">
        <w:rPr>
          <w:color w:val="auto"/>
        </w:rPr>
        <w:t>M</w:t>
      </w:r>
      <w:r w:rsidR="008D0D5D">
        <w:rPr>
          <w:color w:val="auto"/>
        </w:rPr>
        <w:t xml:space="preserve">inisterio </w:t>
      </w:r>
      <w:r w:rsidR="008B0D34">
        <w:rPr>
          <w:color w:val="auto"/>
        </w:rPr>
        <w:t>P</w:t>
      </w:r>
      <w:r w:rsidR="008D0D5D">
        <w:rPr>
          <w:color w:val="auto"/>
        </w:rPr>
        <w:t>úblico de la federación y</w:t>
      </w:r>
      <w:r w:rsidR="008A27A8">
        <w:rPr>
          <w:color w:val="auto"/>
        </w:rPr>
        <w:t xml:space="preserve"> 90.0 % (</w:t>
      </w:r>
      <w:r w:rsidR="00A400CC" w:rsidRPr="00A400CC">
        <w:rPr>
          <w:color w:val="auto"/>
        </w:rPr>
        <w:t>1</w:t>
      </w:r>
      <w:r w:rsidR="00A400CC">
        <w:rPr>
          <w:color w:val="auto"/>
        </w:rPr>
        <w:t xml:space="preserve"> </w:t>
      </w:r>
      <w:r w:rsidR="00A400CC" w:rsidRPr="00A400CC">
        <w:rPr>
          <w:color w:val="auto"/>
        </w:rPr>
        <w:t>382</w:t>
      </w:r>
      <w:r w:rsidR="00A400CC">
        <w:rPr>
          <w:color w:val="auto"/>
        </w:rPr>
        <w:t xml:space="preserve"> </w:t>
      </w:r>
      <w:r w:rsidR="00A400CC" w:rsidRPr="00A400CC">
        <w:rPr>
          <w:color w:val="auto"/>
        </w:rPr>
        <w:t>998</w:t>
      </w:r>
      <w:r w:rsidR="00A400CC">
        <w:rPr>
          <w:color w:val="auto"/>
        </w:rPr>
        <w:t xml:space="preserve">) al </w:t>
      </w:r>
      <w:r w:rsidR="008B0D34">
        <w:rPr>
          <w:color w:val="auto"/>
        </w:rPr>
        <w:t>M</w:t>
      </w:r>
      <w:r w:rsidR="00A400CC">
        <w:rPr>
          <w:color w:val="auto"/>
        </w:rPr>
        <w:t xml:space="preserve">inisterio </w:t>
      </w:r>
      <w:r w:rsidR="008B0D34">
        <w:rPr>
          <w:color w:val="auto"/>
        </w:rPr>
        <w:t>P</w:t>
      </w:r>
      <w:r w:rsidR="00A400CC">
        <w:rPr>
          <w:color w:val="auto"/>
        </w:rPr>
        <w:t xml:space="preserve">úblico estatal. </w:t>
      </w:r>
      <w:r>
        <w:rPr>
          <w:color w:val="auto"/>
        </w:rPr>
        <w:t>Esta cifra</w:t>
      </w:r>
      <w:r w:rsidR="00794B5D">
        <w:rPr>
          <w:color w:val="auto"/>
        </w:rPr>
        <w:t xml:space="preserve"> </w:t>
      </w:r>
      <w:r w:rsidR="000000FC" w:rsidRPr="000000FC">
        <w:rPr>
          <w:color w:val="auto"/>
        </w:rPr>
        <w:t xml:space="preserve">representó un aumento de 21.8 % </w:t>
      </w:r>
      <w:r w:rsidR="00820AEF">
        <w:rPr>
          <w:color w:val="auto"/>
        </w:rPr>
        <w:t xml:space="preserve">con respecto a </w:t>
      </w:r>
      <w:r w:rsidR="000000FC" w:rsidRPr="000000FC">
        <w:rPr>
          <w:color w:val="auto"/>
        </w:rPr>
        <w:t>2020</w:t>
      </w:r>
      <w:r w:rsidR="00820AEF">
        <w:rPr>
          <w:color w:val="auto"/>
        </w:rPr>
        <w:t>.</w:t>
      </w:r>
      <w:r w:rsidR="000F3EAD">
        <w:rPr>
          <w:rStyle w:val="Refdenotaalpie"/>
          <w:color w:val="auto"/>
        </w:rPr>
        <w:footnoteReference w:id="15"/>
      </w:r>
      <w:r w:rsidR="000000FC" w:rsidRPr="000000FC">
        <w:rPr>
          <w:color w:val="auto"/>
        </w:rPr>
        <w:t xml:space="preserve"> </w:t>
      </w:r>
      <w:r w:rsidR="00820AEF">
        <w:rPr>
          <w:color w:val="auto"/>
        </w:rPr>
        <w:t xml:space="preserve">En cuanto al </w:t>
      </w:r>
      <w:r w:rsidR="009E765C">
        <w:rPr>
          <w:color w:val="auto"/>
        </w:rPr>
        <w:t>tipo</w:t>
      </w:r>
      <w:r w:rsidR="000000FC" w:rsidRPr="000000FC">
        <w:rPr>
          <w:color w:val="auto"/>
        </w:rPr>
        <w:t>, 34.6</w:t>
      </w:r>
      <w:r w:rsidR="008609FC">
        <w:rPr>
          <w:color w:val="auto"/>
        </w:rPr>
        <w:t xml:space="preserve"> </w:t>
      </w:r>
      <w:r w:rsidR="000000FC" w:rsidRPr="000000FC">
        <w:rPr>
          <w:color w:val="auto"/>
        </w:rPr>
        <w:t xml:space="preserve">% se trató de </w:t>
      </w:r>
      <w:r w:rsidR="000000FC" w:rsidRPr="003F12FB">
        <w:rPr>
          <w:i/>
          <w:iCs/>
          <w:color w:val="auto"/>
        </w:rPr>
        <w:t>no ejercicio de la acción penal por la actualización de alguna causal de sobreseimiento</w:t>
      </w:r>
      <w:r w:rsidR="000000FC" w:rsidRPr="000000FC">
        <w:rPr>
          <w:color w:val="auto"/>
        </w:rPr>
        <w:t>.</w:t>
      </w:r>
    </w:p>
    <w:p w14:paraId="6E3057C3" w14:textId="77777777" w:rsidR="00463246" w:rsidRDefault="00463246" w:rsidP="00B75BFD">
      <w:pPr>
        <w:pStyle w:val="Default"/>
        <w:jc w:val="center"/>
        <w:rPr>
          <w:color w:val="auto"/>
          <w:sz w:val="20"/>
          <w:szCs w:val="20"/>
        </w:rPr>
      </w:pPr>
    </w:p>
    <w:p w14:paraId="66871B07" w14:textId="28935347" w:rsidR="00B75BFD" w:rsidRPr="000F4EC1" w:rsidRDefault="00B75BFD" w:rsidP="00B75BFD">
      <w:pPr>
        <w:pStyle w:val="Default"/>
        <w:jc w:val="center"/>
        <w:rPr>
          <w:color w:val="auto"/>
          <w:sz w:val="20"/>
          <w:szCs w:val="20"/>
        </w:rPr>
      </w:pPr>
      <w:r w:rsidRPr="000F4EC1">
        <w:rPr>
          <w:color w:val="auto"/>
          <w:sz w:val="20"/>
          <w:szCs w:val="20"/>
        </w:rPr>
        <w:t xml:space="preserve">Gráfica </w:t>
      </w:r>
      <w:r w:rsidR="0056397C">
        <w:rPr>
          <w:color w:val="auto"/>
          <w:sz w:val="20"/>
          <w:szCs w:val="20"/>
        </w:rPr>
        <w:t>29</w:t>
      </w:r>
    </w:p>
    <w:p w14:paraId="0B1E3D5A" w14:textId="77777777" w:rsidR="008B0D34" w:rsidRPr="008B0D34" w:rsidRDefault="00640C93" w:rsidP="00B75BFD">
      <w:pPr>
        <w:pStyle w:val="Default"/>
        <w:jc w:val="center"/>
        <w:rPr>
          <w:b/>
          <w:bCs/>
          <w:iCs/>
          <w:smallCaps/>
          <w:color w:val="000000" w:themeColor="text1"/>
          <w:sz w:val="22"/>
          <w:szCs w:val="22"/>
        </w:rPr>
      </w:pPr>
      <w:r w:rsidRPr="008B0D34">
        <w:rPr>
          <w:b/>
          <w:bCs/>
          <w:iCs/>
          <w:smallCaps/>
          <w:color w:val="000000" w:themeColor="text1"/>
          <w:sz w:val="22"/>
          <w:szCs w:val="22"/>
        </w:rPr>
        <w:t xml:space="preserve">Determinaciones y/o conclusiones efectuadas en las carpetas de investigación en la etapa </w:t>
      </w:r>
    </w:p>
    <w:p w14:paraId="7F463346" w14:textId="30394B47" w:rsidR="00640C93" w:rsidRPr="008B0D34" w:rsidRDefault="00640C93" w:rsidP="00B75BFD">
      <w:pPr>
        <w:pStyle w:val="Default"/>
        <w:jc w:val="center"/>
        <w:rPr>
          <w:b/>
          <w:bCs/>
          <w:iCs/>
          <w:smallCaps/>
          <w:color w:val="000000" w:themeColor="text1"/>
          <w:sz w:val="22"/>
          <w:szCs w:val="22"/>
        </w:rPr>
      </w:pPr>
      <w:r w:rsidRPr="008B0D34">
        <w:rPr>
          <w:b/>
          <w:bCs/>
          <w:iCs/>
          <w:smallCaps/>
          <w:color w:val="000000" w:themeColor="text1"/>
          <w:sz w:val="22"/>
          <w:szCs w:val="22"/>
        </w:rPr>
        <w:t xml:space="preserve">de investigación inicial </w:t>
      </w:r>
      <w:r w:rsidR="00F22B72" w:rsidRPr="00DF0D6A">
        <w:rPr>
          <w:b/>
          <w:bCs/>
          <w:iCs/>
          <w:smallCaps/>
          <w:color w:val="000000" w:themeColor="text1"/>
          <w:sz w:val="22"/>
          <w:szCs w:val="22"/>
        </w:rPr>
        <w:t xml:space="preserve">por el Ministerio Público de </w:t>
      </w:r>
      <w:r w:rsidR="003F12FB" w:rsidRPr="008B0D34">
        <w:rPr>
          <w:b/>
          <w:bCs/>
          <w:iCs/>
          <w:smallCaps/>
          <w:color w:val="000000" w:themeColor="text1"/>
          <w:sz w:val="22"/>
          <w:szCs w:val="22"/>
        </w:rPr>
        <w:t xml:space="preserve">la </w:t>
      </w:r>
      <w:r w:rsidR="0052156C" w:rsidRPr="008B0D34">
        <w:rPr>
          <w:b/>
          <w:bCs/>
          <w:iCs/>
          <w:smallCaps/>
          <w:color w:val="000000" w:themeColor="text1"/>
          <w:sz w:val="22"/>
          <w:szCs w:val="22"/>
        </w:rPr>
        <w:t>FGR</w:t>
      </w:r>
      <w:r w:rsidR="000B18F0" w:rsidRPr="008B0D34">
        <w:rPr>
          <w:b/>
          <w:bCs/>
          <w:iCs/>
          <w:smallCaps/>
          <w:color w:val="000000" w:themeColor="text1"/>
          <w:sz w:val="22"/>
          <w:szCs w:val="22"/>
        </w:rPr>
        <w:t xml:space="preserve"> y de </w:t>
      </w:r>
      <w:r w:rsidR="000B18F0" w:rsidRPr="00DF0D6A">
        <w:rPr>
          <w:rFonts w:ascii="Arial Negrita" w:hAnsi="Arial Negrita"/>
          <w:b/>
          <w:bCs/>
          <w:iCs/>
          <w:smallCaps/>
          <w:color w:val="000000" w:themeColor="text1"/>
          <w:sz w:val="22"/>
          <w:szCs w:val="22"/>
        </w:rPr>
        <w:t>las</w:t>
      </w:r>
      <w:r w:rsidR="000B18F0" w:rsidRPr="00DF0D6A">
        <w:rPr>
          <w:b/>
          <w:bCs/>
          <w:iCs/>
          <w:smallCaps/>
          <w:color w:val="000000" w:themeColor="text1"/>
          <w:sz w:val="22"/>
          <w:szCs w:val="22"/>
        </w:rPr>
        <w:t xml:space="preserve"> FGE</w:t>
      </w:r>
    </w:p>
    <w:p w14:paraId="31942A6A" w14:textId="64D350D0" w:rsidR="000000FC" w:rsidRDefault="000000FC" w:rsidP="00717E2A">
      <w:pPr>
        <w:pStyle w:val="Default"/>
        <w:jc w:val="center"/>
        <w:rPr>
          <w:b/>
          <w:bCs/>
          <w:iCs/>
          <w:smallCaps/>
          <w:color w:val="000000" w:themeColor="text1"/>
          <w:sz w:val="22"/>
          <w:szCs w:val="22"/>
        </w:rPr>
      </w:pPr>
    </w:p>
    <w:p w14:paraId="19D02810" w14:textId="52A07828" w:rsidR="00B75BFD" w:rsidRPr="00463246" w:rsidRDefault="00463246" w:rsidP="00463246">
      <w:pPr>
        <w:pStyle w:val="Default"/>
        <w:jc w:val="both"/>
        <w:rPr>
          <w:b/>
          <w:bCs/>
          <w:iCs/>
          <w:smallCaps/>
          <w:color w:val="000000" w:themeColor="text1"/>
          <w:sz w:val="18"/>
          <w:szCs w:val="18"/>
        </w:rPr>
      </w:pPr>
      <w:r w:rsidRPr="00463246">
        <w:rPr>
          <w:b/>
          <w:bCs/>
          <w:iCs/>
          <w:smallCaps/>
          <w:noProof/>
          <w:color w:val="000000" w:themeColor="text1"/>
          <w:sz w:val="22"/>
          <w:szCs w:val="22"/>
        </w:rPr>
        <w:drawing>
          <wp:inline distT="0" distB="0" distL="0" distR="0" wp14:anchorId="712E7550" wp14:editId="6D2FBEDF">
            <wp:extent cx="6314536" cy="4589253"/>
            <wp:effectExtent l="0" t="0" r="0" b="1905"/>
            <wp:docPr id="49" name="Gráfico 49">
              <a:extLst xmlns:a="http://schemas.openxmlformats.org/drawingml/2006/main">
                <a:ext uri="{FF2B5EF4-FFF2-40B4-BE49-F238E27FC236}">
                  <a16:creationId xmlns:a16="http://schemas.microsoft.com/office/drawing/2014/main" id="{069CDA6F-3983-FC72-2684-8E8418808A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DFC3A6D" w14:textId="77777777" w:rsidR="007B246D" w:rsidRDefault="007B246D" w:rsidP="0096196F">
      <w:pPr>
        <w:pStyle w:val="Default"/>
        <w:jc w:val="both"/>
        <w:rPr>
          <w:color w:val="auto"/>
        </w:rPr>
      </w:pPr>
    </w:p>
    <w:p w14:paraId="04C35260" w14:textId="588F5DDF" w:rsidR="007B246D" w:rsidRDefault="00CF7B02" w:rsidP="0096196F">
      <w:pPr>
        <w:pStyle w:val="Default"/>
        <w:jc w:val="both"/>
        <w:rPr>
          <w:sz w:val="16"/>
          <w:szCs w:val="16"/>
        </w:rPr>
      </w:pPr>
      <w:r>
        <w:rPr>
          <w:sz w:val="16"/>
          <w:szCs w:val="16"/>
        </w:rPr>
        <w:t xml:space="preserve">Nota: </w:t>
      </w:r>
      <w:r w:rsidRPr="00AA1C5B">
        <w:rPr>
          <w:sz w:val="16"/>
          <w:szCs w:val="16"/>
        </w:rPr>
        <w:t>No se grafica la categoría «No especificado» que en 2020 registró 136 determinaciones y/o conclusiones</w:t>
      </w:r>
      <w:r w:rsidR="000C2C22">
        <w:rPr>
          <w:sz w:val="16"/>
          <w:szCs w:val="16"/>
        </w:rPr>
        <w:t xml:space="preserve">. En </w:t>
      </w:r>
      <w:r w:rsidRPr="00AA1C5B">
        <w:rPr>
          <w:sz w:val="16"/>
          <w:szCs w:val="16"/>
        </w:rPr>
        <w:t>2021 la cifra fue de 269.</w:t>
      </w:r>
    </w:p>
    <w:p w14:paraId="38DF28D5" w14:textId="38A61BAA" w:rsidR="005E126B" w:rsidRDefault="005E126B" w:rsidP="0096196F">
      <w:pPr>
        <w:pStyle w:val="Default"/>
        <w:jc w:val="both"/>
        <w:rPr>
          <w:sz w:val="16"/>
          <w:szCs w:val="16"/>
        </w:rPr>
      </w:pPr>
    </w:p>
    <w:p w14:paraId="578009B8" w14:textId="44EE9284" w:rsidR="005E126B" w:rsidRDefault="005E126B" w:rsidP="0096196F">
      <w:pPr>
        <w:pStyle w:val="Default"/>
        <w:jc w:val="both"/>
        <w:rPr>
          <w:sz w:val="16"/>
          <w:szCs w:val="16"/>
        </w:rPr>
      </w:pPr>
    </w:p>
    <w:p w14:paraId="0F779A90" w14:textId="53B10ED2" w:rsidR="005E126B" w:rsidRDefault="005E126B" w:rsidP="0096196F">
      <w:pPr>
        <w:pStyle w:val="Default"/>
        <w:jc w:val="both"/>
        <w:rPr>
          <w:sz w:val="16"/>
          <w:szCs w:val="16"/>
        </w:rPr>
      </w:pPr>
    </w:p>
    <w:p w14:paraId="4A92722B" w14:textId="19AA375E" w:rsidR="005E126B" w:rsidRDefault="005E126B" w:rsidP="0096196F">
      <w:pPr>
        <w:pStyle w:val="Default"/>
        <w:jc w:val="both"/>
        <w:rPr>
          <w:sz w:val="16"/>
          <w:szCs w:val="16"/>
        </w:rPr>
      </w:pPr>
    </w:p>
    <w:p w14:paraId="321ACD9E" w14:textId="77777777" w:rsidR="005E126B" w:rsidRDefault="005E126B" w:rsidP="0096196F">
      <w:pPr>
        <w:pStyle w:val="Default"/>
        <w:jc w:val="both"/>
        <w:rPr>
          <w:color w:val="auto"/>
        </w:rPr>
      </w:pPr>
    </w:p>
    <w:p w14:paraId="7028BE50" w14:textId="74055D50" w:rsidR="0096196F" w:rsidRDefault="008B0D34" w:rsidP="0096196F">
      <w:pPr>
        <w:pStyle w:val="Default"/>
        <w:jc w:val="both"/>
        <w:rPr>
          <w:color w:val="auto"/>
        </w:rPr>
      </w:pPr>
      <w:r>
        <w:rPr>
          <w:color w:val="auto"/>
        </w:rPr>
        <w:lastRenderedPageBreak/>
        <w:t>En</w:t>
      </w:r>
      <w:r w:rsidR="00F629BC">
        <w:rPr>
          <w:color w:val="auto"/>
        </w:rPr>
        <w:t xml:space="preserve"> 2021, </w:t>
      </w:r>
      <w:r w:rsidR="00A27D62">
        <w:rPr>
          <w:color w:val="auto"/>
        </w:rPr>
        <w:t>las FGE</w:t>
      </w:r>
      <w:r w:rsidR="0056397C" w:rsidRPr="0096196F">
        <w:rPr>
          <w:color w:val="auto"/>
        </w:rPr>
        <w:t xml:space="preserve"> reportaron 477 994</w:t>
      </w:r>
      <w:r w:rsidR="0096196F" w:rsidRPr="0096196F">
        <w:rPr>
          <w:color w:val="auto"/>
        </w:rPr>
        <w:t xml:space="preserve"> determinaciones y/o conclusiones efectuadas en las carpetas de investigación en la etapa de investigación complementaria</w:t>
      </w:r>
      <w:r w:rsidR="00A27D62">
        <w:rPr>
          <w:color w:val="auto"/>
        </w:rPr>
        <w:t>.</w:t>
      </w:r>
      <w:r w:rsidR="008C776D">
        <w:rPr>
          <w:color w:val="auto"/>
        </w:rPr>
        <w:t xml:space="preserve"> </w:t>
      </w:r>
      <w:r w:rsidR="00D454EB">
        <w:rPr>
          <w:color w:val="auto"/>
        </w:rPr>
        <w:t xml:space="preserve">Comparado con </w:t>
      </w:r>
      <w:r w:rsidR="00D454EB" w:rsidRPr="0096196F">
        <w:rPr>
          <w:color w:val="auto"/>
        </w:rPr>
        <w:t>2020</w:t>
      </w:r>
      <w:r w:rsidR="000C2C22">
        <w:rPr>
          <w:color w:val="auto"/>
        </w:rPr>
        <w:t>,</w:t>
      </w:r>
      <w:r w:rsidR="00D454EB">
        <w:rPr>
          <w:rStyle w:val="Refdenotaalpie"/>
          <w:color w:val="auto"/>
        </w:rPr>
        <w:footnoteReference w:id="16"/>
      </w:r>
      <w:r w:rsidR="00A27D62">
        <w:rPr>
          <w:color w:val="auto"/>
        </w:rPr>
        <w:t xml:space="preserve"> esta cifra</w:t>
      </w:r>
      <w:r w:rsidR="00D454EB">
        <w:rPr>
          <w:color w:val="auto"/>
        </w:rPr>
        <w:t xml:space="preserve"> </w:t>
      </w:r>
      <w:r w:rsidR="0096196F" w:rsidRPr="0096196F">
        <w:rPr>
          <w:color w:val="auto"/>
        </w:rPr>
        <w:t>aument</w:t>
      </w:r>
      <w:r w:rsidR="00D454EB">
        <w:rPr>
          <w:color w:val="auto"/>
        </w:rPr>
        <w:t xml:space="preserve">ó </w:t>
      </w:r>
      <w:r w:rsidR="0096196F" w:rsidRPr="0096196F">
        <w:rPr>
          <w:color w:val="auto"/>
        </w:rPr>
        <w:t>326.9</w:t>
      </w:r>
      <w:r w:rsidR="007D300F">
        <w:rPr>
          <w:color w:val="auto"/>
        </w:rPr>
        <w:t xml:space="preserve"> %</w:t>
      </w:r>
      <w:r w:rsidR="002B7EE8">
        <w:rPr>
          <w:color w:val="auto"/>
        </w:rPr>
        <w:t xml:space="preserve">. </w:t>
      </w:r>
      <w:r w:rsidR="00C447D2">
        <w:rPr>
          <w:color w:val="auto"/>
        </w:rPr>
        <w:t>Sobre el tipo</w:t>
      </w:r>
      <w:r w:rsidR="00A27D62">
        <w:rPr>
          <w:color w:val="auto"/>
        </w:rPr>
        <w:t xml:space="preserve"> de determinación</w:t>
      </w:r>
      <w:r w:rsidR="0096196F" w:rsidRPr="0096196F">
        <w:rPr>
          <w:color w:val="auto"/>
        </w:rPr>
        <w:t xml:space="preserve">, 20.3 % correspondió a </w:t>
      </w:r>
      <w:r w:rsidR="0096196F" w:rsidRPr="00EF634D">
        <w:rPr>
          <w:i/>
          <w:iCs/>
          <w:color w:val="auto"/>
        </w:rPr>
        <w:t>soluciones alternas en las que se decretó la extinción de la acción penal</w:t>
      </w:r>
      <w:r w:rsidR="0096196F" w:rsidRPr="0096196F">
        <w:rPr>
          <w:color w:val="auto"/>
        </w:rPr>
        <w:t>.</w:t>
      </w:r>
    </w:p>
    <w:p w14:paraId="061F4751" w14:textId="77777777" w:rsidR="00A27D62" w:rsidRPr="0096196F" w:rsidRDefault="00A27D62" w:rsidP="0096196F">
      <w:pPr>
        <w:pStyle w:val="Default"/>
        <w:jc w:val="both"/>
        <w:rPr>
          <w:color w:val="auto"/>
        </w:rPr>
      </w:pPr>
    </w:p>
    <w:p w14:paraId="7B296839" w14:textId="7599BED0" w:rsidR="007B246D" w:rsidRDefault="007B246D" w:rsidP="007B246D">
      <w:pPr>
        <w:pStyle w:val="Default"/>
        <w:jc w:val="center"/>
        <w:rPr>
          <w:color w:val="auto"/>
          <w:sz w:val="20"/>
          <w:szCs w:val="20"/>
        </w:rPr>
      </w:pPr>
      <w:r w:rsidRPr="000F4EC1">
        <w:rPr>
          <w:color w:val="auto"/>
          <w:sz w:val="20"/>
          <w:szCs w:val="20"/>
        </w:rPr>
        <w:t xml:space="preserve">Gráfica </w:t>
      </w:r>
      <w:r w:rsidR="00575D42">
        <w:rPr>
          <w:color w:val="auto"/>
          <w:sz w:val="20"/>
          <w:szCs w:val="20"/>
        </w:rPr>
        <w:t>3</w:t>
      </w:r>
      <w:r w:rsidR="00A27D62">
        <w:rPr>
          <w:color w:val="auto"/>
          <w:sz w:val="20"/>
          <w:szCs w:val="20"/>
        </w:rPr>
        <w:t>0</w:t>
      </w:r>
    </w:p>
    <w:p w14:paraId="7E0856DB" w14:textId="3D6D6EA3" w:rsidR="008B0D34" w:rsidRDefault="005207B6" w:rsidP="007B246D">
      <w:pPr>
        <w:pStyle w:val="Default"/>
        <w:jc w:val="center"/>
        <w:rPr>
          <w:b/>
          <w:bCs/>
          <w:iCs/>
          <w:smallCaps/>
          <w:color w:val="000000" w:themeColor="text1"/>
          <w:sz w:val="22"/>
          <w:szCs w:val="22"/>
        </w:rPr>
      </w:pPr>
      <w:r w:rsidRPr="00DF0D6A">
        <w:rPr>
          <w:b/>
          <w:bCs/>
          <w:iCs/>
          <w:smallCaps/>
          <w:color w:val="000000" w:themeColor="text1"/>
          <w:sz w:val="22"/>
          <w:szCs w:val="22"/>
        </w:rPr>
        <w:t xml:space="preserve">Determinaciones y/o conclusiones efectuadas en las carpetas de investigación en la etapa </w:t>
      </w:r>
    </w:p>
    <w:p w14:paraId="263A1E6F" w14:textId="2D2B0E0B" w:rsidR="005207B6" w:rsidRPr="00DF0D6A" w:rsidRDefault="005207B6" w:rsidP="007B246D">
      <w:pPr>
        <w:pStyle w:val="Default"/>
        <w:jc w:val="center"/>
        <w:rPr>
          <w:b/>
          <w:bCs/>
          <w:iCs/>
          <w:smallCaps/>
          <w:color w:val="000000" w:themeColor="text1"/>
          <w:sz w:val="22"/>
          <w:szCs w:val="22"/>
        </w:rPr>
      </w:pPr>
      <w:r w:rsidRPr="00DF0D6A">
        <w:rPr>
          <w:b/>
          <w:bCs/>
          <w:iCs/>
          <w:smallCaps/>
          <w:color w:val="000000" w:themeColor="text1"/>
          <w:sz w:val="22"/>
          <w:szCs w:val="22"/>
        </w:rPr>
        <w:t>de investigación complementaria por el Ministerio Público de las FGE</w:t>
      </w:r>
    </w:p>
    <w:p w14:paraId="1850AD90" w14:textId="67579F7F" w:rsidR="005207B6" w:rsidRPr="000F4EC1" w:rsidRDefault="005207B6" w:rsidP="007B246D">
      <w:pPr>
        <w:pStyle w:val="Default"/>
        <w:jc w:val="center"/>
        <w:rPr>
          <w:color w:val="auto"/>
          <w:sz w:val="20"/>
          <w:szCs w:val="20"/>
        </w:rPr>
      </w:pPr>
      <w:r w:rsidRPr="004B6669">
        <w:rPr>
          <w:noProof/>
        </w:rPr>
        <w:drawing>
          <wp:anchor distT="0" distB="0" distL="114300" distR="114300" simplePos="0" relativeHeight="251680768" behindDoc="0" locked="0" layoutInCell="1" allowOverlap="1" wp14:anchorId="452C2A53" wp14:editId="1BFAE64E">
            <wp:simplePos x="0" y="0"/>
            <wp:positionH relativeFrom="column">
              <wp:posOffset>-21590</wp:posOffset>
            </wp:positionH>
            <wp:positionV relativeFrom="paragraph">
              <wp:posOffset>224155</wp:posOffset>
            </wp:positionV>
            <wp:extent cx="6383020" cy="2803525"/>
            <wp:effectExtent l="0" t="0" r="0" b="0"/>
            <wp:wrapSquare wrapText="bothSides"/>
            <wp:docPr id="50" name="Gráfico 50">
              <a:extLst xmlns:a="http://schemas.openxmlformats.org/drawingml/2006/main">
                <a:ext uri="{FF2B5EF4-FFF2-40B4-BE49-F238E27FC236}">
                  <a16:creationId xmlns:a16="http://schemas.microsoft.com/office/drawing/2014/main" id="{52074158-C481-4875-945C-7298BB8DAB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1457FB80" w14:textId="25117B4B" w:rsidR="00BC1B76" w:rsidRPr="0066426A" w:rsidRDefault="00BC1B76" w:rsidP="00200986">
      <w:pPr>
        <w:pStyle w:val="Default"/>
        <w:jc w:val="both"/>
        <w:rPr>
          <w:sz w:val="16"/>
          <w:szCs w:val="16"/>
        </w:rPr>
      </w:pPr>
    </w:p>
    <w:p w14:paraId="22D8C348" w14:textId="71D03FDC" w:rsidR="00DB36E4" w:rsidRDefault="00A92871" w:rsidP="00BC2B8D">
      <w:pPr>
        <w:pStyle w:val="Default"/>
        <w:ind w:right="163"/>
        <w:jc w:val="both"/>
        <w:rPr>
          <w:color w:val="auto"/>
          <w:sz w:val="16"/>
          <w:szCs w:val="16"/>
        </w:rPr>
      </w:pPr>
      <w:r>
        <w:rPr>
          <w:color w:val="auto"/>
          <w:sz w:val="16"/>
          <w:szCs w:val="16"/>
        </w:rPr>
        <w:t>*</w:t>
      </w:r>
      <w:r w:rsidR="00F629AC">
        <w:rPr>
          <w:color w:val="auto"/>
          <w:sz w:val="16"/>
          <w:szCs w:val="16"/>
        </w:rPr>
        <w:t xml:space="preserve">La categoría «Acumulación» comenzó a captarse </w:t>
      </w:r>
      <w:r w:rsidR="001E0C0F">
        <w:rPr>
          <w:color w:val="auto"/>
          <w:sz w:val="16"/>
          <w:szCs w:val="16"/>
        </w:rPr>
        <w:t xml:space="preserve">en 2022 (información 2021), por lo que no hay cifras para el periodo anterior. </w:t>
      </w:r>
    </w:p>
    <w:p w14:paraId="704B6BFC" w14:textId="240BB649" w:rsidR="00CF7B02" w:rsidRPr="00C05FEF" w:rsidRDefault="00CE7869" w:rsidP="00920907">
      <w:pPr>
        <w:pStyle w:val="Default"/>
        <w:ind w:right="21"/>
        <w:jc w:val="both"/>
        <w:rPr>
          <w:sz w:val="16"/>
          <w:szCs w:val="16"/>
        </w:rPr>
      </w:pPr>
      <w:r w:rsidRPr="00C05FEF">
        <w:rPr>
          <w:color w:val="auto"/>
          <w:sz w:val="16"/>
          <w:szCs w:val="16"/>
        </w:rPr>
        <w:t xml:space="preserve">Nota: No se incluye información de la FGR debido a que reportó no contar con información sobre los procesos de trabajo </w:t>
      </w:r>
      <w:r w:rsidR="000C2C22">
        <w:rPr>
          <w:color w:val="auto"/>
          <w:sz w:val="16"/>
          <w:szCs w:val="16"/>
        </w:rPr>
        <w:t xml:space="preserve">que se llevaron a cabo </w:t>
      </w:r>
      <w:r w:rsidRPr="00C05FEF">
        <w:rPr>
          <w:color w:val="auto"/>
          <w:sz w:val="16"/>
          <w:szCs w:val="16"/>
        </w:rPr>
        <w:t xml:space="preserve">en las carpetas de investigación en la etapa de investigación complementaria. </w:t>
      </w:r>
      <w:r w:rsidR="00CF7B02" w:rsidRPr="00C05FEF">
        <w:rPr>
          <w:color w:val="auto"/>
          <w:sz w:val="16"/>
          <w:szCs w:val="16"/>
        </w:rPr>
        <w:t>No se grafica la categoría «No especificado» que en 2020 registró 27 determinaciones y/o conclusiones</w:t>
      </w:r>
      <w:r w:rsidR="000C2C22">
        <w:rPr>
          <w:color w:val="auto"/>
          <w:sz w:val="16"/>
          <w:szCs w:val="16"/>
        </w:rPr>
        <w:t xml:space="preserve">. En </w:t>
      </w:r>
      <w:r w:rsidR="00CF7B02" w:rsidRPr="00C05FEF">
        <w:rPr>
          <w:color w:val="auto"/>
          <w:sz w:val="16"/>
          <w:szCs w:val="16"/>
        </w:rPr>
        <w:t>2021 la cifra fue de 52.</w:t>
      </w:r>
    </w:p>
    <w:p w14:paraId="4FAF8836" w14:textId="1C096440" w:rsidR="00BC1B76" w:rsidRPr="00200986" w:rsidRDefault="00BC1B76" w:rsidP="00200986">
      <w:pPr>
        <w:pStyle w:val="Default"/>
        <w:jc w:val="both"/>
        <w:rPr>
          <w:sz w:val="16"/>
          <w:szCs w:val="16"/>
        </w:rPr>
      </w:pPr>
    </w:p>
    <w:p w14:paraId="2F579C8E" w14:textId="4F1DBAFE" w:rsidR="00BC1B76" w:rsidRDefault="00BC1B76" w:rsidP="00880042">
      <w:pPr>
        <w:spacing w:before="46" w:after="0" w:line="276" w:lineRule="auto"/>
        <w:ind w:left="567" w:right="601" w:hanging="28"/>
        <w:jc w:val="both"/>
      </w:pPr>
    </w:p>
    <w:p w14:paraId="429B8015" w14:textId="628D8F5A" w:rsidR="00BC1B76" w:rsidRDefault="00BC1B76" w:rsidP="00880042">
      <w:pPr>
        <w:spacing w:before="46" w:after="0" w:line="276" w:lineRule="auto"/>
        <w:ind w:left="567" w:right="601" w:hanging="28"/>
        <w:jc w:val="both"/>
      </w:pPr>
    </w:p>
    <w:p w14:paraId="6BC154D9" w14:textId="72E0EAE9" w:rsidR="00BC1B76" w:rsidRDefault="00BC1B76" w:rsidP="00880042">
      <w:pPr>
        <w:spacing w:before="46" w:after="0" w:line="276" w:lineRule="auto"/>
        <w:ind w:left="567" w:right="601" w:hanging="28"/>
        <w:jc w:val="both"/>
      </w:pPr>
    </w:p>
    <w:p w14:paraId="39A0E402" w14:textId="6C57E1D6" w:rsidR="00BC1B76" w:rsidRDefault="00BC1B76" w:rsidP="00880042">
      <w:pPr>
        <w:spacing w:before="46" w:after="0" w:line="276" w:lineRule="auto"/>
        <w:ind w:left="567" w:right="601" w:hanging="28"/>
        <w:jc w:val="both"/>
      </w:pPr>
    </w:p>
    <w:p w14:paraId="027FC907" w14:textId="7B4FD5CD" w:rsidR="00BC1B76" w:rsidRDefault="00BC1B76" w:rsidP="00880042">
      <w:pPr>
        <w:spacing w:before="46" w:after="0" w:line="276" w:lineRule="auto"/>
        <w:ind w:left="567" w:right="601" w:hanging="28"/>
        <w:jc w:val="both"/>
      </w:pPr>
    </w:p>
    <w:p w14:paraId="40CA0586" w14:textId="2142AD63" w:rsidR="00BC1B76" w:rsidRDefault="00BC1B76" w:rsidP="00880042">
      <w:pPr>
        <w:spacing w:before="46" w:after="0" w:line="276" w:lineRule="auto"/>
        <w:ind w:left="567" w:right="601" w:hanging="28"/>
        <w:jc w:val="both"/>
      </w:pPr>
    </w:p>
    <w:p w14:paraId="1602824A" w14:textId="44E80C2B" w:rsidR="00BC1B76" w:rsidRDefault="00BC1B76" w:rsidP="00880042">
      <w:pPr>
        <w:spacing w:before="46" w:after="0" w:line="276" w:lineRule="auto"/>
        <w:ind w:left="567" w:right="601" w:hanging="28"/>
        <w:jc w:val="both"/>
      </w:pPr>
    </w:p>
    <w:p w14:paraId="1527A032" w14:textId="2C395816" w:rsidR="0028066E" w:rsidRDefault="0028066E" w:rsidP="00880042">
      <w:pPr>
        <w:spacing w:before="46" w:after="0" w:line="276" w:lineRule="auto"/>
        <w:ind w:left="567" w:right="601" w:hanging="28"/>
        <w:jc w:val="both"/>
      </w:pPr>
    </w:p>
    <w:p w14:paraId="2EF50721" w14:textId="1A5BC5C0" w:rsidR="0028066E" w:rsidRDefault="0028066E" w:rsidP="00880042">
      <w:pPr>
        <w:spacing w:before="46" w:after="0" w:line="276" w:lineRule="auto"/>
        <w:ind w:left="567" w:right="601" w:hanging="28"/>
        <w:jc w:val="both"/>
      </w:pPr>
    </w:p>
    <w:p w14:paraId="5547E6F1" w14:textId="52B251AA" w:rsidR="00CE7869" w:rsidRDefault="00CE7869" w:rsidP="007A5AA5">
      <w:pPr>
        <w:spacing w:before="46" w:after="0" w:line="276" w:lineRule="auto"/>
        <w:ind w:right="601"/>
        <w:jc w:val="both"/>
      </w:pPr>
    </w:p>
    <w:p w14:paraId="6137AC01" w14:textId="77777777" w:rsidR="00424272" w:rsidRDefault="00424272" w:rsidP="007A5AA5">
      <w:pPr>
        <w:spacing w:before="46" w:after="0" w:line="276" w:lineRule="auto"/>
        <w:ind w:right="601"/>
        <w:jc w:val="both"/>
      </w:pPr>
    </w:p>
    <w:p w14:paraId="2B760268" w14:textId="4FF6537E" w:rsidR="007A5AA5" w:rsidRPr="00424272" w:rsidRDefault="007A5AA5" w:rsidP="00424272">
      <w:pPr>
        <w:spacing w:after="0" w:line="240" w:lineRule="auto"/>
        <w:jc w:val="both"/>
        <w:rPr>
          <w:rFonts w:ascii="Arial Negrita" w:hAnsi="Arial Negrita" w:cs="Arial"/>
          <w:b/>
          <w:bCs/>
          <w:smallCaps/>
          <w:sz w:val="24"/>
          <w:szCs w:val="24"/>
        </w:rPr>
      </w:pPr>
    </w:p>
    <w:p w14:paraId="69472798" w14:textId="7C81B338" w:rsidR="007A5AA5" w:rsidRDefault="007A5AA5" w:rsidP="007A5AA5">
      <w:pPr>
        <w:pStyle w:val="Prrafodelista"/>
        <w:numPr>
          <w:ilvl w:val="0"/>
          <w:numId w:val="30"/>
        </w:numPr>
        <w:spacing w:after="0" w:line="240" w:lineRule="auto"/>
        <w:jc w:val="both"/>
        <w:rPr>
          <w:rFonts w:ascii="Arial Negrita" w:hAnsi="Arial Negrita" w:cs="Arial"/>
          <w:b/>
          <w:bCs/>
          <w:smallCaps/>
          <w:sz w:val="24"/>
          <w:szCs w:val="24"/>
        </w:rPr>
      </w:pPr>
      <w:r w:rsidRPr="001C540D">
        <w:rPr>
          <w:rFonts w:ascii="Arial Negrita" w:hAnsi="Arial Negrita" w:cs="Arial"/>
          <w:b/>
          <w:bCs/>
          <w:sz w:val="24"/>
          <w:szCs w:val="24"/>
        </w:rPr>
        <w:lastRenderedPageBreak/>
        <w:t>Aseguramientos</w:t>
      </w:r>
    </w:p>
    <w:bookmarkEnd w:id="4"/>
    <w:p w14:paraId="6769651C" w14:textId="77777777" w:rsidR="0063743F" w:rsidRPr="008A4442" w:rsidRDefault="0063743F" w:rsidP="008A4442">
      <w:pPr>
        <w:spacing w:after="0" w:line="240" w:lineRule="auto"/>
        <w:jc w:val="both"/>
        <w:rPr>
          <w:rFonts w:ascii="Arial Negrita" w:hAnsi="Arial Negrita" w:cs="Arial"/>
          <w:b/>
          <w:bCs/>
          <w:smallCaps/>
          <w:sz w:val="24"/>
          <w:szCs w:val="24"/>
        </w:rPr>
      </w:pPr>
    </w:p>
    <w:p w14:paraId="5158C21B" w14:textId="6AE6E4D5" w:rsidR="0063743F" w:rsidRPr="009B1FEE" w:rsidRDefault="0063743F" w:rsidP="00920907">
      <w:pPr>
        <w:pStyle w:val="Default"/>
        <w:spacing w:after="10"/>
        <w:ind w:right="21"/>
        <w:jc w:val="both"/>
      </w:pPr>
      <w:r w:rsidRPr="009B1FEE">
        <w:t xml:space="preserve">En 2021, </w:t>
      </w:r>
      <w:r>
        <w:t xml:space="preserve">se </w:t>
      </w:r>
      <w:r w:rsidRPr="009B1FEE">
        <w:t>reportó</w:t>
      </w:r>
      <w:r>
        <w:rPr>
          <w:rStyle w:val="Refdenotaalpie"/>
        </w:rPr>
        <w:footnoteReference w:id="17"/>
      </w:r>
      <w:r w:rsidRPr="009B1FEE">
        <w:t xml:space="preserve"> el aseguramiento de 728 329</w:t>
      </w:r>
      <w:r w:rsidRPr="00A27D62">
        <w:t xml:space="preserve"> </w:t>
      </w:r>
      <w:r w:rsidRPr="009B1FEE">
        <w:t>municiones (cartuchos) de uso común</w:t>
      </w:r>
      <w:r>
        <w:t xml:space="preserve"> y </w:t>
      </w:r>
      <w:r w:rsidR="008B0D34">
        <w:t xml:space="preserve">     </w:t>
      </w:r>
      <w:r w:rsidRPr="009B1FEE">
        <w:t>2</w:t>
      </w:r>
      <w:r>
        <w:t>1</w:t>
      </w:r>
      <w:r w:rsidRPr="009B1FEE">
        <w:t xml:space="preserve"> </w:t>
      </w:r>
      <w:r>
        <w:t>751</w:t>
      </w:r>
      <w:r w:rsidRPr="009B1FEE">
        <w:t xml:space="preserve"> armas de fuego</w:t>
      </w:r>
      <w:r w:rsidR="008B0D34">
        <w:t>. De estas,</w:t>
      </w:r>
      <w:r w:rsidRPr="009B1FEE">
        <w:t xml:space="preserve"> </w:t>
      </w:r>
      <w:r>
        <w:t>57.5</w:t>
      </w:r>
      <w:r w:rsidRPr="009B1FEE">
        <w:t xml:space="preserve"> % (12 507) </w:t>
      </w:r>
      <w:r w:rsidR="008B0D34">
        <w:t>correspondió a</w:t>
      </w:r>
      <w:r w:rsidRPr="009B1FEE">
        <w:t xml:space="preserve"> armas cortas</w:t>
      </w:r>
      <w:r>
        <w:t>,</w:t>
      </w:r>
      <w:r w:rsidRPr="009B1FEE">
        <w:t xml:space="preserve"> 3</w:t>
      </w:r>
      <w:r>
        <w:t>4</w:t>
      </w:r>
      <w:r w:rsidRPr="009B1FEE">
        <w:t>.</w:t>
      </w:r>
      <w:r>
        <w:t>4</w:t>
      </w:r>
      <w:r w:rsidRPr="009B1FEE">
        <w:t xml:space="preserve"> % (7 490)</w:t>
      </w:r>
      <w:r w:rsidR="000C2C22">
        <w:t>,</w:t>
      </w:r>
      <w:r w:rsidRPr="009B1FEE">
        <w:t xml:space="preserve"> </w:t>
      </w:r>
      <w:r w:rsidR="000C2C22">
        <w:t xml:space="preserve">a </w:t>
      </w:r>
      <w:r w:rsidRPr="009B1FEE">
        <w:t>largas</w:t>
      </w:r>
      <w:r>
        <w:t xml:space="preserve"> y 7.7 % (1 664) </w:t>
      </w:r>
      <w:r w:rsidR="000C2C22">
        <w:t xml:space="preserve">fue </w:t>
      </w:r>
      <w:r>
        <w:t>de fabricación artesanal</w:t>
      </w:r>
      <w:r w:rsidR="000C2C22">
        <w:t>.</w:t>
      </w:r>
      <w:r>
        <w:rPr>
          <w:rStyle w:val="Refdenotaalpie"/>
        </w:rPr>
        <w:footnoteReference w:id="18"/>
      </w:r>
      <w:r w:rsidRPr="009B1FEE">
        <w:t xml:space="preserve"> </w:t>
      </w:r>
      <w:r>
        <w:t>Comparado con 2020</w:t>
      </w:r>
      <w:r w:rsidR="000C2C22">
        <w:t>,</w:t>
      </w:r>
      <w:r w:rsidR="00D41818">
        <w:rPr>
          <w:rStyle w:val="Refdenotaalpie"/>
        </w:rPr>
        <w:footnoteReference w:id="19"/>
      </w:r>
      <w:r>
        <w:t xml:space="preserve"> la cantidad de armas aseguradas presentó un aumento de 145.9 por ciento.</w:t>
      </w:r>
    </w:p>
    <w:p w14:paraId="551B64F7" w14:textId="77777777" w:rsidR="0063743F" w:rsidRDefault="0063743F" w:rsidP="0063743F">
      <w:pPr>
        <w:pStyle w:val="Default"/>
        <w:spacing w:after="10"/>
        <w:ind w:right="284"/>
        <w:jc w:val="both"/>
        <w:rPr>
          <w:bCs/>
          <w:iCs/>
          <w:color w:val="000000" w:themeColor="text1"/>
          <w:sz w:val="20"/>
          <w:szCs w:val="20"/>
        </w:rPr>
      </w:pPr>
    </w:p>
    <w:p w14:paraId="16FD4BCC" w14:textId="77777777" w:rsidR="0063743F" w:rsidRPr="00963A3F" w:rsidRDefault="0063743F" w:rsidP="0063743F">
      <w:pPr>
        <w:pStyle w:val="Default"/>
        <w:spacing w:after="10"/>
        <w:ind w:right="284"/>
        <w:jc w:val="center"/>
        <w:rPr>
          <w:bCs/>
          <w:iCs/>
          <w:color w:val="000000" w:themeColor="text1"/>
          <w:sz w:val="20"/>
          <w:szCs w:val="20"/>
        </w:rPr>
      </w:pPr>
      <w:r w:rsidRPr="00810B87">
        <w:rPr>
          <w:bCs/>
          <w:iCs/>
          <w:color w:val="000000" w:themeColor="text1"/>
          <w:sz w:val="20"/>
          <w:szCs w:val="20"/>
        </w:rPr>
        <w:t xml:space="preserve">Gráfica </w:t>
      </w:r>
      <w:r>
        <w:rPr>
          <w:bCs/>
          <w:iCs/>
          <w:color w:val="000000" w:themeColor="text1"/>
          <w:sz w:val="20"/>
          <w:szCs w:val="20"/>
        </w:rPr>
        <w:t>31</w:t>
      </w:r>
    </w:p>
    <w:p w14:paraId="0E519273" w14:textId="5E082CC8" w:rsidR="0063743F" w:rsidRDefault="00F2303A" w:rsidP="0063743F">
      <w:pPr>
        <w:pStyle w:val="Default"/>
        <w:jc w:val="center"/>
      </w:pPr>
      <w:r>
        <w:rPr>
          <w:noProof/>
        </w:rPr>
        <w:drawing>
          <wp:anchor distT="0" distB="0" distL="114300" distR="114300" simplePos="0" relativeHeight="251686912" behindDoc="0" locked="0" layoutInCell="1" allowOverlap="1" wp14:anchorId="123B1B07" wp14:editId="7AAAE6C5">
            <wp:simplePos x="0" y="0"/>
            <wp:positionH relativeFrom="margin">
              <wp:align>center</wp:align>
            </wp:positionH>
            <wp:positionV relativeFrom="paragraph">
              <wp:posOffset>191770</wp:posOffset>
            </wp:positionV>
            <wp:extent cx="6257290" cy="1690370"/>
            <wp:effectExtent l="0" t="0" r="0" b="5080"/>
            <wp:wrapTopAndBottom/>
            <wp:docPr id="33" name="Gráfico 33">
              <a:extLst xmlns:a="http://schemas.openxmlformats.org/drawingml/2006/main">
                <a:ext uri="{FF2B5EF4-FFF2-40B4-BE49-F238E27FC236}">
                  <a16:creationId xmlns:a16="http://schemas.microsoft.com/office/drawing/2014/main" id="{6731596C-898A-F37F-E660-11A75E054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63743F" w:rsidRPr="009B1FEE">
        <w:rPr>
          <w:b/>
          <w:bCs/>
          <w:iCs/>
          <w:smallCaps/>
          <w:color w:val="000000" w:themeColor="text1"/>
          <w:sz w:val="22"/>
          <w:szCs w:val="22"/>
        </w:rPr>
        <w:t xml:space="preserve">Armas aseguradas por </w:t>
      </w:r>
      <w:r w:rsidR="0063743F">
        <w:rPr>
          <w:b/>
          <w:bCs/>
          <w:iCs/>
          <w:smallCaps/>
          <w:color w:val="000000" w:themeColor="text1"/>
          <w:sz w:val="22"/>
          <w:szCs w:val="22"/>
        </w:rPr>
        <w:t>la FGR</w:t>
      </w:r>
      <w:r w:rsidR="0063743F" w:rsidRPr="009B1FEE">
        <w:rPr>
          <w:b/>
          <w:bCs/>
          <w:iCs/>
          <w:smallCaps/>
          <w:color w:val="000000" w:themeColor="text1"/>
          <w:sz w:val="22"/>
          <w:szCs w:val="22"/>
        </w:rPr>
        <w:t>, 2021</w:t>
      </w:r>
    </w:p>
    <w:p w14:paraId="73510515" w14:textId="096405E9" w:rsidR="00CE7869" w:rsidRDefault="0063743F" w:rsidP="00F2303A">
      <w:pPr>
        <w:pStyle w:val="Default"/>
        <w:jc w:val="center"/>
      </w:pPr>
      <w:r w:rsidRPr="009B1FEE">
        <w:rPr>
          <w:noProof/>
        </w:rPr>
        <w:drawing>
          <wp:inline distT="0" distB="0" distL="0" distR="0" wp14:anchorId="798ECB47" wp14:editId="42642EA1">
            <wp:extent cx="0" cy="0"/>
            <wp:effectExtent l="0" t="0" r="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7BEA106" w14:textId="61FD2890" w:rsidR="0063743F" w:rsidRDefault="004F4D63" w:rsidP="00920907">
      <w:pPr>
        <w:pStyle w:val="Default"/>
        <w:ind w:right="21"/>
        <w:jc w:val="both"/>
      </w:pPr>
      <w:r>
        <w:t xml:space="preserve">En </w:t>
      </w:r>
      <w:r w:rsidR="0063743F">
        <w:t>Guanajuato</w:t>
      </w:r>
      <w:r w:rsidR="0063743F" w:rsidRPr="000B2242">
        <w:t xml:space="preserve"> y </w:t>
      </w:r>
      <w:r w:rsidR="0063743F">
        <w:t>Baja California</w:t>
      </w:r>
      <w:r w:rsidR="0063743F" w:rsidRPr="000B2242">
        <w:t xml:space="preserve"> </w:t>
      </w:r>
      <w:r w:rsidR="005C783D">
        <w:t xml:space="preserve">se </w:t>
      </w:r>
      <w:r w:rsidR="0063743F" w:rsidRPr="000B2242">
        <w:t>report</w:t>
      </w:r>
      <w:r w:rsidR="005C783D">
        <w:t>ó</w:t>
      </w:r>
      <w:r w:rsidR="0063743F" w:rsidRPr="000B2242">
        <w:t xml:space="preserve"> la mayor cantidad de armas de fuego aseguradas</w:t>
      </w:r>
      <w:r w:rsidR="0063743F">
        <w:t xml:space="preserve">                 </w:t>
      </w:r>
      <w:r w:rsidR="0063743F" w:rsidRPr="000B2242">
        <w:t xml:space="preserve"> (</w:t>
      </w:r>
      <w:r w:rsidR="0063743F">
        <w:t>2 176</w:t>
      </w:r>
      <w:r w:rsidR="0063743F" w:rsidRPr="000B2242">
        <w:t xml:space="preserve"> y </w:t>
      </w:r>
      <w:r w:rsidR="0063743F">
        <w:t>2</w:t>
      </w:r>
      <w:r w:rsidR="00FA797F">
        <w:t xml:space="preserve"> </w:t>
      </w:r>
      <w:r w:rsidR="0063743F">
        <w:t>000</w:t>
      </w:r>
      <w:r w:rsidR="0063743F" w:rsidRPr="000B2242">
        <w:t>, respectivamente). Las dos entidades concentr</w:t>
      </w:r>
      <w:r w:rsidR="0063743F">
        <w:t>aron</w:t>
      </w:r>
      <w:r w:rsidR="0063743F" w:rsidRPr="000B2242">
        <w:t xml:space="preserve"> </w:t>
      </w:r>
      <w:r w:rsidR="0063743F">
        <w:t>19.2</w:t>
      </w:r>
      <w:r w:rsidR="0063743F" w:rsidRPr="000B2242">
        <w:t xml:space="preserve"> % del total nacional.</w:t>
      </w:r>
    </w:p>
    <w:p w14:paraId="1734506E" w14:textId="77777777" w:rsidR="0063743F" w:rsidRDefault="0063743F" w:rsidP="0063743F">
      <w:pPr>
        <w:pStyle w:val="Default"/>
        <w:jc w:val="center"/>
      </w:pPr>
    </w:p>
    <w:p w14:paraId="4CFE38FE" w14:textId="77777777" w:rsidR="0063743F" w:rsidRPr="00963A3F" w:rsidRDefault="0063743F" w:rsidP="0063743F">
      <w:pPr>
        <w:pStyle w:val="Default"/>
        <w:spacing w:after="10"/>
        <w:ind w:right="284"/>
        <w:jc w:val="center"/>
        <w:rPr>
          <w:bCs/>
          <w:iCs/>
          <w:color w:val="000000" w:themeColor="text1"/>
          <w:sz w:val="20"/>
          <w:szCs w:val="20"/>
        </w:rPr>
      </w:pPr>
      <w:r>
        <w:rPr>
          <w:bCs/>
          <w:iCs/>
          <w:color w:val="000000" w:themeColor="text1"/>
          <w:sz w:val="20"/>
          <w:szCs w:val="20"/>
        </w:rPr>
        <w:t>Mapa 1</w:t>
      </w:r>
    </w:p>
    <w:p w14:paraId="4FDD487B" w14:textId="2B06FBCE" w:rsidR="0063743F" w:rsidRDefault="0063743F" w:rsidP="0063743F">
      <w:pPr>
        <w:pStyle w:val="Default"/>
        <w:jc w:val="center"/>
        <w:rPr>
          <w:b/>
          <w:bCs/>
          <w:iCs/>
          <w:smallCaps/>
          <w:color w:val="000000" w:themeColor="text1"/>
          <w:sz w:val="22"/>
          <w:szCs w:val="22"/>
        </w:rPr>
      </w:pPr>
      <w:r w:rsidRPr="009B1FEE">
        <w:rPr>
          <w:b/>
          <w:bCs/>
          <w:iCs/>
          <w:smallCaps/>
          <w:color w:val="000000" w:themeColor="text1"/>
          <w:sz w:val="22"/>
          <w:szCs w:val="22"/>
        </w:rPr>
        <w:t xml:space="preserve">Armas </w:t>
      </w:r>
      <w:r>
        <w:rPr>
          <w:b/>
          <w:bCs/>
          <w:iCs/>
          <w:smallCaps/>
          <w:color w:val="000000" w:themeColor="text1"/>
          <w:sz w:val="22"/>
          <w:szCs w:val="22"/>
        </w:rPr>
        <w:t xml:space="preserve">de fuego aseguradas </w:t>
      </w:r>
      <w:r w:rsidR="00F2303A" w:rsidRPr="00AA0523">
        <w:rPr>
          <w:b/>
          <w:bCs/>
          <w:iCs/>
          <w:smallCaps/>
          <w:color w:val="000000" w:themeColor="text1"/>
          <w:sz w:val="22"/>
          <w:szCs w:val="22"/>
        </w:rPr>
        <w:t>registradas</w:t>
      </w:r>
      <w:r w:rsidR="00F2303A">
        <w:rPr>
          <w:b/>
          <w:bCs/>
          <w:iCs/>
          <w:smallCaps/>
          <w:color w:val="000000" w:themeColor="text1"/>
          <w:sz w:val="22"/>
          <w:szCs w:val="22"/>
        </w:rPr>
        <w:t xml:space="preserve"> </w:t>
      </w:r>
      <w:r>
        <w:rPr>
          <w:b/>
          <w:bCs/>
          <w:iCs/>
          <w:smallCaps/>
          <w:color w:val="000000" w:themeColor="text1"/>
          <w:sz w:val="22"/>
          <w:szCs w:val="22"/>
        </w:rPr>
        <w:t>por la FGR,</w:t>
      </w:r>
      <w:r w:rsidRPr="009B1FEE">
        <w:rPr>
          <w:b/>
          <w:bCs/>
          <w:iCs/>
          <w:smallCaps/>
          <w:color w:val="000000" w:themeColor="text1"/>
          <w:sz w:val="22"/>
          <w:szCs w:val="22"/>
        </w:rPr>
        <w:t xml:space="preserve"> 2021</w:t>
      </w:r>
    </w:p>
    <w:p w14:paraId="6985FEB8" w14:textId="77777777" w:rsidR="00D41818" w:rsidRPr="00D41818" w:rsidRDefault="00D41818" w:rsidP="0063743F">
      <w:pPr>
        <w:pStyle w:val="Default"/>
        <w:jc w:val="center"/>
        <w:rPr>
          <w:b/>
          <w:bCs/>
          <w:iCs/>
          <w:smallCaps/>
          <w:color w:val="000000" w:themeColor="text1"/>
          <w:sz w:val="12"/>
          <w:szCs w:val="12"/>
        </w:rPr>
      </w:pPr>
    </w:p>
    <w:p w14:paraId="77327936" w14:textId="77777777" w:rsidR="0063743F" w:rsidRPr="001B6BDD" w:rsidRDefault="0063743F" w:rsidP="0063743F">
      <w:pPr>
        <w:pStyle w:val="Default"/>
        <w:jc w:val="center"/>
        <w:rPr>
          <w:sz w:val="14"/>
          <w:szCs w:val="14"/>
        </w:rPr>
      </w:pPr>
    </w:p>
    <w:p w14:paraId="3363CF8D" w14:textId="77777777" w:rsidR="0063743F" w:rsidRDefault="0063743F" w:rsidP="0063743F">
      <w:pPr>
        <w:spacing w:after="0"/>
        <w:jc w:val="center"/>
        <w:rPr>
          <w:rFonts w:ascii="Arial" w:hAnsi="Arial" w:cs="Arial"/>
          <w:color w:val="000000"/>
          <w:sz w:val="24"/>
          <w:szCs w:val="24"/>
        </w:rPr>
      </w:pPr>
      <w:r>
        <w:rPr>
          <w:noProof/>
        </w:rPr>
        <mc:AlternateContent>
          <mc:Choice Requires="wpg">
            <w:drawing>
              <wp:anchor distT="0" distB="0" distL="114300" distR="114300" simplePos="0" relativeHeight="251683840" behindDoc="0" locked="0" layoutInCell="1" allowOverlap="1" wp14:anchorId="2758D210" wp14:editId="157F6EFB">
                <wp:simplePos x="0" y="0"/>
                <wp:positionH relativeFrom="column">
                  <wp:posOffset>4251960</wp:posOffset>
                </wp:positionH>
                <wp:positionV relativeFrom="paragraph">
                  <wp:posOffset>522779</wp:posOffset>
                </wp:positionV>
                <wp:extent cx="2025240" cy="839039"/>
                <wp:effectExtent l="0" t="0" r="0" b="0"/>
                <wp:wrapNone/>
                <wp:docPr id="15" name="Grupo 8"/>
                <wp:cNvGraphicFramePr/>
                <a:graphic xmlns:a="http://schemas.openxmlformats.org/drawingml/2006/main">
                  <a:graphicData uri="http://schemas.microsoft.com/office/word/2010/wordprocessingGroup">
                    <wpg:wgp>
                      <wpg:cNvGrpSpPr/>
                      <wpg:grpSpPr>
                        <a:xfrm>
                          <a:off x="0" y="0"/>
                          <a:ext cx="2025240" cy="839039"/>
                          <a:chOff x="0" y="0"/>
                          <a:chExt cx="2026290" cy="831632"/>
                        </a:xfrm>
                      </wpg:grpSpPr>
                      <wpg:grpSp>
                        <wpg:cNvPr id="19" name="Grupo 19"/>
                        <wpg:cNvGrpSpPr/>
                        <wpg:grpSpPr>
                          <a:xfrm>
                            <a:off x="0" y="212653"/>
                            <a:ext cx="2026290" cy="618979"/>
                            <a:chOff x="0" y="212652"/>
                            <a:chExt cx="2114979" cy="749768"/>
                          </a:xfrm>
                        </wpg:grpSpPr>
                        <wps:wsp>
                          <wps:cNvPr id="21" name="Rectángulo: esquinas redondeadas 21"/>
                          <wps:cNvSpPr/>
                          <wps:spPr>
                            <a:xfrm>
                              <a:off x="0" y="419442"/>
                              <a:ext cx="150815" cy="139430"/>
                            </a:xfrm>
                            <a:prstGeom prst="roundRect">
                              <a:avLst/>
                            </a:prstGeom>
                            <a:solidFill>
                              <a:srgbClr val="285172"/>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2" name="Rectángulo: esquinas redondeadas 22"/>
                          <wps:cNvSpPr/>
                          <wps:spPr>
                            <a:xfrm>
                              <a:off x="3510" y="258877"/>
                              <a:ext cx="150472" cy="139430"/>
                            </a:xfrm>
                            <a:prstGeom prst="roundRect">
                              <a:avLst/>
                            </a:prstGeom>
                            <a:solidFill>
                              <a:srgbClr val="18305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4" name="Rectángulo: esquinas redondeadas 24"/>
                          <wps:cNvSpPr/>
                          <wps:spPr>
                            <a:xfrm>
                              <a:off x="802" y="582107"/>
                              <a:ext cx="150814" cy="139430"/>
                            </a:xfrm>
                            <a:prstGeom prst="roundRect">
                              <a:avLst/>
                            </a:prstGeom>
                            <a:solidFill>
                              <a:srgbClr val="939C92"/>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5" name="Rectángulo: esquinas redondeadas 25"/>
                          <wps:cNvSpPr/>
                          <wps:spPr>
                            <a:xfrm>
                              <a:off x="3108" y="745930"/>
                              <a:ext cx="149297" cy="138693"/>
                            </a:xfrm>
                            <a:prstGeom prst="roundRect">
                              <a:avLst/>
                            </a:prstGeom>
                            <a:solidFill>
                              <a:srgbClr val="63716D"/>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6" name="Rectángulo 26"/>
                          <wps:cNvSpPr/>
                          <wps:spPr>
                            <a:xfrm>
                              <a:off x="110106" y="699234"/>
                              <a:ext cx="1887984" cy="263186"/>
                            </a:xfrm>
                            <a:prstGeom prst="rect">
                              <a:avLst/>
                            </a:prstGeom>
                          </wps:spPr>
                          <wps:txbx>
                            <w:txbxContent>
                              <w:p w14:paraId="65EE4F9A" w14:textId="77777777" w:rsidR="00AA0523" w:rsidRDefault="00AA0523" w:rsidP="0063743F">
                                <w:pPr>
                                  <w:overflowPunct w:val="0"/>
                                  <w:spacing w:line="256" w:lineRule="auto"/>
                                  <w:rPr>
                                    <w:rFonts w:ascii="Arial" w:eastAsia="Helvetica Neue Medium" w:hAnsi="Arial"/>
                                    <w:color w:val="000000"/>
                                    <w:sz w:val="16"/>
                                    <w:szCs w:val="16"/>
                                  </w:rPr>
                                </w:pPr>
                                <w:r>
                                  <w:rPr>
                                    <w:rFonts w:ascii="Arial" w:eastAsia="Helvetica Neue Medium" w:hAnsi="Arial"/>
                                    <w:color w:val="000000"/>
                                    <w:sz w:val="16"/>
                                    <w:szCs w:val="16"/>
                                  </w:rPr>
                                  <w:t>De 37 a 500 (18 entidades)</w:t>
                                </w:r>
                              </w:p>
                            </w:txbxContent>
                          </wps:txbx>
                          <wps:bodyPr wrap="square">
                            <a:noAutofit/>
                          </wps:bodyPr>
                        </wps:wsp>
                        <wps:wsp>
                          <wps:cNvPr id="27" name="Rectángulo 27"/>
                          <wps:cNvSpPr/>
                          <wps:spPr>
                            <a:xfrm>
                              <a:off x="110284" y="531356"/>
                              <a:ext cx="2004695" cy="237490"/>
                            </a:xfrm>
                            <a:prstGeom prst="rect">
                              <a:avLst/>
                            </a:prstGeom>
                          </wps:spPr>
                          <wps:txbx>
                            <w:txbxContent>
                              <w:p w14:paraId="38F14CDE" w14:textId="77777777" w:rsidR="00AA0523" w:rsidRDefault="00AA0523" w:rsidP="0063743F">
                                <w:pPr>
                                  <w:overflowPunct w:val="0"/>
                                  <w:spacing w:line="256" w:lineRule="auto"/>
                                  <w:rPr>
                                    <w:rFonts w:ascii="Arial" w:eastAsia="Helvetica Neue Medium" w:hAnsi="Arial"/>
                                    <w:color w:val="000000"/>
                                    <w:sz w:val="16"/>
                                    <w:szCs w:val="16"/>
                                  </w:rPr>
                                </w:pPr>
                                <w:r>
                                  <w:rPr>
                                    <w:rFonts w:ascii="Arial" w:eastAsia="Helvetica Neue Medium" w:hAnsi="Arial"/>
                                    <w:color w:val="000000"/>
                                    <w:sz w:val="16"/>
                                    <w:szCs w:val="16"/>
                                  </w:rPr>
                                  <w:t>De 501 a 1 000 (5 entidades)</w:t>
                                </w:r>
                              </w:p>
                            </w:txbxContent>
                          </wps:txbx>
                          <wps:bodyPr wrap="square">
                            <a:noAutofit/>
                          </wps:bodyPr>
                        </wps:wsp>
                        <wps:wsp>
                          <wps:cNvPr id="28" name="Rectángulo 28"/>
                          <wps:cNvSpPr/>
                          <wps:spPr>
                            <a:xfrm>
                              <a:off x="110285" y="372064"/>
                              <a:ext cx="1934210" cy="237490"/>
                            </a:xfrm>
                            <a:prstGeom prst="rect">
                              <a:avLst/>
                            </a:prstGeom>
                          </wps:spPr>
                          <wps:txbx>
                            <w:txbxContent>
                              <w:p w14:paraId="633B46B2" w14:textId="77777777" w:rsidR="00AA0523" w:rsidRDefault="00AA0523" w:rsidP="0063743F">
                                <w:pPr>
                                  <w:overflowPunct w:val="0"/>
                                  <w:spacing w:line="256" w:lineRule="auto"/>
                                  <w:rPr>
                                    <w:rFonts w:ascii="Arial" w:eastAsia="Helvetica Neue Medium" w:hAnsi="Arial"/>
                                    <w:color w:val="000000"/>
                                    <w:sz w:val="16"/>
                                    <w:szCs w:val="16"/>
                                  </w:rPr>
                                </w:pPr>
                                <w:r>
                                  <w:rPr>
                                    <w:rFonts w:ascii="Arial" w:eastAsia="Helvetica Neue Medium" w:hAnsi="Arial"/>
                                    <w:color w:val="000000"/>
                                    <w:sz w:val="16"/>
                                    <w:szCs w:val="16"/>
                                  </w:rPr>
                                  <w:t>De 1 001 a 1 500 (5 entidades)</w:t>
                                </w:r>
                              </w:p>
                            </w:txbxContent>
                          </wps:txbx>
                          <wps:bodyPr wrap="square">
                            <a:noAutofit/>
                          </wps:bodyPr>
                        </wps:wsp>
                        <wps:wsp>
                          <wps:cNvPr id="29" name="Rectángulo 29"/>
                          <wps:cNvSpPr/>
                          <wps:spPr>
                            <a:xfrm>
                              <a:off x="116920" y="212652"/>
                              <a:ext cx="1729105" cy="237490"/>
                            </a:xfrm>
                            <a:prstGeom prst="rect">
                              <a:avLst/>
                            </a:prstGeom>
                          </wps:spPr>
                          <wps:txbx>
                            <w:txbxContent>
                              <w:p w14:paraId="3C69CC9B" w14:textId="77777777" w:rsidR="00AA0523" w:rsidRDefault="00AA0523" w:rsidP="0063743F">
                                <w:pPr>
                                  <w:overflowPunct w:val="0"/>
                                  <w:spacing w:line="256" w:lineRule="auto"/>
                                  <w:rPr>
                                    <w:rFonts w:ascii="Arial" w:eastAsia="Helvetica Neue Medium" w:hAnsi="Arial"/>
                                    <w:color w:val="000000"/>
                                    <w:sz w:val="16"/>
                                    <w:szCs w:val="16"/>
                                  </w:rPr>
                                </w:pPr>
                                <w:r>
                                  <w:rPr>
                                    <w:rFonts w:ascii="Arial" w:eastAsia="Helvetica Neue Medium" w:hAnsi="Arial"/>
                                    <w:color w:val="000000"/>
                                    <w:sz w:val="16"/>
                                    <w:szCs w:val="16"/>
                                  </w:rPr>
                                  <w:t>Más de 1 500 (4 entidades)</w:t>
                                </w:r>
                              </w:p>
                            </w:txbxContent>
                          </wps:txbx>
                          <wps:bodyPr wrap="square">
                            <a:noAutofit/>
                          </wps:bodyPr>
                        </wps:wsp>
                      </wpg:grpSp>
                      <wps:wsp>
                        <wps:cNvPr id="30" name="Rectángulo 30"/>
                        <wps:cNvSpPr/>
                        <wps:spPr>
                          <a:xfrm>
                            <a:off x="148856" y="0"/>
                            <a:ext cx="1371600" cy="265814"/>
                          </a:xfrm>
                          <a:prstGeom prst="rect">
                            <a:avLst/>
                          </a:prstGeom>
                        </wps:spPr>
                        <wps:txbx>
                          <w:txbxContent>
                            <w:p w14:paraId="0F29869F" w14:textId="77777777" w:rsidR="00AA0523" w:rsidRDefault="00AA0523" w:rsidP="0063743F">
                              <w:pPr>
                                <w:overflowPunct w:val="0"/>
                                <w:spacing w:line="256" w:lineRule="auto"/>
                                <w:rPr>
                                  <w:rFonts w:ascii="Arial" w:eastAsia="Helvetica Neue Medium" w:hAnsi="Arial"/>
                                  <w:b/>
                                  <w:bCs/>
                                  <w:color w:val="000000"/>
                                  <w:sz w:val="16"/>
                                  <w:szCs w:val="16"/>
                                </w:rPr>
                              </w:pPr>
                              <w:r>
                                <w:rPr>
                                  <w:rFonts w:ascii="Arial" w:eastAsia="Helvetica Neue Medium" w:hAnsi="Arial"/>
                                  <w:b/>
                                  <w:bCs/>
                                  <w:color w:val="000000"/>
                                  <w:sz w:val="16"/>
                                  <w:szCs w:val="16"/>
                                </w:rPr>
                                <w:t>Armas de fuego</w:t>
                              </w:r>
                            </w:p>
                          </w:txbxContent>
                        </wps:txbx>
                        <wps:bodyPr wrap="square">
                          <a:noAutofit/>
                        </wps:bodyPr>
                      </wps:wsp>
                    </wpg:wgp>
                  </a:graphicData>
                </a:graphic>
              </wp:anchor>
            </w:drawing>
          </mc:Choice>
          <mc:Fallback>
            <w:pict>
              <v:group w14:anchorId="2758D210" id="Grupo 8" o:spid="_x0000_s1026" style="position:absolute;left:0;text-align:left;margin-left:334.8pt;margin-top:41.15pt;width:159.45pt;height:66.05pt;z-index:251683840" coordsize="20262,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">
                <v:group id="Grupo 19" o:spid="_x0000_s1027" style="position:absolute;top:2126;width:20262;height:6190" coordorigin=",2126" coordsize="21149,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Rectángulo: esquinas redondeadas 21" o:spid="_x0000_s1028" style="position:absolute;top:41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" fillcolor="#285172" stroked="f" strokeweight="2pt">
                    <v:textbox inset="0,0,0,0"/>
                  </v:roundrect>
                  <v:roundrect id="Rectángulo: esquinas redondeadas 22" o:spid="_x0000_s1029" style="position:absolute;left:35;top:2588;width:1504;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" fillcolor="#183051" stroked="f" strokeweight="2pt">
                    <v:textbox inset="0,0,0,0"/>
                  </v:roundrect>
                  <v:roundrect id="Rectángulo: esquinas redondeadas 24" o:spid="_x0000_s1030" style="position:absolute;left:8;top:5821;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" fillcolor="#939c92" stroked="f" strokeweight="2pt">
                    <v:textbox inset="0,0,0,0"/>
                  </v:roundrect>
                  <v:roundrect id="Rectángulo: esquinas redondeadas 25" o:spid="_x0000_s1031" style="position:absolute;left:31;top:7459;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" fillcolor="#63716d" stroked="f" strokeweight="2pt">
                    <v:textbox inset="0,0,0,0"/>
                  </v:roundrect>
                  <v:rect id="Rectángulo 26" o:spid="_x0000_s1032" style="position:absolute;left:1101;top:6992;width:18879;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14:paraId="65EE4F9A" w14:textId="77777777" w:rsidR="00AA0523" w:rsidRDefault="00AA0523" w:rsidP="0063743F">
                          <w:pPr>
                            <w:overflowPunct w:val="0"/>
                            <w:spacing w:line="256" w:lineRule="auto"/>
                            <w:rPr>
                              <w:rFonts w:ascii="Arial" w:eastAsia="Helvetica Neue Medium" w:hAnsi="Arial"/>
                              <w:color w:val="000000"/>
                              <w:sz w:val="16"/>
                              <w:szCs w:val="16"/>
                            </w:rPr>
                          </w:pPr>
                          <w:r>
                            <w:rPr>
                              <w:rFonts w:ascii="Arial" w:eastAsia="Helvetica Neue Medium" w:hAnsi="Arial"/>
                              <w:color w:val="000000"/>
                              <w:sz w:val="16"/>
                              <w:szCs w:val="16"/>
                            </w:rPr>
                            <w:t>De 37 a 500 (18 entidades)</w:t>
                          </w:r>
                        </w:p>
                      </w:txbxContent>
                    </v:textbox>
                  </v:rect>
                  <v:rect id="Rectángulo 27" o:spid="_x0000_s1033" style="position:absolute;left:1102;top:5313;width:2004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38F14CDE" w14:textId="77777777" w:rsidR="00AA0523" w:rsidRDefault="00AA0523" w:rsidP="0063743F">
                          <w:pPr>
                            <w:overflowPunct w:val="0"/>
                            <w:spacing w:line="256" w:lineRule="auto"/>
                            <w:rPr>
                              <w:rFonts w:ascii="Arial" w:eastAsia="Helvetica Neue Medium" w:hAnsi="Arial"/>
                              <w:color w:val="000000"/>
                              <w:sz w:val="16"/>
                              <w:szCs w:val="16"/>
                            </w:rPr>
                          </w:pPr>
                          <w:r>
                            <w:rPr>
                              <w:rFonts w:ascii="Arial" w:eastAsia="Helvetica Neue Medium" w:hAnsi="Arial"/>
                              <w:color w:val="000000"/>
                              <w:sz w:val="16"/>
                              <w:szCs w:val="16"/>
                            </w:rPr>
                            <w:t>De 501 a 1 000 (5 entidades)</w:t>
                          </w:r>
                        </w:p>
                      </w:txbxContent>
                    </v:textbox>
                  </v:rect>
                  <v:rect id="Rectángulo 28" o:spid="_x0000_s1034" style="position:absolute;left:1102;top:3720;width:193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633B46B2" w14:textId="77777777" w:rsidR="00AA0523" w:rsidRDefault="00AA0523" w:rsidP="0063743F">
                          <w:pPr>
                            <w:overflowPunct w:val="0"/>
                            <w:spacing w:line="256" w:lineRule="auto"/>
                            <w:rPr>
                              <w:rFonts w:ascii="Arial" w:eastAsia="Helvetica Neue Medium" w:hAnsi="Arial"/>
                              <w:color w:val="000000"/>
                              <w:sz w:val="16"/>
                              <w:szCs w:val="16"/>
                            </w:rPr>
                          </w:pPr>
                          <w:r>
                            <w:rPr>
                              <w:rFonts w:ascii="Arial" w:eastAsia="Helvetica Neue Medium" w:hAnsi="Arial"/>
                              <w:color w:val="000000"/>
                              <w:sz w:val="16"/>
                              <w:szCs w:val="16"/>
                            </w:rPr>
                            <w:t>De 1 001 a 1 500 (5 entidades)</w:t>
                          </w:r>
                        </w:p>
                      </w:txbxContent>
                    </v:textbox>
                  </v:rect>
                  <v:rect id="Rectángulo 29" o:spid="_x0000_s1035" style="position:absolute;left:1169;top:2126;width:1729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14:paraId="3C69CC9B" w14:textId="77777777" w:rsidR="00AA0523" w:rsidRDefault="00AA0523" w:rsidP="0063743F">
                          <w:pPr>
                            <w:overflowPunct w:val="0"/>
                            <w:spacing w:line="256" w:lineRule="auto"/>
                            <w:rPr>
                              <w:rFonts w:ascii="Arial" w:eastAsia="Helvetica Neue Medium" w:hAnsi="Arial"/>
                              <w:color w:val="000000"/>
                              <w:sz w:val="16"/>
                              <w:szCs w:val="16"/>
                            </w:rPr>
                          </w:pPr>
                          <w:r>
                            <w:rPr>
                              <w:rFonts w:ascii="Arial" w:eastAsia="Helvetica Neue Medium" w:hAnsi="Arial"/>
                              <w:color w:val="000000"/>
                              <w:sz w:val="16"/>
                              <w:szCs w:val="16"/>
                            </w:rPr>
                            <w:t>Más de 1 500 (4 entidades)</w:t>
                          </w:r>
                        </w:p>
                      </w:txbxContent>
                    </v:textbox>
                  </v:rect>
                </v:group>
                <v:rect id="Rectángulo 30" o:spid="_x0000_s1036" style="position:absolute;left:1488;width:13716;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14:paraId="0F29869F" w14:textId="77777777" w:rsidR="00AA0523" w:rsidRDefault="00AA0523" w:rsidP="0063743F">
                        <w:pPr>
                          <w:overflowPunct w:val="0"/>
                          <w:spacing w:line="256" w:lineRule="auto"/>
                          <w:rPr>
                            <w:rFonts w:ascii="Arial" w:eastAsia="Helvetica Neue Medium" w:hAnsi="Arial"/>
                            <w:b/>
                            <w:bCs/>
                            <w:color w:val="000000"/>
                            <w:sz w:val="16"/>
                            <w:szCs w:val="16"/>
                          </w:rPr>
                        </w:pPr>
                        <w:r>
                          <w:rPr>
                            <w:rFonts w:ascii="Arial" w:eastAsia="Helvetica Neue Medium" w:hAnsi="Arial"/>
                            <w:b/>
                            <w:bCs/>
                            <w:color w:val="000000"/>
                            <w:sz w:val="16"/>
                            <w:szCs w:val="16"/>
                          </w:rPr>
                          <w:t>Armas de fuego</w:t>
                        </w:r>
                      </w:p>
                    </w:txbxContent>
                  </v:textbox>
                </v:rect>
              </v:group>
            </w:pict>
          </mc:Fallback>
        </mc:AlternateContent>
      </w:r>
      <w:r>
        <w:rPr>
          <w:rFonts w:ascii="Arial" w:hAnsi="Arial" w:cs="Arial"/>
          <w:noProof/>
          <w:color w:val="000000"/>
          <w:sz w:val="24"/>
          <w:szCs w:val="24"/>
        </w:rPr>
        <w:drawing>
          <wp:inline distT="0" distB="0" distL="0" distR="0" wp14:anchorId="54D14B61" wp14:editId="0D378223">
            <wp:extent cx="4658264" cy="3052109"/>
            <wp:effectExtent l="0" t="0" r="9525" b="0"/>
            <wp:docPr id="35" name="Imagen 35"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Mapa&#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58264" cy="3052109"/>
                    </a:xfrm>
                    <a:prstGeom prst="rect">
                      <a:avLst/>
                    </a:prstGeom>
                    <a:noFill/>
                  </pic:spPr>
                </pic:pic>
              </a:graphicData>
            </a:graphic>
          </wp:inline>
        </w:drawing>
      </w:r>
    </w:p>
    <w:p w14:paraId="2DBEFBF4" w14:textId="3BD27680" w:rsidR="0063743F" w:rsidRPr="00395097" w:rsidRDefault="0063743F" w:rsidP="00920907">
      <w:pPr>
        <w:spacing w:after="0"/>
        <w:ind w:right="21"/>
        <w:jc w:val="both"/>
        <w:rPr>
          <w:rFonts w:ascii="Arial" w:hAnsi="Arial" w:cs="Arial"/>
          <w:color w:val="000000"/>
          <w:sz w:val="24"/>
          <w:szCs w:val="24"/>
        </w:rPr>
      </w:pPr>
      <w:r w:rsidRPr="00395097">
        <w:rPr>
          <w:rFonts w:ascii="Arial" w:hAnsi="Arial" w:cs="Arial"/>
          <w:color w:val="000000"/>
          <w:sz w:val="24"/>
          <w:szCs w:val="24"/>
        </w:rPr>
        <w:lastRenderedPageBreak/>
        <w:t>En cuanto al aseguramiento de narcóticos</w:t>
      </w:r>
      <w:r>
        <w:rPr>
          <w:rFonts w:ascii="Arial" w:hAnsi="Arial" w:cs="Arial"/>
          <w:color w:val="000000"/>
          <w:sz w:val="24"/>
          <w:szCs w:val="24"/>
        </w:rPr>
        <w:t xml:space="preserve"> reportados por las </w:t>
      </w:r>
      <w:r w:rsidR="008B0D34">
        <w:rPr>
          <w:rFonts w:ascii="Arial" w:hAnsi="Arial" w:cs="Arial"/>
          <w:color w:val="000000"/>
          <w:sz w:val="24"/>
          <w:szCs w:val="24"/>
        </w:rPr>
        <w:t>f</w:t>
      </w:r>
      <w:r>
        <w:rPr>
          <w:rFonts w:ascii="Arial" w:hAnsi="Arial" w:cs="Arial"/>
          <w:color w:val="000000"/>
          <w:sz w:val="24"/>
          <w:szCs w:val="24"/>
        </w:rPr>
        <w:t>iscalías</w:t>
      </w:r>
      <w:r w:rsidRPr="00395097">
        <w:rPr>
          <w:rFonts w:ascii="Arial" w:hAnsi="Arial" w:cs="Arial"/>
          <w:color w:val="000000"/>
          <w:sz w:val="24"/>
          <w:szCs w:val="24"/>
        </w:rPr>
        <w:t xml:space="preserve">, los principales fueron </w:t>
      </w:r>
      <w:r w:rsidR="008B0D34" w:rsidRPr="00DF0D6A">
        <w:rPr>
          <w:rFonts w:ascii="Arial" w:hAnsi="Arial" w:cs="Arial"/>
          <w:i/>
          <w:color w:val="000000"/>
          <w:sz w:val="24"/>
          <w:szCs w:val="24"/>
        </w:rPr>
        <w:t>f</w:t>
      </w:r>
      <w:r w:rsidRPr="00DF0D6A">
        <w:rPr>
          <w:rFonts w:ascii="Arial" w:hAnsi="Arial" w:cs="Arial"/>
          <w:i/>
          <w:color w:val="000000"/>
          <w:sz w:val="24"/>
          <w:szCs w:val="24"/>
        </w:rPr>
        <w:t>entanilo</w:t>
      </w:r>
      <w:r>
        <w:rPr>
          <w:rFonts w:ascii="Arial" w:hAnsi="Arial" w:cs="Arial"/>
          <w:color w:val="000000"/>
          <w:sz w:val="24"/>
          <w:szCs w:val="24"/>
        </w:rPr>
        <w:t xml:space="preserve"> para la FGR</w:t>
      </w:r>
      <w:r w:rsidRPr="00395097">
        <w:rPr>
          <w:rFonts w:ascii="Arial" w:hAnsi="Arial" w:cs="Arial"/>
          <w:color w:val="000000"/>
          <w:sz w:val="24"/>
          <w:szCs w:val="24"/>
        </w:rPr>
        <w:t xml:space="preserve"> y </w:t>
      </w:r>
      <w:r w:rsidR="008B0D34" w:rsidRPr="00DF0D6A">
        <w:rPr>
          <w:rFonts w:ascii="Arial" w:hAnsi="Arial" w:cs="Arial"/>
          <w:i/>
          <w:color w:val="000000"/>
          <w:sz w:val="24"/>
          <w:szCs w:val="24"/>
        </w:rPr>
        <w:t>c</w:t>
      </w:r>
      <w:r w:rsidRPr="00DF0D6A">
        <w:rPr>
          <w:rFonts w:ascii="Arial" w:hAnsi="Arial" w:cs="Arial"/>
          <w:i/>
          <w:color w:val="000000"/>
          <w:sz w:val="24"/>
          <w:szCs w:val="24"/>
        </w:rPr>
        <w:t>annabis</w:t>
      </w:r>
      <w:r>
        <w:rPr>
          <w:rFonts w:ascii="Arial" w:hAnsi="Arial" w:cs="Arial"/>
          <w:color w:val="000000"/>
          <w:sz w:val="24"/>
          <w:szCs w:val="24"/>
        </w:rPr>
        <w:t xml:space="preserve"> para las FGE</w:t>
      </w:r>
      <w:r w:rsidRPr="00395097">
        <w:rPr>
          <w:rFonts w:ascii="Arial" w:hAnsi="Arial" w:cs="Arial"/>
          <w:color w:val="000000"/>
          <w:sz w:val="24"/>
          <w:szCs w:val="24"/>
        </w:rPr>
        <w:t>.</w:t>
      </w:r>
    </w:p>
    <w:p w14:paraId="12D47BD0" w14:textId="77777777" w:rsidR="0063743F" w:rsidRDefault="0063743F" w:rsidP="0063743F">
      <w:pPr>
        <w:pStyle w:val="Default"/>
        <w:spacing w:after="10"/>
        <w:ind w:right="284"/>
        <w:jc w:val="center"/>
        <w:rPr>
          <w:bCs/>
          <w:iCs/>
          <w:color w:val="000000" w:themeColor="text1"/>
          <w:sz w:val="20"/>
          <w:szCs w:val="20"/>
        </w:rPr>
      </w:pPr>
    </w:p>
    <w:p w14:paraId="7C9E8891" w14:textId="77777777" w:rsidR="0063743F" w:rsidRPr="00963A3F" w:rsidRDefault="0063743F" w:rsidP="0063743F">
      <w:pPr>
        <w:pStyle w:val="Default"/>
        <w:spacing w:after="10"/>
        <w:ind w:right="284"/>
        <w:jc w:val="center"/>
        <w:rPr>
          <w:bCs/>
          <w:iCs/>
          <w:color w:val="000000" w:themeColor="text1"/>
          <w:sz w:val="20"/>
          <w:szCs w:val="20"/>
        </w:rPr>
      </w:pPr>
      <w:r>
        <w:rPr>
          <w:bCs/>
          <w:iCs/>
          <w:color w:val="000000" w:themeColor="text1"/>
          <w:sz w:val="20"/>
          <w:szCs w:val="20"/>
        </w:rPr>
        <w:t>Tabla 6</w:t>
      </w:r>
    </w:p>
    <w:p w14:paraId="68EA10BE" w14:textId="77777777" w:rsidR="0063743F" w:rsidRDefault="0063743F" w:rsidP="0063743F">
      <w:pPr>
        <w:pStyle w:val="Default"/>
        <w:jc w:val="center"/>
      </w:pPr>
      <w:r w:rsidRPr="00EF481C">
        <w:rPr>
          <w:b/>
          <w:bCs/>
          <w:iCs/>
          <w:smallCaps/>
          <w:color w:val="000000" w:themeColor="text1"/>
          <w:sz w:val="22"/>
          <w:szCs w:val="22"/>
        </w:rPr>
        <w:t>Volumen de narcóticos asegurados por</w:t>
      </w:r>
      <w:r>
        <w:rPr>
          <w:b/>
          <w:bCs/>
          <w:iCs/>
          <w:smallCaps/>
          <w:color w:val="000000" w:themeColor="text1"/>
          <w:sz w:val="22"/>
          <w:szCs w:val="22"/>
        </w:rPr>
        <w:t xml:space="preserve"> la FGR y las FGE, 2021</w:t>
      </w:r>
    </w:p>
    <w:p w14:paraId="769142C7" w14:textId="77777777" w:rsidR="0063743F" w:rsidRDefault="0063743F" w:rsidP="0063743F">
      <w:pPr>
        <w:pStyle w:val="Default"/>
        <w:jc w:val="center"/>
      </w:pPr>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3"/>
        <w:gridCol w:w="1337"/>
        <w:gridCol w:w="1196"/>
      </w:tblGrid>
      <w:tr w:rsidR="0063743F" w:rsidRPr="00395097" w14:paraId="69954AD0" w14:textId="77777777" w:rsidTr="00773F93">
        <w:trPr>
          <w:trHeight w:val="20"/>
          <w:jc w:val="center"/>
        </w:trPr>
        <w:tc>
          <w:tcPr>
            <w:tcW w:w="6956" w:type="dxa"/>
            <w:gridSpan w:val="3"/>
            <w:shd w:val="clear" w:color="000000" w:fill="285172"/>
            <w:noWrap/>
            <w:vAlign w:val="center"/>
            <w:hideMark/>
          </w:tcPr>
          <w:p w14:paraId="3DBBD2DD"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xml:space="preserve">Cannabis sativa, indica o mariguana </w:t>
            </w:r>
            <w:r w:rsidRPr="00395097">
              <w:rPr>
                <w:rFonts w:ascii="Arial" w:eastAsia="Times New Roman" w:hAnsi="Arial" w:cs="Arial"/>
                <w:color w:val="FFFFFF"/>
                <w:sz w:val="18"/>
                <w:szCs w:val="18"/>
                <w:lang w:eastAsia="es-MX"/>
              </w:rPr>
              <w:br/>
              <w:t>(en kilogramos)</w:t>
            </w:r>
          </w:p>
        </w:tc>
      </w:tr>
      <w:tr w:rsidR="0063743F" w:rsidRPr="00395097" w14:paraId="35ABC1A1" w14:textId="77777777" w:rsidTr="00773F93">
        <w:trPr>
          <w:trHeight w:val="20"/>
          <w:jc w:val="center"/>
        </w:trPr>
        <w:tc>
          <w:tcPr>
            <w:tcW w:w="4423" w:type="dxa"/>
            <w:shd w:val="clear" w:color="000000" w:fill="285172"/>
            <w:noWrap/>
            <w:vAlign w:val="center"/>
            <w:hideMark/>
          </w:tcPr>
          <w:p w14:paraId="1F64084C" w14:textId="77777777" w:rsidR="0063743F" w:rsidRPr="00395097" w:rsidRDefault="0063743F" w:rsidP="00773F93">
            <w:pPr>
              <w:spacing w:after="0" w:line="240" w:lineRule="auto"/>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w:t>
            </w:r>
          </w:p>
        </w:tc>
        <w:tc>
          <w:tcPr>
            <w:tcW w:w="1337" w:type="dxa"/>
            <w:shd w:val="clear" w:color="000000" w:fill="877A67"/>
            <w:noWrap/>
            <w:vAlign w:val="center"/>
            <w:hideMark/>
          </w:tcPr>
          <w:p w14:paraId="5B9F1350"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FGR</w:t>
            </w:r>
          </w:p>
        </w:tc>
        <w:tc>
          <w:tcPr>
            <w:tcW w:w="1196" w:type="dxa"/>
            <w:shd w:val="clear" w:color="000000" w:fill="511427"/>
            <w:noWrap/>
            <w:vAlign w:val="center"/>
            <w:hideMark/>
          </w:tcPr>
          <w:p w14:paraId="00B4DDC0"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FGE</w:t>
            </w:r>
          </w:p>
        </w:tc>
      </w:tr>
      <w:tr w:rsidR="0063743F" w:rsidRPr="00395097" w14:paraId="1401C45F" w14:textId="77777777" w:rsidTr="00773F93">
        <w:trPr>
          <w:trHeight w:val="20"/>
          <w:jc w:val="center"/>
        </w:trPr>
        <w:tc>
          <w:tcPr>
            <w:tcW w:w="4423" w:type="dxa"/>
            <w:shd w:val="clear" w:color="auto" w:fill="auto"/>
            <w:noWrap/>
            <w:vAlign w:val="center"/>
            <w:hideMark/>
          </w:tcPr>
          <w:p w14:paraId="192FFDC8"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w:t>
            </w:r>
          </w:p>
        </w:tc>
        <w:tc>
          <w:tcPr>
            <w:tcW w:w="1337" w:type="dxa"/>
            <w:shd w:val="clear" w:color="000000" w:fill="BCAD93"/>
            <w:noWrap/>
            <w:vAlign w:val="center"/>
            <w:hideMark/>
          </w:tcPr>
          <w:p w14:paraId="61279AC0"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68 479.0</w:t>
            </w:r>
          </w:p>
        </w:tc>
        <w:tc>
          <w:tcPr>
            <w:tcW w:w="1196" w:type="dxa"/>
            <w:shd w:val="clear" w:color="000000" w:fill="804053"/>
            <w:noWrap/>
            <w:vAlign w:val="center"/>
            <w:hideMark/>
          </w:tcPr>
          <w:p w14:paraId="4768A153"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173 202.7</w:t>
            </w:r>
          </w:p>
        </w:tc>
      </w:tr>
      <w:tr w:rsidR="0063743F" w:rsidRPr="00395097" w14:paraId="739A8426" w14:textId="77777777" w:rsidTr="00773F93">
        <w:trPr>
          <w:trHeight w:val="20"/>
          <w:jc w:val="center"/>
        </w:trPr>
        <w:tc>
          <w:tcPr>
            <w:tcW w:w="4423" w:type="dxa"/>
            <w:shd w:val="clear" w:color="auto" w:fill="auto"/>
            <w:noWrap/>
            <w:vAlign w:val="center"/>
            <w:hideMark/>
          </w:tcPr>
          <w:p w14:paraId="22D73479"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Hojas</w:t>
            </w:r>
          </w:p>
        </w:tc>
        <w:tc>
          <w:tcPr>
            <w:tcW w:w="1337" w:type="dxa"/>
            <w:shd w:val="clear" w:color="000000" w:fill="BDAE94"/>
            <w:noWrap/>
            <w:vAlign w:val="center"/>
            <w:hideMark/>
          </w:tcPr>
          <w:p w14:paraId="3504D622"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68 399.3</w:t>
            </w:r>
          </w:p>
        </w:tc>
        <w:tc>
          <w:tcPr>
            <w:tcW w:w="1196" w:type="dxa"/>
            <w:shd w:val="clear" w:color="000000" w:fill="905A69"/>
            <w:noWrap/>
            <w:vAlign w:val="center"/>
            <w:hideMark/>
          </w:tcPr>
          <w:p w14:paraId="15979778"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117 003.7</w:t>
            </w:r>
          </w:p>
        </w:tc>
      </w:tr>
      <w:tr w:rsidR="0063743F" w:rsidRPr="00395097" w14:paraId="0CF03923" w14:textId="77777777" w:rsidTr="00773F93">
        <w:trPr>
          <w:trHeight w:val="20"/>
          <w:jc w:val="center"/>
        </w:trPr>
        <w:tc>
          <w:tcPr>
            <w:tcW w:w="4423" w:type="dxa"/>
            <w:shd w:val="clear" w:color="auto" w:fill="auto"/>
            <w:noWrap/>
            <w:vAlign w:val="center"/>
            <w:hideMark/>
          </w:tcPr>
          <w:p w14:paraId="09CC906E"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Hashis</w:t>
            </w:r>
          </w:p>
        </w:tc>
        <w:tc>
          <w:tcPr>
            <w:tcW w:w="1337" w:type="dxa"/>
            <w:shd w:val="clear" w:color="000000" w:fill="D8C8AB"/>
            <w:noWrap/>
            <w:vAlign w:val="center"/>
            <w:hideMark/>
          </w:tcPr>
          <w:p w14:paraId="07CD91B9"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2.0</w:t>
            </w:r>
          </w:p>
        </w:tc>
        <w:tc>
          <w:tcPr>
            <w:tcW w:w="1196" w:type="dxa"/>
            <w:shd w:val="clear" w:color="000000" w:fill="AE8A93"/>
            <w:noWrap/>
            <w:vAlign w:val="center"/>
            <w:hideMark/>
          </w:tcPr>
          <w:p w14:paraId="745C1DCD"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7 522.3</w:t>
            </w:r>
          </w:p>
        </w:tc>
      </w:tr>
      <w:tr w:rsidR="0063743F" w:rsidRPr="00395097" w14:paraId="2EB2F013" w14:textId="77777777" w:rsidTr="00773F93">
        <w:trPr>
          <w:trHeight w:val="20"/>
          <w:jc w:val="center"/>
        </w:trPr>
        <w:tc>
          <w:tcPr>
            <w:tcW w:w="4423" w:type="dxa"/>
            <w:shd w:val="clear" w:color="auto" w:fill="auto"/>
            <w:noWrap/>
            <w:vAlign w:val="center"/>
            <w:hideMark/>
          </w:tcPr>
          <w:p w14:paraId="76CCAA56"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Semillas</w:t>
            </w:r>
          </w:p>
        </w:tc>
        <w:tc>
          <w:tcPr>
            <w:tcW w:w="1337" w:type="dxa"/>
            <w:shd w:val="clear" w:color="000000" w:fill="D8C8AB"/>
            <w:noWrap/>
            <w:vAlign w:val="center"/>
            <w:hideMark/>
          </w:tcPr>
          <w:p w14:paraId="24AF8F0B"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77.7</w:t>
            </w:r>
          </w:p>
        </w:tc>
        <w:tc>
          <w:tcPr>
            <w:tcW w:w="1196" w:type="dxa"/>
            <w:shd w:val="clear" w:color="000000" w:fill="AF8D95"/>
            <w:noWrap/>
            <w:vAlign w:val="center"/>
            <w:hideMark/>
          </w:tcPr>
          <w:p w14:paraId="7E0F5EC0"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1 100.9</w:t>
            </w:r>
          </w:p>
        </w:tc>
      </w:tr>
      <w:tr w:rsidR="0063743F" w:rsidRPr="00395097" w14:paraId="08FD029B" w14:textId="77777777" w:rsidTr="00773F93">
        <w:trPr>
          <w:trHeight w:val="20"/>
          <w:jc w:val="center"/>
        </w:trPr>
        <w:tc>
          <w:tcPr>
            <w:tcW w:w="4423" w:type="dxa"/>
            <w:shd w:val="clear" w:color="auto" w:fill="auto"/>
            <w:noWrap/>
            <w:vAlign w:val="center"/>
            <w:hideMark/>
          </w:tcPr>
          <w:p w14:paraId="21B0DA5A"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Plantas</w:t>
            </w:r>
          </w:p>
        </w:tc>
        <w:tc>
          <w:tcPr>
            <w:tcW w:w="1337" w:type="dxa"/>
            <w:shd w:val="clear" w:color="000000" w:fill="D8C8AB"/>
            <w:noWrap/>
            <w:vAlign w:val="center"/>
            <w:hideMark/>
          </w:tcPr>
          <w:p w14:paraId="18B5732F"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0.0</w:t>
            </w:r>
          </w:p>
        </w:tc>
        <w:tc>
          <w:tcPr>
            <w:tcW w:w="1196" w:type="dxa"/>
            <w:shd w:val="clear" w:color="000000" w:fill="A37984"/>
            <w:noWrap/>
            <w:vAlign w:val="center"/>
            <w:hideMark/>
          </w:tcPr>
          <w:p w14:paraId="0410864E"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46 882.2</w:t>
            </w:r>
          </w:p>
        </w:tc>
      </w:tr>
      <w:tr w:rsidR="0063743F" w:rsidRPr="00395097" w14:paraId="29958159" w14:textId="77777777" w:rsidTr="00773F93">
        <w:trPr>
          <w:trHeight w:val="20"/>
          <w:jc w:val="center"/>
        </w:trPr>
        <w:tc>
          <w:tcPr>
            <w:tcW w:w="4423" w:type="dxa"/>
            <w:shd w:val="clear" w:color="auto" w:fill="auto"/>
            <w:noWrap/>
            <w:vAlign w:val="center"/>
            <w:hideMark/>
          </w:tcPr>
          <w:p w14:paraId="6D59A47C"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No especificado</w:t>
            </w:r>
          </w:p>
        </w:tc>
        <w:tc>
          <w:tcPr>
            <w:tcW w:w="1337" w:type="dxa"/>
            <w:shd w:val="clear" w:color="000000" w:fill="D8C8AB"/>
            <w:noWrap/>
            <w:vAlign w:val="center"/>
            <w:hideMark/>
          </w:tcPr>
          <w:p w14:paraId="23082162"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0.0</w:t>
            </w:r>
          </w:p>
        </w:tc>
        <w:tc>
          <w:tcPr>
            <w:tcW w:w="1196" w:type="dxa"/>
            <w:shd w:val="clear" w:color="000000" w:fill="AF8D95"/>
            <w:noWrap/>
            <w:vAlign w:val="center"/>
            <w:hideMark/>
          </w:tcPr>
          <w:p w14:paraId="09F57BA8"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693.5</w:t>
            </w:r>
          </w:p>
        </w:tc>
      </w:tr>
      <w:tr w:rsidR="0063743F" w:rsidRPr="00395097" w14:paraId="1937069D" w14:textId="77777777" w:rsidTr="00773F93">
        <w:trPr>
          <w:trHeight w:val="20"/>
          <w:jc w:val="center"/>
        </w:trPr>
        <w:tc>
          <w:tcPr>
            <w:tcW w:w="6956" w:type="dxa"/>
            <w:gridSpan w:val="3"/>
            <w:shd w:val="clear" w:color="000000" w:fill="285172"/>
            <w:noWrap/>
            <w:vAlign w:val="center"/>
            <w:hideMark/>
          </w:tcPr>
          <w:p w14:paraId="678FF857"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Metanfetamina</w:t>
            </w:r>
          </w:p>
        </w:tc>
      </w:tr>
      <w:tr w:rsidR="0063743F" w:rsidRPr="00395097" w14:paraId="08458E7E" w14:textId="77777777" w:rsidTr="00773F93">
        <w:trPr>
          <w:trHeight w:val="20"/>
          <w:jc w:val="center"/>
        </w:trPr>
        <w:tc>
          <w:tcPr>
            <w:tcW w:w="4423" w:type="dxa"/>
            <w:shd w:val="clear" w:color="000000" w:fill="285172"/>
            <w:noWrap/>
            <w:vAlign w:val="center"/>
            <w:hideMark/>
          </w:tcPr>
          <w:p w14:paraId="6F0562D0" w14:textId="77777777" w:rsidR="0063743F" w:rsidRPr="00395097" w:rsidRDefault="0063743F" w:rsidP="00773F93">
            <w:pPr>
              <w:spacing w:after="0" w:line="240" w:lineRule="auto"/>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w:t>
            </w:r>
          </w:p>
        </w:tc>
        <w:tc>
          <w:tcPr>
            <w:tcW w:w="1337" w:type="dxa"/>
            <w:shd w:val="clear" w:color="000000" w:fill="877A67"/>
            <w:noWrap/>
            <w:vAlign w:val="center"/>
            <w:hideMark/>
          </w:tcPr>
          <w:p w14:paraId="3CACC517"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FGR</w:t>
            </w:r>
          </w:p>
        </w:tc>
        <w:tc>
          <w:tcPr>
            <w:tcW w:w="1196" w:type="dxa"/>
            <w:shd w:val="clear" w:color="000000" w:fill="511427"/>
            <w:noWrap/>
            <w:vAlign w:val="center"/>
            <w:hideMark/>
          </w:tcPr>
          <w:p w14:paraId="4B11E330"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FGE</w:t>
            </w:r>
          </w:p>
        </w:tc>
      </w:tr>
      <w:tr w:rsidR="0063743F" w:rsidRPr="00395097" w14:paraId="25475CE3" w14:textId="77777777" w:rsidTr="00773F93">
        <w:trPr>
          <w:trHeight w:val="20"/>
          <w:jc w:val="center"/>
        </w:trPr>
        <w:tc>
          <w:tcPr>
            <w:tcW w:w="4423" w:type="dxa"/>
            <w:shd w:val="clear" w:color="auto" w:fill="auto"/>
            <w:noWrap/>
            <w:vAlign w:val="center"/>
            <w:hideMark/>
          </w:tcPr>
          <w:p w14:paraId="6F783A62"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 en kilogramos</w:t>
            </w:r>
          </w:p>
        </w:tc>
        <w:tc>
          <w:tcPr>
            <w:tcW w:w="1337" w:type="dxa"/>
            <w:shd w:val="clear" w:color="000000" w:fill="BCAD93"/>
            <w:noWrap/>
            <w:vAlign w:val="center"/>
            <w:hideMark/>
          </w:tcPr>
          <w:p w14:paraId="7264ADCC"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26 878.6</w:t>
            </w:r>
          </w:p>
        </w:tc>
        <w:tc>
          <w:tcPr>
            <w:tcW w:w="1196" w:type="dxa"/>
            <w:shd w:val="clear" w:color="000000" w:fill="804053"/>
            <w:noWrap/>
            <w:vAlign w:val="center"/>
            <w:hideMark/>
          </w:tcPr>
          <w:p w14:paraId="1B6C500A"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4 663.9</w:t>
            </w:r>
          </w:p>
        </w:tc>
      </w:tr>
      <w:tr w:rsidR="0063743F" w:rsidRPr="00395097" w14:paraId="3523C37E" w14:textId="77777777" w:rsidTr="00773F93">
        <w:trPr>
          <w:trHeight w:val="20"/>
          <w:jc w:val="center"/>
        </w:trPr>
        <w:tc>
          <w:tcPr>
            <w:tcW w:w="4423" w:type="dxa"/>
            <w:shd w:val="clear" w:color="auto" w:fill="auto"/>
            <w:noWrap/>
            <w:vAlign w:val="center"/>
            <w:hideMark/>
          </w:tcPr>
          <w:p w14:paraId="3DC32E5B"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 por unidad (tableta o cápsula)</w:t>
            </w:r>
          </w:p>
        </w:tc>
        <w:tc>
          <w:tcPr>
            <w:tcW w:w="1337" w:type="dxa"/>
            <w:shd w:val="clear" w:color="000000" w:fill="D8C8AB"/>
            <w:noWrap/>
            <w:vAlign w:val="center"/>
            <w:hideMark/>
          </w:tcPr>
          <w:p w14:paraId="03D63440"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268.0</w:t>
            </w:r>
          </w:p>
        </w:tc>
        <w:tc>
          <w:tcPr>
            <w:tcW w:w="1196" w:type="dxa"/>
            <w:shd w:val="clear" w:color="000000" w:fill="AF8D95"/>
            <w:noWrap/>
            <w:vAlign w:val="center"/>
            <w:hideMark/>
          </w:tcPr>
          <w:p w14:paraId="4B9F30E6"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1 908.0</w:t>
            </w:r>
          </w:p>
        </w:tc>
      </w:tr>
      <w:tr w:rsidR="0063743F" w:rsidRPr="00395097" w14:paraId="47BD8B1D" w14:textId="77777777" w:rsidTr="00773F93">
        <w:trPr>
          <w:trHeight w:val="20"/>
          <w:jc w:val="center"/>
        </w:trPr>
        <w:tc>
          <w:tcPr>
            <w:tcW w:w="6956" w:type="dxa"/>
            <w:gridSpan w:val="3"/>
            <w:shd w:val="clear" w:color="000000" w:fill="285172"/>
            <w:noWrap/>
            <w:vAlign w:val="center"/>
            <w:hideMark/>
          </w:tcPr>
          <w:p w14:paraId="380F8DBE"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xml:space="preserve">Psicotrópicos </w:t>
            </w:r>
            <w:r w:rsidRPr="00395097">
              <w:rPr>
                <w:rFonts w:ascii="Arial" w:eastAsia="Times New Roman" w:hAnsi="Arial" w:cs="Arial"/>
                <w:color w:val="FFFFFF"/>
                <w:sz w:val="18"/>
                <w:szCs w:val="18"/>
                <w:lang w:eastAsia="es-MX"/>
              </w:rPr>
              <w:br/>
              <w:t>(tableta o cápsula)</w:t>
            </w:r>
          </w:p>
        </w:tc>
      </w:tr>
      <w:tr w:rsidR="0063743F" w:rsidRPr="00395097" w14:paraId="5530FF95" w14:textId="77777777" w:rsidTr="00773F93">
        <w:trPr>
          <w:trHeight w:val="20"/>
          <w:jc w:val="center"/>
        </w:trPr>
        <w:tc>
          <w:tcPr>
            <w:tcW w:w="4423" w:type="dxa"/>
            <w:shd w:val="clear" w:color="000000" w:fill="285172"/>
            <w:noWrap/>
            <w:vAlign w:val="center"/>
            <w:hideMark/>
          </w:tcPr>
          <w:p w14:paraId="4D8EB040" w14:textId="77777777" w:rsidR="0063743F" w:rsidRPr="00395097" w:rsidRDefault="0063743F" w:rsidP="00773F93">
            <w:pPr>
              <w:spacing w:after="0" w:line="240" w:lineRule="auto"/>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w:t>
            </w:r>
          </w:p>
        </w:tc>
        <w:tc>
          <w:tcPr>
            <w:tcW w:w="1337" w:type="dxa"/>
            <w:shd w:val="clear" w:color="000000" w:fill="877A67"/>
            <w:noWrap/>
            <w:vAlign w:val="center"/>
            <w:hideMark/>
          </w:tcPr>
          <w:p w14:paraId="760C637C"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FGR</w:t>
            </w:r>
          </w:p>
        </w:tc>
        <w:tc>
          <w:tcPr>
            <w:tcW w:w="1196" w:type="dxa"/>
            <w:shd w:val="clear" w:color="000000" w:fill="511427"/>
            <w:noWrap/>
            <w:vAlign w:val="center"/>
            <w:hideMark/>
          </w:tcPr>
          <w:p w14:paraId="54517CE3"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FGE</w:t>
            </w:r>
          </w:p>
        </w:tc>
      </w:tr>
      <w:tr w:rsidR="0063743F" w:rsidRPr="00395097" w14:paraId="76B7E72C" w14:textId="77777777" w:rsidTr="00773F93">
        <w:trPr>
          <w:trHeight w:val="20"/>
          <w:jc w:val="center"/>
        </w:trPr>
        <w:tc>
          <w:tcPr>
            <w:tcW w:w="4423" w:type="dxa"/>
            <w:shd w:val="clear" w:color="auto" w:fill="auto"/>
            <w:noWrap/>
            <w:vAlign w:val="center"/>
            <w:hideMark/>
          </w:tcPr>
          <w:p w14:paraId="53C9DF47"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w:t>
            </w:r>
          </w:p>
        </w:tc>
        <w:tc>
          <w:tcPr>
            <w:tcW w:w="1337" w:type="dxa"/>
            <w:shd w:val="clear" w:color="000000" w:fill="BCAD93"/>
            <w:noWrap/>
            <w:vAlign w:val="center"/>
            <w:hideMark/>
          </w:tcPr>
          <w:p w14:paraId="02879312"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21 536.0</w:t>
            </w:r>
          </w:p>
        </w:tc>
        <w:tc>
          <w:tcPr>
            <w:tcW w:w="1196" w:type="dxa"/>
            <w:shd w:val="clear" w:color="000000" w:fill="804053"/>
            <w:noWrap/>
            <w:vAlign w:val="center"/>
            <w:hideMark/>
          </w:tcPr>
          <w:p w14:paraId="2621B8B6"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1 071.0</w:t>
            </w:r>
          </w:p>
        </w:tc>
      </w:tr>
      <w:tr w:rsidR="0063743F" w:rsidRPr="00395097" w14:paraId="2CF6EE1A" w14:textId="77777777" w:rsidTr="00773F93">
        <w:trPr>
          <w:trHeight w:val="20"/>
          <w:jc w:val="center"/>
        </w:trPr>
        <w:tc>
          <w:tcPr>
            <w:tcW w:w="6956" w:type="dxa"/>
            <w:gridSpan w:val="3"/>
            <w:shd w:val="clear" w:color="000000" w:fill="285172"/>
            <w:noWrap/>
            <w:vAlign w:val="center"/>
            <w:hideMark/>
          </w:tcPr>
          <w:p w14:paraId="082C77A7"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Cocaína (en kilogramos)</w:t>
            </w:r>
          </w:p>
        </w:tc>
      </w:tr>
      <w:tr w:rsidR="0063743F" w:rsidRPr="00395097" w14:paraId="72A54037" w14:textId="77777777" w:rsidTr="00773F93">
        <w:trPr>
          <w:trHeight w:val="20"/>
          <w:jc w:val="center"/>
        </w:trPr>
        <w:tc>
          <w:tcPr>
            <w:tcW w:w="4423" w:type="dxa"/>
            <w:shd w:val="clear" w:color="000000" w:fill="285172"/>
            <w:noWrap/>
            <w:vAlign w:val="center"/>
            <w:hideMark/>
          </w:tcPr>
          <w:p w14:paraId="18192A46" w14:textId="77777777" w:rsidR="0063743F" w:rsidRPr="00395097" w:rsidRDefault="0063743F" w:rsidP="00773F93">
            <w:pPr>
              <w:spacing w:after="0" w:line="240" w:lineRule="auto"/>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w:t>
            </w:r>
          </w:p>
        </w:tc>
        <w:tc>
          <w:tcPr>
            <w:tcW w:w="1337" w:type="dxa"/>
            <w:shd w:val="clear" w:color="000000" w:fill="877A67"/>
            <w:noWrap/>
            <w:vAlign w:val="center"/>
            <w:hideMark/>
          </w:tcPr>
          <w:p w14:paraId="18777634"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FGR</w:t>
            </w:r>
          </w:p>
        </w:tc>
        <w:tc>
          <w:tcPr>
            <w:tcW w:w="1196" w:type="dxa"/>
            <w:shd w:val="clear" w:color="000000" w:fill="511427"/>
            <w:noWrap/>
            <w:vAlign w:val="center"/>
            <w:hideMark/>
          </w:tcPr>
          <w:p w14:paraId="39FE7A43"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FGE</w:t>
            </w:r>
          </w:p>
        </w:tc>
      </w:tr>
      <w:tr w:rsidR="0063743F" w:rsidRPr="00395097" w14:paraId="56F2C7B2" w14:textId="77777777" w:rsidTr="00773F93">
        <w:trPr>
          <w:trHeight w:val="20"/>
          <w:jc w:val="center"/>
        </w:trPr>
        <w:tc>
          <w:tcPr>
            <w:tcW w:w="4423" w:type="dxa"/>
            <w:shd w:val="clear" w:color="auto" w:fill="auto"/>
            <w:noWrap/>
            <w:vAlign w:val="center"/>
            <w:hideMark/>
          </w:tcPr>
          <w:p w14:paraId="489D830E"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w:t>
            </w:r>
          </w:p>
        </w:tc>
        <w:tc>
          <w:tcPr>
            <w:tcW w:w="1337" w:type="dxa"/>
            <w:shd w:val="clear" w:color="000000" w:fill="BCAD93"/>
            <w:noWrap/>
            <w:vAlign w:val="center"/>
            <w:hideMark/>
          </w:tcPr>
          <w:p w14:paraId="5DB97A57"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14 855.1</w:t>
            </w:r>
          </w:p>
        </w:tc>
        <w:tc>
          <w:tcPr>
            <w:tcW w:w="1196" w:type="dxa"/>
            <w:shd w:val="clear" w:color="000000" w:fill="804053"/>
            <w:noWrap/>
            <w:vAlign w:val="center"/>
            <w:hideMark/>
          </w:tcPr>
          <w:p w14:paraId="2F9735AC"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1 895.3</w:t>
            </w:r>
          </w:p>
        </w:tc>
      </w:tr>
      <w:tr w:rsidR="0063743F" w:rsidRPr="00395097" w14:paraId="54BD476F" w14:textId="77777777" w:rsidTr="00773F93">
        <w:trPr>
          <w:trHeight w:val="20"/>
          <w:jc w:val="center"/>
        </w:trPr>
        <w:tc>
          <w:tcPr>
            <w:tcW w:w="6956" w:type="dxa"/>
            <w:gridSpan w:val="3"/>
            <w:shd w:val="clear" w:color="000000" w:fill="285172"/>
            <w:noWrap/>
            <w:vAlign w:val="center"/>
            <w:hideMark/>
          </w:tcPr>
          <w:p w14:paraId="3AE3EB0E"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Fentanilo</w:t>
            </w:r>
          </w:p>
        </w:tc>
      </w:tr>
      <w:tr w:rsidR="0063743F" w:rsidRPr="00395097" w14:paraId="4707A466" w14:textId="77777777" w:rsidTr="00773F93">
        <w:trPr>
          <w:trHeight w:val="20"/>
          <w:jc w:val="center"/>
        </w:trPr>
        <w:tc>
          <w:tcPr>
            <w:tcW w:w="4423" w:type="dxa"/>
            <w:shd w:val="clear" w:color="000000" w:fill="285172"/>
            <w:noWrap/>
            <w:vAlign w:val="center"/>
            <w:hideMark/>
          </w:tcPr>
          <w:p w14:paraId="7C6A54DF" w14:textId="77777777" w:rsidR="0063743F" w:rsidRPr="00395097" w:rsidRDefault="0063743F" w:rsidP="00773F93">
            <w:pPr>
              <w:spacing w:after="0" w:line="240" w:lineRule="auto"/>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w:t>
            </w:r>
          </w:p>
        </w:tc>
        <w:tc>
          <w:tcPr>
            <w:tcW w:w="1337" w:type="dxa"/>
            <w:shd w:val="clear" w:color="000000" w:fill="877A67"/>
            <w:noWrap/>
            <w:vAlign w:val="center"/>
            <w:hideMark/>
          </w:tcPr>
          <w:p w14:paraId="1646F044"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FGR</w:t>
            </w:r>
          </w:p>
        </w:tc>
        <w:tc>
          <w:tcPr>
            <w:tcW w:w="1196" w:type="dxa"/>
            <w:shd w:val="clear" w:color="000000" w:fill="511427"/>
            <w:noWrap/>
            <w:vAlign w:val="center"/>
            <w:hideMark/>
          </w:tcPr>
          <w:p w14:paraId="3A7C20EB"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FGE</w:t>
            </w:r>
          </w:p>
        </w:tc>
      </w:tr>
      <w:tr w:rsidR="0063743F" w:rsidRPr="00395097" w14:paraId="1A38D9B0" w14:textId="77777777" w:rsidTr="00773F93">
        <w:trPr>
          <w:trHeight w:val="20"/>
          <w:jc w:val="center"/>
        </w:trPr>
        <w:tc>
          <w:tcPr>
            <w:tcW w:w="4423" w:type="dxa"/>
            <w:shd w:val="clear" w:color="auto" w:fill="auto"/>
            <w:noWrap/>
            <w:vAlign w:val="center"/>
            <w:hideMark/>
          </w:tcPr>
          <w:p w14:paraId="0B3AAC68"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 en kilogramos</w:t>
            </w:r>
          </w:p>
        </w:tc>
        <w:tc>
          <w:tcPr>
            <w:tcW w:w="1337" w:type="dxa"/>
            <w:shd w:val="clear" w:color="000000" w:fill="D8C8AB"/>
            <w:noWrap/>
            <w:vAlign w:val="center"/>
            <w:hideMark/>
          </w:tcPr>
          <w:p w14:paraId="64F4D2F8"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791.9</w:t>
            </w:r>
          </w:p>
        </w:tc>
        <w:tc>
          <w:tcPr>
            <w:tcW w:w="1196" w:type="dxa"/>
            <w:shd w:val="clear" w:color="000000" w:fill="AF8D95"/>
            <w:noWrap/>
            <w:vAlign w:val="center"/>
            <w:hideMark/>
          </w:tcPr>
          <w:p w14:paraId="1F4E4EFC"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1.3</w:t>
            </w:r>
          </w:p>
        </w:tc>
      </w:tr>
      <w:tr w:rsidR="0063743F" w:rsidRPr="00395097" w14:paraId="771F47F4" w14:textId="77777777" w:rsidTr="00773F93">
        <w:trPr>
          <w:trHeight w:val="20"/>
          <w:jc w:val="center"/>
        </w:trPr>
        <w:tc>
          <w:tcPr>
            <w:tcW w:w="4423" w:type="dxa"/>
            <w:shd w:val="clear" w:color="auto" w:fill="auto"/>
            <w:noWrap/>
            <w:vAlign w:val="center"/>
            <w:hideMark/>
          </w:tcPr>
          <w:p w14:paraId="1203FB00"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 por unidad (tableta o cápsula)</w:t>
            </w:r>
          </w:p>
        </w:tc>
        <w:tc>
          <w:tcPr>
            <w:tcW w:w="1337" w:type="dxa"/>
            <w:shd w:val="clear" w:color="000000" w:fill="BCAD93"/>
            <w:noWrap/>
            <w:vAlign w:val="center"/>
            <w:hideMark/>
          </w:tcPr>
          <w:p w14:paraId="3DC0DC1B"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6 212 791.0</w:t>
            </w:r>
          </w:p>
        </w:tc>
        <w:tc>
          <w:tcPr>
            <w:tcW w:w="1196" w:type="dxa"/>
            <w:shd w:val="clear" w:color="000000" w:fill="804053"/>
            <w:noWrap/>
            <w:vAlign w:val="center"/>
            <w:hideMark/>
          </w:tcPr>
          <w:p w14:paraId="2AC8DEFD"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64 345.0</w:t>
            </w:r>
          </w:p>
        </w:tc>
      </w:tr>
      <w:tr w:rsidR="0063743F" w:rsidRPr="00395097" w14:paraId="6EC4C802" w14:textId="77777777" w:rsidTr="00773F93">
        <w:trPr>
          <w:trHeight w:val="20"/>
          <w:jc w:val="center"/>
        </w:trPr>
        <w:tc>
          <w:tcPr>
            <w:tcW w:w="6956" w:type="dxa"/>
            <w:gridSpan w:val="3"/>
            <w:shd w:val="clear" w:color="000000" w:fill="285172"/>
            <w:noWrap/>
            <w:vAlign w:val="center"/>
            <w:hideMark/>
          </w:tcPr>
          <w:p w14:paraId="061856C0"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Amapola adormidera (opiáceos)</w:t>
            </w:r>
            <w:r w:rsidRPr="00395097">
              <w:rPr>
                <w:rFonts w:ascii="Arial" w:eastAsia="Times New Roman" w:hAnsi="Arial" w:cs="Arial"/>
                <w:color w:val="FFFFFF"/>
                <w:sz w:val="18"/>
                <w:szCs w:val="18"/>
                <w:lang w:eastAsia="es-MX"/>
              </w:rPr>
              <w:br/>
              <w:t>(en kilogramos)</w:t>
            </w:r>
          </w:p>
        </w:tc>
      </w:tr>
      <w:tr w:rsidR="0063743F" w:rsidRPr="00395097" w14:paraId="522F817C" w14:textId="77777777" w:rsidTr="00773F93">
        <w:trPr>
          <w:trHeight w:val="20"/>
          <w:jc w:val="center"/>
        </w:trPr>
        <w:tc>
          <w:tcPr>
            <w:tcW w:w="4423" w:type="dxa"/>
            <w:shd w:val="clear" w:color="000000" w:fill="285172"/>
            <w:noWrap/>
            <w:vAlign w:val="center"/>
            <w:hideMark/>
          </w:tcPr>
          <w:p w14:paraId="0E39E0C7" w14:textId="77777777" w:rsidR="0063743F" w:rsidRPr="00395097" w:rsidRDefault="0063743F" w:rsidP="00773F93">
            <w:pPr>
              <w:spacing w:after="0" w:line="240" w:lineRule="auto"/>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w:t>
            </w:r>
          </w:p>
        </w:tc>
        <w:tc>
          <w:tcPr>
            <w:tcW w:w="1337" w:type="dxa"/>
            <w:shd w:val="clear" w:color="000000" w:fill="877A67"/>
            <w:noWrap/>
            <w:vAlign w:val="center"/>
            <w:hideMark/>
          </w:tcPr>
          <w:p w14:paraId="5D70E312"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FGR</w:t>
            </w:r>
          </w:p>
        </w:tc>
        <w:tc>
          <w:tcPr>
            <w:tcW w:w="1196" w:type="dxa"/>
            <w:shd w:val="clear" w:color="000000" w:fill="511427"/>
            <w:noWrap/>
            <w:vAlign w:val="center"/>
            <w:hideMark/>
          </w:tcPr>
          <w:p w14:paraId="4EC40CE5"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FGE</w:t>
            </w:r>
          </w:p>
        </w:tc>
      </w:tr>
      <w:tr w:rsidR="0063743F" w:rsidRPr="00395097" w14:paraId="12F78314" w14:textId="77777777" w:rsidTr="00773F93">
        <w:trPr>
          <w:trHeight w:val="20"/>
          <w:jc w:val="center"/>
        </w:trPr>
        <w:tc>
          <w:tcPr>
            <w:tcW w:w="4423" w:type="dxa"/>
            <w:shd w:val="clear" w:color="auto" w:fill="auto"/>
            <w:noWrap/>
            <w:vAlign w:val="center"/>
            <w:hideMark/>
          </w:tcPr>
          <w:p w14:paraId="03875927"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w:t>
            </w:r>
          </w:p>
        </w:tc>
        <w:tc>
          <w:tcPr>
            <w:tcW w:w="1337" w:type="dxa"/>
            <w:shd w:val="clear" w:color="000000" w:fill="BCAD93"/>
            <w:noWrap/>
            <w:vAlign w:val="center"/>
            <w:hideMark/>
          </w:tcPr>
          <w:p w14:paraId="7A73DE3E"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589.5</w:t>
            </w:r>
          </w:p>
        </w:tc>
        <w:tc>
          <w:tcPr>
            <w:tcW w:w="1196" w:type="dxa"/>
            <w:shd w:val="clear" w:color="000000" w:fill="804053"/>
            <w:noWrap/>
            <w:vAlign w:val="center"/>
            <w:hideMark/>
          </w:tcPr>
          <w:p w14:paraId="4A21EFC0"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93 511.3</w:t>
            </w:r>
          </w:p>
        </w:tc>
      </w:tr>
      <w:tr w:rsidR="0063743F" w:rsidRPr="00395097" w14:paraId="240CB228" w14:textId="77777777" w:rsidTr="00773F93">
        <w:trPr>
          <w:trHeight w:val="20"/>
          <w:jc w:val="center"/>
        </w:trPr>
        <w:tc>
          <w:tcPr>
            <w:tcW w:w="4423" w:type="dxa"/>
            <w:shd w:val="clear" w:color="auto" w:fill="auto"/>
            <w:noWrap/>
            <w:vAlign w:val="center"/>
            <w:hideMark/>
          </w:tcPr>
          <w:p w14:paraId="3C6C4013"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Semillas</w:t>
            </w:r>
          </w:p>
        </w:tc>
        <w:tc>
          <w:tcPr>
            <w:tcW w:w="1337" w:type="dxa"/>
            <w:shd w:val="clear" w:color="000000" w:fill="CDBDA1"/>
            <w:noWrap/>
            <w:vAlign w:val="center"/>
            <w:hideMark/>
          </w:tcPr>
          <w:p w14:paraId="1FE30061"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249.2</w:t>
            </w:r>
          </w:p>
        </w:tc>
        <w:tc>
          <w:tcPr>
            <w:tcW w:w="1196" w:type="dxa"/>
            <w:shd w:val="clear" w:color="000000" w:fill="AF8D95"/>
            <w:noWrap/>
            <w:vAlign w:val="center"/>
            <w:hideMark/>
          </w:tcPr>
          <w:p w14:paraId="62925D28"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99.2</w:t>
            </w:r>
          </w:p>
        </w:tc>
      </w:tr>
      <w:tr w:rsidR="0063743F" w:rsidRPr="00395097" w14:paraId="33ADB8EA" w14:textId="77777777" w:rsidTr="00773F93">
        <w:trPr>
          <w:trHeight w:val="20"/>
          <w:jc w:val="center"/>
        </w:trPr>
        <w:tc>
          <w:tcPr>
            <w:tcW w:w="4423" w:type="dxa"/>
            <w:shd w:val="clear" w:color="auto" w:fill="auto"/>
            <w:noWrap/>
            <w:vAlign w:val="center"/>
            <w:hideMark/>
          </w:tcPr>
          <w:p w14:paraId="161B6E38"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Goma</w:t>
            </w:r>
          </w:p>
        </w:tc>
        <w:tc>
          <w:tcPr>
            <w:tcW w:w="1337" w:type="dxa"/>
            <w:shd w:val="clear" w:color="000000" w:fill="D4C4A8"/>
            <w:noWrap/>
            <w:vAlign w:val="center"/>
            <w:hideMark/>
          </w:tcPr>
          <w:p w14:paraId="35600AF9"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90.1</w:t>
            </w:r>
          </w:p>
        </w:tc>
        <w:tc>
          <w:tcPr>
            <w:tcW w:w="1196" w:type="dxa"/>
            <w:shd w:val="clear" w:color="000000" w:fill="AF8D95"/>
            <w:noWrap/>
            <w:vAlign w:val="center"/>
            <w:hideMark/>
          </w:tcPr>
          <w:p w14:paraId="4091C7E0"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0.1</w:t>
            </w:r>
          </w:p>
        </w:tc>
      </w:tr>
      <w:tr w:rsidR="0063743F" w:rsidRPr="00395097" w14:paraId="2E747BE3" w14:textId="77777777" w:rsidTr="00773F93">
        <w:trPr>
          <w:trHeight w:val="20"/>
          <w:jc w:val="center"/>
        </w:trPr>
        <w:tc>
          <w:tcPr>
            <w:tcW w:w="4423" w:type="dxa"/>
            <w:shd w:val="clear" w:color="auto" w:fill="auto"/>
            <w:noWrap/>
            <w:vAlign w:val="center"/>
            <w:hideMark/>
          </w:tcPr>
          <w:p w14:paraId="2A9BA900"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Heroína</w:t>
            </w:r>
          </w:p>
        </w:tc>
        <w:tc>
          <w:tcPr>
            <w:tcW w:w="1337" w:type="dxa"/>
            <w:shd w:val="clear" w:color="000000" w:fill="CDBDA1"/>
            <w:noWrap/>
            <w:vAlign w:val="center"/>
            <w:hideMark/>
          </w:tcPr>
          <w:p w14:paraId="30AF1D1F"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250.2</w:t>
            </w:r>
          </w:p>
        </w:tc>
        <w:tc>
          <w:tcPr>
            <w:tcW w:w="1196" w:type="dxa"/>
            <w:shd w:val="clear" w:color="000000" w:fill="AF8D95"/>
            <w:noWrap/>
            <w:vAlign w:val="center"/>
            <w:hideMark/>
          </w:tcPr>
          <w:p w14:paraId="48FD09F9"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11.8</w:t>
            </w:r>
          </w:p>
        </w:tc>
      </w:tr>
      <w:tr w:rsidR="0063743F" w:rsidRPr="00395097" w14:paraId="6F3815BC" w14:textId="77777777" w:rsidTr="00773F93">
        <w:trPr>
          <w:trHeight w:val="20"/>
          <w:jc w:val="center"/>
        </w:trPr>
        <w:tc>
          <w:tcPr>
            <w:tcW w:w="4423" w:type="dxa"/>
            <w:shd w:val="clear" w:color="auto" w:fill="auto"/>
            <w:noWrap/>
            <w:vAlign w:val="center"/>
            <w:hideMark/>
          </w:tcPr>
          <w:p w14:paraId="45C1728E"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Morfina</w:t>
            </w:r>
          </w:p>
        </w:tc>
        <w:tc>
          <w:tcPr>
            <w:tcW w:w="1337" w:type="dxa"/>
            <w:shd w:val="clear" w:color="000000" w:fill="D8C8AB"/>
            <w:noWrap/>
            <w:vAlign w:val="center"/>
            <w:hideMark/>
          </w:tcPr>
          <w:p w14:paraId="2954892E"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0.0</w:t>
            </w:r>
          </w:p>
        </w:tc>
        <w:tc>
          <w:tcPr>
            <w:tcW w:w="1196" w:type="dxa"/>
            <w:shd w:val="clear" w:color="000000" w:fill="AF8D95"/>
            <w:noWrap/>
            <w:vAlign w:val="center"/>
            <w:hideMark/>
          </w:tcPr>
          <w:p w14:paraId="2B1F6A27"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0.1</w:t>
            </w:r>
          </w:p>
        </w:tc>
      </w:tr>
      <w:tr w:rsidR="0063743F" w:rsidRPr="00395097" w14:paraId="221C8531" w14:textId="77777777" w:rsidTr="00773F93">
        <w:trPr>
          <w:trHeight w:val="20"/>
          <w:jc w:val="center"/>
        </w:trPr>
        <w:tc>
          <w:tcPr>
            <w:tcW w:w="4423" w:type="dxa"/>
            <w:shd w:val="clear" w:color="auto" w:fill="auto"/>
            <w:noWrap/>
            <w:vAlign w:val="center"/>
            <w:hideMark/>
          </w:tcPr>
          <w:p w14:paraId="55A6B6A5" w14:textId="77777777" w:rsidR="0063743F" w:rsidRPr="00395097" w:rsidRDefault="0063743F" w:rsidP="00773F93">
            <w:pPr>
              <w:spacing w:after="0" w:line="240" w:lineRule="auto"/>
              <w:ind w:firstLineChars="100" w:firstLine="180"/>
              <w:rPr>
                <w:rFonts w:ascii="Arial" w:eastAsia="Times New Roman" w:hAnsi="Arial" w:cs="Arial"/>
                <w:i/>
                <w:iCs/>
                <w:color w:val="000000"/>
                <w:sz w:val="18"/>
                <w:szCs w:val="18"/>
                <w:lang w:eastAsia="es-MX"/>
              </w:rPr>
            </w:pPr>
            <w:r w:rsidRPr="00395097">
              <w:rPr>
                <w:rFonts w:ascii="Arial" w:eastAsia="Times New Roman" w:hAnsi="Arial" w:cs="Arial"/>
                <w:i/>
                <w:iCs/>
                <w:color w:val="000000"/>
                <w:sz w:val="18"/>
                <w:szCs w:val="18"/>
                <w:lang w:eastAsia="es-MX"/>
              </w:rPr>
              <w:t>Plantas y/o bulbos</w:t>
            </w:r>
          </w:p>
        </w:tc>
        <w:tc>
          <w:tcPr>
            <w:tcW w:w="1337" w:type="dxa"/>
            <w:shd w:val="clear" w:color="000000" w:fill="D8C8AB"/>
            <w:noWrap/>
            <w:vAlign w:val="center"/>
            <w:hideMark/>
          </w:tcPr>
          <w:p w14:paraId="77B9C0C3"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0.0</w:t>
            </w:r>
          </w:p>
        </w:tc>
        <w:tc>
          <w:tcPr>
            <w:tcW w:w="1196" w:type="dxa"/>
            <w:shd w:val="clear" w:color="000000" w:fill="814154"/>
            <w:noWrap/>
            <w:vAlign w:val="center"/>
            <w:hideMark/>
          </w:tcPr>
          <w:p w14:paraId="2C24FD77"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93 400.0</w:t>
            </w:r>
          </w:p>
        </w:tc>
      </w:tr>
      <w:tr w:rsidR="0063743F" w:rsidRPr="00395097" w14:paraId="7CAB008E" w14:textId="77777777" w:rsidTr="00773F93">
        <w:trPr>
          <w:trHeight w:val="20"/>
          <w:jc w:val="center"/>
        </w:trPr>
        <w:tc>
          <w:tcPr>
            <w:tcW w:w="6956" w:type="dxa"/>
            <w:gridSpan w:val="3"/>
            <w:shd w:val="clear" w:color="000000" w:fill="285172"/>
            <w:noWrap/>
            <w:vAlign w:val="center"/>
            <w:hideMark/>
          </w:tcPr>
          <w:p w14:paraId="3B2E5CCD"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MDA,</w:t>
            </w:r>
            <w:r w:rsidRPr="00395097">
              <w:rPr>
                <w:rFonts w:ascii="Arial" w:eastAsia="Times New Roman" w:hAnsi="Arial" w:cs="Arial"/>
                <w:color w:val="FFFFFF"/>
                <w:sz w:val="18"/>
                <w:szCs w:val="18"/>
                <w:lang w:eastAsia="es-MX"/>
              </w:rPr>
              <w:br/>
              <w:t>Metilendioxianfetamina</w:t>
            </w:r>
          </w:p>
        </w:tc>
      </w:tr>
      <w:tr w:rsidR="0063743F" w:rsidRPr="00395097" w14:paraId="6D195B14" w14:textId="77777777" w:rsidTr="00773F93">
        <w:trPr>
          <w:trHeight w:val="20"/>
          <w:jc w:val="center"/>
        </w:trPr>
        <w:tc>
          <w:tcPr>
            <w:tcW w:w="4423" w:type="dxa"/>
            <w:shd w:val="clear" w:color="000000" w:fill="285172"/>
            <w:noWrap/>
            <w:vAlign w:val="center"/>
            <w:hideMark/>
          </w:tcPr>
          <w:p w14:paraId="474150DB" w14:textId="77777777" w:rsidR="0063743F" w:rsidRPr="00395097" w:rsidRDefault="0063743F" w:rsidP="00773F93">
            <w:pPr>
              <w:spacing w:after="0" w:line="240" w:lineRule="auto"/>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w:t>
            </w:r>
          </w:p>
        </w:tc>
        <w:tc>
          <w:tcPr>
            <w:tcW w:w="1337" w:type="dxa"/>
            <w:shd w:val="clear" w:color="000000" w:fill="877A67"/>
            <w:noWrap/>
            <w:vAlign w:val="center"/>
            <w:hideMark/>
          </w:tcPr>
          <w:p w14:paraId="2FC7B268"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FGR</w:t>
            </w:r>
          </w:p>
        </w:tc>
        <w:tc>
          <w:tcPr>
            <w:tcW w:w="1196" w:type="dxa"/>
            <w:shd w:val="clear" w:color="000000" w:fill="511427"/>
            <w:noWrap/>
            <w:vAlign w:val="center"/>
            <w:hideMark/>
          </w:tcPr>
          <w:p w14:paraId="1B141940"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FGE</w:t>
            </w:r>
          </w:p>
        </w:tc>
      </w:tr>
      <w:tr w:rsidR="0063743F" w:rsidRPr="00395097" w14:paraId="10DB2E2D" w14:textId="77777777" w:rsidTr="00773F93">
        <w:trPr>
          <w:trHeight w:val="20"/>
          <w:jc w:val="center"/>
        </w:trPr>
        <w:tc>
          <w:tcPr>
            <w:tcW w:w="4423" w:type="dxa"/>
            <w:shd w:val="clear" w:color="auto" w:fill="auto"/>
            <w:noWrap/>
            <w:vAlign w:val="center"/>
            <w:hideMark/>
          </w:tcPr>
          <w:p w14:paraId="00C7FC44"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 en kilogramos</w:t>
            </w:r>
          </w:p>
        </w:tc>
        <w:tc>
          <w:tcPr>
            <w:tcW w:w="1337" w:type="dxa"/>
            <w:shd w:val="clear" w:color="000000" w:fill="D8C8AB"/>
            <w:noWrap/>
            <w:vAlign w:val="center"/>
            <w:hideMark/>
          </w:tcPr>
          <w:p w14:paraId="132562B2"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2.4</w:t>
            </w:r>
          </w:p>
        </w:tc>
        <w:tc>
          <w:tcPr>
            <w:tcW w:w="1196" w:type="dxa"/>
            <w:shd w:val="clear" w:color="000000" w:fill="804053"/>
            <w:noWrap/>
            <w:vAlign w:val="center"/>
            <w:hideMark/>
          </w:tcPr>
          <w:p w14:paraId="1C47FDAA"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29.5</w:t>
            </w:r>
          </w:p>
        </w:tc>
      </w:tr>
      <w:tr w:rsidR="0063743F" w:rsidRPr="00395097" w14:paraId="5461D403" w14:textId="77777777" w:rsidTr="00773F93">
        <w:trPr>
          <w:trHeight w:val="20"/>
          <w:jc w:val="center"/>
        </w:trPr>
        <w:tc>
          <w:tcPr>
            <w:tcW w:w="4423" w:type="dxa"/>
            <w:shd w:val="clear" w:color="auto" w:fill="auto"/>
            <w:noWrap/>
            <w:vAlign w:val="center"/>
            <w:hideMark/>
          </w:tcPr>
          <w:p w14:paraId="43873426"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 por unidad (tableta o cápsula)</w:t>
            </w:r>
          </w:p>
        </w:tc>
        <w:tc>
          <w:tcPr>
            <w:tcW w:w="1337" w:type="dxa"/>
            <w:shd w:val="clear" w:color="000000" w:fill="BCAD93"/>
            <w:noWrap/>
            <w:vAlign w:val="center"/>
            <w:hideMark/>
          </w:tcPr>
          <w:p w14:paraId="34E8760D"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1 004.0</w:t>
            </w:r>
          </w:p>
        </w:tc>
        <w:tc>
          <w:tcPr>
            <w:tcW w:w="1196" w:type="dxa"/>
            <w:shd w:val="clear" w:color="000000" w:fill="AF8D95"/>
            <w:noWrap/>
            <w:vAlign w:val="center"/>
            <w:hideMark/>
          </w:tcPr>
          <w:p w14:paraId="5505A398"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20.0</w:t>
            </w:r>
          </w:p>
        </w:tc>
      </w:tr>
      <w:tr w:rsidR="0063743F" w:rsidRPr="00395097" w14:paraId="0E80ED8F" w14:textId="77777777" w:rsidTr="00773F93">
        <w:trPr>
          <w:trHeight w:val="20"/>
          <w:jc w:val="center"/>
        </w:trPr>
        <w:tc>
          <w:tcPr>
            <w:tcW w:w="6956" w:type="dxa"/>
            <w:gridSpan w:val="3"/>
            <w:shd w:val="clear" w:color="000000" w:fill="285172"/>
            <w:noWrap/>
            <w:vAlign w:val="center"/>
            <w:hideMark/>
          </w:tcPr>
          <w:p w14:paraId="480F501B"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MDMA, dl-34-metilendioxi-n-dimetilfeniletilamina</w:t>
            </w:r>
          </w:p>
        </w:tc>
      </w:tr>
      <w:tr w:rsidR="0063743F" w:rsidRPr="00395097" w14:paraId="2657E073" w14:textId="77777777" w:rsidTr="00773F93">
        <w:trPr>
          <w:trHeight w:val="20"/>
          <w:jc w:val="center"/>
        </w:trPr>
        <w:tc>
          <w:tcPr>
            <w:tcW w:w="4423" w:type="dxa"/>
            <w:shd w:val="clear" w:color="000000" w:fill="285172"/>
            <w:noWrap/>
            <w:vAlign w:val="center"/>
            <w:hideMark/>
          </w:tcPr>
          <w:p w14:paraId="032640F3" w14:textId="77777777" w:rsidR="0063743F" w:rsidRPr="00395097" w:rsidRDefault="0063743F" w:rsidP="00773F93">
            <w:pPr>
              <w:spacing w:after="0" w:line="240" w:lineRule="auto"/>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w:t>
            </w:r>
          </w:p>
        </w:tc>
        <w:tc>
          <w:tcPr>
            <w:tcW w:w="1337" w:type="dxa"/>
            <w:shd w:val="clear" w:color="000000" w:fill="877A67"/>
            <w:noWrap/>
            <w:vAlign w:val="center"/>
            <w:hideMark/>
          </w:tcPr>
          <w:p w14:paraId="6D964E04"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FGR</w:t>
            </w:r>
          </w:p>
        </w:tc>
        <w:tc>
          <w:tcPr>
            <w:tcW w:w="1196" w:type="dxa"/>
            <w:shd w:val="clear" w:color="000000" w:fill="511427"/>
            <w:noWrap/>
            <w:vAlign w:val="center"/>
            <w:hideMark/>
          </w:tcPr>
          <w:p w14:paraId="3A3BE1F2"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FGE</w:t>
            </w:r>
          </w:p>
        </w:tc>
      </w:tr>
      <w:tr w:rsidR="0063743F" w:rsidRPr="00395097" w14:paraId="0F717D50" w14:textId="77777777" w:rsidTr="00773F93">
        <w:trPr>
          <w:trHeight w:val="20"/>
          <w:jc w:val="center"/>
        </w:trPr>
        <w:tc>
          <w:tcPr>
            <w:tcW w:w="4423" w:type="dxa"/>
            <w:shd w:val="clear" w:color="auto" w:fill="auto"/>
            <w:noWrap/>
            <w:vAlign w:val="center"/>
            <w:hideMark/>
          </w:tcPr>
          <w:p w14:paraId="144A65F6"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 en kilogramos</w:t>
            </w:r>
          </w:p>
        </w:tc>
        <w:tc>
          <w:tcPr>
            <w:tcW w:w="1337" w:type="dxa"/>
            <w:shd w:val="clear" w:color="000000" w:fill="D8C8AB"/>
            <w:noWrap/>
            <w:vAlign w:val="center"/>
            <w:hideMark/>
          </w:tcPr>
          <w:p w14:paraId="05363B1A"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0.1</w:t>
            </w:r>
          </w:p>
        </w:tc>
        <w:tc>
          <w:tcPr>
            <w:tcW w:w="1196" w:type="dxa"/>
            <w:shd w:val="clear" w:color="000000" w:fill="AF8D95"/>
            <w:noWrap/>
            <w:vAlign w:val="center"/>
            <w:hideMark/>
          </w:tcPr>
          <w:p w14:paraId="0C8618C9"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1.1</w:t>
            </w:r>
          </w:p>
        </w:tc>
      </w:tr>
      <w:tr w:rsidR="0063743F" w:rsidRPr="00395097" w14:paraId="538B6870" w14:textId="77777777" w:rsidTr="00773F93">
        <w:trPr>
          <w:trHeight w:val="20"/>
          <w:jc w:val="center"/>
        </w:trPr>
        <w:tc>
          <w:tcPr>
            <w:tcW w:w="4423" w:type="dxa"/>
            <w:shd w:val="clear" w:color="auto" w:fill="auto"/>
            <w:noWrap/>
            <w:vAlign w:val="center"/>
            <w:hideMark/>
          </w:tcPr>
          <w:p w14:paraId="0FE11293"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 por unidad (tableta o cápsula)</w:t>
            </w:r>
          </w:p>
        </w:tc>
        <w:tc>
          <w:tcPr>
            <w:tcW w:w="1337" w:type="dxa"/>
            <w:shd w:val="clear" w:color="000000" w:fill="BCAD93"/>
            <w:noWrap/>
            <w:vAlign w:val="center"/>
            <w:hideMark/>
          </w:tcPr>
          <w:p w14:paraId="489240D5"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2 295.0</w:t>
            </w:r>
          </w:p>
        </w:tc>
        <w:tc>
          <w:tcPr>
            <w:tcW w:w="1196" w:type="dxa"/>
            <w:shd w:val="clear" w:color="000000" w:fill="804053"/>
            <w:noWrap/>
            <w:vAlign w:val="center"/>
            <w:hideMark/>
          </w:tcPr>
          <w:p w14:paraId="2DCE0465"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1.0</w:t>
            </w:r>
          </w:p>
        </w:tc>
      </w:tr>
      <w:tr w:rsidR="0063743F" w:rsidRPr="00395097" w14:paraId="7827A376" w14:textId="77777777" w:rsidTr="00773F93">
        <w:trPr>
          <w:trHeight w:val="20"/>
          <w:jc w:val="center"/>
        </w:trPr>
        <w:tc>
          <w:tcPr>
            <w:tcW w:w="6956" w:type="dxa"/>
            <w:gridSpan w:val="3"/>
            <w:shd w:val="clear" w:color="000000" w:fill="285172"/>
            <w:noWrap/>
            <w:vAlign w:val="center"/>
            <w:hideMark/>
          </w:tcPr>
          <w:p w14:paraId="2632710C"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xml:space="preserve">Lisergida (LSD) </w:t>
            </w:r>
            <w:r w:rsidRPr="00395097">
              <w:rPr>
                <w:rFonts w:ascii="Arial" w:eastAsia="Times New Roman" w:hAnsi="Arial" w:cs="Arial"/>
                <w:color w:val="FFFFFF"/>
                <w:sz w:val="18"/>
                <w:szCs w:val="18"/>
                <w:lang w:eastAsia="es-MX"/>
              </w:rPr>
              <w:br/>
              <w:t>(en kilogramos)</w:t>
            </w:r>
          </w:p>
        </w:tc>
      </w:tr>
      <w:tr w:rsidR="0063743F" w:rsidRPr="00395097" w14:paraId="09C674D9" w14:textId="77777777" w:rsidTr="00773F93">
        <w:trPr>
          <w:trHeight w:val="20"/>
          <w:jc w:val="center"/>
        </w:trPr>
        <w:tc>
          <w:tcPr>
            <w:tcW w:w="4423" w:type="dxa"/>
            <w:shd w:val="clear" w:color="000000" w:fill="285172"/>
            <w:noWrap/>
            <w:vAlign w:val="center"/>
            <w:hideMark/>
          </w:tcPr>
          <w:p w14:paraId="23B6D85C" w14:textId="77777777" w:rsidR="0063743F" w:rsidRPr="00395097" w:rsidRDefault="0063743F" w:rsidP="00773F93">
            <w:pPr>
              <w:spacing w:after="0" w:line="240" w:lineRule="auto"/>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 </w:t>
            </w:r>
          </w:p>
        </w:tc>
        <w:tc>
          <w:tcPr>
            <w:tcW w:w="1337" w:type="dxa"/>
            <w:shd w:val="clear" w:color="000000" w:fill="877A67"/>
            <w:noWrap/>
            <w:vAlign w:val="center"/>
            <w:hideMark/>
          </w:tcPr>
          <w:p w14:paraId="389709E1"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FGR</w:t>
            </w:r>
          </w:p>
        </w:tc>
        <w:tc>
          <w:tcPr>
            <w:tcW w:w="1196" w:type="dxa"/>
            <w:shd w:val="clear" w:color="000000" w:fill="511427"/>
            <w:noWrap/>
            <w:vAlign w:val="center"/>
            <w:hideMark/>
          </w:tcPr>
          <w:p w14:paraId="1562C905" w14:textId="77777777" w:rsidR="0063743F" w:rsidRPr="00395097" w:rsidRDefault="0063743F" w:rsidP="00773F93">
            <w:pPr>
              <w:spacing w:after="0" w:line="240" w:lineRule="auto"/>
              <w:jc w:val="center"/>
              <w:rPr>
                <w:rFonts w:ascii="Arial" w:eastAsia="Times New Roman" w:hAnsi="Arial" w:cs="Arial"/>
                <w:color w:val="FFFFFF"/>
                <w:sz w:val="18"/>
                <w:szCs w:val="18"/>
                <w:lang w:eastAsia="es-MX"/>
              </w:rPr>
            </w:pPr>
            <w:r w:rsidRPr="00395097">
              <w:rPr>
                <w:rFonts w:ascii="Arial" w:eastAsia="Times New Roman" w:hAnsi="Arial" w:cs="Arial"/>
                <w:color w:val="FFFFFF"/>
                <w:sz w:val="18"/>
                <w:szCs w:val="18"/>
                <w:lang w:eastAsia="es-MX"/>
              </w:rPr>
              <w:t>FGE</w:t>
            </w:r>
          </w:p>
        </w:tc>
      </w:tr>
      <w:tr w:rsidR="0063743F" w:rsidRPr="00395097" w14:paraId="7BBBFE1A" w14:textId="77777777" w:rsidTr="00773F93">
        <w:trPr>
          <w:trHeight w:val="20"/>
          <w:jc w:val="center"/>
        </w:trPr>
        <w:tc>
          <w:tcPr>
            <w:tcW w:w="4423" w:type="dxa"/>
            <w:shd w:val="clear" w:color="auto" w:fill="auto"/>
            <w:noWrap/>
            <w:vAlign w:val="center"/>
            <w:hideMark/>
          </w:tcPr>
          <w:p w14:paraId="1D7D6CDF" w14:textId="77777777" w:rsidR="0063743F" w:rsidRPr="00395097" w:rsidRDefault="0063743F" w:rsidP="00773F93">
            <w:pPr>
              <w:spacing w:after="0" w:line="240" w:lineRule="auto"/>
              <w:ind w:firstLineChars="100" w:firstLine="180"/>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Total</w:t>
            </w:r>
          </w:p>
        </w:tc>
        <w:tc>
          <w:tcPr>
            <w:tcW w:w="1337" w:type="dxa"/>
            <w:shd w:val="clear" w:color="000000" w:fill="D8C8AB"/>
            <w:noWrap/>
            <w:vAlign w:val="center"/>
            <w:hideMark/>
          </w:tcPr>
          <w:p w14:paraId="6FC657CA"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0.7</w:t>
            </w:r>
          </w:p>
        </w:tc>
        <w:tc>
          <w:tcPr>
            <w:tcW w:w="1196" w:type="dxa"/>
            <w:shd w:val="clear" w:color="000000" w:fill="AF8D95"/>
            <w:noWrap/>
            <w:vAlign w:val="center"/>
            <w:hideMark/>
          </w:tcPr>
          <w:p w14:paraId="2722C3BD" w14:textId="77777777" w:rsidR="0063743F" w:rsidRPr="00395097" w:rsidRDefault="0063743F" w:rsidP="00773F93">
            <w:pPr>
              <w:spacing w:after="0" w:line="240" w:lineRule="auto"/>
              <w:jc w:val="center"/>
              <w:rPr>
                <w:rFonts w:ascii="Arial" w:eastAsia="Times New Roman" w:hAnsi="Arial" w:cs="Arial"/>
                <w:color w:val="000000"/>
                <w:sz w:val="18"/>
                <w:szCs w:val="18"/>
                <w:lang w:eastAsia="es-MX"/>
              </w:rPr>
            </w:pPr>
            <w:r w:rsidRPr="00395097">
              <w:rPr>
                <w:rFonts w:ascii="Arial" w:eastAsia="Times New Roman" w:hAnsi="Arial" w:cs="Arial"/>
                <w:color w:val="000000"/>
                <w:sz w:val="18"/>
                <w:szCs w:val="18"/>
                <w:lang w:eastAsia="es-MX"/>
              </w:rPr>
              <w:t xml:space="preserve">  0.9</w:t>
            </w:r>
          </w:p>
        </w:tc>
      </w:tr>
    </w:tbl>
    <w:p w14:paraId="7610207B" w14:textId="77777777" w:rsidR="0063743F" w:rsidRDefault="0063743F" w:rsidP="0063743F">
      <w:pPr>
        <w:pStyle w:val="Default"/>
        <w:jc w:val="center"/>
      </w:pPr>
    </w:p>
    <w:p w14:paraId="63BB0465" w14:textId="77777777" w:rsidR="0063743F" w:rsidRDefault="0063743F" w:rsidP="0063743F">
      <w:pPr>
        <w:pStyle w:val="Default"/>
        <w:jc w:val="center"/>
      </w:pPr>
    </w:p>
    <w:p w14:paraId="18A47E52" w14:textId="6C0CC600" w:rsidR="0063743F" w:rsidRDefault="0063743F" w:rsidP="0063743F">
      <w:pPr>
        <w:pStyle w:val="Default"/>
      </w:pPr>
    </w:p>
    <w:p w14:paraId="4114D8B3" w14:textId="57CA17AE" w:rsidR="00C43EA8" w:rsidRDefault="00C43EA8" w:rsidP="0063743F">
      <w:pPr>
        <w:pStyle w:val="Default"/>
      </w:pPr>
    </w:p>
    <w:p w14:paraId="7EFB4114" w14:textId="77777777" w:rsidR="00C43EA8" w:rsidRDefault="00C43EA8" w:rsidP="0063743F">
      <w:pPr>
        <w:pStyle w:val="Default"/>
      </w:pPr>
    </w:p>
    <w:p w14:paraId="57BC5B6E" w14:textId="77777777" w:rsidR="0063743F" w:rsidRPr="001C540D" w:rsidRDefault="0063743F" w:rsidP="0063743F">
      <w:pPr>
        <w:pStyle w:val="Prrafodelista"/>
        <w:numPr>
          <w:ilvl w:val="0"/>
          <w:numId w:val="30"/>
        </w:numPr>
        <w:spacing w:after="0" w:line="240" w:lineRule="auto"/>
        <w:rPr>
          <w:rFonts w:ascii="Arial Negrita" w:hAnsi="Arial Negrita" w:cs="Arial"/>
          <w:b/>
          <w:bCs/>
          <w:sz w:val="24"/>
          <w:szCs w:val="24"/>
        </w:rPr>
      </w:pPr>
      <w:r w:rsidRPr="001C540D">
        <w:rPr>
          <w:rFonts w:ascii="Arial Negrita" w:hAnsi="Arial Negrita" w:cs="Arial"/>
          <w:b/>
          <w:bCs/>
          <w:sz w:val="24"/>
          <w:szCs w:val="24"/>
        </w:rPr>
        <w:lastRenderedPageBreak/>
        <w:t>Mecanismos alternativos de soluci</w:t>
      </w:r>
      <w:r w:rsidRPr="001C540D">
        <w:rPr>
          <w:rFonts w:ascii="Arial Negrita" w:hAnsi="Arial Negrita" w:cs="Arial" w:hint="eastAsia"/>
          <w:b/>
          <w:bCs/>
          <w:sz w:val="24"/>
          <w:szCs w:val="24"/>
        </w:rPr>
        <w:t>ó</w:t>
      </w:r>
      <w:r w:rsidRPr="001C540D">
        <w:rPr>
          <w:rFonts w:ascii="Arial Negrita" w:hAnsi="Arial Negrita" w:cs="Arial"/>
          <w:b/>
          <w:bCs/>
          <w:sz w:val="24"/>
          <w:szCs w:val="24"/>
        </w:rPr>
        <w:t xml:space="preserve">n de controversias en materia penal </w:t>
      </w:r>
    </w:p>
    <w:p w14:paraId="700C6685" w14:textId="77777777" w:rsidR="0063743F" w:rsidRPr="00FA13C3" w:rsidRDefault="0063743F" w:rsidP="0063743F">
      <w:pPr>
        <w:spacing w:after="0" w:line="240" w:lineRule="auto"/>
        <w:jc w:val="both"/>
        <w:rPr>
          <w:rFonts w:ascii="Arial Negrita" w:hAnsi="Arial Negrita" w:cs="Arial"/>
          <w:b/>
          <w:bCs/>
          <w:smallCaps/>
          <w:sz w:val="24"/>
          <w:szCs w:val="24"/>
        </w:rPr>
      </w:pPr>
    </w:p>
    <w:p w14:paraId="26C5FB2C" w14:textId="246FA5D9" w:rsidR="0063743F" w:rsidRDefault="0063743F" w:rsidP="00920907">
      <w:pPr>
        <w:pStyle w:val="Default"/>
        <w:ind w:right="21"/>
        <w:jc w:val="both"/>
      </w:pPr>
      <w:r w:rsidRPr="00936AEE">
        <w:t xml:space="preserve">Durante 2021, </w:t>
      </w:r>
      <w:r w:rsidRPr="00A15F72">
        <w:t xml:space="preserve">los órganos o unidades administrativas encargadas de los mecanismos alternativos de solución de controversias de la FGR y las FGE </w:t>
      </w:r>
      <w:r w:rsidRPr="00936AEE">
        <w:t xml:space="preserve">abrieron </w:t>
      </w:r>
      <w:r w:rsidR="00361A5C">
        <w:t>271 048</w:t>
      </w:r>
      <w:r w:rsidRPr="00936AEE">
        <w:t xml:space="preserve"> expedientes en materia penal para adultos y justicia para adolescentes. Del total de expedientes abiertos,</w:t>
      </w:r>
      <w:r>
        <w:br/>
      </w:r>
      <w:r w:rsidR="00E671DF">
        <w:t>9</w:t>
      </w:r>
      <w:r w:rsidR="007775F7">
        <w:t>8.1</w:t>
      </w:r>
      <w:r w:rsidRPr="00936AEE">
        <w:t xml:space="preserve"> % correspondió a la materia penal para adultos y </w:t>
      </w:r>
      <w:r w:rsidR="007775F7">
        <w:t>1.9</w:t>
      </w:r>
      <w:r w:rsidRPr="00936AEE">
        <w:t xml:space="preserve"> % a justicia para adolescentes. En comparación con 2020, la cantidad total de expedientes abiertos incrementó 1</w:t>
      </w:r>
      <w:r w:rsidR="007775F7">
        <w:t>4</w:t>
      </w:r>
      <w:r w:rsidRPr="00936AEE">
        <w:t>.6 por ciento.</w:t>
      </w:r>
    </w:p>
    <w:p w14:paraId="14418E65" w14:textId="77777777" w:rsidR="0063743F" w:rsidRDefault="0063743F" w:rsidP="0063743F">
      <w:pPr>
        <w:pStyle w:val="Default"/>
        <w:jc w:val="both"/>
      </w:pPr>
    </w:p>
    <w:p w14:paraId="32007024" w14:textId="77777777" w:rsidR="0063743F" w:rsidRPr="00963A3F" w:rsidRDefault="0063743F" w:rsidP="0063743F">
      <w:pPr>
        <w:pStyle w:val="Default"/>
        <w:spacing w:after="10"/>
        <w:ind w:right="284"/>
        <w:jc w:val="center"/>
        <w:rPr>
          <w:bCs/>
          <w:iCs/>
          <w:color w:val="000000" w:themeColor="text1"/>
          <w:sz w:val="20"/>
          <w:szCs w:val="20"/>
        </w:rPr>
      </w:pPr>
      <w:r w:rsidRPr="00810B87">
        <w:rPr>
          <w:bCs/>
          <w:iCs/>
          <w:color w:val="000000" w:themeColor="text1"/>
          <w:sz w:val="20"/>
          <w:szCs w:val="20"/>
        </w:rPr>
        <w:t xml:space="preserve">Gráfica </w:t>
      </w:r>
      <w:r>
        <w:rPr>
          <w:bCs/>
          <w:iCs/>
          <w:color w:val="000000" w:themeColor="text1"/>
          <w:sz w:val="20"/>
          <w:szCs w:val="20"/>
        </w:rPr>
        <w:t>32</w:t>
      </w:r>
    </w:p>
    <w:p w14:paraId="55DAD870" w14:textId="77777777" w:rsidR="0063743F" w:rsidRDefault="0063743F" w:rsidP="00920907">
      <w:pPr>
        <w:pStyle w:val="Default"/>
        <w:ind w:right="21"/>
        <w:jc w:val="center"/>
        <w:rPr>
          <w:b/>
          <w:bCs/>
          <w:iCs/>
          <w:smallCaps/>
          <w:color w:val="000000" w:themeColor="text1"/>
          <w:sz w:val="22"/>
          <w:szCs w:val="22"/>
        </w:rPr>
      </w:pPr>
      <w:r w:rsidRPr="00936AEE">
        <w:rPr>
          <w:b/>
          <w:bCs/>
          <w:iCs/>
          <w:smallCaps/>
          <w:color w:val="000000" w:themeColor="text1"/>
          <w:sz w:val="22"/>
          <w:szCs w:val="22"/>
        </w:rPr>
        <w:t>expedientes conocidos por el órgano especializado de mecanismos alternativos de solución de controversias de la FGR</w:t>
      </w:r>
    </w:p>
    <w:p w14:paraId="47AE25D7" w14:textId="77777777" w:rsidR="0063743F" w:rsidRDefault="0063743F" w:rsidP="0063743F">
      <w:pPr>
        <w:pStyle w:val="Default"/>
        <w:jc w:val="center"/>
        <w:rPr>
          <w:b/>
          <w:bCs/>
          <w:iCs/>
          <w:smallCaps/>
          <w:color w:val="000000" w:themeColor="text1"/>
          <w:sz w:val="22"/>
          <w:szCs w:val="22"/>
        </w:rPr>
      </w:pPr>
    </w:p>
    <w:p w14:paraId="7EEE8B2F" w14:textId="1868174B" w:rsidR="0063743F" w:rsidRDefault="00361A5C" w:rsidP="0063743F">
      <w:pPr>
        <w:pStyle w:val="Default"/>
        <w:jc w:val="center"/>
      </w:pPr>
      <w:r w:rsidRPr="00361A5C">
        <w:rPr>
          <w:noProof/>
        </w:rPr>
        <w:drawing>
          <wp:inline distT="0" distB="0" distL="0" distR="0" wp14:anchorId="6C52493F" wp14:editId="686C6BF8">
            <wp:extent cx="6404610" cy="2243469"/>
            <wp:effectExtent l="0" t="0" r="0" b="4445"/>
            <wp:docPr id="7" name="Gráfico 7">
              <a:extLst xmlns:a="http://schemas.openxmlformats.org/drawingml/2006/main">
                <a:ext uri="{FF2B5EF4-FFF2-40B4-BE49-F238E27FC236}">
                  <a16:creationId xmlns:a16="http://schemas.microsoft.com/office/drawing/2014/main" id="{3F810A61-11C8-493F-B295-BD3E4164E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05E815D" w14:textId="77777777" w:rsidR="0063743F" w:rsidRDefault="0063743F" w:rsidP="0063743F">
      <w:pPr>
        <w:pStyle w:val="Default"/>
        <w:jc w:val="center"/>
      </w:pPr>
    </w:p>
    <w:p w14:paraId="649586DA" w14:textId="77777777" w:rsidR="0063743F" w:rsidRPr="00963A3F" w:rsidRDefault="0063743F" w:rsidP="0063743F">
      <w:pPr>
        <w:pStyle w:val="Default"/>
        <w:spacing w:after="10"/>
        <w:ind w:right="284"/>
        <w:jc w:val="center"/>
        <w:rPr>
          <w:bCs/>
          <w:iCs/>
          <w:color w:val="000000" w:themeColor="text1"/>
          <w:sz w:val="20"/>
          <w:szCs w:val="20"/>
        </w:rPr>
      </w:pPr>
      <w:r w:rsidRPr="00810B87">
        <w:rPr>
          <w:bCs/>
          <w:iCs/>
          <w:color w:val="000000" w:themeColor="text1"/>
          <w:sz w:val="20"/>
          <w:szCs w:val="20"/>
        </w:rPr>
        <w:t xml:space="preserve">Gráfica </w:t>
      </w:r>
      <w:r>
        <w:rPr>
          <w:bCs/>
          <w:iCs/>
          <w:color w:val="000000" w:themeColor="text1"/>
          <w:sz w:val="20"/>
          <w:szCs w:val="20"/>
        </w:rPr>
        <w:t>33</w:t>
      </w:r>
    </w:p>
    <w:p w14:paraId="576350A1" w14:textId="77777777" w:rsidR="0063743F" w:rsidRDefault="0063743F" w:rsidP="00920907">
      <w:pPr>
        <w:pStyle w:val="Default"/>
        <w:ind w:right="21"/>
        <w:jc w:val="center"/>
        <w:rPr>
          <w:b/>
          <w:bCs/>
          <w:iCs/>
          <w:smallCaps/>
          <w:color w:val="000000" w:themeColor="text1"/>
          <w:sz w:val="22"/>
          <w:szCs w:val="22"/>
        </w:rPr>
      </w:pPr>
      <w:r w:rsidRPr="00936AEE">
        <w:rPr>
          <w:b/>
          <w:bCs/>
          <w:iCs/>
          <w:smallCaps/>
          <w:color w:val="000000" w:themeColor="text1"/>
          <w:sz w:val="22"/>
          <w:szCs w:val="22"/>
        </w:rPr>
        <w:t>expedientes conocidos por el órgano especializado de mecanismos alternativos de solución de controversias de la</w:t>
      </w:r>
      <w:r>
        <w:rPr>
          <w:b/>
          <w:bCs/>
          <w:iCs/>
          <w:smallCaps/>
          <w:color w:val="000000" w:themeColor="text1"/>
          <w:sz w:val="22"/>
          <w:szCs w:val="22"/>
        </w:rPr>
        <w:t>s</w:t>
      </w:r>
      <w:r w:rsidRPr="00936AEE">
        <w:rPr>
          <w:b/>
          <w:bCs/>
          <w:iCs/>
          <w:smallCaps/>
          <w:color w:val="000000" w:themeColor="text1"/>
          <w:sz w:val="22"/>
          <w:szCs w:val="22"/>
        </w:rPr>
        <w:t xml:space="preserve"> FG</w:t>
      </w:r>
      <w:r>
        <w:rPr>
          <w:b/>
          <w:bCs/>
          <w:iCs/>
          <w:smallCaps/>
          <w:color w:val="000000" w:themeColor="text1"/>
          <w:sz w:val="22"/>
          <w:szCs w:val="22"/>
        </w:rPr>
        <w:t>E</w:t>
      </w:r>
    </w:p>
    <w:p w14:paraId="18191EDC" w14:textId="77777777" w:rsidR="0063743F" w:rsidRDefault="0063743F" w:rsidP="0063743F">
      <w:pPr>
        <w:pStyle w:val="Default"/>
        <w:jc w:val="center"/>
        <w:rPr>
          <w:b/>
          <w:bCs/>
          <w:iCs/>
          <w:smallCaps/>
          <w:color w:val="000000" w:themeColor="text1"/>
          <w:sz w:val="22"/>
          <w:szCs w:val="22"/>
        </w:rPr>
      </w:pPr>
    </w:p>
    <w:p w14:paraId="16C1A6C1" w14:textId="77777777" w:rsidR="0063743F" w:rsidRDefault="0063743F" w:rsidP="0063743F">
      <w:pPr>
        <w:pStyle w:val="Default"/>
        <w:jc w:val="center"/>
      </w:pPr>
      <w:r>
        <w:rPr>
          <w:noProof/>
        </w:rPr>
        <w:drawing>
          <wp:inline distT="0" distB="0" distL="0" distR="0" wp14:anchorId="3BA3BBAE" wp14:editId="31977773">
            <wp:extent cx="5943393" cy="2400300"/>
            <wp:effectExtent l="0" t="0" r="635" b="0"/>
            <wp:docPr id="37" name="Gráfico 37">
              <a:extLst xmlns:a="http://schemas.openxmlformats.org/drawingml/2006/main">
                <a:ext uri="{FF2B5EF4-FFF2-40B4-BE49-F238E27FC236}">
                  <a16:creationId xmlns:a16="http://schemas.microsoft.com/office/drawing/2014/main" id="{5E196AF7-AD18-3160-DEDC-F96344C35A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E2702DF" w14:textId="77777777" w:rsidR="0063743F" w:rsidRDefault="0063743F" w:rsidP="0063743F">
      <w:pPr>
        <w:pStyle w:val="Default"/>
        <w:jc w:val="center"/>
      </w:pPr>
    </w:p>
    <w:p w14:paraId="59A5E6CC" w14:textId="55A59DFB" w:rsidR="0063743F" w:rsidRDefault="0063743F" w:rsidP="0063743F">
      <w:pPr>
        <w:pStyle w:val="Default"/>
        <w:rPr>
          <w:sz w:val="16"/>
          <w:szCs w:val="16"/>
        </w:rPr>
      </w:pPr>
      <w:r>
        <w:rPr>
          <w:sz w:val="16"/>
          <w:szCs w:val="16"/>
        </w:rPr>
        <w:t xml:space="preserve">Nota: </w:t>
      </w:r>
      <w:r w:rsidR="00804CEA">
        <w:rPr>
          <w:sz w:val="16"/>
          <w:szCs w:val="16"/>
        </w:rPr>
        <w:t>L</w:t>
      </w:r>
      <w:r w:rsidRPr="00A15F72">
        <w:rPr>
          <w:sz w:val="16"/>
          <w:szCs w:val="16"/>
        </w:rPr>
        <w:t>a desagregación de expedientes para adultos y adolescentes comenzó a captarse en el levantamiento 2020 (información 2019)</w:t>
      </w:r>
      <w:r w:rsidR="00921F85">
        <w:rPr>
          <w:sz w:val="16"/>
          <w:szCs w:val="16"/>
        </w:rPr>
        <w:t xml:space="preserve">. Antes de estos años </w:t>
      </w:r>
      <w:r w:rsidRPr="00A15F72">
        <w:rPr>
          <w:sz w:val="16"/>
          <w:szCs w:val="16"/>
        </w:rPr>
        <w:t>solo se reportaban expedientes sin distinción por materia.</w:t>
      </w:r>
    </w:p>
    <w:p w14:paraId="0D2317DC" w14:textId="222C0A46" w:rsidR="0063743F" w:rsidRDefault="0063743F" w:rsidP="00920907">
      <w:pPr>
        <w:pStyle w:val="Default"/>
        <w:ind w:right="21"/>
        <w:jc w:val="both"/>
      </w:pPr>
      <w:r w:rsidRPr="00A15F72">
        <w:lastRenderedPageBreak/>
        <w:t>Finalmente, durante 2021 se reportaron 335 879 delitos registrados en los expedientes abiertos por los órganos o unidades administrativas encargadas de los mecanismos alternativos de solución de controversias de la FGR y las FGE</w:t>
      </w:r>
      <w:r w:rsidR="005C783D">
        <w:t>. Del total,</w:t>
      </w:r>
      <w:r w:rsidRPr="00A15F72">
        <w:t xml:space="preserve"> 98.4 % correspondió a la materia de justicia penal para adultos y 1.6 % al sistema de justicia para adolescentes</w:t>
      </w:r>
      <w:r>
        <w:t>.</w:t>
      </w:r>
      <w:r w:rsidRPr="00A15F72">
        <w:t xml:space="preserve"> </w:t>
      </w:r>
      <w:r>
        <w:t>E</w:t>
      </w:r>
      <w:r w:rsidRPr="00A15F72">
        <w:t>sta cifra representó un incremento de 27.5 % respecto a 2020</w:t>
      </w:r>
      <w:r w:rsidR="00921F85">
        <w:t>.</w:t>
      </w:r>
      <w:r>
        <w:rPr>
          <w:rStyle w:val="Refdenotaalpie"/>
        </w:rPr>
        <w:footnoteReference w:id="20"/>
      </w:r>
    </w:p>
    <w:p w14:paraId="165719F6" w14:textId="77777777" w:rsidR="0063743F" w:rsidRDefault="0063743F" w:rsidP="0063743F">
      <w:pPr>
        <w:pStyle w:val="Default"/>
        <w:jc w:val="both"/>
      </w:pPr>
    </w:p>
    <w:p w14:paraId="268B9DF8" w14:textId="77777777" w:rsidR="0063743F" w:rsidRPr="00963A3F" w:rsidRDefault="0063743F" w:rsidP="0063743F">
      <w:pPr>
        <w:pStyle w:val="Default"/>
        <w:spacing w:after="10"/>
        <w:ind w:right="284"/>
        <w:jc w:val="center"/>
        <w:rPr>
          <w:bCs/>
          <w:iCs/>
          <w:color w:val="000000" w:themeColor="text1"/>
          <w:sz w:val="20"/>
          <w:szCs w:val="20"/>
        </w:rPr>
      </w:pPr>
      <w:r w:rsidRPr="00810B87">
        <w:rPr>
          <w:bCs/>
          <w:iCs/>
          <w:color w:val="000000" w:themeColor="text1"/>
          <w:sz w:val="20"/>
          <w:szCs w:val="20"/>
        </w:rPr>
        <w:t xml:space="preserve">Gráfica </w:t>
      </w:r>
      <w:r>
        <w:rPr>
          <w:bCs/>
          <w:iCs/>
          <w:color w:val="000000" w:themeColor="text1"/>
          <w:sz w:val="20"/>
          <w:szCs w:val="20"/>
        </w:rPr>
        <w:t>34</w:t>
      </w:r>
    </w:p>
    <w:p w14:paraId="3A8894CE" w14:textId="77777777" w:rsidR="00EE1005" w:rsidRDefault="0063743F" w:rsidP="0063743F">
      <w:pPr>
        <w:pStyle w:val="Default"/>
        <w:jc w:val="center"/>
        <w:rPr>
          <w:b/>
          <w:bCs/>
          <w:iCs/>
          <w:smallCaps/>
          <w:color w:val="000000" w:themeColor="text1"/>
          <w:sz w:val="22"/>
          <w:szCs w:val="22"/>
        </w:rPr>
      </w:pPr>
      <w:r w:rsidRPr="00A15F72">
        <w:rPr>
          <w:b/>
          <w:bCs/>
          <w:iCs/>
          <w:smallCaps/>
          <w:color w:val="000000" w:themeColor="text1"/>
          <w:sz w:val="22"/>
          <w:szCs w:val="22"/>
        </w:rPr>
        <w:t xml:space="preserve">Principales delitos registrados en los expedientes abiertos por el órgano especializado </w:t>
      </w:r>
    </w:p>
    <w:p w14:paraId="5537F2BF" w14:textId="1AAB24E2" w:rsidR="0063743F" w:rsidRDefault="0063743F" w:rsidP="0063743F">
      <w:pPr>
        <w:pStyle w:val="Default"/>
        <w:jc w:val="center"/>
        <w:rPr>
          <w:b/>
          <w:bCs/>
          <w:iCs/>
          <w:smallCaps/>
          <w:color w:val="000000" w:themeColor="text1"/>
          <w:sz w:val="22"/>
          <w:szCs w:val="22"/>
        </w:rPr>
      </w:pPr>
      <w:r w:rsidRPr="00A15F72">
        <w:rPr>
          <w:b/>
          <w:bCs/>
          <w:iCs/>
          <w:smallCaps/>
          <w:color w:val="000000" w:themeColor="text1"/>
          <w:sz w:val="22"/>
          <w:szCs w:val="22"/>
        </w:rPr>
        <w:t xml:space="preserve">de mecanismos alternativos de solución de controversias de la FGR </w:t>
      </w:r>
    </w:p>
    <w:p w14:paraId="5E685BB2" w14:textId="77777777" w:rsidR="0063743F" w:rsidRDefault="0063743F" w:rsidP="0063743F">
      <w:pPr>
        <w:pStyle w:val="Default"/>
        <w:jc w:val="both"/>
      </w:pPr>
    </w:p>
    <w:p w14:paraId="649296C6" w14:textId="77777777" w:rsidR="0063743F" w:rsidRDefault="0063743F" w:rsidP="0063743F">
      <w:pPr>
        <w:pStyle w:val="Default"/>
        <w:jc w:val="both"/>
      </w:pPr>
      <w:r>
        <w:rPr>
          <w:noProof/>
        </w:rPr>
        <w:drawing>
          <wp:inline distT="0" distB="0" distL="0" distR="0" wp14:anchorId="7A5980BE" wp14:editId="59D3EA84">
            <wp:extent cx="6607834" cy="2415397"/>
            <wp:effectExtent l="0" t="0" r="2540" b="4445"/>
            <wp:docPr id="39" name="Gráfico 39">
              <a:extLst xmlns:a="http://schemas.openxmlformats.org/drawingml/2006/main">
                <a:ext uri="{FF2B5EF4-FFF2-40B4-BE49-F238E27FC236}">
                  <a16:creationId xmlns:a16="http://schemas.microsoft.com/office/drawing/2014/main" id="{1AFCC62E-31B1-49D3-B028-B43495759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838344C" w14:textId="77777777" w:rsidR="0063743F" w:rsidRDefault="0063743F" w:rsidP="0063743F">
      <w:pPr>
        <w:pStyle w:val="Default"/>
        <w:jc w:val="both"/>
      </w:pPr>
    </w:p>
    <w:p w14:paraId="4F3B4291" w14:textId="77777777" w:rsidR="0063743F" w:rsidRPr="00963A3F" w:rsidRDefault="0063743F" w:rsidP="0063743F">
      <w:pPr>
        <w:pStyle w:val="Default"/>
        <w:spacing w:after="10"/>
        <w:ind w:right="284"/>
        <w:jc w:val="center"/>
        <w:rPr>
          <w:bCs/>
          <w:iCs/>
          <w:color w:val="000000" w:themeColor="text1"/>
          <w:sz w:val="20"/>
          <w:szCs w:val="20"/>
        </w:rPr>
      </w:pPr>
      <w:r w:rsidRPr="00810B87">
        <w:rPr>
          <w:bCs/>
          <w:iCs/>
          <w:color w:val="000000" w:themeColor="text1"/>
          <w:sz w:val="20"/>
          <w:szCs w:val="20"/>
        </w:rPr>
        <w:t xml:space="preserve">Gráfica </w:t>
      </w:r>
      <w:r>
        <w:rPr>
          <w:bCs/>
          <w:iCs/>
          <w:color w:val="000000" w:themeColor="text1"/>
          <w:sz w:val="20"/>
          <w:szCs w:val="20"/>
        </w:rPr>
        <w:t>35</w:t>
      </w:r>
    </w:p>
    <w:p w14:paraId="2A3E1409" w14:textId="77777777" w:rsidR="00EE1005" w:rsidRDefault="0063743F" w:rsidP="00920907">
      <w:pPr>
        <w:pStyle w:val="Default"/>
        <w:ind w:right="21"/>
        <w:jc w:val="center"/>
        <w:rPr>
          <w:b/>
          <w:bCs/>
          <w:iCs/>
          <w:smallCaps/>
          <w:color w:val="000000" w:themeColor="text1"/>
          <w:sz w:val="22"/>
          <w:szCs w:val="22"/>
        </w:rPr>
      </w:pPr>
      <w:r w:rsidRPr="00A15F72">
        <w:rPr>
          <w:b/>
          <w:bCs/>
          <w:iCs/>
          <w:smallCaps/>
          <w:color w:val="000000" w:themeColor="text1"/>
          <w:sz w:val="22"/>
          <w:szCs w:val="22"/>
        </w:rPr>
        <w:t xml:space="preserve">Principales delitos registrados en los expedientes abiertos por los órganos o unidades administrativas encargadas de los mecanismos alternativos de solución de controversias </w:t>
      </w:r>
    </w:p>
    <w:p w14:paraId="2F75914A" w14:textId="24C164A0" w:rsidR="0063743F" w:rsidRDefault="0063743F" w:rsidP="00920907">
      <w:pPr>
        <w:pStyle w:val="Default"/>
        <w:ind w:right="21"/>
        <w:jc w:val="center"/>
        <w:rPr>
          <w:b/>
          <w:bCs/>
          <w:iCs/>
          <w:smallCaps/>
          <w:color w:val="000000" w:themeColor="text1"/>
          <w:sz w:val="22"/>
          <w:szCs w:val="22"/>
        </w:rPr>
      </w:pPr>
      <w:r w:rsidRPr="00A15F72">
        <w:rPr>
          <w:b/>
          <w:bCs/>
          <w:iCs/>
          <w:smallCaps/>
          <w:color w:val="000000" w:themeColor="text1"/>
          <w:sz w:val="22"/>
          <w:szCs w:val="22"/>
        </w:rPr>
        <w:t>de las FGE</w:t>
      </w:r>
    </w:p>
    <w:p w14:paraId="266F8AC1" w14:textId="3A3B3FA0" w:rsidR="003454AA" w:rsidRDefault="003454AA" w:rsidP="00DF50A3">
      <w:pPr>
        <w:spacing w:after="0" w:line="240" w:lineRule="auto"/>
        <w:jc w:val="both"/>
        <w:rPr>
          <w:rFonts w:ascii="Arial Negrita" w:hAnsi="Arial Negrita" w:cs="Arial"/>
          <w:b/>
          <w:bCs/>
          <w:smallCaps/>
          <w:sz w:val="24"/>
          <w:szCs w:val="24"/>
        </w:rPr>
      </w:pPr>
    </w:p>
    <w:p w14:paraId="0E04A7AF" w14:textId="63A18DC8" w:rsidR="0063743F" w:rsidRDefault="0063743F" w:rsidP="00DF50A3">
      <w:pPr>
        <w:spacing w:after="0" w:line="240" w:lineRule="auto"/>
        <w:jc w:val="both"/>
        <w:rPr>
          <w:rFonts w:ascii="Arial Negrita" w:hAnsi="Arial Negrita" w:cs="Arial"/>
          <w:b/>
          <w:bCs/>
          <w:smallCaps/>
          <w:sz w:val="24"/>
          <w:szCs w:val="24"/>
        </w:rPr>
      </w:pPr>
      <w:r>
        <w:rPr>
          <w:noProof/>
        </w:rPr>
        <w:drawing>
          <wp:inline distT="0" distB="0" distL="0" distR="0" wp14:anchorId="47C92E1D" wp14:editId="1ED3C853">
            <wp:extent cx="6404610" cy="2467474"/>
            <wp:effectExtent l="0" t="0" r="0" b="0"/>
            <wp:docPr id="43" name="Gráfico 43">
              <a:extLst xmlns:a="http://schemas.openxmlformats.org/drawingml/2006/main">
                <a:ext uri="{FF2B5EF4-FFF2-40B4-BE49-F238E27FC236}">
                  <a16:creationId xmlns:a16="http://schemas.microsoft.com/office/drawing/2014/main" id="{498D7493-5A13-410A-B8BA-F72DCA701C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34241E3" w14:textId="77777777" w:rsidR="00EE1005" w:rsidRDefault="009762C8" w:rsidP="00920907">
      <w:pPr>
        <w:spacing w:after="0" w:line="240" w:lineRule="auto"/>
        <w:ind w:right="21"/>
        <w:jc w:val="both"/>
        <w:rPr>
          <w:rFonts w:ascii="Arial" w:eastAsia="Times New Roman" w:hAnsi="Arial" w:cs="Arial"/>
          <w:sz w:val="24"/>
          <w:szCs w:val="24"/>
        </w:rPr>
      </w:pPr>
      <w:r>
        <w:rPr>
          <w:rFonts w:ascii="Arial" w:eastAsia="Times New Roman" w:hAnsi="Arial" w:cs="Arial"/>
          <w:sz w:val="24"/>
          <w:szCs w:val="24"/>
        </w:rPr>
        <w:lastRenderedPageBreak/>
        <w:t xml:space="preserve">Para </w:t>
      </w:r>
      <w:r w:rsidRPr="00AB1FA2">
        <w:rPr>
          <w:rFonts w:ascii="Arial" w:eastAsia="Times New Roman" w:hAnsi="Arial" w:cs="Arial"/>
          <w:sz w:val="24"/>
          <w:szCs w:val="24"/>
        </w:rPr>
        <w:t>obtener más información sobre los resultados publicados en este reporte</w:t>
      </w:r>
      <w:r>
        <w:rPr>
          <w:rFonts w:ascii="Arial" w:eastAsia="Times New Roman" w:hAnsi="Arial" w:cs="Arial"/>
          <w:sz w:val="24"/>
          <w:szCs w:val="24"/>
        </w:rPr>
        <w:t xml:space="preserve">, consulte </w:t>
      </w:r>
      <w:r w:rsidRPr="00AB1FA2">
        <w:rPr>
          <w:rFonts w:ascii="Arial" w:eastAsia="Times New Roman" w:hAnsi="Arial" w:cs="Arial"/>
          <w:sz w:val="24"/>
          <w:szCs w:val="24"/>
        </w:rPr>
        <w:t>la página de</w:t>
      </w:r>
      <w:r>
        <w:rPr>
          <w:rFonts w:ascii="Arial" w:eastAsia="Times New Roman" w:hAnsi="Arial" w:cs="Arial"/>
          <w:sz w:val="24"/>
          <w:szCs w:val="24"/>
        </w:rPr>
        <w:t xml:space="preserve">l </w:t>
      </w:r>
      <w:r w:rsidRPr="00AB1FA2">
        <w:rPr>
          <w:rFonts w:ascii="Arial" w:eastAsia="Times New Roman" w:hAnsi="Arial" w:cs="Arial"/>
          <w:sz w:val="24"/>
          <w:szCs w:val="24"/>
        </w:rPr>
        <w:t xml:space="preserve">Instituto: </w:t>
      </w:r>
      <w:hyperlink r:id="rId45" w:history="1">
        <w:r w:rsidR="008D589B" w:rsidRPr="00D055D2">
          <w:rPr>
            <w:rStyle w:val="Hipervnculo"/>
            <w:rFonts w:ascii="Arial" w:eastAsia="Times New Roman" w:hAnsi="Arial" w:cs="Arial"/>
            <w:sz w:val="24"/>
            <w:szCs w:val="24"/>
          </w:rPr>
          <w:t>https://www.inegi.org.mx/programas/cnpj/2022/</w:t>
        </w:r>
      </w:hyperlink>
      <w:r w:rsidRPr="005A3C10">
        <w:rPr>
          <w:rFonts w:ascii="Arial" w:eastAsia="Times New Roman" w:hAnsi="Arial" w:cs="Arial"/>
          <w:sz w:val="24"/>
          <w:szCs w:val="24"/>
        </w:rPr>
        <w:t xml:space="preserve"> </w:t>
      </w:r>
      <w:r w:rsidR="00987966">
        <w:rPr>
          <w:rFonts w:ascii="Arial" w:eastAsia="Times New Roman" w:hAnsi="Arial" w:cs="Arial"/>
          <w:sz w:val="24"/>
          <w:szCs w:val="24"/>
        </w:rPr>
        <w:t xml:space="preserve">y </w:t>
      </w:r>
    </w:p>
    <w:p w14:paraId="50389C28" w14:textId="6116F065" w:rsidR="009762C8" w:rsidRDefault="00AA0523" w:rsidP="00920907">
      <w:pPr>
        <w:spacing w:after="0" w:line="240" w:lineRule="auto"/>
        <w:ind w:right="21"/>
        <w:jc w:val="both"/>
        <w:rPr>
          <w:rFonts w:ascii="Arial" w:eastAsia="Times New Roman" w:hAnsi="Arial" w:cs="Arial"/>
          <w:sz w:val="24"/>
          <w:szCs w:val="24"/>
        </w:rPr>
      </w:pPr>
      <w:hyperlink r:id="rId46" w:history="1">
        <w:r w:rsidR="00EE1005" w:rsidRPr="00C20A9C">
          <w:rPr>
            <w:rStyle w:val="Hipervnculo"/>
            <w:rFonts w:ascii="Arial" w:eastAsia="Times New Roman" w:hAnsi="Arial" w:cs="Arial"/>
            <w:sz w:val="24"/>
            <w:szCs w:val="24"/>
          </w:rPr>
          <w:t>https://www.inegi.org.mx/programas/cnpje/2022/</w:t>
        </w:r>
      </w:hyperlink>
    </w:p>
    <w:p w14:paraId="26CB85F2" w14:textId="77777777" w:rsidR="009762C8" w:rsidRDefault="009762C8" w:rsidP="009762C8">
      <w:pPr>
        <w:spacing w:after="0" w:line="240" w:lineRule="auto"/>
        <w:jc w:val="both"/>
        <w:rPr>
          <w:rFonts w:ascii="Arial" w:hAnsi="Arial" w:cs="Arial"/>
          <w:color w:val="FF0000"/>
          <w:spacing w:val="-2"/>
          <w:sz w:val="24"/>
          <w:szCs w:val="24"/>
        </w:rPr>
      </w:pPr>
    </w:p>
    <w:p w14:paraId="68DE5F77" w14:textId="77777777" w:rsidR="009762C8" w:rsidRDefault="009762C8" w:rsidP="009762C8">
      <w:pPr>
        <w:pStyle w:val="NormalWeb"/>
        <w:spacing w:before="0" w:beforeAutospacing="0" w:after="0" w:afterAutospacing="0"/>
        <w:contextualSpacing/>
        <w:jc w:val="center"/>
        <w:rPr>
          <w:rFonts w:ascii="Arial" w:hAnsi="Arial" w:cs="Arial"/>
          <w:sz w:val="22"/>
          <w:szCs w:val="22"/>
        </w:rPr>
      </w:pPr>
    </w:p>
    <w:p w14:paraId="36014E2B" w14:textId="6E21C66A" w:rsidR="009762C8" w:rsidRDefault="009762C8" w:rsidP="009762C8">
      <w:pPr>
        <w:pStyle w:val="NormalWeb"/>
        <w:spacing w:before="0" w:beforeAutospacing="0" w:after="0" w:afterAutospacing="0"/>
        <w:contextualSpacing/>
        <w:jc w:val="center"/>
        <w:rPr>
          <w:rFonts w:ascii="Arial" w:hAnsi="Arial" w:cs="Arial"/>
          <w:sz w:val="22"/>
          <w:szCs w:val="22"/>
        </w:rPr>
      </w:pPr>
    </w:p>
    <w:p w14:paraId="20C5B4FD" w14:textId="5BBD17B7" w:rsidR="00EE1005" w:rsidRDefault="00EE1005" w:rsidP="009762C8">
      <w:pPr>
        <w:pStyle w:val="NormalWeb"/>
        <w:spacing w:before="0" w:beforeAutospacing="0" w:after="0" w:afterAutospacing="0"/>
        <w:contextualSpacing/>
        <w:jc w:val="center"/>
        <w:rPr>
          <w:rFonts w:ascii="Arial" w:hAnsi="Arial" w:cs="Arial"/>
          <w:sz w:val="22"/>
          <w:szCs w:val="22"/>
        </w:rPr>
      </w:pPr>
    </w:p>
    <w:p w14:paraId="00439E1A" w14:textId="3D14FE06" w:rsidR="00EE1005" w:rsidRDefault="00EE1005" w:rsidP="009762C8">
      <w:pPr>
        <w:pStyle w:val="NormalWeb"/>
        <w:spacing w:before="0" w:beforeAutospacing="0" w:after="0" w:afterAutospacing="0"/>
        <w:contextualSpacing/>
        <w:jc w:val="center"/>
        <w:rPr>
          <w:rFonts w:ascii="Arial" w:hAnsi="Arial" w:cs="Arial"/>
          <w:sz w:val="22"/>
          <w:szCs w:val="22"/>
        </w:rPr>
      </w:pPr>
    </w:p>
    <w:p w14:paraId="6961F6F5" w14:textId="6E4C07DE" w:rsidR="00EE1005" w:rsidRDefault="00EE1005" w:rsidP="009762C8">
      <w:pPr>
        <w:pStyle w:val="NormalWeb"/>
        <w:spacing w:before="0" w:beforeAutospacing="0" w:after="0" w:afterAutospacing="0"/>
        <w:contextualSpacing/>
        <w:jc w:val="center"/>
        <w:rPr>
          <w:rFonts w:ascii="Arial" w:hAnsi="Arial" w:cs="Arial"/>
          <w:sz w:val="22"/>
          <w:szCs w:val="22"/>
        </w:rPr>
      </w:pPr>
    </w:p>
    <w:p w14:paraId="75D6BAF1" w14:textId="49CEB3F3" w:rsidR="00EE1005" w:rsidRDefault="00EE1005" w:rsidP="009762C8">
      <w:pPr>
        <w:pStyle w:val="NormalWeb"/>
        <w:spacing w:before="0" w:beforeAutospacing="0" w:after="0" w:afterAutospacing="0"/>
        <w:contextualSpacing/>
        <w:jc w:val="center"/>
        <w:rPr>
          <w:rFonts w:ascii="Arial" w:hAnsi="Arial" w:cs="Arial"/>
          <w:sz w:val="22"/>
          <w:szCs w:val="22"/>
        </w:rPr>
      </w:pPr>
    </w:p>
    <w:p w14:paraId="19DA499F" w14:textId="66471228" w:rsidR="00EE1005" w:rsidRDefault="00EE1005" w:rsidP="009762C8">
      <w:pPr>
        <w:pStyle w:val="NormalWeb"/>
        <w:spacing w:before="0" w:beforeAutospacing="0" w:after="0" w:afterAutospacing="0"/>
        <w:contextualSpacing/>
        <w:jc w:val="center"/>
        <w:rPr>
          <w:rFonts w:ascii="Arial" w:hAnsi="Arial" w:cs="Arial"/>
          <w:sz w:val="22"/>
          <w:szCs w:val="22"/>
        </w:rPr>
      </w:pPr>
    </w:p>
    <w:p w14:paraId="4F90679D" w14:textId="71E3DF21" w:rsidR="00EE1005" w:rsidRDefault="00EE1005" w:rsidP="009762C8">
      <w:pPr>
        <w:pStyle w:val="NormalWeb"/>
        <w:spacing w:before="0" w:beforeAutospacing="0" w:after="0" w:afterAutospacing="0"/>
        <w:contextualSpacing/>
        <w:jc w:val="center"/>
        <w:rPr>
          <w:rFonts w:ascii="Arial" w:hAnsi="Arial" w:cs="Arial"/>
          <w:sz w:val="22"/>
          <w:szCs w:val="22"/>
        </w:rPr>
      </w:pPr>
    </w:p>
    <w:p w14:paraId="4DF3E0CF" w14:textId="20044DBA" w:rsidR="00EE1005" w:rsidRDefault="00EE1005" w:rsidP="009762C8">
      <w:pPr>
        <w:pStyle w:val="NormalWeb"/>
        <w:spacing w:before="0" w:beforeAutospacing="0" w:after="0" w:afterAutospacing="0"/>
        <w:contextualSpacing/>
        <w:jc w:val="center"/>
        <w:rPr>
          <w:rFonts w:ascii="Arial" w:hAnsi="Arial" w:cs="Arial"/>
          <w:sz w:val="22"/>
          <w:szCs w:val="22"/>
        </w:rPr>
      </w:pPr>
    </w:p>
    <w:p w14:paraId="60269AF5" w14:textId="4413804C" w:rsidR="00EE1005" w:rsidRDefault="00EE1005" w:rsidP="009762C8">
      <w:pPr>
        <w:pStyle w:val="NormalWeb"/>
        <w:spacing w:before="0" w:beforeAutospacing="0" w:after="0" w:afterAutospacing="0"/>
        <w:contextualSpacing/>
        <w:jc w:val="center"/>
        <w:rPr>
          <w:rFonts w:ascii="Arial" w:hAnsi="Arial" w:cs="Arial"/>
          <w:sz w:val="22"/>
          <w:szCs w:val="22"/>
        </w:rPr>
      </w:pPr>
    </w:p>
    <w:p w14:paraId="3B2DAE8A" w14:textId="628DB02F" w:rsidR="00EE1005" w:rsidRDefault="00EE1005" w:rsidP="009762C8">
      <w:pPr>
        <w:pStyle w:val="NormalWeb"/>
        <w:spacing w:before="0" w:beforeAutospacing="0" w:after="0" w:afterAutospacing="0"/>
        <w:contextualSpacing/>
        <w:jc w:val="center"/>
        <w:rPr>
          <w:rFonts w:ascii="Arial" w:hAnsi="Arial" w:cs="Arial"/>
          <w:sz w:val="22"/>
          <w:szCs w:val="22"/>
        </w:rPr>
      </w:pPr>
    </w:p>
    <w:p w14:paraId="70ACE2EC" w14:textId="338A6E7F" w:rsidR="00EE1005" w:rsidRDefault="00EE1005" w:rsidP="009762C8">
      <w:pPr>
        <w:pStyle w:val="NormalWeb"/>
        <w:spacing w:before="0" w:beforeAutospacing="0" w:after="0" w:afterAutospacing="0"/>
        <w:contextualSpacing/>
        <w:jc w:val="center"/>
        <w:rPr>
          <w:rFonts w:ascii="Arial" w:hAnsi="Arial" w:cs="Arial"/>
          <w:sz w:val="22"/>
          <w:szCs w:val="22"/>
        </w:rPr>
      </w:pPr>
    </w:p>
    <w:p w14:paraId="60BDD43A" w14:textId="6D83A9F5" w:rsidR="00EE1005" w:rsidRDefault="00EE1005" w:rsidP="009762C8">
      <w:pPr>
        <w:pStyle w:val="NormalWeb"/>
        <w:spacing w:before="0" w:beforeAutospacing="0" w:after="0" w:afterAutospacing="0"/>
        <w:contextualSpacing/>
        <w:jc w:val="center"/>
        <w:rPr>
          <w:rFonts w:ascii="Arial" w:hAnsi="Arial" w:cs="Arial"/>
          <w:sz w:val="22"/>
          <w:szCs w:val="22"/>
        </w:rPr>
      </w:pPr>
    </w:p>
    <w:p w14:paraId="6F1C03A1" w14:textId="20C4196C" w:rsidR="00EE1005" w:rsidRDefault="00EE1005" w:rsidP="009762C8">
      <w:pPr>
        <w:pStyle w:val="NormalWeb"/>
        <w:spacing w:before="0" w:beforeAutospacing="0" w:after="0" w:afterAutospacing="0"/>
        <w:contextualSpacing/>
        <w:jc w:val="center"/>
        <w:rPr>
          <w:rFonts w:ascii="Arial" w:hAnsi="Arial" w:cs="Arial"/>
          <w:sz w:val="22"/>
          <w:szCs w:val="22"/>
        </w:rPr>
      </w:pPr>
    </w:p>
    <w:p w14:paraId="1E10074C" w14:textId="67F4B7E3" w:rsidR="00EE1005" w:rsidRDefault="00EE1005" w:rsidP="009762C8">
      <w:pPr>
        <w:pStyle w:val="NormalWeb"/>
        <w:spacing w:before="0" w:beforeAutospacing="0" w:after="0" w:afterAutospacing="0"/>
        <w:contextualSpacing/>
        <w:jc w:val="center"/>
        <w:rPr>
          <w:rFonts w:ascii="Arial" w:hAnsi="Arial" w:cs="Arial"/>
          <w:sz w:val="22"/>
          <w:szCs w:val="22"/>
        </w:rPr>
      </w:pPr>
    </w:p>
    <w:p w14:paraId="323F7208" w14:textId="47066C55" w:rsidR="00EE1005" w:rsidRDefault="00EE1005" w:rsidP="009762C8">
      <w:pPr>
        <w:pStyle w:val="NormalWeb"/>
        <w:spacing w:before="0" w:beforeAutospacing="0" w:after="0" w:afterAutospacing="0"/>
        <w:contextualSpacing/>
        <w:jc w:val="center"/>
        <w:rPr>
          <w:rFonts w:ascii="Arial" w:hAnsi="Arial" w:cs="Arial"/>
          <w:sz w:val="22"/>
          <w:szCs w:val="22"/>
        </w:rPr>
      </w:pPr>
    </w:p>
    <w:p w14:paraId="5C76C109" w14:textId="52D84D09" w:rsidR="00EE1005" w:rsidRDefault="00EE1005" w:rsidP="009762C8">
      <w:pPr>
        <w:pStyle w:val="NormalWeb"/>
        <w:spacing w:before="0" w:beforeAutospacing="0" w:after="0" w:afterAutospacing="0"/>
        <w:contextualSpacing/>
        <w:jc w:val="center"/>
        <w:rPr>
          <w:rFonts w:ascii="Arial" w:hAnsi="Arial" w:cs="Arial"/>
          <w:sz w:val="22"/>
          <w:szCs w:val="22"/>
        </w:rPr>
      </w:pPr>
    </w:p>
    <w:p w14:paraId="4F103925" w14:textId="3C6D2957" w:rsidR="00EE1005" w:rsidRDefault="00EE1005" w:rsidP="009762C8">
      <w:pPr>
        <w:pStyle w:val="NormalWeb"/>
        <w:spacing w:before="0" w:beforeAutospacing="0" w:after="0" w:afterAutospacing="0"/>
        <w:contextualSpacing/>
        <w:jc w:val="center"/>
        <w:rPr>
          <w:rFonts w:ascii="Arial" w:hAnsi="Arial" w:cs="Arial"/>
          <w:sz w:val="22"/>
          <w:szCs w:val="22"/>
        </w:rPr>
      </w:pPr>
    </w:p>
    <w:p w14:paraId="42D7D3D5" w14:textId="6CE67B6D" w:rsidR="00EE1005" w:rsidRDefault="00EE1005" w:rsidP="009762C8">
      <w:pPr>
        <w:pStyle w:val="NormalWeb"/>
        <w:spacing w:before="0" w:beforeAutospacing="0" w:after="0" w:afterAutospacing="0"/>
        <w:contextualSpacing/>
        <w:jc w:val="center"/>
        <w:rPr>
          <w:rFonts w:ascii="Arial" w:hAnsi="Arial" w:cs="Arial"/>
          <w:sz w:val="22"/>
          <w:szCs w:val="22"/>
        </w:rPr>
      </w:pPr>
    </w:p>
    <w:p w14:paraId="6119F7C3" w14:textId="3C42D4B9" w:rsidR="00EE1005" w:rsidRDefault="00EE1005" w:rsidP="009762C8">
      <w:pPr>
        <w:pStyle w:val="NormalWeb"/>
        <w:spacing w:before="0" w:beforeAutospacing="0" w:after="0" w:afterAutospacing="0"/>
        <w:contextualSpacing/>
        <w:jc w:val="center"/>
        <w:rPr>
          <w:rFonts w:ascii="Arial" w:hAnsi="Arial" w:cs="Arial"/>
          <w:sz w:val="22"/>
          <w:szCs w:val="22"/>
        </w:rPr>
      </w:pPr>
    </w:p>
    <w:p w14:paraId="6AE791B9" w14:textId="77777777" w:rsidR="00EE1005" w:rsidRDefault="00EE1005" w:rsidP="009762C8">
      <w:pPr>
        <w:pStyle w:val="NormalWeb"/>
        <w:spacing w:before="0" w:beforeAutospacing="0" w:after="0" w:afterAutospacing="0"/>
        <w:contextualSpacing/>
        <w:jc w:val="center"/>
        <w:rPr>
          <w:rFonts w:ascii="Arial" w:hAnsi="Arial" w:cs="Arial"/>
          <w:sz w:val="22"/>
          <w:szCs w:val="22"/>
        </w:rPr>
      </w:pPr>
    </w:p>
    <w:p w14:paraId="565123ED" w14:textId="77777777" w:rsidR="009762C8" w:rsidRPr="00DF0D6A" w:rsidRDefault="009762C8" w:rsidP="009762C8">
      <w:pPr>
        <w:pStyle w:val="NormalWeb"/>
        <w:spacing w:before="0" w:beforeAutospacing="0" w:after="0" w:afterAutospacing="0"/>
        <w:contextualSpacing/>
        <w:jc w:val="center"/>
        <w:rPr>
          <w:rFonts w:ascii="Arial" w:hAnsi="Arial" w:cs="Arial"/>
        </w:rPr>
      </w:pPr>
    </w:p>
    <w:p w14:paraId="01DC298C" w14:textId="77777777" w:rsidR="009762C8" w:rsidRPr="00DF0D6A" w:rsidRDefault="009762C8" w:rsidP="009762C8">
      <w:pPr>
        <w:pStyle w:val="NormalWeb"/>
        <w:spacing w:before="0" w:beforeAutospacing="0" w:after="0" w:afterAutospacing="0"/>
        <w:contextualSpacing/>
        <w:jc w:val="center"/>
        <w:rPr>
          <w:rFonts w:ascii="Arial" w:hAnsi="Arial" w:cs="Arial"/>
        </w:rPr>
      </w:pPr>
    </w:p>
    <w:p w14:paraId="7632894B" w14:textId="77777777" w:rsidR="009762C8" w:rsidRPr="00DF0D6A" w:rsidRDefault="009762C8" w:rsidP="009762C8">
      <w:pPr>
        <w:pStyle w:val="NormalWeb"/>
        <w:spacing w:before="0" w:beforeAutospacing="0" w:after="0" w:afterAutospacing="0"/>
        <w:contextualSpacing/>
        <w:jc w:val="center"/>
        <w:rPr>
          <w:rFonts w:ascii="Arial" w:hAnsi="Arial" w:cs="Arial"/>
        </w:rPr>
      </w:pPr>
      <w:r w:rsidRPr="00DF0D6A">
        <w:rPr>
          <w:rFonts w:ascii="Arial" w:hAnsi="Arial" w:cs="Arial"/>
        </w:rPr>
        <w:t xml:space="preserve">Para consultas de medios y periodistas, escribir a: </w:t>
      </w:r>
      <w:hyperlink r:id="rId47" w:history="1">
        <w:r w:rsidRPr="00DF0D6A">
          <w:rPr>
            <w:rStyle w:val="Hipervnculo"/>
            <w:rFonts w:ascii="Arial" w:hAnsi="Arial" w:cs="Arial"/>
          </w:rPr>
          <w:t>comunicacionsocial@inegi.org.mx</w:t>
        </w:r>
      </w:hyperlink>
      <w:r w:rsidRPr="00DF0D6A">
        <w:rPr>
          <w:rFonts w:ascii="Arial" w:hAnsi="Arial" w:cs="Arial"/>
        </w:rPr>
        <w:t xml:space="preserve"> </w:t>
      </w:r>
    </w:p>
    <w:p w14:paraId="0BC9ED40" w14:textId="77777777" w:rsidR="009762C8" w:rsidRPr="00DF0D6A" w:rsidRDefault="009762C8" w:rsidP="009762C8">
      <w:pPr>
        <w:pStyle w:val="NormalWeb"/>
        <w:spacing w:before="0" w:beforeAutospacing="0" w:after="0" w:afterAutospacing="0"/>
        <w:contextualSpacing/>
        <w:jc w:val="center"/>
        <w:rPr>
          <w:rFonts w:ascii="Arial" w:hAnsi="Arial" w:cs="Arial"/>
        </w:rPr>
      </w:pPr>
      <w:r w:rsidRPr="00DF0D6A">
        <w:rPr>
          <w:rFonts w:ascii="Arial" w:hAnsi="Arial" w:cs="Arial"/>
        </w:rPr>
        <w:t>o llamar al teléfono (55) 52-78-10-00, exts. 1134, 1260 y 1241.</w:t>
      </w:r>
    </w:p>
    <w:p w14:paraId="5C9F6320" w14:textId="77777777" w:rsidR="009762C8" w:rsidRPr="00DF0D6A" w:rsidRDefault="009762C8" w:rsidP="009762C8">
      <w:pPr>
        <w:pStyle w:val="NormalWeb"/>
        <w:spacing w:before="0" w:beforeAutospacing="0" w:after="0" w:afterAutospacing="0"/>
        <w:contextualSpacing/>
        <w:jc w:val="center"/>
        <w:rPr>
          <w:rFonts w:ascii="Arial" w:hAnsi="Arial" w:cs="Arial"/>
        </w:rPr>
      </w:pPr>
    </w:p>
    <w:p w14:paraId="69AAA946" w14:textId="77777777" w:rsidR="009762C8" w:rsidRPr="00DF0D6A" w:rsidRDefault="009762C8" w:rsidP="009762C8">
      <w:pPr>
        <w:contextualSpacing/>
        <w:jc w:val="center"/>
        <w:rPr>
          <w:rFonts w:ascii="Arial" w:hAnsi="Arial" w:cs="Arial"/>
          <w:sz w:val="24"/>
          <w:szCs w:val="24"/>
        </w:rPr>
      </w:pPr>
      <w:r w:rsidRPr="00DF0D6A">
        <w:rPr>
          <w:rFonts w:ascii="Arial" w:hAnsi="Arial" w:cs="Arial"/>
          <w:sz w:val="24"/>
          <w:szCs w:val="24"/>
        </w:rPr>
        <w:t>Dirección de Atención a Medios/ Dirección General Adjunta de Comunicación</w:t>
      </w:r>
    </w:p>
    <w:p w14:paraId="532CDCC9" w14:textId="77777777" w:rsidR="009762C8" w:rsidRPr="00270E17" w:rsidRDefault="009762C8" w:rsidP="009762C8">
      <w:pPr>
        <w:contextualSpacing/>
        <w:jc w:val="center"/>
        <w:rPr>
          <w:rFonts w:ascii="Arial" w:hAnsi="Arial" w:cs="Arial"/>
        </w:rPr>
      </w:pPr>
    </w:p>
    <w:p w14:paraId="7B1EFC9C" w14:textId="77777777" w:rsidR="009762C8" w:rsidRPr="00270E17" w:rsidRDefault="009762C8" w:rsidP="009762C8">
      <w:pPr>
        <w:contextualSpacing/>
        <w:jc w:val="center"/>
        <w:rPr>
          <w:rFonts w:ascii="Arial" w:hAnsi="Arial" w:cs="Arial"/>
          <w:sz w:val="16"/>
          <w:szCs w:val="24"/>
        </w:rPr>
      </w:pPr>
    </w:p>
    <w:p w14:paraId="6ECDD498" w14:textId="77777777" w:rsidR="009762C8" w:rsidRPr="00270E17" w:rsidRDefault="009762C8" w:rsidP="009762C8">
      <w:pPr>
        <w:ind w:left="-425" w:right="-516"/>
        <w:contextualSpacing/>
        <w:jc w:val="center"/>
        <w:rPr>
          <w:noProof/>
          <w:lang w:eastAsia="es-MX"/>
        </w:rPr>
        <w:sectPr w:rsidR="009762C8" w:rsidRPr="00270E17" w:rsidSect="0005255F">
          <w:headerReference w:type="default" r:id="rId48"/>
          <w:footerReference w:type="default" r:id="rId49"/>
          <w:type w:val="continuous"/>
          <w:pgSz w:w="12240" w:h="15840"/>
          <w:pgMar w:top="1702" w:right="1020" w:bottom="993" w:left="1134" w:header="426" w:footer="413" w:gutter="0"/>
          <w:pgNumType w:start="1"/>
          <w:cols w:space="720"/>
        </w:sectPr>
      </w:pPr>
      <w:r w:rsidRPr="00270E17">
        <w:rPr>
          <w:noProof/>
          <w:lang w:eastAsia="es-MX"/>
        </w:rPr>
        <w:drawing>
          <wp:inline distT="0" distB="0" distL="0" distR="0" wp14:anchorId="6769C41E" wp14:editId="5F95A40A">
            <wp:extent cx="266700" cy="278296"/>
            <wp:effectExtent l="0" t="0" r="0" b="7620"/>
            <wp:docPr id="83" name="Imagen 83" descr="C:\Users\saladeprensa\Desktop\NVOS LOGOS\F.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68314" cy="279980"/>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0AC2F81D" wp14:editId="74B53A43">
            <wp:extent cx="285750" cy="285750"/>
            <wp:effectExtent l="0" t="0" r="0" b="0"/>
            <wp:docPr id="10" name="Imagen 10" descr="C:\Users\saladeprensa\Desktop\NVOS LOGOS\I.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6789125A" wp14:editId="1091E3D6">
            <wp:extent cx="276225" cy="276225"/>
            <wp:effectExtent l="0" t="0" r="9525" b="9525"/>
            <wp:docPr id="84" name="Imagen 84" descr="C:\Users\saladeprensa\Desktop\NVOS LOGOS\T.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47DE33C0" wp14:editId="327430A1">
            <wp:extent cx="285750" cy="285750"/>
            <wp:effectExtent l="0" t="0" r="0" b="0"/>
            <wp:docPr id="85" name="Imagen 85" descr="C:\Users\saladeprensa\Desktop\NVOS LOGOS\Y.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sz w:val="14"/>
          <w:szCs w:val="18"/>
          <w:lang w:eastAsia="es-MX"/>
        </w:rPr>
        <w:drawing>
          <wp:inline distT="0" distB="0" distL="0" distR="0" wp14:anchorId="2E7A6F33" wp14:editId="2A08C1C8">
            <wp:extent cx="2291293" cy="274955"/>
            <wp:effectExtent l="0" t="0" r="0" b="0"/>
            <wp:docPr id="86" name="Imagen 86">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08128" cy="276975"/>
                    </a:xfrm>
                    <a:prstGeom prst="rect">
                      <a:avLst/>
                    </a:prstGeom>
                    <a:noFill/>
                    <a:ln>
                      <a:noFill/>
                    </a:ln>
                  </pic:spPr>
                </pic:pic>
              </a:graphicData>
            </a:graphic>
          </wp:inline>
        </w:drawing>
      </w:r>
    </w:p>
    <w:p w14:paraId="6961C905" w14:textId="77777777" w:rsidR="009762C8" w:rsidRDefault="009762C8" w:rsidP="009762C8">
      <w:pPr>
        <w:spacing w:after="0" w:line="240" w:lineRule="auto"/>
        <w:ind w:left="-567"/>
        <w:jc w:val="both"/>
        <w:rPr>
          <w:rFonts w:ascii="Arial" w:hAnsi="Arial" w:cs="Arial"/>
          <w:color w:val="FF0000"/>
          <w:spacing w:val="-2"/>
          <w:sz w:val="24"/>
          <w:szCs w:val="24"/>
        </w:rPr>
      </w:pPr>
    </w:p>
    <w:p w14:paraId="3954F2D3" w14:textId="0238C9CC" w:rsidR="00B72C18" w:rsidRDefault="00B72C18" w:rsidP="00C77B2B">
      <w:pPr>
        <w:pStyle w:val="Default"/>
        <w:ind w:right="163"/>
        <w:jc w:val="both"/>
        <w:rPr>
          <w:b/>
          <w:bCs/>
          <w:iCs/>
          <w:smallCaps/>
          <w:color w:val="000000" w:themeColor="text1"/>
          <w:sz w:val="22"/>
          <w:szCs w:val="22"/>
        </w:rPr>
      </w:pPr>
    </w:p>
    <w:p w14:paraId="57A24DCE" w14:textId="088FC89C" w:rsidR="003B0D8D" w:rsidRDefault="003B0D8D" w:rsidP="00C77B2B">
      <w:pPr>
        <w:pStyle w:val="Default"/>
        <w:ind w:right="163"/>
        <w:jc w:val="both"/>
        <w:rPr>
          <w:b/>
          <w:bCs/>
          <w:iCs/>
          <w:smallCaps/>
          <w:color w:val="000000" w:themeColor="text1"/>
          <w:sz w:val="22"/>
          <w:szCs w:val="22"/>
        </w:rPr>
      </w:pPr>
    </w:p>
    <w:p w14:paraId="0F0FBAF4" w14:textId="6983D18B" w:rsidR="003B0D8D" w:rsidRDefault="003B0D8D" w:rsidP="00C77B2B">
      <w:pPr>
        <w:pStyle w:val="Default"/>
        <w:ind w:right="163"/>
        <w:jc w:val="both"/>
        <w:rPr>
          <w:b/>
          <w:bCs/>
          <w:iCs/>
          <w:smallCaps/>
          <w:color w:val="000000" w:themeColor="text1"/>
          <w:sz w:val="22"/>
          <w:szCs w:val="22"/>
        </w:rPr>
      </w:pPr>
    </w:p>
    <w:p w14:paraId="010AB677" w14:textId="1306951A" w:rsidR="003B0D8D" w:rsidRDefault="003B0D8D" w:rsidP="00C77B2B">
      <w:pPr>
        <w:pStyle w:val="Default"/>
        <w:ind w:right="163"/>
        <w:jc w:val="both"/>
        <w:rPr>
          <w:b/>
          <w:bCs/>
          <w:iCs/>
          <w:smallCaps/>
          <w:color w:val="000000" w:themeColor="text1"/>
          <w:sz w:val="22"/>
          <w:szCs w:val="22"/>
        </w:rPr>
      </w:pPr>
    </w:p>
    <w:p w14:paraId="7E92BDD1" w14:textId="5E88E92E" w:rsidR="003B0D8D" w:rsidRDefault="003B0D8D" w:rsidP="00C77B2B">
      <w:pPr>
        <w:pStyle w:val="Default"/>
        <w:ind w:right="163"/>
        <w:jc w:val="both"/>
        <w:rPr>
          <w:b/>
          <w:bCs/>
          <w:iCs/>
          <w:smallCaps/>
          <w:color w:val="000000" w:themeColor="text1"/>
          <w:sz w:val="22"/>
          <w:szCs w:val="22"/>
        </w:rPr>
      </w:pPr>
    </w:p>
    <w:p w14:paraId="456681AC" w14:textId="088975E9" w:rsidR="003B0D8D" w:rsidRDefault="003B0D8D" w:rsidP="00C77B2B">
      <w:pPr>
        <w:pStyle w:val="Default"/>
        <w:ind w:right="163"/>
        <w:jc w:val="both"/>
        <w:rPr>
          <w:b/>
          <w:bCs/>
          <w:iCs/>
          <w:smallCaps/>
          <w:color w:val="000000" w:themeColor="text1"/>
          <w:sz w:val="22"/>
          <w:szCs w:val="22"/>
        </w:rPr>
      </w:pPr>
    </w:p>
    <w:p w14:paraId="1C7D17A1" w14:textId="060046DF" w:rsidR="003B0D8D" w:rsidRDefault="003B0D8D" w:rsidP="00C77B2B">
      <w:pPr>
        <w:pStyle w:val="Default"/>
        <w:ind w:right="163"/>
        <w:jc w:val="both"/>
        <w:rPr>
          <w:b/>
          <w:bCs/>
          <w:iCs/>
          <w:smallCaps/>
          <w:color w:val="000000" w:themeColor="text1"/>
          <w:sz w:val="22"/>
          <w:szCs w:val="22"/>
        </w:rPr>
      </w:pPr>
    </w:p>
    <w:p w14:paraId="53AB8225" w14:textId="75ACBAED" w:rsidR="003B0D8D" w:rsidRDefault="003B0D8D" w:rsidP="00C77B2B">
      <w:pPr>
        <w:pStyle w:val="Default"/>
        <w:ind w:right="163"/>
        <w:jc w:val="both"/>
        <w:rPr>
          <w:b/>
          <w:bCs/>
          <w:iCs/>
          <w:smallCaps/>
          <w:color w:val="000000" w:themeColor="text1"/>
          <w:sz w:val="22"/>
          <w:szCs w:val="22"/>
        </w:rPr>
      </w:pPr>
    </w:p>
    <w:p w14:paraId="7E8C0F1A" w14:textId="5E2C6622" w:rsidR="003B0D8D" w:rsidRDefault="003B0D8D" w:rsidP="00C77B2B">
      <w:pPr>
        <w:pStyle w:val="Default"/>
        <w:ind w:right="163"/>
        <w:jc w:val="both"/>
        <w:rPr>
          <w:b/>
          <w:bCs/>
          <w:iCs/>
          <w:smallCaps/>
          <w:color w:val="000000" w:themeColor="text1"/>
          <w:sz w:val="22"/>
          <w:szCs w:val="22"/>
        </w:rPr>
      </w:pPr>
    </w:p>
    <w:p w14:paraId="685712C5" w14:textId="6F780966" w:rsidR="003B0D8D" w:rsidRDefault="003B0D8D" w:rsidP="00C77B2B">
      <w:pPr>
        <w:pStyle w:val="Default"/>
        <w:ind w:right="163"/>
        <w:jc w:val="both"/>
        <w:rPr>
          <w:b/>
          <w:bCs/>
          <w:iCs/>
          <w:smallCaps/>
          <w:color w:val="000000" w:themeColor="text1"/>
          <w:sz w:val="22"/>
          <w:szCs w:val="22"/>
        </w:rPr>
      </w:pPr>
    </w:p>
    <w:p w14:paraId="6B0D753B" w14:textId="7E5736EA" w:rsidR="003B0D8D" w:rsidRDefault="003B0D8D" w:rsidP="00C77B2B">
      <w:pPr>
        <w:pStyle w:val="Default"/>
        <w:ind w:right="163"/>
        <w:jc w:val="both"/>
        <w:rPr>
          <w:b/>
          <w:bCs/>
          <w:iCs/>
          <w:smallCaps/>
          <w:color w:val="000000" w:themeColor="text1"/>
          <w:sz w:val="22"/>
          <w:szCs w:val="22"/>
        </w:rPr>
      </w:pPr>
    </w:p>
    <w:p w14:paraId="72E2B128" w14:textId="7DB33900" w:rsidR="003B0D8D" w:rsidRDefault="003B0D8D" w:rsidP="00C77B2B">
      <w:pPr>
        <w:pStyle w:val="Default"/>
        <w:ind w:right="163"/>
        <w:jc w:val="both"/>
        <w:rPr>
          <w:b/>
          <w:bCs/>
          <w:iCs/>
          <w:smallCaps/>
          <w:color w:val="000000" w:themeColor="text1"/>
          <w:sz w:val="22"/>
          <w:szCs w:val="22"/>
        </w:rPr>
      </w:pPr>
    </w:p>
    <w:p w14:paraId="5F9E9D60" w14:textId="630846C3" w:rsidR="003B0D8D" w:rsidRDefault="003B0D8D" w:rsidP="00C77B2B">
      <w:pPr>
        <w:pStyle w:val="Default"/>
        <w:ind w:right="163"/>
        <w:jc w:val="both"/>
        <w:rPr>
          <w:b/>
          <w:bCs/>
          <w:iCs/>
          <w:smallCaps/>
          <w:color w:val="000000" w:themeColor="text1"/>
          <w:sz w:val="22"/>
          <w:szCs w:val="22"/>
        </w:rPr>
      </w:pPr>
    </w:p>
    <w:p w14:paraId="4F8F8D57" w14:textId="512E2F07" w:rsidR="003B0D8D" w:rsidRDefault="003B0D8D" w:rsidP="00C77B2B">
      <w:pPr>
        <w:pStyle w:val="Default"/>
        <w:ind w:right="163"/>
        <w:jc w:val="both"/>
        <w:rPr>
          <w:b/>
          <w:bCs/>
          <w:iCs/>
          <w:smallCaps/>
          <w:color w:val="000000" w:themeColor="text1"/>
          <w:sz w:val="22"/>
          <w:szCs w:val="22"/>
        </w:rPr>
      </w:pPr>
    </w:p>
    <w:p w14:paraId="73CEF303" w14:textId="654DA144" w:rsidR="003B0D8D" w:rsidRDefault="003B0D8D" w:rsidP="00C77B2B">
      <w:pPr>
        <w:pStyle w:val="Default"/>
        <w:ind w:right="163"/>
        <w:jc w:val="both"/>
        <w:rPr>
          <w:b/>
          <w:bCs/>
          <w:iCs/>
          <w:smallCaps/>
          <w:color w:val="000000" w:themeColor="text1"/>
          <w:sz w:val="22"/>
          <w:szCs w:val="22"/>
        </w:rPr>
      </w:pPr>
    </w:p>
    <w:p w14:paraId="6E308C2F" w14:textId="577EE926" w:rsidR="003B0D8D" w:rsidRDefault="003B0D8D" w:rsidP="00C77B2B">
      <w:pPr>
        <w:pStyle w:val="Default"/>
        <w:ind w:right="163"/>
        <w:jc w:val="both"/>
        <w:rPr>
          <w:b/>
          <w:bCs/>
          <w:iCs/>
          <w:smallCaps/>
          <w:color w:val="000000" w:themeColor="text1"/>
          <w:sz w:val="22"/>
          <w:szCs w:val="22"/>
        </w:rPr>
      </w:pPr>
    </w:p>
    <w:p w14:paraId="3522A18D" w14:textId="77777777" w:rsidR="00EE2098" w:rsidRPr="001D0E9F" w:rsidRDefault="00EE2098" w:rsidP="00EE2098">
      <w:pPr>
        <w:pStyle w:val="Default"/>
        <w:ind w:left="-567"/>
        <w:jc w:val="center"/>
        <w:rPr>
          <w:b/>
          <w:bCs/>
          <w:color w:val="000000" w:themeColor="text1"/>
        </w:rPr>
      </w:pPr>
      <w:r w:rsidRPr="001D0E9F">
        <w:rPr>
          <w:b/>
          <w:bCs/>
          <w:color w:val="000000" w:themeColor="text1"/>
        </w:rPr>
        <w:t>ANEXO</w:t>
      </w:r>
    </w:p>
    <w:p w14:paraId="0C9C766B" w14:textId="77777777" w:rsidR="00EE2098" w:rsidRPr="001D0E9F" w:rsidRDefault="00EE2098" w:rsidP="00EE2098">
      <w:pPr>
        <w:pStyle w:val="Default"/>
        <w:ind w:left="-567"/>
        <w:jc w:val="center"/>
        <w:rPr>
          <w:b/>
          <w:bCs/>
          <w:color w:val="000000" w:themeColor="text1"/>
        </w:rPr>
      </w:pPr>
    </w:p>
    <w:p w14:paraId="69779254" w14:textId="77777777" w:rsidR="00EE2098" w:rsidRPr="001D0E9F" w:rsidRDefault="00EE2098" w:rsidP="00EE2098">
      <w:pPr>
        <w:pStyle w:val="Default"/>
        <w:ind w:left="-567"/>
        <w:jc w:val="center"/>
        <w:rPr>
          <w:b/>
          <w:bCs/>
          <w:color w:val="000000" w:themeColor="text1"/>
        </w:rPr>
      </w:pPr>
      <w:r w:rsidRPr="001D0E9F">
        <w:rPr>
          <w:b/>
          <w:bCs/>
          <w:color w:val="000000" w:themeColor="text1"/>
        </w:rPr>
        <w:t>NOTA TÉCNICA</w:t>
      </w:r>
    </w:p>
    <w:p w14:paraId="2A4E1D3A" w14:textId="61D6D7EB" w:rsidR="00CB0CAE" w:rsidRDefault="00CB0CAE" w:rsidP="00EE2098">
      <w:pPr>
        <w:pStyle w:val="Default"/>
        <w:ind w:right="163"/>
        <w:jc w:val="center"/>
        <w:rPr>
          <w:b/>
          <w:bCs/>
          <w:iCs/>
          <w:smallCaps/>
          <w:color w:val="000000" w:themeColor="text1"/>
          <w:sz w:val="22"/>
          <w:szCs w:val="22"/>
        </w:rPr>
      </w:pPr>
    </w:p>
    <w:p w14:paraId="6078E50A" w14:textId="7464E81A" w:rsidR="00823204" w:rsidRPr="00580CD3" w:rsidRDefault="00EE1005" w:rsidP="00920907">
      <w:pPr>
        <w:pStyle w:val="Prrafodelista"/>
        <w:autoSpaceDE w:val="0"/>
        <w:autoSpaceDN w:val="0"/>
        <w:adjustRightInd w:val="0"/>
        <w:spacing w:after="0" w:line="240" w:lineRule="auto"/>
        <w:ind w:left="0" w:right="21"/>
        <w:jc w:val="both"/>
        <w:rPr>
          <w:rFonts w:ascii="Arial" w:hAnsi="Arial" w:cs="Arial"/>
          <w:bCs/>
          <w:sz w:val="24"/>
          <w:szCs w:val="24"/>
          <w:highlight w:val="lightGray"/>
        </w:rPr>
      </w:pPr>
      <w:r>
        <w:rPr>
          <w:rFonts w:ascii="Arial" w:hAnsi="Arial" w:cs="Arial"/>
          <w:bCs/>
          <w:sz w:val="24"/>
          <w:szCs w:val="24"/>
        </w:rPr>
        <w:t xml:space="preserve">Los </w:t>
      </w:r>
      <w:r w:rsidR="00EE2098" w:rsidRPr="00823204">
        <w:rPr>
          <w:rFonts w:ascii="Arial" w:hAnsi="Arial" w:cs="Arial"/>
          <w:bCs/>
          <w:sz w:val="24"/>
          <w:szCs w:val="24"/>
        </w:rPr>
        <w:t>CNPJ</w:t>
      </w:r>
      <w:r w:rsidR="00DB05AF">
        <w:rPr>
          <w:rFonts w:ascii="Arial" w:hAnsi="Arial" w:cs="Arial"/>
          <w:bCs/>
          <w:sz w:val="24"/>
          <w:szCs w:val="24"/>
        </w:rPr>
        <w:t>E</w:t>
      </w:r>
      <w:r w:rsidR="00CF5A92">
        <w:rPr>
          <w:rFonts w:ascii="Arial" w:hAnsi="Arial" w:cs="Arial"/>
          <w:bCs/>
          <w:sz w:val="24"/>
          <w:szCs w:val="24"/>
        </w:rPr>
        <w:t>-</w:t>
      </w:r>
      <w:r w:rsidR="00DB05AF">
        <w:rPr>
          <w:rFonts w:ascii="Arial" w:hAnsi="Arial" w:cs="Arial"/>
          <w:bCs/>
          <w:sz w:val="24"/>
          <w:szCs w:val="24"/>
        </w:rPr>
        <w:t>F</w:t>
      </w:r>
      <w:r w:rsidR="00EE2098" w:rsidRPr="00823204">
        <w:rPr>
          <w:rFonts w:ascii="Arial" w:hAnsi="Arial" w:cs="Arial"/>
          <w:bCs/>
          <w:sz w:val="24"/>
          <w:szCs w:val="24"/>
        </w:rPr>
        <w:t xml:space="preserve"> 2022</w:t>
      </w:r>
      <w:r w:rsidR="00CB0CAE" w:rsidRPr="00823204">
        <w:rPr>
          <w:rFonts w:ascii="Arial" w:hAnsi="Arial" w:cs="Arial"/>
          <w:bCs/>
          <w:sz w:val="24"/>
          <w:szCs w:val="24"/>
        </w:rPr>
        <w:t xml:space="preserve"> se constituye</w:t>
      </w:r>
      <w:r>
        <w:rPr>
          <w:rFonts w:ascii="Arial" w:hAnsi="Arial" w:cs="Arial"/>
          <w:bCs/>
          <w:sz w:val="24"/>
          <w:szCs w:val="24"/>
        </w:rPr>
        <w:t>n</w:t>
      </w:r>
      <w:r w:rsidR="00CB0CAE" w:rsidRPr="00823204">
        <w:rPr>
          <w:rFonts w:ascii="Arial" w:hAnsi="Arial" w:cs="Arial"/>
          <w:bCs/>
          <w:sz w:val="24"/>
          <w:szCs w:val="24"/>
        </w:rPr>
        <w:t xml:space="preserve"> como </w:t>
      </w:r>
      <w:r w:rsidR="00DB05AF">
        <w:rPr>
          <w:rFonts w:ascii="Arial" w:hAnsi="Arial" w:cs="Arial"/>
          <w:bCs/>
          <w:sz w:val="24"/>
          <w:szCs w:val="24"/>
        </w:rPr>
        <w:t>dos</w:t>
      </w:r>
      <w:r w:rsidR="00DB05AF" w:rsidRPr="00823204">
        <w:rPr>
          <w:rFonts w:ascii="Arial" w:hAnsi="Arial" w:cs="Arial"/>
          <w:bCs/>
          <w:sz w:val="24"/>
          <w:szCs w:val="24"/>
        </w:rPr>
        <w:t xml:space="preserve"> </w:t>
      </w:r>
      <w:r w:rsidR="00CB0CAE" w:rsidRPr="00823204">
        <w:rPr>
          <w:rFonts w:ascii="Arial" w:hAnsi="Arial" w:cs="Arial"/>
          <w:bCs/>
          <w:sz w:val="24"/>
          <w:szCs w:val="24"/>
        </w:rPr>
        <w:t>programa</w:t>
      </w:r>
      <w:r w:rsidR="00DB05AF">
        <w:rPr>
          <w:rFonts w:ascii="Arial" w:hAnsi="Arial" w:cs="Arial"/>
          <w:bCs/>
          <w:sz w:val="24"/>
          <w:szCs w:val="24"/>
        </w:rPr>
        <w:t>s</w:t>
      </w:r>
      <w:r w:rsidR="00CB0CAE" w:rsidRPr="00823204">
        <w:rPr>
          <w:rFonts w:ascii="Arial" w:hAnsi="Arial" w:cs="Arial"/>
          <w:bCs/>
          <w:sz w:val="24"/>
          <w:szCs w:val="24"/>
        </w:rPr>
        <w:t xml:space="preserve"> estadístico</w:t>
      </w:r>
      <w:r w:rsidR="00DB05AF">
        <w:rPr>
          <w:rFonts w:ascii="Arial" w:hAnsi="Arial" w:cs="Arial"/>
          <w:bCs/>
          <w:sz w:val="24"/>
          <w:szCs w:val="24"/>
        </w:rPr>
        <w:t>s</w:t>
      </w:r>
      <w:r w:rsidR="00CB0CAE" w:rsidRPr="00823204">
        <w:rPr>
          <w:rFonts w:ascii="Arial" w:hAnsi="Arial" w:cs="Arial"/>
          <w:bCs/>
          <w:sz w:val="24"/>
          <w:szCs w:val="24"/>
        </w:rPr>
        <w:t xml:space="preserve"> que se realiza</w:t>
      </w:r>
      <w:r w:rsidR="00DB05AF">
        <w:rPr>
          <w:rFonts w:ascii="Arial" w:hAnsi="Arial" w:cs="Arial"/>
          <w:bCs/>
          <w:sz w:val="24"/>
          <w:szCs w:val="24"/>
        </w:rPr>
        <w:t>n</w:t>
      </w:r>
      <w:r w:rsidR="00CB0CAE" w:rsidRPr="00823204">
        <w:rPr>
          <w:rFonts w:ascii="Arial" w:hAnsi="Arial" w:cs="Arial"/>
          <w:bCs/>
          <w:sz w:val="24"/>
          <w:szCs w:val="24"/>
        </w:rPr>
        <w:t xml:space="preserve"> en </w:t>
      </w:r>
      <w:r w:rsidR="00DB05AF">
        <w:rPr>
          <w:rFonts w:ascii="Arial" w:hAnsi="Arial" w:cs="Arial"/>
          <w:bCs/>
          <w:sz w:val="24"/>
          <w:szCs w:val="24"/>
        </w:rPr>
        <w:t>los</w:t>
      </w:r>
      <w:r w:rsidR="00DB05AF" w:rsidRPr="00823204">
        <w:rPr>
          <w:rFonts w:ascii="Arial" w:hAnsi="Arial" w:cs="Arial"/>
          <w:bCs/>
          <w:sz w:val="24"/>
          <w:szCs w:val="24"/>
        </w:rPr>
        <w:t xml:space="preserve"> </w:t>
      </w:r>
      <w:r w:rsidR="00CB0CAE" w:rsidRPr="00823204">
        <w:rPr>
          <w:rFonts w:ascii="Arial" w:hAnsi="Arial" w:cs="Arial"/>
          <w:bCs/>
          <w:sz w:val="24"/>
          <w:szCs w:val="24"/>
        </w:rPr>
        <w:t>ámbito</w:t>
      </w:r>
      <w:r w:rsidR="00DB05AF">
        <w:rPr>
          <w:rFonts w:ascii="Arial" w:hAnsi="Arial" w:cs="Arial"/>
          <w:bCs/>
          <w:sz w:val="24"/>
          <w:szCs w:val="24"/>
        </w:rPr>
        <w:t>s</w:t>
      </w:r>
      <w:r w:rsidR="00CB0CAE" w:rsidRPr="00823204">
        <w:rPr>
          <w:rFonts w:ascii="Arial" w:hAnsi="Arial" w:cs="Arial"/>
          <w:bCs/>
          <w:sz w:val="24"/>
          <w:szCs w:val="24"/>
        </w:rPr>
        <w:t xml:space="preserve"> estatal </w:t>
      </w:r>
      <w:r w:rsidR="00DB05AF">
        <w:rPr>
          <w:rFonts w:ascii="Arial" w:hAnsi="Arial" w:cs="Arial"/>
          <w:bCs/>
          <w:sz w:val="24"/>
          <w:szCs w:val="24"/>
        </w:rPr>
        <w:t xml:space="preserve">y federal del Estado </w:t>
      </w:r>
      <w:r w:rsidR="00CB0CAE" w:rsidRPr="00823204">
        <w:rPr>
          <w:rFonts w:ascii="Arial" w:hAnsi="Arial" w:cs="Arial"/>
          <w:bCs/>
          <w:sz w:val="24"/>
          <w:szCs w:val="24"/>
        </w:rPr>
        <w:t>mexicano</w:t>
      </w:r>
      <w:r w:rsidR="00CB0CAE" w:rsidRPr="00D12756">
        <w:rPr>
          <w:rFonts w:ascii="Arial" w:hAnsi="Arial" w:cs="Arial"/>
          <w:bCs/>
          <w:sz w:val="24"/>
          <w:szCs w:val="24"/>
        </w:rPr>
        <w:t>.</w:t>
      </w:r>
      <w:r w:rsidR="00823204" w:rsidRPr="00D12756">
        <w:rPr>
          <w:rFonts w:ascii="Arial" w:hAnsi="Arial" w:cs="Arial"/>
          <w:bCs/>
          <w:sz w:val="24"/>
          <w:szCs w:val="24"/>
        </w:rPr>
        <w:t xml:space="preserve"> Est</w:t>
      </w:r>
      <w:r w:rsidR="00DB05AF">
        <w:rPr>
          <w:rFonts w:ascii="Arial" w:hAnsi="Arial" w:cs="Arial"/>
          <w:bCs/>
          <w:sz w:val="24"/>
          <w:szCs w:val="24"/>
        </w:rPr>
        <w:t>os</w:t>
      </w:r>
      <w:r w:rsidR="00823204" w:rsidRPr="00D12756">
        <w:rPr>
          <w:rFonts w:ascii="Arial" w:hAnsi="Arial" w:cs="Arial"/>
          <w:bCs/>
          <w:sz w:val="24"/>
          <w:szCs w:val="24"/>
        </w:rPr>
        <w:t xml:space="preserve"> programa</w:t>
      </w:r>
      <w:r w:rsidR="00DB05AF">
        <w:rPr>
          <w:rFonts w:ascii="Arial" w:hAnsi="Arial" w:cs="Arial"/>
          <w:bCs/>
          <w:sz w:val="24"/>
          <w:szCs w:val="24"/>
        </w:rPr>
        <w:t>s</w:t>
      </w:r>
      <w:r w:rsidR="00823204" w:rsidRPr="00D12756">
        <w:rPr>
          <w:rFonts w:ascii="Arial" w:hAnsi="Arial" w:cs="Arial"/>
          <w:bCs/>
          <w:sz w:val="24"/>
          <w:szCs w:val="24"/>
        </w:rPr>
        <w:t xml:space="preserve"> ofrece</w:t>
      </w:r>
      <w:r w:rsidR="00DB05AF">
        <w:rPr>
          <w:rFonts w:ascii="Arial" w:hAnsi="Arial" w:cs="Arial"/>
          <w:bCs/>
          <w:sz w:val="24"/>
          <w:szCs w:val="24"/>
        </w:rPr>
        <w:t>n</w:t>
      </w:r>
      <w:r w:rsidR="00823204" w:rsidRPr="00D12756">
        <w:rPr>
          <w:rFonts w:ascii="Arial" w:hAnsi="Arial" w:cs="Arial"/>
          <w:bCs/>
          <w:sz w:val="24"/>
          <w:szCs w:val="24"/>
        </w:rPr>
        <w:t xml:space="preserve"> </w:t>
      </w:r>
      <w:r w:rsidR="00C41BED" w:rsidRPr="00D12756">
        <w:rPr>
          <w:rFonts w:ascii="Arial" w:hAnsi="Arial" w:cs="Arial"/>
          <w:bCs/>
          <w:sz w:val="24"/>
          <w:szCs w:val="24"/>
        </w:rPr>
        <w:t xml:space="preserve">información estadística y geográfica sobre la gestión y desempeño </w:t>
      </w:r>
      <w:r w:rsidR="00DB05AF">
        <w:rPr>
          <w:rFonts w:ascii="Arial" w:hAnsi="Arial" w:cs="Arial"/>
          <w:bCs/>
          <w:sz w:val="24"/>
          <w:szCs w:val="24"/>
        </w:rPr>
        <w:t xml:space="preserve">tanto </w:t>
      </w:r>
      <w:r w:rsidR="00B002FC">
        <w:rPr>
          <w:rFonts w:ascii="Arial" w:hAnsi="Arial" w:cs="Arial"/>
          <w:bCs/>
          <w:sz w:val="24"/>
          <w:szCs w:val="24"/>
        </w:rPr>
        <w:t xml:space="preserve">de </w:t>
      </w:r>
      <w:r w:rsidR="003F46C0" w:rsidRPr="00C41BED">
        <w:rPr>
          <w:rFonts w:ascii="Arial" w:hAnsi="Arial" w:cs="Arial"/>
          <w:bCs/>
          <w:sz w:val="24"/>
          <w:szCs w:val="24"/>
        </w:rPr>
        <w:t>la</w:t>
      </w:r>
      <w:r w:rsidR="003F46C0">
        <w:rPr>
          <w:rFonts w:ascii="Arial" w:hAnsi="Arial" w:cs="Arial"/>
          <w:bCs/>
          <w:sz w:val="24"/>
          <w:szCs w:val="24"/>
        </w:rPr>
        <w:t xml:space="preserve"> </w:t>
      </w:r>
      <w:r>
        <w:rPr>
          <w:rFonts w:ascii="Arial" w:hAnsi="Arial" w:cs="Arial"/>
          <w:bCs/>
          <w:sz w:val="24"/>
          <w:szCs w:val="24"/>
        </w:rPr>
        <w:t>FGR</w:t>
      </w:r>
      <w:r w:rsidR="00480EC3">
        <w:rPr>
          <w:rFonts w:ascii="Arial" w:hAnsi="Arial" w:cs="Arial"/>
          <w:bCs/>
          <w:sz w:val="24"/>
          <w:szCs w:val="24"/>
        </w:rPr>
        <w:t xml:space="preserve"> como de </w:t>
      </w:r>
      <w:r w:rsidR="00B002FC">
        <w:rPr>
          <w:rFonts w:ascii="Arial" w:hAnsi="Arial" w:cs="Arial"/>
          <w:bCs/>
          <w:sz w:val="24"/>
          <w:szCs w:val="24"/>
        </w:rPr>
        <w:t xml:space="preserve">las </w:t>
      </w:r>
      <w:r>
        <w:rPr>
          <w:rFonts w:ascii="Arial" w:hAnsi="Arial" w:cs="Arial"/>
          <w:bCs/>
          <w:sz w:val="24"/>
          <w:szCs w:val="24"/>
        </w:rPr>
        <w:t>FGE.</w:t>
      </w:r>
    </w:p>
    <w:p w14:paraId="18F7A4B3" w14:textId="77777777" w:rsidR="00823204" w:rsidRPr="00580CD3" w:rsidRDefault="00823204" w:rsidP="00823204">
      <w:pPr>
        <w:autoSpaceDE w:val="0"/>
        <w:autoSpaceDN w:val="0"/>
        <w:adjustRightInd w:val="0"/>
        <w:spacing w:after="0" w:line="240" w:lineRule="auto"/>
        <w:ind w:right="142"/>
        <w:jc w:val="both"/>
        <w:rPr>
          <w:rFonts w:ascii="Arial" w:hAnsi="Arial" w:cs="Arial"/>
          <w:bCs/>
          <w:sz w:val="24"/>
          <w:szCs w:val="24"/>
          <w:highlight w:val="lightGray"/>
        </w:rPr>
      </w:pPr>
    </w:p>
    <w:p w14:paraId="6F76285D" w14:textId="55882318" w:rsidR="00823204" w:rsidRPr="00DF0265" w:rsidRDefault="00823204" w:rsidP="00920907">
      <w:pPr>
        <w:spacing w:after="0" w:line="240" w:lineRule="auto"/>
        <w:ind w:right="21"/>
        <w:jc w:val="both"/>
        <w:rPr>
          <w:rFonts w:ascii="Arial" w:hAnsi="Arial" w:cs="Arial"/>
          <w:sz w:val="24"/>
          <w:szCs w:val="24"/>
        </w:rPr>
      </w:pPr>
      <w:r w:rsidRPr="00DF0265">
        <w:rPr>
          <w:rFonts w:ascii="Arial" w:hAnsi="Arial" w:cs="Arial"/>
          <w:sz w:val="24"/>
          <w:szCs w:val="24"/>
        </w:rPr>
        <w:t>Los resultados de</w:t>
      </w:r>
      <w:r w:rsidR="00EE1005">
        <w:rPr>
          <w:rFonts w:ascii="Arial" w:hAnsi="Arial" w:cs="Arial"/>
          <w:sz w:val="24"/>
          <w:szCs w:val="24"/>
        </w:rPr>
        <w:t xml:space="preserve"> los</w:t>
      </w:r>
      <w:r w:rsidRPr="00DF0265">
        <w:rPr>
          <w:rFonts w:ascii="Arial" w:hAnsi="Arial" w:cs="Arial"/>
          <w:sz w:val="24"/>
          <w:szCs w:val="24"/>
        </w:rPr>
        <w:t xml:space="preserve"> </w:t>
      </w:r>
      <w:r w:rsidRPr="00DF0265">
        <w:rPr>
          <w:rFonts w:ascii="Arial" w:hAnsi="Arial" w:cs="Arial"/>
          <w:bCs/>
          <w:sz w:val="24"/>
          <w:szCs w:val="24"/>
        </w:rPr>
        <w:t>CN</w:t>
      </w:r>
      <w:r w:rsidR="00A64C0F" w:rsidRPr="00DF0265">
        <w:rPr>
          <w:rFonts w:ascii="Arial" w:hAnsi="Arial" w:cs="Arial"/>
          <w:bCs/>
          <w:sz w:val="24"/>
          <w:szCs w:val="24"/>
        </w:rPr>
        <w:t>PJ</w:t>
      </w:r>
      <w:r w:rsidR="00DB05AF">
        <w:rPr>
          <w:rFonts w:ascii="Arial" w:hAnsi="Arial" w:cs="Arial"/>
          <w:bCs/>
          <w:sz w:val="24"/>
          <w:szCs w:val="24"/>
        </w:rPr>
        <w:t>E</w:t>
      </w:r>
      <w:r w:rsidR="00A64C0F" w:rsidRPr="00DF0265">
        <w:rPr>
          <w:rFonts w:ascii="Arial" w:hAnsi="Arial" w:cs="Arial"/>
          <w:bCs/>
          <w:sz w:val="24"/>
          <w:szCs w:val="24"/>
        </w:rPr>
        <w:t>-</w:t>
      </w:r>
      <w:r w:rsidR="00DB05AF">
        <w:rPr>
          <w:rFonts w:ascii="Arial" w:hAnsi="Arial" w:cs="Arial"/>
          <w:bCs/>
          <w:sz w:val="24"/>
          <w:szCs w:val="24"/>
        </w:rPr>
        <w:t>F</w:t>
      </w:r>
      <w:r w:rsidRPr="00DF0265">
        <w:rPr>
          <w:rFonts w:ascii="Arial" w:hAnsi="Arial" w:cs="Arial"/>
          <w:sz w:val="24"/>
          <w:szCs w:val="24"/>
        </w:rPr>
        <w:t xml:space="preserve"> 2022 integran información correspondiente a 2021 y 2022</w:t>
      </w:r>
      <w:r w:rsidR="00CC2A69">
        <w:rPr>
          <w:rFonts w:ascii="Arial" w:hAnsi="Arial" w:cs="Arial"/>
          <w:sz w:val="24"/>
          <w:szCs w:val="24"/>
        </w:rPr>
        <w:t>, e</w:t>
      </w:r>
      <w:r w:rsidRPr="00DF0265">
        <w:rPr>
          <w:rFonts w:ascii="Arial" w:hAnsi="Arial" w:cs="Arial"/>
          <w:sz w:val="24"/>
          <w:szCs w:val="24"/>
        </w:rPr>
        <w:t>ste último solo para las preguntas que solicitan datos al momento de la aplicación del cuestionario.</w:t>
      </w:r>
    </w:p>
    <w:p w14:paraId="22F7609D" w14:textId="77777777" w:rsidR="00823204" w:rsidRPr="00580CD3" w:rsidRDefault="00823204" w:rsidP="00920907">
      <w:pPr>
        <w:spacing w:after="0" w:line="240" w:lineRule="auto"/>
        <w:ind w:right="21"/>
        <w:jc w:val="both"/>
        <w:rPr>
          <w:rFonts w:ascii="Arial" w:hAnsi="Arial" w:cs="Arial"/>
          <w:sz w:val="24"/>
          <w:szCs w:val="24"/>
          <w:highlight w:val="lightGray"/>
        </w:rPr>
      </w:pPr>
    </w:p>
    <w:p w14:paraId="35C95C88" w14:textId="4920F729" w:rsidR="00C726DF" w:rsidRDefault="00823204" w:rsidP="00920907">
      <w:pPr>
        <w:ind w:right="21"/>
        <w:jc w:val="both"/>
        <w:rPr>
          <w:rFonts w:ascii="Arial" w:hAnsi="Arial" w:cs="Arial"/>
          <w:sz w:val="24"/>
          <w:szCs w:val="24"/>
        </w:rPr>
      </w:pPr>
      <w:r w:rsidRPr="008F111F">
        <w:rPr>
          <w:rFonts w:ascii="Arial" w:hAnsi="Arial" w:cs="Arial"/>
          <w:sz w:val="24"/>
          <w:szCs w:val="24"/>
        </w:rPr>
        <w:t xml:space="preserve">Las unidades de análisis son las instituciones y/o unidades administrativas que integran </w:t>
      </w:r>
      <w:r w:rsidR="006E6F7B" w:rsidRPr="008F111F">
        <w:rPr>
          <w:rFonts w:ascii="Arial" w:hAnsi="Arial" w:cs="Arial"/>
          <w:sz w:val="24"/>
          <w:szCs w:val="24"/>
        </w:rPr>
        <w:t>la F</w:t>
      </w:r>
      <w:r w:rsidR="00EE1005">
        <w:rPr>
          <w:rFonts w:ascii="Arial" w:hAnsi="Arial" w:cs="Arial"/>
          <w:sz w:val="24"/>
          <w:szCs w:val="24"/>
        </w:rPr>
        <w:t>GR y las FGE</w:t>
      </w:r>
      <w:r w:rsidR="003C1D7D">
        <w:rPr>
          <w:rFonts w:ascii="Arial" w:hAnsi="Arial" w:cs="Arial"/>
          <w:sz w:val="24"/>
          <w:szCs w:val="24"/>
        </w:rPr>
        <w:t xml:space="preserve">. </w:t>
      </w:r>
      <w:r w:rsidRPr="00C14B56">
        <w:rPr>
          <w:rFonts w:ascii="Arial" w:hAnsi="Arial" w:cs="Arial"/>
          <w:sz w:val="24"/>
          <w:szCs w:val="24"/>
        </w:rPr>
        <w:t xml:space="preserve">El levantamiento </w:t>
      </w:r>
      <w:r w:rsidR="00C726DF" w:rsidRPr="00C14B56">
        <w:rPr>
          <w:rFonts w:ascii="Arial" w:hAnsi="Arial" w:cs="Arial"/>
          <w:sz w:val="24"/>
          <w:szCs w:val="24"/>
        </w:rPr>
        <w:t>del</w:t>
      </w:r>
      <w:r w:rsidR="00C726DF">
        <w:rPr>
          <w:rFonts w:ascii="Arial" w:hAnsi="Arial" w:cs="Arial"/>
          <w:sz w:val="24"/>
          <w:szCs w:val="24"/>
        </w:rPr>
        <w:t xml:space="preserve"> </w:t>
      </w:r>
      <w:r w:rsidR="00270655" w:rsidRPr="00823204">
        <w:rPr>
          <w:rFonts w:ascii="Arial" w:hAnsi="Arial" w:cs="Arial"/>
          <w:bCs/>
          <w:sz w:val="24"/>
          <w:szCs w:val="24"/>
        </w:rPr>
        <w:t>Censo Nacional de Procuración de Justicia Federal</w:t>
      </w:r>
      <w:r w:rsidR="00270655">
        <w:rPr>
          <w:rFonts w:ascii="Arial" w:hAnsi="Arial" w:cs="Arial"/>
          <w:bCs/>
          <w:sz w:val="24"/>
          <w:szCs w:val="24"/>
        </w:rPr>
        <w:t xml:space="preserve"> tuvo lugar del</w:t>
      </w:r>
      <w:r w:rsidR="00270655" w:rsidRPr="00C14B56">
        <w:rPr>
          <w:rFonts w:ascii="Arial" w:hAnsi="Arial" w:cs="Arial"/>
          <w:sz w:val="24"/>
          <w:szCs w:val="24"/>
        </w:rPr>
        <w:t xml:space="preserve"> 2 de mayo al 2 de septiembre de 2022</w:t>
      </w:r>
      <w:r w:rsidR="00270655">
        <w:rPr>
          <w:rFonts w:ascii="Arial" w:hAnsi="Arial" w:cs="Arial"/>
          <w:sz w:val="24"/>
          <w:szCs w:val="24"/>
        </w:rPr>
        <w:t>.</w:t>
      </w:r>
      <w:r w:rsidR="00DB001B" w:rsidRPr="00DB001B">
        <w:rPr>
          <w:rFonts w:ascii="Arial" w:hAnsi="Arial" w:cs="Arial"/>
          <w:sz w:val="24"/>
          <w:szCs w:val="24"/>
        </w:rPr>
        <w:t xml:space="preserve"> </w:t>
      </w:r>
      <w:r w:rsidR="00AD4FD8">
        <w:rPr>
          <w:rFonts w:ascii="Arial" w:hAnsi="Arial" w:cs="Arial"/>
          <w:sz w:val="24"/>
          <w:szCs w:val="24"/>
        </w:rPr>
        <w:t>E</w:t>
      </w:r>
      <w:r w:rsidR="00DB001B" w:rsidRPr="00C14B56">
        <w:rPr>
          <w:rFonts w:ascii="Arial" w:hAnsi="Arial" w:cs="Arial"/>
          <w:sz w:val="24"/>
          <w:szCs w:val="24"/>
        </w:rPr>
        <w:t>l levantamiento del</w:t>
      </w:r>
      <w:r w:rsidR="00DB001B">
        <w:rPr>
          <w:rFonts w:ascii="Arial" w:hAnsi="Arial" w:cs="Arial"/>
          <w:sz w:val="24"/>
          <w:szCs w:val="24"/>
        </w:rPr>
        <w:t xml:space="preserve"> </w:t>
      </w:r>
      <w:r w:rsidR="00C726DF" w:rsidRPr="00823204">
        <w:rPr>
          <w:rFonts w:ascii="Arial" w:hAnsi="Arial" w:cs="Arial"/>
          <w:bCs/>
          <w:sz w:val="24"/>
          <w:szCs w:val="24"/>
        </w:rPr>
        <w:t xml:space="preserve">Censo Nacional de Procuración de Justicia </w:t>
      </w:r>
      <w:r w:rsidR="00C726DF">
        <w:rPr>
          <w:rFonts w:ascii="Arial" w:hAnsi="Arial" w:cs="Arial"/>
          <w:bCs/>
          <w:sz w:val="24"/>
          <w:szCs w:val="24"/>
        </w:rPr>
        <w:t>Estatal se realizó del</w:t>
      </w:r>
      <w:r w:rsidR="00C726DF" w:rsidRPr="00C14B56">
        <w:rPr>
          <w:rFonts w:ascii="Arial" w:hAnsi="Arial" w:cs="Arial"/>
          <w:sz w:val="24"/>
          <w:szCs w:val="24"/>
        </w:rPr>
        <w:t xml:space="preserve"> 28 de marzo al 12 de agosto de 2022</w:t>
      </w:r>
      <w:r w:rsidR="00334AD9">
        <w:rPr>
          <w:rFonts w:ascii="Arial" w:hAnsi="Arial" w:cs="Arial"/>
          <w:sz w:val="24"/>
          <w:szCs w:val="24"/>
        </w:rPr>
        <w:t xml:space="preserve">. </w:t>
      </w:r>
    </w:p>
    <w:p w14:paraId="058BE62C" w14:textId="7F7A395A" w:rsidR="00823204" w:rsidRPr="002A0D7B" w:rsidRDefault="00823204" w:rsidP="00920907">
      <w:pPr>
        <w:spacing w:after="0" w:line="240" w:lineRule="auto"/>
        <w:ind w:right="21"/>
        <w:jc w:val="both"/>
        <w:rPr>
          <w:rFonts w:ascii="Arial" w:eastAsia="Times New Roman" w:hAnsi="Arial" w:cs="Arial"/>
          <w:color w:val="0000FF"/>
          <w:sz w:val="24"/>
          <w:szCs w:val="24"/>
          <w:u w:val="single"/>
        </w:rPr>
      </w:pPr>
      <w:r w:rsidRPr="00630021">
        <w:rPr>
          <w:rFonts w:ascii="Arial" w:hAnsi="Arial" w:cs="Arial"/>
          <w:sz w:val="24"/>
          <w:szCs w:val="24"/>
        </w:rPr>
        <w:t>Los resultados se presentan en</w:t>
      </w:r>
      <w:r w:rsidRPr="00630021">
        <w:rPr>
          <w:rFonts w:ascii="Arial" w:eastAsia="Times New Roman" w:hAnsi="Arial" w:cs="Arial"/>
          <w:sz w:val="24"/>
          <w:szCs w:val="24"/>
        </w:rPr>
        <w:t xml:space="preserve"> la página del Instituto</w:t>
      </w:r>
      <w:r w:rsidRPr="00630021">
        <w:rPr>
          <w:rFonts w:ascii="Arial" w:hAnsi="Arial" w:cs="Arial"/>
          <w:spacing w:val="-2"/>
          <w:sz w:val="24"/>
          <w:szCs w:val="24"/>
        </w:rPr>
        <w:t xml:space="preserve">: </w:t>
      </w:r>
      <w:r w:rsidR="00580CD3" w:rsidRPr="00630021">
        <w:rPr>
          <w:rFonts w:ascii="Arial" w:eastAsia="Times New Roman" w:hAnsi="Arial" w:cs="Arial"/>
          <w:sz w:val="24"/>
          <w:szCs w:val="24"/>
        </w:rPr>
        <w:t xml:space="preserve"> </w:t>
      </w:r>
      <w:hyperlink r:id="rId60" w:history="1">
        <w:r w:rsidR="002A0D7B" w:rsidRPr="00630021">
          <w:rPr>
            <w:rStyle w:val="Hipervnculo"/>
            <w:rFonts w:ascii="Arial" w:eastAsia="Times New Roman" w:hAnsi="Arial" w:cs="Arial"/>
            <w:sz w:val="24"/>
            <w:szCs w:val="24"/>
          </w:rPr>
          <w:t>https://www.inegi.org.mx/programas/cnpj/2022/</w:t>
        </w:r>
      </w:hyperlink>
      <w:r w:rsidR="002A0D7B" w:rsidRPr="002A0D7B">
        <w:t xml:space="preserve"> y </w:t>
      </w:r>
      <w:hyperlink r:id="rId61" w:history="1">
        <w:r w:rsidR="002A0D7B" w:rsidRPr="000B28A4">
          <w:rPr>
            <w:rStyle w:val="Hipervnculo"/>
            <w:rFonts w:ascii="Arial" w:eastAsia="Times New Roman" w:hAnsi="Arial" w:cs="Arial"/>
            <w:sz w:val="24"/>
            <w:szCs w:val="24"/>
          </w:rPr>
          <w:t>https://www.inegi.org.mx/programas/cnpje/2022/</w:t>
        </w:r>
      </w:hyperlink>
      <w:r w:rsidR="002A0D7B" w:rsidRPr="002A0D7B">
        <w:t xml:space="preserve"> </w:t>
      </w:r>
      <w:r w:rsidRPr="000A26BA">
        <w:rPr>
          <w:rFonts w:ascii="Arial" w:hAnsi="Arial" w:cs="Arial"/>
          <w:sz w:val="24"/>
          <w:szCs w:val="24"/>
        </w:rPr>
        <w:t xml:space="preserve">mediante cuadros estadísticos organizados en los siguientes apartados: </w:t>
      </w:r>
      <w:r w:rsidR="00920907">
        <w:rPr>
          <w:rFonts w:ascii="Arial" w:hAnsi="Arial" w:cs="Arial"/>
          <w:sz w:val="24"/>
          <w:szCs w:val="24"/>
        </w:rPr>
        <w:t>estructura organizacional</w:t>
      </w:r>
      <w:r w:rsidR="00315824" w:rsidRPr="000A26BA">
        <w:rPr>
          <w:rFonts w:ascii="Arial" w:hAnsi="Arial" w:cs="Arial"/>
          <w:sz w:val="24"/>
          <w:szCs w:val="24"/>
        </w:rPr>
        <w:t>, procuración de justicia, mecanismos alternativos de solución de controversias</w:t>
      </w:r>
      <w:r w:rsidR="00920907">
        <w:rPr>
          <w:rFonts w:ascii="Arial" w:hAnsi="Arial" w:cs="Arial"/>
          <w:sz w:val="24"/>
          <w:szCs w:val="24"/>
        </w:rPr>
        <w:t xml:space="preserve"> y servicios periciales.</w:t>
      </w:r>
    </w:p>
    <w:p w14:paraId="6309E453" w14:textId="77777777" w:rsidR="00823204" w:rsidRPr="00272C71" w:rsidRDefault="00823204" w:rsidP="00920907">
      <w:pPr>
        <w:spacing w:after="0" w:line="240" w:lineRule="auto"/>
        <w:ind w:right="21"/>
        <w:jc w:val="both"/>
        <w:rPr>
          <w:rFonts w:ascii="Arial" w:hAnsi="Arial" w:cs="Arial"/>
          <w:sz w:val="16"/>
          <w:szCs w:val="16"/>
        </w:rPr>
      </w:pPr>
    </w:p>
    <w:p w14:paraId="0223D931" w14:textId="77777777" w:rsidR="00804CEA" w:rsidRDefault="00804CEA" w:rsidP="00920907">
      <w:pPr>
        <w:spacing w:after="0"/>
        <w:ind w:right="21"/>
        <w:rPr>
          <w:rFonts w:ascii="Arial Negrita" w:hAnsi="Arial Negrita" w:cs="Arial"/>
          <w:b/>
          <w:bCs/>
          <w:iCs/>
          <w:smallCaps/>
          <w:noProof/>
          <w:sz w:val="24"/>
          <w:szCs w:val="24"/>
          <w:lang w:eastAsia="es-MX"/>
        </w:rPr>
      </w:pPr>
    </w:p>
    <w:p w14:paraId="0D8922CA" w14:textId="3638A088" w:rsidR="00823204" w:rsidRPr="00272C71" w:rsidRDefault="00823204" w:rsidP="00920907">
      <w:pPr>
        <w:spacing w:after="0"/>
        <w:ind w:right="21"/>
        <w:rPr>
          <w:rFonts w:ascii="Arial Negrita" w:hAnsi="Arial Negrita" w:cs="Arial"/>
          <w:b/>
          <w:bCs/>
          <w:iCs/>
          <w:smallCaps/>
          <w:noProof/>
          <w:sz w:val="24"/>
          <w:szCs w:val="24"/>
          <w:lang w:eastAsia="es-MX"/>
        </w:rPr>
      </w:pPr>
      <w:r w:rsidRPr="00272C71">
        <w:rPr>
          <w:rFonts w:ascii="Arial Negrita" w:hAnsi="Arial Negrita" w:cs="Arial"/>
          <w:b/>
          <w:bCs/>
          <w:iCs/>
          <w:smallCaps/>
          <w:noProof/>
          <w:sz w:val="24"/>
          <w:szCs w:val="24"/>
          <w:lang w:eastAsia="es-MX"/>
        </w:rPr>
        <w:t>Productos y documentos de</w:t>
      </w:r>
      <w:r w:rsidR="002C6A93">
        <w:rPr>
          <w:rFonts w:ascii="Arial Negrita" w:hAnsi="Arial Negrita" w:cs="Arial"/>
          <w:b/>
          <w:bCs/>
          <w:iCs/>
          <w:smallCaps/>
          <w:noProof/>
          <w:sz w:val="24"/>
          <w:szCs w:val="24"/>
          <w:lang w:eastAsia="es-MX"/>
        </w:rPr>
        <w:t xml:space="preserve"> los</w:t>
      </w:r>
      <w:r w:rsidRPr="00272C71">
        <w:rPr>
          <w:rFonts w:ascii="Arial Negrita" w:hAnsi="Arial Negrita" w:cs="Arial"/>
          <w:b/>
          <w:bCs/>
          <w:iCs/>
          <w:smallCaps/>
          <w:noProof/>
          <w:sz w:val="24"/>
          <w:szCs w:val="24"/>
          <w:lang w:eastAsia="es-MX"/>
        </w:rPr>
        <w:t xml:space="preserve"> </w:t>
      </w:r>
      <w:r w:rsidRPr="00F9530F">
        <w:rPr>
          <w:rFonts w:ascii="Arial Negrita" w:hAnsi="Arial Negrita" w:cs="Arial"/>
          <w:b/>
          <w:bCs/>
          <w:iCs/>
          <w:smallCaps/>
          <w:noProof/>
          <w:sz w:val="24"/>
          <w:szCs w:val="24"/>
          <w:lang w:eastAsia="es-MX"/>
        </w:rPr>
        <w:t>CN</w:t>
      </w:r>
      <w:r w:rsidR="009D1190">
        <w:rPr>
          <w:rFonts w:ascii="Arial Negrita" w:hAnsi="Arial Negrita" w:cs="Arial"/>
          <w:b/>
          <w:bCs/>
          <w:iCs/>
          <w:smallCaps/>
          <w:noProof/>
          <w:sz w:val="24"/>
          <w:szCs w:val="24"/>
          <w:lang w:eastAsia="es-MX"/>
        </w:rPr>
        <w:t>PJ</w:t>
      </w:r>
      <w:r w:rsidR="0002002F">
        <w:rPr>
          <w:rFonts w:ascii="Arial Negrita" w:hAnsi="Arial Negrita" w:cs="Arial"/>
          <w:b/>
          <w:bCs/>
          <w:iCs/>
          <w:smallCaps/>
          <w:noProof/>
          <w:sz w:val="24"/>
          <w:szCs w:val="24"/>
          <w:lang w:eastAsia="es-MX"/>
        </w:rPr>
        <w:t>E</w:t>
      </w:r>
      <w:r w:rsidR="009D1190">
        <w:rPr>
          <w:rFonts w:ascii="Arial Negrita" w:hAnsi="Arial Negrita" w:cs="Arial"/>
          <w:b/>
          <w:bCs/>
          <w:iCs/>
          <w:smallCaps/>
          <w:noProof/>
          <w:sz w:val="24"/>
          <w:szCs w:val="24"/>
          <w:lang w:eastAsia="es-MX"/>
        </w:rPr>
        <w:t>-</w:t>
      </w:r>
      <w:r w:rsidR="0002002F">
        <w:rPr>
          <w:rFonts w:ascii="Arial Negrita" w:hAnsi="Arial Negrita" w:cs="Arial"/>
          <w:b/>
          <w:bCs/>
          <w:iCs/>
          <w:smallCaps/>
          <w:noProof/>
          <w:sz w:val="24"/>
          <w:szCs w:val="24"/>
          <w:lang w:eastAsia="es-MX"/>
        </w:rPr>
        <w:t>F</w:t>
      </w:r>
      <w:r w:rsidRPr="00F9530F">
        <w:rPr>
          <w:rFonts w:ascii="Arial Negrita" w:hAnsi="Arial Negrita" w:cs="Arial"/>
          <w:b/>
          <w:bCs/>
          <w:iCs/>
          <w:smallCaps/>
          <w:noProof/>
          <w:sz w:val="24"/>
          <w:szCs w:val="24"/>
          <w:lang w:eastAsia="es-MX"/>
        </w:rPr>
        <w:t xml:space="preserve"> 2022</w:t>
      </w:r>
    </w:p>
    <w:p w14:paraId="610862AB" w14:textId="77777777" w:rsidR="00823204" w:rsidRPr="00272C71" w:rsidRDefault="00823204" w:rsidP="00920907">
      <w:pPr>
        <w:autoSpaceDE w:val="0"/>
        <w:autoSpaceDN w:val="0"/>
        <w:adjustRightInd w:val="0"/>
        <w:spacing w:after="0" w:line="240" w:lineRule="auto"/>
        <w:ind w:right="21"/>
        <w:rPr>
          <w:rFonts w:ascii="Arial" w:hAnsi="Arial" w:cs="Arial"/>
        </w:rPr>
      </w:pPr>
    </w:p>
    <w:p w14:paraId="19BE184F" w14:textId="1AEFB898" w:rsidR="00823204" w:rsidRPr="00272C71" w:rsidRDefault="00823204" w:rsidP="00920907">
      <w:pPr>
        <w:autoSpaceDE w:val="0"/>
        <w:autoSpaceDN w:val="0"/>
        <w:adjustRightInd w:val="0"/>
        <w:spacing w:after="0" w:line="240" w:lineRule="auto"/>
        <w:ind w:right="21"/>
        <w:jc w:val="both"/>
        <w:rPr>
          <w:rFonts w:ascii="Arial" w:hAnsi="Arial" w:cs="Arial"/>
          <w:sz w:val="24"/>
          <w:szCs w:val="24"/>
        </w:rPr>
      </w:pPr>
      <w:r w:rsidRPr="00272C71">
        <w:rPr>
          <w:rFonts w:ascii="Arial" w:hAnsi="Arial" w:cs="Arial"/>
          <w:sz w:val="24"/>
          <w:szCs w:val="24"/>
        </w:rPr>
        <w:t>Los productos y documentos derivados de</w:t>
      </w:r>
      <w:r w:rsidR="00DB05AF">
        <w:rPr>
          <w:rFonts w:ascii="Arial" w:hAnsi="Arial" w:cs="Arial"/>
          <w:sz w:val="24"/>
          <w:szCs w:val="24"/>
        </w:rPr>
        <w:t xml:space="preserve"> los</w:t>
      </w:r>
      <w:r w:rsidRPr="00272C71">
        <w:rPr>
          <w:rFonts w:ascii="Arial" w:hAnsi="Arial" w:cs="Arial"/>
          <w:sz w:val="24"/>
          <w:szCs w:val="24"/>
        </w:rPr>
        <w:t xml:space="preserve"> </w:t>
      </w:r>
      <w:r w:rsidRPr="00F9530F">
        <w:rPr>
          <w:rFonts w:ascii="Arial" w:hAnsi="Arial" w:cs="Arial"/>
          <w:sz w:val="24"/>
          <w:szCs w:val="24"/>
        </w:rPr>
        <w:t>CN</w:t>
      </w:r>
      <w:r w:rsidR="009D1190">
        <w:rPr>
          <w:rFonts w:ascii="Arial" w:hAnsi="Arial" w:cs="Arial"/>
          <w:sz w:val="24"/>
          <w:szCs w:val="24"/>
        </w:rPr>
        <w:t>PJ</w:t>
      </w:r>
      <w:r w:rsidR="00DB05AF">
        <w:rPr>
          <w:rFonts w:ascii="Arial" w:hAnsi="Arial" w:cs="Arial"/>
          <w:sz w:val="24"/>
          <w:szCs w:val="24"/>
        </w:rPr>
        <w:t>E</w:t>
      </w:r>
      <w:r w:rsidR="009D1190">
        <w:rPr>
          <w:rFonts w:ascii="Arial" w:hAnsi="Arial" w:cs="Arial"/>
          <w:sz w:val="24"/>
          <w:szCs w:val="24"/>
        </w:rPr>
        <w:t>-</w:t>
      </w:r>
      <w:r w:rsidR="00DB05AF">
        <w:rPr>
          <w:rFonts w:ascii="Arial" w:hAnsi="Arial" w:cs="Arial"/>
          <w:sz w:val="24"/>
          <w:szCs w:val="24"/>
        </w:rPr>
        <w:t>F</w:t>
      </w:r>
      <w:r w:rsidRPr="00F9530F">
        <w:rPr>
          <w:rFonts w:ascii="Arial" w:hAnsi="Arial" w:cs="Arial"/>
          <w:sz w:val="24"/>
          <w:szCs w:val="24"/>
        </w:rPr>
        <w:t xml:space="preserve"> 2022 </w:t>
      </w:r>
      <w:r w:rsidRPr="00272C71">
        <w:rPr>
          <w:rFonts w:ascii="Arial" w:hAnsi="Arial" w:cs="Arial"/>
          <w:sz w:val="24"/>
          <w:szCs w:val="24"/>
        </w:rPr>
        <w:t xml:space="preserve">que el INEGI pone a disposición de las y los usuarios son los siguientes: </w:t>
      </w:r>
    </w:p>
    <w:p w14:paraId="2CB74E8A" w14:textId="77777777" w:rsidR="00823204" w:rsidRPr="00272C71" w:rsidRDefault="00823204" w:rsidP="00920907">
      <w:pPr>
        <w:autoSpaceDE w:val="0"/>
        <w:autoSpaceDN w:val="0"/>
        <w:adjustRightInd w:val="0"/>
        <w:spacing w:after="0" w:line="240" w:lineRule="auto"/>
        <w:ind w:right="21"/>
        <w:rPr>
          <w:rFonts w:ascii="Arial" w:hAnsi="Arial" w:cs="Arial"/>
          <w:sz w:val="24"/>
          <w:szCs w:val="24"/>
        </w:rPr>
      </w:pPr>
      <w:r w:rsidRPr="00272C71">
        <w:rPr>
          <w:rFonts w:ascii="Arial" w:hAnsi="Arial" w:cs="Arial"/>
          <w:sz w:val="24"/>
          <w:szCs w:val="24"/>
        </w:rPr>
        <w:t xml:space="preserve"> </w:t>
      </w:r>
    </w:p>
    <w:p w14:paraId="0F4CD4AF" w14:textId="77777777" w:rsidR="00823204" w:rsidRPr="00272C71" w:rsidRDefault="00823204" w:rsidP="00823204">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Presentación de resultados</w:t>
      </w:r>
    </w:p>
    <w:p w14:paraId="1187FB2B" w14:textId="77777777" w:rsidR="00823204" w:rsidRPr="00272C71" w:rsidRDefault="00823204" w:rsidP="00823204">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Cuestionarios</w:t>
      </w:r>
    </w:p>
    <w:p w14:paraId="28BB5FF0" w14:textId="77777777" w:rsidR="00823204" w:rsidRPr="00272C71" w:rsidRDefault="00823204" w:rsidP="00823204">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Glosario</w:t>
      </w:r>
    </w:p>
    <w:p w14:paraId="375C4052" w14:textId="77777777" w:rsidR="00823204" w:rsidRPr="0024531A" w:rsidRDefault="00823204" w:rsidP="00823204">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Documento de diseño</w:t>
      </w:r>
    </w:p>
    <w:p w14:paraId="691C643A" w14:textId="77777777" w:rsidR="00823204" w:rsidRPr="00272C71" w:rsidRDefault="00823204" w:rsidP="00823204">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Tabulados predefinidos</w:t>
      </w:r>
    </w:p>
    <w:p w14:paraId="013DE821" w14:textId="77777777" w:rsidR="00823204" w:rsidRPr="00272C71" w:rsidRDefault="00823204" w:rsidP="00823204">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Datos abiertos</w:t>
      </w:r>
    </w:p>
    <w:p w14:paraId="3EFEF269" w14:textId="77777777" w:rsidR="00823204" w:rsidRPr="00272C71" w:rsidRDefault="00823204" w:rsidP="00823204">
      <w:pPr>
        <w:pStyle w:val="Prrafodelista"/>
        <w:numPr>
          <w:ilvl w:val="0"/>
          <w:numId w:val="13"/>
        </w:numPr>
        <w:autoSpaceDE w:val="0"/>
        <w:autoSpaceDN w:val="0"/>
        <w:adjustRightInd w:val="0"/>
        <w:spacing w:after="0" w:line="240" w:lineRule="auto"/>
        <w:jc w:val="both"/>
      </w:pPr>
      <w:r w:rsidRPr="00272C71">
        <w:rPr>
          <w:rFonts w:ascii="Arial" w:hAnsi="Arial" w:cs="Arial"/>
          <w:sz w:val="24"/>
          <w:szCs w:val="24"/>
        </w:rPr>
        <w:t>Metadatos</w:t>
      </w:r>
    </w:p>
    <w:p w14:paraId="0A263CFF" w14:textId="55A6775E" w:rsidR="00CB0CAE" w:rsidRPr="00081C1A" w:rsidRDefault="00CB0CAE" w:rsidP="00823204">
      <w:pPr>
        <w:pStyle w:val="Default"/>
        <w:ind w:right="163"/>
        <w:jc w:val="both"/>
        <w:rPr>
          <w:b/>
          <w:bCs/>
          <w:iCs/>
          <w:smallCaps/>
          <w:color w:val="000000" w:themeColor="text1"/>
          <w:sz w:val="22"/>
          <w:szCs w:val="22"/>
        </w:rPr>
      </w:pPr>
    </w:p>
    <w:sectPr w:rsidR="00CB0CAE" w:rsidRPr="00081C1A" w:rsidSect="00287B43">
      <w:headerReference w:type="default" r:id="rId62"/>
      <w:footerReference w:type="default" r:id="rId63"/>
      <w:type w:val="continuous"/>
      <w:pgSz w:w="12240" w:h="15840"/>
      <w:pgMar w:top="1702" w:right="1020" w:bottom="993" w:left="1134" w:header="426" w:footer="4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8A41C" w14:textId="77777777" w:rsidR="00303606" w:rsidRDefault="00303606" w:rsidP="00462B4C">
      <w:pPr>
        <w:spacing w:after="0" w:line="240" w:lineRule="auto"/>
      </w:pPr>
      <w:r>
        <w:separator/>
      </w:r>
    </w:p>
  </w:endnote>
  <w:endnote w:type="continuationSeparator" w:id="0">
    <w:p w14:paraId="624412CD" w14:textId="77777777" w:rsidR="00303606" w:rsidRDefault="00303606" w:rsidP="00462B4C">
      <w:pPr>
        <w:spacing w:after="0" w:line="240" w:lineRule="auto"/>
      </w:pPr>
      <w:r>
        <w:continuationSeparator/>
      </w:r>
    </w:p>
  </w:endnote>
  <w:endnote w:type="continuationNotice" w:id="1">
    <w:p w14:paraId="49A82B79" w14:textId="77777777" w:rsidR="00303606" w:rsidRDefault="00303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Helvetica Neue Medium">
    <w:panose1 w:val="00000000000000000000"/>
    <w:charset w:val="4D"/>
    <w:family w:val="swiss"/>
    <w:notTrueType/>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DC1C" w14:textId="77777777" w:rsidR="00AA0523" w:rsidRDefault="00AA0523"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p>
  <w:p w14:paraId="2E710A98" w14:textId="77777777" w:rsidR="00AA0523" w:rsidRPr="007A0634" w:rsidRDefault="00AA0523" w:rsidP="001D0E9F">
    <w:pPr>
      <w:pStyle w:val="Piedepgina"/>
      <w:tabs>
        <w:tab w:val="clear" w:pos="4419"/>
        <w:tab w:val="clear" w:pos="8838"/>
        <w:tab w:val="left" w:pos="9781"/>
        <w:tab w:val="left" w:pos="10065"/>
      </w:tabs>
      <w:ind w:left="-709" w:firstLine="4537"/>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815D" w14:textId="77777777" w:rsidR="00AA0523" w:rsidRDefault="00AA0523"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p>
  <w:p w14:paraId="0B987566" w14:textId="5C163C82" w:rsidR="00AA0523" w:rsidRPr="007A0634" w:rsidRDefault="00AA0523" w:rsidP="005736EE">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r w:rsidRPr="007A063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63F74" w14:textId="77777777" w:rsidR="00303606" w:rsidRDefault="00303606" w:rsidP="00462B4C">
      <w:pPr>
        <w:spacing w:after="0" w:line="240" w:lineRule="auto"/>
      </w:pPr>
      <w:r>
        <w:separator/>
      </w:r>
    </w:p>
  </w:footnote>
  <w:footnote w:type="continuationSeparator" w:id="0">
    <w:p w14:paraId="194EF67C" w14:textId="77777777" w:rsidR="00303606" w:rsidRDefault="00303606" w:rsidP="00462B4C">
      <w:pPr>
        <w:spacing w:after="0" w:line="240" w:lineRule="auto"/>
      </w:pPr>
      <w:r>
        <w:continuationSeparator/>
      </w:r>
    </w:p>
  </w:footnote>
  <w:footnote w:type="continuationNotice" w:id="1">
    <w:p w14:paraId="4E583986" w14:textId="77777777" w:rsidR="00303606" w:rsidRDefault="00303606">
      <w:pPr>
        <w:spacing w:after="0" w:line="240" w:lineRule="auto"/>
      </w:pPr>
    </w:p>
  </w:footnote>
  <w:footnote w:id="2">
    <w:p w14:paraId="5B94759C" w14:textId="48BC6602" w:rsidR="00AA0523" w:rsidRPr="00AA0523" w:rsidRDefault="00AA0523" w:rsidP="00AA0523">
      <w:pPr>
        <w:ind w:left="142" w:hanging="142"/>
        <w:jc w:val="both"/>
        <w:rPr>
          <w:rFonts w:ascii="Arial" w:hAnsi="Arial" w:cs="Arial"/>
          <w:sz w:val="16"/>
          <w:szCs w:val="16"/>
        </w:rPr>
      </w:pPr>
      <w:bookmarkStart w:id="0" w:name="_GoBack"/>
      <w:r w:rsidRPr="00AA0523">
        <w:rPr>
          <w:rStyle w:val="Refdenotaalpie"/>
          <w:rFonts w:ascii="Arial" w:hAnsi="Arial" w:cs="Arial"/>
          <w:sz w:val="16"/>
          <w:szCs w:val="16"/>
        </w:rPr>
        <w:footnoteRef/>
      </w:r>
      <w:r w:rsidRPr="00AA0523">
        <w:rPr>
          <w:rFonts w:ascii="Arial" w:hAnsi="Arial" w:cs="Arial"/>
          <w:sz w:val="16"/>
          <w:szCs w:val="16"/>
        </w:rPr>
        <w:t xml:space="preserve"> El 14 de octubre de 2022 se sustituyó el archivo del comunicado 589/22 </w:t>
      </w:r>
      <w:r w:rsidRPr="00AA0523">
        <w:rPr>
          <w:rFonts w:ascii="Arial" w:hAnsi="Arial" w:cs="Arial"/>
          <w:b/>
          <w:sz w:val="16"/>
          <w:szCs w:val="16"/>
        </w:rPr>
        <w:t>Censo Nacional de Procuración de Justicia Estatal y Federal (CNPJE-F) 2022</w:t>
      </w:r>
      <w:r w:rsidRPr="00AA0523">
        <w:rPr>
          <w:rFonts w:ascii="Arial" w:hAnsi="Arial" w:cs="Arial"/>
          <w:sz w:val="16"/>
          <w:szCs w:val="16"/>
        </w:rPr>
        <w:t xml:space="preserve"> debido a que se </w:t>
      </w:r>
      <w:r w:rsidR="00375069">
        <w:rPr>
          <w:rFonts w:ascii="Arial" w:hAnsi="Arial" w:cs="Arial"/>
          <w:sz w:val="16"/>
          <w:szCs w:val="16"/>
        </w:rPr>
        <w:t xml:space="preserve">realizaron </w:t>
      </w:r>
      <w:r w:rsidRPr="00AA0523">
        <w:rPr>
          <w:rFonts w:ascii="Arial" w:hAnsi="Arial" w:cs="Arial"/>
          <w:sz w:val="16"/>
          <w:szCs w:val="16"/>
        </w:rPr>
        <w:t>precis</w:t>
      </w:r>
      <w:r w:rsidR="00375069">
        <w:rPr>
          <w:rFonts w:ascii="Arial" w:hAnsi="Arial" w:cs="Arial"/>
          <w:sz w:val="16"/>
          <w:szCs w:val="16"/>
        </w:rPr>
        <w:t>iones</w:t>
      </w:r>
      <w:r w:rsidRPr="00AA0523">
        <w:rPr>
          <w:rFonts w:ascii="Arial" w:hAnsi="Arial" w:cs="Arial"/>
          <w:sz w:val="16"/>
          <w:szCs w:val="16"/>
        </w:rPr>
        <w:t xml:space="preserve"> en el título del Mapa 1 y en la nota </w:t>
      </w:r>
      <w:r>
        <w:rPr>
          <w:rFonts w:ascii="Arial" w:hAnsi="Arial" w:cs="Arial"/>
          <w:sz w:val="16"/>
          <w:szCs w:val="16"/>
        </w:rPr>
        <w:t xml:space="preserve">16 </w:t>
      </w:r>
      <w:r w:rsidRPr="00AA0523">
        <w:rPr>
          <w:rFonts w:ascii="Arial" w:hAnsi="Arial" w:cs="Arial"/>
          <w:sz w:val="16"/>
          <w:szCs w:val="16"/>
        </w:rPr>
        <w:t>al pie</w:t>
      </w:r>
      <w:r w:rsidR="00375069">
        <w:rPr>
          <w:rFonts w:ascii="Arial" w:hAnsi="Arial" w:cs="Arial"/>
          <w:sz w:val="16"/>
          <w:szCs w:val="16"/>
        </w:rPr>
        <w:t>, en la página 29</w:t>
      </w:r>
      <w:r>
        <w:rPr>
          <w:rFonts w:ascii="Arial" w:hAnsi="Arial" w:cs="Arial"/>
          <w:sz w:val="16"/>
          <w:szCs w:val="16"/>
        </w:rPr>
        <w:t>. Lo anterior,</w:t>
      </w:r>
      <w:r w:rsidRPr="00AA0523">
        <w:rPr>
          <w:rFonts w:ascii="Arial" w:hAnsi="Arial" w:cs="Arial"/>
          <w:sz w:val="16"/>
          <w:szCs w:val="16"/>
        </w:rPr>
        <w:t xml:space="preserve"> para una mejor interpretación de los datos.</w:t>
      </w:r>
      <w:bookmarkEnd w:id="0"/>
    </w:p>
  </w:footnote>
  <w:footnote w:id="3">
    <w:p w14:paraId="2F50CBEE" w14:textId="3BD1E86F" w:rsidR="00AA0523" w:rsidRPr="00360792" w:rsidRDefault="00AA0523" w:rsidP="00AA0523">
      <w:pPr>
        <w:pStyle w:val="Textonotapie"/>
        <w:ind w:left="142" w:hanging="142"/>
        <w:jc w:val="both"/>
        <w:rPr>
          <w:rFonts w:ascii="Arial" w:hAnsi="Arial" w:cs="Arial"/>
          <w:sz w:val="16"/>
          <w:szCs w:val="16"/>
        </w:rPr>
      </w:pPr>
      <w:r w:rsidRPr="00DB36E4">
        <w:rPr>
          <w:rStyle w:val="Refdenotaalpie"/>
          <w:rFonts w:ascii="Arial" w:hAnsi="Arial" w:cs="Arial"/>
        </w:rPr>
        <w:footnoteRef/>
      </w:r>
      <w:r w:rsidRPr="005B2F97">
        <w:rPr>
          <w:rFonts w:ascii="Arial" w:hAnsi="Arial" w:cs="Arial"/>
          <w:sz w:val="16"/>
          <w:szCs w:val="16"/>
        </w:rPr>
        <w:t xml:space="preserve">La información es de carácter preliminar en los temas </w:t>
      </w:r>
      <w:r>
        <w:rPr>
          <w:rFonts w:ascii="Arial" w:hAnsi="Arial" w:cs="Arial"/>
          <w:sz w:val="16"/>
          <w:szCs w:val="16"/>
        </w:rPr>
        <w:t xml:space="preserve">de </w:t>
      </w:r>
      <w:r w:rsidRPr="005B2F97">
        <w:rPr>
          <w:rFonts w:ascii="Arial" w:hAnsi="Arial" w:cs="Arial"/>
          <w:sz w:val="16"/>
          <w:szCs w:val="16"/>
        </w:rPr>
        <w:t xml:space="preserve">procuración de justicia </w:t>
      </w:r>
      <w:r>
        <w:rPr>
          <w:rFonts w:ascii="Arial" w:hAnsi="Arial" w:cs="Arial"/>
          <w:sz w:val="16"/>
          <w:szCs w:val="16"/>
        </w:rPr>
        <w:t xml:space="preserve">y aseguramientos </w:t>
      </w:r>
      <w:r w:rsidRPr="005B2F97">
        <w:rPr>
          <w:rFonts w:ascii="Arial" w:hAnsi="Arial" w:cs="Arial"/>
          <w:sz w:val="16"/>
          <w:szCs w:val="16"/>
        </w:rPr>
        <w:t>para</w:t>
      </w:r>
      <w:r>
        <w:rPr>
          <w:rFonts w:ascii="Arial" w:hAnsi="Arial" w:cs="Arial"/>
          <w:sz w:val="16"/>
          <w:szCs w:val="16"/>
        </w:rPr>
        <w:t xml:space="preserve"> la Ciudad de México y el estado de Morelos.</w:t>
      </w:r>
    </w:p>
  </w:footnote>
  <w:footnote w:id="4">
    <w:p w14:paraId="48A2EC4F" w14:textId="4632CE69" w:rsidR="00AA0523" w:rsidRPr="00970642" w:rsidRDefault="00AA0523" w:rsidP="00943981">
      <w:pPr>
        <w:pStyle w:val="Textonotapie"/>
        <w:jc w:val="both"/>
        <w:rPr>
          <w:rFonts w:ascii="Arial" w:hAnsi="Arial" w:cs="Arial"/>
        </w:rPr>
      </w:pPr>
      <w:r w:rsidRPr="00970642">
        <w:rPr>
          <w:rStyle w:val="Refdenotaalpie"/>
          <w:rFonts w:ascii="Arial" w:hAnsi="Arial" w:cs="Arial"/>
        </w:rPr>
        <w:footnoteRef/>
      </w:r>
      <w:r w:rsidRPr="00970642">
        <w:rPr>
          <w:rFonts w:ascii="Arial" w:hAnsi="Arial" w:cs="Arial"/>
        </w:rPr>
        <w:t xml:space="preserve"> </w:t>
      </w:r>
      <w:r w:rsidRPr="00733F35">
        <w:rPr>
          <w:rFonts w:ascii="Arial" w:hAnsi="Arial" w:cs="Arial"/>
          <w:sz w:val="16"/>
          <w:szCs w:val="16"/>
        </w:rPr>
        <w:t xml:space="preserve">La categoría </w:t>
      </w:r>
      <w:r>
        <w:rPr>
          <w:rFonts w:ascii="Arial" w:hAnsi="Arial" w:cs="Arial"/>
          <w:sz w:val="16"/>
          <w:szCs w:val="16"/>
        </w:rPr>
        <w:t>«</w:t>
      </w:r>
      <w:r w:rsidRPr="00733F35">
        <w:rPr>
          <w:rFonts w:ascii="Arial" w:hAnsi="Arial" w:cs="Arial"/>
          <w:sz w:val="16"/>
          <w:szCs w:val="16"/>
        </w:rPr>
        <w:t>No especificado</w:t>
      </w:r>
      <w:r>
        <w:rPr>
          <w:rFonts w:ascii="Arial" w:hAnsi="Arial" w:cs="Arial"/>
          <w:sz w:val="16"/>
          <w:szCs w:val="16"/>
        </w:rPr>
        <w:t>»</w:t>
      </w:r>
      <w:r w:rsidRPr="00733F35">
        <w:rPr>
          <w:rFonts w:ascii="Arial" w:hAnsi="Arial" w:cs="Arial"/>
          <w:sz w:val="16"/>
          <w:szCs w:val="16"/>
        </w:rPr>
        <w:t xml:space="preserve"> registró 2.1 %. El total no incluye las titularidades vacantes (123).</w:t>
      </w:r>
    </w:p>
  </w:footnote>
  <w:footnote w:id="5">
    <w:p w14:paraId="104F4ED3" w14:textId="49091DDC" w:rsidR="00AA0523" w:rsidRDefault="00AA0523" w:rsidP="00881868">
      <w:pPr>
        <w:pStyle w:val="Textonotapie"/>
        <w:jc w:val="both"/>
      </w:pPr>
      <w:r>
        <w:rPr>
          <w:rStyle w:val="Refdenotaalpie"/>
        </w:rPr>
        <w:footnoteRef/>
      </w:r>
      <w:r>
        <w:t xml:space="preserve"> </w:t>
      </w:r>
      <w:r w:rsidRPr="00901C59">
        <w:rPr>
          <w:rFonts w:ascii="Arial" w:hAnsi="Arial" w:cs="Arial"/>
          <w:sz w:val="16"/>
          <w:szCs w:val="16"/>
        </w:rPr>
        <w:t xml:space="preserve">En 2020, </w:t>
      </w:r>
      <w:r>
        <w:rPr>
          <w:rFonts w:ascii="Arial" w:hAnsi="Arial" w:cs="Arial"/>
          <w:sz w:val="16"/>
          <w:szCs w:val="16"/>
        </w:rPr>
        <w:t xml:space="preserve">el total del tipo de agencias y/o fiscalías del Ministerio Público de la FGR fue de </w:t>
      </w:r>
      <w:r w:rsidRPr="00901C59">
        <w:rPr>
          <w:rFonts w:ascii="Arial" w:hAnsi="Arial" w:cs="Arial"/>
          <w:sz w:val="16"/>
          <w:szCs w:val="16"/>
        </w:rPr>
        <w:t>191</w:t>
      </w:r>
      <w:r>
        <w:rPr>
          <w:rFonts w:ascii="Arial" w:hAnsi="Arial" w:cs="Arial"/>
          <w:sz w:val="16"/>
          <w:szCs w:val="16"/>
        </w:rPr>
        <w:t>.</w:t>
      </w:r>
    </w:p>
  </w:footnote>
  <w:footnote w:id="6">
    <w:p w14:paraId="65854ED6" w14:textId="3ED2DBE8" w:rsidR="00AA0523" w:rsidRPr="00FA32FC" w:rsidRDefault="00AA0523" w:rsidP="00881868">
      <w:pPr>
        <w:pStyle w:val="Textonotapie"/>
        <w:rPr>
          <w:rFonts w:ascii="Arial" w:hAnsi="Arial" w:cs="Arial"/>
          <w:sz w:val="16"/>
          <w:szCs w:val="16"/>
        </w:rPr>
      </w:pPr>
      <w:r>
        <w:rPr>
          <w:rStyle w:val="Refdenotaalpie"/>
        </w:rPr>
        <w:footnoteRef/>
      </w:r>
      <w:r>
        <w:t xml:space="preserve"> </w:t>
      </w:r>
      <w:r>
        <w:rPr>
          <w:rFonts w:ascii="Arial" w:hAnsi="Arial" w:cs="Arial"/>
          <w:sz w:val="16"/>
          <w:szCs w:val="16"/>
        </w:rPr>
        <w:t>En el periodo referido</w:t>
      </w:r>
      <w:r w:rsidRPr="00901C59">
        <w:rPr>
          <w:rFonts w:ascii="Arial" w:hAnsi="Arial" w:cs="Arial"/>
          <w:sz w:val="16"/>
          <w:szCs w:val="16"/>
        </w:rPr>
        <w:t xml:space="preserve">, </w:t>
      </w:r>
      <w:r>
        <w:rPr>
          <w:rFonts w:ascii="Arial" w:hAnsi="Arial" w:cs="Arial"/>
          <w:sz w:val="16"/>
          <w:szCs w:val="16"/>
        </w:rPr>
        <w:t xml:space="preserve">el total del tipo de agencias y/o fiscalías del ministerio público de las FGE fue de </w:t>
      </w:r>
      <w:r w:rsidRPr="00C61B98">
        <w:rPr>
          <w:rFonts w:ascii="Arial" w:hAnsi="Arial" w:cs="Arial"/>
          <w:sz w:val="16"/>
          <w:szCs w:val="16"/>
        </w:rPr>
        <w:t>3 714</w:t>
      </w:r>
      <w:r>
        <w:rPr>
          <w:rFonts w:ascii="Arial" w:hAnsi="Arial" w:cs="Arial"/>
          <w:sz w:val="16"/>
          <w:szCs w:val="16"/>
        </w:rPr>
        <w:t>.</w:t>
      </w:r>
    </w:p>
  </w:footnote>
  <w:footnote w:id="7">
    <w:p w14:paraId="4AFDE03D" w14:textId="2330713F" w:rsidR="00AA0523" w:rsidRPr="005469A9" w:rsidRDefault="00AA0523" w:rsidP="008460DE">
      <w:pPr>
        <w:pStyle w:val="Textonotapie"/>
        <w:rPr>
          <w:rFonts w:ascii="Arial" w:hAnsi="Arial" w:cs="Arial"/>
          <w:sz w:val="16"/>
          <w:szCs w:val="16"/>
        </w:rPr>
      </w:pPr>
      <w:r w:rsidRPr="005469A9">
        <w:rPr>
          <w:rStyle w:val="Refdenotaalpie"/>
          <w:rFonts w:ascii="Arial" w:hAnsi="Arial" w:cs="Arial"/>
          <w:sz w:val="16"/>
          <w:szCs w:val="16"/>
        </w:rPr>
        <w:footnoteRef/>
      </w:r>
      <w:r w:rsidRPr="005469A9">
        <w:rPr>
          <w:rFonts w:ascii="Arial" w:hAnsi="Arial" w:cs="Arial"/>
          <w:sz w:val="16"/>
          <w:szCs w:val="16"/>
        </w:rPr>
        <w:t xml:space="preserve"> Chiapas</w:t>
      </w:r>
      <w:r>
        <w:rPr>
          <w:rFonts w:ascii="Arial" w:hAnsi="Arial" w:cs="Arial"/>
          <w:sz w:val="16"/>
          <w:szCs w:val="16"/>
        </w:rPr>
        <w:t xml:space="preserve"> </w:t>
      </w:r>
      <w:r w:rsidRPr="005469A9">
        <w:rPr>
          <w:rFonts w:ascii="Arial" w:hAnsi="Arial" w:cs="Arial"/>
          <w:sz w:val="16"/>
          <w:szCs w:val="16"/>
        </w:rPr>
        <w:t xml:space="preserve">reportó que el Centro de denuncia y </w:t>
      </w:r>
      <w:r>
        <w:rPr>
          <w:rFonts w:ascii="Arial" w:hAnsi="Arial" w:cs="Arial"/>
          <w:sz w:val="16"/>
          <w:szCs w:val="16"/>
        </w:rPr>
        <w:t>atención</w:t>
      </w:r>
      <w:r w:rsidRPr="005469A9">
        <w:rPr>
          <w:rFonts w:ascii="Arial" w:hAnsi="Arial" w:cs="Arial"/>
          <w:sz w:val="16"/>
          <w:szCs w:val="16"/>
        </w:rPr>
        <w:t xml:space="preserve"> ciudadana se encontraba en proceso de integración.</w:t>
      </w:r>
    </w:p>
  </w:footnote>
  <w:footnote w:id="8">
    <w:p w14:paraId="08904E7E" w14:textId="178239FF" w:rsidR="00AA0523" w:rsidRPr="005D2D13" w:rsidRDefault="00AA0523" w:rsidP="00920907">
      <w:pPr>
        <w:pStyle w:val="Textonotapie"/>
        <w:jc w:val="both"/>
        <w:rPr>
          <w:rFonts w:ascii="Arial" w:hAnsi="Arial" w:cs="Arial"/>
          <w:sz w:val="16"/>
          <w:szCs w:val="16"/>
        </w:rPr>
      </w:pPr>
      <w:r w:rsidRPr="005D2D13">
        <w:rPr>
          <w:rStyle w:val="Refdenotaalpie"/>
          <w:rFonts w:ascii="Arial" w:hAnsi="Arial" w:cs="Arial"/>
          <w:sz w:val="16"/>
          <w:szCs w:val="16"/>
        </w:rPr>
        <w:footnoteRef/>
      </w:r>
      <w:r w:rsidRPr="005D2D13">
        <w:rPr>
          <w:rStyle w:val="Refdenotaalpie"/>
          <w:rFonts w:ascii="Arial" w:hAnsi="Arial" w:cs="Arial"/>
          <w:sz w:val="16"/>
          <w:szCs w:val="16"/>
        </w:rPr>
        <w:t xml:space="preserve"> </w:t>
      </w:r>
      <w:r w:rsidRPr="005D2D13">
        <w:rPr>
          <w:rFonts w:ascii="Arial" w:hAnsi="Arial" w:cs="Arial"/>
          <w:sz w:val="16"/>
          <w:szCs w:val="16"/>
        </w:rPr>
        <w:t>Los módulos corresponden únicamente a los centros de denuncia de las FGE</w:t>
      </w:r>
      <w:r>
        <w:rPr>
          <w:rFonts w:ascii="Arial" w:hAnsi="Arial" w:cs="Arial"/>
          <w:sz w:val="16"/>
          <w:szCs w:val="16"/>
        </w:rPr>
        <w:t xml:space="preserve">, </w:t>
      </w:r>
      <w:r w:rsidRPr="009A2611">
        <w:rPr>
          <w:rFonts w:ascii="Arial" w:hAnsi="Arial" w:cs="Arial"/>
          <w:sz w:val="16"/>
          <w:szCs w:val="16"/>
        </w:rPr>
        <w:t>en el caso de la FGR se contabiliza el Centro de Denuncia y Atención Ciudadana.</w:t>
      </w:r>
      <w:r w:rsidRPr="00920907">
        <w:rPr>
          <w:sz w:val="22"/>
          <w:szCs w:val="22"/>
        </w:rPr>
        <w:t xml:space="preserve"> </w:t>
      </w:r>
      <w:r w:rsidRPr="00920907">
        <w:rPr>
          <w:rFonts w:ascii="Arial" w:hAnsi="Arial" w:cs="Arial"/>
          <w:sz w:val="16"/>
          <w:szCs w:val="16"/>
        </w:rPr>
        <w:t>No obstante, algunos de estos módulos pueden ejercer funciones de agencias/</w:t>
      </w:r>
      <w:r>
        <w:rPr>
          <w:rFonts w:ascii="Arial" w:hAnsi="Arial" w:cs="Arial"/>
          <w:sz w:val="16"/>
          <w:szCs w:val="16"/>
        </w:rPr>
        <w:t xml:space="preserve"> </w:t>
      </w:r>
      <w:r w:rsidRPr="00920907">
        <w:rPr>
          <w:rFonts w:ascii="Arial" w:hAnsi="Arial" w:cs="Arial"/>
          <w:sz w:val="16"/>
          <w:szCs w:val="16"/>
        </w:rPr>
        <w:t>fiscalías del Ministerio Público</w:t>
      </w:r>
      <w:r>
        <w:rPr>
          <w:rFonts w:ascii="Arial" w:hAnsi="Arial" w:cs="Arial"/>
          <w:sz w:val="16"/>
          <w:szCs w:val="16"/>
        </w:rPr>
        <w:t xml:space="preserve">. Lo anterior depende de </w:t>
      </w:r>
      <w:r w:rsidRPr="00920907">
        <w:rPr>
          <w:rFonts w:ascii="Arial" w:hAnsi="Arial" w:cs="Arial"/>
          <w:sz w:val="16"/>
          <w:szCs w:val="16"/>
        </w:rPr>
        <w:t>las necesidades coyunturales de las entidades federativas.</w:t>
      </w:r>
    </w:p>
  </w:footnote>
  <w:footnote w:id="9">
    <w:p w14:paraId="231FF272" w14:textId="101F3921" w:rsidR="00AA0523" w:rsidRPr="005D2D13" w:rsidRDefault="00AA0523" w:rsidP="008460DE">
      <w:pPr>
        <w:pStyle w:val="Textonotapie"/>
        <w:rPr>
          <w:rFonts w:ascii="Arial" w:hAnsi="Arial" w:cs="Arial"/>
          <w:sz w:val="16"/>
          <w:szCs w:val="16"/>
        </w:rPr>
      </w:pPr>
      <w:r w:rsidRPr="005D2D13">
        <w:rPr>
          <w:rStyle w:val="Refdenotaalpie"/>
          <w:rFonts w:ascii="Arial" w:hAnsi="Arial" w:cs="Arial"/>
          <w:sz w:val="16"/>
          <w:szCs w:val="16"/>
        </w:rPr>
        <w:footnoteRef/>
      </w:r>
      <w:r w:rsidRPr="005D2D13">
        <w:rPr>
          <w:rFonts w:ascii="Arial" w:hAnsi="Arial" w:cs="Arial"/>
          <w:sz w:val="16"/>
          <w:szCs w:val="16"/>
        </w:rPr>
        <w:t xml:space="preserve"> Se refiere a</w:t>
      </w:r>
      <w:r>
        <w:rPr>
          <w:rFonts w:ascii="Arial" w:hAnsi="Arial" w:cs="Arial"/>
          <w:sz w:val="16"/>
          <w:szCs w:val="16"/>
        </w:rPr>
        <w:t xml:space="preserve"> los</w:t>
      </w:r>
      <w:r w:rsidRPr="005D2D13">
        <w:rPr>
          <w:rFonts w:ascii="Arial" w:hAnsi="Arial" w:cs="Arial"/>
          <w:sz w:val="16"/>
          <w:szCs w:val="16"/>
        </w:rPr>
        <w:t xml:space="preserve"> registros que implicaron un proceso de atención.</w:t>
      </w:r>
    </w:p>
  </w:footnote>
  <w:footnote w:id="10">
    <w:p w14:paraId="1BA4BB82" w14:textId="18DF54B2" w:rsidR="00AA0523" w:rsidRPr="005D2D13" w:rsidRDefault="00AA0523" w:rsidP="008460DE">
      <w:pPr>
        <w:pStyle w:val="Textonotapie"/>
        <w:rPr>
          <w:rFonts w:ascii="Arial" w:hAnsi="Arial" w:cs="Arial"/>
          <w:sz w:val="16"/>
          <w:szCs w:val="16"/>
        </w:rPr>
      </w:pPr>
      <w:r w:rsidRPr="005D2D13">
        <w:rPr>
          <w:rStyle w:val="Refdenotaalpie"/>
          <w:rFonts w:ascii="Arial" w:hAnsi="Arial" w:cs="Arial"/>
          <w:sz w:val="16"/>
          <w:szCs w:val="16"/>
        </w:rPr>
        <w:footnoteRef/>
      </w:r>
      <w:r w:rsidRPr="005D2D13">
        <w:rPr>
          <w:rStyle w:val="Refdenotaalpie"/>
          <w:rFonts w:ascii="Arial" w:hAnsi="Arial" w:cs="Arial"/>
          <w:sz w:val="16"/>
          <w:szCs w:val="16"/>
        </w:rPr>
        <w:t xml:space="preserve"> </w:t>
      </w:r>
      <w:r w:rsidRPr="005D2D13">
        <w:rPr>
          <w:rFonts w:ascii="Arial" w:hAnsi="Arial" w:cs="Arial"/>
          <w:sz w:val="16"/>
          <w:szCs w:val="16"/>
        </w:rPr>
        <w:t>Se</w:t>
      </w:r>
      <w:r w:rsidRPr="00440985">
        <w:rPr>
          <w:rFonts w:ascii="Arial" w:hAnsi="Arial" w:cs="Arial"/>
          <w:sz w:val="16"/>
          <w:szCs w:val="16"/>
        </w:rPr>
        <w:t xml:space="preserve"> refiere a </w:t>
      </w:r>
      <w:r>
        <w:rPr>
          <w:rFonts w:ascii="Arial" w:hAnsi="Arial" w:cs="Arial"/>
          <w:sz w:val="16"/>
          <w:szCs w:val="16"/>
        </w:rPr>
        <w:t xml:space="preserve">los </w:t>
      </w:r>
      <w:r w:rsidRPr="00440985">
        <w:rPr>
          <w:rFonts w:ascii="Arial" w:hAnsi="Arial" w:cs="Arial"/>
          <w:sz w:val="16"/>
          <w:szCs w:val="16"/>
        </w:rPr>
        <w:t>registros falsos, incompletos u otro similar</w:t>
      </w:r>
      <w:r>
        <w:rPr>
          <w:rFonts w:ascii="Arial" w:hAnsi="Arial" w:cs="Arial"/>
          <w:sz w:val="16"/>
          <w:szCs w:val="16"/>
        </w:rPr>
        <w:t>.</w:t>
      </w:r>
    </w:p>
  </w:footnote>
  <w:footnote w:id="11">
    <w:p w14:paraId="368FF9E2" w14:textId="61BE81B7" w:rsidR="00AA0523" w:rsidRDefault="00AA0523" w:rsidP="00687107">
      <w:pPr>
        <w:pStyle w:val="Textonotapie"/>
        <w:jc w:val="both"/>
      </w:pPr>
      <w:r>
        <w:rPr>
          <w:rStyle w:val="Refdenotaalpie"/>
        </w:rPr>
        <w:footnoteRef/>
      </w:r>
      <w:r>
        <w:t xml:space="preserve"> </w:t>
      </w:r>
      <w:r w:rsidRPr="00562BD0">
        <w:rPr>
          <w:rFonts w:ascii="Arial" w:hAnsi="Arial" w:cs="Arial"/>
          <w:sz w:val="16"/>
          <w:szCs w:val="16"/>
        </w:rPr>
        <w:t>Las cifras se refieren a la actuación bajo el sistema tradicional para adultos y el sistema escrito o mixto de justicia para adolescentes (averiguaciones previas), el sistema oral para adolescentes (investigaciones) y el sistema penal acusatorio para adultos y el sistema integral de justicia penal para adolescentes (carpetas de investigación).</w:t>
      </w:r>
      <w:r>
        <w:rPr>
          <w:rFonts w:ascii="Arial" w:hAnsi="Arial" w:cs="Arial"/>
          <w:sz w:val="16"/>
          <w:szCs w:val="16"/>
        </w:rPr>
        <w:t xml:space="preserve"> </w:t>
      </w:r>
      <w:r w:rsidRPr="005C4172">
        <w:rPr>
          <w:rFonts w:ascii="Arial" w:hAnsi="Arial" w:cs="Arial"/>
          <w:sz w:val="16"/>
          <w:szCs w:val="16"/>
        </w:rPr>
        <w:t>No se incluye información de la FGR</w:t>
      </w:r>
      <w:r>
        <w:rPr>
          <w:rFonts w:ascii="Arial" w:hAnsi="Arial" w:cs="Arial"/>
          <w:sz w:val="16"/>
          <w:szCs w:val="16"/>
        </w:rPr>
        <w:t xml:space="preserve"> en la categoría «Cerradas». Lo anterior porque </w:t>
      </w:r>
      <w:r w:rsidRPr="005C4172">
        <w:rPr>
          <w:rFonts w:ascii="Arial" w:hAnsi="Arial" w:cs="Arial"/>
          <w:sz w:val="16"/>
          <w:szCs w:val="16"/>
        </w:rPr>
        <w:t>reportó no contar con información sobre los procesos de trabajo</w:t>
      </w:r>
      <w:r>
        <w:rPr>
          <w:rFonts w:ascii="Arial" w:hAnsi="Arial" w:cs="Arial"/>
          <w:sz w:val="16"/>
          <w:szCs w:val="16"/>
        </w:rPr>
        <w:t xml:space="preserve"> que se llevaron </w:t>
      </w:r>
      <w:r w:rsidRPr="005C4172">
        <w:rPr>
          <w:rFonts w:ascii="Arial" w:hAnsi="Arial" w:cs="Arial"/>
          <w:sz w:val="16"/>
          <w:szCs w:val="16"/>
        </w:rPr>
        <w:t>a cabo en las carpetas de investigación en la etapa de investigación complementaria.</w:t>
      </w:r>
    </w:p>
    <w:p w14:paraId="2BD6B724" w14:textId="4C7233C2" w:rsidR="00AA0523" w:rsidRDefault="00AA0523" w:rsidP="006473D7">
      <w:pPr>
        <w:pStyle w:val="Textonotapie"/>
        <w:jc w:val="both"/>
      </w:pPr>
    </w:p>
  </w:footnote>
  <w:footnote w:id="12">
    <w:p w14:paraId="5828954C" w14:textId="3E6F6D46" w:rsidR="00AA0523" w:rsidRPr="001235AB" w:rsidRDefault="00AA0523">
      <w:pPr>
        <w:pStyle w:val="Textonotapie"/>
        <w:rPr>
          <w:rFonts w:ascii="Arial" w:hAnsi="Arial" w:cs="Arial"/>
          <w:sz w:val="16"/>
          <w:szCs w:val="16"/>
        </w:rPr>
      </w:pPr>
      <w:r w:rsidRPr="001235AB">
        <w:rPr>
          <w:rStyle w:val="Refdenotaalpie"/>
          <w:rFonts w:ascii="Arial" w:hAnsi="Arial" w:cs="Arial"/>
          <w:sz w:val="16"/>
          <w:szCs w:val="16"/>
        </w:rPr>
        <w:footnoteRef/>
      </w:r>
      <w:r w:rsidRPr="001235AB">
        <w:rPr>
          <w:rFonts w:ascii="Arial" w:hAnsi="Arial" w:cs="Arial"/>
          <w:sz w:val="16"/>
          <w:szCs w:val="16"/>
        </w:rPr>
        <w:t xml:space="preserve"> En el caso de justicia para adolescentes se incluyen delitos del fuero común y federal.</w:t>
      </w:r>
    </w:p>
  </w:footnote>
  <w:footnote w:id="13">
    <w:p w14:paraId="1B6B37E4" w14:textId="3F50E781" w:rsidR="00AA0523" w:rsidRDefault="00AA0523" w:rsidP="00D159CE">
      <w:pPr>
        <w:pStyle w:val="Textonotapie"/>
        <w:jc w:val="both"/>
      </w:pPr>
      <w:r>
        <w:rPr>
          <w:rStyle w:val="Refdenotaalpie"/>
        </w:rPr>
        <w:footnoteRef/>
      </w:r>
      <w:r>
        <w:t xml:space="preserve"> </w:t>
      </w:r>
      <w:r w:rsidRPr="00A81F00">
        <w:rPr>
          <w:rFonts w:ascii="Arial" w:hAnsi="Arial" w:cs="Arial"/>
          <w:sz w:val="16"/>
          <w:szCs w:val="16"/>
        </w:rPr>
        <w:t xml:space="preserve">En 2020, el total de </w:t>
      </w:r>
      <w:r>
        <w:rPr>
          <w:rFonts w:ascii="Arial" w:hAnsi="Arial" w:cs="Arial"/>
          <w:sz w:val="16"/>
          <w:szCs w:val="16"/>
        </w:rPr>
        <w:t xml:space="preserve">personas </w:t>
      </w:r>
      <w:r w:rsidRPr="00A81F00">
        <w:rPr>
          <w:rFonts w:ascii="Arial" w:hAnsi="Arial" w:cs="Arial"/>
          <w:sz w:val="16"/>
          <w:szCs w:val="16"/>
        </w:rPr>
        <w:t>inculpad</w:t>
      </w:r>
      <w:r>
        <w:rPr>
          <w:rFonts w:ascii="Arial" w:hAnsi="Arial" w:cs="Arial"/>
          <w:sz w:val="16"/>
          <w:szCs w:val="16"/>
        </w:rPr>
        <w:t>as</w:t>
      </w:r>
      <w:r w:rsidRPr="00A81F00">
        <w:rPr>
          <w:rFonts w:ascii="Arial" w:hAnsi="Arial" w:cs="Arial"/>
          <w:sz w:val="16"/>
          <w:szCs w:val="16"/>
        </w:rPr>
        <w:t xml:space="preserve"> y/o imputad</w:t>
      </w:r>
      <w:r>
        <w:rPr>
          <w:rFonts w:ascii="Arial" w:hAnsi="Arial" w:cs="Arial"/>
          <w:sz w:val="16"/>
          <w:szCs w:val="16"/>
        </w:rPr>
        <w:t>a</w:t>
      </w:r>
      <w:r w:rsidRPr="00A81F00">
        <w:rPr>
          <w:rFonts w:ascii="Arial" w:hAnsi="Arial" w:cs="Arial"/>
          <w:sz w:val="16"/>
          <w:szCs w:val="16"/>
        </w:rPr>
        <w:t>s registrad</w:t>
      </w:r>
      <w:r>
        <w:rPr>
          <w:rFonts w:ascii="Arial" w:hAnsi="Arial" w:cs="Arial"/>
          <w:sz w:val="16"/>
          <w:szCs w:val="16"/>
        </w:rPr>
        <w:t>a</w:t>
      </w:r>
      <w:r w:rsidRPr="00A81F00">
        <w:rPr>
          <w:rFonts w:ascii="Arial" w:hAnsi="Arial" w:cs="Arial"/>
          <w:sz w:val="16"/>
          <w:szCs w:val="16"/>
        </w:rPr>
        <w:t>s en las averiguaciones previas, investigaciones y carpetas de investigación abiertas fue de 1 818 480.</w:t>
      </w:r>
    </w:p>
  </w:footnote>
  <w:footnote w:id="14">
    <w:p w14:paraId="51B8A79A" w14:textId="25BDB5AB" w:rsidR="00AA0523" w:rsidRDefault="00AA0523" w:rsidP="00A956B9">
      <w:pPr>
        <w:pStyle w:val="Textonotapie"/>
        <w:jc w:val="both"/>
      </w:pPr>
      <w:r w:rsidRPr="001C540D">
        <w:rPr>
          <w:rStyle w:val="Refdenotaalpie"/>
          <w:rFonts w:ascii="Arial" w:hAnsi="Arial" w:cs="Arial"/>
          <w:sz w:val="16"/>
          <w:szCs w:val="16"/>
        </w:rPr>
        <w:footnoteRef/>
      </w:r>
      <w:r w:rsidRPr="001C540D">
        <w:rPr>
          <w:rFonts w:ascii="Arial" w:hAnsi="Arial" w:cs="Arial"/>
          <w:sz w:val="16"/>
          <w:szCs w:val="16"/>
        </w:rPr>
        <w:t xml:space="preserve"> </w:t>
      </w:r>
      <w:r w:rsidRPr="00820AEF">
        <w:rPr>
          <w:rFonts w:ascii="Arial" w:hAnsi="Arial" w:cs="Arial"/>
          <w:sz w:val="16"/>
          <w:szCs w:val="16"/>
        </w:rPr>
        <w:t>En 2020, el total de determinaciones</w:t>
      </w:r>
      <w:r w:rsidRPr="001752EC">
        <w:rPr>
          <w:rFonts w:ascii="Arial" w:hAnsi="Arial" w:cs="Arial"/>
          <w:sz w:val="16"/>
          <w:szCs w:val="16"/>
        </w:rPr>
        <w:t xml:space="preserve"> y/o conclusiones efectuadas en las averiguaciones previas e investigaciones fue de 249 977.</w:t>
      </w:r>
    </w:p>
  </w:footnote>
  <w:footnote w:id="15">
    <w:p w14:paraId="1C3498A6" w14:textId="57B236A3" w:rsidR="00AA0523" w:rsidRPr="000F3EAD" w:rsidRDefault="00AA0523">
      <w:pPr>
        <w:pStyle w:val="Textonotapie"/>
        <w:rPr>
          <w:rFonts w:ascii="Arial" w:hAnsi="Arial" w:cs="Arial"/>
        </w:rPr>
      </w:pPr>
      <w:r>
        <w:rPr>
          <w:rStyle w:val="Refdenotaalpie"/>
        </w:rPr>
        <w:footnoteRef/>
      </w:r>
      <w:r>
        <w:t xml:space="preserve"> </w:t>
      </w:r>
      <w:r w:rsidRPr="000F3EAD">
        <w:rPr>
          <w:rFonts w:ascii="Arial" w:hAnsi="Arial" w:cs="Arial"/>
          <w:sz w:val="16"/>
          <w:szCs w:val="16"/>
        </w:rPr>
        <w:t>En 2020, el total de determinaciones y/o conclusiones efectuadas en las carpetas de investigación en la etapa de investigación inicial fue de 1 261 222.</w:t>
      </w:r>
    </w:p>
  </w:footnote>
  <w:footnote w:id="16">
    <w:p w14:paraId="7739DE22" w14:textId="6EB3D717" w:rsidR="00AA0523" w:rsidRDefault="00AA0523" w:rsidP="00D004EC">
      <w:pPr>
        <w:pStyle w:val="Textonotapie"/>
        <w:jc w:val="both"/>
      </w:pPr>
      <w:r>
        <w:rPr>
          <w:rStyle w:val="Refdenotaalpie"/>
        </w:rPr>
        <w:footnoteRef/>
      </w:r>
      <w:r>
        <w:t xml:space="preserve"> </w:t>
      </w:r>
      <w:r w:rsidRPr="005B2DEE">
        <w:rPr>
          <w:rFonts w:ascii="Arial" w:hAnsi="Arial" w:cs="Arial"/>
          <w:color w:val="000000"/>
          <w:sz w:val="16"/>
          <w:szCs w:val="16"/>
        </w:rPr>
        <w:t>En 2020, el total de determinaciones y/o conclusiones efectuadas en las carpetas de investigación en la etapa de investigación complementaria fue de 111 961.</w:t>
      </w:r>
    </w:p>
  </w:footnote>
  <w:footnote w:id="17">
    <w:p w14:paraId="17BADBAE" w14:textId="7CDE273E" w:rsidR="00AA0523" w:rsidRPr="00F2303A" w:rsidRDefault="00AA0523" w:rsidP="00F2303A">
      <w:pPr>
        <w:pStyle w:val="Textonotapie"/>
        <w:jc w:val="both"/>
        <w:rPr>
          <w:rFonts w:ascii="Arial" w:hAnsi="Arial" w:cs="Arial"/>
          <w:sz w:val="14"/>
          <w:szCs w:val="14"/>
        </w:rPr>
      </w:pPr>
      <w:r w:rsidRPr="00F2303A">
        <w:rPr>
          <w:rStyle w:val="Refdenotaalpie"/>
          <w:rFonts w:ascii="Arial" w:hAnsi="Arial" w:cs="Arial"/>
          <w:sz w:val="14"/>
          <w:szCs w:val="14"/>
        </w:rPr>
        <w:footnoteRef/>
      </w:r>
      <w:r w:rsidRPr="00F2303A">
        <w:rPr>
          <w:rFonts w:ascii="Arial" w:hAnsi="Arial" w:cs="Arial"/>
          <w:sz w:val="14"/>
          <w:szCs w:val="14"/>
        </w:rPr>
        <w:t xml:space="preserve"> </w:t>
      </w:r>
      <w:r w:rsidRPr="00AA0523">
        <w:rPr>
          <w:rFonts w:ascii="Arial" w:hAnsi="Arial" w:cs="Arial"/>
          <w:sz w:val="14"/>
          <w:szCs w:val="14"/>
        </w:rPr>
        <w:t>Los datos proporcionados por la Fiscalía General de la República se obtuvieron de diversos registros a los que tiene acceso el Centro Nacional de Planeación, Análisis e Información para el Combate a la Delincuencia (CENAPI), lo que incluye los aseguramientos de armas realizados por instituciones de los ámbitos federal y estatal.</w:t>
      </w:r>
    </w:p>
  </w:footnote>
  <w:footnote w:id="18">
    <w:p w14:paraId="768A61AC" w14:textId="07035B99" w:rsidR="00AA0523" w:rsidRPr="00F2303A" w:rsidRDefault="00AA0523" w:rsidP="0063743F">
      <w:pPr>
        <w:pStyle w:val="Textonotapie"/>
        <w:rPr>
          <w:rFonts w:ascii="Arial" w:hAnsi="Arial" w:cs="Arial"/>
          <w:sz w:val="14"/>
          <w:szCs w:val="14"/>
        </w:rPr>
      </w:pPr>
      <w:r w:rsidRPr="00F2303A">
        <w:rPr>
          <w:rStyle w:val="Refdenotaalpie"/>
          <w:rFonts w:ascii="Arial" w:hAnsi="Arial" w:cs="Arial"/>
          <w:sz w:val="14"/>
          <w:szCs w:val="14"/>
        </w:rPr>
        <w:footnoteRef/>
      </w:r>
      <w:r w:rsidRPr="00F2303A">
        <w:rPr>
          <w:rFonts w:ascii="Arial" w:hAnsi="Arial" w:cs="Arial"/>
          <w:sz w:val="14"/>
          <w:szCs w:val="14"/>
        </w:rPr>
        <w:t xml:space="preserve"> No se incluye la categoría «No identificado</w:t>
      </w:r>
      <w:r w:rsidRPr="00F2303A">
        <w:rPr>
          <w:sz w:val="14"/>
          <w:szCs w:val="14"/>
        </w:rPr>
        <w:t>»</w:t>
      </w:r>
      <w:r w:rsidRPr="00F2303A">
        <w:rPr>
          <w:rFonts w:ascii="Arial" w:hAnsi="Arial" w:cs="Arial"/>
          <w:sz w:val="14"/>
          <w:szCs w:val="14"/>
        </w:rPr>
        <w:t xml:space="preserve"> que correspondió a 0.4 % (90 armas).</w:t>
      </w:r>
    </w:p>
  </w:footnote>
  <w:footnote w:id="19">
    <w:p w14:paraId="26F72AF5" w14:textId="09762601" w:rsidR="00AA0523" w:rsidRPr="00D41818" w:rsidRDefault="00AA0523">
      <w:pPr>
        <w:pStyle w:val="Textonotapie"/>
        <w:rPr>
          <w:rFonts w:ascii="Arial" w:hAnsi="Arial" w:cs="Arial"/>
          <w:sz w:val="16"/>
          <w:szCs w:val="16"/>
        </w:rPr>
      </w:pPr>
      <w:r w:rsidRPr="00F2303A">
        <w:rPr>
          <w:rStyle w:val="Refdenotaalpie"/>
          <w:rFonts w:ascii="Arial" w:hAnsi="Arial" w:cs="Arial"/>
          <w:sz w:val="14"/>
          <w:szCs w:val="14"/>
        </w:rPr>
        <w:footnoteRef/>
      </w:r>
      <w:r w:rsidRPr="00F2303A">
        <w:rPr>
          <w:rFonts w:ascii="Arial" w:hAnsi="Arial" w:cs="Arial"/>
          <w:sz w:val="14"/>
          <w:szCs w:val="14"/>
        </w:rPr>
        <w:t xml:space="preserve"> Para el periodo referido se reportaron 8</w:t>
      </w:r>
      <w:r>
        <w:rPr>
          <w:rFonts w:ascii="Arial" w:hAnsi="Arial" w:cs="Arial"/>
          <w:sz w:val="14"/>
          <w:szCs w:val="14"/>
        </w:rPr>
        <w:t xml:space="preserve"> </w:t>
      </w:r>
      <w:r w:rsidRPr="00F2303A">
        <w:rPr>
          <w:rFonts w:ascii="Arial" w:hAnsi="Arial" w:cs="Arial"/>
          <w:sz w:val="14"/>
          <w:szCs w:val="14"/>
        </w:rPr>
        <w:t>845 armas aseguradas.</w:t>
      </w:r>
    </w:p>
  </w:footnote>
  <w:footnote w:id="20">
    <w:p w14:paraId="44D3988A" w14:textId="77777777" w:rsidR="00AA0523" w:rsidRPr="00A15F72" w:rsidRDefault="00AA0523" w:rsidP="00920907">
      <w:pPr>
        <w:pStyle w:val="Textonotapie"/>
        <w:ind w:right="21"/>
        <w:jc w:val="both"/>
        <w:rPr>
          <w:rFonts w:ascii="Arial" w:hAnsi="Arial" w:cs="Arial"/>
          <w:sz w:val="16"/>
          <w:szCs w:val="16"/>
        </w:rPr>
      </w:pPr>
      <w:r w:rsidRPr="00A15F72">
        <w:rPr>
          <w:rStyle w:val="Refdenotaalpie"/>
          <w:rFonts w:ascii="Arial" w:hAnsi="Arial" w:cs="Arial"/>
          <w:sz w:val="16"/>
          <w:szCs w:val="16"/>
        </w:rPr>
        <w:footnoteRef/>
      </w:r>
      <w:r w:rsidRPr="00A15F72">
        <w:rPr>
          <w:rFonts w:ascii="Arial" w:hAnsi="Arial" w:cs="Arial"/>
          <w:sz w:val="16"/>
          <w:szCs w:val="16"/>
        </w:rPr>
        <w:t xml:space="preserve"> En el periodo referido, el total de delitos registrados en los expedientes abiertos por los órganos o unidades administrativas encargadas de los mecanismos alternativos de solución de controversias de la FGR y las FGE fue de 263 536.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EEFB9" w14:textId="6DFE99FB" w:rsidR="00AA0523" w:rsidRPr="00CE3882" w:rsidRDefault="00AA0523" w:rsidP="00AA0523">
    <w:pPr>
      <w:tabs>
        <w:tab w:val="left" w:pos="5103"/>
      </w:tabs>
      <w:spacing w:after="0" w:line="240" w:lineRule="auto"/>
      <w:ind w:right="21"/>
      <w:jc w:val="right"/>
      <w:rPr>
        <w:rFonts w:ascii="Arial" w:eastAsia="Arial" w:hAnsi="Arial" w:cs="Arial"/>
        <w:sz w:val="24"/>
        <w:szCs w:val="24"/>
      </w:rPr>
    </w:pPr>
    <w:r w:rsidRPr="00CE3882">
      <w:rPr>
        <w:noProof/>
        <w:lang w:eastAsia="es-MX"/>
      </w:rPr>
      <w:drawing>
        <wp:anchor distT="0" distB="0" distL="114300" distR="114300" simplePos="0" relativeHeight="251666432" behindDoc="0" locked="0" layoutInCell="1" allowOverlap="1" wp14:anchorId="2115131E" wp14:editId="408B1DF2">
          <wp:simplePos x="0" y="0"/>
          <wp:positionH relativeFrom="margin">
            <wp:align>left</wp:align>
          </wp:positionH>
          <wp:positionV relativeFrom="margin">
            <wp:posOffset>-951783</wp:posOffset>
          </wp:positionV>
          <wp:extent cx="847725" cy="828675"/>
          <wp:effectExtent l="0" t="0" r="952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1" r="-1191"/>
                  <a:stretch/>
                </pic:blipFill>
                <pic:spPr bwMode="auto">
                  <a:xfrm>
                    <a:off x="0" y="0"/>
                    <a:ext cx="84772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sidRPr="00DE6EFC">
      <w:rPr>
        <w:rFonts w:ascii="Arial" w:hAnsi="Arial"/>
        <w:b/>
        <w:color w:val="002060"/>
        <w:sz w:val="24"/>
      </w:rPr>
      <w:t xml:space="preserve"> </w:t>
    </w:r>
    <w:r>
      <w:rPr>
        <w:rFonts w:ascii="Arial" w:hAnsi="Arial"/>
        <w:b/>
        <w:color w:val="002060"/>
        <w:sz w:val="24"/>
      </w:rPr>
      <w:t>589/22</w:t>
    </w:r>
  </w:p>
  <w:p w14:paraId="4B3F4C6C" w14:textId="60D0ECD6" w:rsidR="00AA0523" w:rsidRPr="00BA6E95" w:rsidRDefault="00AA0523" w:rsidP="00AA0523">
    <w:pPr>
      <w:tabs>
        <w:tab w:val="center" w:pos="5018"/>
        <w:tab w:val="right" w:pos="10037"/>
      </w:tabs>
      <w:spacing w:after="0" w:line="240" w:lineRule="auto"/>
      <w:ind w:right="21"/>
      <w:jc w:val="right"/>
      <w:rPr>
        <w:rFonts w:ascii="Arial"/>
        <w:b/>
        <w:color w:val="002060"/>
        <w:sz w:val="24"/>
      </w:rPr>
    </w:pPr>
    <w:r>
      <w:rPr>
        <w:rFonts w:ascii="Arial"/>
        <w:b/>
        <w:color w:val="002060"/>
        <w:sz w:val="24"/>
      </w:rPr>
      <w:t>13</w:t>
    </w:r>
    <w:r w:rsidRPr="00DE6EFC">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Pr>
        <w:rFonts w:ascii="Arial"/>
        <w:b/>
        <w:color w:val="002060"/>
        <w:spacing w:val="-5"/>
        <w:sz w:val="24"/>
      </w:rPr>
      <w:t>OCTUBRE</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2</w:t>
    </w:r>
  </w:p>
  <w:p w14:paraId="56639842" w14:textId="5B662F33" w:rsidR="00AA0523" w:rsidRDefault="00AA0523" w:rsidP="00AA0523">
    <w:pPr>
      <w:spacing w:after="0" w:line="240" w:lineRule="auto"/>
      <w:ind w:right="21"/>
      <w:jc w:val="right"/>
      <w:rPr>
        <w:rFonts w:ascii="Arial" w:hAnsi="Arial"/>
        <w:b/>
        <w:color w:val="002060"/>
        <w:sz w:val="24"/>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rPr>
        <w:rFonts w:ascii="Arial" w:hAnsi="Arial"/>
        <w:b/>
        <w:noProof/>
        <w:color w:val="002060"/>
        <w:sz w:val="24"/>
      </w:rPr>
      <w:t>1</w:t>
    </w:r>
    <w:r w:rsidRPr="00CE3882">
      <w:fldChar w:fldCharType="end"/>
    </w:r>
    <w:r w:rsidRPr="00CE3882">
      <w:rPr>
        <w:rFonts w:ascii="Arial" w:hAnsi="Arial"/>
        <w:b/>
        <w:color w:val="002060"/>
        <w:sz w:val="24"/>
      </w:rPr>
      <w:t>/</w:t>
    </w:r>
    <w:r>
      <w:rPr>
        <w:rFonts w:ascii="Arial" w:hAnsi="Arial"/>
        <w:b/>
        <w:color w:val="002060"/>
        <w:sz w:val="24"/>
      </w:rPr>
      <w:t>34</w:t>
    </w:r>
  </w:p>
  <w:p w14:paraId="45D511B0" w14:textId="77777777" w:rsidR="00AA0523" w:rsidRDefault="00AA0523" w:rsidP="0005255F">
    <w:pPr>
      <w:tabs>
        <w:tab w:val="left" w:pos="555"/>
        <w:tab w:val="left" w:pos="2790"/>
      </w:tabs>
      <w:ind w:right="4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1A14747E" w14:textId="77777777" w:rsidR="00AA0523" w:rsidRDefault="00AA0523">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8CB5" w14:textId="738EA52C" w:rsidR="00AA0523" w:rsidRPr="00BA6E95" w:rsidRDefault="00AA0523" w:rsidP="005617A2">
    <w:pPr>
      <w:tabs>
        <w:tab w:val="left" w:pos="5103"/>
      </w:tabs>
      <w:spacing w:after="0" w:line="240" w:lineRule="auto"/>
      <w:ind w:right="51"/>
      <w:jc w:val="right"/>
      <w:rPr>
        <w:rFonts w:ascii="Arial"/>
        <w:b/>
        <w:color w:val="002060"/>
        <w:sz w:val="24"/>
      </w:rPr>
    </w:pPr>
    <w:r w:rsidRPr="00CE3882">
      <w:rPr>
        <w:noProof/>
        <w:lang w:eastAsia="es-MX"/>
      </w:rPr>
      <w:drawing>
        <wp:anchor distT="0" distB="0" distL="114300" distR="114300" simplePos="0" relativeHeight="251667456" behindDoc="0" locked="0" layoutInCell="1" allowOverlap="1" wp14:anchorId="6AD1F9B6" wp14:editId="6D82F6C0">
          <wp:simplePos x="0" y="0"/>
          <wp:positionH relativeFrom="margin">
            <wp:posOffset>2698471</wp:posOffset>
          </wp:positionH>
          <wp:positionV relativeFrom="paragraph">
            <wp:posOffset>101600</wp:posOffset>
          </wp:positionV>
          <wp:extent cx="676800" cy="705600"/>
          <wp:effectExtent l="0" t="0" r="9525" b="0"/>
          <wp:wrapSquare wrapText="bothSides"/>
          <wp:docPr id="12" name="Imagen 12" descr="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n 12" descr="Logotipo&#10;&#10;Descripción generada automáticamente"/>
                  <pic:cNvPicPr preferRelativeResize="0">
                    <a:picLocks noChangeAspect="1" noChangeArrowheads="1"/>
                  </pic:cNvPicPr>
                </pic:nvPicPr>
                <pic:blipFill rotWithShape="1">
                  <a:blip r:embed="rId1">
                    <a:extLst>
                      <a:ext uri="{28A0092B-C50C-407E-A947-70E740481C1C}">
                        <a14:useLocalDpi xmlns:a14="http://schemas.microsoft.com/office/drawing/2010/main" val="0"/>
                      </a:ext>
                    </a:extLst>
                  </a:blip>
                  <a:srcRect l="-1191" r="-1191"/>
                  <a:stretch/>
                </pic:blipFill>
                <pic:spPr bwMode="auto">
                  <a:xfrm>
                    <a:off x="0" y="0"/>
                    <a:ext cx="676800" cy="705600"/>
                  </a:xfrm>
                  <a:prstGeom prst="rect">
                    <a:avLst/>
                  </a:prstGeom>
                  <a:noFill/>
                  <a:ln>
                    <a:noFill/>
                  </a:ln>
                </pic:spPr>
              </pic:pic>
            </a:graphicData>
          </a:graphic>
        </wp:anchor>
      </w:drawing>
    </w:r>
  </w:p>
  <w:p w14:paraId="566A11BE" w14:textId="47145F09" w:rsidR="00AA0523" w:rsidRDefault="00AA0523" w:rsidP="006E0ABE">
    <w:pPr>
      <w:tabs>
        <w:tab w:val="left" w:pos="555"/>
        <w:tab w:val="left" w:pos="2790"/>
      </w:tabs>
      <w:ind w:right="49"/>
      <w:jc w:val="center"/>
      <w:rPr>
        <w:rFonts w:ascii="Arial" w:eastAsia="Arial" w:hAnsi="Arial" w:cs="Arial"/>
        <w:sz w:val="24"/>
        <w:szCs w:val="24"/>
      </w:rPr>
    </w:pPr>
  </w:p>
  <w:p w14:paraId="3E378854" w14:textId="77777777" w:rsidR="00AA0523" w:rsidRDefault="00AA052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72D"/>
    <w:multiLevelType w:val="hybridMultilevel"/>
    <w:tmpl w:val="B9BA8B7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8D03E5D"/>
    <w:multiLevelType w:val="hybridMultilevel"/>
    <w:tmpl w:val="26EA66C0"/>
    <w:lvl w:ilvl="0" w:tplc="2EA499D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C444AC2"/>
    <w:multiLevelType w:val="hybridMultilevel"/>
    <w:tmpl w:val="C63A34B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0CE715A"/>
    <w:multiLevelType w:val="hybridMultilevel"/>
    <w:tmpl w:val="B0AE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9876A2"/>
    <w:multiLevelType w:val="hybridMultilevel"/>
    <w:tmpl w:val="E3FA6A6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1A211631"/>
    <w:multiLevelType w:val="hybridMultilevel"/>
    <w:tmpl w:val="1BF84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7" w15:restartNumberingAfterBreak="0">
    <w:nsid w:val="1BC7633C"/>
    <w:multiLevelType w:val="hybridMultilevel"/>
    <w:tmpl w:val="2BC0C7F6"/>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2228235E"/>
    <w:multiLevelType w:val="hybridMultilevel"/>
    <w:tmpl w:val="2A42B02A"/>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22611C4C"/>
    <w:multiLevelType w:val="hybridMultilevel"/>
    <w:tmpl w:val="E2C09E50"/>
    <w:lvl w:ilvl="0" w:tplc="076AA74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1"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80614A"/>
    <w:multiLevelType w:val="hybridMultilevel"/>
    <w:tmpl w:val="60F05A5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99504AB"/>
    <w:multiLevelType w:val="hybridMultilevel"/>
    <w:tmpl w:val="FC24B15A"/>
    <w:lvl w:ilvl="0" w:tplc="5CB85708">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0A0623"/>
    <w:multiLevelType w:val="hybridMultilevel"/>
    <w:tmpl w:val="45CE8512"/>
    <w:lvl w:ilvl="0" w:tplc="7DEE96C8">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020D48"/>
    <w:multiLevelType w:val="hybridMultilevel"/>
    <w:tmpl w:val="4CD60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1560FF"/>
    <w:multiLevelType w:val="hybridMultilevel"/>
    <w:tmpl w:val="C7EAD7F0"/>
    <w:lvl w:ilvl="0" w:tplc="78F0162E">
      <w:start w:val="2"/>
      <w:numFmt w:val="bullet"/>
      <w:lvlText w:val="•"/>
      <w:lvlJc w:val="left"/>
      <w:pPr>
        <w:ind w:left="0" w:hanging="5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2F3DCA"/>
    <w:multiLevelType w:val="hybridMultilevel"/>
    <w:tmpl w:val="4B240908"/>
    <w:lvl w:ilvl="0" w:tplc="959E4ACE">
      <w:start w:val="1"/>
      <w:numFmt w:val="bullet"/>
      <w:lvlText w:val=""/>
      <w:lvlJc w:val="left"/>
      <w:pPr>
        <w:ind w:left="720" w:hanging="360"/>
      </w:pPr>
      <w:rPr>
        <w:rFonts w:ascii="Symbol" w:hAnsi="Symbol" w:hint="default"/>
        <w:color w:val="C1268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895A99"/>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B053AF"/>
    <w:multiLevelType w:val="hybridMultilevel"/>
    <w:tmpl w:val="BA1E8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C625D8"/>
    <w:multiLevelType w:val="hybridMultilevel"/>
    <w:tmpl w:val="F4FADA3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A64197"/>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7" w15:restartNumberingAfterBreak="0">
    <w:nsid w:val="5C335FBA"/>
    <w:multiLevelType w:val="hybridMultilevel"/>
    <w:tmpl w:val="1C0C548E"/>
    <w:lvl w:ilvl="0" w:tplc="5DF26640">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164F32"/>
    <w:multiLevelType w:val="hybridMultilevel"/>
    <w:tmpl w:val="CA7210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8C62B1"/>
    <w:multiLevelType w:val="hybridMultilevel"/>
    <w:tmpl w:val="F96684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AD2DF2"/>
    <w:multiLevelType w:val="hybridMultilevel"/>
    <w:tmpl w:val="CE007318"/>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3" w15:restartNumberingAfterBreak="0">
    <w:nsid w:val="75A806B4"/>
    <w:multiLevelType w:val="hybridMultilevel"/>
    <w:tmpl w:val="E2300E20"/>
    <w:lvl w:ilvl="0" w:tplc="5932247A">
      <w:start w:val="1"/>
      <w:numFmt w:val="upperLetter"/>
      <w:lvlText w:val="%1)"/>
      <w:lvlJc w:val="left"/>
      <w:pPr>
        <w:ind w:left="720" w:hanging="360"/>
      </w:pPr>
      <w:rPr>
        <w:rFonts w:hint="default"/>
        <w:b w:val="0"/>
        <w:small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DA2D0F"/>
    <w:multiLevelType w:val="hybridMultilevel"/>
    <w:tmpl w:val="C0D2AE0E"/>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5" w15:restartNumberingAfterBreak="0">
    <w:nsid w:val="7E154224"/>
    <w:multiLevelType w:val="hybridMultilevel"/>
    <w:tmpl w:val="66D46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FC4DDC"/>
    <w:multiLevelType w:val="hybridMultilevel"/>
    <w:tmpl w:val="0D5A808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31"/>
  </w:num>
  <w:num w:numId="2">
    <w:abstractNumId w:val="12"/>
  </w:num>
  <w:num w:numId="3">
    <w:abstractNumId w:val="17"/>
  </w:num>
  <w:num w:numId="4">
    <w:abstractNumId w:val="20"/>
  </w:num>
  <w:num w:numId="5">
    <w:abstractNumId w:val="11"/>
  </w:num>
  <w:num w:numId="6">
    <w:abstractNumId w:val="29"/>
  </w:num>
  <w:num w:numId="7">
    <w:abstractNumId w:val="25"/>
  </w:num>
  <w:num w:numId="8">
    <w:abstractNumId w:val="23"/>
  </w:num>
  <w:num w:numId="9">
    <w:abstractNumId w:val="6"/>
  </w:num>
  <w:num w:numId="10">
    <w:abstractNumId w:val="10"/>
  </w:num>
  <w:num w:numId="11">
    <w:abstractNumId w:val="30"/>
  </w:num>
  <w:num w:numId="12">
    <w:abstractNumId w:val="26"/>
  </w:num>
  <w:num w:numId="13">
    <w:abstractNumId w:val="18"/>
  </w:num>
  <w:num w:numId="14">
    <w:abstractNumId w:val="7"/>
  </w:num>
  <w:num w:numId="15">
    <w:abstractNumId w:val="32"/>
  </w:num>
  <w:num w:numId="16">
    <w:abstractNumId w:val="8"/>
  </w:num>
  <w:num w:numId="17">
    <w:abstractNumId w:val="1"/>
  </w:num>
  <w:num w:numId="18">
    <w:abstractNumId w:val="24"/>
  </w:num>
  <w:num w:numId="19">
    <w:abstractNumId w:val="34"/>
  </w:num>
  <w:num w:numId="20">
    <w:abstractNumId w:val="2"/>
  </w:num>
  <w:num w:numId="21">
    <w:abstractNumId w:val="5"/>
  </w:num>
  <w:num w:numId="22">
    <w:abstractNumId w:val="14"/>
  </w:num>
  <w:num w:numId="23">
    <w:abstractNumId w:val="15"/>
  </w:num>
  <w:num w:numId="24">
    <w:abstractNumId w:val="19"/>
  </w:num>
  <w:num w:numId="25">
    <w:abstractNumId w:val="27"/>
  </w:num>
  <w:num w:numId="26">
    <w:abstractNumId w:val="9"/>
  </w:num>
  <w:num w:numId="27">
    <w:abstractNumId w:val="0"/>
  </w:num>
  <w:num w:numId="28">
    <w:abstractNumId w:val="13"/>
  </w:num>
  <w:num w:numId="29">
    <w:abstractNumId w:val="22"/>
  </w:num>
  <w:num w:numId="30">
    <w:abstractNumId w:val="16"/>
  </w:num>
  <w:num w:numId="31">
    <w:abstractNumId w:val="33"/>
  </w:num>
  <w:num w:numId="32">
    <w:abstractNumId w:val="4"/>
  </w:num>
  <w:num w:numId="33">
    <w:abstractNumId w:val="3"/>
  </w:num>
  <w:num w:numId="34">
    <w:abstractNumId w:val="36"/>
  </w:num>
  <w:num w:numId="35">
    <w:abstractNumId w:val="21"/>
  </w:num>
  <w:num w:numId="36">
    <w:abstractNumId w:val="28"/>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C"/>
    <w:rsid w:val="000000FC"/>
    <w:rsid w:val="00000424"/>
    <w:rsid w:val="00000E55"/>
    <w:rsid w:val="00001AA4"/>
    <w:rsid w:val="00002B26"/>
    <w:rsid w:val="00002CDD"/>
    <w:rsid w:val="00003FE7"/>
    <w:rsid w:val="00004767"/>
    <w:rsid w:val="00004C8B"/>
    <w:rsid w:val="000056F6"/>
    <w:rsid w:val="0000610B"/>
    <w:rsid w:val="00006A55"/>
    <w:rsid w:val="00007D39"/>
    <w:rsid w:val="000107E8"/>
    <w:rsid w:val="00010937"/>
    <w:rsid w:val="00011010"/>
    <w:rsid w:val="00011725"/>
    <w:rsid w:val="00011744"/>
    <w:rsid w:val="0001317A"/>
    <w:rsid w:val="000145D3"/>
    <w:rsid w:val="00014E06"/>
    <w:rsid w:val="000156A1"/>
    <w:rsid w:val="0001725F"/>
    <w:rsid w:val="000172B9"/>
    <w:rsid w:val="00017925"/>
    <w:rsid w:val="00017EA4"/>
    <w:rsid w:val="0002002F"/>
    <w:rsid w:val="000201B5"/>
    <w:rsid w:val="00021552"/>
    <w:rsid w:val="00024609"/>
    <w:rsid w:val="00024639"/>
    <w:rsid w:val="00025559"/>
    <w:rsid w:val="0002586E"/>
    <w:rsid w:val="00025E4A"/>
    <w:rsid w:val="00026F86"/>
    <w:rsid w:val="0002721A"/>
    <w:rsid w:val="00027314"/>
    <w:rsid w:val="00027B5B"/>
    <w:rsid w:val="00027C25"/>
    <w:rsid w:val="00030801"/>
    <w:rsid w:val="00030A6F"/>
    <w:rsid w:val="00030E59"/>
    <w:rsid w:val="00030FF2"/>
    <w:rsid w:val="00031FAF"/>
    <w:rsid w:val="0003217B"/>
    <w:rsid w:val="000325AE"/>
    <w:rsid w:val="000326DE"/>
    <w:rsid w:val="00032B39"/>
    <w:rsid w:val="00032DDB"/>
    <w:rsid w:val="00032FDA"/>
    <w:rsid w:val="00033557"/>
    <w:rsid w:val="00033791"/>
    <w:rsid w:val="00033D2D"/>
    <w:rsid w:val="000346AB"/>
    <w:rsid w:val="00034E0F"/>
    <w:rsid w:val="00035BF0"/>
    <w:rsid w:val="00036E78"/>
    <w:rsid w:val="000379BF"/>
    <w:rsid w:val="00037A95"/>
    <w:rsid w:val="000403B0"/>
    <w:rsid w:val="000404FC"/>
    <w:rsid w:val="00040BE0"/>
    <w:rsid w:val="00040D12"/>
    <w:rsid w:val="000417A0"/>
    <w:rsid w:val="00042140"/>
    <w:rsid w:val="00042FF0"/>
    <w:rsid w:val="00043E92"/>
    <w:rsid w:val="00044658"/>
    <w:rsid w:val="00044EF3"/>
    <w:rsid w:val="00044F1F"/>
    <w:rsid w:val="00045D1B"/>
    <w:rsid w:val="00047BDB"/>
    <w:rsid w:val="00050129"/>
    <w:rsid w:val="0005255F"/>
    <w:rsid w:val="00052760"/>
    <w:rsid w:val="00052D31"/>
    <w:rsid w:val="000531CB"/>
    <w:rsid w:val="0005371D"/>
    <w:rsid w:val="00053CA3"/>
    <w:rsid w:val="00056897"/>
    <w:rsid w:val="000568E5"/>
    <w:rsid w:val="000571E1"/>
    <w:rsid w:val="00057CB6"/>
    <w:rsid w:val="00057EA6"/>
    <w:rsid w:val="00057FF3"/>
    <w:rsid w:val="00060282"/>
    <w:rsid w:val="000614DF"/>
    <w:rsid w:val="00061667"/>
    <w:rsid w:val="0006241F"/>
    <w:rsid w:val="0006387F"/>
    <w:rsid w:val="00064212"/>
    <w:rsid w:val="00065A38"/>
    <w:rsid w:val="000660AC"/>
    <w:rsid w:val="00066358"/>
    <w:rsid w:val="00066519"/>
    <w:rsid w:val="00066D00"/>
    <w:rsid w:val="00070603"/>
    <w:rsid w:val="0007094E"/>
    <w:rsid w:val="00070A10"/>
    <w:rsid w:val="0007141C"/>
    <w:rsid w:val="000714CA"/>
    <w:rsid w:val="0007309B"/>
    <w:rsid w:val="00073FA9"/>
    <w:rsid w:val="00074074"/>
    <w:rsid w:val="00074162"/>
    <w:rsid w:val="000744B9"/>
    <w:rsid w:val="00075361"/>
    <w:rsid w:val="000754D6"/>
    <w:rsid w:val="00075880"/>
    <w:rsid w:val="0007632A"/>
    <w:rsid w:val="0008014C"/>
    <w:rsid w:val="00080747"/>
    <w:rsid w:val="00080A4B"/>
    <w:rsid w:val="00080F0B"/>
    <w:rsid w:val="00081222"/>
    <w:rsid w:val="00081C1A"/>
    <w:rsid w:val="00082776"/>
    <w:rsid w:val="000830D9"/>
    <w:rsid w:val="00083B75"/>
    <w:rsid w:val="00084B52"/>
    <w:rsid w:val="00085928"/>
    <w:rsid w:val="000863E3"/>
    <w:rsid w:val="00091CB5"/>
    <w:rsid w:val="00092157"/>
    <w:rsid w:val="000921E3"/>
    <w:rsid w:val="000924F1"/>
    <w:rsid w:val="00093A3D"/>
    <w:rsid w:val="000951B2"/>
    <w:rsid w:val="000959B2"/>
    <w:rsid w:val="00096014"/>
    <w:rsid w:val="00096A58"/>
    <w:rsid w:val="00096C2C"/>
    <w:rsid w:val="00097674"/>
    <w:rsid w:val="00097D95"/>
    <w:rsid w:val="000A0697"/>
    <w:rsid w:val="000A06DC"/>
    <w:rsid w:val="000A0BF8"/>
    <w:rsid w:val="000A11A6"/>
    <w:rsid w:val="000A1D50"/>
    <w:rsid w:val="000A2256"/>
    <w:rsid w:val="000A26BA"/>
    <w:rsid w:val="000A27E5"/>
    <w:rsid w:val="000A2C8B"/>
    <w:rsid w:val="000A4384"/>
    <w:rsid w:val="000A4981"/>
    <w:rsid w:val="000A53E5"/>
    <w:rsid w:val="000A788D"/>
    <w:rsid w:val="000A7D6D"/>
    <w:rsid w:val="000B1270"/>
    <w:rsid w:val="000B12BB"/>
    <w:rsid w:val="000B18F0"/>
    <w:rsid w:val="000B1A99"/>
    <w:rsid w:val="000B2CE2"/>
    <w:rsid w:val="000B42CC"/>
    <w:rsid w:val="000B45C4"/>
    <w:rsid w:val="000B47B6"/>
    <w:rsid w:val="000B4C41"/>
    <w:rsid w:val="000B5202"/>
    <w:rsid w:val="000B7C27"/>
    <w:rsid w:val="000C032B"/>
    <w:rsid w:val="000C073C"/>
    <w:rsid w:val="000C0B5B"/>
    <w:rsid w:val="000C0C28"/>
    <w:rsid w:val="000C0D37"/>
    <w:rsid w:val="000C0D38"/>
    <w:rsid w:val="000C1491"/>
    <w:rsid w:val="000C286D"/>
    <w:rsid w:val="000C2976"/>
    <w:rsid w:val="000C2C22"/>
    <w:rsid w:val="000C3568"/>
    <w:rsid w:val="000C3EFC"/>
    <w:rsid w:val="000C4770"/>
    <w:rsid w:val="000C51CA"/>
    <w:rsid w:val="000C538D"/>
    <w:rsid w:val="000C5DAE"/>
    <w:rsid w:val="000C5E9C"/>
    <w:rsid w:val="000C62C8"/>
    <w:rsid w:val="000C64FF"/>
    <w:rsid w:val="000C6F07"/>
    <w:rsid w:val="000C6FCD"/>
    <w:rsid w:val="000C6FE6"/>
    <w:rsid w:val="000C70C9"/>
    <w:rsid w:val="000C7632"/>
    <w:rsid w:val="000C7D81"/>
    <w:rsid w:val="000D1375"/>
    <w:rsid w:val="000D159F"/>
    <w:rsid w:val="000D19A2"/>
    <w:rsid w:val="000D1BB1"/>
    <w:rsid w:val="000D20D1"/>
    <w:rsid w:val="000D2A09"/>
    <w:rsid w:val="000D38B5"/>
    <w:rsid w:val="000D48F4"/>
    <w:rsid w:val="000D4D4A"/>
    <w:rsid w:val="000D5ED7"/>
    <w:rsid w:val="000D670E"/>
    <w:rsid w:val="000D7533"/>
    <w:rsid w:val="000E01F6"/>
    <w:rsid w:val="000E069A"/>
    <w:rsid w:val="000E0A39"/>
    <w:rsid w:val="000E19F7"/>
    <w:rsid w:val="000E211A"/>
    <w:rsid w:val="000E2883"/>
    <w:rsid w:val="000E3ED3"/>
    <w:rsid w:val="000E3FBE"/>
    <w:rsid w:val="000E4595"/>
    <w:rsid w:val="000E5A69"/>
    <w:rsid w:val="000E6128"/>
    <w:rsid w:val="000E6C7B"/>
    <w:rsid w:val="000E7528"/>
    <w:rsid w:val="000F0009"/>
    <w:rsid w:val="000F046A"/>
    <w:rsid w:val="000F1099"/>
    <w:rsid w:val="000F1AFE"/>
    <w:rsid w:val="000F201E"/>
    <w:rsid w:val="000F210F"/>
    <w:rsid w:val="000F274F"/>
    <w:rsid w:val="000F3463"/>
    <w:rsid w:val="000F37A7"/>
    <w:rsid w:val="000F3AB5"/>
    <w:rsid w:val="000F3EAD"/>
    <w:rsid w:val="000F4695"/>
    <w:rsid w:val="000F4EC1"/>
    <w:rsid w:val="000F64A5"/>
    <w:rsid w:val="000F658F"/>
    <w:rsid w:val="000F697C"/>
    <w:rsid w:val="000F69B7"/>
    <w:rsid w:val="000F7CD7"/>
    <w:rsid w:val="00102BB3"/>
    <w:rsid w:val="00102F27"/>
    <w:rsid w:val="001031EA"/>
    <w:rsid w:val="00104A43"/>
    <w:rsid w:val="00104C25"/>
    <w:rsid w:val="00107F3E"/>
    <w:rsid w:val="0011020E"/>
    <w:rsid w:val="00110F02"/>
    <w:rsid w:val="00111E48"/>
    <w:rsid w:val="00112B8B"/>
    <w:rsid w:val="00113525"/>
    <w:rsid w:val="00113916"/>
    <w:rsid w:val="00113E64"/>
    <w:rsid w:val="001145DB"/>
    <w:rsid w:val="001148D4"/>
    <w:rsid w:val="001152A8"/>
    <w:rsid w:val="00115CA8"/>
    <w:rsid w:val="001169D7"/>
    <w:rsid w:val="00116DA9"/>
    <w:rsid w:val="0012002E"/>
    <w:rsid w:val="001214D8"/>
    <w:rsid w:val="001228F9"/>
    <w:rsid w:val="001235AB"/>
    <w:rsid w:val="001235D0"/>
    <w:rsid w:val="001236CA"/>
    <w:rsid w:val="0012391C"/>
    <w:rsid w:val="00124D53"/>
    <w:rsid w:val="00125870"/>
    <w:rsid w:val="00125F2C"/>
    <w:rsid w:val="00130A88"/>
    <w:rsid w:val="00131DAB"/>
    <w:rsid w:val="00132BBC"/>
    <w:rsid w:val="00132F0D"/>
    <w:rsid w:val="00132F2B"/>
    <w:rsid w:val="00133253"/>
    <w:rsid w:val="001334A9"/>
    <w:rsid w:val="00133E8B"/>
    <w:rsid w:val="001343BD"/>
    <w:rsid w:val="00134762"/>
    <w:rsid w:val="0013511D"/>
    <w:rsid w:val="00135313"/>
    <w:rsid w:val="001368A8"/>
    <w:rsid w:val="00136CA7"/>
    <w:rsid w:val="00136E4F"/>
    <w:rsid w:val="00136E5B"/>
    <w:rsid w:val="00136F02"/>
    <w:rsid w:val="001379C4"/>
    <w:rsid w:val="00137B46"/>
    <w:rsid w:val="00137EFF"/>
    <w:rsid w:val="00141504"/>
    <w:rsid w:val="001417E3"/>
    <w:rsid w:val="00141F28"/>
    <w:rsid w:val="0014218E"/>
    <w:rsid w:val="00142305"/>
    <w:rsid w:val="0014342F"/>
    <w:rsid w:val="00143761"/>
    <w:rsid w:val="001438E6"/>
    <w:rsid w:val="00144733"/>
    <w:rsid w:val="00144B16"/>
    <w:rsid w:val="001459FF"/>
    <w:rsid w:val="00145F8E"/>
    <w:rsid w:val="001512AD"/>
    <w:rsid w:val="00152589"/>
    <w:rsid w:val="001525B4"/>
    <w:rsid w:val="0015302E"/>
    <w:rsid w:val="00153B4D"/>
    <w:rsid w:val="00154244"/>
    <w:rsid w:val="001543CD"/>
    <w:rsid w:val="0015517C"/>
    <w:rsid w:val="001556A8"/>
    <w:rsid w:val="00155C44"/>
    <w:rsid w:val="0015697A"/>
    <w:rsid w:val="00156F62"/>
    <w:rsid w:val="00160141"/>
    <w:rsid w:val="00160E57"/>
    <w:rsid w:val="00161B8A"/>
    <w:rsid w:val="00161BE7"/>
    <w:rsid w:val="00162065"/>
    <w:rsid w:val="00162A3D"/>
    <w:rsid w:val="0016306C"/>
    <w:rsid w:val="00163ADB"/>
    <w:rsid w:val="00164E86"/>
    <w:rsid w:val="00165019"/>
    <w:rsid w:val="00166360"/>
    <w:rsid w:val="00167825"/>
    <w:rsid w:val="00167FC2"/>
    <w:rsid w:val="001704A2"/>
    <w:rsid w:val="0017112E"/>
    <w:rsid w:val="00171141"/>
    <w:rsid w:val="00171206"/>
    <w:rsid w:val="00171C20"/>
    <w:rsid w:val="001736A3"/>
    <w:rsid w:val="001752EC"/>
    <w:rsid w:val="0017661B"/>
    <w:rsid w:val="001768B4"/>
    <w:rsid w:val="00181A0A"/>
    <w:rsid w:val="00182E82"/>
    <w:rsid w:val="00182E98"/>
    <w:rsid w:val="00183F18"/>
    <w:rsid w:val="001842BE"/>
    <w:rsid w:val="0018580D"/>
    <w:rsid w:val="0018703D"/>
    <w:rsid w:val="001876AD"/>
    <w:rsid w:val="00187866"/>
    <w:rsid w:val="0019121B"/>
    <w:rsid w:val="00192CF4"/>
    <w:rsid w:val="00194214"/>
    <w:rsid w:val="001945D8"/>
    <w:rsid w:val="00194CCC"/>
    <w:rsid w:val="001954A6"/>
    <w:rsid w:val="0019576A"/>
    <w:rsid w:val="001974AD"/>
    <w:rsid w:val="00197664"/>
    <w:rsid w:val="00197895"/>
    <w:rsid w:val="001A00C9"/>
    <w:rsid w:val="001A07B0"/>
    <w:rsid w:val="001A0984"/>
    <w:rsid w:val="001A0F10"/>
    <w:rsid w:val="001A34F9"/>
    <w:rsid w:val="001A3B97"/>
    <w:rsid w:val="001A3BF9"/>
    <w:rsid w:val="001A3C3F"/>
    <w:rsid w:val="001A3C70"/>
    <w:rsid w:val="001A3F00"/>
    <w:rsid w:val="001A4537"/>
    <w:rsid w:val="001A4A8B"/>
    <w:rsid w:val="001A5163"/>
    <w:rsid w:val="001A52EA"/>
    <w:rsid w:val="001A64C6"/>
    <w:rsid w:val="001A6519"/>
    <w:rsid w:val="001A793D"/>
    <w:rsid w:val="001A7CCB"/>
    <w:rsid w:val="001B04C7"/>
    <w:rsid w:val="001B0DB8"/>
    <w:rsid w:val="001B119A"/>
    <w:rsid w:val="001B16B1"/>
    <w:rsid w:val="001B1BA0"/>
    <w:rsid w:val="001B2FBD"/>
    <w:rsid w:val="001B5642"/>
    <w:rsid w:val="001B6698"/>
    <w:rsid w:val="001B72FC"/>
    <w:rsid w:val="001B75DB"/>
    <w:rsid w:val="001B79F7"/>
    <w:rsid w:val="001B7A41"/>
    <w:rsid w:val="001B7BAB"/>
    <w:rsid w:val="001B7F80"/>
    <w:rsid w:val="001C014F"/>
    <w:rsid w:val="001C0F53"/>
    <w:rsid w:val="001C21E2"/>
    <w:rsid w:val="001C3459"/>
    <w:rsid w:val="001C3CCF"/>
    <w:rsid w:val="001C4720"/>
    <w:rsid w:val="001C4D64"/>
    <w:rsid w:val="001C540D"/>
    <w:rsid w:val="001C5A26"/>
    <w:rsid w:val="001C5A70"/>
    <w:rsid w:val="001C6540"/>
    <w:rsid w:val="001C7766"/>
    <w:rsid w:val="001C7ACD"/>
    <w:rsid w:val="001D0AF7"/>
    <w:rsid w:val="001D0E9F"/>
    <w:rsid w:val="001D1100"/>
    <w:rsid w:val="001D1D42"/>
    <w:rsid w:val="001D285D"/>
    <w:rsid w:val="001D3654"/>
    <w:rsid w:val="001D3C6A"/>
    <w:rsid w:val="001D4112"/>
    <w:rsid w:val="001D440F"/>
    <w:rsid w:val="001D58AA"/>
    <w:rsid w:val="001D69ED"/>
    <w:rsid w:val="001D7778"/>
    <w:rsid w:val="001D7D6A"/>
    <w:rsid w:val="001E0C0F"/>
    <w:rsid w:val="001E1767"/>
    <w:rsid w:val="001E1818"/>
    <w:rsid w:val="001E1B38"/>
    <w:rsid w:val="001E1BB1"/>
    <w:rsid w:val="001E2DF3"/>
    <w:rsid w:val="001E2E7A"/>
    <w:rsid w:val="001E3594"/>
    <w:rsid w:val="001E36E3"/>
    <w:rsid w:val="001E44E4"/>
    <w:rsid w:val="001E6113"/>
    <w:rsid w:val="001E6791"/>
    <w:rsid w:val="001E6A5A"/>
    <w:rsid w:val="001E71F9"/>
    <w:rsid w:val="001E7220"/>
    <w:rsid w:val="001E7447"/>
    <w:rsid w:val="001E7ED7"/>
    <w:rsid w:val="001F0D06"/>
    <w:rsid w:val="001F11F5"/>
    <w:rsid w:val="001F2C66"/>
    <w:rsid w:val="001F36B5"/>
    <w:rsid w:val="001F3721"/>
    <w:rsid w:val="001F51C9"/>
    <w:rsid w:val="001F560F"/>
    <w:rsid w:val="001F6507"/>
    <w:rsid w:val="001F783D"/>
    <w:rsid w:val="001F7CC5"/>
    <w:rsid w:val="001F7E04"/>
    <w:rsid w:val="002000BC"/>
    <w:rsid w:val="00200655"/>
    <w:rsid w:val="00200986"/>
    <w:rsid w:val="00200F59"/>
    <w:rsid w:val="00201F92"/>
    <w:rsid w:val="00201FD8"/>
    <w:rsid w:val="00202F40"/>
    <w:rsid w:val="00202FC7"/>
    <w:rsid w:val="00203AD2"/>
    <w:rsid w:val="002049B8"/>
    <w:rsid w:val="00204B3E"/>
    <w:rsid w:val="00205035"/>
    <w:rsid w:val="002069F3"/>
    <w:rsid w:val="00206C5E"/>
    <w:rsid w:val="00206DF4"/>
    <w:rsid w:val="00207897"/>
    <w:rsid w:val="00210D8E"/>
    <w:rsid w:val="00211363"/>
    <w:rsid w:val="00211FDE"/>
    <w:rsid w:val="0021373E"/>
    <w:rsid w:val="002146F1"/>
    <w:rsid w:val="00214D52"/>
    <w:rsid w:val="00215340"/>
    <w:rsid w:val="00216308"/>
    <w:rsid w:val="00216F44"/>
    <w:rsid w:val="00216F7F"/>
    <w:rsid w:val="002177F7"/>
    <w:rsid w:val="00217D18"/>
    <w:rsid w:val="00220618"/>
    <w:rsid w:val="002208E4"/>
    <w:rsid w:val="00220E39"/>
    <w:rsid w:val="00220F6D"/>
    <w:rsid w:val="00221188"/>
    <w:rsid w:val="00221625"/>
    <w:rsid w:val="002218F5"/>
    <w:rsid w:val="00221F98"/>
    <w:rsid w:val="002226E2"/>
    <w:rsid w:val="00223F97"/>
    <w:rsid w:val="002240EE"/>
    <w:rsid w:val="002241C7"/>
    <w:rsid w:val="00224804"/>
    <w:rsid w:val="00225472"/>
    <w:rsid w:val="00225EBD"/>
    <w:rsid w:val="00226238"/>
    <w:rsid w:val="002266DA"/>
    <w:rsid w:val="00227631"/>
    <w:rsid w:val="0023058A"/>
    <w:rsid w:val="002311A0"/>
    <w:rsid w:val="00231479"/>
    <w:rsid w:val="002336B6"/>
    <w:rsid w:val="00233DE1"/>
    <w:rsid w:val="00234BDF"/>
    <w:rsid w:val="00235372"/>
    <w:rsid w:val="00235691"/>
    <w:rsid w:val="00235C73"/>
    <w:rsid w:val="00236341"/>
    <w:rsid w:val="002364EE"/>
    <w:rsid w:val="00237A2D"/>
    <w:rsid w:val="00237C38"/>
    <w:rsid w:val="00237F05"/>
    <w:rsid w:val="0024196D"/>
    <w:rsid w:val="00241E34"/>
    <w:rsid w:val="002428AD"/>
    <w:rsid w:val="00243531"/>
    <w:rsid w:val="00243E34"/>
    <w:rsid w:val="00244C05"/>
    <w:rsid w:val="0024531A"/>
    <w:rsid w:val="0024597B"/>
    <w:rsid w:val="00245B8E"/>
    <w:rsid w:val="00246059"/>
    <w:rsid w:val="00247FD2"/>
    <w:rsid w:val="0025020B"/>
    <w:rsid w:val="002504F1"/>
    <w:rsid w:val="00250594"/>
    <w:rsid w:val="00251230"/>
    <w:rsid w:val="00251F22"/>
    <w:rsid w:val="00252CD7"/>
    <w:rsid w:val="002532D0"/>
    <w:rsid w:val="0025370D"/>
    <w:rsid w:val="002549A4"/>
    <w:rsid w:val="002555B3"/>
    <w:rsid w:val="00256060"/>
    <w:rsid w:val="002563D4"/>
    <w:rsid w:val="00256569"/>
    <w:rsid w:val="00256B7F"/>
    <w:rsid w:val="0026177C"/>
    <w:rsid w:val="00265F29"/>
    <w:rsid w:val="00266964"/>
    <w:rsid w:val="002676A8"/>
    <w:rsid w:val="00267985"/>
    <w:rsid w:val="00270200"/>
    <w:rsid w:val="00270655"/>
    <w:rsid w:val="0027082C"/>
    <w:rsid w:val="0027102A"/>
    <w:rsid w:val="00272C71"/>
    <w:rsid w:val="0027360F"/>
    <w:rsid w:val="00273A2C"/>
    <w:rsid w:val="002745AB"/>
    <w:rsid w:val="00274C7A"/>
    <w:rsid w:val="00274DD5"/>
    <w:rsid w:val="002754A1"/>
    <w:rsid w:val="00275C00"/>
    <w:rsid w:val="00275D9D"/>
    <w:rsid w:val="002761DA"/>
    <w:rsid w:val="00276DBA"/>
    <w:rsid w:val="00276F0B"/>
    <w:rsid w:val="00277C48"/>
    <w:rsid w:val="0028066E"/>
    <w:rsid w:val="002824E0"/>
    <w:rsid w:val="00283A89"/>
    <w:rsid w:val="002841F9"/>
    <w:rsid w:val="00284859"/>
    <w:rsid w:val="002856BB"/>
    <w:rsid w:val="00285BF4"/>
    <w:rsid w:val="00285E7E"/>
    <w:rsid w:val="0028651B"/>
    <w:rsid w:val="002868E9"/>
    <w:rsid w:val="00286AC3"/>
    <w:rsid w:val="00287B43"/>
    <w:rsid w:val="0029095E"/>
    <w:rsid w:val="00290CA3"/>
    <w:rsid w:val="00291060"/>
    <w:rsid w:val="0029196C"/>
    <w:rsid w:val="00291995"/>
    <w:rsid w:val="00291B89"/>
    <w:rsid w:val="0029243D"/>
    <w:rsid w:val="00293480"/>
    <w:rsid w:val="0029375D"/>
    <w:rsid w:val="00293F4D"/>
    <w:rsid w:val="002946A4"/>
    <w:rsid w:val="0029759E"/>
    <w:rsid w:val="0029799F"/>
    <w:rsid w:val="002A0153"/>
    <w:rsid w:val="002A0D7B"/>
    <w:rsid w:val="002A0EFE"/>
    <w:rsid w:val="002A16AD"/>
    <w:rsid w:val="002A1ADD"/>
    <w:rsid w:val="002A36FF"/>
    <w:rsid w:val="002A440B"/>
    <w:rsid w:val="002A51DF"/>
    <w:rsid w:val="002A5E4E"/>
    <w:rsid w:val="002A6232"/>
    <w:rsid w:val="002A6561"/>
    <w:rsid w:val="002A6B4D"/>
    <w:rsid w:val="002B043C"/>
    <w:rsid w:val="002B0D26"/>
    <w:rsid w:val="002B12FC"/>
    <w:rsid w:val="002B161A"/>
    <w:rsid w:val="002B1EB5"/>
    <w:rsid w:val="002B2BCF"/>
    <w:rsid w:val="002B340D"/>
    <w:rsid w:val="002B3F71"/>
    <w:rsid w:val="002B41A7"/>
    <w:rsid w:val="002B6FA8"/>
    <w:rsid w:val="002B77CF"/>
    <w:rsid w:val="002B7E3D"/>
    <w:rsid w:val="002B7EE8"/>
    <w:rsid w:val="002C13A8"/>
    <w:rsid w:val="002C2B54"/>
    <w:rsid w:val="002C3641"/>
    <w:rsid w:val="002C41ED"/>
    <w:rsid w:val="002C4C41"/>
    <w:rsid w:val="002C606F"/>
    <w:rsid w:val="002C6A93"/>
    <w:rsid w:val="002C6E81"/>
    <w:rsid w:val="002C70D6"/>
    <w:rsid w:val="002C774E"/>
    <w:rsid w:val="002D2044"/>
    <w:rsid w:val="002D2220"/>
    <w:rsid w:val="002D2DB7"/>
    <w:rsid w:val="002D35EF"/>
    <w:rsid w:val="002D3678"/>
    <w:rsid w:val="002D515C"/>
    <w:rsid w:val="002D51D7"/>
    <w:rsid w:val="002D5239"/>
    <w:rsid w:val="002D5538"/>
    <w:rsid w:val="002D5ABB"/>
    <w:rsid w:val="002D5BA5"/>
    <w:rsid w:val="002D6C52"/>
    <w:rsid w:val="002D76E7"/>
    <w:rsid w:val="002D7A1A"/>
    <w:rsid w:val="002E0866"/>
    <w:rsid w:val="002E1B6A"/>
    <w:rsid w:val="002E291A"/>
    <w:rsid w:val="002E2F97"/>
    <w:rsid w:val="002E49D5"/>
    <w:rsid w:val="002E5B57"/>
    <w:rsid w:val="002E5E58"/>
    <w:rsid w:val="002E5F19"/>
    <w:rsid w:val="002E766A"/>
    <w:rsid w:val="002E783A"/>
    <w:rsid w:val="002F02AB"/>
    <w:rsid w:val="002F04A1"/>
    <w:rsid w:val="002F0EB6"/>
    <w:rsid w:val="002F1152"/>
    <w:rsid w:val="002F2073"/>
    <w:rsid w:val="002F26EB"/>
    <w:rsid w:val="002F306F"/>
    <w:rsid w:val="002F332F"/>
    <w:rsid w:val="002F3337"/>
    <w:rsid w:val="002F38D4"/>
    <w:rsid w:val="002F496C"/>
    <w:rsid w:val="002F4C7F"/>
    <w:rsid w:val="002F4C8A"/>
    <w:rsid w:val="002F54A6"/>
    <w:rsid w:val="002F6130"/>
    <w:rsid w:val="002F66C3"/>
    <w:rsid w:val="002F6B53"/>
    <w:rsid w:val="002F77CD"/>
    <w:rsid w:val="002F7E14"/>
    <w:rsid w:val="00300954"/>
    <w:rsid w:val="00301FE8"/>
    <w:rsid w:val="00302749"/>
    <w:rsid w:val="0030291F"/>
    <w:rsid w:val="00303606"/>
    <w:rsid w:val="00303670"/>
    <w:rsid w:val="003036A8"/>
    <w:rsid w:val="00303D9E"/>
    <w:rsid w:val="00304174"/>
    <w:rsid w:val="0030429B"/>
    <w:rsid w:val="00304365"/>
    <w:rsid w:val="00304933"/>
    <w:rsid w:val="00304D26"/>
    <w:rsid w:val="00305889"/>
    <w:rsid w:val="003061D4"/>
    <w:rsid w:val="00306215"/>
    <w:rsid w:val="00306AB2"/>
    <w:rsid w:val="00306B87"/>
    <w:rsid w:val="00306E96"/>
    <w:rsid w:val="003102D0"/>
    <w:rsid w:val="00310BFB"/>
    <w:rsid w:val="003110A5"/>
    <w:rsid w:val="00311333"/>
    <w:rsid w:val="003119F1"/>
    <w:rsid w:val="00311E8C"/>
    <w:rsid w:val="00314022"/>
    <w:rsid w:val="003144F5"/>
    <w:rsid w:val="00315824"/>
    <w:rsid w:val="003163E3"/>
    <w:rsid w:val="0031687C"/>
    <w:rsid w:val="00316AF1"/>
    <w:rsid w:val="00316D9C"/>
    <w:rsid w:val="00317211"/>
    <w:rsid w:val="0031752D"/>
    <w:rsid w:val="003179F6"/>
    <w:rsid w:val="0032002F"/>
    <w:rsid w:val="0032003B"/>
    <w:rsid w:val="00320096"/>
    <w:rsid w:val="003203B4"/>
    <w:rsid w:val="00320FBF"/>
    <w:rsid w:val="003215F5"/>
    <w:rsid w:val="0032189D"/>
    <w:rsid w:val="003218FF"/>
    <w:rsid w:val="00321DCA"/>
    <w:rsid w:val="00321F87"/>
    <w:rsid w:val="00322FDE"/>
    <w:rsid w:val="0032393B"/>
    <w:rsid w:val="00324448"/>
    <w:rsid w:val="0032486D"/>
    <w:rsid w:val="00325006"/>
    <w:rsid w:val="0032533C"/>
    <w:rsid w:val="00325A55"/>
    <w:rsid w:val="00326630"/>
    <w:rsid w:val="00331F18"/>
    <w:rsid w:val="00331F39"/>
    <w:rsid w:val="003321BF"/>
    <w:rsid w:val="003328F7"/>
    <w:rsid w:val="00332B46"/>
    <w:rsid w:val="003332BC"/>
    <w:rsid w:val="00333460"/>
    <w:rsid w:val="00333AD4"/>
    <w:rsid w:val="00333EFB"/>
    <w:rsid w:val="00334763"/>
    <w:rsid w:val="00334AD9"/>
    <w:rsid w:val="00334CA5"/>
    <w:rsid w:val="0033539D"/>
    <w:rsid w:val="003354DE"/>
    <w:rsid w:val="003363B1"/>
    <w:rsid w:val="0033674E"/>
    <w:rsid w:val="0033783A"/>
    <w:rsid w:val="00340CA7"/>
    <w:rsid w:val="00340E1E"/>
    <w:rsid w:val="003415D0"/>
    <w:rsid w:val="003417BD"/>
    <w:rsid w:val="00343484"/>
    <w:rsid w:val="00343D08"/>
    <w:rsid w:val="00343E7A"/>
    <w:rsid w:val="003440CC"/>
    <w:rsid w:val="00344795"/>
    <w:rsid w:val="00344F41"/>
    <w:rsid w:val="00345335"/>
    <w:rsid w:val="003454AA"/>
    <w:rsid w:val="00345554"/>
    <w:rsid w:val="00346473"/>
    <w:rsid w:val="003478A9"/>
    <w:rsid w:val="00347ADD"/>
    <w:rsid w:val="0035006E"/>
    <w:rsid w:val="003501B5"/>
    <w:rsid w:val="00350D17"/>
    <w:rsid w:val="003510A9"/>
    <w:rsid w:val="00352E92"/>
    <w:rsid w:val="00354280"/>
    <w:rsid w:val="003546B0"/>
    <w:rsid w:val="00356479"/>
    <w:rsid w:val="00356E28"/>
    <w:rsid w:val="00357681"/>
    <w:rsid w:val="003601C2"/>
    <w:rsid w:val="00360792"/>
    <w:rsid w:val="00360FF4"/>
    <w:rsid w:val="00361A5C"/>
    <w:rsid w:val="003629F3"/>
    <w:rsid w:val="00363358"/>
    <w:rsid w:val="0036347A"/>
    <w:rsid w:val="00363A9E"/>
    <w:rsid w:val="003644B2"/>
    <w:rsid w:val="00364E83"/>
    <w:rsid w:val="003650F7"/>
    <w:rsid w:val="003670F3"/>
    <w:rsid w:val="0037151D"/>
    <w:rsid w:val="00371E78"/>
    <w:rsid w:val="00372EBD"/>
    <w:rsid w:val="00375069"/>
    <w:rsid w:val="00375F89"/>
    <w:rsid w:val="0037778E"/>
    <w:rsid w:val="00377E61"/>
    <w:rsid w:val="003809FA"/>
    <w:rsid w:val="00380B69"/>
    <w:rsid w:val="00380CE2"/>
    <w:rsid w:val="0038172B"/>
    <w:rsid w:val="0038250C"/>
    <w:rsid w:val="003827AC"/>
    <w:rsid w:val="00382F57"/>
    <w:rsid w:val="00383CF0"/>
    <w:rsid w:val="00384868"/>
    <w:rsid w:val="00385033"/>
    <w:rsid w:val="00385FB4"/>
    <w:rsid w:val="00386102"/>
    <w:rsid w:val="00387D30"/>
    <w:rsid w:val="00387E40"/>
    <w:rsid w:val="00387F5B"/>
    <w:rsid w:val="00390146"/>
    <w:rsid w:val="003907CB"/>
    <w:rsid w:val="0039104A"/>
    <w:rsid w:val="003912F1"/>
    <w:rsid w:val="00392912"/>
    <w:rsid w:val="00392C26"/>
    <w:rsid w:val="00392D59"/>
    <w:rsid w:val="00393017"/>
    <w:rsid w:val="00393E12"/>
    <w:rsid w:val="00394621"/>
    <w:rsid w:val="00394663"/>
    <w:rsid w:val="00394C43"/>
    <w:rsid w:val="00394CEA"/>
    <w:rsid w:val="00394F51"/>
    <w:rsid w:val="00395E65"/>
    <w:rsid w:val="00396996"/>
    <w:rsid w:val="0039721C"/>
    <w:rsid w:val="00397AEB"/>
    <w:rsid w:val="003A03E8"/>
    <w:rsid w:val="003A094D"/>
    <w:rsid w:val="003A0A26"/>
    <w:rsid w:val="003A35B9"/>
    <w:rsid w:val="003A3D39"/>
    <w:rsid w:val="003A48DA"/>
    <w:rsid w:val="003A495D"/>
    <w:rsid w:val="003A4CB9"/>
    <w:rsid w:val="003A5753"/>
    <w:rsid w:val="003A5B4C"/>
    <w:rsid w:val="003A5C46"/>
    <w:rsid w:val="003A6EB9"/>
    <w:rsid w:val="003A7337"/>
    <w:rsid w:val="003A77B1"/>
    <w:rsid w:val="003A7D67"/>
    <w:rsid w:val="003B055C"/>
    <w:rsid w:val="003B0879"/>
    <w:rsid w:val="003B09EE"/>
    <w:rsid w:val="003B0D8D"/>
    <w:rsid w:val="003B319A"/>
    <w:rsid w:val="003B55E4"/>
    <w:rsid w:val="003B57C5"/>
    <w:rsid w:val="003B5D3E"/>
    <w:rsid w:val="003B60FE"/>
    <w:rsid w:val="003B64C1"/>
    <w:rsid w:val="003B78BC"/>
    <w:rsid w:val="003C1549"/>
    <w:rsid w:val="003C1D7D"/>
    <w:rsid w:val="003C27F4"/>
    <w:rsid w:val="003C37FA"/>
    <w:rsid w:val="003C3F67"/>
    <w:rsid w:val="003C49B9"/>
    <w:rsid w:val="003C4C52"/>
    <w:rsid w:val="003C4F1F"/>
    <w:rsid w:val="003C6C0F"/>
    <w:rsid w:val="003C6F85"/>
    <w:rsid w:val="003C717E"/>
    <w:rsid w:val="003D0113"/>
    <w:rsid w:val="003D0C08"/>
    <w:rsid w:val="003D1DAE"/>
    <w:rsid w:val="003D2B32"/>
    <w:rsid w:val="003D2B68"/>
    <w:rsid w:val="003D3004"/>
    <w:rsid w:val="003D3BD9"/>
    <w:rsid w:val="003D3F71"/>
    <w:rsid w:val="003D41E7"/>
    <w:rsid w:val="003D4FD2"/>
    <w:rsid w:val="003D7199"/>
    <w:rsid w:val="003E0BD0"/>
    <w:rsid w:val="003E0FB1"/>
    <w:rsid w:val="003E2906"/>
    <w:rsid w:val="003E2CB0"/>
    <w:rsid w:val="003E2D8A"/>
    <w:rsid w:val="003E2ECF"/>
    <w:rsid w:val="003E32A5"/>
    <w:rsid w:val="003E3BA9"/>
    <w:rsid w:val="003E4507"/>
    <w:rsid w:val="003E4941"/>
    <w:rsid w:val="003E4F85"/>
    <w:rsid w:val="003E5A57"/>
    <w:rsid w:val="003E6074"/>
    <w:rsid w:val="003E6A0E"/>
    <w:rsid w:val="003E6E51"/>
    <w:rsid w:val="003E7C88"/>
    <w:rsid w:val="003E7E99"/>
    <w:rsid w:val="003F08A7"/>
    <w:rsid w:val="003F0A58"/>
    <w:rsid w:val="003F12FB"/>
    <w:rsid w:val="003F187B"/>
    <w:rsid w:val="003F2191"/>
    <w:rsid w:val="003F2D19"/>
    <w:rsid w:val="003F2DA6"/>
    <w:rsid w:val="003F3144"/>
    <w:rsid w:val="003F3211"/>
    <w:rsid w:val="003F3ECA"/>
    <w:rsid w:val="003F46C0"/>
    <w:rsid w:val="003F5E90"/>
    <w:rsid w:val="003F5ED3"/>
    <w:rsid w:val="003F617C"/>
    <w:rsid w:val="003F7BD7"/>
    <w:rsid w:val="00400079"/>
    <w:rsid w:val="004004F8"/>
    <w:rsid w:val="00400CE9"/>
    <w:rsid w:val="0040198A"/>
    <w:rsid w:val="00402B43"/>
    <w:rsid w:val="00402CB7"/>
    <w:rsid w:val="00403321"/>
    <w:rsid w:val="00404DFF"/>
    <w:rsid w:val="00405B79"/>
    <w:rsid w:val="00407373"/>
    <w:rsid w:val="0041079A"/>
    <w:rsid w:val="004121B7"/>
    <w:rsid w:val="00412421"/>
    <w:rsid w:val="00413353"/>
    <w:rsid w:val="00413759"/>
    <w:rsid w:val="00414994"/>
    <w:rsid w:val="00415467"/>
    <w:rsid w:val="00415480"/>
    <w:rsid w:val="00415C02"/>
    <w:rsid w:val="00416356"/>
    <w:rsid w:val="0041655B"/>
    <w:rsid w:val="0041659F"/>
    <w:rsid w:val="004200B8"/>
    <w:rsid w:val="00421716"/>
    <w:rsid w:val="00421804"/>
    <w:rsid w:val="00422BC6"/>
    <w:rsid w:val="00422E62"/>
    <w:rsid w:val="0042325A"/>
    <w:rsid w:val="00423CD9"/>
    <w:rsid w:val="00423DE4"/>
    <w:rsid w:val="00424272"/>
    <w:rsid w:val="00424733"/>
    <w:rsid w:val="00425AC1"/>
    <w:rsid w:val="00426BFA"/>
    <w:rsid w:val="00427A0C"/>
    <w:rsid w:val="004307FC"/>
    <w:rsid w:val="00430C51"/>
    <w:rsid w:val="0043137E"/>
    <w:rsid w:val="00433853"/>
    <w:rsid w:val="00434765"/>
    <w:rsid w:val="0043493C"/>
    <w:rsid w:val="00435732"/>
    <w:rsid w:val="00435DF0"/>
    <w:rsid w:val="00435E14"/>
    <w:rsid w:val="00435E38"/>
    <w:rsid w:val="00437448"/>
    <w:rsid w:val="00437BFD"/>
    <w:rsid w:val="00440795"/>
    <w:rsid w:val="00441016"/>
    <w:rsid w:val="00441809"/>
    <w:rsid w:val="00442AA0"/>
    <w:rsid w:val="00442E1F"/>
    <w:rsid w:val="00442FDB"/>
    <w:rsid w:val="00443142"/>
    <w:rsid w:val="00444235"/>
    <w:rsid w:val="00444EB9"/>
    <w:rsid w:val="004450D0"/>
    <w:rsid w:val="004450F9"/>
    <w:rsid w:val="00446323"/>
    <w:rsid w:val="004477DE"/>
    <w:rsid w:val="00451CAC"/>
    <w:rsid w:val="00451DCF"/>
    <w:rsid w:val="004527BB"/>
    <w:rsid w:val="00452B7B"/>
    <w:rsid w:val="00452F54"/>
    <w:rsid w:val="00453D4F"/>
    <w:rsid w:val="004549EC"/>
    <w:rsid w:val="00454C8A"/>
    <w:rsid w:val="0045663B"/>
    <w:rsid w:val="00456892"/>
    <w:rsid w:val="00456E06"/>
    <w:rsid w:val="00457367"/>
    <w:rsid w:val="004575FC"/>
    <w:rsid w:val="00461705"/>
    <w:rsid w:val="004620B8"/>
    <w:rsid w:val="00462847"/>
    <w:rsid w:val="00462B4C"/>
    <w:rsid w:val="00462E96"/>
    <w:rsid w:val="00463246"/>
    <w:rsid w:val="00463620"/>
    <w:rsid w:val="004651C6"/>
    <w:rsid w:val="00465ECE"/>
    <w:rsid w:val="004678FE"/>
    <w:rsid w:val="004710FB"/>
    <w:rsid w:val="004713AB"/>
    <w:rsid w:val="004713CA"/>
    <w:rsid w:val="00471D42"/>
    <w:rsid w:val="0047280B"/>
    <w:rsid w:val="0047481C"/>
    <w:rsid w:val="004753B7"/>
    <w:rsid w:val="004761FF"/>
    <w:rsid w:val="00476682"/>
    <w:rsid w:val="00476D86"/>
    <w:rsid w:val="00477536"/>
    <w:rsid w:val="00477EFD"/>
    <w:rsid w:val="00480527"/>
    <w:rsid w:val="00480A11"/>
    <w:rsid w:val="00480EC3"/>
    <w:rsid w:val="00481689"/>
    <w:rsid w:val="0048275D"/>
    <w:rsid w:val="00482875"/>
    <w:rsid w:val="00483048"/>
    <w:rsid w:val="0048402F"/>
    <w:rsid w:val="00484D7F"/>
    <w:rsid w:val="0048564E"/>
    <w:rsid w:val="00486F98"/>
    <w:rsid w:val="00486FD5"/>
    <w:rsid w:val="0048703E"/>
    <w:rsid w:val="0048706C"/>
    <w:rsid w:val="0048778A"/>
    <w:rsid w:val="00490776"/>
    <w:rsid w:val="00490ECD"/>
    <w:rsid w:val="004917B4"/>
    <w:rsid w:val="00491F5F"/>
    <w:rsid w:val="00492872"/>
    <w:rsid w:val="00494793"/>
    <w:rsid w:val="00494AC3"/>
    <w:rsid w:val="00494C6D"/>
    <w:rsid w:val="00495600"/>
    <w:rsid w:val="00495BE7"/>
    <w:rsid w:val="004961B6"/>
    <w:rsid w:val="004972EA"/>
    <w:rsid w:val="004A0017"/>
    <w:rsid w:val="004A075A"/>
    <w:rsid w:val="004A1247"/>
    <w:rsid w:val="004A20FF"/>
    <w:rsid w:val="004A23CB"/>
    <w:rsid w:val="004A2429"/>
    <w:rsid w:val="004A2963"/>
    <w:rsid w:val="004A2B2C"/>
    <w:rsid w:val="004A3334"/>
    <w:rsid w:val="004A37FD"/>
    <w:rsid w:val="004A455A"/>
    <w:rsid w:val="004A4D53"/>
    <w:rsid w:val="004A62EE"/>
    <w:rsid w:val="004A7B37"/>
    <w:rsid w:val="004B2379"/>
    <w:rsid w:val="004B2DEE"/>
    <w:rsid w:val="004B3922"/>
    <w:rsid w:val="004B3CF7"/>
    <w:rsid w:val="004B3CFF"/>
    <w:rsid w:val="004B3FF0"/>
    <w:rsid w:val="004B4647"/>
    <w:rsid w:val="004B493C"/>
    <w:rsid w:val="004B5990"/>
    <w:rsid w:val="004B5F17"/>
    <w:rsid w:val="004B6669"/>
    <w:rsid w:val="004B6C81"/>
    <w:rsid w:val="004C00E9"/>
    <w:rsid w:val="004C041F"/>
    <w:rsid w:val="004C1459"/>
    <w:rsid w:val="004C2ED7"/>
    <w:rsid w:val="004C4012"/>
    <w:rsid w:val="004C56F9"/>
    <w:rsid w:val="004C5A10"/>
    <w:rsid w:val="004C6811"/>
    <w:rsid w:val="004C74A4"/>
    <w:rsid w:val="004C7F9B"/>
    <w:rsid w:val="004D01D5"/>
    <w:rsid w:val="004D2046"/>
    <w:rsid w:val="004D2144"/>
    <w:rsid w:val="004D2D86"/>
    <w:rsid w:val="004D4CB2"/>
    <w:rsid w:val="004D4D64"/>
    <w:rsid w:val="004D56DE"/>
    <w:rsid w:val="004D6E31"/>
    <w:rsid w:val="004D7023"/>
    <w:rsid w:val="004D70BE"/>
    <w:rsid w:val="004D774B"/>
    <w:rsid w:val="004D78F3"/>
    <w:rsid w:val="004E009E"/>
    <w:rsid w:val="004E201E"/>
    <w:rsid w:val="004E266F"/>
    <w:rsid w:val="004E2E07"/>
    <w:rsid w:val="004E3964"/>
    <w:rsid w:val="004E4E61"/>
    <w:rsid w:val="004E61BE"/>
    <w:rsid w:val="004E6F83"/>
    <w:rsid w:val="004E7085"/>
    <w:rsid w:val="004E70BE"/>
    <w:rsid w:val="004F0108"/>
    <w:rsid w:val="004F0217"/>
    <w:rsid w:val="004F0A22"/>
    <w:rsid w:val="004F1125"/>
    <w:rsid w:val="004F1717"/>
    <w:rsid w:val="004F1D6C"/>
    <w:rsid w:val="004F1D77"/>
    <w:rsid w:val="004F254F"/>
    <w:rsid w:val="004F28EE"/>
    <w:rsid w:val="004F3626"/>
    <w:rsid w:val="004F436E"/>
    <w:rsid w:val="004F4D63"/>
    <w:rsid w:val="004F5137"/>
    <w:rsid w:val="004F53C2"/>
    <w:rsid w:val="004F5D95"/>
    <w:rsid w:val="004F5E1B"/>
    <w:rsid w:val="004F67CD"/>
    <w:rsid w:val="004F7F08"/>
    <w:rsid w:val="005007CE"/>
    <w:rsid w:val="0050106E"/>
    <w:rsid w:val="00501D8E"/>
    <w:rsid w:val="005023FB"/>
    <w:rsid w:val="00502A35"/>
    <w:rsid w:val="00502F20"/>
    <w:rsid w:val="00503A03"/>
    <w:rsid w:val="00503D5D"/>
    <w:rsid w:val="005043B1"/>
    <w:rsid w:val="005048F8"/>
    <w:rsid w:val="00504F7F"/>
    <w:rsid w:val="0050509E"/>
    <w:rsid w:val="005055B5"/>
    <w:rsid w:val="0050774D"/>
    <w:rsid w:val="00510AF2"/>
    <w:rsid w:val="00510D00"/>
    <w:rsid w:val="005118F3"/>
    <w:rsid w:val="00511B07"/>
    <w:rsid w:val="00511ECB"/>
    <w:rsid w:val="00513103"/>
    <w:rsid w:val="00514679"/>
    <w:rsid w:val="00515067"/>
    <w:rsid w:val="005153BC"/>
    <w:rsid w:val="0051585D"/>
    <w:rsid w:val="00515AD7"/>
    <w:rsid w:val="0051623F"/>
    <w:rsid w:val="00516740"/>
    <w:rsid w:val="0051676C"/>
    <w:rsid w:val="00516893"/>
    <w:rsid w:val="00517C84"/>
    <w:rsid w:val="00520731"/>
    <w:rsid w:val="005207B6"/>
    <w:rsid w:val="00521312"/>
    <w:rsid w:val="0052156C"/>
    <w:rsid w:val="005227A3"/>
    <w:rsid w:val="005230D8"/>
    <w:rsid w:val="00523451"/>
    <w:rsid w:val="00524113"/>
    <w:rsid w:val="00524BB3"/>
    <w:rsid w:val="00524D09"/>
    <w:rsid w:val="00525AAB"/>
    <w:rsid w:val="00526573"/>
    <w:rsid w:val="00526770"/>
    <w:rsid w:val="00527595"/>
    <w:rsid w:val="0053169F"/>
    <w:rsid w:val="00531931"/>
    <w:rsid w:val="00531E51"/>
    <w:rsid w:val="00532289"/>
    <w:rsid w:val="00534075"/>
    <w:rsid w:val="0053496C"/>
    <w:rsid w:val="00534BA1"/>
    <w:rsid w:val="00535568"/>
    <w:rsid w:val="00535978"/>
    <w:rsid w:val="00535E19"/>
    <w:rsid w:val="00536449"/>
    <w:rsid w:val="005367AC"/>
    <w:rsid w:val="005368E6"/>
    <w:rsid w:val="005373CF"/>
    <w:rsid w:val="0054015B"/>
    <w:rsid w:val="005409BA"/>
    <w:rsid w:val="00540ADE"/>
    <w:rsid w:val="0054138E"/>
    <w:rsid w:val="00541435"/>
    <w:rsid w:val="00542C81"/>
    <w:rsid w:val="00542C8D"/>
    <w:rsid w:val="00542CCA"/>
    <w:rsid w:val="00543030"/>
    <w:rsid w:val="00543F53"/>
    <w:rsid w:val="00544097"/>
    <w:rsid w:val="00545426"/>
    <w:rsid w:val="005456EF"/>
    <w:rsid w:val="0054639F"/>
    <w:rsid w:val="00546EEE"/>
    <w:rsid w:val="00547137"/>
    <w:rsid w:val="00547CD3"/>
    <w:rsid w:val="00550B0C"/>
    <w:rsid w:val="00551499"/>
    <w:rsid w:val="00551845"/>
    <w:rsid w:val="00551F1D"/>
    <w:rsid w:val="00552590"/>
    <w:rsid w:val="005525E0"/>
    <w:rsid w:val="005537FE"/>
    <w:rsid w:val="005543E7"/>
    <w:rsid w:val="00554DBA"/>
    <w:rsid w:val="0055547D"/>
    <w:rsid w:val="00555C65"/>
    <w:rsid w:val="005561E4"/>
    <w:rsid w:val="005567B9"/>
    <w:rsid w:val="00556A0F"/>
    <w:rsid w:val="00556F22"/>
    <w:rsid w:val="005577A6"/>
    <w:rsid w:val="00560AC8"/>
    <w:rsid w:val="00560C43"/>
    <w:rsid w:val="0056165D"/>
    <w:rsid w:val="005617A2"/>
    <w:rsid w:val="00561B6F"/>
    <w:rsid w:val="00562BD0"/>
    <w:rsid w:val="0056397C"/>
    <w:rsid w:val="005641E3"/>
    <w:rsid w:val="00564692"/>
    <w:rsid w:val="005650AE"/>
    <w:rsid w:val="0056525F"/>
    <w:rsid w:val="00566C70"/>
    <w:rsid w:val="005677E5"/>
    <w:rsid w:val="00567830"/>
    <w:rsid w:val="00567E40"/>
    <w:rsid w:val="00567FD5"/>
    <w:rsid w:val="005705A1"/>
    <w:rsid w:val="00570D16"/>
    <w:rsid w:val="00571303"/>
    <w:rsid w:val="005718B3"/>
    <w:rsid w:val="005720F3"/>
    <w:rsid w:val="00572606"/>
    <w:rsid w:val="00572800"/>
    <w:rsid w:val="0057288B"/>
    <w:rsid w:val="00572A98"/>
    <w:rsid w:val="0057338A"/>
    <w:rsid w:val="005736EE"/>
    <w:rsid w:val="00573F56"/>
    <w:rsid w:val="00574134"/>
    <w:rsid w:val="005741D0"/>
    <w:rsid w:val="00575D42"/>
    <w:rsid w:val="00576475"/>
    <w:rsid w:val="0057759C"/>
    <w:rsid w:val="0058060D"/>
    <w:rsid w:val="00580CD3"/>
    <w:rsid w:val="00580E9F"/>
    <w:rsid w:val="00581A0B"/>
    <w:rsid w:val="00582118"/>
    <w:rsid w:val="00582602"/>
    <w:rsid w:val="00583032"/>
    <w:rsid w:val="00583244"/>
    <w:rsid w:val="00583922"/>
    <w:rsid w:val="00583B44"/>
    <w:rsid w:val="00583F12"/>
    <w:rsid w:val="00585326"/>
    <w:rsid w:val="00585DF3"/>
    <w:rsid w:val="00585E9F"/>
    <w:rsid w:val="00587C1F"/>
    <w:rsid w:val="00587EDD"/>
    <w:rsid w:val="005905BB"/>
    <w:rsid w:val="005907FE"/>
    <w:rsid w:val="00590A70"/>
    <w:rsid w:val="00590B88"/>
    <w:rsid w:val="00591576"/>
    <w:rsid w:val="005927BC"/>
    <w:rsid w:val="00592C31"/>
    <w:rsid w:val="0059300A"/>
    <w:rsid w:val="005930B8"/>
    <w:rsid w:val="00593C21"/>
    <w:rsid w:val="00594703"/>
    <w:rsid w:val="0059504B"/>
    <w:rsid w:val="00596713"/>
    <w:rsid w:val="00596B89"/>
    <w:rsid w:val="00596DDC"/>
    <w:rsid w:val="005A0023"/>
    <w:rsid w:val="005A02B8"/>
    <w:rsid w:val="005A1227"/>
    <w:rsid w:val="005A125B"/>
    <w:rsid w:val="005A1C06"/>
    <w:rsid w:val="005A3136"/>
    <w:rsid w:val="005A34C6"/>
    <w:rsid w:val="005A3C10"/>
    <w:rsid w:val="005A4F07"/>
    <w:rsid w:val="005A5E0A"/>
    <w:rsid w:val="005A61B1"/>
    <w:rsid w:val="005B0369"/>
    <w:rsid w:val="005B0A34"/>
    <w:rsid w:val="005B1764"/>
    <w:rsid w:val="005B1A32"/>
    <w:rsid w:val="005B2077"/>
    <w:rsid w:val="005B2460"/>
    <w:rsid w:val="005B24E1"/>
    <w:rsid w:val="005B2DEE"/>
    <w:rsid w:val="005B2F97"/>
    <w:rsid w:val="005B46CA"/>
    <w:rsid w:val="005B4B0C"/>
    <w:rsid w:val="005B4C3F"/>
    <w:rsid w:val="005B529F"/>
    <w:rsid w:val="005B5626"/>
    <w:rsid w:val="005B6196"/>
    <w:rsid w:val="005B6311"/>
    <w:rsid w:val="005B6510"/>
    <w:rsid w:val="005B7272"/>
    <w:rsid w:val="005B780A"/>
    <w:rsid w:val="005C08A5"/>
    <w:rsid w:val="005C165B"/>
    <w:rsid w:val="005C1835"/>
    <w:rsid w:val="005C1F8A"/>
    <w:rsid w:val="005C2379"/>
    <w:rsid w:val="005C3044"/>
    <w:rsid w:val="005C4172"/>
    <w:rsid w:val="005C4321"/>
    <w:rsid w:val="005C498A"/>
    <w:rsid w:val="005C6000"/>
    <w:rsid w:val="005C6127"/>
    <w:rsid w:val="005C62E5"/>
    <w:rsid w:val="005C783D"/>
    <w:rsid w:val="005C7D32"/>
    <w:rsid w:val="005D0E0F"/>
    <w:rsid w:val="005D4359"/>
    <w:rsid w:val="005D5025"/>
    <w:rsid w:val="005D510A"/>
    <w:rsid w:val="005D5F6B"/>
    <w:rsid w:val="005D60F4"/>
    <w:rsid w:val="005D6A9A"/>
    <w:rsid w:val="005D6F76"/>
    <w:rsid w:val="005E0079"/>
    <w:rsid w:val="005E126B"/>
    <w:rsid w:val="005E17BE"/>
    <w:rsid w:val="005E17F0"/>
    <w:rsid w:val="005E1BA8"/>
    <w:rsid w:val="005E2CE9"/>
    <w:rsid w:val="005E3384"/>
    <w:rsid w:val="005E3446"/>
    <w:rsid w:val="005E34F7"/>
    <w:rsid w:val="005E491E"/>
    <w:rsid w:val="005E5359"/>
    <w:rsid w:val="005E567D"/>
    <w:rsid w:val="005E5AA3"/>
    <w:rsid w:val="005E6200"/>
    <w:rsid w:val="005E73FA"/>
    <w:rsid w:val="005F0A27"/>
    <w:rsid w:val="005F22E4"/>
    <w:rsid w:val="005F26AF"/>
    <w:rsid w:val="005F5E68"/>
    <w:rsid w:val="005F6839"/>
    <w:rsid w:val="005F7176"/>
    <w:rsid w:val="005F738E"/>
    <w:rsid w:val="00601FFE"/>
    <w:rsid w:val="00602EC2"/>
    <w:rsid w:val="0060313B"/>
    <w:rsid w:val="006034FF"/>
    <w:rsid w:val="006035BE"/>
    <w:rsid w:val="006038D0"/>
    <w:rsid w:val="00603E2B"/>
    <w:rsid w:val="00603EC4"/>
    <w:rsid w:val="006041D2"/>
    <w:rsid w:val="00604328"/>
    <w:rsid w:val="00604735"/>
    <w:rsid w:val="00605A52"/>
    <w:rsid w:val="00605BC2"/>
    <w:rsid w:val="00606676"/>
    <w:rsid w:val="00607093"/>
    <w:rsid w:val="00607951"/>
    <w:rsid w:val="006109A2"/>
    <w:rsid w:val="00611EDD"/>
    <w:rsid w:val="00612545"/>
    <w:rsid w:val="00612A50"/>
    <w:rsid w:val="00612F24"/>
    <w:rsid w:val="00613BC5"/>
    <w:rsid w:val="006142BB"/>
    <w:rsid w:val="0061469C"/>
    <w:rsid w:val="006148D1"/>
    <w:rsid w:val="00614A7A"/>
    <w:rsid w:val="00614B82"/>
    <w:rsid w:val="006154BF"/>
    <w:rsid w:val="006154D2"/>
    <w:rsid w:val="0061596D"/>
    <w:rsid w:val="00617A01"/>
    <w:rsid w:val="00620324"/>
    <w:rsid w:val="00621477"/>
    <w:rsid w:val="0062157E"/>
    <w:rsid w:val="0062239E"/>
    <w:rsid w:val="006236C7"/>
    <w:rsid w:val="00623EF2"/>
    <w:rsid w:val="00624353"/>
    <w:rsid w:val="0062544F"/>
    <w:rsid w:val="006256BF"/>
    <w:rsid w:val="00625A3C"/>
    <w:rsid w:val="00626E24"/>
    <w:rsid w:val="006277DA"/>
    <w:rsid w:val="00630021"/>
    <w:rsid w:val="00630C67"/>
    <w:rsid w:val="00631543"/>
    <w:rsid w:val="006319D6"/>
    <w:rsid w:val="00631AFC"/>
    <w:rsid w:val="00632691"/>
    <w:rsid w:val="0063298D"/>
    <w:rsid w:val="00632CBF"/>
    <w:rsid w:val="00632CF8"/>
    <w:rsid w:val="00633DEE"/>
    <w:rsid w:val="00634B32"/>
    <w:rsid w:val="00634D06"/>
    <w:rsid w:val="0063577A"/>
    <w:rsid w:val="006357FD"/>
    <w:rsid w:val="00636233"/>
    <w:rsid w:val="006362A7"/>
    <w:rsid w:val="006363FD"/>
    <w:rsid w:val="00636492"/>
    <w:rsid w:val="0063743F"/>
    <w:rsid w:val="00640403"/>
    <w:rsid w:val="00640C93"/>
    <w:rsid w:val="00640DF7"/>
    <w:rsid w:val="0064158F"/>
    <w:rsid w:val="0064229E"/>
    <w:rsid w:val="006429B9"/>
    <w:rsid w:val="00642A24"/>
    <w:rsid w:val="00642A89"/>
    <w:rsid w:val="00642BFA"/>
    <w:rsid w:val="00642C2B"/>
    <w:rsid w:val="00642D2E"/>
    <w:rsid w:val="006435B5"/>
    <w:rsid w:val="00643C65"/>
    <w:rsid w:val="00643CA4"/>
    <w:rsid w:val="00643CE5"/>
    <w:rsid w:val="00644F76"/>
    <w:rsid w:val="0064573A"/>
    <w:rsid w:val="00646F33"/>
    <w:rsid w:val="00647055"/>
    <w:rsid w:val="006473D7"/>
    <w:rsid w:val="00647895"/>
    <w:rsid w:val="006503A8"/>
    <w:rsid w:val="006505CC"/>
    <w:rsid w:val="00651BA8"/>
    <w:rsid w:val="00652710"/>
    <w:rsid w:val="006567E1"/>
    <w:rsid w:val="00660080"/>
    <w:rsid w:val="00661055"/>
    <w:rsid w:val="00661B2C"/>
    <w:rsid w:val="006622A9"/>
    <w:rsid w:val="00662A94"/>
    <w:rsid w:val="00663EE6"/>
    <w:rsid w:val="0066426A"/>
    <w:rsid w:val="006649A5"/>
    <w:rsid w:val="00664E15"/>
    <w:rsid w:val="00665A3C"/>
    <w:rsid w:val="0066647C"/>
    <w:rsid w:val="00667247"/>
    <w:rsid w:val="0067017C"/>
    <w:rsid w:val="00670DAF"/>
    <w:rsid w:val="00671EFC"/>
    <w:rsid w:val="00673753"/>
    <w:rsid w:val="00673E53"/>
    <w:rsid w:val="00674A94"/>
    <w:rsid w:val="00674C12"/>
    <w:rsid w:val="00674FAC"/>
    <w:rsid w:val="006758ED"/>
    <w:rsid w:val="00675A60"/>
    <w:rsid w:val="0067653D"/>
    <w:rsid w:val="0067684F"/>
    <w:rsid w:val="00677157"/>
    <w:rsid w:val="00677FE1"/>
    <w:rsid w:val="006814BE"/>
    <w:rsid w:val="00682A65"/>
    <w:rsid w:val="00682C96"/>
    <w:rsid w:val="00682DBB"/>
    <w:rsid w:val="0068346E"/>
    <w:rsid w:val="00683A0A"/>
    <w:rsid w:val="006844D3"/>
    <w:rsid w:val="006845C6"/>
    <w:rsid w:val="00684BBD"/>
    <w:rsid w:val="0068607C"/>
    <w:rsid w:val="00686451"/>
    <w:rsid w:val="006866B1"/>
    <w:rsid w:val="00686705"/>
    <w:rsid w:val="00686731"/>
    <w:rsid w:val="00686C92"/>
    <w:rsid w:val="00687088"/>
    <w:rsid w:val="00687107"/>
    <w:rsid w:val="0069092D"/>
    <w:rsid w:val="00691C7E"/>
    <w:rsid w:val="006932D9"/>
    <w:rsid w:val="0069330B"/>
    <w:rsid w:val="00694600"/>
    <w:rsid w:val="006946AB"/>
    <w:rsid w:val="006950B4"/>
    <w:rsid w:val="00695248"/>
    <w:rsid w:val="00695AB2"/>
    <w:rsid w:val="00695BFC"/>
    <w:rsid w:val="00695C59"/>
    <w:rsid w:val="00696A44"/>
    <w:rsid w:val="00696BE2"/>
    <w:rsid w:val="006973E0"/>
    <w:rsid w:val="0069778E"/>
    <w:rsid w:val="00697A01"/>
    <w:rsid w:val="006A0100"/>
    <w:rsid w:val="006A06C9"/>
    <w:rsid w:val="006A081C"/>
    <w:rsid w:val="006A22E3"/>
    <w:rsid w:val="006A23F0"/>
    <w:rsid w:val="006A4670"/>
    <w:rsid w:val="006A4B36"/>
    <w:rsid w:val="006A598A"/>
    <w:rsid w:val="006A63B4"/>
    <w:rsid w:val="006A7E17"/>
    <w:rsid w:val="006B11AA"/>
    <w:rsid w:val="006B1714"/>
    <w:rsid w:val="006B20FB"/>
    <w:rsid w:val="006B2E02"/>
    <w:rsid w:val="006B3154"/>
    <w:rsid w:val="006B3B82"/>
    <w:rsid w:val="006B3FCC"/>
    <w:rsid w:val="006B42A8"/>
    <w:rsid w:val="006B4748"/>
    <w:rsid w:val="006B4A07"/>
    <w:rsid w:val="006B5295"/>
    <w:rsid w:val="006B56D6"/>
    <w:rsid w:val="006B572D"/>
    <w:rsid w:val="006B6289"/>
    <w:rsid w:val="006B683D"/>
    <w:rsid w:val="006B6983"/>
    <w:rsid w:val="006B699C"/>
    <w:rsid w:val="006B7003"/>
    <w:rsid w:val="006B7F26"/>
    <w:rsid w:val="006C09DD"/>
    <w:rsid w:val="006C0CAC"/>
    <w:rsid w:val="006C1024"/>
    <w:rsid w:val="006C1678"/>
    <w:rsid w:val="006C20E2"/>
    <w:rsid w:val="006C2338"/>
    <w:rsid w:val="006C380C"/>
    <w:rsid w:val="006C4844"/>
    <w:rsid w:val="006C5253"/>
    <w:rsid w:val="006C548D"/>
    <w:rsid w:val="006C7459"/>
    <w:rsid w:val="006C7637"/>
    <w:rsid w:val="006C768B"/>
    <w:rsid w:val="006D0A10"/>
    <w:rsid w:val="006D2661"/>
    <w:rsid w:val="006D26E3"/>
    <w:rsid w:val="006D2ED3"/>
    <w:rsid w:val="006D3042"/>
    <w:rsid w:val="006D39A7"/>
    <w:rsid w:val="006D49CF"/>
    <w:rsid w:val="006D5928"/>
    <w:rsid w:val="006D62BB"/>
    <w:rsid w:val="006E0139"/>
    <w:rsid w:val="006E0ABE"/>
    <w:rsid w:val="006E34AC"/>
    <w:rsid w:val="006E3666"/>
    <w:rsid w:val="006E3B14"/>
    <w:rsid w:val="006E47F3"/>
    <w:rsid w:val="006E633A"/>
    <w:rsid w:val="006E65D2"/>
    <w:rsid w:val="006E6A5F"/>
    <w:rsid w:val="006E6F7B"/>
    <w:rsid w:val="006E760A"/>
    <w:rsid w:val="006F022A"/>
    <w:rsid w:val="006F113D"/>
    <w:rsid w:val="006F1E99"/>
    <w:rsid w:val="006F31CD"/>
    <w:rsid w:val="006F3917"/>
    <w:rsid w:val="006F3C9E"/>
    <w:rsid w:val="006F3F4B"/>
    <w:rsid w:val="006F429E"/>
    <w:rsid w:val="006F4419"/>
    <w:rsid w:val="006F48DB"/>
    <w:rsid w:val="006F5294"/>
    <w:rsid w:val="006F64CE"/>
    <w:rsid w:val="006F755D"/>
    <w:rsid w:val="006F7C8C"/>
    <w:rsid w:val="0070001B"/>
    <w:rsid w:val="0070062F"/>
    <w:rsid w:val="007008FD"/>
    <w:rsid w:val="007021F3"/>
    <w:rsid w:val="007022BB"/>
    <w:rsid w:val="007022F1"/>
    <w:rsid w:val="007023C9"/>
    <w:rsid w:val="00703017"/>
    <w:rsid w:val="00703323"/>
    <w:rsid w:val="0070423B"/>
    <w:rsid w:val="0070448E"/>
    <w:rsid w:val="007048AA"/>
    <w:rsid w:val="007052B8"/>
    <w:rsid w:val="00705DC8"/>
    <w:rsid w:val="00705E1A"/>
    <w:rsid w:val="0070674D"/>
    <w:rsid w:val="00706894"/>
    <w:rsid w:val="00707512"/>
    <w:rsid w:val="007077E2"/>
    <w:rsid w:val="00707D1B"/>
    <w:rsid w:val="00707EF5"/>
    <w:rsid w:val="0071253D"/>
    <w:rsid w:val="00712BB7"/>
    <w:rsid w:val="007131E7"/>
    <w:rsid w:val="00713231"/>
    <w:rsid w:val="0071600D"/>
    <w:rsid w:val="00717094"/>
    <w:rsid w:val="0071709A"/>
    <w:rsid w:val="00717933"/>
    <w:rsid w:val="00717E2A"/>
    <w:rsid w:val="007206E7"/>
    <w:rsid w:val="00721386"/>
    <w:rsid w:val="00722E02"/>
    <w:rsid w:val="00722E37"/>
    <w:rsid w:val="00725401"/>
    <w:rsid w:val="00725F60"/>
    <w:rsid w:val="00725FC9"/>
    <w:rsid w:val="00726244"/>
    <w:rsid w:val="00726269"/>
    <w:rsid w:val="007266E3"/>
    <w:rsid w:val="00726757"/>
    <w:rsid w:val="00726865"/>
    <w:rsid w:val="00726D69"/>
    <w:rsid w:val="00726F44"/>
    <w:rsid w:val="0072720B"/>
    <w:rsid w:val="00730739"/>
    <w:rsid w:val="007309C2"/>
    <w:rsid w:val="007312DA"/>
    <w:rsid w:val="00732A69"/>
    <w:rsid w:val="007333A9"/>
    <w:rsid w:val="00733F35"/>
    <w:rsid w:val="007347D7"/>
    <w:rsid w:val="00734FD0"/>
    <w:rsid w:val="00736912"/>
    <w:rsid w:val="00737846"/>
    <w:rsid w:val="00737EBC"/>
    <w:rsid w:val="00740CCC"/>
    <w:rsid w:val="0074164C"/>
    <w:rsid w:val="0074186A"/>
    <w:rsid w:val="00742C44"/>
    <w:rsid w:val="007432A6"/>
    <w:rsid w:val="00743F07"/>
    <w:rsid w:val="00744AC3"/>
    <w:rsid w:val="00745731"/>
    <w:rsid w:val="00745E19"/>
    <w:rsid w:val="0074620B"/>
    <w:rsid w:val="0074694A"/>
    <w:rsid w:val="00746EF4"/>
    <w:rsid w:val="00747074"/>
    <w:rsid w:val="00747177"/>
    <w:rsid w:val="00747A36"/>
    <w:rsid w:val="00747EDF"/>
    <w:rsid w:val="00750393"/>
    <w:rsid w:val="0075043C"/>
    <w:rsid w:val="00751DDB"/>
    <w:rsid w:val="00751E33"/>
    <w:rsid w:val="007520A9"/>
    <w:rsid w:val="007527EC"/>
    <w:rsid w:val="00752DB7"/>
    <w:rsid w:val="00753445"/>
    <w:rsid w:val="00753719"/>
    <w:rsid w:val="00753BE4"/>
    <w:rsid w:val="00753C47"/>
    <w:rsid w:val="00754451"/>
    <w:rsid w:val="00754915"/>
    <w:rsid w:val="00755004"/>
    <w:rsid w:val="007550D9"/>
    <w:rsid w:val="007565F1"/>
    <w:rsid w:val="007601FE"/>
    <w:rsid w:val="0076025E"/>
    <w:rsid w:val="00760487"/>
    <w:rsid w:val="00761F70"/>
    <w:rsid w:val="00762D5C"/>
    <w:rsid w:val="0076343F"/>
    <w:rsid w:val="00765880"/>
    <w:rsid w:val="00765FB6"/>
    <w:rsid w:val="0077003B"/>
    <w:rsid w:val="007724D5"/>
    <w:rsid w:val="0077270A"/>
    <w:rsid w:val="00772787"/>
    <w:rsid w:val="0077284D"/>
    <w:rsid w:val="00773F93"/>
    <w:rsid w:val="0077446F"/>
    <w:rsid w:val="007750DF"/>
    <w:rsid w:val="00775E95"/>
    <w:rsid w:val="0077674C"/>
    <w:rsid w:val="0077698D"/>
    <w:rsid w:val="007775F7"/>
    <w:rsid w:val="00777898"/>
    <w:rsid w:val="00781DDE"/>
    <w:rsid w:val="00782983"/>
    <w:rsid w:val="00782E63"/>
    <w:rsid w:val="0078343C"/>
    <w:rsid w:val="00783960"/>
    <w:rsid w:val="00783CE0"/>
    <w:rsid w:val="00783E99"/>
    <w:rsid w:val="00784DA2"/>
    <w:rsid w:val="00784E93"/>
    <w:rsid w:val="0078559D"/>
    <w:rsid w:val="00785DDC"/>
    <w:rsid w:val="00786284"/>
    <w:rsid w:val="00786BF6"/>
    <w:rsid w:val="00786CA5"/>
    <w:rsid w:val="00786F89"/>
    <w:rsid w:val="007874F5"/>
    <w:rsid w:val="007875D3"/>
    <w:rsid w:val="007878A8"/>
    <w:rsid w:val="00787B54"/>
    <w:rsid w:val="00790186"/>
    <w:rsid w:val="0079068F"/>
    <w:rsid w:val="007913F9"/>
    <w:rsid w:val="007914E4"/>
    <w:rsid w:val="0079168A"/>
    <w:rsid w:val="007916A6"/>
    <w:rsid w:val="00791A77"/>
    <w:rsid w:val="0079269E"/>
    <w:rsid w:val="00792C46"/>
    <w:rsid w:val="007930F0"/>
    <w:rsid w:val="007941A5"/>
    <w:rsid w:val="00794B5D"/>
    <w:rsid w:val="00795394"/>
    <w:rsid w:val="00797111"/>
    <w:rsid w:val="007975F5"/>
    <w:rsid w:val="00797FA9"/>
    <w:rsid w:val="00797FDB"/>
    <w:rsid w:val="007A0B82"/>
    <w:rsid w:val="007A0BD2"/>
    <w:rsid w:val="007A0F7A"/>
    <w:rsid w:val="007A1295"/>
    <w:rsid w:val="007A18A5"/>
    <w:rsid w:val="007A328C"/>
    <w:rsid w:val="007A3376"/>
    <w:rsid w:val="007A3742"/>
    <w:rsid w:val="007A5263"/>
    <w:rsid w:val="007A5AA5"/>
    <w:rsid w:val="007A6363"/>
    <w:rsid w:val="007A6904"/>
    <w:rsid w:val="007A69EA"/>
    <w:rsid w:val="007A6C0B"/>
    <w:rsid w:val="007A6F0F"/>
    <w:rsid w:val="007B03C1"/>
    <w:rsid w:val="007B1881"/>
    <w:rsid w:val="007B1AC6"/>
    <w:rsid w:val="007B246D"/>
    <w:rsid w:val="007B26A0"/>
    <w:rsid w:val="007B3A8B"/>
    <w:rsid w:val="007B7B6F"/>
    <w:rsid w:val="007C03E5"/>
    <w:rsid w:val="007C08FF"/>
    <w:rsid w:val="007C0EA4"/>
    <w:rsid w:val="007C1E27"/>
    <w:rsid w:val="007C26FF"/>
    <w:rsid w:val="007C2A14"/>
    <w:rsid w:val="007C2F63"/>
    <w:rsid w:val="007C33EF"/>
    <w:rsid w:val="007C459B"/>
    <w:rsid w:val="007C4785"/>
    <w:rsid w:val="007C4C7D"/>
    <w:rsid w:val="007C56FF"/>
    <w:rsid w:val="007C59E4"/>
    <w:rsid w:val="007C6255"/>
    <w:rsid w:val="007C6348"/>
    <w:rsid w:val="007C64AC"/>
    <w:rsid w:val="007C65FA"/>
    <w:rsid w:val="007C7B82"/>
    <w:rsid w:val="007D0EE8"/>
    <w:rsid w:val="007D0F0E"/>
    <w:rsid w:val="007D0F9F"/>
    <w:rsid w:val="007D22D7"/>
    <w:rsid w:val="007D300F"/>
    <w:rsid w:val="007D3309"/>
    <w:rsid w:val="007D3658"/>
    <w:rsid w:val="007D387F"/>
    <w:rsid w:val="007D3E05"/>
    <w:rsid w:val="007D45F0"/>
    <w:rsid w:val="007D46FC"/>
    <w:rsid w:val="007D62DF"/>
    <w:rsid w:val="007D648C"/>
    <w:rsid w:val="007E0D54"/>
    <w:rsid w:val="007E1956"/>
    <w:rsid w:val="007E1E21"/>
    <w:rsid w:val="007E20CC"/>
    <w:rsid w:val="007E25A5"/>
    <w:rsid w:val="007E2895"/>
    <w:rsid w:val="007E2EE0"/>
    <w:rsid w:val="007E2F12"/>
    <w:rsid w:val="007E62BD"/>
    <w:rsid w:val="007E6B19"/>
    <w:rsid w:val="007E6CC5"/>
    <w:rsid w:val="007E6D98"/>
    <w:rsid w:val="007E7805"/>
    <w:rsid w:val="007E7DC9"/>
    <w:rsid w:val="007F05A0"/>
    <w:rsid w:val="007F1CE1"/>
    <w:rsid w:val="007F23F1"/>
    <w:rsid w:val="007F43EE"/>
    <w:rsid w:val="007F4D19"/>
    <w:rsid w:val="007F50AE"/>
    <w:rsid w:val="007F66F8"/>
    <w:rsid w:val="007F68C9"/>
    <w:rsid w:val="007F6BE4"/>
    <w:rsid w:val="007F78D3"/>
    <w:rsid w:val="00800063"/>
    <w:rsid w:val="00800836"/>
    <w:rsid w:val="00800F43"/>
    <w:rsid w:val="00800F50"/>
    <w:rsid w:val="008012D3"/>
    <w:rsid w:val="008014EF"/>
    <w:rsid w:val="00801CFB"/>
    <w:rsid w:val="00802739"/>
    <w:rsid w:val="00802CAD"/>
    <w:rsid w:val="00803DF5"/>
    <w:rsid w:val="00803FD4"/>
    <w:rsid w:val="0080449E"/>
    <w:rsid w:val="00804CEA"/>
    <w:rsid w:val="00804DAD"/>
    <w:rsid w:val="008050A8"/>
    <w:rsid w:val="00805A81"/>
    <w:rsid w:val="00807B87"/>
    <w:rsid w:val="0081011E"/>
    <w:rsid w:val="0081026B"/>
    <w:rsid w:val="00810B87"/>
    <w:rsid w:val="0081111D"/>
    <w:rsid w:val="00811D2C"/>
    <w:rsid w:val="00812765"/>
    <w:rsid w:val="0081286B"/>
    <w:rsid w:val="00814437"/>
    <w:rsid w:val="0081474E"/>
    <w:rsid w:val="0081539A"/>
    <w:rsid w:val="00815BA7"/>
    <w:rsid w:val="00820AEF"/>
    <w:rsid w:val="00821A96"/>
    <w:rsid w:val="0082251A"/>
    <w:rsid w:val="00822B48"/>
    <w:rsid w:val="00822E44"/>
    <w:rsid w:val="00823204"/>
    <w:rsid w:val="008233C1"/>
    <w:rsid w:val="008233E5"/>
    <w:rsid w:val="008239F1"/>
    <w:rsid w:val="008254F3"/>
    <w:rsid w:val="008257BC"/>
    <w:rsid w:val="00826F27"/>
    <w:rsid w:val="00826F2C"/>
    <w:rsid w:val="008271D2"/>
    <w:rsid w:val="00827E0F"/>
    <w:rsid w:val="008308A7"/>
    <w:rsid w:val="00830DB0"/>
    <w:rsid w:val="00830F80"/>
    <w:rsid w:val="00831650"/>
    <w:rsid w:val="00831B83"/>
    <w:rsid w:val="008347E1"/>
    <w:rsid w:val="008349E4"/>
    <w:rsid w:val="00834A05"/>
    <w:rsid w:val="00836B96"/>
    <w:rsid w:val="00836CB8"/>
    <w:rsid w:val="008413E3"/>
    <w:rsid w:val="00841F34"/>
    <w:rsid w:val="008430C5"/>
    <w:rsid w:val="008437CA"/>
    <w:rsid w:val="00843848"/>
    <w:rsid w:val="00843B57"/>
    <w:rsid w:val="0084406B"/>
    <w:rsid w:val="008447C1"/>
    <w:rsid w:val="00844B23"/>
    <w:rsid w:val="00844BBC"/>
    <w:rsid w:val="00844F9F"/>
    <w:rsid w:val="00845A31"/>
    <w:rsid w:val="008460DE"/>
    <w:rsid w:val="00846499"/>
    <w:rsid w:val="00846BAE"/>
    <w:rsid w:val="00850015"/>
    <w:rsid w:val="00850019"/>
    <w:rsid w:val="00850CA5"/>
    <w:rsid w:val="008510C3"/>
    <w:rsid w:val="00851A50"/>
    <w:rsid w:val="00854915"/>
    <w:rsid w:val="0085505D"/>
    <w:rsid w:val="00855A6C"/>
    <w:rsid w:val="0085615B"/>
    <w:rsid w:val="00857918"/>
    <w:rsid w:val="00857B71"/>
    <w:rsid w:val="00857C80"/>
    <w:rsid w:val="008609FC"/>
    <w:rsid w:val="00860B7B"/>
    <w:rsid w:val="00860C72"/>
    <w:rsid w:val="00861944"/>
    <w:rsid w:val="008619E3"/>
    <w:rsid w:val="0086218F"/>
    <w:rsid w:val="008627C9"/>
    <w:rsid w:val="00863323"/>
    <w:rsid w:val="00865769"/>
    <w:rsid w:val="00865E7C"/>
    <w:rsid w:val="00866104"/>
    <w:rsid w:val="008668C9"/>
    <w:rsid w:val="00866E70"/>
    <w:rsid w:val="0086761A"/>
    <w:rsid w:val="008678BA"/>
    <w:rsid w:val="00867F2B"/>
    <w:rsid w:val="008707A8"/>
    <w:rsid w:val="00871072"/>
    <w:rsid w:val="0087144A"/>
    <w:rsid w:val="008717EF"/>
    <w:rsid w:val="00871923"/>
    <w:rsid w:val="00871A9A"/>
    <w:rsid w:val="00872131"/>
    <w:rsid w:val="00872D83"/>
    <w:rsid w:val="00873989"/>
    <w:rsid w:val="00874A21"/>
    <w:rsid w:val="0087523C"/>
    <w:rsid w:val="008757D7"/>
    <w:rsid w:val="00875ACE"/>
    <w:rsid w:val="00875C8F"/>
    <w:rsid w:val="00876CBC"/>
    <w:rsid w:val="00877394"/>
    <w:rsid w:val="00877E8F"/>
    <w:rsid w:val="00880042"/>
    <w:rsid w:val="008807BF"/>
    <w:rsid w:val="00881516"/>
    <w:rsid w:val="00881868"/>
    <w:rsid w:val="008828B3"/>
    <w:rsid w:val="00882F54"/>
    <w:rsid w:val="00883283"/>
    <w:rsid w:val="00883855"/>
    <w:rsid w:val="0088495D"/>
    <w:rsid w:val="008850A2"/>
    <w:rsid w:val="00885E5A"/>
    <w:rsid w:val="00885F96"/>
    <w:rsid w:val="00886F90"/>
    <w:rsid w:val="00890840"/>
    <w:rsid w:val="008908F7"/>
    <w:rsid w:val="00891151"/>
    <w:rsid w:val="008915A3"/>
    <w:rsid w:val="00891693"/>
    <w:rsid w:val="00891C75"/>
    <w:rsid w:val="00892B6F"/>
    <w:rsid w:val="00893529"/>
    <w:rsid w:val="00894C1B"/>
    <w:rsid w:val="00895242"/>
    <w:rsid w:val="008958AA"/>
    <w:rsid w:val="008959D0"/>
    <w:rsid w:val="00897C90"/>
    <w:rsid w:val="008A12FA"/>
    <w:rsid w:val="008A1695"/>
    <w:rsid w:val="008A27A8"/>
    <w:rsid w:val="008A2817"/>
    <w:rsid w:val="008A2B18"/>
    <w:rsid w:val="008A4442"/>
    <w:rsid w:val="008A4AD6"/>
    <w:rsid w:val="008A5513"/>
    <w:rsid w:val="008A655E"/>
    <w:rsid w:val="008A66BF"/>
    <w:rsid w:val="008A73DF"/>
    <w:rsid w:val="008A79E4"/>
    <w:rsid w:val="008B0990"/>
    <w:rsid w:val="008B0D34"/>
    <w:rsid w:val="008B1840"/>
    <w:rsid w:val="008B225A"/>
    <w:rsid w:val="008B2296"/>
    <w:rsid w:val="008B33CC"/>
    <w:rsid w:val="008B38A5"/>
    <w:rsid w:val="008B3CF9"/>
    <w:rsid w:val="008B4288"/>
    <w:rsid w:val="008B65DB"/>
    <w:rsid w:val="008B70EC"/>
    <w:rsid w:val="008B7991"/>
    <w:rsid w:val="008C06D5"/>
    <w:rsid w:val="008C0A6E"/>
    <w:rsid w:val="008C2465"/>
    <w:rsid w:val="008C2CAF"/>
    <w:rsid w:val="008C340A"/>
    <w:rsid w:val="008C3816"/>
    <w:rsid w:val="008C415F"/>
    <w:rsid w:val="008C42BF"/>
    <w:rsid w:val="008C4C35"/>
    <w:rsid w:val="008C57E3"/>
    <w:rsid w:val="008C58E4"/>
    <w:rsid w:val="008C5B1F"/>
    <w:rsid w:val="008C5CF2"/>
    <w:rsid w:val="008C6527"/>
    <w:rsid w:val="008C776D"/>
    <w:rsid w:val="008D0D5D"/>
    <w:rsid w:val="008D1B1D"/>
    <w:rsid w:val="008D3F5E"/>
    <w:rsid w:val="008D47F2"/>
    <w:rsid w:val="008D4CDA"/>
    <w:rsid w:val="008D589B"/>
    <w:rsid w:val="008D5F18"/>
    <w:rsid w:val="008D6F3F"/>
    <w:rsid w:val="008E0128"/>
    <w:rsid w:val="008E06DA"/>
    <w:rsid w:val="008E0EEB"/>
    <w:rsid w:val="008E1594"/>
    <w:rsid w:val="008E1E7F"/>
    <w:rsid w:val="008E2A8E"/>
    <w:rsid w:val="008E3B42"/>
    <w:rsid w:val="008E3DB2"/>
    <w:rsid w:val="008E4A82"/>
    <w:rsid w:val="008E4FEA"/>
    <w:rsid w:val="008E5D46"/>
    <w:rsid w:val="008E5DEB"/>
    <w:rsid w:val="008E683A"/>
    <w:rsid w:val="008E7311"/>
    <w:rsid w:val="008E73C4"/>
    <w:rsid w:val="008E744E"/>
    <w:rsid w:val="008E7484"/>
    <w:rsid w:val="008E7C43"/>
    <w:rsid w:val="008F0753"/>
    <w:rsid w:val="008F0A7B"/>
    <w:rsid w:val="008F0CEF"/>
    <w:rsid w:val="008F111F"/>
    <w:rsid w:val="008F12C6"/>
    <w:rsid w:val="008F168A"/>
    <w:rsid w:val="008F19BD"/>
    <w:rsid w:val="008F2224"/>
    <w:rsid w:val="008F281A"/>
    <w:rsid w:val="008F4327"/>
    <w:rsid w:val="008F514B"/>
    <w:rsid w:val="008F52BA"/>
    <w:rsid w:val="008F53FE"/>
    <w:rsid w:val="008F57FF"/>
    <w:rsid w:val="008F5B13"/>
    <w:rsid w:val="008F6045"/>
    <w:rsid w:val="0090048B"/>
    <w:rsid w:val="00900835"/>
    <w:rsid w:val="0090133B"/>
    <w:rsid w:val="00901427"/>
    <w:rsid w:val="00901508"/>
    <w:rsid w:val="00901C59"/>
    <w:rsid w:val="009026B0"/>
    <w:rsid w:val="00903DD3"/>
    <w:rsid w:val="00904646"/>
    <w:rsid w:val="00904735"/>
    <w:rsid w:val="00904770"/>
    <w:rsid w:val="009049DD"/>
    <w:rsid w:val="0090557D"/>
    <w:rsid w:val="009057A5"/>
    <w:rsid w:val="009058FD"/>
    <w:rsid w:val="00906D84"/>
    <w:rsid w:val="00906F26"/>
    <w:rsid w:val="0090773B"/>
    <w:rsid w:val="00910BC0"/>
    <w:rsid w:val="00911C32"/>
    <w:rsid w:val="009121A4"/>
    <w:rsid w:val="00912920"/>
    <w:rsid w:val="00913A3B"/>
    <w:rsid w:val="00914CE5"/>
    <w:rsid w:val="009154C8"/>
    <w:rsid w:val="0091550C"/>
    <w:rsid w:val="00915EF1"/>
    <w:rsid w:val="0091602A"/>
    <w:rsid w:val="009166C6"/>
    <w:rsid w:val="009166E3"/>
    <w:rsid w:val="00916F1C"/>
    <w:rsid w:val="0091790B"/>
    <w:rsid w:val="00917EBD"/>
    <w:rsid w:val="0092025D"/>
    <w:rsid w:val="00920907"/>
    <w:rsid w:val="00920A1F"/>
    <w:rsid w:val="00921F85"/>
    <w:rsid w:val="00922BCC"/>
    <w:rsid w:val="00922F57"/>
    <w:rsid w:val="00924087"/>
    <w:rsid w:val="009246E7"/>
    <w:rsid w:val="00925A1D"/>
    <w:rsid w:val="00925A9C"/>
    <w:rsid w:val="00930807"/>
    <w:rsid w:val="00930929"/>
    <w:rsid w:val="00930EB9"/>
    <w:rsid w:val="00931027"/>
    <w:rsid w:val="0093143F"/>
    <w:rsid w:val="00931D2D"/>
    <w:rsid w:val="00932A13"/>
    <w:rsid w:val="009331D4"/>
    <w:rsid w:val="0093401C"/>
    <w:rsid w:val="00934CD5"/>
    <w:rsid w:val="00934F66"/>
    <w:rsid w:val="00935332"/>
    <w:rsid w:val="0093573E"/>
    <w:rsid w:val="00935B73"/>
    <w:rsid w:val="009362E4"/>
    <w:rsid w:val="00936565"/>
    <w:rsid w:val="0093656A"/>
    <w:rsid w:val="00937A0C"/>
    <w:rsid w:val="00937D21"/>
    <w:rsid w:val="009401DB"/>
    <w:rsid w:val="00940B16"/>
    <w:rsid w:val="00940D79"/>
    <w:rsid w:val="009426C1"/>
    <w:rsid w:val="00942889"/>
    <w:rsid w:val="009432B7"/>
    <w:rsid w:val="00943802"/>
    <w:rsid w:val="00943981"/>
    <w:rsid w:val="00943BFD"/>
    <w:rsid w:val="00944815"/>
    <w:rsid w:val="00944863"/>
    <w:rsid w:val="009457FB"/>
    <w:rsid w:val="0094601F"/>
    <w:rsid w:val="00946173"/>
    <w:rsid w:val="00950BE1"/>
    <w:rsid w:val="0095155F"/>
    <w:rsid w:val="00951B4E"/>
    <w:rsid w:val="009525B6"/>
    <w:rsid w:val="009530A9"/>
    <w:rsid w:val="00953C9C"/>
    <w:rsid w:val="009545B3"/>
    <w:rsid w:val="009548E2"/>
    <w:rsid w:val="00954E7A"/>
    <w:rsid w:val="00955454"/>
    <w:rsid w:val="00955775"/>
    <w:rsid w:val="009559B5"/>
    <w:rsid w:val="00955D19"/>
    <w:rsid w:val="00955EA5"/>
    <w:rsid w:val="00955EAD"/>
    <w:rsid w:val="00955F06"/>
    <w:rsid w:val="009562C9"/>
    <w:rsid w:val="00956F2A"/>
    <w:rsid w:val="00960A24"/>
    <w:rsid w:val="00960E1C"/>
    <w:rsid w:val="00961185"/>
    <w:rsid w:val="0096196F"/>
    <w:rsid w:val="00962069"/>
    <w:rsid w:val="009624EB"/>
    <w:rsid w:val="009626E4"/>
    <w:rsid w:val="00963A3F"/>
    <w:rsid w:val="009640D3"/>
    <w:rsid w:val="00964FC1"/>
    <w:rsid w:val="00964FFD"/>
    <w:rsid w:val="00965F1F"/>
    <w:rsid w:val="00966124"/>
    <w:rsid w:val="009661DB"/>
    <w:rsid w:val="0096686E"/>
    <w:rsid w:val="00966DA8"/>
    <w:rsid w:val="00967744"/>
    <w:rsid w:val="00971739"/>
    <w:rsid w:val="00971E9C"/>
    <w:rsid w:val="00972069"/>
    <w:rsid w:val="0097229B"/>
    <w:rsid w:val="009722C1"/>
    <w:rsid w:val="00972751"/>
    <w:rsid w:val="00974884"/>
    <w:rsid w:val="00974DCF"/>
    <w:rsid w:val="00975192"/>
    <w:rsid w:val="009762C8"/>
    <w:rsid w:val="0097631A"/>
    <w:rsid w:val="00976481"/>
    <w:rsid w:val="009773D9"/>
    <w:rsid w:val="00977C5A"/>
    <w:rsid w:val="009800B3"/>
    <w:rsid w:val="00980EA2"/>
    <w:rsid w:val="009815E5"/>
    <w:rsid w:val="009819FA"/>
    <w:rsid w:val="00981C01"/>
    <w:rsid w:val="00982BAD"/>
    <w:rsid w:val="00982E8C"/>
    <w:rsid w:val="00983466"/>
    <w:rsid w:val="00985895"/>
    <w:rsid w:val="00985AE4"/>
    <w:rsid w:val="00987445"/>
    <w:rsid w:val="00987966"/>
    <w:rsid w:val="00990255"/>
    <w:rsid w:val="009902F3"/>
    <w:rsid w:val="00990577"/>
    <w:rsid w:val="00990DAF"/>
    <w:rsid w:val="009913B3"/>
    <w:rsid w:val="009920E2"/>
    <w:rsid w:val="009926A7"/>
    <w:rsid w:val="0099288A"/>
    <w:rsid w:val="00992ECD"/>
    <w:rsid w:val="00993861"/>
    <w:rsid w:val="00993D83"/>
    <w:rsid w:val="0099461B"/>
    <w:rsid w:val="00994C30"/>
    <w:rsid w:val="009952A7"/>
    <w:rsid w:val="00995842"/>
    <w:rsid w:val="00995A7B"/>
    <w:rsid w:val="009964EC"/>
    <w:rsid w:val="00996BC0"/>
    <w:rsid w:val="00997174"/>
    <w:rsid w:val="00997408"/>
    <w:rsid w:val="00997778"/>
    <w:rsid w:val="009A0078"/>
    <w:rsid w:val="009A015D"/>
    <w:rsid w:val="009A10D3"/>
    <w:rsid w:val="009A1ED8"/>
    <w:rsid w:val="009A2611"/>
    <w:rsid w:val="009A285C"/>
    <w:rsid w:val="009A2894"/>
    <w:rsid w:val="009A2D7B"/>
    <w:rsid w:val="009A2E84"/>
    <w:rsid w:val="009A3553"/>
    <w:rsid w:val="009A3731"/>
    <w:rsid w:val="009A3854"/>
    <w:rsid w:val="009A404E"/>
    <w:rsid w:val="009A413D"/>
    <w:rsid w:val="009A550A"/>
    <w:rsid w:val="009A57ED"/>
    <w:rsid w:val="009A631C"/>
    <w:rsid w:val="009A6873"/>
    <w:rsid w:val="009B0421"/>
    <w:rsid w:val="009B1E76"/>
    <w:rsid w:val="009B2BBA"/>
    <w:rsid w:val="009B2D3D"/>
    <w:rsid w:val="009B353D"/>
    <w:rsid w:val="009B430B"/>
    <w:rsid w:val="009B5EC5"/>
    <w:rsid w:val="009B693C"/>
    <w:rsid w:val="009B77D1"/>
    <w:rsid w:val="009B79C5"/>
    <w:rsid w:val="009B7F1E"/>
    <w:rsid w:val="009C058E"/>
    <w:rsid w:val="009C15EE"/>
    <w:rsid w:val="009C240C"/>
    <w:rsid w:val="009C274B"/>
    <w:rsid w:val="009C2D80"/>
    <w:rsid w:val="009C5370"/>
    <w:rsid w:val="009C55DD"/>
    <w:rsid w:val="009C56F0"/>
    <w:rsid w:val="009C6220"/>
    <w:rsid w:val="009C6482"/>
    <w:rsid w:val="009C6D4C"/>
    <w:rsid w:val="009C73E3"/>
    <w:rsid w:val="009C79F3"/>
    <w:rsid w:val="009C7A70"/>
    <w:rsid w:val="009D10C1"/>
    <w:rsid w:val="009D1190"/>
    <w:rsid w:val="009D2A93"/>
    <w:rsid w:val="009D45E0"/>
    <w:rsid w:val="009D46C6"/>
    <w:rsid w:val="009D503C"/>
    <w:rsid w:val="009D56BE"/>
    <w:rsid w:val="009D576A"/>
    <w:rsid w:val="009D5F2B"/>
    <w:rsid w:val="009E003E"/>
    <w:rsid w:val="009E09F6"/>
    <w:rsid w:val="009E38A1"/>
    <w:rsid w:val="009E62BC"/>
    <w:rsid w:val="009E644C"/>
    <w:rsid w:val="009E6CB9"/>
    <w:rsid w:val="009E7165"/>
    <w:rsid w:val="009E765C"/>
    <w:rsid w:val="009F09D2"/>
    <w:rsid w:val="009F0A36"/>
    <w:rsid w:val="009F0BBC"/>
    <w:rsid w:val="009F4C30"/>
    <w:rsid w:val="009F4CBE"/>
    <w:rsid w:val="009F57F8"/>
    <w:rsid w:val="009F58E3"/>
    <w:rsid w:val="009F5D7E"/>
    <w:rsid w:val="009F66E3"/>
    <w:rsid w:val="009F748A"/>
    <w:rsid w:val="009F753E"/>
    <w:rsid w:val="00A00BF8"/>
    <w:rsid w:val="00A01415"/>
    <w:rsid w:val="00A01823"/>
    <w:rsid w:val="00A01C6B"/>
    <w:rsid w:val="00A02ECE"/>
    <w:rsid w:val="00A040E7"/>
    <w:rsid w:val="00A045F3"/>
    <w:rsid w:val="00A04C7C"/>
    <w:rsid w:val="00A0512E"/>
    <w:rsid w:val="00A053A2"/>
    <w:rsid w:val="00A0560A"/>
    <w:rsid w:val="00A05628"/>
    <w:rsid w:val="00A056F0"/>
    <w:rsid w:val="00A05721"/>
    <w:rsid w:val="00A05E5C"/>
    <w:rsid w:val="00A061B2"/>
    <w:rsid w:val="00A06FBD"/>
    <w:rsid w:val="00A075AF"/>
    <w:rsid w:val="00A07CD2"/>
    <w:rsid w:val="00A111B0"/>
    <w:rsid w:val="00A12692"/>
    <w:rsid w:val="00A12AB8"/>
    <w:rsid w:val="00A12AC9"/>
    <w:rsid w:val="00A133D9"/>
    <w:rsid w:val="00A13511"/>
    <w:rsid w:val="00A13760"/>
    <w:rsid w:val="00A13EE5"/>
    <w:rsid w:val="00A14D83"/>
    <w:rsid w:val="00A153EF"/>
    <w:rsid w:val="00A154A8"/>
    <w:rsid w:val="00A15905"/>
    <w:rsid w:val="00A15CA4"/>
    <w:rsid w:val="00A164C6"/>
    <w:rsid w:val="00A16AEF"/>
    <w:rsid w:val="00A16BC4"/>
    <w:rsid w:val="00A174A1"/>
    <w:rsid w:val="00A17D13"/>
    <w:rsid w:val="00A17DE0"/>
    <w:rsid w:val="00A17F2B"/>
    <w:rsid w:val="00A20986"/>
    <w:rsid w:val="00A234F1"/>
    <w:rsid w:val="00A24553"/>
    <w:rsid w:val="00A25517"/>
    <w:rsid w:val="00A2607E"/>
    <w:rsid w:val="00A26342"/>
    <w:rsid w:val="00A263E7"/>
    <w:rsid w:val="00A269AE"/>
    <w:rsid w:val="00A26B36"/>
    <w:rsid w:val="00A26BD5"/>
    <w:rsid w:val="00A26C1B"/>
    <w:rsid w:val="00A27A7B"/>
    <w:rsid w:val="00A27D62"/>
    <w:rsid w:val="00A30607"/>
    <w:rsid w:val="00A30851"/>
    <w:rsid w:val="00A30FB1"/>
    <w:rsid w:val="00A32280"/>
    <w:rsid w:val="00A32E55"/>
    <w:rsid w:val="00A34012"/>
    <w:rsid w:val="00A34284"/>
    <w:rsid w:val="00A34AB1"/>
    <w:rsid w:val="00A34F81"/>
    <w:rsid w:val="00A352E6"/>
    <w:rsid w:val="00A354C1"/>
    <w:rsid w:val="00A35EDB"/>
    <w:rsid w:val="00A36724"/>
    <w:rsid w:val="00A36C57"/>
    <w:rsid w:val="00A370F3"/>
    <w:rsid w:val="00A400CC"/>
    <w:rsid w:val="00A4086C"/>
    <w:rsid w:val="00A40A95"/>
    <w:rsid w:val="00A41423"/>
    <w:rsid w:val="00A41D02"/>
    <w:rsid w:val="00A41E8B"/>
    <w:rsid w:val="00A437A1"/>
    <w:rsid w:val="00A43D22"/>
    <w:rsid w:val="00A4448C"/>
    <w:rsid w:val="00A448C4"/>
    <w:rsid w:val="00A448EC"/>
    <w:rsid w:val="00A44D42"/>
    <w:rsid w:val="00A45B73"/>
    <w:rsid w:val="00A46484"/>
    <w:rsid w:val="00A4721A"/>
    <w:rsid w:val="00A47393"/>
    <w:rsid w:val="00A47FF7"/>
    <w:rsid w:val="00A50D28"/>
    <w:rsid w:val="00A50D54"/>
    <w:rsid w:val="00A518D8"/>
    <w:rsid w:val="00A51DE6"/>
    <w:rsid w:val="00A51E15"/>
    <w:rsid w:val="00A52601"/>
    <w:rsid w:val="00A526D0"/>
    <w:rsid w:val="00A52DDC"/>
    <w:rsid w:val="00A531AA"/>
    <w:rsid w:val="00A540C5"/>
    <w:rsid w:val="00A54A11"/>
    <w:rsid w:val="00A54D28"/>
    <w:rsid w:val="00A54E17"/>
    <w:rsid w:val="00A559EF"/>
    <w:rsid w:val="00A608D8"/>
    <w:rsid w:val="00A60CFF"/>
    <w:rsid w:val="00A6150B"/>
    <w:rsid w:val="00A61550"/>
    <w:rsid w:val="00A61A5A"/>
    <w:rsid w:val="00A61B58"/>
    <w:rsid w:val="00A6201B"/>
    <w:rsid w:val="00A62723"/>
    <w:rsid w:val="00A6372F"/>
    <w:rsid w:val="00A6462B"/>
    <w:rsid w:val="00A64C0F"/>
    <w:rsid w:val="00A64C7F"/>
    <w:rsid w:val="00A6519D"/>
    <w:rsid w:val="00A65BF5"/>
    <w:rsid w:val="00A66599"/>
    <w:rsid w:val="00A673FA"/>
    <w:rsid w:val="00A71B89"/>
    <w:rsid w:val="00A71E12"/>
    <w:rsid w:val="00A729B6"/>
    <w:rsid w:val="00A73859"/>
    <w:rsid w:val="00A74C13"/>
    <w:rsid w:val="00A75216"/>
    <w:rsid w:val="00A75BA4"/>
    <w:rsid w:val="00A76A75"/>
    <w:rsid w:val="00A77E80"/>
    <w:rsid w:val="00A804FC"/>
    <w:rsid w:val="00A8190A"/>
    <w:rsid w:val="00A81F00"/>
    <w:rsid w:val="00A8231F"/>
    <w:rsid w:val="00A8265F"/>
    <w:rsid w:val="00A84120"/>
    <w:rsid w:val="00A85429"/>
    <w:rsid w:val="00A85BFC"/>
    <w:rsid w:val="00A85EEC"/>
    <w:rsid w:val="00A869CE"/>
    <w:rsid w:val="00A86A39"/>
    <w:rsid w:val="00A870BC"/>
    <w:rsid w:val="00A8794C"/>
    <w:rsid w:val="00A87C93"/>
    <w:rsid w:val="00A90798"/>
    <w:rsid w:val="00A908A9"/>
    <w:rsid w:val="00A90D9E"/>
    <w:rsid w:val="00A90F03"/>
    <w:rsid w:val="00A9121C"/>
    <w:rsid w:val="00A9192D"/>
    <w:rsid w:val="00A91F4F"/>
    <w:rsid w:val="00A925F4"/>
    <w:rsid w:val="00A92626"/>
    <w:rsid w:val="00A92871"/>
    <w:rsid w:val="00A92A04"/>
    <w:rsid w:val="00A9375A"/>
    <w:rsid w:val="00A93763"/>
    <w:rsid w:val="00A93937"/>
    <w:rsid w:val="00A93D7E"/>
    <w:rsid w:val="00A93DB7"/>
    <w:rsid w:val="00A93F5D"/>
    <w:rsid w:val="00A94711"/>
    <w:rsid w:val="00A95346"/>
    <w:rsid w:val="00A9556F"/>
    <w:rsid w:val="00A956B9"/>
    <w:rsid w:val="00A95B5B"/>
    <w:rsid w:val="00A95C6F"/>
    <w:rsid w:val="00A96D0E"/>
    <w:rsid w:val="00A974E9"/>
    <w:rsid w:val="00AA0523"/>
    <w:rsid w:val="00AA1C5B"/>
    <w:rsid w:val="00AA2A7A"/>
    <w:rsid w:val="00AA2E4A"/>
    <w:rsid w:val="00AA3057"/>
    <w:rsid w:val="00AA37EA"/>
    <w:rsid w:val="00AA3C57"/>
    <w:rsid w:val="00AA4134"/>
    <w:rsid w:val="00AA4294"/>
    <w:rsid w:val="00AA6045"/>
    <w:rsid w:val="00AA647F"/>
    <w:rsid w:val="00AA6F87"/>
    <w:rsid w:val="00AB096F"/>
    <w:rsid w:val="00AB0A88"/>
    <w:rsid w:val="00AB0BE3"/>
    <w:rsid w:val="00AB1FA2"/>
    <w:rsid w:val="00AB2D93"/>
    <w:rsid w:val="00AB32EC"/>
    <w:rsid w:val="00AB3909"/>
    <w:rsid w:val="00AB42CD"/>
    <w:rsid w:val="00AB438D"/>
    <w:rsid w:val="00AB4B54"/>
    <w:rsid w:val="00AB61EF"/>
    <w:rsid w:val="00AB6AB6"/>
    <w:rsid w:val="00AB72BC"/>
    <w:rsid w:val="00AC24EB"/>
    <w:rsid w:val="00AC2C1E"/>
    <w:rsid w:val="00AC384B"/>
    <w:rsid w:val="00AC4590"/>
    <w:rsid w:val="00AC53F1"/>
    <w:rsid w:val="00AC7442"/>
    <w:rsid w:val="00AC76E9"/>
    <w:rsid w:val="00AC7793"/>
    <w:rsid w:val="00AC7DE5"/>
    <w:rsid w:val="00AD03C0"/>
    <w:rsid w:val="00AD20ED"/>
    <w:rsid w:val="00AD38C4"/>
    <w:rsid w:val="00AD3AF7"/>
    <w:rsid w:val="00AD3CED"/>
    <w:rsid w:val="00AD4279"/>
    <w:rsid w:val="00AD4FD8"/>
    <w:rsid w:val="00AD57D8"/>
    <w:rsid w:val="00AD7337"/>
    <w:rsid w:val="00AD7E50"/>
    <w:rsid w:val="00AE0157"/>
    <w:rsid w:val="00AE1526"/>
    <w:rsid w:val="00AE2097"/>
    <w:rsid w:val="00AE2D9F"/>
    <w:rsid w:val="00AE2FC7"/>
    <w:rsid w:val="00AE3F01"/>
    <w:rsid w:val="00AE4146"/>
    <w:rsid w:val="00AE4484"/>
    <w:rsid w:val="00AE5297"/>
    <w:rsid w:val="00AE68F3"/>
    <w:rsid w:val="00AE768B"/>
    <w:rsid w:val="00AF1C82"/>
    <w:rsid w:val="00AF2BBD"/>
    <w:rsid w:val="00AF3113"/>
    <w:rsid w:val="00AF3262"/>
    <w:rsid w:val="00AF3C18"/>
    <w:rsid w:val="00AF419A"/>
    <w:rsid w:val="00AF5DA3"/>
    <w:rsid w:val="00AF665E"/>
    <w:rsid w:val="00AF6C99"/>
    <w:rsid w:val="00AF735C"/>
    <w:rsid w:val="00AF767B"/>
    <w:rsid w:val="00AF7F9A"/>
    <w:rsid w:val="00B002FC"/>
    <w:rsid w:val="00B00F0D"/>
    <w:rsid w:val="00B010C2"/>
    <w:rsid w:val="00B013B8"/>
    <w:rsid w:val="00B02B61"/>
    <w:rsid w:val="00B03B95"/>
    <w:rsid w:val="00B03D10"/>
    <w:rsid w:val="00B03EA5"/>
    <w:rsid w:val="00B04091"/>
    <w:rsid w:val="00B041F7"/>
    <w:rsid w:val="00B047F6"/>
    <w:rsid w:val="00B04EC3"/>
    <w:rsid w:val="00B051A1"/>
    <w:rsid w:val="00B05E82"/>
    <w:rsid w:val="00B071EB"/>
    <w:rsid w:val="00B07C56"/>
    <w:rsid w:val="00B10E41"/>
    <w:rsid w:val="00B11ADA"/>
    <w:rsid w:val="00B12C7F"/>
    <w:rsid w:val="00B14406"/>
    <w:rsid w:val="00B144E4"/>
    <w:rsid w:val="00B146D0"/>
    <w:rsid w:val="00B14DE5"/>
    <w:rsid w:val="00B150D2"/>
    <w:rsid w:val="00B15983"/>
    <w:rsid w:val="00B15AC5"/>
    <w:rsid w:val="00B202A1"/>
    <w:rsid w:val="00B20DA4"/>
    <w:rsid w:val="00B20DB3"/>
    <w:rsid w:val="00B21725"/>
    <w:rsid w:val="00B21B18"/>
    <w:rsid w:val="00B22454"/>
    <w:rsid w:val="00B229B9"/>
    <w:rsid w:val="00B2326C"/>
    <w:rsid w:val="00B236A5"/>
    <w:rsid w:val="00B2421F"/>
    <w:rsid w:val="00B24319"/>
    <w:rsid w:val="00B26201"/>
    <w:rsid w:val="00B26278"/>
    <w:rsid w:val="00B26696"/>
    <w:rsid w:val="00B26EC7"/>
    <w:rsid w:val="00B271BD"/>
    <w:rsid w:val="00B2722F"/>
    <w:rsid w:val="00B3055F"/>
    <w:rsid w:val="00B307F0"/>
    <w:rsid w:val="00B31473"/>
    <w:rsid w:val="00B32352"/>
    <w:rsid w:val="00B3327E"/>
    <w:rsid w:val="00B335C3"/>
    <w:rsid w:val="00B336DF"/>
    <w:rsid w:val="00B33BF2"/>
    <w:rsid w:val="00B34349"/>
    <w:rsid w:val="00B3444D"/>
    <w:rsid w:val="00B34FED"/>
    <w:rsid w:val="00B36272"/>
    <w:rsid w:val="00B36417"/>
    <w:rsid w:val="00B3655C"/>
    <w:rsid w:val="00B36663"/>
    <w:rsid w:val="00B369CA"/>
    <w:rsid w:val="00B37942"/>
    <w:rsid w:val="00B37FA1"/>
    <w:rsid w:val="00B40936"/>
    <w:rsid w:val="00B4132A"/>
    <w:rsid w:val="00B4159B"/>
    <w:rsid w:val="00B41A14"/>
    <w:rsid w:val="00B43070"/>
    <w:rsid w:val="00B43640"/>
    <w:rsid w:val="00B45849"/>
    <w:rsid w:val="00B45BE0"/>
    <w:rsid w:val="00B45D2D"/>
    <w:rsid w:val="00B468E7"/>
    <w:rsid w:val="00B46B7B"/>
    <w:rsid w:val="00B46C11"/>
    <w:rsid w:val="00B46CFE"/>
    <w:rsid w:val="00B47B66"/>
    <w:rsid w:val="00B500B9"/>
    <w:rsid w:val="00B50E08"/>
    <w:rsid w:val="00B51A2A"/>
    <w:rsid w:val="00B52647"/>
    <w:rsid w:val="00B5292C"/>
    <w:rsid w:val="00B537E1"/>
    <w:rsid w:val="00B541B9"/>
    <w:rsid w:val="00B54B64"/>
    <w:rsid w:val="00B54CD1"/>
    <w:rsid w:val="00B55551"/>
    <w:rsid w:val="00B55F89"/>
    <w:rsid w:val="00B56A59"/>
    <w:rsid w:val="00B56E7E"/>
    <w:rsid w:val="00B6156C"/>
    <w:rsid w:val="00B615F3"/>
    <w:rsid w:val="00B61F9C"/>
    <w:rsid w:val="00B61FE2"/>
    <w:rsid w:val="00B6214B"/>
    <w:rsid w:val="00B63471"/>
    <w:rsid w:val="00B64DEB"/>
    <w:rsid w:val="00B65F8E"/>
    <w:rsid w:val="00B67178"/>
    <w:rsid w:val="00B70341"/>
    <w:rsid w:val="00B70ED0"/>
    <w:rsid w:val="00B70EEF"/>
    <w:rsid w:val="00B72A0E"/>
    <w:rsid w:val="00B72C18"/>
    <w:rsid w:val="00B73666"/>
    <w:rsid w:val="00B7382C"/>
    <w:rsid w:val="00B75081"/>
    <w:rsid w:val="00B7516A"/>
    <w:rsid w:val="00B75BFD"/>
    <w:rsid w:val="00B765AB"/>
    <w:rsid w:val="00B76612"/>
    <w:rsid w:val="00B76CE9"/>
    <w:rsid w:val="00B80206"/>
    <w:rsid w:val="00B803B4"/>
    <w:rsid w:val="00B813BC"/>
    <w:rsid w:val="00B81745"/>
    <w:rsid w:val="00B81965"/>
    <w:rsid w:val="00B82130"/>
    <w:rsid w:val="00B829B6"/>
    <w:rsid w:val="00B82A7F"/>
    <w:rsid w:val="00B835EF"/>
    <w:rsid w:val="00B83CE9"/>
    <w:rsid w:val="00B84FF2"/>
    <w:rsid w:val="00B852F2"/>
    <w:rsid w:val="00B85E68"/>
    <w:rsid w:val="00B8621D"/>
    <w:rsid w:val="00B862FA"/>
    <w:rsid w:val="00B864A1"/>
    <w:rsid w:val="00B873D1"/>
    <w:rsid w:val="00B87632"/>
    <w:rsid w:val="00B9105C"/>
    <w:rsid w:val="00B9114F"/>
    <w:rsid w:val="00B922DE"/>
    <w:rsid w:val="00B9375D"/>
    <w:rsid w:val="00B93D45"/>
    <w:rsid w:val="00B9528D"/>
    <w:rsid w:val="00B96178"/>
    <w:rsid w:val="00B96902"/>
    <w:rsid w:val="00B96C40"/>
    <w:rsid w:val="00B96E38"/>
    <w:rsid w:val="00B97852"/>
    <w:rsid w:val="00BA03D8"/>
    <w:rsid w:val="00BA1176"/>
    <w:rsid w:val="00BA256D"/>
    <w:rsid w:val="00BA2CCC"/>
    <w:rsid w:val="00BA306B"/>
    <w:rsid w:val="00BA32F0"/>
    <w:rsid w:val="00BA4BAC"/>
    <w:rsid w:val="00BA548C"/>
    <w:rsid w:val="00BA590C"/>
    <w:rsid w:val="00BA6276"/>
    <w:rsid w:val="00BA77BF"/>
    <w:rsid w:val="00BA7CC2"/>
    <w:rsid w:val="00BA7D92"/>
    <w:rsid w:val="00BB00D8"/>
    <w:rsid w:val="00BB027F"/>
    <w:rsid w:val="00BB05FB"/>
    <w:rsid w:val="00BB0F6A"/>
    <w:rsid w:val="00BB191B"/>
    <w:rsid w:val="00BB2CB7"/>
    <w:rsid w:val="00BB2EA5"/>
    <w:rsid w:val="00BB40D0"/>
    <w:rsid w:val="00BB4CF9"/>
    <w:rsid w:val="00BB6F79"/>
    <w:rsid w:val="00BB712B"/>
    <w:rsid w:val="00BB7184"/>
    <w:rsid w:val="00BB7B0F"/>
    <w:rsid w:val="00BC004A"/>
    <w:rsid w:val="00BC04AF"/>
    <w:rsid w:val="00BC1528"/>
    <w:rsid w:val="00BC1B76"/>
    <w:rsid w:val="00BC1C62"/>
    <w:rsid w:val="00BC1F69"/>
    <w:rsid w:val="00BC1F85"/>
    <w:rsid w:val="00BC2821"/>
    <w:rsid w:val="00BC2B8D"/>
    <w:rsid w:val="00BC36F5"/>
    <w:rsid w:val="00BC42CF"/>
    <w:rsid w:val="00BC4567"/>
    <w:rsid w:val="00BC4D40"/>
    <w:rsid w:val="00BC4E20"/>
    <w:rsid w:val="00BC6D13"/>
    <w:rsid w:val="00BC74B9"/>
    <w:rsid w:val="00BD0760"/>
    <w:rsid w:val="00BD0C52"/>
    <w:rsid w:val="00BD15F1"/>
    <w:rsid w:val="00BD174F"/>
    <w:rsid w:val="00BD1C16"/>
    <w:rsid w:val="00BD2858"/>
    <w:rsid w:val="00BD3E57"/>
    <w:rsid w:val="00BD4A3B"/>
    <w:rsid w:val="00BD6130"/>
    <w:rsid w:val="00BD6A8B"/>
    <w:rsid w:val="00BD6B3D"/>
    <w:rsid w:val="00BD6E28"/>
    <w:rsid w:val="00BD70B9"/>
    <w:rsid w:val="00BD76BF"/>
    <w:rsid w:val="00BD78E4"/>
    <w:rsid w:val="00BD7A7E"/>
    <w:rsid w:val="00BE0D3A"/>
    <w:rsid w:val="00BE18BE"/>
    <w:rsid w:val="00BE2169"/>
    <w:rsid w:val="00BE29AA"/>
    <w:rsid w:val="00BE3AB4"/>
    <w:rsid w:val="00BE46D7"/>
    <w:rsid w:val="00BF149A"/>
    <w:rsid w:val="00BF2110"/>
    <w:rsid w:val="00BF2776"/>
    <w:rsid w:val="00BF2DAD"/>
    <w:rsid w:val="00BF3B0E"/>
    <w:rsid w:val="00BF4A51"/>
    <w:rsid w:val="00BF5620"/>
    <w:rsid w:val="00BF5720"/>
    <w:rsid w:val="00BF58D2"/>
    <w:rsid w:val="00BF6571"/>
    <w:rsid w:val="00BF7AC3"/>
    <w:rsid w:val="00BF7C92"/>
    <w:rsid w:val="00BF7D06"/>
    <w:rsid w:val="00C009EE"/>
    <w:rsid w:val="00C00F23"/>
    <w:rsid w:val="00C01AAB"/>
    <w:rsid w:val="00C022BE"/>
    <w:rsid w:val="00C02DB3"/>
    <w:rsid w:val="00C05FEF"/>
    <w:rsid w:val="00C062B3"/>
    <w:rsid w:val="00C063A6"/>
    <w:rsid w:val="00C074F2"/>
    <w:rsid w:val="00C075C9"/>
    <w:rsid w:val="00C07DAD"/>
    <w:rsid w:val="00C07DB4"/>
    <w:rsid w:val="00C07E27"/>
    <w:rsid w:val="00C10AC4"/>
    <w:rsid w:val="00C10F3F"/>
    <w:rsid w:val="00C12BF0"/>
    <w:rsid w:val="00C1371B"/>
    <w:rsid w:val="00C14B56"/>
    <w:rsid w:val="00C1525D"/>
    <w:rsid w:val="00C152CA"/>
    <w:rsid w:val="00C15377"/>
    <w:rsid w:val="00C15564"/>
    <w:rsid w:val="00C15729"/>
    <w:rsid w:val="00C15999"/>
    <w:rsid w:val="00C15CBD"/>
    <w:rsid w:val="00C16B47"/>
    <w:rsid w:val="00C1730F"/>
    <w:rsid w:val="00C17C82"/>
    <w:rsid w:val="00C20405"/>
    <w:rsid w:val="00C21EE1"/>
    <w:rsid w:val="00C22334"/>
    <w:rsid w:val="00C223C4"/>
    <w:rsid w:val="00C22B9F"/>
    <w:rsid w:val="00C22F22"/>
    <w:rsid w:val="00C24319"/>
    <w:rsid w:val="00C24527"/>
    <w:rsid w:val="00C24C90"/>
    <w:rsid w:val="00C25AF4"/>
    <w:rsid w:val="00C25E45"/>
    <w:rsid w:val="00C264F7"/>
    <w:rsid w:val="00C271AC"/>
    <w:rsid w:val="00C300B3"/>
    <w:rsid w:val="00C300D2"/>
    <w:rsid w:val="00C304B4"/>
    <w:rsid w:val="00C30C40"/>
    <w:rsid w:val="00C31601"/>
    <w:rsid w:val="00C31B55"/>
    <w:rsid w:val="00C3270B"/>
    <w:rsid w:val="00C32822"/>
    <w:rsid w:val="00C32D7F"/>
    <w:rsid w:val="00C32EDB"/>
    <w:rsid w:val="00C33921"/>
    <w:rsid w:val="00C34209"/>
    <w:rsid w:val="00C3423C"/>
    <w:rsid w:val="00C34583"/>
    <w:rsid w:val="00C3459A"/>
    <w:rsid w:val="00C357E9"/>
    <w:rsid w:val="00C371BD"/>
    <w:rsid w:val="00C379FE"/>
    <w:rsid w:val="00C400B1"/>
    <w:rsid w:val="00C41B76"/>
    <w:rsid w:val="00C41BED"/>
    <w:rsid w:val="00C41C5C"/>
    <w:rsid w:val="00C4275B"/>
    <w:rsid w:val="00C427A1"/>
    <w:rsid w:val="00C428A9"/>
    <w:rsid w:val="00C4331E"/>
    <w:rsid w:val="00C43763"/>
    <w:rsid w:val="00C43EA8"/>
    <w:rsid w:val="00C447D2"/>
    <w:rsid w:val="00C44C50"/>
    <w:rsid w:val="00C44F27"/>
    <w:rsid w:val="00C45541"/>
    <w:rsid w:val="00C458CF"/>
    <w:rsid w:val="00C46CED"/>
    <w:rsid w:val="00C46EED"/>
    <w:rsid w:val="00C47488"/>
    <w:rsid w:val="00C505FC"/>
    <w:rsid w:val="00C51A80"/>
    <w:rsid w:val="00C52DD6"/>
    <w:rsid w:val="00C5314E"/>
    <w:rsid w:val="00C5430B"/>
    <w:rsid w:val="00C54B97"/>
    <w:rsid w:val="00C55B4D"/>
    <w:rsid w:val="00C5731D"/>
    <w:rsid w:val="00C5753D"/>
    <w:rsid w:val="00C6006E"/>
    <w:rsid w:val="00C604CD"/>
    <w:rsid w:val="00C60FA1"/>
    <w:rsid w:val="00C61B98"/>
    <w:rsid w:val="00C627D8"/>
    <w:rsid w:val="00C6296A"/>
    <w:rsid w:val="00C638FA"/>
    <w:rsid w:val="00C6409D"/>
    <w:rsid w:val="00C64648"/>
    <w:rsid w:val="00C6583E"/>
    <w:rsid w:val="00C65F50"/>
    <w:rsid w:val="00C65F72"/>
    <w:rsid w:val="00C660F4"/>
    <w:rsid w:val="00C675D2"/>
    <w:rsid w:val="00C675D7"/>
    <w:rsid w:val="00C7043F"/>
    <w:rsid w:val="00C707DE"/>
    <w:rsid w:val="00C7102D"/>
    <w:rsid w:val="00C710DA"/>
    <w:rsid w:val="00C711F4"/>
    <w:rsid w:val="00C7226C"/>
    <w:rsid w:val="00C726DF"/>
    <w:rsid w:val="00C73593"/>
    <w:rsid w:val="00C73840"/>
    <w:rsid w:val="00C74C48"/>
    <w:rsid w:val="00C76AA8"/>
    <w:rsid w:val="00C76CD3"/>
    <w:rsid w:val="00C7706E"/>
    <w:rsid w:val="00C77B2B"/>
    <w:rsid w:val="00C803B4"/>
    <w:rsid w:val="00C80C68"/>
    <w:rsid w:val="00C80E04"/>
    <w:rsid w:val="00C81CB0"/>
    <w:rsid w:val="00C83856"/>
    <w:rsid w:val="00C83EC0"/>
    <w:rsid w:val="00C8483A"/>
    <w:rsid w:val="00C84BE0"/>
    <w:rsid w:val="00C84F08"/>
    <w:rsid w:val="00C8596F"/>
    <w:rsid w:val="00C8693E"/>
    <w:rsid w:val="00C869B2"/>
    <w:rsid w:val="00C869D6"/>
    <w:rsid w:val="00C87B2F"/>
    <w:rsid w:val="00C90311"/>
    <w:rsid w:val="00C90B4F"/>
    <w:rsid w:val="00C91E4D"/>
    <w:rsid w:val="00C91FFB"/>
    <w:rsid w:val="00C927E0"/>
    <w:rsid w:val="00C93A23"/>
    <w:rsid w:val="00C93CEB"/>
    <w:rsid w:val="00C93EBD"/>
    <w:rsid w:val="00C94759"/>
    <w:rsid w:val="00C9559A"/>
    <w:rsid w:val="00C956D2"/>
    <w:rsid w:val="00C9589F"/>
    <w:rsid w:val="00C95E37"/>
    <w:rsid w:val="00C96112"/>
    <w:rsid w:val="00C966B5"/>
    <w:rsid w:val="00C969F2"/>
    <w:rsid w:val="00C96AD7"/>
    <w:rsid w:val="00C975A0"/>
    <w:rsid w:val="00CA2436"/>
    <w:rsid w:val="00CA2D75"/>
    <w:rsid w:val="00CA3128"/>
    <w:rsid w:val="00CA3D17"/>
    <w:rsid w:val="00CA4044"/>
    <w:rsid w:val="00CA67FB"/>
    <w:rsid w:val="00CA6C87"/>
    <w:rsid w:val="00CA6D48"/>
    <w:rsid w:val="00CA73D4"/>
    <w:rsid w:val="00CA7C8A"/>
    <w:rsid w:val="00CA7D64"/>
    <w:rsid w:val="00CB0B69"/>
    <w:rsid w:val="00CB0CAE"/>
    <w:rsid w:val="00CB11A3"/>
    <w:rsid w:val="00CB17A8"/>
    <w:rsid w:val="00CB1A2D"/>
    <w:rsid w:val="00CB294B"/>
    <w:rsid w:val="00CB36B5"/>
    <w:rsid w:val="00CB5094"/>
    <w:rsid w:val="00CB532A"/>
    <w:rsid w:val="00CB58DC"/>
    <w:rsid w:val="00CB5B9B"/>
    <w:rsid w:val="00CB5BE5"/>
    <w:rsid w:val="00CB6AE3"/>
    <w:rsid w:val="00CB7724"/>
    <w:rsid w:val="00CB7877"/>
    <w:rsid w:val="00CB7D4D"/>
    <w:rsid w:val="00CB7D6E"/>
    <w:rsid w:val="00CC0DDA"/>
    <w:rsid w:val="00CC1597"/>
    <w:rsid w:val="00CC190F"/>
    <w:rsid w:val="00CC1C52"/>
    <w:rsid w:val="00CC26B3"/>
    <w:rsid w:val="00CC2A69"/>
    <w:rsid w:val="00CC2EB7"/>
    <w:rsid w:val="00CC374D"/>
    <w:rsid w:val="00CC3E3F"/>
    <w:rsid w:val="00CC5201"/>
    <w:rsid w:val="00CC534E"/>
    <w:rsid w:val="00CC5B57"/>
    <w:rsid w:val="00CC5EC1"/>
    <w:rsid w:val="00CC65C2"/>
    <w:rsid w:val="00CC66F9"/>
    <w:rsid w:val="00CC67C8"/>
    <w:rsid w:val="00CC6DAE"/>
    <w:rsid w:val="00CC71D7"/>
    <w:rsid w:val="00CC79F4"/>
    <w:rsid w:val="00CD0171"/>
    <w:rsid w:val="00CD0533"/>
    <w:rsid w:val="00CD0A5F"/>
    <w:rsid w:val="00CD0B93"/>
    <w:rsid w:val="00CD0D39"/>
    <w:rsid w:val="00CD1654"/>
    <w:rsid w:val="00CD3F2F"/>
    <w:rsid w:val="00CD4FC2"/>
    <w:rsid w:val="00CD51F0"/>
    <w:rsid w:val="00CD5201"/>
    <w:rsid w:val="00CD5CE9"/>
    <w:rsid w:val="00CD5F29"/>
    <w:rsid w:val="00CD5FF0"/>
    <w:rsid w:val="00CD75E0"/>
    <w:rsid w:val="00CE08FD"/>
    <w:rsid w:val="00CE0CE9"/>
    <w:rsid w:val="00CE0D55"/>
    <w:rsid w:val="00CE130F"/>
    <w:rsid w:val="00CE2316"/>
    <w:rsid w:val="00CE2E45"/>
    <w:rsid w:val="00CE30D8"/>
    <w:rsid w:val="00CE315D"/>
    <w:rsid w:val="00CE3177"/>
    <w:rsid w:val="00CE4672"/>
    <w:rsid w:val="00CE5E54"/>
    <w:rsid w:val="00CE6BEF"/>
    <w:rsid w:val="00CE70A6"/>
    <w:rsid w:val="00CE7321"/>
    <w:rsid w:val="00CE73ED"/>
    <w:rsid w:val="00CE758A"/>
    <w:rsid w:val="00CE7869"/>
    <w:rsid w:val="00CE78FE"/>
    <w:rsid w:val="00CE7944"/>
    <w:rsid w:val="00CF046C"/>
    <w:rsid w:val="00CF0C6E"/>
    <w:rsid w:val="00CF1B91"/>
    <w:rsid w:val="00CF2C2B"/>
    <w:rsid w:val="00CF2E8E"/>
    <w:rsid w:val="00CF4F26"/>
    <w:rsid w:val="00CF52F4"/>
    <w:rsid w:val="00CF5A92"/>
    <w:rsid w:val="00CF5CFC"/>
    <w:rsid w:val="00CF6F7E"/>
    <w:rsid w:val="00CF77CC"/>
    <w:rsid w:val="00CF7A85"/>
    <w:rsid w:val="00CF7B02"/>
    <w:rsid w:val="00D004EC"/>
    <w:rsid w:val="00D021F7"/>
    <w:rsid w:val="00D0224F"/>
    <w:rsid w:val="00D02884"/>
    <w:rsid w:val="00D02BB0"/>
    <w:rsid w:val="00D02D27"/>
    <w:rsid w:val="00D030A4"/>
    <w:rsid w:val="00D0351C"/>
    <w:rsid w:val="00D0479E"/>
    <w:rsid w:val="00D04D16"/>
    <w:rsid w:val="00D05549"/>
    <w:rsid w:val="00D055E9"/>
    <w:rsid w:val="00D0686D"/>
    <w:rsid w:val="00D10C1D"/>
    <w:rsid w:val="00D1139C"/>
    <w:rsid w:val="00D115C8"/>
    <w:rsid w:val="00D1216F"/>
    <w:rsid w:val="00D12641"/>
    <w:rsid w:val="00D1272A"/>
    <w:rsid w:val="00D12756"/>
    <w:rsid w:val="00D1299C"/>
    <w:rsid w:val="00D138DB"/>
    <w:rsid w:val="00D13C14"/>
    <w:rsid w:val="00D13C9C"/>
    <w:rsid w:val="00D14563"/>
    <w:rsid w:val="00D146C5"/>
    <w:rsid w:val="00D14993"/>
    <w:rsid w:val="00D15267"/>
    <w:rsid w:val="00D159CE"/>
    <w:rsid w:val="00D16A0D"/>
    <w:rsid w:val="00D16DDD"/>
    <w:rsid w:val="00D16FDE"/>
    <w:rsid w:val="00D21B5B"/>
    <w:rsid w:val="00D23ADF"/>
    <w:rsid w:val="00D240EF"/>
    <w:rsid w:val="00D24358"/>
    <w:rsid w:val="00D247DA"/>
    <w:rsid w:val="00D2528E"/>
    <w:rsid w:val="00D265DB"/>
    <w:rsid w:val="00D277FD"/>
    <w:rsid w:val="00D278F3"/>
    <w:rsid w:val="00D306BB"/>
    <w:rsid w:val="00D30DF7"/>
    <w:rsid w:val="00D30FF9"/>
    <w:rsid w:val="00D31879"/>
    <w:rsid w:val="00D31B25"/>
    <w:rsid w:val="00D31C27"/>
    <w:rsid w:val="00D32831"/>
    <w:rsid w:val="00D3404C"/>
    <w:rsid w:val="00D34422"/>
    <w:rsid w:val="00D3447C"/>
    <w:rsid w:val="00D34ACC"/>
    <w:rsid w:val="00D35075"/>
    <w:rsid w:val="00D35908"/>
    <w:rsid w:val="00D35A3E"/>
    <w:rsid w:val="00D35A7C"/>
    <w:rsid w:val="00D3649B"/>
    <w:rsid w:val="00D36824"/>
    <w:rsid w:val="00D3784C"/>
    <w:rsid w:val="00D37C3B"/>
    <w:rsid w:val="00D40377"/>
    <w:rsid w:val="00D41818"/>
    <w:rsid w:val="00D41A40"/>
    <w:rsid w:val="00D41CDD"/>
    <w:rsid w:val="00D42030"/>
    <w:rsid w:val="00D42031"/>
    <w:rsid w:val="00D43BA0"/>
    <w:rsid w:val="00D44D9E"/>
    <w:rsid w:val="00D454EB"/>
    <w:rsid w:val="00D457EA"/>
    <w:rsid w:val="00D45917"/>
    <w:rsid w:val="00D45963"/>
    <w:rsid w:val="00D45A26"/>
    <w:rsid w:val="00D4657C"/>
    <w:rsid w:val="00D46882"/>
    <w:rsid w:val="00D468C0"/>
    <w:rsid w:val="00D46AB1"/>
    <w:rsid w:val="00D46F68"/>
    <w:rsid w:val="00D4732F"/>
    <w:rsid w:val="00D47367"/>
    <w:rsid w:val="00D475D0"/>
    <w:rsid w:val="00D5049B"/>
    <w:rsid w:val="00D518DC"/>
    <w:rsid w:val="00D52063"/>
    <w:rsid w:val="00D526E2"/>
    <w:rsid w:val="00D529D8"/>
    <w:rsid w:val="00D52B82"/>
    <w:rsid w:val="00D53D95"/>
    <w:rsid w:val="00D55055"/>
    <w:rsid w:val="00D55A6F"/>
    <w:rsid w:val="00D57DC7"/>
    <w:rsid w:val="00D57ED6"/>
    <w:rsid w:val="00D6028F"/>
    <w:rsid w:val="00D61F5B"/>
    <w:rsid w:val="00D62069"/>
    <w:rsid w:val="00D6210C"/>
    <w:rsid w:val="00D628BA"/>
    <w:rsid w:val="00D62B23"/>
    <w:rsid w:val="00D62DDF"/>
    <w:rsid w:val="00D62F85"/>
    <w:rsid w:val="00D637AC"/>
    <w:rsid w:val="00D63B3C"/>
    <w:rsid w:val="00D63C3B"/>
    <w:rsid w:val="00D63DE0"/>
    <w:rsid w:val="00D645A1"/>
    <w:rsid w:val="00D64B18"/>
    <w:rsid w:val="00D6518C"/>
    <w:rsid w:val="00D65AA4"/>
    <w:rsid w:val="00D66A23"/>
    <w:rsid w:val="00D66F8C"/>
    <w:rsid w:val="00D7007A"/>
    <w:rsid w:val="00D70BE1"/>
    <w:rsid w:val="00D714C0"/>
    <w:rsid w:val="00D71706"/>
    <w:rsid w:val="00D736A5"/>
    <w:rsid w:val="00D73738"/>
    <w:rsid w:val="00D748EF"/>
    <w:rsid w:val="00D76E2D"/>
    <w:rsid w:val="00D77073"/>
    <w:rsid w:val="00D775F9"/>
    <w:rsid w:val="00D775FB"/>
    <w:rsid w:val="00D77C3B"/>
    <w:rsid w:val="00D80033"/>
    <w:rsid w:val="00D8019D"/>
    <w:rsid w:val="00D803E6"/>
    <w:rsid w:val="00D80B8A"/>
    <w:rsid w:val="00D810BD"/>
    <w:rsid w:val="00D813C4"/>
    <w:rsid w:val="00D817EB"/>
    <w:rsid w:val="00D81E12"/>
    <w:rsid w:val="00D822AB"/>
    <w:rsid w:val="00D84906"/>
    <w:rsid w:val="00D849AC"/>
    <w:rsid w:val="00D855E7"/>
    <w:rsid w:val="00D85743"/>
    <w:rsid w:val="00D85A51"/>
    <w:rsid w:val="00D86FFB"/>
    <w:rsid w:val="00D87A83"/>
    <w:rsid w:val="00D87B2B"/>
    <w:rsid w:val="00D901B2"/>
    <w:rsid w:val="00D90793"/>
    <w:rsid w:val="00D9101E"/>
    <w:rsid w:val="00D92370"/>
    <w:rsid w:val="00D924DA"/>
    <w:rsid w:val="00D92773"/>
    <w:rsid w:val="00D93626"/>
    <w:rsid w:val="00D93AE3"/>
    <w:rsid w:val="00D94F02"/>
    <w:rsid w:val="00D958AF"/>
    <w:rsid w:val="00D9625A"/>
    <w:rsid w:val="00DA0921"/>
    <w:rsid w:val="00DA0F51"/>
    <w:rsid w:val="00DA19B2"/>
    <w:rsid w:val="00DA1D98"/>
    <w:rsid w:val="00DA25CB"/>
    <w:rsid w:val="00DA25DE"/>
    <w:rsid w:val="00DA311B"/>
    <w:rsid w:val="00DA3443"/>
    <w:rsid w:val="00DA367A"/>
    <w:rsid w:val="00DA4765"/>
    <w:rsid w:val="00DA65B3"/>
    <w:rsid w:val="00DA7E74"/>
    <w:rsid w:val="00DB001B"/>
    <w:rsid w:val="00DB05AF"/>
    <w:rsid w:val="00DB0BDA"/>
    <w:rsid w:val="00DB1652"/>
    <w:rsid w:val="00DB1AC8"/>
    <w:rsid w:val="00DB2A99"/>
    <w:rsid w:val="00DB36E4"/>
    <w:rsid w:val="00DB380E"/>
    <w:rsid w:val="00DB40EE"/>
    <w:rsid w:val="00DB4957"/>
    <w:rsid w:val="00DB6B79"/>
    <w:rsid w:val="00DB6BEE"/>
    <w:rsid w:val="00DB71E5"/>
    <w:rsid w:val="00DB7EC8"/>
    <w:rsid w:val="00DC048D"/>
    <w:rsid w:val="00DC0E53"/>
    <w:rsid w:val="00DC2367"/>
    <w:rsid w:val="00DC3122"/>
    <w:rsid w:val="00DC3237"/>
    <w:rsid w:val="00DC3A35"/>
    <w:rsid w:val="00DC3BC8"/>
    <w:rsid w:val="00DC4839"/>
    <w:rsid w:val="00DC4B34"/>
    <w:rsid w:val="00DC508F"/>
    <w:rsid w:val="00DC6B49"/>
    <w:rsid w:val="00DC6E40"/>
    <w:rsid w:val="00DC77AD"/>
    <w:rsid w:val="00DC7970"/>
    <w:rsid w:val="00DD0E0D"/>
    <w:rsid w:val="00DD17DB"/>
    <w:rsid w:val="00DD2D89"/>
    <w:rsid w:val="00DD2EA8"/>
    <w:rsid w:val="00DD435D"/>
    <w:rsid w:val="00DD49C8"/>
    <w:rsid w:val="00DD4DE7"/>
    <w:rsid w:val="00DD69A6"/>
    <w:rsid w:val="00DE01E8"/>
    <w:rsid w:val="00DE138D"/>
    <w:rsid w:val="00DE30F9"/>
    <w:rsid w:val="00DE3FBE"/>
    <w:rsid w:val="00DE5B84"/>
    <w:rsid w:val="00DE68D5"/>
    <w:rsid w:val="00DE6A28"/>
    <w:rsid w:val="00DE6A30"/>
    <w:rsid w:val="00DE6BD1"/>
    <w:rsid w:val="00DE7248"/>
    <w:rsid w:val="00DE7421"/>
    <w:rsid w:val="00DE7C9F"/>
    <w:rsid w:val="00DF00A0"/>
    <w:rsid w:val="00DF0265"/>
    <w:rsid w:val="00DF0D6A"/>
    <w:rsid w:val="00DF0FA7"/>
    <w:rsid w:val="00DF1DBD"/>
    <w:rsid w:val="00DF22E3"/>
    <w:rsid w:val="00DF2FC8"/>
    <w:rsid w:val="00DF3875"/>
    <w:rsid w:val="00DF4164"/>
    <w:rsid w:val="00DF50A3"/>
    <w:rsid w:val="00DF5489"/>
    <w:rsid w:val="00DF54B4"/>
    <w:rsid w:val="00DF65AE"/>
    <w:rsid w:val="00DF6E4C"/>
    <w:rsid w:val="00DF7736"/>
    <w:rsid w:val="00DF7DDE"/>
    <w:rsid w:val="00E0025C"/>
    <w:rsid w:val="00E011CA"/>
    <w:rsid w:val="00E0135D"/>
    <w:rsid w:val="00E01898"/>
    <w:rsid w:val="00E02644"/>
    <w:rsid w:val="00E027DC"/>
    <w:rsid w:val="00E03375"/>
    <w:rsid w:val="00E05F6C"/>
    <w:rsid w:val="00E061EE"/>
    <w:rsid w:val="00E071C8"/>
    <w:rsid w:val="00E07D4C"/>
    <w:rsid w:val="00E102A3"/>
    <w:rsid w:val="00E1047E"/>
    <w:rsid w:val="00E10609"/>
    <w:rsid w:val="00E11D42"/>
    <w:rsid w:val="00E12A6B"/>
    <w:rsid w:val="00E12D65"/>
    <w:rsid w:val="00E1382A"/>
    <w:rsid w:val="00E13E58"/>
    <w:rsid w:val="00E14FE4"/>
    <w:rsid w:val="00E15B22"/>
    <w:rsid w:val="00E167CF"/>
    <w:rsid w:val="00E16DAF"/>
    <w:rsid w:val="00E174A3"/>
    <w:rsid w:val="00E203EB"/>
    <w:rsid w:val="00E205A2"/>
    <w:rsid w:val="00E2085C"/>
    <w:rsid w:val="00E2133E"/>
    <w:rsid w:val="00E21456"/>
    <w:rsid w:val="00E218B6"/>
    <w:rsid w:val="00E21CA4"/>
    <w:rsid w:val="00E233C1"/>
    <w:rsid w:val="00E23F05"/>
    <w:rsid w:val="00E245A4"/>
    <w:rsid w:val="00E24C8A"/>
    <w:rsid w:val="00E24F10"/>
    <w:rsid w:val="00E25783"/>
    <w:rsid w:val="00E26399"/>
    <w:rsid w:val="00E270CD"/>
    <w:rsid w:val="00E27ABF"/>
    <w:rsid w:val="00E30C94"/>
    <w:rsid w:val="00E32F17"/>
    <w:rsid w:val="00E33DA1"/>
    <w:rsid w:val="00E36074"/>
    <w:rsid w:val="00E36C81"/>
    <w:rsid w:val="00E370B4"/>
    <w:rsid w:val="00E3728C"/>
    <w:rsid w:val="00E377E2"/>
    <w:rsid w:val="00E37DA8"/>
    <w:rsid w:val="00E40669"/>
    <w:rsid w:val="00E40DE4"/>
    <w:rsid w:val="00E411B3"/>
    <w:rsid w:val="00E41392"/>
    <w:rsid w:val="00E4192F"/>
    <w:rsid w:val="00E42035"/>
    <w:rsid w:val="00E4288B"/>
    <w:rsid w:val="00E43C80"/>
    <w:rsid w:val="00E43DEB"/>
    <w:rsid w:val="00E44391"/>
    <w:rsid w:val="00E44BB2"/>
    <w:rsid w:val="00E467ED"/>
    <w:rsid w:val="00E46A78"/>
    <w:rsid w:val="00E46CDC"/>
    <w:rsid w:val="00E46EC1"/>
    <w:rsid w:val="00E5273C"/>
    <w:rsid w:val="00E52BAA"/>
    <w:rsid w:val="00E52CE7"/>
    <w:rsid w:val="00E53293"/>
    <w:rsid w:val="00E533EA"/>
    <w:rsid w:val="00E54423"/>
    <w:rsid w:val="00E54495"/>
    <w:rsid w:val="00E546C1"/>
    <w:rsid w:val="00E54CE5"/>
    <w:rsid w:val="00E55699"/>
    <w:rsid w:val="00E55BB4"/>
    <w:rsid w:val="00E55F73"/>
    <w:rsid w:val="00E561EC"/>
    <w:rsid w:val="00E563F2"/>
    <w:rsid w:val="00E56A31"/>
    <w:rsid w:val="00E56B57"/>
    <w:rsid w:val="00E57270"/>
    <w:rsid w:val="00E6017E"/>
    <w:rsid w:val="00E605D2"/>
    <w:rsid w:val="00E615CA"/>
    <w:rsid w:val="00E61CD6"/>
    <w:rsid w:val="00E62055"/>
    <w:rsid w:val="00E6378E"/>
    <w:rsid w:val="00E644F6"/>
    <w:rsid w:val="00E64A84"/>
    <w:rsid w:val="00E64BF5"/>
    <w:rsid w:val="00E64ED8"/>
    <w:rsid w:val="00E65DBD"/>
    <w:rsid w:val="00E666C2"/>
    <w:rsid w:val="00E671DF"/>
    <w:rsid w:val="00E70699"/>
    <w:rsid w:val="00E71402"/>
    <w:rsid w:val="00E71817"/>
    <w:rsid w:val="00E71872"/>
    <w:rsid w:val="00E71B38"/>
    <w:rsid w:val="00E72697"/>
    <w:rsid w:val="00E72DCB"/>
    <w:rsid w:val="00E7303B"/>
    <w:rsid w:val="00E7363B"/>
    <w:rsid w:val="00E73BF1"/>
    <w:rsid w:val="00E73E02"/>
    <w:rsid w:val="00E73FC9"/>
    <w:rsid w:val="00E747A4"/>
    <w:rsid w:val="00E748D7"/>
    <w:rsid w:val="00E74BF4"/>
    <w:rsid w:val="00E76086"/>
    <w:rsid w:val="00E76D66"/>
    <w:rsid w:val="00E7773C"/>
    <w:rsid w:val="00E77FA1"/>
    <w:rsid w:val="00E809EC"/>
    <w:rsid w:val="00E81893"/>
    <w:rsid w:val="00E81B3F"/>
    <w:rsid w:val="00E81C2D"/>
    <w:rsid w:val="00E84547"/>
    <w:rsid w:val="00E84C0B"/>
    <w:rsid w:val="00E85791"/>
    <w:rsid w:val="00E85AA5"/>
    <w:rsid w:val="00E85AC4"/>
    <w:rsid w:val="00E85CF0"/>
    <w:rsid w:val="00E85F39"/>
    <w:rsid w:val="00E86250"/>
    <w:rsid w:val="00E8668E"/>
    <w:rsid w:val="00E8677F"/>
    <w:rsid w:val="00E8697D"/>
    <w:rsid w:val="00E86A0C"/>
    <w:rsid w:val="00E87493"/>
    <w:rsid w:val="00E876A7"/>
    <w:rsid w:val="00E87969"/>
    <w:rsid w:val="00E90C0A"/>
    <w:rsid w:val="00E91001"/>
    <w:rsid w:val="00E92F6E"/>
    <w:rsid w:val="00E9311C"/>
    <w:rsid w:val="00E94C8E"/>
    <w:rsid w:val="00E96185"/>
    <w:rsid w:val="00E963B7"/>
    <w:rsid w:val="00E977E9"/>
    <w:rsid w:val="00EA07D5"/>
    <w:rsid w:val="00EA0DC8"/>
    <w:rsid w:val="00EA11ED"/>
    <w:rsid w:val="00EA16C5"/>
    <w:rsid w:val="00EA1A5E"/>
    <w:rsid w:val="00EA1B8B"/>
    <w:rsid w:val="00EA1FEA"/>
    <w:rsid w:val="00EA1FEC"/>
    <w:rsid w:val="00EA21D3"/>
    <w:rsid w:val="00EA230C"/>
    <w:rsid w:val="00EA2F2D"/>
    <w:rsid w:val="00EA3E73"/>
    <w:rsid w:val="00EA4068"/>
    <w:rsid w:val="00EA4354"/>
    <w:rsid w:val="00EA5684"/>
    <w:rsid w:val="00EA6967"/>
    <w:rsid w:val="00EA71C2"/>
    <w:rsid w:val="00EA776C"/>
    <w:rsid w:val="00EB1188"/>
    <w:rsid w:val="00EB22BA"/>
    <w:rsid w:val="00EB25C3"/>
    <w:rsid w:val="00EB2FAE"/>
    <w:rsid w:val="00EB3314"/>
    <w:rsid w:val="00EB3531"/>
    <w:rsid w:val="00EB3553"/>
    <w:rsid w:val="00EB47A6"/>
    <w:rsid w:val="00EB50B6"/>
    <w:rsid w:val="00EB545C"/>
    <w:rsid w:val="00EB6201"/>
    <w:rsid w:val="00EB65A5"/>
    <w:rsid w:val="00EB6C5B"/>
    <w:rsid w:val="00EB7359"/>
    <w:rsid w:val="00EB751A"/>
    <w:rsid w:val="00EC0255"/>
    <w:rsid w:val="00EC0716"/>
    <w:rsid w:val="00EC08E5"/>
    <w:rsid w:val="00EC0B0D"/>
    <w:rsid w:val="00EC1FF0"/>
    <w:rsid w:val="00EC279F"/>
    <w:rsid w:val="00EC31DB"/>
    <w:rsid w:val="00EC378C"/>
    <w:rsid w:val="00EC3BFF"/>
    <w:rsid w:val="00EC58D1"/>
    <w:rsid w:val="00EC5C22"/>
    <w:rsid w:val="00EC7361"/>
    <w:rsid w:val="00ED0353"/>
    <w:rsid w:val="00ED04D5"/>
    <w:rsid w:val="00ED0D6E"/>
    <w:rsid w:val="00ED1398"/>
    <w:rsid w:val="00ED15BD"/>
    <w:rsid w:val="00ED1A9C"/>
    <w:rsid w:val="00ED216C"/>
    <w:rsid w:val="00ED3476"/>
    <w:rsid w:val="00ED4014"/>
    <w:rsid w:val="00ED4E22"/>
    <w:rsid w:val="00ED53B3"/>
    <w:rsid w:val="00ED774B"/>
    <w:rsid w:val="00ED7964"/>
    <w:rsid w:val="00ED7978"/>
    <w:rsid w:val="00EE0193"/>
    <w:rsid w:val="00EE02CE"/>
    <w:rsid w:val="00EE03BD"/>
    <w:rsid w:val="00EE1005"/>
    <w:rsid w:val="00EE1194"/>
    <w:rsid w:val="00EE15A3"/>
    <w:rsid w:val="00EE1B15"/>
    <w:rsid w:val="00EE2098"/>
    <w:rsid w:val="00EE2CCB"/>
    <w:rsid w:val="00EE2CCE"/>
    <w:rsid w:val="00EE3810"/>
    <w:rsid w:val="00EE4B20"/>
    <w:rsid w:val="00EE58E9"/>
    <w:rsid w:val="00EE6063"/>
    <w:rsid w:val="00EE62A1"/>
    <w:rsid w:val="00EE6EDC"/>
    <w:rsid w:val="00EE7657"/>
    <w:rsid w:val="00EE7A2F"/>
    <w:rsid w:val="00EF01FC"/>
    <w:rsid w:val="00EF0D66"/>
    <w:rsid w:val="00EF1F59"/>
    <w:rsid w:val="00EF20CA"/>
    <w:rsid w:val="00EF2B79"/>
    <w:rsid w:val="00EF3095"/>
    <w:rsid w:val="00EF4150"/>
    <w:rsid w:val="00EF4978"/>
    <w:rsid w:val="00EF4D03"/>
    <w:rsid w:val="00EF5047"/>
    <w:rsid w:val="00EF552E"/>
    <w:rsid w:val="00EF554A"/>
    <w:rsid w:val="00EF59F8"/>
    <w:rsid w:val="00EF634D"/>
    <w:rsid w:val="00EF6C50"/>
    <w:rsid w:val="00EF7262"/>
    <w:rsid w:val="00EF78FF"/>
    <w:rsid w:val="00EF79BD"/>
    <w:rsid w:val="00F00952"/>
    <w:rsid w:val="00F00AE3"/>
    <w:rsid w:val="00F00D95"/>
    <w:rsid w:val="00F00EA7"/>
    <w:rsid w:val="00F02FB9"/>
    <w:rsid w:val="00F03BD2"/>
    <w:rsid w:val="00F05B30"/>
    <w:rsid w:val="00F07116"/>
    <w:rsid w:val="00F1187B"/>
    <w:rsid w:val="00F128A0"/>
    <w:rsid w:val="00F12D0D"/>
    <w:rsid w:val="00F12E1C"/>
    <w:rsid w:val="00F12F42"/>
    <w:rsid w:val="00F13355"/>
    <w:rsid w:val="00F13EBE"/>
    <w:rsid w:val="00F14777"/>
    <w:rsid w:val="00F149C2"/>
    <w:rsid w:val="00F14AC1"/>
    <w:rsid w:val="00F152C8"/>
    <w:rsid w:val="00F16F09"/>
    <w:rsid w:val="00F20B91"/>
    <w:rsid w:val="00F20D21"/>
    <w:rsid w:val="00F21551"/>
    <w:rsid w:val="00F220A7"/>
    <w:rsid w:val="00F22B72"/>
    <w:rsid w:val="00F2303A"/>
    <w:rsid w:val="00F23103"/>
    <w:rsid w:val="00F2376F"/>
    <w:rsid w:val="00F239E3"/>
    <w:rsid w:val="00F23B13"/>
    <w:rsid w:val="00F23EBA"/>
    <w:rsid w:val="00F23F1D"/>
    <w:rsid w:val="00F2445F"/>
    <w:rsid w:val="00F252B3"/>
    <w:rsid w:val="00F25387"/>
    <w:rsid w:val="00F26017"/>
    <w:rsid w:val="00F26B1C"/>
    <w:rsid w:val="00F27CF0"/>
    <w:rsid w:val="00F27D25"/>
    <w:rsid w:val="00F27D8C"/>
    <w:rsid w:val="00F3058D"/>
    <w:rsid w:val="00F326FF"/>
    <w:rsid w:val="00F327C3"/>
    <w:rsid w:val="00F331D6"/>
    <w:rsid w:val="00F33CD3"/>
    <w:rsid w:val="00F33CD9"/>
    <w:rsid w:val="00F34715"/>
    <w:rsid w:val="00F34BCB"/>
    <w:rsid w:val="00F3539A"/>
    <w:rsid w:val="00F367F5"/>
    <w:rsid w:val="00F37019"/>
    <w:rsid w:val="00F376E6"/>
    <w:rsid w:val="00F3786E"/>
    <w:rsid w:val="00F401BB"/>
    <w:rsid w:val="00F40B95"/>
    <w:rsid w:val="00F4129E"/>
    <w:rsid w:val="00F41A0E"/>
    <w:rsid w:val="00F41BB3"/>
    <w:rsid w:val="00F43094"/>
    <w:rsid w:val="00F4322C"/>
    <w:rsid w:val="00F43E36"/>
    <w:rsid w:val="00F452B0"/>
    <w:rsid w:val="00F4771D"/>
    <w:rsid w:val="00F50502"/>
    <w:rsid w:val="00F51601"/>
    <w:rsid w:val="00F51FAF"/>
    <w:rsid w:val="00F52E29"/>
    <w:rsid w:val="00F53654"/>
    <w:rsid w:val="00F53C86"/>
    <w:rsid w:val="00F54138"/>
    <w:rsid w:val="00F562D4"/>
    <w:rsid w:val="00F56822"/>
    <w:rsid w:val="00F56B94"/>
    <w:rsid w:val="00F60596"/>
    <w:rsid w:val="00F60672"/>
    <w:rsid w:val="00F6104F"/>
    <w:rsid w:val="00F62307"/>
    <w:rsid w:val="00F629AC"/>
    <w:rsid w:val="00F629BC"/>
    <w:rsid w:val="00F62A7A"/>
    <w:rsid w:val="00F62B33"/>
    <w:rsid w:val="00F63232"/>
    <w:rsid w:val="00F63C72"/>
    <w:rsid w:val="00F6409A"/>
    <w:rsid w:val="00F64229"/>
    <w:rsid w:val="00F64412"/>
    <w:rsid w:val="00F64DB9"/>
    <w:rsid w:val="00F65716"/>
    <w:rsid w:val="00F6591A"/>
    <w:rsid w:val="00F65CC8"/>
    <w:rsid w:val="00F65CD5"/>
    <w:rsid w:val="00F65F37"/>
    <w:rsid w:val="00F6623C"/>
    <w:rsid w:val="00F6650B"/>
    <w:rsid w:val="00F66634"/>
    <w:rsid w:val="00F66A65"/>
    <w:rsid w:val="00F67D3E"/>
    <w:rsid w:val="00F70267"/>
    <w:rsid w:val="00F7070D"/>
    <w:rsid w:val="00F7213F"/>
    <w:rsid w:val="00F73706"/>
    <w:rsid w:val="00F73B07"/>
    <w:rsid w:val="00F73CEC"/>
    <w:rsid w:val="00F74298"/>
    <w:rsid w:val="00F7477C"/>
    <w:rsid w:val="00F74A82"/>
    <w:rsid w:val="00F766D7"/>
    <w:rsid w:val="00F77325"/>
    <w:rsid w:val="00F77453"/>
    <w:rsid w:val="00F7769D"/>
    <w:rsid w:val="00F77A89"/>
    <w:rsid w:val="00F80247"/>
    <w:rsid w:val="00F8215E"/>
    <w:rsid w:val="00F82EC0"/>
    <w:rsid w:val="00F8382B"/>
    <w:rsid w:val="00F83D32"/>
    <w:rsid w:val="00F8481D"/>
    <w:rsid w:val="00F8590F"/>
    <w:rsid w:val="00F87E28"/>
    <w:rsid w:val="00F90A12"/>
    <w:rsid w:val="00F9128F"/>
    <w:rsid w:val="00F91500"/>
    <w:rsid w:val="00F91B63"/>
    <w:rsid w:val="00F91BB7"/>
    <w:rsid w:val="00F939BF"/>
    <w:rsid w:val="00F93A3C"/>
    <w:rsid w:val="00F943F2"/>
    <w:rsid w:val="00F9483A"/>
    <w:rsid w:val="00F95015"/>
    <w:rsid w:val="00F9513F"/>
    <w:rsid w:val="00F9530F"/>
    <w:rsid w:val="00F95EAD"/>
    <w:rsid w:val="00F962A2"/>
    <w:rsid w:val="00F9684B"/>
    <w:rsid w:val="00F9697F"/>
    <w:rsid w:val="00F96AD7"/>
    <w:rsid w:val="00F97B68"/>
    <w:rsid w:val="00FA0799"/>
    <w:rsid w:val="00FA0B4F"/>
    <w:rsid w:val="00FA32FC"/>
    <w:rsid w:val="00FA3627"/>
    <w:rsid w:val="00FA3CD8"/>
    <w:rsid w:val="00FA439D"/>
    <w:rsid w:val="00FA51EB"/>
    <w:rsid w:val="00FA6F86"/>
    <w:rsid w:val="00FA7905"/>
    <w:rsid w:val="00FA797F"/>
    <w:rsid w:val="00FB07FA"/>
    <w:rsid w:val="00FB0F70"/>
    <w:rsid w:val="00FB20AC"/>
    <w:rsid w:val="00FB2831"/>
    <w:rsid w:val="00FB291A"/>
    <w:rsid w:val="00FB3236"/>
    <w:rsid w:val="00FB380D"/>
    <w:rsid w:val="00FB52AF"/>
    <w:rsid w:val="00FB5398"/>
    <w:rsid w:val="00FB5670"/>
    <w:rsid w:val="00FB5B2B"/>
    <w:rsid w:val="00FB6F32"/>
    <w:rsid w:val="00FB7243"/>
    <w:rsid w:val="00FB78A9"/>
    <w:rsid w:val="00FC0B03"/>
    <w:rsid w:val="00FC0BBF"/>
    <w:rsid w:val="00FC1143"/>
    <w:rsid w:val="00FC195A"/>
    <w:rsid w:val="00FC1972"/>
    <w:rsid w:val="00FC1CBD"/>
    <w:rsid w:val="00FC2014"/>
    <w:rsid w:val="00FC2422"/>
    <w:rsid w:val="00FC3158"/>
    <w:rsid w:val="00FC3D2A"/>
    <w:rsid w:val="00FC42B1"/>
    <w:rsid w:val="00FC471F"/>
    <w:rsid w:val="00FC5B03"/>
    <w:rsid w:val="00FC63D0"/>
    <w:rsid w:val="00FC740E"/>
    <w:rsid w:val="00FC7884"/>
    <w:rsid w:val="00FC79AC"/>
    <w:rsid w:val="00FD0C19"/>
    <w:rsid w:val="00FD11FD"/>
    <w:rsid w:val="00FD1E70"/>
    <w:rsid w:val="00FD2373"/>
    <w:rsid w:val="00FD3A65"/>
    <w:rsid w:val="00FD3BCA"/>
    <w:rsid w:val="00FD455F"/>
    <w:rsid w:val="00FD45F0"/>
    <w:rsid w:val="00FD7C50"/>
    <w:rsid w:val="00FD7CA2"/>
    <w:rsid w:val="00FE122F"/>
    <w:rsid w:val="00FE1F70"/>
    <w:rsid w:val="00FE1FB0"/>
    <w:rsid w:val="00FE2C48"/>
    <w:rsid w:val="00FE4330"/>
    <w:rsid w:val="00FE4724"/>
    <w:rsid w:val="00FE48B2"/>
    <w:rsid w:val="00FE4B0E"/>
    <w:rsid w:val="00FE61BF"/>
    <w:rsid w:val="00FF051F"/>
    <w:rsid w:val="00FF17D0"/>
    <w:rsid w:val="00FF1C62"/>
    <w:rsid w:val="00FF2705"/>
    <w:rsid w:val="00FF4A17"/>
    <w:rsid w:val="00FF5E9B"/>
    <w:rsid w:val="00FF65CA"/>
    <w:rsid w:val="00FF68C0"/>
    <w:rsid w:val="00FF6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ECBA"/>
  <w15:chartTrackingRefBased/>
  <w15:docId w15:val="{B5CEE323-112C-4873-96A0-B4CCB0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before="46" w:line="276" w:lineRule="auto"/>
        <w:ind w:left="567" w:right="601" w:hanging="2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A60"/>
    <w:pPr>
      <w:spacing w:before="0" w:after="160" w:line="259" w:lineRule="auto"/>
      <w:ind w:left="0" w:right="0"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62B4C"/>
    <w:pPr>
      <w:autoSpaceDE w:val="0"/>
      <w:autoSpaceDN w:val="0"/>
      <w:adjustRightInd w:val="0"/>
      <w:spacing w:before="0" w:line="240" w:lineRule="auto"/>
      <w:ind w:left="0" w:right="0" w:firstLine="0"/>
      <w:jc w:val="left"/>
    </w:pPr>
    <w:rPr>
      <w:rFonts w:ascii="Arial" w:hAnsi="Arial" w:cs="Arial"/>
      <w:color w:val="000000"/>
      <w:sz w:val="24"/>
      <w:szCs w:val="24"/>
    </w:rPr>
  </w:style>
  <w:style w:type="paragraph" w:styleId="Prrafodelista">
    <w:name w:val="List Paragraph"/>
    <w:basedOn w:val="Normal"/>
    <w:uiPriority w:val="34"/>
    <w:qFormat/>
    <w:rsid w:val="00462B4C"/>
    <w:pPr>
      <w:ind w:left="720"/>
      <w:contextualSpacing/>
    </w:pPr>
  </w:style>
  <w:style w:type="paragraph" w:styleId="Textonotapie">
    <w:name w:val="footnote text"/>
    <w:basedOn w:val="Normal"/>
    <w:link w:val="TextonotapieCar"/>
    <w:uiPriority w:val="99"/>
    <w:unhideWhenUsed/>
    <w:rsid w:val="00462B4C"/>
    <w:pPr>
      <w:spacing w:after="0" w:line="240" w:lineRule="auto"/>
    </w:pPr>
    <w:rPr>
      <w:sz w:val="20"/>
      <w:szCs w:val="20"/>
    </w:rPr>
  </w:style>
  <w:style w:type="character" w:customStyle="1" w:styleId="TextonotapieCar">
    <w:name w:val="Texto nota pie Car"/>
    <w:basedOn w:val="Fuentedeprrafopredeter"/>
    <w:link w:val="Textonotapie"/>
    <w:uiPriority w:val="99"/>
    <w:rsid w:val="00462B4C"/>
    <w:rPr>
      <w:sz w:val="20"/>
      <w:szCs w:val="20"/>
    </w:rPr>
  </w:style>
  <w:style w:type="character" w:styleId="Refdenotaalpie">
    <w:name w:val="footnote reference"/>
    <w:basedOn w:val="Fuentedeprrafopredeter"/>
    <w:uiPriority w:val="99"/>
    <w:unhideWhenUsed/>
    <w:rsid w:val="00462B4C"/>
    <w:rPr>
      <w:vertAlign w:val="superscript"/>
    </w:rPr>
  </w:style>
  <w:style w:type="paragraph" w:styleId="NormalWeb">
    <w:name w:val="Normal (Web)"/>
    <w:basedOn w:val="Normal"/>
    <w:uiPriority w:val="99"/>
    <w:unhideWhenUsed/>
    <w:rsid w:val="00462B4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rsid w:val="00462B4C"/>
    <w:rPr>
      <w:color w:val="0000FF"/>
      <w:u w:val="single"/>
    </w:rPr>
  </w:style>
  <w:style w:type="paragraph" w:styleId="Encabezado">
    <w:name w:val="header"/>
    <w:basedOn w:val="Normal"/>
    <w:link w:val="EncabezadoCar"/>
    <w:uiPriority w:val="99"/>
    <w:unhideWhenUsed/>
    <w:rsid w:val="00462B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2B4C"/>
  </w:style>
  <w:style w:type="paragraph" w:styleId="Piedepgina">
    <w:name w:val="footer"/>
    <w:basedOn w:val="Normal"/>
    <w:link w:val="PiedepginaCar"/>
    <w:uiPriority w:val="99"/>
    <w:unhideWhenUsed/>
    <w:rsid w:val="00462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2B4C"/>
  </w:style>
  <w:style w:type="paragraph" w:styleId="Textocomentario">
    <w:name w:val="annotation text"/>
    <w:basedOn w:val="Normal"/>
    <w:link w:val="TextocomentarioCar"/>
    <w:uiPriority w:val="99"/>
    <w:unhideWhenUsed/>
    <w:rsid w:val="00462B4C"/>
    <w:pPr>
      <w:spacing w:line="240" w:lineRule="auto"/>
    </w:pPr>
    <w:rPr>
      <w:sz w:val="20"/>
      <w:szCs w:val="20"/>
    </w:rPr>
  </w:style>
  <w:style w:type="character" w:customStyle="1" w:styleId="TextocomentarioCar">
    <w:name w:val="Texto comentario Car"/>
    <w:basedOn w:val="Fuentedeprrafopredeter"/>
    <w:link w:val="Textocomentario"/>
    <w:uiPriority w:val="99"/>
    <w:rsid w:val="00462B4C"/>
    <w:rPr>
      <w:sz w:val="20"/>
      <w:szCs w:val="20"/>
    </w:rPr>
  </w:style>
  <w:style w:type="character" w:customStyle="1" w:styleId="AsuntodelcomentarioCar">
    <w:name w:val="Asunto del comentario Car"/>
    <w:basedOn w:val="TextocomentarioCar"/>
    <w:link w:val="Asuntodelcomentario"/>
    <w:uiPriority w:val="99"/>
    <w:semiHidden/>
    <w:rsid w:val="00462B4C"/>
    <w:rPr>
      <w:b/>
      <w:bCs/>
      <w:sz w:val="20"/>
      <w:szCs w:val="20"/>
    </w:rPr>
  </w:style>
  <w:style w:type="paragraph" w:styleId="Asuntodelcomentario">
    <w:name w:val="annotation subject"/>
    <w:basedOn w:val="Textocomentario"/>
    <w:next w:val="Textocomentario"/>
    <w:link w:val="AsuntodelcomentarioCar"/>
    <w:uiPriority w:val="99"/>
    <w:semiHidden/>
    <w:unhideWhenUsed/>
    <w:rsid w:val="00462B4C"/>
    <w:rPr>
      <w:b/>
      <w:bCs/>
    </w:rPr>
  </w:style>
  <w:style w:type="character" w:customStyle="1" w:styleId="TextodegloboCar">
    <w:name w:val="Texto de globo Car"/>
    <w:basedOn w:val="Fuentedeprrafopredeter"/>
    <w:link w:val="Textodeglobo"/>
    <w:uiPriority w:val="99"/>
    <w:semiHidden/>
    <w:rsid w:val="00462B4C"/>
    <w:rPr>
      <w:rFonts w:ascii="Segoe UI" w:hAnsi="Segoe UI" w:cs="Segoe UI"/>
      <w:sz w:val="18"/>
      <w:szCs w:val="18"/>
    </w:rPr>
  </w:style>
  <w:style w:type="paragraph" w:styleId="Textodeglobo">
    <w:name w:val="Balloon Text"/>
    <w:basedOn w:val="Normal"/>
    <w:link w:val="TextodegloboCar"/>
    <w:uiPriority w:val="99"/>
    <w:semiHidden/>
    <w:unhideWhenUsed/>
    <w:rsid w:val="00462B4C"/>
    <w:pPr>
      <w:spacing w:after="0" w:line="240" w:lineRule="auto"/>
    </w:pPr>
    <w:rPr>
      <w:rFonts w:ascii="Segoe UI" w:hAnsi="Segoe UI" w:cs="Segoe UI"/>
      <w:sz w:val="18"/>
      <w:szCs w:val="18"/>
    </w:rPr>
  </w:style>
  <w:style w:type="character" w:customStyle="1" w:styleId="Mencinsinresolver1">
    <w:name w:val="Mención sin resolver1"/>
    <w:basedOn w:val="Fuentedeprrafopredeter"/>
    <w:uiPriority w:val="99"/>
    <w:rsid w:val="00462B4C"/>
    <w:rPr>
      <w:color w:val="605E5C"/>
      <w:shd w:val="clear" w:color="auto" w:fill="E1DFDD"/>
    </w:rPr>
  </w:style>
  <w:style w:type="character" w:customStyle="1" w:styleId="TextonotaalfinalCar">
    <w:name w:val="Texto nota al final Car"/>
    <w:basedOn w:val="Fuentedeprrafopredeter"/>
    <w:link w:val="Textonotaalfinal"/>
    <w:uiPriority w:val="99"/>
    <w:semiHidden/>
    <w:rsid w:val="00462B4C"/>
    <w:rPr>
      <w:sz w:val="20"/>
      <w:szCs w:val="20"/>
    </w:rPr>
  </w:style>
  <w:style w:type="paragraph" w:styleId="Textonotaalfinal">
    <w:name w:val="endnote text"/>
    <w:basedOn w:val="Normal"/>
    <w:link w:val="TextonotaalfinalCar"/>
    <w:uiPriority w:val="99"/>
    <w:semiHidden/>
    <w:unhideWhenUsed/>
    <w:rsid w:val="00462B4C"/>
    <w:pPr>
      <w:spacing w:after="0" w:line="240" w:lineRule="auto"/>
    </w:pPr>
    <w:rPr>
      <w:sz w:val="20"/>
      <w:szCs w:val="20"/>
    </w:rPr>
  </w:style>
  <w:style w:type="character" w:styleId="Mencinsinresolver">
    <w:name w:val="Unresolved Mention"/>
    <w:basedOn w:val="Fuentedeprrafopredeter"/>
    <w:uiPriority w:val="99"/>
    <w:semiHidden/>
    <w:unhideWhenUsed/>
    <w:rsid w:val="00642A24"/>
    <w:rPr>
      <w:color w:val="605E5C"/>
      <w:shd w:val="clear" w:color="auto" w:fill="E1DFDD"/>
    </w:rPr>
  </w:style>
  <w:style w:type="paragraph" w:styleId="Revisin">
    <w:name w:val="Revision"/>
    <w:hidden/>
    <w:uiPriority w:val="99"/>
    <w:semiHidden/>
    <w:rsid w:val="00C371BD"/>
    <w:pPr>
      <w:spacing w:before="0" w:line="240" w:lineRule="auto"/>
      <w:ind w:left="0" w:right="0" w:firstLine="0"/>
      <w:jc w:val="left"/>
    </w:pPr>
  </w:style>
  <w:style w:type="character" w:styleId="Refdecomentario">
    <w:name w:val="annotation reference"/>
    <w:basedOn w:val="Fuentedeprrafopredeter"/>
    <w:uiPriority w:val="99"/>
    <w:semiHidden/>
    <w:unhideWhenUsed/>
    <w:rsid w:val="00C371BD"/>
    <w:rPr>
      <w:sz w:val="16"/>
      <w:szCs w:val="16"/>
    </w:rPr>
  </w:style>
  <w:style w:type="paragraph" w:customStyle="1" w:styleId="Prrafodelista1">
    <w:name w:val="Párrafo de lista1"/>
    <w:basedOn w:val="Normal"/>
    <w:rsid w:val="00454C8A"/>
    <w:pPr>
      <w:ind w:left="720"/>
    </w:pPr>
    <w:rPr>
      <w:rFonts w:ascii="Calibri" w:eastAsia="Times New Roman" w:hAnsi="Calibri" w:cs="Times New Roman"/>
    </w:rPr>
  </w:style>
  <w:style w:type="table" w:styleId="Tablaconcuadrcula">
    <w:name w:val="Table Grid"/>
    <w:basedOn w:val="Tablanormal"/>
    <w:uiPriority w:val="39"/>
    <w:rsid w:val="0062239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5">
    <w:name w:val="Grid Table 6 Colorful Accent 5"/>
    <w:basedOn w:val="Tablanormal"/>
    <w:uiPriority w:val="51"/>
    <w:rsid w:val="00697A01"/>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amedia2-nfasis1">
    <w:name w:val="Medium List 2 Accent 1"/>
    <w:basedOn w:val="Tablanormal"/>
    <w:uiPriority w:val="66"/>
    <w:rsid w:val="00C4331E"/>
    <w:pPr>
      <w:spacing w:before="0" w:line="240" w:lineRule="auto"/>
      <w:ind w:left="0" w:right="0" w:firstLine="0"/>
      <w:jc w:val="left"/>
    </w:pPr>
    <w:rPr>
      <w:rFonts w:asciiTheme="majorHAnsi" w:eastAsiaTheme="majorEastAsia" w:hAnsiTheme="majorHAnsi" w:cstheme="majorBidi"/>
      <w:color w:val="000000" w:themeColor="text1"/>
      <w:lang w:eastAsia="es-MX"/>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167">
      <w:bodyDiv w:val="1"/>
      <w:marLeft w:val="0"/>
      <w:marRight w:val="0"/>
      <w:marTop w:val="0"/>
      <w:marBottom w:val="0"/>
      <w:divBdr>
        <w:top w:val="none" w:sz="0" w:space="0" w:color="auto"/>
        <w:left w:val="none" w:sz="0" w:space="0" w:color="auto"/>
        <w:bottom w:val="none" w:sz="0" w:space="0" w:color="auto"/>
        <w:right w:val="none" w:sz="0" w:space="0" w:color="auto"/>
      </w:divBdr>
    </w:div>
    <w:div w:id="12077184">
      <w:bodyDiv w:val="1"/>
      <w:marLeft w:val="0"/>
      <w:marRight w:val="0"/>
      <w:marTop w:val="0"/>
      <w:marBottom w:val="0"/>
      <w:divBdr>
        <w:top w:val="none" w:sz="0" w:space="0" w:color="auto"/>
        <w:left w:val="none" w:sz="0" w:space="0" w:color="auto"/>
        <w:bottom w:val="none" w:sz="0" w:space="0" w:color="auto"/>
        <w:right w:val="none" w:sz="0" w:space="0" w:color="auto"/>
      </w:divBdr>
    </w:div>
    <w:div w:id="33312957">
      <w:bodyDiv w:val="1"/>
      <w:marLeft w:val="0"/>
      <w:marRight w:val="0"/>
      <w:marTop w:val="0"/>
      <w:marBottom w:val="0"/>
      <w:divBdr>
        <w:top w:val="none" w:sz="0" w:space="0" w:color="auto"/>
        <w:left w:val="none" w:sz="0" w:space="0" w:color="auto"/>
        <w:bottom w:val="none" w:sz="0" w:space="0" w:color="auto"/>
        <w:right w:val="none" w:sz="0" w:space="0" w:color="auto"/>
      </w:divBdr>
    </w:div>
    <w:div w:id="34425712">
      <w:bodyDiv w:val="1"/>
      <w:marLeft w:val="0"/>
      <w:marRight w:val="0"/>
      <w:marTop w:val="0"/>
      <w:marBottom w:val="0"/>
      <w:divBdr>
        <w:top w:val="none" w:sz="0" w:space="0" w:color="auto"/>
        <w:left w:val="none" w:sz="0" w:space="0" w:color="auto"/>
        <w:bottom w:val="none" w:sz="0" w:space="0" w:color="auto"/>
        <w:right w:val="none" w:sz="0" w:space="0" w:color="auto"/>
      </w:divBdr>
    </w:div>
    <w:div w:id="47071081">
      <w:bodyDiv w:val="1"/>
      <w:marLeft w:val="0"/>
      <w:marRight w:val="0"/>
      <w:marTop w:val="0"/>
      <w:marBottom w:val="0"/>
      <w:divBdr>
        <w:top w:val="none" w:sz="0" w:space="0" w:color="auto"/>
        <w:left w:val="none" w:sz="0" w:space="0" w:color="auto"/>
        <w:bottom w:val="none" w:sz="0" w:space="0" w:color="auto"/>
        <w:right w:val="none" w:sz="0" w:space="0" w:color="auto"/>
      </w:divBdr>
    </w:div>
    <w:div w:id="71398345">
      <w:bodyDiv w:val="1"/>
      <w:marLeft w:val="0"/>
      <w:marRight w:val="0"/>
      <w:marTop w:val="0"/>
      <w:marBottom w:val="0"/>
      <w:divBdr>
        <w:top w:val="none" w:sz="0" w:space="0" w:color="auto"/>
        <w:left w:val="none" w:sz="0" w:space="0" w:color="auto"/>
        <w:bottom w:val="none" w:sz="0" w:space="0" w:color="auto"/>
        <w:right w:val="none" w:sz="0" w:space="0" w:color="auto"/>
      </w:divBdr>
    </w:div>
    <w:div w:id="73166900">
      <w:bodyDiv w:val="1"/>
      <w:marLeft w:val="0"/>
      <w:marRight w:val="0"/>
      <w:marTop w:val="0"/>
      <w:marBottom w:val="0"/>
      <w:divBdr>
        <w:top w:val="none" w:sz="0" w:space="0" w:color="auto"/>
        <w:left w:val="none" w:sz="0" w:space="0" w:color="auto"/>
        <w:bottom w:val="none" w:sz="0" w:space="0" w:color="auto"/>
        <w:right w:val="none" w:sz="0" w:space="0" w:color="auto"/>
      </w:divBdr>
    </w:div>
    <w:div w:id="88432701">
      <w:bodyDiv w:val="1"/>
      <w:marLeft w:val="0"/>
      <w:marRight w:val="0"/>
      <w:marTop w:val="0"/>
      <w:marBottom w:val="0"/>
      <w:divBdr>
        <w:top w:val="none" w:sz="0" w:space="0" w:color="auto"/>
        <w:left w:val="none" w:sz="0" w:space="0" w:color="auto"/>
        <w:bottom w:val="none" w:sz="0" w:space="0" w:color="auto"/>
        <w:right w:val="none" w:sz="0" w:space="0" w:color="auto"/>
      </w:divBdr>
    </w:div>
    <w:div w:id="90007778">
      <w:bodyDiv w:val="1"/>
      <w:marLeft w:val="0"/>
      <w:marRight w:val="0"/>
      <w:marTop w:val="0"/>
      <w:marBottom w:val="0"/>
      <w:divBdr>
        <w:top w:val="none" w:sz="0" w:space="0" w:color="auto"/>
        <w:left w:val="none" w:sz="0" w:space="0" w:color="auto"/>
        <w:bottom w:val="none" w:sz="0" w:space="0" w:color="auto"/>
        <w:right w:val="none" w:sz="0" w:space="0" w:color="auto"/>
      </w:divBdr>
    </w:div>
    <w:div w:id="97677099">
      <w:bodyDiv w:val="1"/>
      <w:marLeft w:val="0"/>
      <w:marRight w:val="0"/>
      <w:marTop w:val="0"/>
      <w:marBottom w:val="0"/>
      <w:divBdr>
        <w:top w:val="none" w:sz="0" w:space="0" w:color="auto"/>
        <w:left w:val="none" w:sz="0" w:space="0" w:color="auto"/>
        <w:bottom w:val="none" w:sz="0" w:space="0" w:color="auto"/>
        <w:right w:val="none" w:sz="0" w:space="0" w:color="auto"/>
      </w:divBdr>
    </w:div>
    <w:div w:id="102923389">
      <w:bodyDiv w:val="1"/>
      <w:marLeft w:val="0"/>
      <w:marRight w:val="0"/>
      <w:marTop w:val="0"/>
      <w:marBottom w:val="0"/>
      <w:divBdr>
        <w:top w:val="none" w:sz="0" w:space="0" w:color="auto"/>
        <w:left w:val="none" w:sz="0" w:space="0" w:color="auto"/>
        <w:bottom w:val="none" w:sz="0" w:space="0" w:color="auto"/>
        <w:right w:val="none" w:sz="0" w:space="0" w:color="auto"/>
      </w:divBdr>
    </w:div>
    <w:div w:id="103768725">
      <w:bodyDiv w:val="1"/>
      <w:marLeft w:val="0"/>
      <w:marRight w:val="0"/>
      <w:marTop w:val="0"/>
      <w:marBottom w:val="0"/>
      <w:divBdr>
        <w:top w:val="none" w:sz="0" w:space="0" w:color="auto"/>
        <w:left w:val="none" w:sz="0" w:space="0" w:color="auto"/>
        <w:bottom w:val="none" w:sz="0" w:space="0" w:color="auto"/>
        <w:right w:val="none" w:sz="0" w:space="0" w:color="auto"/>
      </w:divBdr>
    </w:div>
    <w:div w:id="106511407">
      <w:bodyDiv w:val="1"/>
      <w:marLeft w:val="0"/>
      <w:marRight w:val="0"/>
      <w:marTop w:val="0"/>
      <w:marBottom w:val="0"/>
      <w:divBdr>
        <w:top w:val="none" w:sz="0" w:space="0" w:color="auto"/>
        <w:left w:val="none" w:sz="0" w:space="0" w:color="auto"/>
        <w:bottom w:val="none" w:sz="0" w:space="0" w:color="auto"/>
        <w:right w:val="none" w:sz="0" w:space="0" w:color="auto"/>
      </w:divBdr>
    </w:div>
    <w:div w:id="109669132">
      <w:bodyDiv w:val="1"/>
      <w:marLeft w:val="0"/>
      <w:marRight w:val="0"/>
      <w:marTop w:val="0"/>
      <w:marBottom w:val="0"/>
      <w:divBdr>
        <w:top w:val="none" w:sz="0" w:space="0" w:color="auto"/>
        <w:left w:val="none" w:sz="0" w:space="0" w:color="auto"/>
        <w:bottom w:val="none" w:sz="0" w:space="0" w:color="auto"/>
        <w:right w:val="none" w:sz="0" w:space="0" w:color="auto"/>
      </w:divBdr>
    </w:div>
    <w:div w:id="113601208">
      <w:bodyDiv w:val="1"/>
      <w:marLeft w:val="0"/>
      <w:marRight w:val="0"/>
      <w:marTop w:val="0"/>
      <w:marBottom w:val="0"/>
      <w:divBdr>
        <w:top w:val="none" w:sz="0" w:space="0" w:color="auto"/>
        <w:left w:val="none" w:sz="0" w:space="0" w:color="auto"/>
        <w:bottom w:val="none" w:sz="0" w:space="0" w:color="auto"/>
        <w:right w:val="none" w:sz="0" w:space="0" w:color="auto"/>
      </w:divBdr>
    </w:div>
    <w:div w:id="119422068">
      <w:bodyDiv w:val="1"/>
      <w:marLeft w:val="0"/>
      <w:marRight w:val="0"/>
      <w:marTop w:val="0"/>
      <w:marBottom w:val="0"/>
      <w:divBdr>
        <w:top w:val="none" w:sz="0" w:space="0" w:color="auto"/>
        <w:left w:val="none" w:sz="0" w:space="0" w:color="auto"/>
        <w:bottom w:val="none" w:sz="0" w:space="0" w:color="auto"/>
        <w:right w:val="none" w:sz="0" w:space="0" w:color="auto"/>
      </w:divBdr>
    </w:div>
    <w:div w:id="131337971">
      <w:bodyDiv w:val="1"/>
      <w:marLeft w:val="0"/>
      <w:marRight w:val="0"/>
      <w:marTop w:val="0"/>
      <w:marBottom w:val="0"/>
      <w:divBdr>
        <w:top w:val="none" w:sz="0" w:space="0" w:color="auto"/>
        <w:left w:val="none" w:sz="0" w:space="0" w:color="auto"/>
        <w:bottom w:val="none" w:sz="0" w:space="0" w:color="auto"/>
        <w:right w:val="none" w:sz="0" w:space="0" w:color="auto"/>
      </w:divBdr>
    </w:div>
    <w:div w:id="134300931">
      <w:bodyDiv w:val="1"/>
      <w:marLeft w:val="0"/>
      <w:marRight w:val="0"/>
      <w:marTop w:val="0"/>
      <w:marBottom w:val="0"/>
      <w:divBdr>
        <w:top w:val="none" w:sz="0" w:space="0" w:color="auto"/>
        <w:left w:val="none" w:sz="0" w:space="0" w:color="auto"/>
        <w:bottom w:val="none" w:sz="0" w:space="0" w:color="auto"/>
        <w:right w:val="none" w:sz="0" w:space="0" w:color="auto"/>
      </w:divBdr>
    </w:div>
    <w:div w:id="144326481">
      <w:bodyDiv w:val="1"/>
      <w:marLeft w:val="0"/>
      <w:marRight w:val="0"/>
      <w:marTop w:val="0"/>
      <w:marBottom w:val="0"/>
      <w:divBdr>
        <w:top w:val="none" w:sz="0" w:space="0" w:color="auto"/>
        <w:left w:val="none" w:sz="0" w:space="0" w:color="auto"/>
        <w:bottom w:val="none" w:sz="0" w:space="0" w:color="auto"/>
        <w:right w:val="none" w:sz="0" w:space="0" w:color="auto"/>
      </w:divBdr>
    </w:div>
    <w:div w:id="147016936">
      <w:bodyDiv w:val="1"/>
      <w:marLeft w:val="0"/>
      <w:marRight w:val="0"/>
      <w:marTop w:val="0"/>
      <w:marBottom w:val="0"/>
      <w:divBdr>
        <w:top w:val="none" w:sz="0" w:space="0" w:color="auto"/>
        <w:left w:val="none" w:sz="0" w:space="0" w:color="auto"/>
        <w:bottom w:val="none" w:sz="0" w:space="0" w:color="auto"/>
        <w:right w:val="none" w:sz="0" w:space="0" w:color="auto"/>
      </w:divBdr>
    </w:div>
    <w:div w:id="147524229">
      <w:bodyDiv w:val="1"/>
      <w:marLeft w:val="0"/>
      <w:marRight w:val="0"/>
      <w:marTop w:val="0"/>
      <w:marBottom w:val="0"/>
      <w:divBdr>
        <w:top w:val="none" w:sz="0" w:space="0" w:color="auto"/>
        <w:left w:val="none" w:sz="0" w:space="0" w:color="auto"/>
        <w:bottom w:val="none" w:sz="0" w:space="0" w:color="auto"/>
        <w:right w:val="none" w:sz="0" w:space="0" w:color="auto"/>
      </w:divBdr>
    </w:div>
    <w:div w:id="174654839">
      <w:bodyDiv w:val="1"/>
      <w:marLeft w:val="0"/>
      <w:marRight w:val="0"/>
      <w:marTop w:val="0"/>
      <w:marBottom w:val="0"/>
      <w:divBdr>
        <w:top w:val="none" w:sz="0" w:space="0" w:color="auto"/>
        <w:left w:val="none" w:sz="0" w:space="0" w:color="auto"/>
        <w:bottom w:val="none" w:sz="0" w:space="0" w:color="auto"/>
        <w:right w:val="none" w:sz="0" w:space="0" w:color="auto"/>
      </w:divBdr>
    </w:div>
    <w:div w:id="178742542">
      <w:bodyDiv w:val="1"/>
      <w:marLeft w:val="0"/>
      <w:marRight w:val="0"/>
      <w:marTop w:val="0"/>
      <w:marBottom w:val="0"/>
      <w:divBdr>
        <w:top w:val="none" w:sz="0" w:space="0" w:color="auto"/>
        <w:left w:val="none" w:sz="0" w:space="0" w:color="auto"/>
        <w:bottom w:val="none" w:sz="0" w:space="0" w:color="auto"/>
        <w:right w:val="none" w:sz="0" w:space="0" w:color="auto"/>
      </w:divBdr>
    </w:div>
    <w:div w:id="178934855">
      <w:bodyDiv w:val="1"/>
      <w:marLeft w:val="0"/>
      <w:marRight w:val="0"/>
      <w:marTop w:val="0"/>
      <w:marBottom w:val="0"/>
      <w:divBdr>
        <w:top w:val="none" w:sz="0" w:space="0" w:color="auto"/>
        <w:left w:val="none" w:sz="0" w:space="0" w:color="auto"/>
        <w:bottom w:val="none" w:sz="0" w:space="0" w:color="auto"/>
        <w:right w:val="none" w:sz="0" w:space="0" w:color="auto"/>
      </w:divBdr>
    </w:div>
    <w:div w:id="183984458">
      <w:bodyDiv w:val="1"/>
      <w:marLeft w:val="0"/>
      <w:marRight w:val="0"/>
      <w:marTop w:val="0"/>
      <w:marBottom w:val="0"/>
      <w:divBdr>
        <w:top w:val="none" w:sz="0" w:space="0" w:color="auto"/>
        <w:left w:val="none" w:sz="0" w:space="0" w:color="auto"/>
        <w:bottom w:val="none" w:sz="0" w:space="0" w:color="auto"/>
        <w:right w:val="none" w:sz="0" w:space="0" w:color="auto"/>
      </w:divBdr>
    </w:div>
    <w:div w:id="203830686">
      <w:bodyDiv w:val="1"/>
      <w:marLeft w:val="0"/>
      <w:marRight w:val="0"/>
      <w:marTop w:val="0"/>
      <w:marBottom w:val="0"/>
      <w:divBdr>
        <w:top w:val="none" w:sz="0" w:space="0" w:color="auto"/>
        <w:left w:val="none" w:sz="0" w:space="0" w:color="auto"/>
        <w:bottom w:val="none" w:sz="0" w:space="0" w:color="auto"/>
        <w:right w:val="none" w:sz="0" w:space="0" w:color="auto"/>
      </w:divBdr>
    </w:div>
    <w:div w:id="204829871">
      <w:bodyDiv w:val="1"/>
      <w:marLeft w:val="0"/>
      <w:marRight w:val="0"/>
      <w:marTop w:val="0"/>
      <w:marBottom w:val="0"/>
      <w:divBdr>
        <w:top w:val="none" w:sz="0" w:space="0" w:color="auto"/>
        <w:left w:val="none" w:sz="0" w:space="0" w:color="auto"/>
        <w:bottom w:val="none" w:sz="0" w:space="0" w:color="auto"/>
        <w:right w:val="none" w:sz="0" w:space="0" w:color="auto"/>
      </w:divBdr>
    </w:div>
    <w:div w:id="204950065">
      <w:bodyDiv w:val="1"/>
      <w:marLeft w:val="0"/>
      <w:marRight w:val="0"/>
      <w:marTop w:val="0"/>
      <w:marBottom w:val="0"/>
      <w:divBdr>
        <w:top w:val="none" w:sz="0" w:space="0" w:color="auto"/>
        <w:left w:val="none" w:sz="0" w:space="0" w:color="auto"/>
        <w:bottom w:val="none" w:sz="0" w:space="0" w:color="auto"/>
        <w:right w:val="none" w:sz="0" w:space="0" w:color="auto"/>
      </w:divBdr>
    </w:div>
    <w:div w:id="223372540">
      <w:bodyDiv w:val="1"/>
      <w:marLeft w:val="0"/>
      <w:marRight w:val="0"/>
      <w:marTop w:val="0"/>
      <w:marBottom w:val="0"/>
      <w:divBdr>
        <w:top w:val="none" w:sz="0" w:space="0" w:color="auto"/>
        <w:left w:val="none" w:sz="0" w:space="0" w:color="auto"/>
        <w:bottom w:val="none" w:sz="0" w:space="0" w:color="auto"/>
        <w:right w:val="none" w:sz="0" w:space="0" w:color="auto"/>
      </w:divBdr>
    </w:div>
    <w:div w:id="253824959">
      <w:bodyDiv w:val="1"/>
      <w:marLeft w:val="0"/>
      <w:marRight w:val="0"/>
      <w:marTop w:val="0"/>
      <w:marBottom w:val="0"/>
      <w:divBdr>
        <w:top w:val="none" w:sz="0" w:space="0" w:color="auto"/>
        <w:left w:val="none" w:sz="0" w:space="0" w:color="auto"/>
        <w:bottom w:val="none" w:sz="0" w:space="0" w:color="auto"/>
        <w:right w:val="none" w:sz="0" w:space="0" w:color="auto"/>
      </w:divBdr>
    </w:div>
    <w:div w:id="260798871">
      <w:bodyDiv w:val="1"/>
      <w:marLeft w:val="0"/>
      <w:marRight w:val="0"/>
      <w:marTop w:val="0"/>
      <w:marBottom w:val="0"/>
      <w:divBdr>
        <w:top w:val="none" w:sz="0" w:space="0" w:color="auto"/>
        <w:left w:val="none" w:sz="0" w:space="0" w:color="auto"/>
        <w:bottom w:val="none" w:sz="0" w:space="0" w:color="auto"/>
        <w:right w:val="none" w:sz="0" w:space="0" w:color="auto"/>
      </w:divBdr>
    </w:div>
    <w:div w:id="272909443">
      <w:bodyDiv w:val="1"/>
      <w:marLeft w:val="0"/>
      <w:marRight w:val="0"/>
      <w:marTop w:val="0"/>
      <w:marBottom w:val="0"/>
      <w:divBdr>
        <w:top w:val="none" w:sz="0" w:space="0" w:color="auto"/>
        <w:left w:val="none" w:sz="0" w:space="0" w:color="auto"/>
        <w:bottom w:val="none" w:sz="0" w:space="0" w:color="auto"/>
        <w:right w:val="none" w:sz="0" w:space="0" w:color="auto"/>
      </w:divBdr>
    </w:div>
    <w:div w:id="274797397">
      <w:bodyDiv w:val="1"/>
      <w:marLeft w:val="0"/>
      <w:marRight w:val="0"/>
      <w:marTop w:val="0"/>
      <w:marBottom w:val="0"/>
      <w:divBdr>
        <w:top w:val="none" w:sz="0" w:space="0" w:color="auto"/>
        <w:left w:val="none" w:sz="0" w:space="0" w:color="auto"/>
        <w:bottom w:val="none" w:sz="0" w:space="0" w:color="auto"/>
        <w:right w:val="none" w:sz="0" w:space="0" w:color="auto"/>
      </w:divBdr>
    </w:div>
    <w:div w:id="278992386">
      <w:bodyDiv w:val="1"/>
      <w:marLeft w:val="0"/>
      <w:marRight w:val="0"/>
      <w:marTop w:val="0"/>
      <w:marBottom w:val="0"/>
      <w:divBdr>
        <w:top w:val="none" w:sz="0" w:space="0" w:color="auto"/>
        <w:left w:val="none" w:sz="0" w:space="0" w:color="auto"/>
        <w:bottom w:val="none" w:sz="0" w:space="0" w:color="auto"/>
        <w:right w:val="none" w:sz="0" w:space="0" w:color="auto"/>
      </w:divBdr>
    </w:div>
    <w:div w:id="285089939">
      <w:bodyDiv w:val="1"/>
      <w:marLeft w:val="0"/>
      <w:marRight w:val="0"/>
      <w:marTop w:val="0"/>
      <w:marBottom w:val="0"/>
      <w:divBdr>
        <w:top w:val="none" w:sz="0" w:space="0" w:color="auto"/>
        <w:left w:val="none" w:sz="0" w:space="0" w:color="auto"/>
        <w:bottom w:val="none" w:sz="0" w:space="0" w:color="auto"/>
        <w:right w:val="none" w:sz="0" w:space="0" w:color="auto"/>
      </w:divBdr>
    </w:div>
    <w:div w:id="289676384">
      <w:bodyDiv w:val="1"/>
      <w:marLeft w:val="0"/>
      <w:marRight w:val="0"/>
      <w:marTop w:val="0"/>
      <w:marBottom w:val="0"/>
      <w:divBdr>
        <w:top w:val="none" w:sz="0" w:space="0" w:color="auto"/>
        <w:left w:val="none" w:sz="0" w:space="0" w:color="auto"/>
        <w:bottom w:val="none" w:sz="0" w:space="0" w:color="auto"/>
        <w:right w:val="none" w:sz="0" w:space="0" w:color="auto"/>
      </w:divBdr>
    </w:div>
    <w:div w:id="302201488">
      <w:bodyDiv w:val="1"/>
      <w:marLeft w:val="0"/>
      <w:marRight w:val="0"/>
      <w:marTop w:val="0"/>
      <w:marBottom w:val="0"/>
      <w:divBdr>
        <w:top w:val="none" w:sz="0" w:space="0" w:color="auto"/>
        <w:left w:val="none" w:sz="0" w:space="0" w:color="auto"/>
        <w:bottom w:val="none" w:sz="0" w:space="0" w:color="auto"/>
        <w:right w:val="none" w:sz="0" w:space="0" w:color="auto"/>
      </w:divBdr>
    </w:div>
    <w:div w:id="304624732">
      <w:bodyDiv w:val="1"/>
      <w:marLeft w:val="0"/>
      <w:marRight w:val="0"/>
      <w:marTop w:val="0"/>
      <w:marBottom w:val="0"/>
      <w:divBdr>
        <w:top w:val="none" w:sz="0" w:space="0" w:color="auto"/>
        <w:left w:val="none" w:sz="0" w:space="0" w:color="auto"/>
        <w:bottom w:val="none" w:sz="0" w:space="0" w:color="auto"/>
        <w:right w:val="none" w:sz="0" w:space="0" w:color="auto"/>
      </w:divBdr>
    </w:div>
    <w:div w:id="307980553">
      <w:bodyDiv w:val="1"/>
      <w:marLeft w:val="0"/>
      <w:marRight w:val="0"/>
      <w:marTop w:val="0"/>
      <w:marBottom w:val="0"/>
      <w:divBdr>
        <w:top w:val="none" w:sz="0" w:space="0" w:color="auto"/>
        <w:left w:val="none" w:sz="0" w:space="0" w:color="auto"/>
        <w:bottom w:val="none" w:sz="0" w:space="0" w:color="auto"/>
        <w:right w:val="none" w:sz="0" w:space="0" w:color="auto"/>
      </w:divBdr>
    </w:div>
    <w:div w:id="363949671">
      <w:bodyDiv w:val="1"/>
      <w:marLeft w:val="0"/>
      <w:marRight w:val="0"/>
      <w:marTop w:val="0"/>
      <w:marBottom w:val="0"/>
      <w:divBdr>
        <w:top w:val="none" w:sz="0" w:space="0" w:color="auto"/>
        <w:left w:val="none" w:sz="0" w:space="0" w:color="auto"/>
        <w:bottom w:val="none" w:sz="0" w:space="0" w:color="auto"/>
        <w:right w:val="none" w:sz="0" w:space="0" w:color="auto"/>
      </w:divBdr>
    </w:div>
    <w:div w:id="371006748">
      <w:bodyDiv w:val="1"/>
      <w:marLeft w:val="0"/>
      <w:marRight w:val="0"/>
      <w:marTop w:val="0"/>
      <w:marBottom w:val="0"/>
      <w:divBdr>
        <w:top w:val="none" w:sz="0" w:space="0" w:color="auto"/>
        <w:left w:val="none" w:sz="0" w:space="0" w:color="auto"/>
        <w:bottom w:val="none" w:sz="0" w:space="0" w:color="auto"/>
        <w:right w:val="none" w:sz="0" w:space="0" w:color="auto"/>
      </w:divBdr>
    </w:div>
    <w:div w:id="378210721">
      <w:bodyDiv w:val="1"/>
      <w:marLeft w:val="0"/>
      <w:marRight w:val="0"/>
      <w:marTop w:val="0"/>
      <w:marBottom w:val="0"/>
      <w:divBdr>
        <w:top w:val="none" w:sz="0" w:space="0" w:color="auto"/>
        <w:left w:val="none" w:sz="0" w:space="0" w:color="auto"/>
        <w:bottom w:val="none" w:sz="0" w:space="0" w:color="auto"/>
        <w:right w:val="none" w:sz="0" w:space="0" w:color="auto"/>
      </w:divBdr>
    </w:div>
    <w:div w:id="394934640">
      <w:bodyDiv w:val="1"/>
      <w:marLeft w:val="0"/>
      <w:marRight w:val="0"/>
      <w:marTop w:val="0"/>
      <w:marBottom w:val="0"/>
      <w:divBdr>
        <w:top w:val="none" w:sz="0" w:space="0" w:color="auto"/>
        <w:left w:val="none" w:sz="0" w:space="0" w:color="auto"/>
        <w:bottom w:val="none" w:sz="0" w:space="0" w:color="auto"/>
        <w:right w:val="none" w:sz="0" w:space="0" w:color="auto"/>
      </w:divBdr>
    </w:div>
    <w:div w:id="396048450">
      <w:bodyDiv w:val="1"/>
      <w:marLeft w:val="0"/>
      <w:marRight w:val="0"/>
      <w:marTop w:val="0"/>
      <w:marBottom w:val="0"/>
      <w:divBdr>
        <w:top w:val="none" w:sz="0" w:space="0" w:color="auto"/>
        <w:left w:val="none" w:sz="0" w:space="0" w:color="auto"/>
        <w:bottom w:val="none" w:sz="0" w:space="0" w:color="auto"/>
        <w:right w:val="none" w:sz="0" w:space="0" w:color="auto"/>
      </w:divBdr>
    </w:div>
    <w:div w:id="396052072">
      <w:bodyDiv w:val="1"/>
      <w:marLeft w:val="0"/>
      <w:marRight w:val="0"/>
      <w:marTop w:val="0"/>
      <w:marBottom w:val="0"/>
      <w:divBdr>
        <w:top w:val="none" w:sz="0" w:space="0" w:color="auto"/>
        <w:left w:val="none" w:sz="0" w:space="0" w:color="auto"/>
        <w:bottom w:val="none" w:sz="0" w:space="0" w:color="auto"/>
        <w:right w:val="none" w:sz="0" w:space="0" w:color="auto"/>
      </w:divBdr>
    </w:div>
    <w:div w:id="399134358">
      <w:bodyDiv w:val="1"/>
      <w:marLeft w:val="0"/>
      <w:marRight w:val="0"/>
      <w:marTop w:val="0"/>
      <w:marBottom w:val="0"/>
      <w:divBdr>
        <w:top w:val="none" w:sz="0" w:space="0" w:color="auto"/>
        <w:left w:val="none" w:sz="0" w:space="0" w:color="auto"/>
        <w:bottom w:val="none" w:sz="0" w:space="0" w:color="auto"/>
        <w:right w:val="none" w:sz="0" w:space="0" w:color="auto"/>
      </w:divBdr>
    </w:div>
    <w:div w:id="472140957">
      <w:bodyDiv w:val="1"/>
      <w:marLeft w:val="0"/>
      <w:marRight w:val="0"/>
      <w:marTop w:val="0"/>
      <w:marBottom w:val="0"/>
      <w:divBdr>
        <w:top w:val="none" w:sz="0" w:space="0" w:color="auto"/>
        <w:left w:val="none" w:sz="0" w:space="0" w:color="auto"/>
        <w:bottom w:val="none" w:sz="0" w:space="0" w:color="auto"/>
        <w:right w:val="none" w:sz="0" w:space="0" w:color="auto"/>
      </w:divBdr>
    </w:div>
    <w:div w:id="474877503">
      <w:bodyDiv w:val="1"/>
      <w:marLeft w:val="0"/>
      <w:marRight w:val="0"/>
      <w:marTop w:val="0"/>
      <w:marBottom w:val="0"/>
      <w:divBdr>
        <w:top w:val="none" w:sz="0" w:space="0" w:color="auto"/>
        <w:left w:val="none" w:sz="0" w:space="0" w:color="auto"/>
        <w:bottom w:val="none" w:sz="0" w:space="0" w:color="auto"/>
        <w:right w:val="none" w:sz="0" w:space="0" w:color="auto"/>
      </w:divBdr>
    </w:div>
    <w:div w:id="505440330">
      <w:bodyDiv w:val="1"/>
      <w:marLeft w:val="0"/>
      <w:marRight w:val="0"/>
      <w:marTop w:val="0"/>
      <w:marBottom w:val="0"/>
      <w:divBdr>
        <w:top w:val="none" w:sz="0" w:space="0" w:color="auto"/>
        <w:left w:val="none" w:sz="0" w:space="0" w:color="auto"/>
        <w:bottom w:val="none" w:sz="0" w:space="0" w:color="auto"/>
        <w:right w:val="none" w:sz="0" w:space="0" w:color="auto"/>
      </w:divBdr>
    </w:div>
    <w:div w:id="530388139">
      <w:bodyDiv w:val="1"/>
      <w:marLeft w:val="0"/>
      <w:marRight w:val="0"/>
      <w:marTop w:val="0"/>
      <w:marBottom w:val="0"/>
      <w:divBdr>
        <w:top w:val="none" w:sz="0" w:space="0" w:color="auto"/>
        <w:left w:val="none" w:sz="0" w:space="0" w:color="auto"/>
        <w:bottom w:val="none" w:sz="0" w:space="0" w:color="auto"/>
        <w:right w:val="none" w:sz="0" w:space="0" w:color="auto"/>
      </w:divBdr>
    </w:div>
    <w:div w:id="536241855">
      <w:bodyDiv w:val="1"/>
      <w:marLeft w:val="0"/>
      <w:marRight w:val="0"/>
      <w:marTop w:val="0"/>
      <w:marBottom w:val="0"/>
      <w:divBdr>
        <w:top w:val="none" w:sz="0" w:space="0" w:color="auto"/>
        <w:left w:val="none" w:sz="0" w:space="0" w:color="auto"/>
        <w:bottom w:val="none" w:sz="0" w:space="0" w:color="auto"/>
        <w:right w:val="none" w:sz="0" w:space="0" w:color="auto"/>
      </w:divBdr>
    </w:div>
    <w:div w:id="561252953">
      <w:bodyDiv w:val="1"/>
      <w:marLeft w:val="0"/>
      <w:marRight w:val="0"/>
      <w:marTop w:val="0"/>
      <w:marBottom w:val="0"/>
      <w:divBdr>
        <w:top w:val="none" w:sz="0" w:space="0" w:color="auto"/>
        <w:left w:val="none" w:sz="0" w:space="0" w:color="auto"/>
        <w:bottom w:val="none" w:sz="0" w:space="0" w:color="auto"/>
        <w:right w:val="none" w:sz="0" w:space="0" w:color="auto"/>
      </w:divBdr>
    </w:div>
    <w:div w:id="563882274">
      <w:bodyDiv w:val="1"/>
      <w:marLeft w:val="0"/>
      <w:marRight w:val="0"/>
      <w:marTop w:val="0"/>
      <w:marBottom w:val="0"/>
      <w:divBdr>
        <w:top w:val="none" w:sz="0" w:space="0" w:color="auto"/>
        <w:left w:val="none" w:sz="0" w:space="0" w:color="auto"/>
        <w:bottom w:val="none" w:sz="0" w:space="0" w:color="auto"/>
        <w:right w:val="none" w:sz="0" w:space="0" w:color="auto"/>
      </w:divBdr>
    </w:div>
    <w:div w:id="564069714">
      <w:bodyDiv w:val="1"/>
      <w:marLeft w:val="0"/>
      <w:marRight w:val="0"/>
      <w:marTop w:val="0"/>
      <w:marBottom w:val="0"/>
      <w:divBdr>
        <w:top w:val="none" w:sz="0" w:space="0" w:color="auto"/>
        <w:left w:val="none" w:sz="0" w:space="0" w:color="auto"/>
        <w:bottom w:val="none" w:sz="0" w:space="0" w:color="auto"/>
        <w:right w:val="none" w:sz="0" w:space="0" w:color="auto"/>
      </w:divBdr>
    </w:div>
    <w:div w:id="579752217">
      <w:bodyDiv w:val="1"/>
      <w:marLeft w:val="0"/>
      <w:marRight w:val="0"/>
      <w:marTop w:val="0"/>
      <w:marBottom w:val="0"/>
      <w:divBdr>
        <w:top w:val="none" w:sz="0" w:space="0" w:color="auto"/>
        <w:left w:val="none" w:sz="0" w:space="0" w:color="auto"/>
        <w:bottom w:val="none" w:sz="0" w:space="0" w:color="auto"/>
        <w:right w:val="none" w:sz="0" w:space="0" w:color="auto"/>
      </w:divBdr>
    </w:div>
    <w:div w:id="583611906">
      <w:bodyDiv w:val="1"/>
      <w:marLeft w:val="0"/>
      <w:marRight w:val="0"/>
      <w:marTop w:val="0"/>
      <w:marBottom w:val="0"/>
      <w:divBdr>
        <w:top w:val="none" w:sz="0" w:space="0" w:color="auto"/>
        <w:left w:val="none" w:sz="0" w:space="0" w:color="auto"/>
        <w:bottom w:val="none" w:sz="0" w:space="0" w:color="auto"/>
        <w:right w:val="none" w:sz="0" w:space="0" w:color="auto"/>
      </w:divBdr>
    </w:div>
    <w:div w:id="587888182">
      <w:bodyDiv w:val="1"/>
      <w:marLeft w:val="0"/>
      <w:marRight w:val="0"/>
      <w:marTop w:val="0"/>
      <w:marBottom w:val="0"/>
      <w:divBdr>
        <w:top w:val="none" w:sz="0" w:space="0" w:color="auto"/>
        <w:left w:val="none" w:sz="0" w:space="0" w:color="auto"/>
        <w:bottom w:val="none" w:sz="0" w:space="0" w:color="auto"/>
        <w:right w:val="none" w:sz="0" w:space="0" w:color="auto"/>
      </w:divBdr>
    </w:div>
    <w:div w:id="598677527">
      <w:bodyDiv w:val="1"/>
      <w:marLeft w:val="0"/>
      <w:marRight w:val="0"/>
      <w:marTop w:val="0"/>
      <w:marBottom w:val="0"/>
      <w:divBdr>
        <w:top w:val="none" w:sz="0" w:space="0" w:color="auto"/>
        <w:left w:val="none" w:sz="0" w:space="0" w:color="auto"/>
        <w:bottom w:val="none" w:sz="0" w:space="0" w:color="auto"/>
        <w:right w:val="none" w:sz="0" w:space="0" w:color="auto"/>
      </w:divBdr>
    </w:div>
    <w:div w:id="634870422">
      <w:bodyDiv w:val="1"/>
      <w:marLeft w:val="0"/>
      <w:marRight w:val="0"/>
      <w:marTop w:val="0"/>
      <w:marBottom w:val="0"/>
      <w:divBdr>
        <w:top w:val="none" w:sz="0" w:space="0" w:color="auto"/>
        <w:left w:val="none" w:sz="0" w:space="0" w:color="auto"/>
        <w:bottom w:val="none" w:sz="0" w:space="0" w:color="auto"/>
        <w:right w:val="none" w:sz="0" w:space="0" w:color="auto"/>
      </w:divBdr>
    </w:div>
    <w:div w:id="640427509">
      <w:bodyDiv w:val="1"/>
      <w:marLeft w:val="0"/>
      <w:marRight w:val="0"/>
      <w:marTop w:val="0"/>
      <w:marBottom w:val="0"/>
      <w:divBdr>
        <w:top w:val="none" w:sz="0" w:space="0" w:color="auto"/>
        <w:left w:val="none" w:sz="0" w:space="0" w:color="auto"/>
        <w:bottom w:val="none" w:sz="0" w:space="0" w:color="auto"/>
        <w:right w:val="none" w:sz="0" w:space="0" w:color="auto"/>
      </w:divBdr>
    </w:div>
    <w:div w:id="643894816">
      <w:bodyDiv w:val="1"/>
      <w:marLeft w:val="0"/>
      <w:marRight w:val="0"/>
      <w:marTop w:val="0"/>
      <w:marBottom w:val="0"/>
      <w:divBdr>
        <w:top w:val="none" w:sz="0" w:space="0" w:color="auto"/>
        <w:left w:val="none" w:sz="0" w:space="0" w:color="auto"/>
        <w:bottom w:val="none" w:sz="0" w:space="0" w:color="auto"/>
        <w:right w:val="none" w:sz="0" w:space="0" w:color="auto"/>
      </w:divBdr>
    </w:div>
    <w:div w:id="646594532">
      <w:bodyDiv w:val="1"/>
      <w:marLeft w:val="0"/>
      <w:marRight w:val="0"/>
      <w:marTop w:val="0"/>
      <w:marBottom w:val="0"/>
      <w:divBdr>
        <w:top w:val="none" w:sz="0" w:space="0" w:color="auto"/>
        <w:left w:val="none" w:sz="0" w:space="0" w:color="auto"/>
        <w:bottom w:val="none" w:sz="0" w:space="0" w:color="auto"/>
        <w:right w:val="none" w:sz="0" w:space="0" w:color="auto"/>
      </w:divBdr>
    </w:div>
    <w:div w:id="652218697">
      <w:bodyDiv w:val="1"/>
      <w:marLeft w:val="0"/>
      <w:marRight w:val="0"/>
      <w:marTop w:val="0"/>
      <w:marBottom w:val="0"/>
      <w:divBdr>
        <w:top w:val="none" w:sz="0" w:space="0" w:color="auto"/>
        <w:left w:val="none" w:sz="0" w:space="0" w:color="auto"/>
        <w:bottom w:val="none" w:sz="0" w:space="0" w:color="auto"/>
        <w:right w:val="none" w:sz="0" w:space="0" w:color="auto"/>
      </w:divBdr>
    </w:div>
    <w:div w:id="662241552">
      <w:bodyDiv w:val="1"/>
      <w:marLeft w:val="0"/>
      <w:marRight w:val="0"/>
      <w:marTop w:val="0"/>
      <w:marBottom w:val="0"/>
      <w:divBdr>
        <w:top w:val="none" w:sz="0" w:space="0" w:color="auto"/>
        <w:left w:val="none" w:sz="0" w:space="0" w:color="auto"/>
        <w:bottom w:val="none" w:sz="0" w:space="0" w:color="auto"/>
        <w:right w:val="none" w:sz="0" w:space="0" w:color="auto"/>
      </w:divBdr>
    </w:div>
    <w:div w:id="663047584">
      <w:bodyDiv w:val="1"/>
      <w:marLeft w:val="0"/>
      <w:marRight w:val="0"/>
      <w:marTop w:val="0"/>
      <w:marBottom w:val="0"/>
      <w:divBdr>
        <w:top w:val="none" w:sz="0" w:space="0" w:color="auto"/>
        <w:left w:val="none" w:sz="0" w:space="0" w:color="auto"/>
        <w:bottom w:val="none" w:sz="0" w:space="0" w:color="auto"/>
        <w:right w:val="none" w:sz="0" w:space="0" w:color="auto"/>
      </w:divBdr>
    </w:div>
    <w:div w:id="665477529">
      <w:bodyDiv w:val="1"/>
      <w:marLeft w:val="0"/>
      <w:marRight w:val="0"/>
      <w:marTop w:val="0"/>
      <w:marBottom w:val="0"/>
      <w:divBdr>
        <w:top w:val="none" w:sz="0" w:space="0" w:color="auto"/>
        <w:left w:val="none" w:sz="0" w:space="0" w:color="auto"/>
        <w:bottom w:val="none" w:sz="0" w:space="0" w:color="auto"/>
        <w:right w:val="none" w:sz="0" w:space="0" w:color="auto"/>
      </w:divBdr>
    </w:div>
    <w:div w:id="666057310">
      <w:bodyDiv w:val="1"/>
      <w:marLeft w:val="0"/>
      <w:marRight w:val="0"/>
      <w:marTop w:val="0"/>
      <w:marBottom w:val="0"/>
      <w:divBdr>
        <w:top w:val="none" w:sz="0" w:space="0" w:color="auto"/>
        <w:left w:val="none" w:sz="0" w:space="0" w:color="auto"/>
        <w:bottom w:val="none" w:sz="0" w:space="0" w:color="auto"/>
        <w:right w:val="none" w:sz="0" w:space="0" w:color="auto"/>
      </w:divBdr>
    </w:div>
    <w:div w:id="680015490">
      <w:bodyDiv w:val="1"/>
      <w:marLeft w:val="0"/>
      <w:marRight w:val="0"/>
      <w:marTop w:val="0"/>
      <w:marBottom w:val="0"/>
      <w:divBdr>
        <w:top w:val="none" w:sz="0" w:space="0" w:color="auto"/>
        <w:left w:val="none" w:sz="0" w:space="0" w:color="auto"/>
        <w:bottom w:val="none" w:sz="0" w:space="0" w:color="auto"/>
        <w:right w:val="none" w:sz="0" w:space="0" w:color="auto"/>
      </w:divBdr>
    </w:div>
    <w:div w:id="689726182">
      <w:bodyDiv w:val="1"/>
      <w:marLeft w:val="0"/>
      <w:marRight w:val="0"/>
      <w:marTop w:val="0"/>
      <w:marBottom w:val="0"/>
      <w:divBdr>
        <w:top w:val="none" w:sz="0" w:space="0" w:color="auto"/>
        <w:left w:val="none" w:sz="0" w:space="0" w:color="auto"/>
        <w:bottom w:val="none" w:sz="0" w:space="0" w:color="auto"/>
        <w:right w:val="none" w:sz="0" w:space="0" w:color="auto"/>
      </w:divBdr>
    </w:div>
    <w:div w:id="692651836">
      <w:bodyDiv w:val="1"/>
      <w:marLeft w:val="0"/>
      <w:marRight w:val="0"/>
      <w:marTop w:val="0"/>
      <w:marBottom w:val="0"/>
      <w:divBdr>
        <w:top w:val="none" w:sz="0" w:space="0" w:color="auto"/>
        <w:left w:val="none" w:sz="0" w:space="0" w:color="auto"/>
        <w:bottom w:val="none" w:sz="0" w:space="0" w:color="auto"/>
        <w:right w:val="none" w:sz="0" w:space="0" w:color="auto"/>
      </w:divBdr>
    </w:div>
    <w:div w:id="692998959">
      <w:bodyDiv w:val="1"/>
      <w:marLeft w:val="0"/>
      <w:marRight w:val="0"/>
      <w:marTop w:val="0"/>
      <w:marBottom w:val="0"/>
      <w:divBdr>
        <w:top w:val="none" w:sz="0" w:space="0" w:color="auto"/>
        <w:left w:val="none" w:sz="0" w:space="0" w:color="auto"/>
        <w:bottom w:val="none" w:sz="0" w:space="0" w:color="auto"/>
        <w:right w:val="none" w:sz="0" w:space="0" w:color="auto"/>
      </w:divBdr>
    </w:div>
    <w:div w:id="697462576">
      <w:bodyDiv w:val="1"/>
      <w:marLeft w:val="0"/>
      <w:marRight w:val="0"/>
      <w:marTop w:val="0"/>
      <w:marBottom w:val="0"/>
      <w:divBdr>
        <w:top w:val="none" w:sz="0" w:space="0" w:color="auto"/>
        <w:left w:val="none" w:sz="0" w:space="0" w:color="auto"/>
        <w:bottom w:val="none" w:sz="0" w:space="0" w:color="auto"/>
        <w:right w:val="none" w:sz="0" w:space="0" w:color="auto"/>
      </w:divBdr>
    </w:div>
    <w:div w:id="707920368">
      <w:bodyDiv w:val="1"/>
      <w:marLeft w:val="0"/>
      <w:marRight w:val="0"/>
      <w:marTop w:val="0"/>
      <w:marBottom w:val="0"/>
      <w:divBdr>
        <w:top w:val="none" w:sz="0" w:space="0" w:color="auto"/>
        <w:left w:val="none" w:sz="0" w:space="0" w:color="auto"/>
        <w:bottom w:val="none" w:sz="0" w:space="0" w:color="auto"/>
        <w:right w:val="none" w:sz="0" w:space="0" w:color="auto"/>
      </w:divBdr>
    </w:div>
    <w:div w:id="756556434">
      <w:bodyDiv w:val="1"/>
      <w:marLeft w:val="0"/>
      <w:marRight w:val="0"/>
      <w:marTop w:val="0"/>
      <w:marBottom w:val="0"/>
      <w:divBdr>
        <w:top w:val="none" w:sz="0" w:space="0" w:color="auto"/>
        <w:left w:val="none" w:sz="0" w:space="0" w:color="auto"/>
        <w:bottom w:val="none" w:sz="0" w:space="0" w:color="auto"/>
        <w:right w:val="none" w:sz="0" w:space="0" w:color="auto"/>
      </w:divBdr>
    </w:div>
    <w:div w:id="757366353">
      <w:bodyDiv w:val="1"/>
      <w:marLeft w:val="0"/>
      <w:marRight w:val="0"/>
      <w:marTop w:val="0"/>
      <w:marBottom w:val="0"/>
      <w:divBdr>
        <w:top w:val="none" w:sz="0" w:space="0" w:color="auto"/>
        <w:left w:val="none" w:sz="0" w:space="0" w:color="auto"/>
        <w:bottom w:val="none" w:sz="0" w:space="0" w:color="auto"/>
        <w:right w:val="none" w:sz="0" w:space="0" w:color="auto"/>
      </w:divBdr>
    </w:div>
    <w:div w:id="759641938">
      <w:bodyDiv w:val="1"/>
      <w:marLeft w:val="0"/>
      <w:marRight w:val="0"/>
      <w:marTop w:val="0"/>
      <w:marBottom w:val="0"/>
      <w:divBdr>
        <w:top w:val="none" w:sz="0" w:space="0" w:color="auto"/>
        <w:left w:val="none" w:sz="0" w:space="0" w:color="auto"/>
        <w:bottom w:val="none" w:sz="0" w:space="0" w:color="auto"/>
        <w:right w:val="none" w:sz="0" w:space="0" w:color="auto"/>
      </w:divBdr>
    </w:div>
    <w:div w:id="771172693">
      <w:bodyDiv w:val="1"/>
      <w:marLeft w:val="0"/>
      <w:marRight w:val="0"/>
      <w:marTop w:val="0"/>
      <w:marBottom w:val="0"/>
      <w:divBdr>
        <w:top w:val="none" w:sz="0" w:space="0" w:color="auto"/>
        <w:left w:val="none" w:sz="0" w:space="0" w:color="auto"/>
        <w:bottom w:val="none" w:sz="0" w:space="0" w:color="auto"/>
        <w:right w:val="none" w:sz="0" w:space="0" w:color="auto"/>
      </w:divBdr>
    </w:div>
    <w:div w:id="789587871">
      <w:bodyDiv w:val="1"/>
      <w:marLeft w:val="0"/>
      <w:marRight w:val="0"/>
      <w:marTop w:val="0"/>
      <w:marBottom w:val="0"/>
      <w:divBdr>
        <w:top w:val="none" w:sz="0" w:space="0" w:color="auto"/>
        <w:left w:val="none" w:sz="0" w:space="0" w:color="auto"/>
        <w:bottom w:val="none" w:sz="0" w:space="0" w:color="auto"/>
        <w:right w:val="none" w:sz="0" w:space="0" w:color="auto"/>
      </w:divBdr>
    </w:div>
    <w:div w:id="792754580">
      <w:bodyDiv w:val="1"/>
      <w:marLeft w:val="0"/>
      <w:marRight w:val="0"/>
      <w:marTop w:val="0"/>
      <w:marBottom w:val="0"/>
      <w:divBdr>
        <w:top w:val="none" w:sz="0" w:space="0" w:color="auto"/>
        <w:left w:val="none" w:sz="0" w:space="0" w:color="auto"/>
        <w:bottom w:val="none" w:sz="0" w:space="0" w:color="auto"/>
        <w:right w:val="none" w:sz="0" w:space="0" w:color="auto"/>
      </w:divBdr>
    </w:div>
    <w:div w:id="827786954">
      <w:bodyDiv w:val="1"/>
      <w:marLeft w:val="0"/>
      <w:marRight w:val="0"/>
      <w:marTop w:val="0"/>
      <w:marBottom w:val="0"/>
      <w:divBdr>
        <w:top w:val="none" w:sz="0" w:space="0" w:color="auto"/>
        <w:left w:val="none" w:sz="0" w:space="0" w:color="auto"/>
        <w:bottom w:val="none" w:sz="0" w:space="0" w:color="auto"/>
        <w:right w:val="none" w:sz="0" w:space="0" w:color="auto"/>
      </w:divBdr>
    </w:div>
    <w:div w:id="831484892">
      <w:bodyDiv w:val="1"/>
      <w:marLeft w:val="0"/>
      <w:marRight w:val="0"/>
      <w:marTop w:val="0"/>
      <w:marBottom w:val="0"/>
      <w:divBdr>
        <w:top w:val="none" w:sz="0" w:space="0" w:color="auto"/>
        <w:left w:val="none" w:sz="0" w:space="0" w:color="auto"/>
        <w:bottom w:val="none" w:sz="0" w:space="0" w:color="auto"/>
        <w:right w:val="none" w:sz="0" w:space="0" w:color="auto"/>
      </w:divBdr>
    </w:div>
    <w:div w:id="841511557">
      <w:bodyDiv w:val="1"/>
      <w:marLeft w:val="0"/>
      <w:marRight w:val="0"/>
      <w:marTop w:val="0"/>
      <w:marBottom w:val="0"/>
      <w:divBdr>
        <w:top w:val="none" w:sz="0" w:space="0" w:color="auto"/>
        <w:left w:val="none" w:sz="0" w:space="0" w:color="auto"/>
        <w:bottom w:val="none" w:sz="0" w:space="0" w:color="auto"/>
        <w:right w:val="none" w:sz="0" w:space="0" w:color="auto"/>
      </w:divBdr>
    </w:div>
    <w:div w:id="841973756">
      <w:bodyDiv w:val="1"/>
      <w:marLeft w:val="0"/>
      <w:marRight w:val="0"/>
      <w:marTop w:val="0"/>
      <w:marBottom w:val="0"/>
      <w:divBdr>
        <w:top w:val="none" w:sz="0" w:space="0" w:color="auto"/>
        <w:left w:val="none" w:sz="0" w:space="0" w:color="auto"/>
        <w:bottom w:val="none" w:sz="0" w:space="0" w:color="auto"/>
        <w:right w:val="none" w:sz="0" w:space="0" w:color="auto"/>
      </w:divBdr>
    </w:div>
    <w:div w:id="842014555">
      <w:bodyDiv w:val="1"/>
      <w:marLeft w:val="0"/>
      <w:marRight w:val="0"/>
      <w:marTop w:val="0"/>
      <w:marBottom w:val="0"/>
      <w:divBdr>
        <w:top w:val="none" w:sz="0" w:space="0" w:color="auto"/>
        <w:left w:val="none" w:sz="0" w:space="0" w:color="auto"/>
        <w:bottom w:val="none" w:sz="0" w:space="0" w:color="auto"/>
        <w:right w:val="none" w:sz="0" w:space="0" w:color="auto"/>
      </w:divBdr>
    </w:div>
    <w:div w:id="844515219">
      <w:bodyDiv w:val="1"/>
      <w:marLeft w:val="0"/>
      <w:marRight w:val="0"/>
      <w:marTop w:val="0"/>
      <w:marBottom w:val="0"/>
      <w:divBdr>
        <w:top w:val="none" w:sz="0" w:space="0" w:color="auto"/>
        <w:left w:val="none" w:sz="0" w:space="0" w:color="auto"/>
        <w:bottom w:val="none" w:sz="0" w:space="0" w:color="auto"/>
        <w:right w:val="none" w:sz="0" w:space="0" w:color="auto"/>
      </w:divBdr>
    </w:div>
    <w:div w:id="844709019">
      <w:bodyDiv w:val="1"/>
      <w:marLeft w:val="0"/>
      <w:marRight w:val="0"/>
      <w:marTop w:val="0"/>
      <w:marBottom w:val="0"/>
      <w:divBdr>
        <w:top w:val="none" w:sz="0" w:space="0" w:color="auto"/>
        <w:left w:val="none" w:sz="0" w:space="0" w:color="auto"/>
        <w:bottom w:val="none" w:sz="0" w:space="0" w:color="auto"/>
        <w:right w:val="none" w:sz="0" w:space="0" w:color="auto"/>
      </w:divBdr>
    </w:div>
    <w:div w:id="848909999">
      <w:bodyDiv w:val="1"/>
      <w:marLeft w:val="0"/>
      <w:marRight w:val="0"/>
      <w:marTop w:val="0"/>
      <w:marBottom w:val="0"/>
      <w:divBdr>
        <w:top w:val="none" w:sz="0" w:space="0" w:color="auto"/>
        <w:left w:val="none" w:sz="0" w:space="0" w:color="auto"/>
        <w:bottom w:val="none" w:sz="0" w:space="0" w:color="auto"/>
        <w:right w:val="none" w:sz="0" w:space="0" w:color="auto"/>
      </w:divBdr>
    </w:div>
    <w:div w:id="852761035">
      <w:bodyDiv w:val="1"/>
      <w:marLeft w:val="0"/>
      <w:marRight w:val="0"/>
      <w:marTop w:val="0"/>
      <w:marBottom w:val="0"/>
      <w:divBdr>
        <w:top w:val="none" w:sz="0" w:space="0" w:color="auto"/>
        <w:left w:val="none" w:sz="0" w:space="0" w:color="auto"/>
        <w:bottom w:val="none" w:sz="0" w:space="0" w:color="auto"/>
        <w:right w:val="none" w:sz="0" w:space="0" w:color="auto"/>
      </w:divBdr>
    </w:div>
    <w:div w:id="855772396">
      <w:bodyDiv w:val="1"/>
      <w:marLeft w:val="0"/>
      <w:marRight w:val="0"/>
      <w:marTop w:val="0"/>
      <w:marBottom w:val="0"/>
      <w:divBdr>
        <w:top w:val="none" w:sz="0" w:space="0" w:color="auto"/>
        <w:left w:val="none" w:sz="0" w:space="0" w:color="auto"/>
        <w:bottom w:val="none" w:sz="0" w:space="0" w:color="auto"/>
        <w:right w:val="none" w:sz="0" w:space="0" w:color="auto"/>
      </w:divBdr>
    </w:div>
    <w:div w:id="872770460">
      <w:bodyDiv w:val="1"/>
      <w:marLeft w:val="0"/>
      <w:marRight w:val="0"/>
      <w:marTop w:val="0"/>
      <w:marBottom w:val="0"/>
      <w:divBdr>
        <w:top w:val="none" w:sz="0" w:space="0" w:color="auto"/>
        <w:left w:val="none" w:sz="0" w:space="0" w:color="auto"/>
        <w:bottom w:val="none" w:sz="0" w:space="0" w:color="auto"/>
        <w:right w:val="none" w:sz="0" w:space="0" w:color="auto"/>
      </w:divBdr>
    </w:div>
    <w:div w:id="875309618">
      <w:bodyDiv w:val="1"/>
      <w:marLeft w:val="0"/>
      <w:marRight w:val="0"/>
      <w:marTop w:val="0"/>
      <w:marBottom w:val="0"/>
      <w:divBdr>
        <w:top w:val="none" w:sz="0" w:space="0" w:color="auto"/>
        <w:left w:val="none" w:sz="0" w:space="0" w:color="auto"/>
        <w:bottom w:val="none" w:sz="0" w:space="0" w:color="auto"/>
        <w:right w:val="none" w:sz="0" w:space="0" w:color="auto"/>
      </w:divBdr>
    </w:div>
    <w:div w:id="886717480">
      <w:bodyDiv w:val="1"/>
      <w:marLeft w:val="0"/>
      <w:marRight w:val="0"/>
      <w:marTop w:val="0"/>
      <w:marBottom w:val="0"/>
      <w:divBdr>
        <w:top w:val="none" w:sz="0" w:space="0" w:color="auto"/>
        <w:left w:val="none" w:sz="0" w:space="0" w:color="auto"/>
        <w:bottom w:val="none" w:sz="0" w:space="0" w:color="auto"/>
        <w:right w:val="none" w:sz="0" w:space="0" w:color="auto"/>
      </w:divBdr>
    </w:div>
    <w:div w:id="888300805">
      <w:bodyDiv w:val="1"/>
      <w:marLeft w:val="0"/>
      <w:marRight w:val="0"/>
      <w:marTop w:val="0"/>
      <w:marBottom w:val="0"/>
      <w:divBdr>
        <w:top w:val="none" w:sz="0" w:space="0" w:color="auto"/>
        <w:left w:val="none" w:sz="0" w:space="0" w:color="auto"/>
        <w:bottom w:val="none" w:sz="0" w:space="0" w:color="auto"/>
        <w:right w:val="none" w:sz="0" w:space="0" w:color="auto"/>
      </w:divBdr>
    </w:div>
    <w:div w:id="892958597">
      <w:bodyDiv w:val="1"/>
      <w:marLeft w:val="0"/>
      <w:marRight w:val="0"/>
      <w:marTop w:val="0"/>
      <w:marBottom w:val="0"/>
      <w:divBdr>
        <w:top w:val="none" w:sz="0" w:space="0" w:color="auto"/>
        <w:left w:val="none" w:sz="0" w:space="0" w:color="auto"/>
        <w:bottom w:val="none" w:sz="0" w:space="0" w:color="auto"/>
        <w:right w:val="none" w:sz="0" w:space="0" w:color="auto"/>
      </w:divBdr>
    </w:div>
    <w:div w:id="904680177">
      <w:bodyDiv w:val="1"/>
      <w:marLeft w:val="0"/>
      <w:marRight w:val="0"/>
      <w:marTop w:val="0"/>
      <w:marBottom w:val="0"/>
      <w:divBdr>
        <w:top w:val="none" w:sz="0" w:space="0" w:color="auto"/>
        <w:left w:val="none" w:sz="0" w:space="0" w:color="auto"/>
        <w:bottom w:val="none" w:sz="0" w:space="0" w:color="auto"/>
        <w:right w:val="none" w:sz="0" w:space="0" w:color="auto"/>
      </w:divBdr>
    </w:div>
    <w:div w:id="907149806">
      <w:bodyDiv w:val="1"/>
      <w:marLeft w:val="0"/>
      <w:marRight w:val="0"/>
      <w:marTop w:val="0"/>
      <w:marBottom w:val="0"/>
      <w:divBdr>
        <w:top w:val="none" w:sz="0" w:space="0" w:color="auto"/>
        <w:left w:val="none" w:sz="0" w:space="0" w:color="auto"/>
        <w:bottom w:val="none" w:sz="0" w:space="0" w:color="auto"/>
        <w:right w:val="none" w:sz="0" w:space="0" w:color="auto"/>
      </w:divBdr>
    </w:div>
    <w:div w:id="923760218">
      <w:bodyDiv w:val="1"/>
      <w:marLeft w:val="0"/>
      <w:marRight w:val="0"/>
      <w:marTop w:val="0"/>
      <w:marBottom w:val="0"/>
      <w:divBdr>
        <w:top w:val="none" w:sz="0" w:space="0" w:color="auto"/>
        <w:left w:val="none" w:sz="0" w:space="0" w:color="auto"/>
        <w:bottom w:val="none" w:sz="0" w:space="0" w:color="auto"/>
        <w:right w:val="none" w:sz="0" w:space="0" w:color="auto"/>
      </w:divBdr>
    </w:div>
    <w:div w:id="928125596">
      <w:bodyDiv w:val="1"/>
      <w:marLeft w:val="0"/>
      <w:marRight w:val="0"/>
      <w:marTop w:val="0"/>
      <w:marBottom w:val="0"/>
      <w:divBdr>
        <w:top w:val="none" w:sz="0" w:space="0" w:color="auto"/>
        <w:left w:val="none" w:sz="0" w:space="0" w:color="auto"/>
        <w:bottom w:val="none" w:sz="0" w:space="0" w:color="auto"/>
        <w:right w:val="none" w:sz="0" w:space="0" w:color="auto"/>
      </w:divBdr>
    </w:div>
    <w:div w:id="929393450">
      <w:bodyDiv w:val="1"/>
      <w:marLeft w:val="0"/>
      <w:marRight w:val="0"/>
      <w:marTop w:val="0"/>
      <w:marBottom w:val="0"/>
      <w:divBdr>
        <w:top w:val="none" w:sz="0" w:space="0" w:color="auto"/>
        <w:left w:val="none" w:sz="0" w:space="0" w:color="auto"/>
        <w:bottom w:val="none" w:sz="0" w:space="0" w:color="auto"/>
        <w:right w:val="none" w:sz="0" w:space="0" w:color="auto"/>
      </w:divBdr>
    </w:div>
    <w:div w:id="938829103">
      <w:bodyDiv w:val="1"/>
      <w:marLeft w:val="0"/>
      <w:marRight w:val="0"/>
      <w:marTop w:val="0"/>
      <w:marBottom w:val="0"/>
      <w:divBdr>
        <w:top w:val="none" w:sz="0" w:space="0" w:color="auto"/>
        <w:left w:val="none" w:sz="0" w:space="0" w:color="auto"/>
        <w:bottom w:val="none" w:sz="0" w:space="0" w:color="auto"/>
        <w:right w:val="none" w:sz="0" w:space="0" w:color="auto"/>
      </w:divBdr>
    </w:div>
    <w:div w:id="940602929">
      <w:bodyDiv w:val="1"/>
      <w:marLeft w:val="0"/>
      <w:marRight w:val="0"/>
      <w:marTop w:val="0"/>
      <w:marBottom w:val="0"/>
      <w:divBdr>
        <w:top w:val="none" w:sz="0" w:space="0" w:color="auto"/>
        <w:left w:val="none" w:sz="0" w:space="0" w:color="auto"/>
        <w:bottom w:val="none" w:sz="0" w:space="0" w:color="auto"/>
        <w:right w:val="none" w:sz="0" w:space="0" w:color="auto"/>
      </w:divBdr>
    </w:div>
    <w:div w:id="951013779">
      <w:bodyDiv w:val="1"/>
      <w:marLeft w:val="0"/>
      <w:marRight w:val="0"/>
      <w:marTop w:val="0"/>
      <w:marBottom w:val="0"/>
      <w:divBdr>
        <w:top w:val="none" w:sz="0" w:space="0" w:color="auto"/>
        <w:left w:val="none" w:sz="0" w:space="0" w:color="auto"/>
        <w:bottom w:val="none" w:sz="0" w:space="0" w:color="auto"/>
        <w:right w:val="none" w:sz="0" w:space="0" w:color="auto"/>
      </w:divBdr>
    </w:div>
    <w:div w:id="970280925">
      <w:bodyDiv w:val="1"/>
      <w:marLeft w:val="0"/>
      <w:marRight w:val="0"/>
      <w:marTop w:val="0"/>
      <w:marBottom w:val="0"/>
      <w:divBdr>
        <w:top w:val="none" w:sz="0" w:space="0" w:color="auto"/>
        <w:left w:val="none" w:sz="0" w:space="0" w:color="auto"/>
        <w:bottom w:val="none" w:sz="0" w:space="0" w:color="auto"/>
        <w:right w:val="none" w:sz="0" w:space="0" w:color="auto"/>
      </w:divBdr>
    </w:div>
    <w:div w:id="979260747">
      <w:bodyDiv w:val="1"/>
      <w:marLeft w:val="0"/>
      <w:marRight w:val="0"/>
      <w:marTop w:val="0"/>
      <w:marBottom w:val="0"/>
      <w:divBdr>
        <w:top w:val="none" w:sz="0" w:space="0" w:color="auto"/>
        <w:left w:val="none" w:sz="0" w:space="0" w:color="auto"/>
        <w:bottom w:val="none" w:sz="0" w:space="0" w:color="auto"/>
        <w:right w:val="none" w:sz="0" w:space="0" w:color="auto"/>
      </w:divBdr>
    </w:div>
    <w:div w:id="982393649">
      <w:bodyDiv w:val="1"/>
      <w:marLeft w:val="0"/>
      <w:marRight w:val="0"/>
      <w:marTop w:val="0"/>
      <w:marBottom w:val="0"/>
      <w:divBdr>
        <w:top w:val="none" w:sz="0" w:space="0" w:color="auto"/>
        <w:left w:val="none" w:sz="0" w:space="0" w:color="auto"/>
        <w:bottom w:val="none" w:sz="0" w:space="0" w:color="auto"/>
        <w:right w:val="none" w:sz="0" w:space="0" w:color="auto"/>
      </w:divBdr>
    </w:div>
    <w:div w:id="983464313">
      <w:bodyDiv w:val="1"/>
      <w:marLeft w:val="0"/>
      <w:marRight w:val="0"/>
      <w:marTop w:val="0"/>
      <w:marBottom w:val="0"/>
      <w:divBdr>
        <w:top w:val="none" w:sz="0" w:space="0" w:color="auto"/>
        <w:left w:val="none" w:sz="0" w:space="0" w:color="auto"/>
        <w:bottom w:val="none" w:sz="0" w:space="0" w:color="auto"/>
        <w:right w:val="none" w:sz="0" w:space="0" w:color="auto"/>
      </w:divBdr>
    </w:div>
    <w:div w:id="1006900036">
      <w:bodyDiv w:val="1"/>
      <w:marLeft w:val="0"/>
      <w:marRight w:val="0"/>
      <w:marTop w:val="0"/>
      <w:marBottom w:val="0"/>
      <w:divBdr>
        <w:top w:val="none" w:sz="0" w:space="0" w:color="auto"/>
        <w:left w:val="none" w:sz="0" w:space="0" w:color="auto"/>
        <w:bottom w:val="none" w:sz="0" w:space="0" w:color="auto"/>
        <w:right w:val="none" w:sz="0" w:space="0" w:color="auto"/>
      </w:divBdr>
    </w:div>
    <w:div w:id="1014653796">
      <w:bodyDiv w:val="1"/>
      <w:marLeft w:val="0"/>
      <w:marRight w:val="0"/>
      <w:marTop w:val="0"/>
      <w:marBottom w:val="0"/>
      <w:divBdr>
        <w:top w:val="none" w:sz="0" w:space="0" w:color="auto"/>
        <w:left w:val="none" w:sz="0" w:space="0" w:color="auto"/>
        <w:bottom w:val="none" w:sz="0" w:space="0" w:color="auto"/>
        <w:right w:val="none" w:sz="0" w:space="0" w:color="auto"/>
      </w:divBdr>
    </w:div>
    <w:div w:id="1036395570">
      <w:bodyDiv w:val="1"/>
      <w:marLeft w:val="0"/>
      <w:marRight w:val="0"/>
      <w:marTop w:val="0"/>
      <w:marBottom w:val="0"/>
      <w:divBdr>
        <w:top w:val="none" w:sz="0" w:space="0" w:color="auto"/>
        <w:left w:val="none" w:sz="0" w:space="0" w:color="auto"/>
        <w:bottom w:val="none" w:sz="0" w:space="0" w:color="auto"/>
        <w:right w:val="none" w:sz="0" w:space="0" w:color="auto"/>
      </w:divBdr>
    </w:div>
    <w:div w:id="1044599404">
      <w:bodyDiv w:val="1"/>
      <w:marLeft w:val="0"/>
      <w:marRight w:val="0"/>
      <w:marTop w:val="0"/>
      <w:marBottom w:val="0"/>
      <w:divBdr>
        <w:top w:val="none" w:sz="0" w:space="0" w:color="auto"/>
        <w:left w:val="none" w:sz="0" w:space="0" w:color="auto"/>
        <w:bottom w:val="none" w:sz="0" w:space="0" w:color="auto"/>
        <w:right w:val="none" w:sz="0" w:space="0" w:color="auto"/>
      </w:divBdr>
    </w:div>
    <w:div w:id="1048262507">
      <w:bodyDiv w:val="1"/>
      <w:marLeft w:val="0"/>
      <w:marRight w:val="0"/>
      <w:marTop w:val="0"/>
      <w:marBottom w:val="0"/>
      <w:divBdr>
        <w:top w:val="none" w:sz="0" w:space="0" w:color="auto"/>
        <w:left w:val="none" w:sz="0" w:space="0" w:color="auto"/>
        <w:bottom w:val="none" w:sz="0" w:space="0" w:color="auto"/>
        <w:right w:val="none" w:sz="0" w:space="0" w:color="auto"/>
      </w:divBdr>
    </w:div>
    <w:div w:id="1051685888">
      <w:bodyDiv w:val="1"/>
      <w:marLeft w:val="0"/>
      <w:marRight w:val="0"/>
      <w:marTop w:val="0"/>
      <w:marBottom w:val="0"/>
      <w:divBdr>
        <w:top w:val="none" w:sz="0" w:space="0" w:color="auto"/>
        <w:left w:val="none" w:sz="0" w:space="0" w:color="auto"/>
        <w:bottom w:val="none" w:sz="0" w:space="0" w:color="auto"/>
        <w:right w:val="none" w:sz="0" w:space="0" w:color="auto"/>
      </w:divBdr>
    </w:div>
    <w:div w:id="1069693689">
      <w:bodyDiv w:val="1"/>
      <w:marLeft w:val="0"/>
      <w:marRight w:val="0"/>
      <w:marTop w:val="0"/>
      <w:marBottom w:val="0"/>
      <w:divBdr>
        <w:top w:val="none" w:sz="0" w:space="0" w:color="auto"/>
        <w:left w:val="none" w:sz="0" w:space="0" w:color="auto"/>
        <w:bottom w:val="none" w:sz="0" w:space="0" w:color="auto"/>
        <w:right w:val="none" w:sz="0" w:space="0" w:color="auto"/>
      </w:divBdr>
    </w:div>
    <w:div w:id="1089230070">
      <w:bodyDiv w:val="1"/>
      <w:marLeft w:val="0"/>
      <w:marRight w:val="0"/>
      <w:marTop w:val="0"/>
      <w:marBottom w:val="0"/>
      <w:divBdr>
        <w:top w:val="none" w:sz="0" w:space="0" w:color="auto"/>
        <w:left w:val="none" w:sz="0" w:space="0" w:color="auto"/>
        <w:bottom w:val="none" w:sz="0" w:space="0" w:color="auto"/>
        <w:right w:val="none" w:sz="0" w:space="0" w:color="auto"/>
      </w:divBdr>
    </w:div>
    <w:div w:id="1096561795">
      <w:bodyDiv w:val="1"/>
      <w:marLeft w:val="0"/>
      <w:marRight w:val="0"/>
      <w:marTop w:val="0"/>
      <w:marBottom w:val="0"/>
      <w:divBdr>
        <w:top w:val="none" w:sz="0" w:space="0" w:color="auto"/>
        <w:left w:val="none" w:sz="0" w:space="0" w:color="auto"/>
        <w:bottom w:val="none" w:sz="0" w:space="0" w:color="auto"/>
        <w:right w:val="none" w:sz="0" w:space="0" w:color="auto"/>
      </w:divBdr>
    </w:div>
    <w:div w:id="1097169508">
      <w:bodyDiv w:val="1"/>
      <w:marLeft w:val="0"/>
      <w:marRight w:val="0"/>
      <w:marTop w:val="0"/>
      <w:marBottom w:val="0"/>
      <w:divBdr>
        <w:top w:val="none" w:sz="0" w:space="0" w:color="auto"/>
        <w:left w:val="none" w:sz="0" w:space="0" w:color="auto"/>
        <w:bottom w:val="none" w:sz="0" w:space="0" w:color="auto"/>
        <w:right w:val="none" w:sz="0" w:space="0" w:color="auto"/>
      </w:divBdr>
    </w:div>
    <w:div w:id="1098720199">
      <w:bodyDiv w:val="1"/>
      <w:marLeft w:val="0"/>
      <w:marRight w:val="0"/>
      <w:marTop w:val="0"/>
      <w:marBottom w:val="0"/>
      <w:divBdr>
        <w:top w:val="none" w:sz="0" w:space="0" w:color="auto"/>
        <w:left w:val="none" w:sz="0" w:space="0" w:color="auto"/>
        <w:bottom w:val="none" w:sz="0" w:space="0" w:color="auto"/>
        <w:right w:val="none" w:sz="0" w:space="0" w:color="auto"/>
      </w:divBdr>
    </w:div>
    <w:div w:id="1106117314">
      <w:bodyDiv w:val="1"/>
      <w:marLeft w:val="0"/>
      <w:marRight w:val="0"/>
      <w:marTop w:val="0"/>
      <w:marBottom w:val="0"/>
      <w:divBdr>
        <w:top w:val="none" w:sz="0" w:space="0" w:color="auto"/>
        <w:left w:val="none" w:sz="0" w:space="0" w:color="auto"/>
        <w:bottom w:val="none" w:sz="0" w:space="0" w:color="auto"/>
        <w:right w:val="none" w:sz="0" w:space="0" w:color="auto"/>
      </w:divBdr>
    </w:div>
    <w:div w:id="1111511718">
      <w:bodyDiv w:val="1"/>
      <w:marLeft w:val="0"/>
      <w:marRight w:val="0"/>
      <w:marTop w:val="0"/>
      <w:marBottom w:val="0"/>
      <w:divBdr>
        <w:top w:val="none" w:sz="0" w:space="0" w:color="auto"/>
        <w:left w:val="none" w:sz="0" w:space="0" w:color="auto"/>
        <w:bottom w:val="none" w:sz="0" w:space="0" w:color="auto"/>
        <w:right w:val="none" w:sz="0" w:space="0" w:color="auto"/>
      </w:divBdr>
    </w:div>
    <w:div w:id="1155949095">
      <w:bodyDiv w:val="1"/>
      <w:marLeft w:val="0"/>
      <w:marRight w:val="0"/>
      <w:marTop w:val="0"/>
      <w:marBottom w:val="0"/>
      <w:divBdr>
        <w:top w:val="none" w:sz="0" w:space="0" w:color="auto"/>
        <w:left w:val="none" w:sz="0" w:space="0" w:color="auto"/>
        <w:bottom w:val="none" w:sz="0" w:space="0" w:color="auto"/>
        <w:right w:val="none" w:sz="0" w:space="0" w:color="auto"/>
      </w:divBdr>
    </w:div>
    <w:div w:id="1194997111">
      <w:bodyDiv w:val="1"/>
      <w:marLeft w:val="0"/>
      <w:marRight w:val="0"/>
      <w:marTop w:val="0"/>
      <w:marBottom w:val="0"/>
      <w:divBdr>
        <w:top w:val="none" w:sz="0" w:space="0" w:color="auto"/>
        <w:left w:val="none" w:sz="0" w:space="0" w:color="auto"/>
        <w:bottom w:val="none" w:sz="0" w:space="0" w:color="auto"/>
        <w:right w:val="none" w:sz="0" w:space="0" w:color="auto"/>
      </w:divBdr>
    </w:div>
    <w:div w:id="1198203250">
      <w:bodyDiv w:val="1"/>
      <w:marLeft w:val="0"/>
      <w:marRight w:val="0"/>
      <w:marTop w:val="0"/>
      <w:marBottom w:val="0"/>
      <w:divBdr>
        <w:top w:val="none" w:sz="0" w:space="0" w:color="auto"/>
        <w:left w:val="none" w:sz="0" w:space="0" w:color="auto"/>
        <w:bottom w:val="none" w:sz="0" w:space="0" w:color="auto"/>
        <w:right w:val="none" w:sz="0" w:space="0" w:color="auto"/>
      </w:divBdr>
    </w:div>
    <w:div w:id="1204027598">
      <w:bodyDiv w:val="1"/>
      <w:marLeft w:val="0"/>
      <w:marRight w:val="0"/>
      <w:marTop w:val="0"/>
      <w:marBottom w:val="0"/>
      <w:divBdr>
        <w:top w:val="none" w:sz="0" w:space="0" w:color="auto"/>
        <w:left w:val="none" w:sz="0" w:space="0" w:color="auto"/>
        <w:bottom w:val="none" w:sz="0" w:space="0" w:color="auto"/>
        <w:right w:val="none" w:sz="0" w:space="0" w:color="auto"/>
      </w:divBdr>
    </w:div>
    <w:div w:id="1215044756">
      <w:bodyDiv w:val="1"/>
      <w:marLeft w:val="0"/>
      <w:marRight w:val="0"/>
      <w:marTop w:val="0"/>
      <w:marBottom w:val="0"/>
      <w:divBdr>
        <w:top w:val="none" w:sz="0" w:space="0" w:color="auto"/>
        <w:left w:val="none" w:sz="0" w:space="0" w:color="auto"/>
        <w:bottom w:val="none" w:sz="0" w:space="0" w:color="auto"/>
        <w:right w:val="none" w:sz="0" w:space="0" w:color="auto"/>
      </w:divBdr>
    </w:div>
    <w:div w:id="1237518337">
      <w:bodyDiv w:val="1"/>
      <w:marLeft w:val="0"/>
      <w:marRight w:val="0"/>
      <w:marTop w:val="0"/>
      <w:marBottom w:val="0"/>
      <w:divBdr>
        <w:top w:val="none" w:sz="0" w:space="0" w:color="auto"/>
        <w:left w:val="none" w:sz="0" w:space="0" w:color="auto"/>
        <w:bottom w:val="none" w:sz="0" w:space="0" w:color="auto"/>
        <w:right w:val="none" w:sz="0" w:space="0" w:color="auto"/>
      </w:divBdr>
    </w:div>
    <w:div w:id="1238327236">
      <w:bodyDiv w:val="1"/>
      <w:marLeft w:val="0"/>
      <w:marRight w:val="0"/>
      <w:marTop w:val="0"/>
      <w:marBottom w:val="0"/>
      <w:divBdr>
        <w:top w:val="none" w:sz="0" w:space="0" w:color="auto"/>
        <w:left w:val="none" w:sz="0" w:space="0" w:color="auto"/>
        <w:bottom w:val="none" w:sz="0" w:space="0" w:color="auto"/>
        <w:right w:val="none" w:sz="0" w:space="0" w:color="auto"/>
      </w:divBdr>
    </w:div>
    <w:div w:id="1238783448">
      <w:bodyDiv w:val="1"/>
      <w:marLeft w:val="0"/>
      <w:marRight w:val="0"/>
      <w:marTop w:val="0"/>
      <w:marBottom w:val="0"/>
      <w:divBdr>
        <w:top w:val="none" w:sz="0" w:space="0" w:color="auto"/>
        <w:left w:val="none" w:sz="0" w:space="0" w:color="auto"/>
        <w:bottom w:val="none" w:sz="0" w:space="0" w:color="auto"/>
        <w:right w:val="none" w:sz="0" w:space="0" w:color="auto"/>
      </w:divBdr>
    </w:div>
    <w:div w:id="1243024671">
      <w:bodyDiv w:val="1"/>
      <w:marLeft w:val="0"/>
      <w:marRight w:val="0"/>
      <w:marTop w:val="0"/>
      <w:marBottom w:val="0"/>
      <w:divBdr>
        <w:top w:val="none" w:sz="0" w:space="0" w:color="auto"/>
        <w:left w:val="none" w:sz="0" w:space="0" w:color="auto"/>
        <w:bottom w:val="none" w:sz="0" w:space="0" w:color="auto"/>
        <w:right w:val="none" w:sz="0" w:space="0" w:color="auto"/>
      </w:divBdr>
    </w:div>
    <w:div w:id="1246723178">
      <w:bodyDiv w:val="1"/>
      <w:marLeft w:val="0"/>
      <w:marRight w:val="0"/>
      <w:marTop w:val="0"/>
      <w:marBottom w:val="0"/>
      <w:divBdr>
        <w:top w:val="none" w:sz="0" w:space="0" w:color="auto"/>
        <w:left w:val="none" w:sz="0" w:space="0" w:color="auto"/>
        <w:bottom w:val="none" w:sz="0" w:space="0" w:color="auto"/>
        <w:right w:val="none" w:sz="0" w:space="0" w:color="auto"/>
      </w:divBdr>
    </w:div>
    <w:div w:id="1261449060">
      <w:bodyDiv w:val="1"/>
      <w:marLeft w:val="0"/>
      <w:marRight w:val="0"/>
      <w:marTop w:val="0"/>
      <w:marBottom w:val="0"/>
      <w:divBdr>
        <w:top w:val="none" w:sz="0" w:space="0" w:color="auto"/>
        <w:left w:val="none" w:sz="0" w:space="0" w:color="auto"/>
        <w:bottom w:val="none" w:sz="0" w:space="0" w:color="auto"/>
        <w:right w:val="none" w:sz="0" w:space="0" w:color="auto"/>
      </w:divBdr>
    </w:div>
    <w:div w:id="1277372551">
      <w:bodyDiv w:val="1"/>
      <w:marLeft w:val="0"/>
      <w:marRight w:val="0"/>
      <w:marTop w:val="0"/>
      <w:marBottom w:val="0"/>
      <w:divBdr>
        <w:top w:val="none" w:sz="0" w:space="0" w:color="auto"/>
        <w:left w:val="none" w:sz="0" w:space="0" w:color="auto"/>
        <w:bottom w:val="none" w:sz="0" w:space="0" w:color="auto"/>
        <w:right w:val="none" w:sz="0" w:space="0" w:color="auto"/>
      </w:divBdr>
    </w:div>
    <w:div w:id="1278097463">
      <w:bodyDiv w:val="1"/>
      <w:marLeft w:val="0"/>
      <w:marRight w:val="0"/>
      <w:marTop w:val="0"/>
      <w:marBottom w:val="0"/>
      <w:divBdr>
        <w:top w:val="none" w:sz="0" w:space="0" w:color="auto"/>
        <w:left w:val="none" w:sz="0" w:space="0" w:color="auto"/>
        <w:bottom w:val="none" w:sz="0" w:space="0" w:color="auto"/>
        <w:right w:val="none" w:sz="0" w:space="0" w:color="auto"/>
      </w:divBdr>
    </w:div>
    <w:div w:id="1281303263">
      <w:bodyDiv w:val="1"/>
      <w:marLeft w:val="0"/>
      <w:marRight w:val="0"/>
      <w:marTop w:val="0"/>
      <w:marBottom w:val="0"/>
      <w:divBdr>
        <w:top w:val="none" w:sz="0" w:space="0" w:color="auto"/>
        <w:left w:val="none" w:sz="0" w:space="0" w:color="auto"/>
        <w:bottom w:val="none" w:sz="0" w:space="0" w:color="auto"/>
        <w:right w:val="none" w:sz="0" w:space="0" w:color="auto"/>
      </w:divBdr>
    </w:div>
    <w:div w:id="1294676486">
      <w:bodyDiv w:val="1"/>
      <w:marLeft w:val="0"/>
      <w:marRight w:val="0"/>
      <w:marTop w:val="0"/>
      <w:marBottom w:val="0"/>
      <w:divBdr>
        <w:top w:val="none" w:sz="0" w:space="0" w:color="auto"/>
        <w:left w:val="none" w:sz="0" w:space="0" w:color="auto"/>
        <w:bottom w:val="none" w:sz="0" w:space="0" w:color="auto"/>
        <w:right w:val="none" w:sz="0" w:space="0" w:color="auto"/>
      </w:divBdr>
    </w:div>
    <w:div w:id="1304189070">
      <w:bodyDiv w:val="1"/>
      <w:marLeft w:val="0"/>
      <w:marRight w:val="0"/>
      <w:marTop w:val="0"/>
      <w:marBottom w:val="0"/>
      <w:divBdr>
        <w:top w:val="none" w:sz="0" w:space="0" w:color="auto"/>
        <w:left w:val="none" w:sz="0" w:space="0" w:color="auto"/>
        <w:bottom w:val="none" w:sz="0" w:space="0" w:color="auto"/>
        <w:right w:val="none" w:sz="0" w:space="0" w:color="auto"/>
      </w:divBdr>
    </w:div>
    <w:div w:id="1307317321">
      <w:bodyDiv w:val="1"/>
      <w:marLeft w:val="0"/>
      <w:marRight w:val="0"/>
      <w:marTop w:val="0"/>
      <w:marBottom w:val="0"/>
      <w:divBdr>
        <w:top w:val="none" w:sz="0" w:space="0" w:color="auto"/>
        <w:left w:val="none" w:sz="0" w:space="0" w:color="auto"/>
        <w:bottom w:val="none" w:sz="0" w:space="0" w:color="auto"/>
        <w:right w:val="none" w:sz="0" w:space="0" w:color="auto"/>
      </w:divBdr>
    </w:div>
    <w:div w:id="1321276604">
      <w:bodyDiv w:val="1"/>
      <w:marLeft w:val="0"/>
      <w:marRight w:val="0"/>
      <w:marTop w:val="0"/>
      <w:marBottom w:val="0"/>
      <w:divBdr>
        <w:top w:val="none" w:sz="0" w:space="0" w:color="auto"/>
        <w:left w:val="none" w:sz="0" w:space="0" w:color="auto"/>
        <w:bottom w:val="none" w:sz="0" w:space="0" w:color="auto"/>
        <w:right w:val="none" w:sz="0" w:space="0" w:color="auto"/>
      </w:divBdr>
    </w:div>
    <w:div w:id="1326276520">
      <w:bodyDiv w:val="1"/>
      <w:marLeft w:val="0"/>
      <w:marRight w:val="0"/>
      <w:marTop w:val="0"/>
      <w:marBottom w:val="0"/>
      <w:divBdr>
        <w:top w:val="none" w:sz="0" w:space="0" w:color="auto"/>
        <w:left w:val="none" w:sz="0" w:space="0" w:color="auto"/>
        <w:bottom w:val="none" w:sz="0" w:space="0" w:color="auto"/>
        <w:right w:val="none" w:sz="0" w:space="0" w:color="auto"/>
      </w:divBdr>
    </w:div>
    <w:div w:id="1347752058">
      <w:bodyDiv w:val="1"/>
      <w:marLeft w:val="0"/>
      <w:marRight w:val="0"/>
      <w:marTop w:val="0"/>
      <w:marBottom w:val="0"/>
      <w:divBdr>
        <w:top w:val="none" w:sz="0" w:space="0" w:color="auto"/>
        <w:left w:val="none" w:sz="0" w:space="0" w:color="auto"/>
        <w:bottom w:val="none" w:sz="0" w:space="0" w:color="auto"/>
        <w:right w:val="none" w:sz="0" w:space="0" w:color="auto"/>
      </w:divBdr>
    </w:div>
    <w:div w:id="1353453130">
      <w:bodyDiv w:val="1"/>
      <w:marLeft w:val="0"/>
      <w:marRight w:val="0"/>
      <w:marTop w:val="0"/>
      <w:marBottom w:val="0"/>
      <w:divBdr>
        <w:top w:val="none" w:sz="0" w:space="0" w:color="auto"/>
        <w:left w:val="none" w:sz="0" w:space="0" w:color="auto"/>
        <w:bottom w:val="none" w:sz="0" w:space="0" w:color="auto"/>
        <w:right w:val="none" w:sz="0" w:space="0" w:color="auto"/>
      </w:divBdr>
    </w:div>
    <w:div w:id="1355688970">
      <w:bodyDiv w:val="1"/>
      <w:marLeft w:val="0"/>
      <w:marRight w:val="0"/>
      <w:marTop w:val="0"/>
      <w:marBottom w:val="0"/>
      <w:divBdr>
        <w:top w:val="none" w:sz="0" w:space="0" w:color="auto"/>
        <w:left w:val="none" w:sz="0" w:space="0" w:color="auto"/>
        <w:bottom w:val="none" w:sz="0" w:space="0" w:color="auto"/>
        <w:right w:val="none" w:sz="0" w:space="0" w:color="auto"/>
      </w:divBdr>
    </w:div>
    <w:div w:id="1358502748">
      <w:bodyDiv w:val="1"/>
      <w:marLeft w:val="0"/>
      <w:marRight w:val="0"/>
      <w:marTop w:val="0"/>
      <w:marBottom w:val="0"/>
      <w:divBdr>
        <w:top w:val="none" w:sz="0" w:space="0" w:color="auto"/>
        <w:left w:val="none" w:sz="0" w:space="0" w:color="auto"/>
        <w:bottom w:val="none" w:sz="0" w:space="0" w:color="auto"/>
        <w:right w:val="none" w:sz="0" w:space="0" w:color="auto"/>
      </w:divBdr>
    </w:div>
    <w:div w:id="1363433705">
      <w:bodyDiv w:val="1"/>
      <w:marLeft w:val="0"/>
      <w:marRight w:val="0"/>
      <w:marTop w:val="0"/>
      <w:marBottom w:val="0"/>
      <w:divBdr>
        <w:top w:val="none" w:sz="0" w:space="0" w:color="auto"/>
        <w:left w:val="none" w:sz="0" w:space="0" w:color="auto"/>
        <w:bottom w:val="none" w:sz="0" w:space="0" w:color="auto"/>
        <w:right w:val="none" w:sz="0" w:space="0" w:color="auto"/>
      </w:divBdr>
    </w:div>
    <w:div w:id="1367566331">
      <w:bodyDiv w:val="1"/>
      <w:marLeft w:val="0"/>
      <w:marRight w:val="0"/>
      <w:marTop w:val="0"/>
      <w:marBottom w:val="0"/>
      <w:divBdr>
        <w:top w:val="none" w:sz="0" w:space="0" w:color="auto"/>
        <w:left w:val="none" w:sz="0" w:space="0" w:color="auto"/>
        <w:bottom w:val="none" w:sz="0" w:space="0" w:color="auto"/>
        <w:right w:val="none" w:sz="0" w:space="0" w:color="auto"/>
      </w:divBdr>
    </w:div>
    <w:div w:id="1383210489">
      <w:bodyDiv w:val="1"/>
      <w:marLeft w:val="0"/>
      <w:marRight w:val="0"/>
      <w:marTop w:val="0"/>
      <w:marBottom w:val="0"/>
      <w:divBdr>
        <w:top w:val="none" w:sz="0" w:space="0" w:color="auto"/>
        <w:left w:val="none" w:sz="0" w:space="0" w:color="auto"/>
        <w:bottom w:val="none" w:sz="0" w:space="0" w:color="auto"/>
        <w:right w:val="none" w:sz="0" w:space="0" w:color="auto"/>
      </w:divBdr>
    </w:div>
    <w:div w:id="1387414160">
      <w:bodyDiv w:val="1"/>
      <w:marLeft w:val="0"/>
      <w:marRight w:val="0"/>
      <w:marTop w:val="0"/>
      <w:marBottom w:val="0"/>
      <w:divBdr>
        <w:top w:val="none" w:sz="0" w:space="0" w:color="auto"/>
        <w:left w:val="none" w:sz="0" w:space="0" w:color="auto"/>
        <w:bottom w:val="none" w:sz="0" w:space="0" w:color="auto"/>
        <w:right w:val="none" w:sz="0" w:space="0" w:color="auto"/>
      </w:divBdr>
    </w:div>
    <w:div w:id="1417902465">
      <w:bodyDiv w:val="1"/>
      <w:marLeft w:val="0"/>
      <w:marRight w:val="0"/>
      <w:marTop w:val="0"/>
      <w:marBottom w:val="0"/>
      <w:divBdr>
        <w:top w:val="none" w:sz="0" w:space="0" w:color="auto"/>
        <w:left w:val="none" w:sz="0" w:space="0" w:color="auto"/>
        <w:bottom w:val="none" w:sz="0" w:space="0" w:color="auto"/>
        <w:right w:val="none" w:sz="0" w:space="0" w:color="auto"/>
      </w:divBdr>
    </w:div>
    <w:div w:id="1426344453">
      <w:bodyDiv w:val="1"/>
      <w:marLeft w:val="0"/>
      <w:marRight w:val="0"/>
      <w:marTop w:val="0"/>
      <w:marBottom w:val="0"/>
      <w:divBdr>
        <w:top w:val="none" w:sz="0" w:space="0" w:color="auto"/>
        <w:left w:val="none" w:sz="0" w:space="0" w:color="auto"/>
        <w:bottom w:val="none" w:sz="0" w:space="0" w:color="auto"/>
        <w:right w:val="none" w:sz="0" w:space="0" w:color="auto"/>
      </w:divBdr>
    </w:div>
    <w:div w:id="1428502034">
      <w:bodyDiv w:val="1"/>
      <w:marLeft w:val="0"/>
      <w:marRight w:val="0"/>
      <w:marTop w:val="0"/>
      <w:marBottom w:val="0"/>
      <w:divBdr>
        <w:top w:val="none" w:sz="0" w:space="0" w:color="auto"/>
        <w:left w:val="none" w:sz="0" w:space="0" w:color="auto"/>
        <w:bottom w:val="none" w:sz="0" w:space="0" w:color="auto"/>
        <w:right w:val="none" w:sz="0" w:space="0" w:color="auto"/>
      </w:divBdr>
    </w:div>
    <w:div w:id="1429236142">
      <w:bodyDiv w:val="1"/>
      <w:marLeft w:val="0"/>
      <w:marRight w:val="0"/>
      <w:marTop w:val="0"/>
      <w:marBottom w:val="0"/>
      <w:divBdr>
        <w:top w:val="none" w:sz="0" w:space="0" w:color="auto"/>
        <w:left w:val="none" w:sz="0" w:space="0" w:color="auto"/>
        <w:bottom w:val="none" w:sz="0" w:space="0" w:color="auto"/>
        <w:right w:val="none" w:sz="0" w:space="0" w:color="auto"/>
      </w:divBdr>
    </w:div>
    <w:div w:id="1432513182">
      <w:bodyDiv w:val="1"/>
      <w:marLeft w:val="0"/>
      <w:marRight w:val="0"/>
      <w:marTop w:val="0"/>
      <w:marBottom w:val="0"/>
      <w:divBdr>
        <w:top w:val="none" w:sz="0" w:space="0" w:color="auto"/>
        <w:left w:val="none" w:sz="0" w:space="0" w:color="auto"/>
        <w:bottom w:val="none" w:sz="0" w:space="0" w:color="auto"/>
        <w:right w:val="none" w:sz="0" w:space="0" w:color="auto"/>
      </w:divBdr>
    </w:div>
    <w:div w:id="1449809395">
      <w:bodyDiv w:val="1"/>
      <w:marLeft w:val="0"/>
      <w:marRight w:val="0"/>
      <w:marTop w:val="0"/>
      <w:marBottom w:val="0"/>
      <w:divBdr>
        <w:top w:val="none" w:sz="0" w:space="0" w:color="auto"/>
        <w:left w:val="none" w:sz="0" w:space="0" w:color="auto"/>
        <w:bottom w:val="none" w:sz="0" w:space="0" w:color="auto"/>
        <w:right w:val="none" w:sz="0" w:space="0" w:color="auto"/>
      </w:divBdr>
    </w:div>
    <w:div w:id="1451822295">
      <w:bodyDiv w:val="1"/>
      <w:marLeft w:val="0"/>
      <w:marRight w:val="0"/>
      <w:marTop w:val="0"/>
      <w:marBottom w:val="0"/>
      <w:divBdr>
        <w:top w:val="none" w:sz="0" w:space="0" w:color="auto"/>
        <w:left w:val="none" w:sz="0" w:space="0" w:color="auto"/>
        <w:bottom w:val="none" w:sz="0" w:space="0" w:color="auto"/>
        <w:right w:val="none" w:sz="0" w:space="0" w:color="auto"/>
      </w:divBdr>
    </w:div>
    <w:div w:id="1452285693">
      <w:bodyDiv w:val="1"/>
      <w:marLeft w:val="0"/>
      <w:marRight w:val="0"/>
      <w:marTop w:val="0"/>
      <w:marBottom w:val="0"/>
      <w:divBdr>
        <w:top w:val="none" w:sz="0" w:space="0" w:color="auto"/>
        <w:left w:val="none" w:sz="0" w:space="0" w:color="auto"/>
        <w:bottom w:val="none" w:sz="0" w:space="0" w:color="auto"/>
        <w:right w:val="none" w:sz="0" w:space="0" w:color="auto"/>
      </w:divBdr>
    </w:div>
    <w:div w:id="1488207396">
      <w:bodyDiv w:val="1"/>
      <w:marLeft w:val="0"/>
      <w:marRight w:val="0"/>
      <w:marTop w:val="0"/>
      <w:marBottom w:val="0"/>
      <w:divBdr>
        <w:top w:val="none" w:sz="0" w:space="0" w:color="auto"/>
        <w:left w:val="none" w:sz="0" w:space="0" w:color="auto"/>
        <w:bottom w:val="none" w:sz="0" w:space="0" w:color="auto"/>
        <w:right w:val="none" w:sz="0" w:space="0" w:color="auto"/>
      </w:divBdr>
    </w:div>
    <w:div w:id="1503355220">
      <w:bodyDiv w:val="1"/>
      <w:marLeft w:val="0"/>
      <w:marRight w:val="0"/>
      <w:marTop w:val="0"/>
      <w:marBottom w:val="0"/>
      <w:divBdr>
        <w:top w:val="none" w:sz="0" w:space="0" w:color="auto"/>
        <w:left w:val="none" w:sz="0" w:space="0" w:color="auto"/>
        <w:bottom w:val="none" w:sz="0" w:space="0" w:color="auto"/>
        <w:right w:val="none" w:sz="0" w:space="0" w:color="auto"/>
      </w:divBdr>
    </w:div>
    <w:div w:id="1511985749">
      <w:bodyDiv w:val="1"/>
      <w:marLeft w:val="0"/>
      <w:marRight w:val="0"/>
      <w:marTop w:val="0"/>
      <w:marBottom w:val="0"/>
      <w:divBdr>
        <w:top w:val="none" w:sz="0" w:space="0" w:color="auto"/>
        <w:left w:val="none" w:sz="0" w:space="0" w:color="auto"/>
        <w:bottom w:val="none" w:sz="0" w:space="0" w:color="auto"/>
        <w:right w:val="none" w:sz="0" w:space="0" w:color="auto"/>
      </w:divBdr>
    </w:div>
    <w:div w:id="1518353019">
      <w:bodyDiv w:val="1"/>
      <w:marLeft w:val="0"/>
      <w:marRight w:val="0"/>
      <w:marTop w:val="0"/>
      <w:marBottom w:val="0"/>
      <w:divBdr>
        <w:top w:val="none" w:sz="0" w:space="0" w:color="auto"/>
        <w:left w:val="none" w:sz="0" w:space="0" w:color="auto"/>
        <w:bottom w:val="none" w:sz="0" w:space="0" w:color="auto"/>
        <w:right w:val="none" w:sz="0" w:space="0" w:color="auto"/>
      </w:divBdr>
    </w:div>
    <w:div w:id="1540430196">
      <w:bodyDiv w:val="1"/>
      <w:marLeft w:val="0"/>
      <w:marRight w:val="0"/>
      <w:marTop w:val="0"/>
      <w:marBottom w:val="0"/>
      <w:divBdr>
        <w:top w:val="none" w:sz="0" w:space="0" w:color="auto"/>
        <w:left w:val="none" w:sz="0" w:space="0" w:color="auto"/>
        <w:bottom w:val="none" w:sz="0" w:space="0" w:color="auto"/>
        <w:right w:val="none" w:sz="0" w:space="0" w:color="auto"/>
      </w:divBdr>
    </w:div>
    <w:div w:id="1548179906">
      <w:bodyDiv w:val="1"/>
      <w:marLeft w:val="0"/>
      <w:marRight w:val="0"/>
      <w:marTop w:val="0"/>
      <w:marBottom w:val="0"/>
      <w:divBdr>
        <w:top w:val="none" w:sz="0" w:space="0" w:color="auto"/>
        <w:left w:val="none" w:sz="0" w:space="0" w:color="auto"/>
        <w:bottom w:val="none" w:sz="0" w:space="0" w:color="auto"/>
        <w:right w:val="none" w:sz="0" w:space="0" w:color="auto"/>
      </w:divBdr>
    </w:div>
    <w:div w:id="1566990396">
      <w:bodyDiv w:val="1"/>
      <w:marLeft w:val="0"/>
      <w:marRight w:val="0"/>
      <w:marTop w:val="0"/>
      <w:marBottom w:val="0"/>
      <w:divBdr>
        <w:top w:val="none" w:sz="0" w:space="0" w:color="auto"/>
        <w:left w:val="none" w:sz="0" w:space="0" w:color="auto"/>
        <w:bottom w:val="none" w:sz="0" w:space="0" w:color="auto"/>
        <w:right w:val="none" w:sz="0" w:space="0" w:color="auto"/>
      </w:divBdr>
    </w:div>
    <w:div w:id="1567447446">
      <w:bodyDiv w:val="1"/>
      <w:marLeft w:val="0"/>
      <w:marRight w:val="0"/>
      <w:marTop w:val="0"/>
      <w:marBottom w:val="0"/>
      <w:divBdr>
        <w:top w:val="none" w:sz="0" w:space="0" w:color="auto"/>
        <w:left w:val="none" w:sz="0" w:space="0" w:color="auto"/>
        <w:bottom w:val="none" w:sz="0" w:space="0" w:color="auto"/>
        <w:right w:val="none" w:sz="0" w:space="0" w:color="auto"/>
      </w:divBdr>
    </w:div>
    <w:div w:id="1568691425">
      <w:bodyDiv w:val="1"/>
      <w:marLeft w:val="0"/>
      <w:marRight w:val="0"/>
      <w:marTop w:val="0"/>
      <w:marBottom w:val="0"/>
      <w:divBdr>
        <w:top w:val="none" w:sz="0" w:space="0" w:color="auto"/>
        <w:left w:val="none" w:sz="0" w:space="0" w:color="auto"/>
        <w:bottom w:val="none" w:sz="0" w:space="0" w:color="auto"/>
        <w:right w:val="none" w:sz="0" w:space="0" w:color="auto"/>
      </w:divBdr>
    </w:div>
    <w:div w:id="1570383087">
      <w:bodyDiv w:val="1"/>
      <w:marLeft w:val="0"/>
      <w:marRight w:val="0"/>
      <w:marTop w:val="0"/>
      <w:marBottom w:val="0"/>
      <w:divBdr>
        <w:top w:val="none" w:sz="0" w:space="0" w:color="auto"/>
        <w:left w:val="none" w:sz="0" w:space="0" w:color="auto"/>
        <w:bottom w:val="none" w:sz="0" w:space="0" w:color="auto"/>
        <w:right w:val="none" w:sz="0" w:space="0" w:color="auto"/>
      </w:divBdr>
    </w:div>
    <w:div w:id="1588807475">
      <w:bodyDiv w:val="1"/>
      <w:marLeft w:val="0"/>
      <w:marRight w:val="0"/>
      <w:marTop w:val="0"/>
      <w:marBottom w:val="0"/>
      <w:divBdr>
        <w:top w:val="none" w:sz="0" w:space="0" w:color="auto"/>
        <w:left w:val="none" w:sz="0" w:space="0" w:color="auto"/>
        <w:bottom w:val="none" w:sz="0" w:space="0" w:color="auto"/>
        <w:right w:val="none" w:sz="0" w:space="0" w:color="auto"/>
      </w:divBdr>
    </w:div>
    <w:div w:id="1596471598">
      <w:bodyDiv w:val="1"/>
      <w:marLeft w:val="0"/>
      <w:marRight w:val="0"/>
      <w:marTop w:val="0"/>
      <w:marBottom w:val="0"/>
      <w:divBdr>
        <w:top w:val="none" w:sz="0" w:space="0" w:color="auto"/>
        <w:left w:val="none" w:sz="0" w:space="0" w:color="auto"/>
        <w:bottom w:val="none" w:sz="0" w:space="0" w:color="auto"/>
        <w:right w:val="none" w:sz="0" w:space="0" w:color="auto"/>
      </w:divBdr>
    </w:div>
    <w:div w:id="1601645834">
      <w:bodyDiv w:val="1"/>
      <w:marLeft w:val="0"/>
      <w:marRight w:val="0"/>
      <w:marTop w:val="0"/>
      <w:marBottom w:val="0"/>
      <w:divBdr>
        <w:top w:val="none" w:sz="0" w:space="0" w:color="auto"/>
        <w:left w:val="none" w:sz="0" w:space="0" w:color="auto"/>
        <w:bottom w:val="none" w:sz="0" w:space="0" w:color="auto"/>
        <w:right w:val="none" w:sz="0" w:space="0" w:color="auto"/>
      </w:divBdr>
    </w:div>
    <w:div w:id="1615018306">
      <w:bodyDiv w:val="1"/>
      <w:marLeft w:val="0"/>
      <w:marRight w:val="0"/>
      <w:marTop w:val="0"/>
      <w:marBottom w:val="0"/>
      <w:divBdr>
        <w:top w:val="none" w:sz="0" w:space="0" w:color="auto"/>
        <w:left w:val="none" w:sz="0" w:space="0" w:color="auto"/>
        <w:bottom w:val="none" w:sz="0" w:space="0" w:color="auto"/>
        <w:right w:val="none" w:sz="0" w:space="0" w:color="auto"/>
      </w:divBdr>
    </w:div>
    <w:div w:id="1617517541">
      <w:bodyDiv w:val="1"/>
      <w:marLeft w:val="0"/>
      <w:marRight w:val="0"/>
      <w:marTop w:val="0"/>
      <w:marBottom w:val="0"/>
      <w:divBdr>
        <w:top w:val="none" w:sz="0" w:space="0" w:color="auto"/>
        <w:left w:val="none" w:sz="0" w:space="0" w:color="auto"/>
        <w:bottom w:val="none" w:sz="0" w:space="0" w:color="auto"/>
        <w:right w:val="none" w:sz="0" w:space="0" w:color="auto"/>
      </w:divBdr>
    </w:div>
    <w:div w:id="1626236479">
      <w:bodyDiv w:val="1"/>
      <w:marLeft w:val="0"/>
      <w:marRight w:val="0"/>
      <w:marTop w:val="0"/>
      <w:marBottom w:val="0"/>
      <w:divBdr>
        <w:top w:val="none" w:sz="0" w:space="0" w:color="auto"/>
        <w:left w:val="none" w:sz="0" w:space="0" w:color="auto"/>
        <w:bottom w:val="none" w:sz="0" w:space="0" w:color="auto"/>
        <w:right w:val="none" w:sz="0" w:space="0" w:color="auto"/>
      </w:divBdr>
    </w:div>
    <w:div w:id="1631402341">
      <w:bodyDiv w:val="1"/>
      <w:marLeft w:val="0"/>
      <w:marRight w:val="0"/>
      <w:marTop w:val="0"/>
      <w:marBottom w:val="0"/>
      <w:divBdr>
        <w:top w:val="none" w:sz="0" w:space="0" w:color="auto"/>
        <w:left w:val="none" w:sz="0" w:space="0" w:color="auto"/>
        <w:bottom w:val="none" w:sz="0" w:space="0" w:color="auto"/>
        <w:right w:val="none" w:sz="0" w:space="0" w:color="auto"/>
      </w:divBdr>
    </w:div>
    <w:div w:id="1634289400">
      <w:bodyDiv w:val="1"/>
      <w:marLeft w:val="0"/>
      <w:marRight w:val="0"/>
      <w:marTop w:val="0"/>
      <w:marBottom w:val="0"/>
      <w:divBdr>
        <w:top w:val="none" w:sz="0" w:space="0" w:color="auto"/>
        <w:left w:val="none" w:sz="0" w:space="0" w:color="auto"/>
        <w:bottom w:val="none" w:sz="0" w:space="0" w:color="auto"/>
        <w:right w:val="none" w:sz="0" w:space="0" w:color="auto"/>
      </w:divBdr>
    </w:div>
    <w:div w:id="1634553880">
      <w:bodyDiv w:val="1"/>
      <w:marLeft w:val="0"/>
      <w:marRight w:val="0"/>
      <w:marTop w:val="0"/>
      <w:marBottom w:val="0"/>
      <w:divBdr>
        <w:top w:val="none" w:sz="0" w:space="0" w:color="auto"/>
        <w:left w:val="none" w:sz="0" w:space="0" w:color="auto"/>
        <w:bottom w:val="none" w:sz="0" w:space="0" w:color="auto"/>
        <w:right w:val="none" w:sz="0" w:space="0" w:color="auto"/>
      </w:divBdr>
    </w:div>
    <w:div w:id="1636914350">
      <w:bodyDiv w:val="1"/>
      <w:marLeft w:val="0"/>
      <w:marRight w:val="0"/>
      <w:marTop w:val="0"/>
      <w:marBottom w:val="0"/>
      <w:divBdr>
        <w:top w:val="none" w:sz="0" w:space="0" w:color="auto"/>
        <w:left w:val="none" w:sz="0" w:space="0" w:color="auto"/>
        <w:bottom w:val="none" w:sz="0" w:space="0" w:color="auto"/>
        <w:right w:val="none" w:sz="0" w:space="0" w:color="auto"/>
      </w:divBdr>
    </w:div>
    <w:div w:id="1654144663">
      <w:bodyDiv w:val="1"/>
      <w:marLeft w:val="0"/>
      <w:marRight w:val="0"/>
      <w:marTop w:val="0"/>
      <w:marBottom w:val="0"/>
      <w:divBdr>
        <w:top w:val="none" w:sz="0" w:space="0" w:color="auto"/>
        <w:left w:val="none" w:sz="0" w:space="0" w:color="auto"/>
        <w:bottom w:val="none" w:sz="0" w:space="0" w:color="auto"/>
        <w:right w:val="none" w:sz="0" w:space="0" w:color="auto"/>
      </w:divBdr>
    </w:div>
    <w:div w:id="1654212676">
      <w:bodyDiv w:val="1"/>
      <w:marLeft w:val="0"/>
      <w:marRight w:val="0"/>
      <w:marTop w:val="0"/>
      <w:marBottom w:val="0"/>
      <w:divBdr>
        <w:top w:val="none" w:sz="0" w:space="0" w:color="auto"/>
        <w:left w:val="none" w:sz="0" w:space="0" w:color="auto"/>
        <w:bottom w:val="none" w:sz="0" w:space="0" w:color="auto"/>
        <w:right w:val="none" w:sz="0" w:space="0" w:color="auto"/>
      </w:divBdr>
    </w:div>
    <w:div w:id="1660034597">
      <w:bodyDiv w:val="1"/>
      <w:marLeft w:val="0"/>
      <w:marRight w:val="0"/>
      <w:marTop w:val="0"/>
      <w:marBottom w:val="0"/>
      <w:divBdr>
        <w:top w:val="none" w:sz="0" w:space="0" w:color="auto"/>
        <w:left w:val="none" w:sz="0" w:space="0" w:color="auto"/>
        <w:bottom w:val="none" w:sz="0" w:space="0" w:color="auto"/>
        <w:right w:val="none" w:sz="0" w:space="0" w:color="auto"/>
      </w:divBdr>
    </w:div>
    <w:div w:id="1682584263">
      <w:bodyDiv w:val="1"/>
      <w:marLeft w:val="0"/>
      <w:marRight w:val="0"/>
      <w:marTop w:val="0"/>
      <w:marBottom w:val="0"/>
      <w:divBdr>
        <w:top w:val="none" w:sz="0" w:space="0" w:color="auto"/>
        <w:left w:val="none" w:sz="0" w:space="0" w:color="auto"/>
        <w:bottom w:val="none" w:sz="0" w:space="0" w:color="auto"/>
        <w:right w:val="none" w:sz="0" w:space="0" w:color="auto"/>
      </w:divBdr>
    </w:div>
    <w:div w:id="1684044460">
      <w:bodyDiv w:val="1"/>
      <w:marLeft w:val="0"/>
      <w:marRight w:val="0"/>
      <w:marTop w:val="0"/>
      <w:marBottom w:val="0"/>
      <w:divBdr>
        <w:top w:val="none" w:sz="0" w:space="0" w:color="auto"/>
        <w:left w:val="none" w:sz="0" w:space="0" w:color="auto"/>
        <w:bottom w:val="none" w:sz="0" w:space="0" w:color="auto"/>
        <w:right w:val="none" w:sz="0" w:space="0" w:color="auto"/>
      </w:divBdr>
    </w:div>
    <w:div w:id="1686127727">
      <w:bodyDiv w:val="1"/>
      <w:marLeft w:val="0"/>
      <w:marRight w:val="0"/>
      <w:marTop w:val="0"/>
      <w:marBottom w:val="0"/>
      <w:divBdr>
        <w:top w:val="none" w:sz="0" w:space="0" w:color="auto"/>
        <w:left w:val="none" w:sz="0" w:space="0" w:color="auto"/>
        <w:bottom w:val="none" w:sz="0" w:space="0" w:color="auto"/>
        <w:right w:val="none" w:sz="0" w:space="0" w:color="auto"/>
      </w:divBdr>
    </w:div>
    <w:div w:id="1688218041">
      <w:bodyDiv w:val="1"/>
      <w:marLeft w:val="0"/>
      <w:marRight w:val="0"/>
      <w:marTop w:val="0"/>
      <w:marBottom w:val="0"/>
      <w:divBdr>
        <w:top w:val="none" w:sz="0" w:space="0" w:color="auto"/>
        <w:left w:val="none" w:sz="0" w:space="0" w:color="auto"/>
        <w:bottom w:val="none" w:sz="0" w:space="0" w:color="auto"/>
        <w:right w:val="none" w:sz="0" w:space="0" w:color="auto"/>
      </w:divBdr>
    </w:div>
    <w:div w:id="1690334416">
      <w:bodyDiv w:val="1"/>
      <w:marLeft w:val="0"/>
      <w:marRight w:val="0"/>
      <w:marTop w:val="0"/>
      <w:marBottom w:val="0"/>
      <w:divBdr>
        <w:top w:val="none" w:sz="0" w:space="0" w:color="auto"/>
        <w:left w:val="none" w:sz="0" w:space="0" w:color="auto"/>
        <w:bottom w:val="none" w:sz="0" w:space="0" w:color="auto"/>
        <w:right w:val="none" w:sz="0" w:space="0" w:color="auto"/>
      </w:divBdr>
    </w:div>
    <w:div w:id="1701852794">
      <w:bodyDiv w:val="1"/>
      <w:marLeft w:val="0"/>
      <w:marRight w:val="0"/>
      <w:marTop w:val="0"/>
      <w:marBottom w:val="0"/>
      <w:divBdr>
        <w:top w:val="none" w:sz="0" w:space="0" w:color="auto"/>
        <w:left w:val="none" w:sz="0" w:space="0" w:color="auto"/>
        <w:bottom w:val="none" w:sz="0" w:space="0" w:color="auto"/>
        <w:right w:val="none" w:sz="0" w:space="0" w:color="auto"/>
      </w:divBdr>
    </w:div>
    <w:div w:id="1717587907">
      <w:bodyDiv w:val="1"/>
      <w:marLeft w:val="0"/>
      <w:marRight w:val="0"/>
      <w:marTop w:val="0"/>
      <w:marBottom w:val="0"/>
      <w:divBdr>
        <w:top w:val="none" w:sz="0" w:space="0" w:color="auto"/>
        <w:left w:val="none" w:sz="0" w:space="0" w:color="auto"/>
        <w:bottom w:val="none" w:sz="0" w:space="0" w:color="auto"/>
        <w:right w:val="none" w:sz="0" w:space="0" w:color="auto"/>
      </w:divBdr>
    </w:div>
    <w:div w:id="1721251163">
      <w:bodyDiv w:val="1"/>
      <w:marLeft w:val="0"/>
      <w:marRight w:val="0"/>
      <w:marTop w:val="0"/>
      <w:marBottom w:val="0"/>
      <w:divBdr>
        <w:top w:val="none" w:sz="0" w:space="0" w:color="auto"/>
        <w:left w:val="none" w:sz="0" w:space="0" w:color="auto"/>
        <w:bottom w:val="none" w:sz="0" w:space="0" w:color="auto"/>
        <w:right w:val="none" w:sz="0" w:space="0" w:color="auto"/>
      </w:divBdr>
    </w:div>
    <w:div w:id="1731343194">
      <w:bodyDiv w:val="1"/>
      <w:marLeft w:val="0"/>
      <w:marRight w:val="0"/>
      <w:marTop w:val="0"/>
      <w:marBottom w:val="0"/>
      <w:divBdr>
        <w:top w:val="none" w:sz="0" w:space="0" w:color="auto"/>
        <w:left w:val="none" w:sz="0" w:space="0" w:color="auto"/>
        <w:bottom w:val="none" w:sz="0" w:space="0" w:color="auto"/>
        <w:right w:val="none" w:sz="0" w:space="0" w:color="auto"/>
      </w:divBdr>
    </w:div>
    <w:div w:id="1793666272">
      <w:bodyDiv w:val="1"/>
      <w:marLeft w:val="0"/>
      <w:marRight w:val="0"/>
      <w:marTop w:val="0"/>
      <w:marBottom w:val="0"/>
      <w:divBdr>
        <w:top w:val="none" w:sz="0" w:space="0" w:color="auto"/>
        <w:left w:val="none" w:sz="0" w:space="0" w:color="auto"/>
        <w:bottom w:val="none" w:sz="0" w:space="0" w:color="auto"/>
        <w:right w:val="none" w:sz="0" w:space="0" w:color="auto"/>
      </w:divBdr>
    </w:div>
    <w:div w:id="1797020202">
      <w:bodyDiv w:val="1"/>
      <w:marLeft w:val="0"/>
      <w:marRight w:val="0"/>
      <w:marTop w:val="0"/>
      <w:marBottom w:val="0"/>
      <w:divBdr>
        <w:top w:val="none" w:sz="0" w:space="0" w:color="auto"/>
        <w:left w:val="none" w:sz="0" w:space="0" w:color="auto"/>
        <w:bottom w:val="none" w:sz="0" w:space="0" w:color="auto"/>
        <w:right w:val="none" w:sz="0" w:space="0" w:color="auto"/>
      </w:divBdr>
    </w:div>
    <w:div w:id="1799571112">
      <w:bodyDiv w:val="1"/>
      <w:marLeft w:val="0"/>
      <w:marRight w:val="0"/>
      <w:marTop w:val="0"/>
      <w:marBottom w:val="0"/>
      <w:divBdr>
        <w:top w:val="none" w:sz="0" w:space="0" w:color="auto"/>
        <w:left w:val="none" w:sz="0" w:space="0" w:color="auto"/>
        <w:bottom w:val="none" w:sz="0" w:space="0" w:color="auto"/>
        <w:right w:val="none" w:sz="0" w:space="0" w:color="auto"/>
      </w:divBdr>
    </w:div>
    <w:div w:id="1800369311">
      <w:bodyDiv w:val="1"/>
      <w:marLeft w:val="0"/>
      <w:marRight w:val="0"/>
      <w:marTop w:val="0"/>
      <w:marBottom w:val="0"/>
      <w:divBdr>
        <w:top w:val="none" w:sz="0" w:space="0" w:color="auto"/>
        <w:left w:val="none" w:sz="0" w:space="0" w:color="auto"/>
        <w:bottom w:val="none" w:sz="0" w:space="0" w:color="auto"/>
        <w:right w:val="none" w:sz="0" w:space="0" w:color="auto"/>
      </w:divBdr>
    </w:div>
    <w:div w:id="1806967936">
      <w:bodyDiv w:val="1"/>
      <w:marLeft w:val="0"/>
      <w:marRight w:val="0"/>
      <w:marTop w:val="0"/>
      <w:marBottom w:val="0"/>
      <w:divBdr>
        <w:top w:val="none" w:sz="0" w:space="0" w:color="auto"/>
        <w:left w:val="none" w:sz="0" w:space="0" w:color="auto"/>
        <w:bottom w:val="none" w:sz="0" w:space="0" w:color="auto"/>
        <w:right w:val="none" w:sz="0" w:space="0" w:color="auto"/>
      </w:divBdr>
    </w:div>
    <w:div w:id="1807241745">
      <w:bodyDiv w:val="1"/>
      <w:marLeft w:val="0"/>
      <w:marRight w:val="0"/>
      <w:marTop w:val="0"/>
      <w:marBottom w:val="0"/>
      <w:divBdr>
        <w:top w:val="none" w:sz="0" w:space="0" w:color="auto"/>
        <w:left w:val="none" w:sz="0" w:space="0" w:color="auto"/>
        <w:bottom w:val="none" w:sz="0" w:space="0" w:color="auto"/>
        <w:right w:val="none" w:sz="0" w:space="0" w:color="auto"/>
      </w:divBdr>
    </w:div>
    <w:div w:id="1824852976">
      <w:bodyDiv w:val="1"/>
      <w:marLeft w:val="0"/>
      <w:marRight w:val="0"/>
      <w:marTop w:val="0"/>
      <w:marBottom w:val="0"/>
      <w:divBdr>
        <w:top w:val="none" w:sz="0" w:space="0" w:color="auto"/>
        <w:left w:val="none" w:sz="0" w:space="0" w:color="auto"/>
        <w:bottom w:val="none" w:sz="0" w:space="0" w:color="auto"/>
        <w:right w:val="none" w:sz="0" w:space="0" w:color="auto"/>
      </w:divBdr>
    </w:div>
    <w:div w:id="1837189875">
      <w:bodyDiv w:val="1"/>
      <w:marLeft w:val="0"/>
      <w:marRight w:val="0"/>
      <w:marTop w:val="0"/>
      <w:marBottom w:val="0"/>
      <w:divBdr>
        <w:top w:val="none" w:sz="0" w:space="0" w:color="auto"/>
        <w:left w:val="none" w:sz="0" w:space="0" w:color="auto"/>
        <w:bottom w:val="none" w:sz="0" w:space="0" w:color="auto"/>
        <w:right w:val="none" w:sz="0" w:space="0" w:color="auto"/>
      </w:divBdr>
    </w:div>
    <w:div w:id="1842969920">
      <w:bodyDiv w:val="1"/>
      <w:marLeft w:val="0"/>
      <w:marRight w:val="0"/>
      <w:marTop w:val="0"/>
      <w:marBottom w:val="0"/>
      <w:divBdr>
        <w:top w:val="none" w:sz="0" w:space="0" w:color="auto"/>
        <w:left w:val="none" w:sz="0" w:space="0" w:color="auto"/>
        <w:bottom w:val="none" w:sz="0" w:space="0" w:color="auto"/>
        <w:right w:val="none" w:sz="0" w:space="0" w:color="auto"/>
      </w:divBdr>
    </w:div>
    <w:div w:id="1860268342">
      <w:bodyDiv w:val="1"/>
      <w:marLeft w:val="0"/>
      <w:marRight w:val="0"/>
      <w:marTop w:val="0"/>
      <w:marBottom w:val="0"/>
      <w:divBdr>
        <w:top w:val="none" w:sz="0" w:space="0" w:color="auto"/>
        <w:left w:val="none" w:sz="0" w:space="0" w:color="auto"/>
        <w:bottom w:val="none" w:sz="0" w:space="0" w:color="auto"/>
        <w:right w:val="none" w:sz="0" w:space="0" w:color="auto"/>
      </w:divBdr>
    </w:div>
    <w:div w:id="1864586245">
      <w:bodyDiv w:val="1"/>
      <w:marLeft w:val="0"/>
      <w:marRight w:val="0"/>
      <w:marTop w:val="0"/>
      <w:marBottom w:val="0"/>
      <w:divBdr>
        <w:top w:val="none" w:sz="0" w:space="0" w:color="auto"/>
        <w:left w:val="none" w:sz="0" w:space="0" w:color="auto"/>
        <w:bottom w:val="none" w:sz="0" w:space="0" w:color="auto"/>
        <w:right w:val="none" w:sz="0" w:space="0" w:color="auto"/>
      </w:divBdr>
    </w:div>
    <w:div w:id="1876235454">
      <w:bodyDiv w:val="1"/>
      <w:marLeft w:val="0"/>
      <w:marRight w:val="0"/>
      <w:marTop w:val="0"/>
      <w:marBottom w:val="0"/>
      <w:divBdr>
        <w:top w:val="none" w:sz="0" w:space="0" w:color="auto"/>
        <w:left w:val="none" w:sz="0" w:space="0" w:color="auto"/>
        <w:bottom w:val="none" w:sz="0" w:space="0" w:color="auto"/>
        <w:right w:val="none" w:sz="0" w:space="0" w:color="auto"/>
      </w:divBdr>
    </w:div>
    <w:div w:id="1877352233">
      <w:bodyDiv w:val="1"/>
      <w:marLeft w:val="0"/>
      <w:marRight w:val="0"/>
      <w:marTop w:val="0"/>
      <w:marBottom w:val="0"/>
      <w:divBdr>
        <w:top w:val="none" w:sz="0" w:space="0" w:color="auto"/>
        <w:left w:val="none" w:sz="0" w:space="0" w:color="auto"/>
        <w:bottom w:val="none" w:sz="0" w:space="0" w:color="auto"/>
        <w:right w:val="none" w:sz="0" w:space="0" w:color="auto"/>
      </w:divBdr>
    </w:div>
    <w:div w:id="1910532369">
      <w:bodyDiv w:val="1"/>
      <w:marLeft w:val="0"/>
      <w:marRight w:val="0"/>
      <w:marTop w:val="0"/>
      <w:marBottom w:val="0"/>
      <w:divBdr>
        <w:top w:val="none" w:sz="0" w:space="0" w:color="auto"/>
        <w:left w:val="none" w:sz="0" w:space="0" w:color="auto"/>
        <w:bottom w:val="none" w:sz="0" w:space="0" w:color="auto"/>
        <w:right w:val="none" w:sz="0" w:space="0" w:color="auto"/>
      </w:divBdr>
    </w:div>
    <w:div w:id="1926449412">
      <w:bodyDiv w:val="1"/>
      <w:marLeft w:val="0"/>
      <w:marRight w:val="0"/>
      <w:marTop w:val="0"/>
      <w:marBottom w:val="0"/>
      <w:divBdr>
        <w:top w:val="none" w:sz="0" w:space="0" w:color="auto"/>
        <w:left w:val="none" w:sz="0" w:space="0" w:color="auto"/>
        <w:bottom w:val="none" w:sz="0" w:space="0" w:color="auto"/>
        <w:right w:val="none" w:sz="0" w:space="0" w:color="auto"/>
      </w:divBdr>
    </w:div>
    <w:div w:id="1935165756">
      <w:bodyDiv w:val="1"/>
      <w:marLeft w:val="0"/>
      <w:marRight w:val="0"/>
      <w:marTop w:val="0"/>
      <w:marBottom w:val="0"/>
      <w:divBdr>
        <w:top w:val="none" w:sz="0" w:space="0" w:color="auto"/>
        <w:left w:val="none" w:sz="0" w:space="0" w:color="auto"/>
        <w:bottom w:val="none" w:sz="0" w:space="0" w:color="auto"/>
        <w:right w:val="none" w:sz="0" w:space="0" w:color="auto"/>
      </w:divBdr>
    </w:div>
    <w:div w:id="1937053687">
      <w:bodyDiv w:val="1"/>
      <w:marLeft w:val="0"/>
      <w:marRight w:val="0"/>
      <w:marTop w:val="0"/>
      <w:marBottom w:val="0"/>
      <w:divBdr>
        <w:top w:val="none" w:sz="0" w:space="0" w:color="auto"/>
        <w:left w:val="none" w:sz="0" w:space="0" w:color="auto"/>
        <w:bottom w:val="none" w:sz="0" w:space="0" w:color="auto"/>
        <w:right w:val="none" w:sz="0" w:space="0" w:color="auto"/>
      </w:divBdr>
    </w:div>
    <w:div w:id="1942646055">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9292716">
      <w:bodyDiv w:val="1"/>
      <w:marLeft w:val="0"/>
      <w:marRight w:val="0"/>
      <w:marTop w:val="0"/>
      <w:marBottom w:val="0"/>
      <w:divBdr>
        <w:top w:val="none" w:sz="0" w:space="0" w:color="auto"/>
        <w:left w:val="none" w:sz="0" w:space="0" w:color="auto"/>
        <w:bottom w:val="none" w:sz="0" w:space="0" w:color="auto"/>
        <w:right w:val="none" w:sz="0" w:space="0" w:color="auto"/>
      </w:divBdr>
    </w:div>
    <w:div w:id="1963072025">
      <w:bodyDiv w:val="1"/>
      <w:marLeft w:val="0"/>
      <w:marRight w:val="0"/>
      <w:marTop w:val="0"/>
      <w:marBottom w:val="0"/>
      <w:divBdr>
        <w:top w:val="none" w:sz="0" w:space="0" w:color="auto"/>
        <w:left w:val="none" w:sz="0" w:space="0" w:color="auto"/>
        <w:bottom w:val="none" w:sz="0" w:space="0" w:color="auto"/>
        <w:right w:val="none" w:sz="0" w:space="0" w:color="auto"/>
      </w:divBdr>
    </w:div>
    <w:div w:id="1971129394">
      <w:bodyDiv w:val="1"/>
      <w:marLeft w:val="0"/>
      <w:marRight w:val="0"/>
      <w:marTop w:val="0"/>
      <w:marBottom w:val="0"/>
      <w:divBdr>
        <w:top w:val="none" w:sz="0" w:space="0" w:color="auto"/>
        <w:left w:val="none" w:sz="0" w:space="0" w:color="auto"/>
        <w:bottom w:val="none" w:sz="0" w:space="0" w:color="auto"/>
        <w:right w:val="none" w:sz="0" w:space="0" w:color="auto"/>
      </w:divBdr>
    </w:div>
    <w:div w:id="1988244015">
      <w:bodyDiv w:val="1"/>
      <w:marLeft w:val="0"/>
      <w:marRight w:val="0"/>
      <w:marTop w:val="0"/>
      <w:marBottom w:val="0"/>
      <w:divBdr>
        <w:top w:val="none" w:sz="0" w:space="0" w:color="auto"/>
        <w:left w:val="none" w:sz="0" w:space="0" w:color="auto"/>
        <w:bottom w:val="none" w:sz="0" w:space="0" w:color="auto"/>
        <w:right w:val="none" w:sz="0" w:space="0" w:color="auto"/>
      </w:divBdr>
    </w:div>
    <w:div w:id="1994404403">
      <w:bodyDiv w:val="1"/>
      <w:marLeft w:val="0"/>
      <w:marRight w:val="0"/>
      <w:marTop w:val="0"/>
      <w:marBottom w:val="0"/>
      <w:divBdr>
        <w:top w:val="none" w:sz="0" w:space="0" w:color="auto"/>
        <w:left w:val="none" w:sz="0" w:space="0" w:color="auto"/>
        <w:bottom w:val="none" w:sz="0" w:space="0" w:color="auto"/>
        <w:right w:val="none" w:sz="0" w:space="0" w:color="auto"/>
      </w:divBdr>
    </w:div>
    <w:div w:id="1996251781">
      <w:bodyDiv w:val="1"/>
      <w:marLeft w:val="0"/>
      <w:marRight w:val="0"/>
      <w:marTop w:val="0"/>
      <w:marBottom w:val="0"/>
      <w:divBdr>
        <w:top w:val="none" w:sz="0" w:space="0" w:color="auto"/>
        <w:left w:val="none" w:sz="0" w:space="0" w:color="auto"/>
        <w:bottom w:val="none" w:sz="0" w:space="0" w:color="auto"/>
        <w:right w:val="none" w:sz="0" w:space="0" w:color="auto"/>
      </w:divBdr>
    </w:div>
    <w:div w:id="2008051171">
      <w:bodyDiv w:val="1"/>
      <w:marLeft w:val="0"/>
      <w:marRight w:val="0"/>
      <w:marTop w:val="0"/>
      <w:marBottom w:val="0"/>
      <w:divBdr>
        <w:top w:val="none" w:sz="0" w:space="0" w:color="auto"/>
        <w:left w:val="none" w:sz="0" w:space="0" w:color="auto"/>
        <w:bottom w:val="none" w:sz="0" w:space="0" w:color="auto"/>
        <w:right w:val="none" w:sz="0" w:space="0" w:color="auto"/>
      </w:divBdr>
    </w:div>
    <w:div w:id="2037801908">
      <w:bodyDiv w:val="1"/>
      <w:marLeft w:val="0"/>
      <w:marRight w:val="0"/>
      <w:marTop w:val="0"/>
      <w:marBottom w:val="0"/>
      <w:divBdr>
        <w:top w:val="none" w:sz="0" w:space="0" w:color="auto"/>
        <w:left w:val="none" w:sz="0" w:space="0" w:color="auto"/>
        <w:bottom w:val="none" w:sz="0" w:space="0" w:color="auto"/>
        <w:right w:val="none" w:sz="0" w:space="0" w:color="auto"/>
      </w:divBdr>
    </w:div>
    <w:div w:id="2042396658">
      <w:bodyDiv w:val="1"/>
      <w:marLeft w:val="0"/>
      <w:marRight w:val="0"/>
      <w:marTop w:val="0"/>
      <w:marBottom w:val="0"/>
      <w:divBdr>
        <w:top w:val="none" w:sz="0" w:space="0" w:color="auto"/>
        <w:left w:val="none" w:sz="0" w:space="0" w:color="auto"/>
        <w:bottom w:val="none" w:sz="0" w:space="0" w:color="auto"/>
        <w:right w:val="none" w:sz="0" w:space="0" w:color="auto"/>
      </w:divBdr>
    </w:div>
    <w:div w:id="2045400926">
      <w:bodyDiv w:val="1"/>
      <w:marLeft w:val="0"/>
      <w:marRight w:val="0"/>
      <w:marTop w:val="0"/>
      <w:marBottom w:val="0"/>
      <w:divBdr>
        <w:top w:val="none" w:sz="0" w:space="0" w:color="auto"/>
        <w:left w:val="none" w:sz="0" w:space="0" w:color="auto"/>
        <w:bottom w:val="none" w:sz="0" w:space="0" w:color="auto"/>
        <w:right w:val="none" w:sz="0" w:space="0" w:color="auto"/>
      </w:divBdr>
    </w:div>
    <w:div w:id="2049447795">
      <w:bodyDiv w:val="1"/>
      <w:marLeft w:val="0"/>
      <w:marRight w:val="0"/>
      <w:marTop w:val="0"/>
      <w:marBottom w:val="0"/>
      <w:divBdr>
        <w:top w:val="none" w:sz="0" w:space="0" w:color="auto"/>
        <w:left w:val="none" w:sz="0" w:space="0" w:color="auto"/>
        <w:bottom w:val="none" w:sz="0" w:space="0" w:color="auto"/>
        <w:right w:val="none" w:sz="0" w:space="0" w:color="auto"/>
      </w:divBdr>
    </w:div>
    <w:div w:id="2059476152">
      <w:bodyDiv w:val="1"/>
      <w:marLeft w:val="0"/>
      <w:marRight w:val="0"/>
      <w:marTop w:val="0"/>
      <w:marBottom w:val="0"/>
      <w:divBdr>
        <w:top w:val="none" w:sz="0" w:space="0" w:color="auto"/>
        <w:left w:val="none" w:sz="0" w:space="0" w:color="auto"/>
        <w:bottom w:val="none" w:sz="0" w:space="0" w:color="auto"/>
        <w:right w:val="none" w:sz="0" w:space="0" w:color="auto"/>
      </w:divBdr>
    </w:div>
    <w:div w:id="2077166692">
      <w:bodyDiv w:val="1"/>
      <w:marLeft w:val="0"/>
      <w:marRight w:val="0"/>
      <w:marTop w:val="0"/>
      <w:marBottom w:val="0"/>
      <w:divBdr>
        <w:top w:val="none" w:sz="0" w:space="0" w:color="auto"/>
        <w:left w:val="none" w:sz="0" w:space="0" w:color="auto"/>
        <w:bottom w:val="none" w:sz="0" w:space="0" w:color="auto"/>
        <w:right w:val="none" w:sz="0" w:space="0" w:color="auto"/>
      </w:divBdr>
    </w:div>
    <w:div w:id="2078432278">
      <w:bodyDiv w:val="1"/>
      <w:marLeft w:val="0"/>
      <w:marRight w:val="0"/>
      <w:marTop w:val="0"/>
      <w:marBottom w:val="0"/>
      <w:divBdr>
        <w:top w:val="none" w:sz="0" w:space="0" w:color="auto"/>
        <w:left w:val="none" w:sz="0" w:space="0" w:color="auto"/>
        <w:bottom w:val="none" w:sz="0" w:space="0" w:color="auto"/>
        <w:right w:val="none" w:sz="0" w:space="0" w:color="auto"/>
      </w:divBdr>
    </w:div>
    <w:div w:id="2082673936">
      <w:bodyDiv w:val="1"/>
      <w:marLeft w:val="0"/>
      <w:marRight w:val="0"/>
      <w:marTop w:val="0"/>
      <w:marBottom w:val="0"/>
      <w:divBdr>
        <w:top w:val="none" w:sz="0" w:space="0" w:color="auto"/>
        <w:left w:val="none" w:sz="0" w:space="0" w:color="auto"/>
        <w:bottom w:val="none" w:sz="0" w:space="0" w:color="auto"/>
        <w:right w:val="none" w:sz="0" w:space="0" w:color="auto"/>
      </w:divBdr>
    </w:div>
    <w:div w:id="2085251679">
      <w:bodyDiv w:val="1"/>
      <w:marLeft w:val="0"/>
      <w:marRight w:val="0"/>
      <w:marTop w:val="0"/>
      <w:marBottom w:val="0"/>
      <w:divBdr>
        <w:top w:val="none" w:sz="0" w:space="0" w:color="auto"/>
        <w:left w:val="none" w:sz="0" w:space="0" w:color="auto"/>
        <w:bottom w:val="none" w:sz="0" w:space="0" w:color="auto"/>
        <w:right w:val="none" w:sz="0" w:space="0" w:color="auto"/>
      </w:divBdr>
    </w:div>
    <w:div w:id="2106415296">
      <w:bodyDiv w:val="1"/>
      <w:marLeft w:val="0"/>
      <w:marRight w:val="0"/>
      <w:marTop w:val="0"/>
      <w:marBottom w:val="0"/>
      <w:divBdr>
        <w:top w:val="none" w:sz="0" w:space="0" w:color="auto"/>
        <w:left w:val="none" w:sz="0" w:space="0" w:color="auto"/>
        <w:bottom w:val="none" w:sz="0" w:space="0" w:color="auto"/>
        <w:right w:val="none" w:sz="0" w:space="0" w:color="auto"/>
      </w:divBdr>
    </w:div>
    <w:div w:id="2126121387">
      <w:bodyDiv w:val="1"/>
      <w:marLeft w:val="0"/>
      <w:marRight w:val="0"/>
      <w:marTop w:val="0"/>
      <w:marBottom w:val="0"/>
      <w:divBdr>
        <w:top w:val="none" w:sz="0" w:space="0" w:color="auto"/>
        <w:left w:val="none" w:sz="0" w:space="0" w:color="auto"/>
        <w:bottom w:val="none" w:sz="0" w:space="0" w:color="auto"/>
        <w:right w:val="none" w:sz="0" w:space="0" w:color="auto"/>
      </w:divBdr>
    </w:div>
    <w:div w:id="2129541265">
      <w:bodyDiv w:val="1"/>
      <w:marLeft w:val="0"/>
      <w:marRight w:val="0"/>
      <w:marTop w:val="0"/>
      <w:marBottom w:val="0"/>
      <w:divBdr>
        <w:top w:val="none" w:sz="0" w:space="0" w:color="auto"/>
        <w:left w:val="none" w:sz="0" w:space="0" w:color="auto"/>
        <w:bottom w:val="none" w:sz="0" w:space="0" w:color="auto"/>
        <w:right w:val="none" w:sz="0" w:space="0" w:color="auto"/>
      </w:divBdr>
    </w:div>
    <w:div w:id="21347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9.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4.xml"/><Relationship Id="rId47" Type="http://schemas.openxmlformats.org/officeDocument/2006/relationships/hyperlink" Target="mailto:comunicacionsocial@inegi.org.mx" TargetMode="External"/><Relationship Id="rId50" Type="http://schemas.openxmlformats.org/officeDocument/2006/relationships/hyperlink" Target="https://www.facebook.com/INEGIInforma/" TargetMode="External"/><Relationship Id="rId55" Type="http://schemas.openxmlformats.org/officeDocument/2006/relationships/image" Target="media/image5.jpeg"/><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image" Target="media/image1.png"/><Relationship Id="rId45" Type="http://schemas.openxmlformats.org/officeDocument/2006/relationships/hyperlink" Target="https://www.inegi.org.mx/programas/cnpj/2022/" TargetMode="External"/><Relationship Id="rId53" Type="http://schemas.openxmlformats.org/officeDocument/2006/relationships/image" Target="media/image4.jpeg"/><Relationship Id="rId58" Type="http://schemas.openxmlformats.org/officeDocument/2006/relationships/hyperlink" Target="http://www.inegi.org.mx/" TargetMode="External"/><Relationship Id="rId5" Type="http://schemas.openxmlformats.org/officeDocument/2006/relationships/webSettings" Target="webSettings.xml"/><Relationship Id="rId61" Type="http://schemas.openxmlformats.org/officeDocument/2006/relationships/hyperlink" Target="https://www.inegi.org.mx/programas/cnpje/2022/" TargetMode="External"/><Relationship Id="rId19" Type="http://schemas.openxmlformats.org/officeDocument/2006/relationships/chart" Target="charts/chart1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5.xml"/><Relationship Id="rId48" Type="http://schemas.openxmlformats.org/officeDocument/2006/relationships/header" Target="header1.xml"/><Relationship Id="rId56" Type="http://schemas.openxmlformats.org/officeDocument/2006/relationships/hyperlink" Target="https://www.youtube.com/user/INEGIInforma" TargetMode="External"/><Relationship Id="rId64"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hyperlink" Target="https://www.inegi.org.mx/programas/cnpje/2022/" TargetMode="External"/><Relationship Id="rId59" Type="http://schemas.openxmlformats.org/officeDocument/2006/relationships/image" Target="media/image7.png"/><Relationship Id="rId20" Type="http://schemas.openxmlformats.org/officeDocument/2006/relationships/chart" Target="charts/chart13.xml"/><Relationship Id="rId41" Type="http://schemas.openxmlformats.org/officeDocument/2006/relationships/chart" Target="charts/chart33.xml"/><Relationship Id="rId54" Type="http://schemas.openxmlformats.org/officeDocument/2006/relationships/hyperlink" Target="https://twitter.com/INEGI_INFORMA"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footer" Target="footer1.xml"/><Relationship Id="rId57" Type="http://schemas.openxmlformats.org/officeDocument/2006/relationships/image" Target="media/image6.jpeg"/><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chart" Target="charts/chart36.xml"/><Relationship Id="rId52" Type="http://schemas.openxmlformats.org/officeDocument/2006/relationships/hyperlink" Target="https://www.instagram.com/inegi_informa/" TargetMode="External"/><Relationship Id="rId60" Type="http://schemas.openxmlformats.org/officeDocument/2006/relationships/hyperlink" Target="https://www.inegi.org.mx/programas/cnpj/202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39" Type="http://schemas.openxmlformats.org/officeDocument/2006/relationships/chart" Target="charts/chart3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ara.medina\Documents\2022\CNPJE-F\BASEM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365inegi-my.sharepoint.com/personal/alma_patricio_inegi_org_mx/Documents/Documents/Respaldo/Censos%202022_/CNPJF-E%202022/Bolet&#237;n/CNPJF-E_2022_Bolet&#237;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365inegi-my.sharepoint.com/personal/alma_patricio_inegi_org_mx/Documents/Documents/Respaldo/Censos%202022_/CNPJF-E%202022/1/BD%20CNPJE-F%20202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365inegi-my.sharepoint.com/personal/alma_patricio_inegi_org_mx/Documents/Documents/Respaldo/Censos%202022_/CNPJF-E%202022/1/BD%20CNPJE-F%20202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365inegi-my.sharepoint.com/personal/alma_patricio_inegi_org_mx/Documents/Documents/Respaldo/Censos%202022_/CNPJF-E%202022/BD%20CNPJE-F%20202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PJF-E%202022/BD%20CNPJF-E%202022%20parte%20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PJF-E%202022/BD%20CNPJF-E%202022%20parte%20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ara.medina\Documents\2022\CNPJE-F\BD_CNPJFE_M2M3.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mara.medina\Documents\2022\CNPJE-F\BASEM2M3.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365inegi-my.sharepoint.com/personal/alma_patricio_inegi_org_mx/Documents/Documents/Respaldo/Censos%202022_/CNPJF-E%202022/2/BD%20CNPJE-F_2022%20(Procuraci&#243;n%20de%20Justicia).xlsx" TargetMode="Externa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chartUserShapes" Target="../drawings/drawing1.xml"/></Relationships>
</file>

<file path=word/charts/_rels/chart27.xml.rels><?xml version="1.0" encoding="UTF-8" standalone="yes"?>
<Relationships xmlns="http://schemas.openxmlformats.org/package/2006/relationships"><Relationship Id="rId3" Type="http://schemas.openxmlformats.org/officeDocument/2006/relationships/oleObject" Target="https://365inegi-my.sharepoint.com/personal/alma_patricio_inegi_org_mx/Documents/Documents/Respaldo/Censos%202022_/CNPJF-E%202022/2/BD%20CNPJE-F_2022%20(Procuraci&#243;n%20de%20Justicia).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https://365inegi-my.sharepoint.com/personal/alma_patricio_inegi_org_mx/Documents/Documents/Respaldo/Censos%202022_/CNPJF-E%202022/BD%20CNPJE-F_2022%20(Procuraci&#243;n%20de%20Justicia).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https://365inegi-my.sharepoint.com/personal/alma_patricio_inegi_org_mx/Documents/Documents/Respaldo/Censos%202022_/CNPJF-E%202022/BD%20CNPJE-F_2022%20(Procuraci&#243;n%20de%20Justicia).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https://365inegi-my.sharepoint.com/personal/alma_patricio_inegi_org_mx/Documents/Documents/Respaldo/Censos%202022_/CNPJF-E%202022/BD%20CNPJE-F_2022%20(Procuraci&#243;n%20de%20Justicia).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PJF-E%202022/BD%20CNPJF-E%202022%20parte%202.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PJF-E%202022/BD%20CNPJF-E%202022%20parte%202.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https://365inegi-my.sharepoint.com/personal/erick_aguilar_inegi_org_mx/Documents/Presentaciones/2022/PJE%202022/PJEyF_MASC_2022.xlsx" TargetMode="External"/></Relationships>
</file>

<file path=word/charts/_rels/chart34.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PJF-E%202022/PJEyF_MASC_2022.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ivonne.acundo\AppData\Local\Microsoft\Windows\INetCache\Content.Outlook\S3DLXQWN\PJEyF_MASC_2022.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ivonne.acundo\AppData\Local\Microsoft\Windows\INetCache\Content.Outlook\S3DLXQWN\PJEyF_MASC_2022.xlsx" TargetMode="External"/><Relationship Id="rId2" Type="http://schemas.microsoft.com/office/2011/relationships/chartColorStyle" Target="colors36.xml"/><Relationship Id="rId1" Type="http://schemas.microsoft.com/office/2011/relationships/chartStyle" Target="style36.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ara.medina\Documents\2022\CNPJE-F\BASEM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ra.medina\Documents\2022\CNPJE-F\BD_CNPJFE_Bolet&#237;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ara.medina\Documents\2022\CNPJE-F\BASEM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D8UAdm!$D$3</c:f>
              <c:strCache>
                <c:ptCount val="1"/>
                <c:pt idx="0">
                  <c:v>FGR</c:v>
                </c:pt>
              </c:strCache>
            </c:strRef>
          </c:tx>
          <c:spPr>
            <a:ln w="31750" cap="rnd">
              <a:solidFill>
                <a:srgbClr val="63716D"/>
              </a:solidFill>
              <a:round/>
            </a:ln>
            <a:effectLst>
              <a:outerShdw blurRad="50800" dist="38100" dir="2700000" algn="tl" rotWithShape="0">
                <a:prstClr val="black">
                  <a:alpha val="40000"/>
                </a:prstClr>
              </a:outerShdw>
            </a:effectLst>
          </c:spPr>
          <c:marker>
            <c:symbol val="circle"/>
            <c:size val="5"/>
            <c:spPr>
              <a:solidFill>
                <a:srgbClr val="63716D"/>
              </a:solidFill>
              <a:ln w="9525">
                <a:solidFill>
                  <a:srgbClr val="63716D"/>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D8UAdm!$C$4:$C$15</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D8UAdm!$D$4:$D$15</c:f>
              <c:numCache>
                <c:formatCode>General</c:formatCode>
                <c:ptCount val="12"/>
                <c:pt idx="3" formatCode="#,##0">
                  <c:v>108</c:v>
                </c:pt>
                <c:pt idx="4" formatCode="#,##0">
                  <c:v>108</c:v>
                </c:pt>
                <c:pt idx="5" formatCode="#,##0">
                  <c:v>108</c:v>
                </c:pt>
                <c:pt idx="6" formatCode="#,##0">
                  <c:v>122</c:v>
                </c:pt>
                <c:pt idx="7" formatCode="#,##0">
                  <c:v>122</c:v>
                </c:pt>
                <c:pt idx="8" formatCode="#,##0">
                  <c:v>120</c:v>
                </c:pt>
                <c:pt idx="9" formatCode="#,##0">
                  <c:v>120</c:v>
                </c:pt>
                <c:pt idx="10" formatCode="#,##0">
                  <c:v>65</c:v>
                </c:pt>
                <c:pt idx="11" formatCode="#,##0">
                  <c:v>61</c:v>
                </c:pt>
              </c:numCache>
            </c:numRef>
          </c:val>
          <c:smooth val="0"/>
          <c:extLst>
            <c:ext xmlns:c16="http://schemas.microsoft.com/office/drawing/2014/chart" uri="{C3380CC4-5D6E-409C-BE32-E72D297353CC}">
              <c16:uniqueId val="{00000001-32CE-4DFE-8671-6ADBE98562C4}"/>
            </c:ext>
          </c:extLst>
        </c:ser>
        <c:ser>
          <c:idx val="0"/>
          <c:order val="1"/>
          <c:tx>
            <c:strRef>
              <c:f>D8UAdm!$E$3</c:f>
              <c:strCache>
                <c:ptCount val="1"/>
                <c:pt idx="0">
                  <c:v>FGE</c:v>
                </c:pt>
              </c:strCache>
            </c:strRef>
          </c:tx>
          <c:spPr>
            <a:ln w="31750" cap="rnd">
              <a:solidFill>
                <a:srgbClr val="877A67"/>
              </a:solidFill>
              <a:round/>
            </a:ln>
            <a:effectLst>
              <a:outerShdw blurRad="50800" dist="38100" dir="2700000" algn="tl" rotWithShape="0">
                <a:prstClr val="black">
                  <a:alpha val="40000"/>
                </a:prstClr>
              </a:outerShdw>
            </a:effectLst>
          </c:spPr>
          <c:marker>
            <c:symbol val="circle"/>
            <c:size val="5"/>
            <c:spPr>
              <a:solidFill>
                <a:srgbClr val="877A67"/>
              </a:solidFill>
              <a:ln w="9525">
                <a:solidFill>
                  <a:srgbClr val="877A67"/>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D8UAdm!$C$4:$C$15</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D8UAdm!$E$4:$E$15</c:f>
              <c:numCache>
                <c:formatCode>#\ ##0</c:formatCode>
                <c:ptCount val="12"/>
                <c:pt idx="0">
                  <c:v>1330</c:v>
                </c:pt>
                <c:pt idx="1">
                  <c:v>1151</c:v>
                </c:pt>
                <c:pt idx="2">
                  <c:v>1036</c:v>
                </c:pt>
                <c:pt idx="3">
                  <c:v>1071</c:v>
                </c:pt>
                <c:pt idx="4">
                  <c:v>1098</c:v>
                </c:pt>
                <c:pt idx="5">
                  <c:v>1248</c:v>
                </c:pt>
                <c:pt idx="6">
                  <c:v>1386</c:v>
                </c:pt>
                <c:pt idx="7">
                  <c:v>1504</c:v>
                </c:pt>
                <c:pt idx="8">
                  <c:v>1400</c:v>
                </c:pt>
                <c:pt idx="9">
                  <c:v>1458</c:v>
                </c:pt>
                <c:pt idx="10">
                  <c:v>1169</c:v>
                </c:pt>
                <c:pt idx="11">
                  <c:v>1105</c:v>
                </c:pt>
              </c:numCache>
            </c:numRef>
          </c:val>
          <c:smooth val="0"/>
          <c:extLst>
            <c:ext xmlns:c16="http://schemas.microsoft.com/office/drawing/2014/chart" uri="{C3380CC4-5D6E-409C-BE32-E72D297353CC}">
              <c16:uniqueId val="{00000003-32CE-4DFE-8671-6ADBE98562C4}"/>
            </c:ext>
          </c:extLst>
        </c:ser>
        <c:ser>
          <c:idx val="2"/>
          <c:order val="2"/>
          <c:tx>
            <c:strRef>
              <c:f>D8UAdm!$F$3</c:f>
              <c:strCache>
                <c:ptCount val="1"/>
                <c:pt idx="0">
                  <c:v>Total</c:v>
                </c:pt>
              </c:strCache>
            </c:strRef>
          </c:tx>
          <c:spPr>
            <a:ln w="31750" cap="rnd">
              <a:solidFill>
                <a:srgbClr val="5B90A7"/>
              </a:solidFill>
              <a:round/>
            </a:ln>
            <a:effectLst>
              <a:outerShdw blurRad="50800" dist="38100" dir="2700000" algn="tl" rotWithShape="0">
                <a:prstClr val="black">
                  <a:alpha val="40000"/>
                </a:prstClr>
              </a:outerShdw>
            </a:effectLst>
          </c:spPr>
          <c:marker>
            <c:symbol val="circle"/>
            <c:size val="5"/>
            <c:spPr>
              <a:solidFill>
                <a:srgbClr val="5B90A7"/>
              </a:solidFill>
              <a:ln w="9525">
                <a:solidFill>
                  <a:srgbClr val="5B90A7"/>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D8UAdm!$C$4:$C$15</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D8UAdm!$F$4:$F$15</c:f>
              <c:numCache>
                <c:formatCode>General</c:formatCode>
                <c:ptCount val="12"/>
                <c:pt idx="3" formatCode="#\ ##0">
                  <c:v>1179</c:v>
                </c:pt>
                <c:pt idx="4" formatCode="#\ ##0">
                  <c:v>1206</c:v>
                </c:pt>
                <c:pt idx="5" formatCode="#\ ##0">
                  <c:v>1356</c:v>
                </c:pt>
                <c:pt idx="6" formatCode="#\ ##0">
                  <c:v>1508</c:v>
                </c:pt>
                <c:pt idx="7" formatCode="#\ ##0">
                  <c:v>1626</c:v>
                </c:pt>
                <c:pt idx="8" formatCode="#\ ##0">
                  <c:v>1520</c:v>
                </c:pt>
                <c:pt idx="9" formatCode="#\ ##0">
                  <c:v>1578</c:v>
                </c:pt>
                <c:pt idx="10" formatCode="#\ ##0">
                  <c:v>1234</c:v>
                </c:pt>
                <c:pt idx="11" formatCode="#\ ##0">
                  <c:v>1166</c:v>
                </c:pt>
              </c:numCache>
            </c:numRef>
          </c:val>
          <c:smooth val="0"/>
          <c:extLst>
            <c:ext xmlns:c16="http://schemas.microsoft.com/office/drawing/2014/chart" uri="{C3380CC4-5D6E-409C-BE32-E72D297353CC}">
              <c16:uniqueId val="{00000005-32CE-4DFE-8671-6ADBE98562C4}"/>
            </c:ext>
          </c:extLst>
        </c:ser>
        <c:dLbls>
          <c:dLblPos val="t"/>
          <c:showLegendKey val="0"/>
          <c:showVal val="1"/>
          <c:showCatName val="0"/>
          <c:showSerName val="0"/>
          <c:showPercent val="0"/>
          <c:showBubbleSize val="0"/>
        </c:dLbls>
        <c:marker val="1"/>
        <c:smooth val="0"/>
        <c:axId val="130096543"/>
        <c:axId val="130085727"/>
      </c:lineChart>
      <c:catAx>
        <c:axId val="130096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0085727"/>
        <c:crosses val="autoZero"/>
        <c:auto val="1"/>
        <c:lblAlgn val="ctr"/>
        <c:lblOffset val="100"/>
        <c:noMultiLvlLbl val="0"/>
      </c:catAx>
      <c:valAx>
        <c:axId val="130085727"/>
        <c:scaling>
          <c:orientation val="minMax"/>
        </c:scaling>
        <c:delete val="1"/>
        <c:axPos val="l"/>
        <c:numFmt formatCode="General" sourceLinked="1"/>
        <c:majorTickMark val="none"/>
        <c:minorTickMark val="none"/>
        <c:tickLblPos val="nextTo"/>
        <c:crossAx val="130096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2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D15Presup!$D$3</c:f>
              <c:strCache>
                <c:ptCount val="1"/>
                <c:pt idx="0">
                  <c:v>FGR</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D15Presup!$C$4:$C$12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D15Presup!$D$4:$D$12</c:f>
              <c:numCache>
                <c:formatCode>#\ ##0.0</c:formatCode>
                <c:ptCount val="9"/>
                <c:pt idx="0">
                  <c:v>15118.7</c:v>
                </c:pt>
                <c:pt idx="1">
                  <c:v>15473.6</c:v>
                </c:pt>
                <c:pt idx="2">
                  <c:v>16058.2</c:v>
                </c:pt>
                <c:pt idx="3">
                  <c:v>16439.2</c:v>
                </c:pt>
                <c:pt idx="4">
                  <c:v>15891.4</c:v>
                </c:pt>
                <c:pt idx="5">
                  <c:v>16709.8</c:v>
                </c:pt>
                <c:pt idx="6">
                  <c:v>15031.7</c:v>
                </c:pt>
                <c:pt idx="7">
                  <c:v>15462</c:v>
                </c:pt>
                <c:pt idx="8">
                  <c:v>16652.2</c:v>
                </c:pt>
              </c:numCache>
            </c:numRef>
          </c:val>
          <c:extLst>
            <c:ext xmlns:c16="http://schemas.microsoft.com/office/drawing/2014/chart" uri="{C3380CC4-5D6E-409C-BE32-E72D297353CC}">
              <c16:uniqueId val="{00000000-FFFD-4980-B090-6E3B21197A7D}"/>
            </c:ext>
          </c:extLst>
        </c:ser>
        <c:ser>
          <c:idx val="1"/>
          <c:order val="1"/>
          <c:tx>
            <c:strRef>
              <c:f>D15Presup!$E$3</c:f>
              <c:strCache>
                <c:ptCount val="1"/>
                <c:pt idx="0">
                  <c:v>FGE</c:v>
                </c:pt>
              </c:strCache>
            </c:strRef>
          </c:tx>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D15Presup!$C$4:$C$12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D15Presup!$E$4:$E$12</c:f>
              <c:numCache>
                <c:formatCode>#\ ##0.0</c:formatCode>
                <c:ptCount val="9"/>
                <c:pt idx="0">
                  <c:v>28538</c:v>
                </c:pt>
                <c:pt idx="1">
                  <c:v>36457</c:v>
                </c:pt>
                <c:pt idx="2">
                  <c:v>36534</c:v>
                </c:pt>
                <c:pt idx="3">
                  <c:v>34914</c:v>
                </c:pt>
                <c:pt idx="4">
                  <c:v>39993</c:v>
                </c:pt>
                <c:pt idx="5">
                  <c:v>40619</c:v>
                </c:pt>
                <c:pt idx="6">
                  <c:v>42830</c:v>
                </c:pt>
                <c:pt idx="7">
                  <c:v>46015.1</c:v>
                </c:pt>
                <c:pt idx="8">
                  <c:v>49563.3</c:v>
                </c:pt>
              </c:numCache>
            </c:numRef>
          </c:val>
          <c:extLst>
            <c:ext xmlns:c16="http://schemas.microsoft.com/office/drawing/2014/chart" uri="{C3380CC4-5D6E-409C-BE32-E72D297353CC}">
              <c16:uniqueId val="{00000001-FFFD-4980-B090-6E3B21197A7D}"/>
            </c:ext>
          </c:extLst>
        </c:ser>
        <c:dLbls>
          <c:dLblPos val="inEnd"/>
          <c:showLegendKey val="0"/>
          <c:showVal val="1"/>
          <c:showCatName val="0"/>
          <c:showSerName val="0"/>
          <c:showPercent val="0"/>
          <c:showBubbleSize val="0"/>
        </c:dLbls>
        <c:gapWidth val="80"/>
        <c:overlap val="-27"/>
        <c:axId val="1672757055"/>
        <c:axId val="1672757471"/>
      </c:barChart>
      <c:lineChart>
        <c:grouping val="standard"/>
        <c:varyColors val="0"/>
        <c:ser>
          <c:idx val="2"/>
          <c:order val="2"/>
          <c:tx>
            <c:strRef>
              <c:f>D15Presup!$F$3</c:f>
              <c:strCache>
                <c:ptCount val="1"/>
                <c:pt idx="0">
                  <c:v>Total</c:v>
                </c:pt>
              </c:strCache>
            </c:strRef>
          </c:tx>
          <c:spPr>
            <a:ln w="31750" cap="rnd">
              <a:solidFill>
                <a:srgbClr val="C29B61"/>
              </a:solidFill>
              <a:round/>
            </a:ln>
            <a:effectLst>
              <a:outerShdw blurRad="50800" dist="38100" dir="2700000" algn="tl" rotWithShape="0">
                <a:prstClr val="black">
                  <a:alpha val="40000"/>
                </a:prstClr>
              </a:outerShdw>
            </a:effectLst>
          </c:spPr>
          <c:marker>
            <c:symbol val="circle"/>
            <c:size val="5"/>
            <c:spPr>
              <a:solidFill>
                <a:srgbClr val="C29B61"/>
              </a:solidFill>
              <a:ln w="9525">
                <a:solidFill>
                  <a:srgbClr val="C29B61"/>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D15Presup!$C$4:$C$12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D15Presup!$F$4:$F$12</c:f>
              <c:numCache>
                <c:formatCode>#\ ##0.0</c:formatCode>
                <c:ptCount val="9"/>
                <c:pt idx="0">
                  <c:v>43656.7</c:v>
                </c:pt>
                <c:pt idx="1">
                  <c:v>51930.6</c:v>
                </c:pt>
                <c:pt idx="2">
                  <c:v>52592.2</c:v>
                </c:pt>
                <c:pt idx="3">
                  <c:v>51353.2</c:v>
                </c:pt>
                <c:pt idx="4">
                  <c:v>55884.4</c:v>
                </c:pt>
                <c:pt idx="5">
                  <c:v>57328.800000000003</c:v>
                </c:pt>
                <c:pt idx="6">
                  <c:v>57861.7</c:v>
                </c:pt>
                <c:pt idx="7">
                  <c:v>61477.1</c:v>
                </c:pt>
                <c:pt idx="8">
                  <c:v>66215.5</c:v>
                </c:pt>
              </c:numCache>
            </c:numRef>
          </c:val>
          <c:smooth val="0"/>
          <c:extLst>
            <c:ext xmlns:c16="http://schemas.microsoft.com/office/drawing/2014/chart" uri="{C3380CC4-5D6E-409C-BE32-E72D297353CC}">
              <c16:uniqueId val="{00000002-FFFD-4980-B090-6E3B21197A7D}"/>
            </c:ext>
          </c:extLst>
        </c:ser>
        <c:dLbls>
          <c:showLegendKey val="0"/>
          <c:showVal val="1"/>
          <c:showCatName val="0"/>
          <c:showSerName val="0"/>
          <c:showPercent val="0"/>
          <c:showBubbleSize val="0"/>
        </c:dLbls>
        <c:marker val="1"/>
        <c:smooth val="0"/>
        <c:axId val="1672757055"/>
        <c:axId val="1672757471"/>
      </c:lineChart>
      <c:catAx>
        <c:axId val="167275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2757471"/>
        <c:crosses val="autoZero"/>
        <c:auto val="1"/>
        <c:lblAlgn val="ctr"/>
        <c:lblOffset val="100"/>
        <c:noMultiLvlLbl val="0"/>
      </c:catAx>
      <c:valAx>
        <c:axId val="1672757471"/>
        <c:scaling>
          <c:orientation val="minMax"/>
        </c:scaling>
        <c:delete val="1"/>
        <c:axPos val="l"/>
        <c:numFmt formatCode="#\ ##0.0" sourceLinked="1"/>
        <c:majorTickMark val="none"/>
        <c:minorTickMark val="none"/>
        <c:tickLblPos val="nextTo"/>
        <c:crossAx val="167275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18914126251801"/>
          <c:y val="2.3752969121140142E-2"/>
          <c:w val="0.7016985184240353"/>
          <c:h val="0.95249406175771967"/>
        </c:manualLayout>
      </c:layout>
      <c:barChart>
        <c:barDir val="bar"/>
        <c:grouping val="clustered"/>
        <c:varyColors val="0"/>
        <c:ser>
          <c:idx val="0"/>
          <c:order val="0"/>
          <c:spPr>
            <a:solidFill>
              <a:srgbClr val="877A67"/>
            </a:solidFill>
            <a:ln>
              <a:noFill/>
            </a:ln>
            <a:effectLst>
              <a:outerShdw blurRad="50800" dist="38100" dir="2700000" algn="tl" rotWithShape="0">
                <a:prstClr val="black">
                  <a:alpha val="40000"/>
                </a:prstClr>
              </a:outerShdw>
            </a:effectLst>
          </c:spPr>
          <c:invertIfNegative val="0"/>
          <c:dPt>
            <c:idx val="32"/>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B30F-41B9-9DA6-30087495C5DD}"/>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D15Presup!$Q$4:$Q$36</c:f>
              <c:strCache>
                <c:ptCount val="33"/>
                <c:pt idx="0">
                  <c:v>HGO</c:v>
                </c:pt>
                <c:pt idx="1">
                  <c:v>TLAX</c:v>
                </c:pt>
                <c:pt idx="2">
                  <c:v>BCS</c:v>
                </c:pt>
                <c:pt idx="3">
                  <c:v>YUC</c:v>
                </c:pt>
                <c:pt idx="4">
                  <c:v>COL</c:v>
                </c:pt>
                <c:pt idx="5">
                  <c:v>CAMP</c:v>
                </c:pt>
                <c:pt idx="6">
                  <c:v>AGS</c:v>
                </c:pt>
                <c:pt idx="7">
                  <c:v>NAY</c:v>
                </c:pt>
                <c:pt idx="8">
                  <c:v>DGO</c:v>
                </c:pt>
                <c:pt idx="9">
                  <c:v>ZAC</c:v>
                </c:pt>
                <c:pt idx="10">
                  <c:v>MOR</c:v>
                </c:pt>
                <c:pt idx="11">
                  <c:v>SIN</c:v>
                </c:pt>
                <c:pt idx="12">
                  <c:v>COAH</c:v>
                </c:pt>
                <c:pt idx="13">
                  <c:v>OAX</c:v>
                </c:pt>
                <c:pt idx="14">
                  <c:v>QRO</c:v>
                </c:pt>
                <c:pt idx="15">
                  <c:v>QROO</c:v>
                </c:pt>
                <c:pt idx="16">
                  <c:v>TAB</c:v>
                </c:pt>
                <c:pt idx="17">
                  <c:v>SLP</c:v>
                </c:pt>
                <c:pt idx="18">
                  <c:v>TAMPS</c:v>
                </c:pt>
                <c:pt idx="19">
                  <c:v>PUE</c:v>
                </c:pt>
                <c:pt idx="20">
                  <c:v>GRO</c:v>
                </c:pt>
                <c:pt idx="21">
                  <c:v>CHIS</c:v>
                </c:pt>
                <c:pt idx="22">
                  <c:v>MICH</c:v>
                </c:pt>
                <c:pt idx="23">
                  <c:v>SON</c:v>
                </c:pt>
                <c:pt idx="24">
                  <c:v>VER</c:v>
                </c:pt>
                <c:pt idx="25">
                  <c:v>JAL</c:v>
                </c:pt>
                <c:pt idx="26">
                  <c:v>BC</c:v>
                </c:pt>
                <c:pt idx="27">
                  <c:v>CHIH</c:v>
                </c:pt>
                <c:pt idx="28">
                  <c:v>GTO</c:v>
                </c:pt>
                <c:pt idx="29">
                  <c:v>NL</c:v>
                </c:pt>
                <c:pt idx="30">
                  <c:v>MEX</c:v>
                </c:pt>
                <c:pt idx="31">
                  <c:v>CDMX</c:v>
                </c:pt>
                <c:pt idx="32">
                  <c:v>FGR</c:v>
                </c:pt>
              </c:strCache>
            </c:strRef>
          </c:cat>
          <c:val>
            <c:numRef>
              <c:f>D15Presup!$R$4:$R$36</c:f>
              <c:numCache>
                <c:formatCode>#\ ##0.0</c:formatCode>
                <c:ptCount val="33"/>
                <c:pt idx="0">
                  <c:v>78.834660930000013</c:v>
                </c:pt>
                <c:pt idx="1">
                  <c:v>256.27553016000002</c:v>
                </c:pt>
                <c:pt idx="2">
                  <c:v>328.56459899999999</c:v>
                </c:pt>
                <c:pt idx="3">
                  <c:v>411.41223574000003</c:v>
                </c:pt>
                <c:pt idx="4">
                  <c:v>443.034918</c:v>
                </c:pt>
                <c:pt idx="5">
                  <c:v>444.56134077999997</c:v>
                </c:pt>
                <c:pt idx="6">
                  <c:v>479.40842020999997</c:v>
                </c:pt>
                <c:pt idx="7">
                  <c:v>533.01203582999995</c:v>
                </c:pt>
                <c:pt idx="8">
                  <c:v>636.77475827000001</c:v>
                </c:pt>
                <c:pt idx="9">
                  <c:v>720.38502194</c:v>
                </c:pt>
                <c:pt idx="10">
                  <c:v>720.39997991999996</c:v>
                </c:pt>
                <c:pt idx="11">
                  <c:v>775.86466551000001</c:v>
                </c:pt>
                <c:pt idx="12">
                  <c:v>794.98421999000004</c:v>
                </c:pt>
                <c:pt idx="13">
                  <c:v>796.52131889999998</c:v>
                </c:pt>
                <c:pt idx="14">
                  <c:v>919.97487102999992</c:v>
                </c:pt>
                <c:pt idx="15">
                  <c:v>1005.9853915</c:v>
                </c:pt>
                <c:pt idx="16">
                  <c:v>1136.41572002</c:v>
                </c:pt>
                <c:pt idx="17">
                  <c:v>1192.5772300799999</c:v>
                </c:pt>
                <c:pt idx="18">
                  <c:v>1290.7507270000001</c:v>
                </c:pt>
                <c:pt idx="19">
                  <c:v>1309.5826226900001</c:v>
                </c:pt>
                <c:pt idx="20">
                  <c:v>1423.2777175000001</c:v>
                </c:pt>
                <c:pt idx="21">
                  <c:v>1452.7149888399999</c:v>
                </c:pt>
                <c:pt idx="22">
                  <c:v>1519.249998</c:v>
                </c:pt>
                <c:pt idx="23">
                  <c:v>1670.0728839999999</c:v>
                </c:pt>
                <c:pt idx="24">
                  <c:v>1810.7942134800001</c:v>
                </c:pt>
                <c:pt idx="25">
                  <c:v>2293.0150357399998</c:v>
                </c:pt>
                <c:pt idx="26">
                  <c:v>2492.4547399799999</c:v>
                </c:pt>
                <c:pt idx="27">
                  <c:v>2855.464266</c:v>
                </c:pt>
                <c:pt idx="28">
                  <c:v>3333.8885381499999</c:v>
                </c:pt>
                <c:pt idx="29">
                  <c:v>3577.2389750000002</c:v>
                </c:pt>
                <c:pt idx="30">
                  <c:v>5709.6082901999998</c:v>
                </c:pt>
                <c:pt idx="31">
                  <c:v>7150.2110311400002</c:v>
                </c:pt>
                <c:pt idx="32">
                  <c:v>16652.245607739998</c:v>
                </c:pt>
              </c:numCache>
            </c:numRef>
          </c:val>
          <c:extLst>
            <c:ext xmlns:c16="http://schemas.microsoft.com/office/drawing/2014/chart" uri="{C3380CC4-5D6E-409C-BE32-E72D297353CC}">
              <c16:uniqueId val="{00000002-B30F-41B9-9DA6-30087495C5DD}"/>
            </c:ext>
          </c:extLst>
        </c:ser>
        <c:dLbls>
          <c:dLblPos val="outEnd"/>
          <c:showLegendKey val="0"/>
          <c:showVal val="1"/>
          <c:showCatName val="0"/>
          <c:showSerName val="0"/>
          <c:showPercent val="0"/>
          <c:showBubbleSize val="0"/>
        </c:dLbls>
        <c:gapWidth val="80"/>
        <c:axId val="130960271"/>
        <c:axId val="130956111"/>
      </c:barChart>
      <c:catAx>
        <c:axId val="1309602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0956111"/>
        <c:crosses val="autoZero"/>
        <c:auto val="1"/>
        <c:lblAlgn val="ctr"/>
        <c:lblOffset val="100"/>
        <c:noMultiLvlLbl val="0"/>
      </c:catAx>
      <c:valAx>
        <c:axId val="130956111"/>
        <c:scaling>
          <c:orientation val="minMax"/>
        </c:scaling>
        <c:delete val="1"/>
        <c:axPos val="b"/>
        <c:numFmt formatCode="#\ ##0.0" sourceLinked="1"/>
        <c:majorTickMark val="none"/>
        <c:minorTickMark val="none"/>
        <c:tickLblPos val="nextTo"/>
        <c:crossAx val="13096027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'22'!$D$2</c:f>
              <c:strCache>
                <c:ptCount val="1"/>
                <c:pt idx="0">
                  <c:v>FGR</c:v>
                </c:pt>
              </c:strCache>
            </c:strRef>
          </c:tx>
          <c:spPr>
            <a:solidFill>
              <a:srgbClr val="63716D"/>
            </a:solidFill>
            <a:ln>
              <a:noFill/>
            </a:ln>
            <a:effectLst>
              <a:outerShdw blurRad="50800" dist="38100" dir="2700000" algn="tl" rotWithShape="0">
                <a:prstClr val="black">
                  <a:alpha val="40000"/>
                </a:prstClr>
              </a:outerShdw>
            </a:effectLst>
          </c:spPr>
          <c:invertIfNegative val="0"/>
          <c:dLbls>
            <c:dLbl>
              <c:idx val="0"/>
              <c:layout>
                <c:manualLayout>
                  <c:x val="0"/>
                  <c:y val="0.1964640783007025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50-4AFB-B852-D8D3F3888F26}"/>
                </c:ext>
              </c:extLst>
            </c:dLbl>
            <c:dLbl>
              <c:idx val="1"/>
              <c:layout>
                <c:manualLayout>
                  <c:x val="0"/>
                  <c:y val="0.2056019424077120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50-4AFB-B852-D8D3F3888F26}"/>
                </c:ext>
              </c:extLst>
            </c:dLbl>
            <c:dLbl>
              <c:idx val="2"/>
              <c:layout>
                <c:manualLayout>
                  <c:x val="-4.1004723667331606E-17"/>
                  <c:y val="0.201033010354207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50-4AFB-B852-D8D3F3888F26}"/>
                </c:ext>
              </c:extLst>
            </c:dLbl>
            <c:dLbl>
              <c:idx val="3"/>
              <c:layout>
                <c:manualLayout>
                  <c:x val="0"/>
                  <c:y val="1.37067961605140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50-4AFB-B852-D8D3F3888F26}"/>
                </c:ext>
              </c:extLst>
            </c:dLbl>
            <c:dLbl>
              <c:idx val="4"/>
              <c:layout>
                <c:manualLayout>
                  <c:x val="0"/>
                  <c:y val="-8.376278667939358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50-4AFB-B852-D8D3F3888F26}"/>
                </c:ext>
              </c:extLst>
            </c:dLbl>
            <c:dLbl>
              <c:idx val="5"/>
              <c:layout>
                <c:manualLayout>
                  <c:x val="1.9798059790140567E-3"/>
                  <c:y val="7.96075958988942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50-4AFB-B852-D8D3F3888F26}"/>
                </c:ext>
              </c:extLst>
            </c:dLbl>
            <c:dLbl>
              <c:idx val="6"/>
              <c:layout>
                <c:manualLayout>
                  <c:x val="-4.473294257170744E-3"/>
                  <c:y val="2.28446602675235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50-4AFB-B852-D8D3F3888F26}"/>
                </c:ext>
              </c:extLst>
            </c:dLbl>
            <c:dLbl>
              <c:idx val="7"/>
              <c:layout>
                <c:manualLayout>
                  <c:x val="-2.2366471285854539E-3"/>
                  <c:y val="1.37067961605141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250-4AFB-B852-D8D3F3888F26}"/>
                </c:ext>
              </c:extLst>
            </c:dLbl>
            <c:dLbl>
              <c:idx val="8"/>
              <c:layout>
                <c:manualLayout>
                  <c:x val="-8.2009447334663211E-17"/>
                  <c:y val="1.37067961605141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250-4AFB-B852-D8D3F3888F26}"/>
                </c:ext>
              </c:extLst>
            </c:dLbl>
            <c:dLbl>
              <c:idx val="9"/>
              <c:layout>
                <c:manualLayout>
                  <c:x val="0"/>
                  <c:y val="1.82757282140188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250-4AFB-B852-D8D3F3888F26}"/>
                </c:ext>
              </c:extLst>
            </c:dLbl>
            <c:dLbl>
              <c:idx val="10"/>
              <c:layout>
                <c:manualLayout>
                  <c:x val="-1.6401889466932642E-16"/>
                  <c:y val="1.37067961605140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250-4AFB-B852-D8D3F3888F26}"/>
                </c:ext>
              </c:extLst>
            </c:dLbl>
            <c:dLbl>
              <c:idx val="11"/>
              <c:layout>
                <c:manualLayout>
                  <c:x val="-2.236647128585372E-3"/>
                  <c:y val="1.82757282140188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250-4AFB-B852-D8D3F3888F26}"/>
                </c:ext>
              </c:extLst>
            </c:dLbl>
            <c:spPr>
              <a:noFill/>
              <a:ln>
                <a:noFill/>
              </a:ln>
              <a:effectLst/>
            </c:spPr>
            <c:txPr>
              <a:bodyPr rot="-5400000" spcFirstLastPara="1" vertOverflow="ellipsis"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'22'!$B$3:$B$14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'22'!$D$3:$D$14</c:f>
              <c:numCache>
                <c:formatCode>General</c:formatCode>
                <c:ptCount val="12"/>
                <c:pt idx="3" formatCode="#\ ###\ ###\ ##0">
                  <c:v>10195</c:v>
                </c:pt>
                <c:pt idx="4" formatCode="#\ ###\ ###\ ##0">
                  <c:v>7737</c:v>
                </c:pt>
                <c:pt idx="5" formatCode="#\ ###\ ###\ ##0">
                  <c:v>7604</c:v>
                </c:pt>
                <c:pt idx="6" formatCode="#\ ###\ ###\ ##0">
                  <c:v>10754</c:v>
                </c:pt>
                <c:pt idx="7" formatCode="#\ ###\ ###\ ##0">
                  <c:v>11193</c:v>
                </c:pt>
                <c:pt idx="8" formatCode="#\ ###\ ###\ ##0">
                  <c:v>11579</c:v>
                </c:pt>
                <c:pt idx="9" formatCode="#\ ###\ ###\ ##0">
                  <c:v>11855</c:v>
                </c:pt>
                <c:pt idx="10" formatCode="#\ ###\ ###\ ##0">
                  <c:v>12415</c:v>
                </c:pt>
                <c:pt idx="11" formatCode="#\ ###\ ###\ ##0">
                  <c:v>12147</c:v>
                </c:pt>
              </c:numCache>
            </c:numRef>
          </c:val>
          <c:extLst>
            <c:ext xmlns:c16="http://schemas.microsoft.com/office/drawing/2014/chart" uri="{C3380CC4-5D6E-409C-BE32-E72D297353CC}">
              <c16:uniqueId val="{0000000C-7250-4AFB-B852-D8D3F3888F26}"/>
            </c:ext>
          </c:extLst>
        </c:ser>
        <c:ser>
          <c:idx val="2"/>
          <c:order val="2"/>
          <c:tx>
            <c:strRef>
              <c:f>'22'!$E$2</c:f>
              <c:strCache>
                <c:ptCount val="1"/>
                <c:pt idx="0">
                  <c:v>FGE</c:v>
                </c:pt>
              </c:strCache>
            </c:strRef>
          </c:tx>
          <c:spPr>
            <a:solidFill>
              <a:srgbClr val="877A67"/>
            </a:solidFill>
            <a:ln>
              <a:noFill/>
            </a:ln>
            <a:effectLst>
              <a:outerShdw blurRad="50800" dist="38100" dir="2700000" algn="tl" rotWithShape="0">
                <a:prstClr val="black">
                  <a:alpha val="40000"/>
                </a:prstClr>
              </a:outerShdw>
            </a:effectLst>
          </c:spPr>
          <c:invertIfNegative val="0"/>
          <c:dLbls>
            <c:dLbl>
              <c:idx val="0"/>
              <c:layout>
                <c:manualLayout>
                  <c:x val="-2.0502361833665803E-17"/>
                  <c:y val="0.1918951462471979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250-4AFB-B852-D8D3F3888F26}"/>
                </c:ext>
              </c:extLst>
            </c:dLbl>
            <c:dLbl>
              <c:idx val="1"/>
              <c:layout>
                <c:manualLayout>
                  <c:x val="0"/>
                  <c:y val="0.201033010354207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250-4AFB-B852-D8D3F3888F26}"/>
                </c:ext>
              </c:extLst>
            </c:dLbl>
            <c:dLbl>
              <c:idx val="2"/>
              <c:layout>
                <c:manualLayout>
                  <c:x val="0"/>
                  <c:y val="0.201033010354207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250-4AFB-B852-D8D3F3888F26}"/>
                </c:ext>
              </c:extLst>
            </c:dLbl>
            <c:dLbl>
              <c:idx val="3"/>
              <c:layout>
                <c:manualLayout>
                  <c:x val="-1.4030121111123235E-6"/>
                  <c:y val="0.193461422092255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250-4AFB-B852-D8D3F3888F26}"/>
                </c:ext>
              </c:extLst>
            </c:dLbl>
            <c:dLbl>
              <c:idx val="4"/>
              <c:layout>
                <c:manualLayout>
                  <c:x val="0"/>
                  <c:y val="0.1980305272743803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250-4AFB-B852-D8D3F3888F26}"/>
                </c:ext>
              </c:extLst>
            </c:dLbl>
            <c:dLbl>
              <c:idx val="5"/>
              <c:layout>
                <c:manualLayout>
                  <c:x val="1.9798059790139839E-3"/>
                  <c:y val="0.1730968892942896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250-4AFB-B852-D8D3F3888F26}"/>
                </c:ext>
              </c:extLst>
            </c:dLbl>
            <c:dLbl>
              <c:idx val="6"/>
              <c:layout>
                <c:manualLayout>
                  <c:x val="2.5690710656805067E-4"/>
                  <c:y val="0.172313511918335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250-4AFB-B852-D8D3F3888F26}"/>
                </c:ext>
              </c:extLst>
            </c:dLbl>
            <c:dLbl>
              <c:idx val="7"/>
              <c:layout>
                <c:manualLayout>
                  <c:x val="-1.4030121111123235E-6"/>
                  <c:y val="0.1814514241937815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250-4AFB-B852-D8D3F3888F26}"/>
                </c:ext>
              </c:extLst>
            </c:dLbl>
            <c:dLbl>
              <c:idx val="8"/>
              <c:layout>
                <c:manualLayout>
                  <c:x val="-1.4030121111123235E-6"/>
                  <c:y val="0.1866733438558680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250-4AFB-B852-D8D3F3888F26}"/>
                </c:ext>
              </c:extLst>
            </c:dLbl>
            <c:dLbl>
              <c:idx val="9"/>
              <c:layout>
                <c:manualLayout>
                  <c:x val="0"/>
                  <c:y val="0.1844540727128018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250-4AFB-B852-D8D3F3888F26}"/>
                </c:ext>
              </c:extLst>
            </c:dLbl>
            <c:dLbl>
              <c:idx val="10"/>
              <c:layout>
                <c:manualLayout>
                  <c:x val="-1.4030121111123235E-6"/>
                  <c:y val="0.1844540727128018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250-4AFB-B852-D8D3F3888F26}"/>
                </c:ext>
              </c:extLst>
            </c:dLbl>
            <c:dLbl>
              <c:idx val="11"/>
              <c:layout>
                <c:manualLayout>
                  <c:x val="0"/>
                  <c:y val="0.1836706953368477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250-4AFB-B852-D8D3F3888F26}"/>
                </c:ext>
              </c:extLst>
            </c:dLbl>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'22'!$B$3:$B$14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'22'!$E$3:$E$14</c:f>
              <c:numCache>
                <c:formatCode>#\ ###\ ###\ ##0</c:formatCode>
                <c:ptCount val="12"/>
                <c:pt idx="0">
                  <c:v>27832</c:v>
                </c:pt>
                <c:pt idx="1">
                  <c:v>35357</c:v>
                </c:pt>
                <c:pt idx="2">
                  <c:v>38385</c:v>
                </c:pt>
                <c:pt idx="3">
                  <c:v>40088</c:v>
                </c:pt>
                <c:pt idx="4">
                  <c:v>37699</c:v>
                </c:pt>
                <c:pt idx="5">
                  <c:v>37745</c:v>
                </c:pt>
                <c:pt idx="6">
                  <c:v>39899</c:v>
                </c:pt>
                <c:pt idx="7">
                  <c:v>44068</c:v>
                </c:pt>
                <c:pt idx="8">
                  <c:v>43427</c:v>
                </c:pt>
                <c:pt idx="9">
                  <c:v>46775</c:v>
                </c:pt>
                <c:pt idx="10">
                  <c:v>51589</c:v>
                </c:pt>
                <c:pt idx="11">
                  <c:v>53425</c:v>
                </c:pt>
              </c:numCache>
            </c:numRef>
          </c:val>
          <c:extLst>
            <c:ext xmlns:c16="http://schemas.microsoft.com/office/drawing/2014/chart" uri="{C3380CC4-5D6E-409C-BE32-E72D297353CC}">
              <c16:uniqueId val="{00000019-7250-4AFB-B852-D8D3F3888F26}"/>
            </c:ext>
          </c:extLst>
        </c:ser>
        <c:dLbls>
          <c:showLegendKey val="0"/>
          <c:showVal val="0"/>
          <c:showCatName val="0"/>
          <c:showSerName val="0"/>
          <c:showPercent val="0"/>
          <c:showBubbleSize val="0"/>
        </c:dLbls>
        <c:gapWidth val="70"/>
        <c:axId val="1749307440"/>
        <c:axId val="1749327408"/>
      </c:barChart>
      <c:lineChart>
        <c:grouping val="standard"/>
        <c:varyColors val="0"/>
        <c:ser>
          <c:idx val="0"/>
          <c:order val="0"/>
          <c:tx>
            <c:strRef>
              <c:f>'22'!$C$2</c:f>
              <c:strCache>
                <c:ptCount val="1"/>
                <c:pt idx="0">
                  <c:v>Total</c:v>
                </c:pt>
              </c:strCache>
            </c:strRef>
          </c:tx>
          <c:spPr>
            <a:ln w="31750" cap="rnd">
              <a:solidFill>
                <a:srgbClr val="EAC479"/>
              </a:solidFill>
              <a:round/>
            </a:ln>
            <a:effectLst>
              <a:outerShdw blurRad="50800" dist="38100" dir="2700000" algn="tl" rotWithShape="0">
                <a:prstClr val="black">
                  <a:alpha val="40000"/>
                </a:prstClr>
              </a:outerShdw>
            </a:effectLst>
          </c:spPr>
          <c:marker>
            <c:symbol val="circle"/>
            <c:size val="5"/>
            <c:spPr>
              <a:solidFill>
                <a:srgbClr val="EAC479"/>
              </a:solidFill>
              <a:ln w="9525">
                <a:solidFill>
                  <a:srgbClr val="EAC479"/>
                </a:solidFill>
              </a:ln>
              <a:effectLst>
                <a:outerShdw blurRad="50800" dist="38100" dir="2700000" algn="tl" rotWithShape="0">
                  <a:prstClr val="black">
                    <a:alpha val="40000"/>
                  </a:prstClr>
                </a:outerShdw>
              </a:effectLst>
            </c:spPr>
          </c:marker>
          <c:dLbls>
            <c:dLbl>
              <c:idx val="3"/>
              <c:layout>
                <c:manualLayout>
                  <c:x val="-5.3690792821710104E-2"/>
                  <c:y val="-5.0258252588551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250-4AFB-B852-D8D3F3888F26}"/>
                </c:ext>
              </c:extLst>
            </c:dLbl>
            <c:dLbl>
              <c:idx val="4"/>
              <c:layout>
                <c:manualLayout>
                  <c:x val="-6.9350607394708885E-2"/>
                  <c:y val="-4.5689320535047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250-4AFB-B852-D8D3F3888F26}"/>
                </c:ext>
              </c:extLst>
            </c:dLbl>
            <c:dLbl>
              <c:idx val="5"/>
              <c:layout>
                <c:manualLayout>
                  <c:x val="-5.5927909189281359E-2"/>
                  <c:y val="-5.0258072709337132E-2"/>
                </c:manualLayout>
              </c:layout>
              <c:showLegendKey val="0"/>
              <c:showVal val="1"/>
              <c:showCatName val="0"/>
              <c:showSerName val="0"/>
              <c:showPercent val="0"/>
              <c:showBubbleSize val="0"/>
              <c:extLst>
                <c:ext xmlns:c15="http://schemas.microsoft.com/office/drawing/2012/chart" uri="{CE6537A1-D6FC-4f65-9D91-7224C49458BB}">
                  <c15:layout>
                    <c:manualLayout>
                      <c:w val="8.6184819985235028E-2"/>
                      <c:h val="7.0110442240244514E-2"/>
                    </c:manualLayout>
                  </c15:layout>
                </c:ext>
                <c:ext xmlns:c16="http://schemas.microsoft.com/office/drawing/2014/chart" uri="{C3380CC4-5D6E-409C-BE32-E72D297353CC}">
                  <c16:uniqueId val="{0000001C-7250-4AFB-B852-D8D3F3888F26}"/>
                </c:ext>
              </c:extLst>
            </c:dLbl>
            <c:dLbl>
              <c:idx val="6"/>
              <c:layout>
                <c:manualLayout>
                  <c:x val="-5.8165025556852698E-2"/>
                  <c:y val="-5.48271846420565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250-4AFB-B852-D8D3F3888F26}"/>
                </c:ext>
              </c:extLst>
            </c:dLbl>
            <c:dLbl>
              <c:idx val="7"/>
              <c:layout>
                <c:manualLayout>
                  <c:x val="-5.8165025556852698E-2"/>
                  <c:y val="-4.5689320535047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250-4AFB-B852-D8D3F3888F26}"/>
                </c:ext>
              </c:extLst>
            </c:dLbl>
            <c:dLbl>
              <c:idx val="8"/>
              <c:layout>
                <c:manualLayout>
                  <c:x val="-5.8165025556852615E-2"/>
                  <c:y val="-5.0258252588551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250-4AFB-B852-D8D3F3888F26}"/>
                </c:ext>
              </c:extLst>
            </c:dLbl>
            <c:dLbl>
              <c:idx val="9"/>
              <c:layout>
                <c:manualLayout>
                  <c:x val="-6.2639258291995126E-2"/>
                  <c:y val="-5.0258252588551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250-4AFB-B852-D8D3F3888F26}"/>
                </c:ext>
              </c:extLst>
            </c:dLbl>
            <c:dLbl>
              <c:idx val="10"/>
              <c:layout>
                <c:manualLayout>
                  <c:x val="-6.2639258291995126E-2"/>
                  <c:y val="-4.1120388481542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250-4AFB-B852-D8D3F3888F26}"/>
                </c:ext>
              </c:extLst>
            </c:dLbl>
            <c:dLbl>
              <c:idx val="11"/>
              <c:layout>
                <c:manualLayout>
                  <c:x val="-1.1185581837856272E-2"/>
                  <c:y val="-5.0258252588551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250-4AFB-B852-D8D3F3888F26}"/>
                </c:ext>
              </c:extLst>
            </c:dLbl>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numRef>
              <c:f>'22'!$B$3:$B$14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'22'!$C$3:$C$14</c:f>
              <c:numCache>
                <c:formatCode>General</c:formatCode>
                <c:ptCount val="12"/>
                <c:pt idx="3" formatCode="#\ ###\ ###\ ##0">
                  <c:v>50283</c:v>
                </c:pt>
                <c:pt idx="4" formatCode="#\ ###\ ###\ ##0">
                  <c:v>45436</c:v>
                </c:pt>
                <c:pt idx="5" formatCode="#\ ###\ ###\ ##0">
                  <c:v>45349</c:v>
                </c:pt>
                <c:pt idx="6" formatCode="#\ ###\ ###\ ##0">
                  <c:v>50653</c:v>
                </c:pt>
                <c:pt idx="7" formatCode="#\ ###\ ###\ ##0">
                  <c:v>55261</c:v>
                </c:pt>
                <c:pt idx="8" formatCode="#\ ###\ ###\ ##0">
                  <c:v>55006</c:v>
                </c:pt>
                <c:pt idx="9" formatCode="#\ ###\ ###\ ##0">
                  <c:v>58630</c:v>
                </c:pt>
                <c:pt idx="10" formatCode="#\ ###\ ###\ ##0">
                  <c:v>64004</c:v>
                </c:pt>
                <c:pt idx="11" formatCode="#\ ###\ ###\ ##0">
                  <c:v>65572</c:v>
                </c:pt>
              </c:numCache>
            </c:numRef>
          </c:val>
          <c:smooth val="0"/>
          <c:extLst xmlns:c15="http://schemas.microsoft.com/office/drawing/2012/chart">
            <c:ext xmlns:c16="http://schemas.microsoft.com/office/drawing/2014/chart" uri="{C3380CC4-5D6E-409C-BE32-E72D297353CC}">
              <c16:uniqueId val="{00000023-7250-4AFB-B852-D8D3F3888F26}"/>
            </c:ext>
          </c:extLst>
        </c:ser>
        <c:dLbls>
          <c:showLegendKey val="0"/>
          <c:showVal val="0"/>
          <c:showCatName val="0"/>
          <c:showSerName val="0"/>
          <c:showPercent val="0"/>
          <c:showBubbleSize val="0"/>
        </c:dLbls>
        <c:marker val="1"/>
        <c:smooth val="0"/>
        <c:axId val="1749307440"/>
        <c:axId val="1749327408"/>
      </c:lineChart>
      <c:catAx>
        <c:axId val="174930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crossAx val="1749327408"/>
        <c:crosses val="autoZero"/>
        <c:auto val="1"/>
        <c:lblAlgn val="ctr"/>
        <c:lblOffset val="100"/>
        <c:noMultiLvlLbl val="0"/>
      </c:catAx>
      <c:valAx>
        <c:axId val="1749327408"/>
        <c:scaling>
          <c:orientation val="minMax"/>
        </c:scaling>
        <c:delete val="1"/>
        <c:axPos val="l"/>
        <c:numFmt formatCode="General" sourceLinked="1"/>
        <c:majorTickMark val="none"/>
        <c:minorTickMark val="none"/>
        <c:tickLblPos val="nextTo"/>
        <c:crossAx val="174930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rgbClr val="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222222222222223E-2"/>
          <c:y val="7.8703703703703706E-2"/>
          <c:w val="0.9555555555555556"/>
          <c:h val="0.421667760279965"/>
        </c:manualLayout>
      </c:layout>
      <c:barChart>
        <c:barDir val="col"/>
        <c:grouping val="clustered"/>
        <c:varyColors val="0"/>
        <c:ser>
          <c:idx val="0"/>
          <c:order val="0"/>
          <c:tx>
            <c:strRef>
              <c:f>'23'!$C$39</c:f>
              <c:strCache>
                <c:ptCount val="1"/>
                <c:pt idx="0">
                  <c:v>Hombres</c:v>
                </c:pt>
              </c:strCache>
            </c:strRef>
          </c:tx>
          <c:spPr>
            <a:solidFill>
              <a:srgbClr val="804053"/>
            </a:solidFill>
            <a:ln>
              <a:noFill/>
            </a:ln>
            <a:effectLst>
              <a:outerShdw blurRad="50800" dist="38100" dir="2700000" algn="tl" rotWithShape="0">
                <a:prstClr val="black">
                  <a:alpha val="40000"/>
                </a:prstClr>
              </a:outerShdw>
            </a:effectLst>
          </c:spPr>
          <c:invertIfNegative val="0"/>
          <c:dLbls>
            <c:dLbl>
              <c:idx val="0"/>
              <c:layout>
                <c:manualLayout>
                  <c:x val="0"/>
                  <c:y val="0.16203703703703703"/>
                </c:manualLayout>
              </c:layout>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20-4DBE-B137-5F826A9D544C}"/>
                </c:ext>
              </c:extLst>
            </c:dLbl>
            <c:dLbl>
              <c:idx val="1"/>
              <c:layout>
                <c:manualLayout>
                  <c:x val="2.0202020202020202E-3"/>
                  <c:y val="4.3871462995305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20-4DBE-B137-5F826A9D544C}"/>
                </c:ext>
              </c:extLst>
            </c:dLbl>
            <c:dLbl>
              <c:idx val="2"/>
              <c:layout>
                <c:manualLayout>
                  <c:x val="0"/>
                  <c:y val="5.65475609174466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20-4DBE-B137-5F826A9D544C}"/>
                </c:ext>
              </c:extLst>
            </c:dLbl>
            <c:dLbl>
              <c:idx val="3"/>
              <c:layout>
                <c:manualLayout>
                  <c:x val="-7.7159602472848446E-17"/>
                  <c:y val="5.5408815172980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20-4DBE-B137-5F826A9D544C}"/>
                </c:ext>
              </c:extLst>
            </c:dLbl>
            <c:dLbl>
              <c:idx val="4"/>
              <c:layout>
                <c:manualLayout>
                  <c:x val="0"/>
                  <c:y val="7.15756434685641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20-4DBE-B137-5F826A9D544C}"/>
                </c:ext>
              </c:extLst>
            </c:dLbl>
            <c:dLbl>
              <c:idx val="5"/>
              <c:layout>
                <c:manualLayout>
                  <c:x val="-1.5431920494569689E-16"/>
                  <c:y val="6.35290216643311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20-4DBE-B137-5F826A9D544C}"/>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'23'!$B$40:$B$45</c:f>
              <c:strCache>
                <c:ptCount val="6"/>
                <c:pt idx="0">
                  <c:v>Policías ministeriales, 
investigadores
o judiciales</c:v>
                </c:pt>
                <c:pt idx="1">
                  <c:v>Agentes y/o fiscales del
Ministerio Público</c:v>
                </c:pt>
                <c:pt idx="2">
                  <c:v>Personal administrativo
y de apoyo </c:v>
                </c:pt>
                <c:pt idx="3">
                  <c:v>Secretarios del 
Ministerio Público</c:v>
                </c:pt>
                <c:pt idx="4">
                  <c:v>Peritos</c:v>
                </c:pt>
                <c:pt idx="5">
                  <c:v>Otro cargo y/o función
desempeñada</c:v>
                </c:pt>
              </c:strCache>
            </c:strRef>
          </c:cat>
          <c:val>
            <c:numRef>
              <c:f>'23'!$C$40:$C$45</c:f>
              <c:numCache>
                <c:formatCode>#\ ###\ ###\ ##0</c:formatCode>
                <c:ptCount val="6"/>
                <c:pt idx="0">
                  <c:v>2048</c:v>
                </c:pt>
                <c:pt idx="1">
                  <c:v>1678</c:v>
                </c:pt>
                <c:pt idx="2">
                  <c:v>1307</c:v>
                </c:pt>
                <c:pt idx="3">
                  <c:v>977</c:v>
                </c:pt>
                <c:pt idx="4">
                  <c:v>483</c:v>
                </c:pt>
                <c:pt idx="5">
                  <c:v>277</c:v>
                </c:pt>
              </c:numCache>
            </c:numRef>
          </c:val>
          <c:extLst>
            <c:ext xmlns:c16="http://schemas.microsoft.com/office/drawing/2014/chart" uri="{C3380CC4-5D6E-409C-BE32-E72D297353CC}">
              <c16:uniqueId val="{00000006-7320-4DBE-B137-5F826A9D544C}"/>
            </c:ext>
          </c:extLst>
        </c:ser>
        <c:ser>
          <c:idx val="1"/>
          <c:order val="1"/>
          <c:tx>
            <c:strRef>
              <c:f>'23'!$D$39</c:f>
              <c:strCache>
                <c:ptCount val="1"/>
                <c:pt idx="0">
                  <c:v>Mujeres</c:v>
                </c:pt>
              </c:strCache>
            </c:strRef>
          </c:tx>
          <c:spPr>
            <a:solidFill>
              <a:srgbClr val="285072"/>
            </a:solidFill>
            <a:ln>
              <a:noFill/>
            </a:ln>
            <a:effectLst>
              <a:outerShdw blurRad="50800" dist="38100" dir="2700000" algn="tl" rotWithShape="0">
                <a:prstClr val="black">
                  <a:alpha val="40000"/>
                </a:prstClr>
              </a:outerShdw>
            </a:effectLst>
          </c:spPr>
          <c:invertIfNegative val="0"/>
          <c:dLbls>
            <c:dLbl>
              <c:idx val="0"/>
              <c:layout>
                <c:manualLayout>
                  <c:x val="0"/>
                  <c:y val="4.0380732621863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20-4DBE-B137-5F826A9D544C}"/>
                </c:ext>
              </c:extLst>
            </c:dLbl>
            <c:dLbl>
              <c:idx val="1"/>
              <c:layout>
                <c:manualLayout>
                  <c:x val="-8.417508417508418E-5"/>
                  <c:y val="5.65475609174466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20-4DBE-B137-5F826A9D544C}"/>
                </c:ext>
              </c:extLst>
            </c:dLbl>
            <c:dLbl>
              <c:idx val="2"/>
              <c:layout>
                <c:manualLayout>
                  <c:x val="-4.1245791245791245E-3"/>
                  <c:y val="5.42696152020512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20-4DBE-B137-5F826A9D544C}"/>
                </c:ext>
              </c:extLst>
            </c:dLbl>
            <c:dLbl>
              <c:idx val="3"/>
              <c:layout>
                <c:manualLayout>
                  <c:x val="-7.7159602472848446E-17"/>
                  <c:y val="5.5408815172980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20-4DBE-B137-5F826A9D544C}"/>
                </c:ext>
              </c:extLst>
            </c:dLbl>
            <c:dLbl>
              <c:idx val="4"/>
              <c:layout>
                <c:manualLayout>
                  <c:x val="-2.0202020202020202E-3"/>
                  <c:y val="6.5806967379726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20-4DBE-B137-5F826A9D544C}"/>
                </c:ext>
              </c:extLst>
            </c:dLbl>
            <c:dLbl>
              <c:idx val="5"/>
              <c:layout>
                <c:manualLayout>
                  <c:x val="-2.1043771043771043E-3"/>
                  <c:y val="6.00382912908888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320-4DBE-B137-5F826A9D544C}"/>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'23'!$B$40:$B$45</c:f>
              <c:strCache>
                <c:ptCount val="6"/>
                <c:pt idx="0">
                  <c:v>Policías ministeriales, 
investigadores
o judiciales</c:v>
                </c:pt>
                <c:pt idx="1">
                  <c:v>Agentes y/o fiscales del
Ministerio Público</c:v>
                </c:pt>
                <c:pt idx="2">
                  <c:v>Personal administrativo
y de apoyo </c:v>
                </c:pt>
                <c:pt idx="3">
                  <c:v>Secretarios del 
Ministerio Público</c:v>
                </c:pt>
                <c:pt idx="4">
                  <c:v>Peritos</c:v>
                </c:pt>
                <c:pt idx="5">
                  <c:v>Otro cargo y/o función
desempeñada</c:v>
                </c:pt>
              </c:strCache>
            </c:strRef>
          </c:cat>
          <c:val>
            <c:numRef>
              <c:f>'23'!$D$40:$D$45</c:f>
              <c:numCache>
                <c:formatCode>#\ ###\ ###\ ##0</c:formatCode>
                <c:ptCount val="6"/>
                <c:pt idx="0">
                  <c:v>353</c:v>
                </c:pt>
                <c:pt idx="1">
                  <c:v>1398</c:v>
                </c:pt>
                <c:pt idx="2">
                  <c:v>1728</c:v>
                </c:pt>
                <c:pt idx="3">
                  <c:v>1301</c:v>
                </c:pt>
                <c:pt idx="4">
                  <c:v>398</c:v>
                </c:pt>
                <c:pt idx="5">
                  <c:v>199</c:v>
                </c:pt>
              </c:numCache>
            </c:numRef>
          </c:val>
          <c:extLst>
            <c:ext xmlns:c16="http://schemas.microsoft.com/office/drawing/2014/chart" uri="{C3380CC4-5D6E-409C-BE32-E72D297353CC}">
              <c16:uniqueId val="{0000000D-7320-4DBE-B137-5F826A9D544C}"/>
            </c:ext>
          </c:extLst>
        </c:ser>
        <c:dLbls>
          <c:dLblPos val="outEnd"/>
          <c:showLegendKey val="0"/>
          <c:showVal val="1"/>
          <c:showCatName val="0"/>
          <c:showSerName val="0"/>
          <c:showPercent val="0"/>
          <c:showBubbleSize val="0"/>
        </c:dLbls>
        <c:gapWidth val="70"/>
        <c:overlap val="-27"/>
        <c:axId val="1458465007"/>
        <c:axId val="1458461679"/>
      </c:barChart>
      <c:catAx>
        <c:axId val="145846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458461679"/>
        <c:crosses val="autoZero"/>
        <c:auto val="1"/>
        <c:lblAlgn val="ctr"/>
        <c:lblOffset val="100"/>
        <c:noMultiLvlLbl val="0"/>
      </c:catAx>
      <c:valAx>
        <c:axId val="1458461679"/>
        <c:scaling>
          <c:orientation val="minMax"/>
        </c:scaling>
        <c:delete val="1"/>
        <c:axPos val="l"/>
        <c:numFmt formatCode="#\ ###\ ###\ ##0" sourceLinked="1"/>
        <c:majorTickMark val="none"/>
        <c:minorTickMark val="none"/>
        <c:tickLblPos val="nextTo"/>
        <c:crossAx val="1458465007"/>
        <c:crosses val="autoZero"/>
        <c:crossBetween val="between"/>
      </c:valAx>
      <c:spPr>
        <a:noFill/>
        <a:ln>
          <a:noFill/>
        </a:ln>
        <a:effectLst/>
      </c:spPr>
    </c:plotArea>
    <c:legend>
      <c:legendPos val="b"/>
      <c:layout>
        <c:manualLayout>
          <c:xMode val="edge"/>
          <c:yMode val="edge"/>
          <c:x val="0.76472663644317174"/>
          <c:y val="3.7270705745115193E-2"/>
          <c:w val="0.20994050743657042"/>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668727460072129E-2"/>
          <c:y val="7.4054482941020891E-2"/>
          <c:w val="0.95466254507985571"/>
          <c:h val="0.38955406956040045"/>
        </c:manualLayout>
      </c:layout>
      <c:barChart>
        <c:barDir val="col"/>
        <c:grouping val="clustered"/>
        <c:varyColors val="0"/>
        <c:ser>
          <c:idx val="0"/>
          <c:order val="0"/>
          <c:tx>
            <c:strRef>
              <c:f>'23'!$C$18</c:f>
              <c:strCache>
                <c:ptCount val="1"/>
                <c:pt idx="0">
                  <c:v>Hombres</c:v>
                </c:pt>
              </c:strCache>
            </c:strRef>
          </c:tx>
          <c:spPr>
            <a:solidFill>
              <a:srgbClr val="804053"/>
            </a:solidFill>
            <a:ln>
              <a:noFill/>
            </a:ln>
            <a:effectLst>
              <a:outerShdw blurRad="50800" dist="38100" dir="2700000" algn="tl" rotWithShape="0">
                <a:prstClr val="black">
                  <a:alpha val="40000"/>
                </a:prstClr>
              </a:outerShdw>
            </a:effectLst>
          </c:spPr>
          <c:invertIfNegative val="0"/>
          <c:dLbls>
            <c:dLbl>
              <c:idx val="0"/>
              <c:layout>
                <c:manualLayout>
                  <c:x val="0"/>
                  <c:y val="9.8918067410975363E-2"/>
                </c:manualLayout>
              </c:layout>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6A-4396-A3BC-206AA6A006E5}"/>
                </c:ext>
              </c:extLst>
            </c:dLbl>
            <c:dLbl>
              <c:idx val="1"/>
              <c:layout>
                <c:manualLayout>
                  <c:x val="0"/>
                  <c:y val="3.7082524618470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6A-4396-A3BC-206AA6A006E5}"/>
                </c:ext>
              </c:extLst>
            </c:dLbl>
            <c:dLbl>
              <c:idx val="2"/>
              <c:layout>
                <c:manualLayout>
                  <c:x val="-3.7780775986705387E-17"/>
                  <c:y val="4.53421269579554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6A-4396-A3BC-206AA6A006E5}"/>
                </c:ext>
              </c:extLst>
            </c:dLbl>
            <c:dLbl>
              <c:idx val="3"/>
              <c:layout>
                <c:manualLayout>
                  <c:x val="0"/>
                  <c:y val="2.88540807914262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6A-4396-A3BC-206AA6A006E5}"/>
                </c:ext>
              </c:extLst>
            </c:dLbl>
            <c:dLbl>
              <c:idx val="4"/>
              <c:layout>
                <c:manualLayout>
                  <c:x val="0"/>
                  <c:y val="3.29760923330585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06A-4396-A3BC-206AA6A006E5}"/>
                </c:ext>
              </c:extLst>
            </c:dLbl>
            <c:dLbl>
              <c:idx val="5"/>
              <c:layout>
                <c:manualLayout>
                  <c:x val="-7.5561551973410773E-17"/>
                  <c:y val="2.88540807914262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6A-4396-A3BC-206AA6A006E5}"/>
                </c:ext>
              </c:extLst>
            </c:dLbl>
            <c:dLbl>
              <c:idx val="6"/>
              <c:layout>
                <c:manualLayout>
                  <c:x val="0"/>
                  <c:y val="2.473206924979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06A-4396-A3BC-206AA6A006E5}"/>
                </c:ext>
              </c:extLst>
            </c:dLbl>
            <c:dLbl>
              <c:idx val="7"/>
              <c:layout>
                <c:manualLayout>
                  <c:x val="-2.0607934054611026E-3"/>
                  <c:y val="4.12201154163231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06A-4396-A3BC-206AA6A006E5}"/>
                </c:ext>
              </c:extLst>
            </c:dLbl>
            <c:spPr>
              <a:noFill/>
              <a:ln>
                <a:noFill/>
              </a:ln>
              <a:effectLst/>
            </c:spPr>
            <c:txPr>
              <a:bodyPr rot="-5400000" spcFirstLastPara="1" vertOverflow="ellipsis"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'23'!$B$19:$B$26</c:f>
              <c:strCache>
                <c:ptCount val="8"/>
                <c:pt idx="0">
                  <c:v>Policías ministeriales, 
investigadores o judiciales</c:v>
                </c:pt>
                <c:pt idx="1">
                  <c:v>Agentes del 
Ministerio Público</c:v>
                </c:pt>
                <c:pt idx="2">
                  <c:v>Personal administrativo
y de apoyo </c:v>
                </c:pt>
                <c:pt idx="3">
                  <c:v>Secretarios del 
Ministerio Público</c:v>
                </c:pt>
                <c:pt idx="4">
                  <c:v>Peritos</c:v>
                </c:pt>
                <c:pt idx="5">
                  <c:v>Fiscales del 
Ministerio Público</c:v>
                </c:pt>
                <c:pt idx="6">
                  <c:v>Actuarios del 
Ministerio Público</c:v>
                </c:pt>
                <c:pt idx="7">
                  <c:v>Otro cargo y/o función
desempeñada</c:v>
                </c:pt>
              </c:strCache>
            </c:strRef>
          </c:cat>
          <c:val>
            <c:numRef>
              <c:f>'23'!$C$19:$C$26</c:f>
              <c:numCache>
                <c:formatCode>#\ ###\ ###\ ##0</c:formatCode>
                <c:ptCount val="8"/>
                <c:pt idx="0">
                  <c:v>13161</c:v>
                </c:pt>
                <c:pt idx="1">
                  <c:v>4743</c:v>
                </c:pt>
                <c:pt idx="2">
                  <c:v>3935</c:v>
                </c:pt>
                <c:pt idx="3">
                  <c:v>2793</c:v>
                </c:pt>
                <c:pt idx="4">
                  <c:v>2410</c:v>
                </c:pt>
                <c:pt idx="5">
                  <c:v>1382</c:v>
                </c:pt>
                <c:pt idx="6">
                  <c:v>408</c:v>
                </c:pt>
                <c:pt idx="7">
                  <c:v>805</c:v>
                </c:pt>
              </c:numCache>
            </c:numRef>
          </c:val>
          <c:extLst>
            <c:ext xmlns:c16="http://schemas.microsoft.com/office/drawing/2014/chart" uri="{C3380CC4-5D6E-409C-BE32-E72D297353CC}">
              <c16:uniqueId val="{00000008-206A-4396-A3BC-206AA6A006E5}"/>
            </c:ext>
          </c:extLst>
        </c:ser>
        <c:ser>
          <c:idx val="1"/>
          <c:order val="1"/>
          <c:tx>
            <c:strRef>
              <c:f>'23'!$D$18</c:f>
              <c:strCache>
                <c:ptCount val="1"/>
                <c:pt idx="0">
                  <c:v>Mujeres</c:v>
                </c:pt>
              </c:strCache>
            </c:strRef>
          </c:tx>
          <c:spPr>
            <a:solidFill>
              <a:srgbClr val="285072"/>
            </a:solidFill>
            <a:ln>
              <a:noFill/>
            </a:ln>
            <a:effectLst>
              <a:outerShdw blurRad="50800" dist="38100" dir="2700000" algn="tl" rotWithShape="0">
                <a:prstClr val="black">
                  <a:alpha val="40000"/>
                </a:prstClr>
              </a:outerShdw>
            </a:effectLst>
          </c:spPr>
          <c:invertIfNegative val="0"/>
          <c:dLbls>
            <c:dLbl>
              <c:idx val="0"/>
              <c:layout>
                <c:manualLayout>
                  <c:x val="0"/>
                  <c:y val="3.70981038746908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06A-4396-A3BC-206AA6A006E5}"/>
                </c:ext>
              </c:extLst>
            </c:dLbl>
            <c:dLbl>
              <c:idx val="1"/>
              <c:layout>
                <c:manualLayout>
                  <c:x val="-3.7780775986705387E-17"/>
                  <c:y val="3.70815509149567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06A-4396-A3BC-206AA6A006E5}"/>
                </c:ext>
              </c:extLst>
            </c:dLbl>
            <c:dLbl>
              <c:idx val="2"/>
              <c:layout>
                <c:manualLayout>
                  <c:x val="2.0607934054610649E-3"/>
                  <c:y val="4.1203562456589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06A-4396-A3BC-206AA6A006E5}"/>
                </c:ext>
              </c:extLst>
            </c:dLbl>
            <c:dLbl>
              <c:idx val="3"/>
              <c:layout>
                <c:manualLayout>
                  <c:x val="0"/>
                  <c:y val="4.12048607279407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06A-4396-A3BC-206AA6A006E5}"/>
                </c:ext>
              </c:extLst>
            </c:dLbl>
            <c:dLbl>
              <c:idx val="4"/>
              <c:layout>
                <c:manualLayout>
                  <c:x val="7.5561551973410773E-17"/>
                  <c:y val="4.1220115416323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06A-4396-A3BC-206AA6A006E5}"/>
                </c:ext>
              </c:extLst>
            </c:dLbl>
            <c:dLbl>
              <c:idx val="5"/>
              <c:layout>
                <c:manualLayout>
                  <c:x val="2.0607934054611026E-3"/>
                  <c:y val="3.70981038746908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06A-4396-A3BC-206AA6A006E5}"/>
                </c:ext>
              </c:extLst>
            </c:dLbl>
            <c:dLbl>
              <c:idx val="6"/>
              <c:layout>
                <c:manualLayout>
                  <c:x val="0"/>
                  <c:y val="3.29760923330585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06A-4396-A3BC-206AA6A006E5}"/>
                </c:ext>
              </c:extLst>
            </c:dLbl>
            <c:dLbl>
              <c:idx val="7"/>
              <c:layout>
                <c:manualLayout>
                  <c:x val="0"/>
                  <c:y val="3.70981038746907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06A-4396-A3BC-206AA6A006E5}"/>
                </c:ext>
              </c:extLst>
            </c:dLbl>
            <c:spPr>
              <a:noFill/>
              <a:ln>
                <a:noFill/>
              </a:ln>
              <a:effectLst/>
            </c:spPr>
            <c:txPr>
              <a:bodyPr rot="-5400000" spcFirstLastPara="1" vertOverflow="ellipsis"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'23'!$B$19:$B$26</c:f>
              <c:strCache>
                <c:ptCount val="8"/>
                <c:pt idx="0">
                  <c:v>Policías ministeriales, 
investigadores o judiciales</c:v>
                </c:pt>
                <c:pt idx="1">
                  <c:v>Agentes del 
Ministerio Público</c:v>
                </c:pt>
                <c:pt idx="2">
                  <c:v>Personal administrativo
y de apoyo </c:v>
                </c:pt>
                <c:pt idx="3">
                  <c:v>Secretarios del 
Ministerio Público</c:v>
                </c:pt>
                <c:pt idx="4">
                  <c:v>Peritos</c:v>
                </c:pt>
                <c:pt idx="5">
                  <c:v>Fiscales del 
Ministerio Público</c:v>
                </c:pt>
                <c:pt idx="6">
                  <c:v>Actuarios del 
Ministerio Público</c:v>
                </c:pt>
                <c:pt idx="7">
                  <c:v>Otro cargo y/o función
desempeñada</c:v>
                </c:pt>
              </c:strCache>
            </c:strRef>
          </c:cat>
          <c:val>
            <c:numRef>
              <c:f>'23'!$D$19:$D$26</c:f>
              <c:numCache>
                <c:formatCode>#\ ###\ ###\ ##0</c:formatCode>
                <c:ptCount val="8"/>
                <c:pt idx="0">
                  <c:v>2929</c:v>
                </c:pt>
                <c:pt idx="1">
                  <c:v>5390</c:v>
                </c:pt>
                <c:pt idx="2">
                  <c:v>5609</c:v>
                </c:pt>
                <c:pt idx="3">
                  <c:v>4678</c:v>
                </c:pt>
                <c:pt idx="4">
                  <c:v>2166</c:v>
                </c:pt>
                <c:pt idx="5">
                  <c:v>1463</c:v>
                </c:pt>
                <c:pt idx="6">
                  <c:v>418</c:v>
                </c:pt>
                <c:pt idx="7">
                  <c:v>1135</c:v>
                </c:pt>
              </c:numCache>
            </c:numRef>
          </c:val>
          <c:extLst>
            <c:ext xmlns:c16="http://schemas.microsoft.com/office/drawing/2014/chart" uri="{C3380CC4-5D6E-409C-BE32-E72D297353CC}">
              <c16:uniqueId val="{00000011-206A-4396-A3BC-206AA6A006E5}"/>
            </c:ext>
          </c:extLst>
        </c:ser>
        <c:dLbls>
          <c:dLblPos val="outEnd"/>
          <c:showLegendKey val="0"/>
          <c:showVal val="1"/>
          <c:showCatName val="0"/>
          <c:showSerName val="0"/>
          <c:showPercent val="0"/>
          <c:showBubbleSize val="0"/>
        </c:dLbls>
        <c:gapWidth val="70"/>
        <c:overlap val="-27"/>
        <c:axId val="1520466143"/>
        <c:axId val="1520461567"/>
      </c:barChart>
      <c:catAx>
        <c:axId val="1520466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crossAx val="1520461567"/>
        <c:crosses val="autoZero"/>
        <c:auto val="1"/>
        <c:lblAlgn val="ctr"/>
        <c:lblOffset val="100"/>
        <c:noMultiLvlLbl val="0"/>
      </c:catAx>
      <c:valAx>
        <c:axId val="1520461567"/>
        <c:scaling>
          <c:orientation val="minMax"/>
        </c:scaling>
        <c:delete val="1"/>
        <c:axPos val="l"/>
        <c:numFmt formatCode="#\ ###\ ###\ ##0" sourceLinked="1"/>
        <c:majorTickMark val="none"/>
        <c:minorTickMark val="none"/>
        <c:tickLblPos val="nextTo"/>
        <c:crossAx val="1520466143"/>
        <c:crosses val="autoZero"/>
        <c:crossBetween val="between"/>
      </c:valAx>
      <c:spPr>
        <a:noFill/>
        <a:ln>
          <a:noFill/>
        </a:ln>
        <a:effectLst/>
      </c:spPr>
    </c:plotArea>
    <c:legend>
      <c:legendPos val="b"/>
      <c:layout>
        <c:manualLayout>
          <c:xMode val="edge"/>
          <c:yMode val="edge"/>
          <c:x val="0.77416738672735463"/>
          <c:y val="3.1535335700514762E-2"/>
          <c:w val="0.21415878656589873"/>
          <c:h val="6.5744136682007903E-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rgbClr val="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'22'!$C$19</c:f>
              <c:strCache>
                <c:ptCount val="1"/>
                <c:pt idx="0">
                  <c:v>Total</c:v>
                </c:pt>
              </c:strCache>
            </c:strRef>
          </c:tx>
          <c:spPr>
            <a:solidFill>
              <a:srgbClr val="877A6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9848-4820-8548-71021EFC6CBE}"/>
              </c:ext>
            </c:extLst>
          </c:dPt>
          <c:dLbls>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'22'!$B$20:$B$52</c:f>
              <c:strCache>
                <c:ptCount val="33"/>
                <c:pt idx="0">
                  <c:v>FGR</c:v>
                </c:pt>
                <c:pt idx="1">
                  <c:v>CDMX</c:v>
                </c:pt>
                <c:pt idx="2">
                  <c:v>MEX</c:v>
                </c:pt>
                <c:pt idx="3">
                  <c:v>JAL</c:v>
                </c:pt>
                <c:pt idx="4">
                  <c:v>CHIH</c:v>
                </c:pt>
                <c:pt idx="5">
                  <c:v>CHIS</c:v>
                </c:pt>
                <c:pt idx="6">
                  <c:v>VER</c:v>
                </c:pt>
                <c:pt idx="7">
                  <c:v>TAMPS</c:v>
                </c:pt>
                <c:pt idx="8">
                  <c:v>MICH</c:v>
                </c:pt>
                <c:pt idx="9">
                  <c:v>GRO</c:v>
                </c:pt>
                <c:pt idx="10">
                  <c:v>HGO</c:v>
                </c:pt>
                <c:pt idx="11">
                  <c:v>TAB</c:v>
                </c:pt>
                <c:pt idx="12">
                  <c:v>GTO</c:v>
                </c:pt>
                <c:pt idx="13">
                  <c:v>PUE</c:v>
                </c:pt>
                <c:pt idx="14">
                  <c:v>QROO</c:v>
                </c:pt>
                <c:pt idx="15">
                  <c:v>COAH</c:v>
                </c:pt>
                <c:pt idx="16">
                  <c:v>BC</c:v>
                </c:pt>
                <c:pt idx="17">
                  <c:v>NAY</c:v>
                </c:pt>
                <c:pt idx="18">
                  <c:v>QRO</c:v>
                </c:pt>
                <c:pt idx="19">
                  <c:v>MOR</c:v>
                </c:pt>
                <c:pt idx="20">
                  <c:v>DGO</c:v>
                </c:pt>
                <c:pt idx="21">
                  <c:v>COL</c:v>
                </c:pt>
                <c:pt idx="22">
                  <c:v>OAX</c:v>
                </c:pt>
                <c:pt idx="23">
                  <c:v>BCS</c:v>
                </c:pt>
                <c:pt idx="24">
                  <c:v>SON</c:v>
                </c:pt>
                <c:pt idx="25">
                  <c:v>TLAX</c:v>
                </c:pt>
                <c:pt idx="26">
                  <c:v>AGS</c:v>
                </c:pt>
                <c:pt idx="27">
                  <c:v>NL</c:v>
                </c:pt>
                <c:pt idx="28">
                  <c:v>SIN</c:v>
                </c:pt>
                <c:pt idx="29">
                  <c:v>ZAC</c:v>
                </c:pt>
                <c:pt idx="30">
                  <c:v>YUC</c:v>
                </c:pt>
                <c:pt idx="31">
                  <c:v>CAMP</c:v>
                </c:pt>
                <c:pt idx="32">
                  <c:v>SLP</c:v>
                </c:pt>
              </c:strCache>
            </c:strRef>
          </c:cat>
          <c:val>
            <c:numRef>
              <c:f>'22'!$C$20:$C$52</c:f>
              <c:numCache>
                <c:formatCode>#\ ###\ ###\ ##0</c:formatCode>
                <c:ptCount val="33"/>
                <c:pt idx="0">
                  <c:v>12147</c:v>
                </c:pt>
                <c:pt idx="1">
                  <c:v>7774</c:v>
                </c:pt>
                <c:pt idx="2">
                  <c:v>5267</c:v>
                </c:pt>
                <c:pt idx="3">
                  <c:v>4146</c:v>
                </c:pt>
                <c:pt idx="4">
                  <c:v>3058</c:v>
                </c:pt>
                <c:pt idx="5">
                  <c:v>2945</c:v>
                </c:pt>
                <c:pt idx="6">
                  <c:v>2371</c:v>
                </c:pt>
                <c:pt idx="7">
                  <c:v>2254</c:v>
                </c:pt>
                <c:pt idx="8">
                  <c:v>2143</c:v>
                </c:pt>
                <c:pt idx="9">
                  <c:v>2110</c:v>
                </c:pt>
                <c:pt idx="10">
                  <c:v>2013</c:v>
                </c:pt>
                <c:pt idx="11">
                  <c:v>1830</c:v>
                </c:pt>
                <c:pt idx="12">
                  <c:v>1682</c:v>
                </c:pt>
                <c:pt idx="13">
                  <c:v>1605</c:v>
                </c:pt>
                <c:pt idx="14">
                  <c:v>1381</c:v>
                </c:pt>
                <c:pt idx="15">
                  <c:v>1314</c:v>
                </c:pt>
                <c:pt idx="16">
                  <c:v>1268</c:v>
                </c:pt>
                <c:pt idx="17">
                  <c:v>1027</c:v>
                </c:pt>
                <c:pt idx="18">
                  <c:v>1022</c:v>
                </c:pt>
                <c:pt idx="19">
                  <c:v>897</c:v>
                </c:pt>
                <c:pt idx="20">
                  <c:v>861</c:v>
                </c:pt>
                <c:pt idx="21">
                  <c:v>821</c:v>
                </c:pt>
                <c:pt idx="22">
                  <c:v>775</c:v>
                </c:pt>
                <c:pt idx="23">
                  <c:v>680</c:v>
                </c:pt>
                <c:pt idx="24">
                  <c:v>679</c:v>
                </c:pt>
                <c:pt idx="25">
                  <c:v>656</c:v>
                </c:pt>
                <c:pt idx="26">
                  <c:v>641</c:v>
                </c:pt>
                <c:pt idx="27">
                  <c:v>425</c:v>
                </c:pt>
                <c:pt idx="28">
                  <c:v>409</c:v>
                </c:pt>
                <c:pt idx="29">
                  <c:v>408</c:v>
                </c:pt>
                <c:pt idx="30">
                  <c:v>402</c:v>
                </c:pt>
                <c:pt idx="31">
                  <c:v>332</c:v>
                </c:pt>
                <c:pt idx="32">
                  <c:v>229</c:v>
                </c:pt>
              </c:numCache>
            </c:numRef>
          </c:val>
          <c:extLst>
            <c:ext xmlns:c16="http://schemas.microsoft.com/office/drawing/2014/chart" uri="{C3380CC4-5D6E-409C-BE32-E72D297353CC}">
              <c16:uniqueId val="{00000002-9848-4820-8548-71021EFC6CBE}"/>
            </c:ext>
          </c:extLst>
        </c:ser>
        <c:dLbls>
          <c:dLblPos val="outEnd"/>
          <c:showLegendKey val="0"/>
          <c:showVal val="1"/>
          <c:showCatName val="0"/>
          <c:showSerName val="0"/>
          <c:showPercent val="0"/>
          <c:showBubbleSize val="0"/>
        </c:dLbls>
        <c:gapWidth val="80"/>
        <c:axId val="1155915983"/>
        <c:axId val="1155916815"/>
      </c:barChart>
      <c:catAx>
        <c:axId val="115591598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crossAx val="1155916815"/>
        <c:crosses val="autoZero"/>
        <c:auto val="1"/>
        <c:lblAlgn val="ctr"/>
        <c:lblOffset val="100"/>
        <c:noMultiLvlLbl val="0"/>
      </c:catAx>
      <c:valAx>
        <c:axId val="1155916815"/>
        <c:scaling>
          <c:orientation val="minMax"/>
        </c:scaling>
        <c:delete val="1"/>
        <c:axPos val="t"/>
        <c:numFmt formatCode="#\ ###\ ###\ ##0" sourceLinked="1"/>
        <c:majorTickMark val="none"/>
        <c:minorTickMark val="none"/>
        <c:tickLblPos val="nextTo"/>
        <c:crossAx val="1155915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rgbClr val="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668727460072129E-2"/>
          <c:y val="0.22907488986784139"/>
          <c:w val="0.95466254507985571"/>
          <c:h val="0.43584501089906136"/>
        </c:manualLayout>
      </c:layout>
      <c:barChart>
        <c:barDir val="col"/>
        <c:grouping val="clustered"/>
        <c:varyColors val="0"/>
        <c:ser>
          <c:idx val="0"/>
          <c:order val="0"/>
          <c:spPr>
            <a:solidFill>
              <a:srgbClr val="BCAD93"/>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877A6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CE1C-468B-A6F2-34ABA41C5BDE}"/>
              </c:ext>
            </c:extLst>
          </c:dPt>
          <c:dPt>
            <c:idx val="12"/>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CE1C-468B-A6F2-34ABA41C5BDE}"/>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Registros!$AR$4:$AR$32</c:f>
              <c:strCache>
                <c:ptCount val="29"/>
                <c:pt idx="0">
                  <c:v>NL</c:v>
                </c:pt>
                <c:pt idx="1">
                  <c:v>MEX</c:v>
                </c:pt>
                <c:pt idx="2">
                  <c:v>VER</c:v>
                </c:pt>
                <c:pt idx="3">
                  <c:v>CHIH</c:v>
                </c:pt>
                <c:pt idx="4">
                  <c:v>JAL</c:v>
                </c:pt>
                <c:pt idx="5">
                  <c:v>SLP</c:v>
                </c:pt>
                <c:pt idx="6">
                  <c:v>GRO</c:v>
                </c:pt>
                <c:pt idx="7">
                  <c:v>SON</c:v>
                </c:pt>
                <c:pt idx="8">
                  <c:v>DGO</c:v>
                </c:pt>
                <c:pt idx="9">
                  <c:v>COL</c:v>
                </c:pt>
                <c:pt idx="10">
                  <c:v>TAMPS</c:v>
                </c:pt>
                <c:pt idx="11">
                  <c:v>AGS</c:v>
                </c:pt>
                <c:pt idx="12">
                  <c:v>FGR</c:v>
                </c:pt>
                <c:pt idx="13">
                  <c:v>QRO</c:v>
                </c:pt>
                <c:pt idx="14">
                  <c:v>CDMX</c:v>
                </c:pt>
                <c:pt idx="15">
                  <c:v>OAX</c:v>
                </c:pt>
                <c:pt idx="16">
                  <c:v>GTO</c:v>
                </c:pt>
                <c:pt idx="17">
                  <c:v>MICH</c:v>
                </c:pt>
                <c:pt idx="18">
                  <c:v>COAH</c:v>
                </c:pt>
                <c:pt idx="19">
                  <c:v>YUC</c:v>
                </c:pt>
                <c:pt idx="20">
                  <c:v>HGO</c:v>
                </c:pt>
                <c:pt idx="21">
                  <c:v>MOR</c:v>
                </c:pt>
                <c:pt idx="22">
                  <c:v>TAB</c:v>
                </c:pt>
                <c:pt idx="23">
                  <c:v>CHIS</c:v>
                </c:pt>
                <c:pt idx="24">
                  <c:v>QROO</c:v>
                </c:pt>
                <c:pt idx="25">
                  <c:v>SIN</c:v>
                </c:pt>
                <c:pt idx="26">
                  <c:v>BCS</c:v>
                </c:pt>
                <c:pt idx="27">
                  <c:v>BC</c:v>
                </c:pt>
                <c:pt idx="28">
                  <c:v>PUE</c:v>
                </c:pt>
              </c:strCache>
            </c:strRef>
          </c:cat>
          <c:val>
            <c:numRef>
              <c:f>Registros!$AS$4:$AS$32</c:f>
              <c:numCache>
                <c:formatCode>#\ ###\ ##0</c:formatCode>
                <c:ptCount val="29"/>
                <c:pt idx="0">
                  <c:v>341276</c:v>
                </c:pt>
                <c:pt idx="1">
                  <c:v>228096</c:v>
                </c:pt>
                <c:pt idx="2">
                  <c:v>136362</c:v>
                </c:pt>
                <c:pt idx="3">
                  <c:v>114651</c:v>
                </c:pt>
                <c:pt idx="4">
                  <c:v>103603</c:v>
                </c:pt>
                <c:pt idx="5">
                  <c:v>66207</c:v>
                </c:pt>
                <c:pt idx="6">
                  <c:v>65775</c:v>
                </c:pt>
                <c:pt idx="7">
                  <c:v>30823</c:v>
                </c:pt>
                <c:pt idx="8">
                  <c:v>28440</c:v>
                </c:pt>
                <c:pt idx="9">
                  <c:v>28368</c:v>
                </c:pt>
                <c:pt idx="10">
                  <c:v>24667</c:v>
                </c:pt>
                <c:pt idx="11">
                  <c:v>22608</c:v>
                </c:pt>
                <c:pt idx="12">
                  <c:v>17522</c:v>
                </c:pt>
                <c:pt idx="13">
                  <c:v>15898</c:v>
                </c:pt>
                <c:pt idx="14">
                  <c:v>10995</c:v>
                </c:pt>
                <c:pt idx="15">
                  <c:v>3472</c:v>
                </c:pt>
                <c:pt idx="16">
                  <c:v>3140</c:v>
                </c:pt>
                <c:pt idx="17">
                  <c:v>2580</c:v>
                </c:pt>
                <c:pt idx="18">
                  <c:v>1876</c:v>
                </c:pt>
                <c:pt idx="19">
                  <c:v>1228</c:v>
                </c:pt>
                <c:pt idx="20">
                  <c:v>886</c:v>
                </c:pt>
                <c:pt idx="21">
                  <c:v>686</c:v>
                </c:pt>
                <c:pt idx="22">
                  <c:v>596</c:v>
                </c:pt>
                <c:pt idx="23">
                  <c:v>593</c:v>
                </c:pt>
                <c:pt idx="24">
                  <c:v>541</c:v>
                </c:pt>
                <c:pt idx="25">
                  <c:v>499</c:v>
                </c:pt>
                <c:pt idx="26">
                  <c:v>324</c:v>
                </c:pt>
                <c:pt idx="27">
                  <c:v>111</c:v>
                </c:pt>
                <c:pt idx="28">
                  <c:v>45</c:v>
                </c:pt>
              </c:numCache>
            </c:numRef>
          </c:val>
          <c:extLst>
            <c:ext xmlns:c16="http://schemas.microsoft.com/office/drawing/2014/chart" uri="{C3380CC4-5D6E-409C-BE32-E72D297353CC}">
              <c16:uniqueId val="{00000004-CE1C-468B-A6F2-34ABA41C5BDE}"/>
            </c:ext>
          </c:extLst>
        </c:ser>
        <c:dLbls>
          <c:showLegendKey val="0"/>
          <c:showVal val="0"/>
          <c:showCatName val="0"/>
          <c:showSerName val="0"/>
          <c:showPercent val="0"/>
          <c:showBubbleSize val="0"/>
        </c:dLbls>
        <c:gapWidth val="100"/>
        <c:axId val="848686591"/>
        <c:axId val="848690335"/>
      </c:barChart>
      <c:catAx>
        <c:axId val="848686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8690335"/>
        <c:crosses val="autoZero"/>
        <c:auto val="1"/>
        <c:lblAlgn val="ctr"/>
        <c:lblOffset val="100"/>
        <c:noMultiLvlLbl val="0"/>
      </c:catAx>
      <c:valAx>
        <c:axId val="848690335"/>
        <c:scaling>
          <c:orientation val="minMax"/>
        </c:scaling>
        <c:delete val="1"/>
        <c:axPos val="l"/>
        <c:numFmt formatCode="#\ ###\ ##0" sourceLinked="1"/>
        <c:majorTickMark val="none"/>
        <c:minorTickMark val="none"/>
        <c:tickLblPos val="nextTo"/>
        <c:crossAx val="848686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928378152611946E-2"/>
          <c:y val="0.27282982484332313"/>
          <c:w val="0.98277563300645299"/>
          <c:h val="0.49629814130376559"/>
        </c:manualLayout>
      </c:layout>
      <c:barChart>
        <c:barDir val="col"/>
        <c:grouping val="clustered"/>
        <c:varyColors val="0"/>
        <c:ser>
          <c:idx val="0"/>
          <c:order val="0"/>
          <c:tx>
            <c:strRef>
              <c:f>Registros!$B$35</c:f>
              <c:strCache>
                <c:ptCount val="1"/>
                <c:pt idx="0">
                  <c:v>Total</c:v>
                </c:pt>
              </c:strCache>
            </c:strRef>
          </c:tx>
          <c:spPr>
            <a:solidFill>
              <a:srgbClr val="51142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rgbClr val="511427"/>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Registros!$A$36:$A$45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Registros!$B$36:$B$45</c:f>
              <c:numCache>
                <c:formatCode>#\ ###\ ##0</c:formatCode>
                <c:ptCount val="10"/>
                <c:pt idx="0">
                  <c:v>195457</c:v>
                </c:pt>
                <c:pt idx="1">
                  <c:v>234905</c:v>
                </c:pt>
                <c:pt idx="2">
                  <c:v>226096</c:v>
                </c:pt>
                <c:pt idx="3">
                  <c:v>314322</c:v>
                </c:pt>
                <c:pt idx="4">
                  <c:v>111553</c:v>
                </c:pt>
                <c:pt idx="5">
                  <c:v>190869</c:v>
                </c:pt>
                <c:pt idx="6">
                  <c:v>236764</c:v>
                </c:pt>
                <c:pt idx="7">
                  <c:v>365687</c:v>
                </c:pt>
                <c:pt idx="8">
                  <c:v>783316</c:v>
                </c:pt>
                <c:pt idx="9">
                  <c:v>1251868</c:v>
                </c:pt>
              </c:numCache>
            </c:numRef>
          </c:val>
          <c:extLst>
            <c:ext xmlns:c16="http://schemas.microsoft.com/office/drawing/2014/chart" uri="{C3380CC4-5D6E-409C-BE32-E72D297353CC}">
              <c16:uniqueId val="{00000000-54CC-49BE-8F7B-2189D389211C}"/>
            </c:ext>
          </c:extLst>
        </c:ser>
        <c:ser>
          <c:idx val="1"/>
          <c:order val="1"/>
          <c:tx>
            <c:strRef>
              <c:f>Registros!$C$35</c:f>
              <c:strCache>
                <c:ptCount val="1"/>
                <c:pt idx="0">
                  <c:v>Procedentes</c:v>
                </c:pt>
              </c:strCache>
            </c:strRef>
          </c:tx>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rgbClr val="877A67"/>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Registros!$A$36:$A$45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Registros!$C$36:$C$45</c:f>
              <c:numCache>
                <c:formatCode>#\ ###\ ##0</c:formatCode>
                <c:ptCount val="10"/>
                <c:pt idx="0">
                  <c:v>191976</c:v>
                </c:pt>
                <c:pt idx="1">
                  <c:v>50846</c:v>
                </c:pt>
                <c:pt idx="2">
                  <c:v>141502</c:v>
                </c:pt>
                <c:pt idx="3">
                  <c:v>233555</c:v>
                </c:pt>
                <c:pt idx="4">
                  <c:v>105214</c:v>
                </c:pt>
                <c:pt idx="5">
                  <c:v>151092</c:v>
                </c:pt>
                <c:pt idx="6">
                  <c:v>179632</c:v>
                </c:pt>
                <c:pt idx="7">
                  <c:v>183571</c:v>
                </c:pt>
                <c:pt idx="8">
                  <c:v>524935</c:v>
                </c:pt>
                <c:pt idx="9">
                  <c:v>726395</c:v>
                </c:pt>
              </c:numCache>
            </c:numRef>
          </c:val>
          <c:extLst>
            <c:ext xmlns:c16="http://schemas.microsoft.com/office/drawing/2014/chart" uri="{C3380CC4-5D6E-409C-BE32-E72D297353CC}">
              <c16:uniqueId val="{00000001-54CC-49BE-8F7B-2189D389211C}"/>
            </c:ext>
          </c:extLst>
        </c:ser>
        <c:ser>
          <c:idx val="2"/>
          <c:order val="2"/>
          <c:tx>
            <c:strRef>
              <c:f>Registros!$D$35</c:f>
              <c:strCache>
                <c:ptCount val="1"/>
                <c:pt idx="0">
                  <c:v>No procedentes</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rgbClr val="C29B6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Registros!$A$36:$A$45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Registros!$D$36:$D$45</c:f>
              <c:numCache>
                <c:formatCode>#\ ###\ ##0</c:formatCode>
                <c:ptCount val="10"/>
                <c:pt idx="0">
                  <c:v>1380</c:v>
                </c:pt>
                <c:pt idx="1">
                  <c:v>1629</c:v>
                </c:pt>
                <c:pt idx="2">
                  <c:v>49473</c:v>
                </c:pt>
                <c:pt idx="3">
                  <c:v>46148</c:v>
                </c:pt>
                <c:pt idx="4">
                  <c:v>2085</c:v>
                </c:pt>
                <c:pt idx="5">
                  <c:v>21584</c:v>
                </c:pt>
                <c:pt idx="6">
                  <c:v>36168</c:v>
                </c:pt>
                <c:pt idx="7">
                  <c:v>181597</c:v>
                </c:pt>
                <c:pt idx="8">
                  <c:v>111641</c:v>
                </c:pt>
                <c:pt idx="9">
                  <c:v>181605</c:v>
                </c:pt>
              </c:numCache>
            </c:numRef>
          </c:val>
          <c:extLst>
            <c:ext xmlns:c16="http://schemas.microsoft.com/office/drawing/2014/chart" uri="{C3380CC4-5D6E-409C-BE32-E72D297353CC}">
              <c16:uniqueId val="{00000002-54CC-49BE-8F7B-2189D389211C}"/>
            </c:ext>
          </c:extLst>
        </c:ser>
        <c:ser>
          <c:idx val="3"/>
          <c:order val="3"/>
          <c:tx>
            <c:strRef>
              <c:f>Registros!$E$35</c:f>
              <c:strCache>
                <c:ptCount val="1"/>
                <c:pt idx="0">
                  <c:v>Otro</c:v>
                </c:pt>
              </c:strCache>
            </c:strRef>
          </c:tx>
          <c:spPr>
            <a:solidFill>
              <a:srgbClr val="B7BCB7"/>
            </a:solidFill>
            <a:ln>
              <a:noFill/>
            </a:ln>
            <a:effectLst>
              <a:outerShdw blurRad="50800" dist="38100" dir="2700000" algn="tl" rotWithShape="0">
                <a:prstClr val="black">
                  <a:alpha val="40000"/>
                </a:prstClr>
              </a:outerShdw>
            </a:effectLst>
          </c:spPr>
          <c:invertIfNegative val="0"/>
          <c:dLbls>
            <c:dLbl>
              <c:idx val="1"/>
              <c:layout>
                <c:manualLayout>
                  <c:x val="0"/>
                  <c:y val="3.51116041357512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CC-49BE-8F7B-2189D389211C}"/>
                </c:ext>
              </c:extLst>
            </c:dLbl>
            <c:dLbl>
              <c:idx val="7"/>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CC-49BE-8F7B-2189D389211C}"/>
                </c:ext>
              </c:extLst>
            </c:dLbl>
            <c:dLbl>
              <c:idx val="8"/>
              <c:layout>
                <c:manualLayout>
                  <c:x val="0"/>
                  <c:y val="3.81738165231197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CC-49BE-8F7B-2189D389211C}"/>
                </c:ext>
              </c:extLst>
            </c:dLbl>
            <c:dLbl>
              <c:idx val="9"/>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CC-49BE-8F7B-2189D389211C}"/>
                </c:ext>
              </c:extLst>
            </c:dLbl>
            <c:spPr>
              <a:noFill/>
              <a:ln>
                <a:noFill/>
              </a:ln>
              <a:effectLst/>
            </c:spPr>
            <c:txPr>
              <a:bodyPr rot="-5400000" spcFirstLastPara="1" vertOverflow="ellipsis" wrap="square" anchor="ctr" anchorCtr="1"/>
              <a:lstStyle/>
              <a:p>
                <a:pPr>
                  <a:defRPr sz="9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Registros!$A$36:$A$45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Registros!$E$36:$E$45</c:f>
              <c:numCache>
                <c:formatCode>#\ ###\ ##0</c:formatCode>
                <c:ptCount val="10"/>
                <c:pt idx="0">
                  <c:v>2101</c:v>
                </c:pt>
                <c:pt idx="1">
                  <c:v>182430</c:v>
                </c:pt>
                <c:pt idx="2">
                  <c:v>35121</c:v>
                </c:pt>
                <c:pt idx="3">
                  <c:v>34576</c:v>
                </c:pt>
                <c:pt idx="4">
                  <c:v>4119</c:v>
                </c:pt>
                <c:pt idx="5">
                  <c:v>17976</c:v>
                </c:pt>
                <c:pt idx="6">
                  <c:v>20964</c:v>
                </c:pt>
                <c:pt idx="7">
                  <c:v>519</c:v>
                </c:pt>
                <c:pt idx="8">
                  <c:v>145426</c:v>
                </c:pt>
                <c:pt idx="9">
                  <c:v>2465</c:v>
                </c:pt>
              </c:numCache>
            </c:numRef>
          </c:val>
          <c:extLst>
            <c:ext xmlns:c16="http://schemas.microsoft.com/office/drawing/2014/chart" uri="{C3380CC4-5D6E-409C-BE32-E72D297353CC}">
              <c16:uniqueId val="{00000007-54CC-49BE-8F7B-2189D389211C}"/>
            </c:ext>
          </c:extLst>
        </c:ser>
        <c:dLbls>
          <c:showLegendKey val="0"/>
          <c:showVal val="0"/>
          <c:showCatName val="0"/>
          <c:showSerName val="0"/>
          <c:showPercent val="0"/>
          <c:showBubbleSize val="0"/>
        </c:dLbls>
        <c:gapWidth val="100"/>
        <c:overlap val="-27"/>
        <c:axId val="1179657071"/>
        <c:axId val="1179675375"/>
      </c:barChart>
      <c:catAx>
        <c:axId val="1179657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79675375"/>
        <c:crosses val="autoZero"/>
        <c:auto val="1"/>
        <c:lblAlgn val="ctr"/>
        <c:lblOffset val="100"/>
        <c:noMultiLvlLbl val="0"/>
      </c:catAx>
      <c:valAx>
        <c:axId val="1179675375"/>
        <c:scaling>
          <c:orientation val="minMax"/>
        </c:scaling>
        <c:delete val="1"/>
        <c:axPos val="l"/>
        <c:numFmt formatCode="#\ ###\ ##0" sourceLinked="1"/>
        <c:majorTickMark val="none"/>
        <c:minorTickMark val="none"/>
        <c:tickLblPos val="nextTo"/>
        <c:crossAx val="1179657071"/>
        <c:crosses val="autoZero"/>
        <c:crossBetween val="between"/>
      </c:valAx>
      <c:spPr>
        <a:noFill/>
        <a:ln w="25400">
          <a:noFill/>
        </a:ln>
        <a:effectLst/>
      </c:spPr>
    </c:plotArea>
    <c:legend>
      <c:legendPos val="b"/>
      <c:layout>
        <c:manualLayout>
          <c:xMode val="edge"/>
          <c:yMode val="edge"/>
          <c:x val="0.22790238567837889"/>
          <c:y val="0.92691928143923041"/>
          <c:w val="0.55114417830311757"/>
          <c:h val="4.517992510449410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522935779816515E-2"/>
          <c:y val="0"/>
          <c:w val="0.94724770642201839"/>
          <c:h val="0.78793373131037847"/>
        </c:manualLayout>
      </c:layout>
      <c:barChart>
        <c:barDir val="col"/>
        <c:grouping val="clustered"/>
        <c:varyColors val="0"/>
        <c:ser>
          <c:idx val="0"/>
          <c:order val="0"/>
          <c:tx>
            <c:strRef>
              <c:f>D46D47HistAPCI!$C$4</c:f>
              <c:strCache>
                <c:ptCount val="1"/>
                <c:pt idx="0">
                  <c:v>FGR</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D46D47HistAPCI!$B$5:$B$13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D46D47HistAPCI!$C$5:$C$13</c:f>
              <c:numCache>
                <c:formatCode>#\ ###\ ##0</c:formatCode>
                <c:ptCount val="9"/>
                <c:pt idx="0">
                  <c:v>98189</c:v>
                </c:pt>
                <c:pt idx="1">
                  <c:v>98059</c:v>
                </c:pt>
                <c:pt idx="2">
                  <c:v>95866</c:v>
                </c:pt>
                <c:pt idx="3">
                  <c:v>85213</c:v>
                </c:pt>
                <c:pt idx="4">
                  <c:v>96035</c:v>
                </c:pt>
                <c:pt idx="5">
                  <c:v>112917</c:v>
                </c:pt>
                <c:pt idx="6">
                  <c:v>98396</c:v>
                </c:pt>
                <c:pt idx="7">
                  <c:v>78482</c:v>
                </c:pt>
                <c:pt idx="8">
                  <c:v>77637</c:v>
                </c:pt>
              </c:numCache>
            </c:numRef>
          </c:val>
          <c:extLst>
            <c:ext xmlns:c16="http://schemas.microsoft.com/office/drawing/2014/chart" uri="{C3380CC4-5D6E-409C-BE32-E72D297353CC}">
              <c16:uniqueId val="{00000000-7829-46D7-B336-E660170B0DEB}"/>
            </c:ext>
          </c:extLst>
        </c:ser>
        <c:ser>
          <c:idx val="1"/>
          <c:order val="1"/>
          <c:tx>
            <c:strRef>
              <c:f>D46D47HistAPCI!$D$4</c:f>
              <c:strCache>
                <c:ptCount val="1"/>
                <c:pt idx="0">
                  <c:v>FGE</c:v>
                </c:pt>
              </c:strCache>
            </c:strRef>
          </c:tx>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D46D47HistAPCI!$B$5:$B$13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D46D47HistAPCI!$D$5:$D$13</c:f>
              <c:numCache>
                <c:formatCode>#\ ###\ ##0</c:formatCode>
                <c:ptCount val="9"/>
                <c:pt idx="0">
                  <c:v>1679702</c:v>
                </c:pt>
                <c:pt idx="1">
                  <c:v>1580134</c:v>
                </c:pt>
                <c:pt idx="2">
                  <c:v>1532403</c:v>
                </c:pt>
                <c:pt idx="3">
                  <c:v>1604277</c:v>
                </c:pt>
                <c:pt idx="4">
                  <c:v>1768112</c:v>
                </c:pt>
                <c:pt idx="5">
                  <c:v>1874707</c:v>
                </c:pt>
                <c:pt idx="6">
                  <c:v>2076660</c:v>
                </c:pt>
                <c:pt idx="7">
                  <c:v>1820243</c:v>
                </c:pt>
                <c:pt idx="8">
                  <c:v>1982161</c:v>
                </c:pt>
              </c:numCache>
            </c:numRef>
          </c:val>
          <c:extLst>
            <c:ext xmlns:c16="http://schemas.microsoft.com/office/drawing/2014/chart" uri="{C3380CC4-5D6E-409C-BE32-E72D297353CC}">
              <c16:uniqueId val="{00000001-7829-46D7-B336-E660170B0DEB}"/>
            </c:ext>
          </c:extLst>
        </c:ser>
        <c:dLbls>
          <c:dLblPos val="inEnd"/>
          <c:showLegendKey val="0"/>
          <c:showVal val="1"/>
          <c:showCatName val="0"/>
          <c:showSerName val="0"/>
          <c:showPercent val="0"/>
          <c:showBubbleSize val="0"/>
        </c:dLbls>
        <c:gapWidth val="80"/>
        <c:overlap val="-27"/>
        <c:axId val="847117759"/>
        <c:axId val="847101951"/>
      </c:barChart>
      <c:lineChart>
        <c:grouping val="standard"/>
        <c:varyColors val="0"/>
        <c:ser>
          <c:idx val="2"/>
          <c:order val="2"/>
          <c:tx>
            <c:strRef>
              <c:f>D46D47HistAPCI!$E$4</c:f>
              <c:strCache>
                <c:ptCount val="1"/>
                <c:pt idx="0">
                  <c:v>Total</c:v>
                </c:pt>
              </c:strCache>
            </c:strRef>
          </c:tx>
          <c:spPr>
            <a:ln w="31750" cap="rnd">
              <a:solidFill>
                <a:srgbClr val="C29B61"/>
              </a:solidFill>
              <a:round/>
            </a:ln>
            <a:effectLst>
              <a:outerShdw blurRad="50800" dist="38100" dir="2700000" algn="tl" rotWithShape="0">
                <a:prstClr val="black">
                  <a:alpha val="40000"/>
                </a:prstClr>
              </a:outerShdw>
            </a:effectLst>
          </c:spPr>
          <c:marker>
            <c:symbol val="circle"/>
            <c:size val="5"/>
            <c:spPr>
              <a:solidFill>
                <a:srgbClr val="C29B61"/>
              </a:solidFill>
              <a:ln w="9525">
                <a:solidFill>
                  <a:srgbClr val="C29B61"/>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D46D47HistAPCI!$B$5:$B$13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D46D47HistAPCI!$E$5:$E$13</c:f>
              <c:numCache>
                <c:formatCode>#\ ###\ ##0</c:formatCode>
                <c:ptCount val="9"/>
                <c:pt idx="0">
                  <c:v>1777891</c:v>
                </c:pt>
                <c:pt idx="1">
                  <c:v>1678193</c:v>
                </c:pt>
                <c:pt idx="2">
                  <c:v>1628269</c:v>
                </c:pt>
                <c:pt idx="3">
                  <c:v>1689490</c:v>
                </c:pt>
                <c:pt idx="4">
                  <c:v>1864147</c:v>
                </c:pt>
                <c:pt idx="5">
                  <c:v>1987624</c:v>
                </c:pt>
                <c:pt idx="6">
                  <c:v>2175056</c:v>
                </c:pt>
                <c:pt idx="7">
                  <c:v>1898725</c:v>
                </c:pt>
                <c:pt idx="8">
                  <c:v>2059798</c:v>
                </c:pt>
              </c:numCache>
            </c:numRef>
          </c:val>
          <c:smooth val="0"/>
          <c:extLst>
            <c:ext xmlns:c16="http://schemas.microsoft.com/office/drawing/2014/chart" uri="{C3380CC4-5D6E-409C-BE32-E72D297353CC}">
              <c16:uniqueId val="{00000002-7829-46D7-B336-E660170B0DEB}"/>
            </c:ext>
          </c:extLst>
        </c:ser>
        <c:dLbls>
          <c:showLegendKey val="0"/>
          <c:showVal val="1"/>
          <c:showCatName val="0"/>
          <c:showSerName val="0"/>
          <c:showPercent val="0"/>
          <c:showBubbleSize val="0"/>
        </c:dLbls>
        <c:marker val="1"/>
        <c:smooth val="0"/>
        <c:axId val="847117759"/>
        <c:axId val="847101951"/>
      </c:lineChart>
      <c:catAx>
        <c:axId val="847117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7101951"/>
        <c:crosses val="autoZero"/>
        <c:auto val="1"/>
        <c:lblAlgn val="ctr"/>
        <c:lblOffset val="100"/>
        <c:noMultiLvlLbl val="0"/>
      </c:catAx>
      <c:valAx>
        <c:axId val="847101951"/>
        <c:scaling>
          <c:orientation val="minMax"/>
        </c:scaling>
        <c:delete val="1"/>
        <c:axPos val="l"/>
        <c:numFmt formatCode="#\ ###\ ##0" sourceLinked="1"/>
        <c:majorTickMark val="none"/>
        <c:minorTickMark val="none"/>
        <c:tickLblPos val="nextTo"/>
        <c:crossAx val="847117759"/>
        <c:crosses val="autoZero"/>
        <c:crossBetween val="between"/>
      </c:valAx>
      <c:spPr>
        <a:noFill/>
        <a:ln>
          <a:noFill/>
        </a:ln>
        <a:effectLst/>
      </c:spPr>
    </c:plotArea>
    <c:legend>
      <c:legendPos val="b"/>
      <c:layout>
        <c:manualLayout>
          <c:xMode val="edge"/>
          <c:yMode val="edge"/>
          <c:x val="0.30772214650949159"/>
          <c:y val="0.89743069093855221"/>
          <c:w val="0.38455551215197442"/>
          <c:h val="0.1025693090614477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601942813478485E-3"/>
          <c:y val="6.458625450656956E-2"/>
          <c:w val="0.98452512175520723"/>
          <c:h val="0.73026246003405559"/>
        </c:manualLayout>
      </c:layout>
      <c:barChart>
        <c:barDir val="col"/>
        <c:grouping val="clustered"/>
        <c:varyColors val="0"/>
        <c:ser>
          <c:idx val="0"/>
          <c:order val="0"/>
          <c:tx>
            <c:strRef>
              <c:f>D46D47HistAPCI!$I$4</c:f>
              <c:strCache>
                <c:ptCount val="1"/>
                <c:pt idx="0">
                  <c:v>FGR</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D46D47HistAPCI!$H$5:$H$13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D46D47HistAPCI!$I$5:$I$13</c:f>
              <c:numCache>
                <c:formatCode>#\ ###\ ##0</c:formatCode>
                <c:ptCount val="9"/>
                <c:pt idx="0">
                  <c:v>109758</c:v>
                </c:pt>
                <c:pt idx="1">
                  <c:v>105747</c:v>
                </c:pt>
                <c:pt idx="2">
                  <c:v>100444</c:v>
                </c:pt>
                <c:pt idx="3">
                  <c:v>96322</c:v>
                </c:pt>
                <c:pt idx="4">
                  <c:v>186370</c:v>
                </c:pt>
                <c:pt idx="5">
                  <c:v>172318</c:v>
                </c:pt>
                <c:pt idx="6">
                  <c:v>192536</c:v>
                </c:pt>
                <c:pt idx="7">
                  <c:v>179179</c:v>
                </c:pt>
                <c:pt idx="8">
                  <c:v>211470</c:v>
                </c:pt>
              </c:numCache>
            </c:numRef>
          </c:val>
          <c:extLst>
            <c:ext xmlns:c16="http://schemas.microsoft.com/office/drawing/2014/chart" uri="{C3380CC4-5D6E-409C-BE32-E72D297353CC}">
              <c16:uniqueId val="{00000000-6843-4537-B48B-A423308F9650}"/>
            </c:ext>
          </c:extLst>
        </c:ser>
        <c:ser>
          <c:idx val="1"/>
          <c:order val="1"/>
          <c:tx>
            <c:strRef>
              <c:f>D46D47HistAPCI!$J$4</c:f>
              <c:strCache>
                <c:ptCount val="1"/>
                <c:pt idx="0">
                  <c:v>FGE</c:v>
                </c:pt>
              </c:strCache>
            </c:strRef>
          </c:tx>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D46D47HistAPCI!$H$5:$H$13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D46D47HistAPCI!$J$5:$J$13</c:f>
              <c:numCache>
                <c:formatCode>#\ ###\ ##0</c:formatCode>
                <c:ptCount val="9"/>
                <c:pt idx="0">
                  <c:v>1254854</c:v>
                </c:pt>
                <c:pt idx="1">
                  <c:v>1039455</c:v>
                </c:pt>
                <c:pt idx="2">
                  <c:v>992950</c:v>
                </c:pt>
                <c:pt idx="3">
                  <c:v>906042</c:v>
                </c:pt>
                <c:pt idx="4">
                  <c:v>1141622</c:v>
                </c:pt>
                <c:pt idx="5">
                  <c:v>1331971</c:v>
                </c:pt>
                <c:pt idx="6">
                  <c:v>1702556</c:v>
                </c:pt>
                <c:pt idx="7">
                  <c:v>1332020</c:v>
                </c:pt>
                <c:pt idx="8">
                  <c:v>1540291</c:v>
                </c:pt>
              </c:numCache>
            </c:numRef>
          </c:val>
          <c:extLst>
            <c:ext xmlns:c16="http://schemas.microsoft.com/office/drawing/2014/chart" uri="{C3380CC4-5D6E-409C-BE32-E72D297353CC}">
              <c16:uniqueId val="{00000001-6843-4537-B48B-A423308F9650}"/>
            </c:ext>
          </c:extLst>
        </c:ser>
        <c:dLbls>
          <c:dLblPos val="inEnd"/>
          <c:showLegendKey val="0"/>
          <c:showVal val="1"/>
          <c:showCatName val="0"/>
          <c:showSerName val="0"/>
          <c:showPercent val="0"/>
          <c:showBubbleSize val="0"/>
        </c:dLbls>
        <c:gapWidth val="80"/>
        <c:overlap val="-27"/>
        <c:axId val="1078439887"/>
        <c:axId val="1078431567"/>
      </c:barChart>
      <c:lineChart>
        <c:grouping val="standard"/>
        <c:varyColors val="0"/>
        <c:ser>
          <c:idx val="2"/>
          <c:order val="2"/>
          <c:tx>
            <c:strRef>
              <c:f>D46D47HistAPCI!$K$4</c:f>
              <c:strCache>
                <c:ptCount val="1"/>
                <c:pt idx="0">
                  <c:v>Total</c:v>
                </c:pt>
              </c:strCache>
            </c:strRef>
          </c:tx>
          <c:spPr>
            <a:ln w="31750" cap="rnd">
              <a:solidFill>
                <a:srgbClr val="C29B61"/>
              </a:solidFill>
              <a:round/>
            </a:ln>
            <a:effectLst>
              <a:outerShdw blurRad="50800" dist="38100" dir="2700000" algn="tl" rotWithShape="0">
                <a:prstClr val="black">
                  <a:alpha val="40000"/>
                </a:prstClr>
              </a:outerShdw>
            </a:effectLst>
          </c:spPr>
          <c:marker>
            <c:symbol val="circle"/>
            <c:size val="5"/>
            <c:spPr>
              <a:solidFill>
                <a:srgbClr val="C29B61"/>
              </a:solidFill>
              <a:ln w="9525">
                <a:solidFill>
                  <a:srgbClr val="C29B61"/>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D46D47HistAPCI!$H$5:$H$13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D46D47HistAPCI!$K$5:$K$13</c:f>
              <c:numCache>
                <c:formatCode>#\ ###\ ##0</c:formatCode>
                <c:ptCount val="9"/>
                <c:pt idx="0">
                  <c:v>1364612</c:v>
                </c:pt>
                <c:pt idx="1">
                  <c:v>1145202</c:v>
                </c:pt>
                <c:pt idx="2">
                  <c:v>1093394</c:v>
                </c:pt>
                <c:pt idx="3">
                  <c:v>1002364</c:v>
                </c:pt>
                <c:pt idx="4">
                  <c:v>1327992</c:v>
                </c:pt>
                <c:pt idx="5">
                  <c:v>1504289</c:v>
                </c:pt>
                <c:pt idx="6">
                  <c:v>1895092</c:v>
                </c:pt>
                <c:pt idx="7">
                  <c:v>1511199</c:v>
                </c:pt>
                <c:pt idx="8">
                  <c:v>1751761</c:v>
                </c:pt>
              </c:numCache>
            </c:numRef>
          </c:val>
          <c:smooth val="0"/>
          <c:extLst>
            <c:ext xmlns:c16="http://schemas.microsoft.com/office/drawing/2014/chart" uri="{C3380CC4-5D6E-409C-BE32-E72D297353CC}">
              <c16:uniqueId val="{00000002-6843-4537-B48B-A423308F9650}"/>
            </c:ext>
          </c:extLst>
        </c:ser>
        <c:dLbls>
          <c:showLegendKey val="0"/>
          <c:showVal val="1"/>
          <c:showCatName val="0"/>
          <c:showSerName val="0"/>
          <c:showPercent val="0"/>
          <c:showBubbleSize val="0"/>
        </c:dLbls>
        <c:marker val="1"/>
        <c:smooth val="0"/>
        <c:axId val="1078439887"/>
        <c:axId val="1078431567"/>
      </c:lineChart>
      <c:catAx>
        <c:axId val="1078439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78431567"/>
        <c:crosses val="autoZero"/>
        <c:auto val="1"/>
        <c:lblAlgn val="ctr"/>
        <c:lblOffset val="100"/>
        <c:noMultiLvlLbl val="0"/>
      </c:catAx>
      <c:valAx>
        <c:axId val="1078431567"/>
        <c:scaling>
          <c:orientation val="minMax"/>
        </c:scaling>
        <c:delete val="1"/>
        <c:axPos val="l"/>
        <c:numFmt formatCode="#\ ###\ ##0" sourceLinked="1"/>
        <c:majorTickMark val="none"/>
        <c:minorTickMark val="none"/>
        <c:tickLblPos val="nextTo"/>
        <c:crossAx val="1078439887"/>
        <c:crosses val="autoZero"/>
        <c:crossBetween val="between"/>
      </c:valAx>
      <c:spPr>
        <a:noFill/>
        <a:ln>
          <a:noFill/>
        </a:ln>
        <a:effectLst/>
      </c:spPr>
    </c:plotArea>
    <c:legend>
      <c:legendPos val="b"/>
      <c:layout>
        <c:manualLayout>
          <c:xMode val="edge"/>
          <c:yMode val="edge"/>
          <c:x val="0.30003052114302781"/>
          <c:y val="0.91301048508832772"/>
          <c:w val="0.43340242676023555"/>
          <c:h val="8.698951491167231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356468732955302"/>
          <c:y val="3.0411943599668232E-2"/>
          <c:w val="0.4810304964976197"/>
          <c:h val="0.95576444567320984"/>
        </c:manualLayout>
      </c:layout>
      <c:barChart>
        <c:barDir val="bar"/>
        <c:grouping val="clustered"/>
        <c:varyColors val="0"/>
        <c:ser>
          <c:idx val="0"/>
          <c:order val="0"/>
          <c:spPr>
            <a:solidFill>
              <a:srgbClr val="63716D"/>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A5A5A5"/>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7CEA-4708-B178-CE7DA16BC46E}"/>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G2UAdm!$C$4:$C$24</c:f>
              <c:strCache>
                <c:ptCount val="21"/>
                <c:pt idx="0">
                  <c:v>Otra función</c:v>
                </c:pt>
                <c:pt idx="1">
                  <c:v>Acceso a la información pública y protección de datos personales</c:v>
                </c:pt>
                <c:pt idx="2">
                  <c:v>Comunicación social y difusión</c:v>
                </c:pt>
                <c:pt idx="3">
                  <c:v>Contraloría interna</c:v>
                </c:pt>
                <c:pt idx="4">
                  <c:v>Control de aseguramientos ministeriales</c:v>
                </c:pt>
                <c:pt idx="5">
                  <c:v>Derechos humanos </c:v>
                </c:pt>
                <c:pt idx="6">
                  <c:v>Estadística</c:v>
                </c:pt>
                <c:pt idx="7">
                  <c:v>Mecanismos alternativos de solución**</c:v>
                </c:pt>
                <c:pt idx="8">
                  <c:v>Vinculación y promoción con la sociedad</c:v>
                </c:pt>
                <c:pt idx="9">
                  <c:v>Informática y tecnologías de la información </c:v>
                </c:pt>
                <c:pt idx="10">
                  <c:v>Planeación y evaluación</c:v>
                </c:pt>
                <c:pt idx="11">
                  <c:v>Vinculación y coordinación interinstitucional</c:v>
                </c:pt>
                <c:pt idx="12">
                  <c:v>Despacho del Fiscal General de la República</c:v>
                </c:pt>
                <c:pt idx="13">
                  <c:v>Investigación, análisis criminal y/o inteligencia</c:v>
                </c:pt>
                <c:pt idx="14">
                  <c:v>Administración y finanzas</c:v>
                </c:pt>
                <c:pt idx="15">
                  <c:v>Asuntos internos</c:v>
                </c:pt>
                <c:pt idx="16">
                  <c:v>Capacitación, formación y evaluación del personal</c:v>
                </c:pt>
                <c:pt idx="17">
                  <c:v>Cooperación internacional, asuntos*</c:v>
                </c:pt>
                <c:pt idx="18">
                  <c:v>Servicios periciales o servicio médico forense</c:v>
                </c:pt>
                <c:pt idx="19">
                  <c:v>Asuntos jurídicos</c:v>
                </c:pt>
                <c:pt idx="20">
                  <c:v>Policía Federal Ministerial</c:v>
                </c:pt>
              </c:strCache>
            </c:strRef>
          </c:cat>
          <c:val>
            <c:numRef>
              <c:f>G2UAdm!$D$4:$D$24</c:f>
              <c:numCache>
                <c:formatCode>#,##0</c:formatCode>
                <c:ptCount val="21"/>
                <c:pt idx="0">
                  <c:v>2</c:v>
                </c:pt>
                <c:pt idx="1">
                  <c:v>1</c:v>
                </c:pt>
                <c:pt idx="2">
                  <c:v>1</c:v>
                </c:pt>
                <c:pt idx="3">
                  <c:v>1</c:v>
                </c:pt>
                <c:pt idx="4">
                  <c:v>1</c:v>
                </c:pt>
                <c:pt idx="5">
                  <c:v>1</c:v>
                </c:pt>
                <c:pt idx="6">
                  <c:v>1</c:v>
                </c:pt>
                <c:pt idx="7">
                  <c:v>1</c:v>
                </c:pt>
                <c:pt idx="8">
                  <c:v>1</c:v>
                </c:pt>
                <c:pt idx="9">
                  <c:v>2</c:v>
                </c:pt>
                <c:pt idx="10">
                  <c:v>2</c:v>
                </c:pt>
                <c:pt idx="11">
                  <c:v>2</c:v>
                </c:pt>
                <c:pt idx="12">
                  <c:v>3</c:v>
                </c:pt>
                <c:pt idx="13">
                  <c:v>3</c:v>
                </c:pt>
                <c:pt idx="14">
                  <c:v>4</c:v>
                </c:pt>
                <c:pt idx="15">
                  <c:v>4</c:v>
                </c:pt>
                <c:pt idx="16">
                  <c:v>5</c:v>
                </c:pt>
                <c:pt idx="17">
                  <c:v>5</c:v>
                </c:pt>
                <c:pt idx="18">
                  <c:v>5</c:v>
                </c:pt>
                <c:pt idx="19">
                  <c:v>8</c:v>
                </c:pt>
                <c:pt idx="20">
                  <c:v>8</c:v>
                </c:pt>
              </c:numCache>
            </c:numRef>
          </c:val>
          <c:extLst>
            <c:ext xmlns:c16="http://schemas.microsoft.com/office/drawing/2014/chart" uri="{C3380CC4-5D6E-409C-BE32-E72D297353CC}">
              <c16:uniqueId val="{00000000-CA27-48FA-95EB-66C814BB1B15}"/>
            </c:ext>
          </c:extLst>
        </c:ser>
        <c:dLbls>
          <c:dLblPos val="outEnd"/>
          <c:showLegendKey val="0"/>
          <c:showVal val="1"/>
          <c:showCatName val="0"/>
          <c:showSerName val="0"/>
          <c:showPercent val="0"/>
          <c:showBubbleSize val="0"/>
        </c:dLbls>
        <c:gapWidth val="80"/>
        <c:axId val="277164303"/>
        <c:axId val="277159727"/>
      </c:barChart>
      <c:catAx>
        <c:axId val="277164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77159727"/>
        <c:crosses val="autoZero"/>
        <c:auto val="1"/>
        <c:lblAlgn val="ctr"/>
        <c:lblOffset val="100"/>
        <c:noMultiLvlLbl val="0"/>
      </c:catAx>
      <c:valAx>
        <c:axId val="277159727"/>
        <c:scaling>
          <c:orientation val="minMax"/>
        </c:scaling>
        <c:delete val="1"/>
        <c:axPos val="b"/>
        <c:numFmt formatCode="#,##0" sourceLinked="1"/>
        <c:majorTickMark val="none"/>
        <c:minorTickMark val="none"/>
        <c:tickLblPos val="nextTo"/>
        <c:crossAx val="27716430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D46D47HistAPCI!$O$4</c:f>
              <c:strCache>
                <c:ptCount val="1"/>
                <c:pt idx="0">
                  <c:v>FGE</c:v>
                </c:pt>
              </c:strCache>
            </c:strRef>
          </c:tx>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D46D47HistAPCI!$N$5:$N$13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D46D47HistAPCI!$O$5:$O$13</c:f>
              <c:numCache>
                <c:formatCode>#\ ###\ ##0</c:formatCode>
                <c:ptCount val="9"/>
                <c:pt idx="0">
                  <c:v>303423</c:v>
                </c:pt>
                <c:pt idx="1">
                  <c:v>194163</c:v>
                </c:pt>
                <c:pt idx="2">
                  <c:v>257257</c:v>
                </c:pt>
                <c:pt idx="3">
                  <c:v>169674</c:v>
                </c:pt>
                <c:pt idx="4">
                  <c:v>136132</c:v>
                </c:pt>
                <c:pt idx="5">
                  <c:v>80452</c:v>
                </c:pt>
                <c:pt idx="6">
                  <c:v>116015</c:v>
                </c:pt>
                <c:pt idx="7">
                  <c:v>112318</c:v>
                </c:pt>
                <c:pt idx="8">
                  <c:v>478036</c:v>
                </c:pt>
              </c:numCache>
            </c:numRef>
          </c:val>
          <c:extLst>
            <c:ext xmlns:c16="http://schemas.microsoft.com/office/drawing/2014/chart" uri="{C3380CC4-5D6E-409C-BE32-E72D297353CC}">
              <c16:uniqueId val="{00000000-4C9A-43F0-9453-B4892B9D78CB}"/>
            </c:ext>
          </c:extLst>
        </c:ser>
        <c:dLbls>
          <c:dLblPos val="outEnd"/>
          <c:showLegendKey val="0"/>
          <c:showVal val="1"/>
          <c:showCatName val="0"/>
          <c:showSerName val="0"/>
          <c:showPercent val="0"/>
          <c:showBubbleSize val="0"/>
        </c:dLbls>
        <c:gapWidth val="80"/>
        <c:overlap val="-27"/>
        <c:axId val="1700250895"/>
        <c:axId val="1700240079"/>
      </c:barChart>
      <c:catAx>
        <c:axId val="1700250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00240079"/>
        <c:crosses val="autoZero"/>
        <c:auto val="1"/>
        <c:lblAlgn val="ctr"/>
        <c:lblOffset val="100"/>
        <c:noMultiLvlLbl val="0"/>
      </c:catAx>
      <c:valAx>
        <c:axId val="1700240079"/>
        <c:scaling>
          <c:orientation val="minMax"/>
        </c:scaling>
        <c:delete val="1"/>
        <c:axPos val="l"/>
        <c:numFmt formatCode="#\ ###\ ##0" sourceLinked="1"/>
        <c:majorTickMark val="none"/>
        <c:minorTickMark val="none"/>
        <c:tickLblPos val="nextTo"/>
        <c:crossAx val="17002508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263103802672149E-2"/>
          <c:y val="1.2269938650306749E-2"/>
          <c:w val="0.94347379239465567"/>
          <c:h val="0.74509938039217782"/>
        </c:manualLayout>
      </c:layout>
      <c:barChart>
        <c:barDir val="col"/>
        <c:grouping val="clustered"/>
        <c:varyColors val="0"/>
        <c:ser>
          <c:idx val="0"/>
          <c:order val="0"/>
          <c:tx>
            <c:strRef>
              <c:f>D46D47HistAPCI!$S$4</c:f>
              <c:strCache>
                <c:ptCount val="1"/>
                <c:pt idx="0">
                  <c:v>FGR</c:v>
                </c:pt>
              </c:strCache>
            </c:strRef>
          </c:tx>
          <c:spPr>
            <a:solidFill>
              <a:srgbClr val="63716D"/>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D46D47HistAPCI!$R$5:$R$13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D46D47HistAPCI!$S$5:$S$13</c:f>
              <c:numCache>
                <c:formatCode>#\ ###\ ##0</c:formatCode>
                <c:ptCount val="9"/>
                <c:pt idx="0">
                  <c:v>63364</c:v>
                </c:pt>
                <c:pt idx="1">
                  <c:v>68937</c:v>
                </c:pt>
                <c:pt idx="2">
                  <c:v>79104</c:v>
                </c:pt>
                <c:pt idx="3">
                  <c:v>74201</c:v>
                </c:pt>
                <c:pt idx="4">
                  <c:v>54366</c:v>
                </c:pt>
                <c:pt idx="5">
                  <c:v>53768</c:v>
                </c:pt>
                <c:pt idx="6">
                  <c:v>55513</c:v>
                </c:pt>
                <c:pt idx="7">
                  <c:v>55504</c:v>
                </c:pt>
                <c:pt idx="8">
                  <c:v>50341</c:v>
                </c:pt>
              </c:numCache>
            </c:numRef>
          </c:val>
          <c:extLst>
            <c:ext xmlns:c16="http://schemas.microsoft.com/office/drawing/2014/chart" uri="{C3380CC4-5D6E-409C-BE32-E72D297353CC}">
              <c16:uniqueId val="{00000000-49F4-4DD9-8A69-A0C61373EEAF}"/>
            </c:ext>
          </c:extLst>
        </c:ser>
        <c:ser>
          <c:idx val="1"/>
          <c:order val="1"/>
          <c:tx>
            <c:strRef>
              <c:f>D46D47HistAPCI!$T$4</c:f>
              <c:strCache>
                <c:ptCount val="1"/>
                <c:pt idx="0">
                  <c:v>FGE</c:v>
                </c:pt>
              </c:strCache>
            </c:strRef>
          </c:tx>
          <c:spPr>
            <a:solidFill>
              <a:srgbClr val="877A67"/>
            </a:solidFill>
            <a:ln>
              <a:noFill/>
            </a:ln>
            <a:effectLst>
              <a:outerShdw blurRad="50800" dist="38100" dir="2700000" algn="tl" rotWithShape="0">
                <a:prstClr val="black">
                  <a:alpha val="40000"/>
                </a:prstClr>
              </a:outerShdw>
            </a:effectLst>
          </c:spPr>
          <c:invertIfNegative val="0"/>
          <c:dLbls>
            <c:dLbl>
              <c:idx val="0"/>
              <c:layout>
                <c:manualLayout>
                  <c:x val="0"/>
                  <c:y val="0.2435338110145348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F4-4DD9-8A69-A0C61373EEAF}"/>
                </c:ext>
              </c:extLst>
            </c:dLbl>
            <c:dLbl>
              <c:idx val="1"/>
              <c:layout>
                <c:manualLayout>
                  <c:x val="-2.241761010949962E-17"/>
                  <c:y val="0.2870967009100781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F4-4DD9-8A69-A0C61373EEAF}"/>
                </c:ext>
              </c:extLst>
            </c:dLbl>
            <c:dLbl>
              <c:idx val="2"/>
              <c:layout>
                <c:manualLayout>
                  <c:x val="-4.4835220218999241E-17"/>
                  <c:y val="0.2794273637410525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F4-4DD9-8A69-A0C61373EEAF}"/>
                </c:ext>
              </c:extLst>
            </c:dLbl>
            <c:dLbl>
              <c:idx val="3"/>
              <c:layout>
                <c:manualLayout>
                  <c:x val="-8.9670440437998481E-17"/>
                  <c:y val="0.2798783762480996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9F4-4DD9-8A69-A0C61373EEAF}"/>
                </c:ext>
              </c:extLst>
            </c:dLbl>
            <c:dLbl>
              <c:idx val="4"/>
              <c:layout>
                <c:manualLayout>
                  <c:x val="0"/>
                  <c:y val="0.3246226644472291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9F4-4DD9-8A69-A0C61373EEAF}"/>
                </c:ext>
              </c:extLst>
            </c:dLbl>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D46D47HistAPCI!$R$5:$R$13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D46D47HistAPCI!$T$5:$T$13</c:f>
              <c:numCache>
                <c:formatCode>#\ ###\ ##0</c:formatCode>
                <c:ptCount val="9"/>
                <c:pt idx="0">
                  <c:v>808410</c:v>
                </c:pt>
                <c:pt idx="1">
                  <c:v>1034367</c:v>
                </c:pt>
                <c:pt idx="2">
                  <c:v>988437</c:v>
                </c:pt>
                <c:pt idx="3">
                  <c:v>962927</c:v>
                </c:pt>
                <c:pt idx="4">
                  <c:v>1197732</c:v>
                </c:pt>
                <c:pt idx="5">
                  <c:v>1602045</c:v>
                </c:pt>
                <c:pt idx="6">
                  <c:v>2182259</c:v>
                </c:pt>
                <c:pt idx="7">
                  <c:v>2452739</c:v>
                </c:pt>
                <c:pt idx="8">
                  <c:v>2579449</c:v>
                </c:pt>
              </c:numCache>
            </c:numRef>
          </c:val>
          <c:extLst>
            <c:ext xmlns:c16="http://schemas.microsoft.com/office/drawing/2014/chart" uri="{C3380CC4-5D6E-409C-BE32-E72D297353CC}">
              <c16:uniqueId val="{00000001-49F4-4DD9-8A69-A0C61373EEAF}"/>
            </c:ext>
          </c:extLst>
        </c:ser>
        <c:dLbls>
          <c:dLblPos val="inEnd"/>
          <c:showLegendKey val="0"/>
          <c:showVal val="1"/>
          <c:showCatName val="0"/>
          <c:showSerName val="0"/>
          <c:showPercent val="0"/>
          <c:showBubbleSize val="0"/>
        </c:dLbls>
        <c:gapWidth val="80"/>
        <c:overlap val="-27"/>
        <c:axId val="1088908527"/>
        <c:axId val="1088905199"/>
      </c:barChart>
      <c:lineChart>
        <c:grouping val="standard"/>
        <c:varyColors val="0"/>
        <c:ser>
          <c:idx val="2"/>
          <c:order val="2"/>
          <c:tx>
            <c:strRef>
              <c:f>D46D47HistAPCI!$U$4</c:f>
              <c:strCache>
                <c:ptCount val="1"/>
                <c:pt idx="0">
                  <c:v>Total</c:v>
                </c:pt>
              </c:strCache>
            </c:strRef>
          </c:tx>
          <c:spPr>
            <a:ln w="31750" cap="rnd">
              <a:solidFill>
                <a:srgbClr val="C29B61"/>
              </a:solidFill>
              <a:round/>
            </a:ln>
            <a:effectLst/>
          </c:spPr>
          <c:marker>
            <c:symbol val="circle"/>
            <c:size val="5"/>
            <c:spPr>
              <a:solidFill>
                <a:srgbClr val="C29B61"/>
              </a:solidFill>
              <a:ln w="9525">
                <a:solidFill>
                  <a:srgbClr val="C29B61"/>
                </a:solidFill>
              </a:ln>
              <a:effectLst/>
            </c:spPr>
          </c:marker>
          <c:dLbls>
            <c:dLbl>
              <c:idx val="1"/>
              <c:layout>
                <c:manualLayout>
                  <c:x val="-6.7296549413348283E-2"/>
                  <c:y val="-8.26095669157744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F4-4DD9-8A69-A0C61373EEAF}"/>
                </c:ext>
              </c:extLst>
            </c:dLbl>
            <c:dLbl>
              <c:idx val="2"/>
              <c:layout>
                <c:manualLayout>
                  <c:x val="-6.9742135131127689E-2"/>
                  <c:y val="-5.54633164916143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9F4-4DD9-8A69-A0C61373EEAF}"/>
                </c:ext>
              </c:extLst>
            </c:dLbl>
            <c:dLbl>
              <c:idx val="3"/>
              <c:layout>
                <c:manualLayout>
                  <c:x val="-6.9742135131127689E-2"/>
                  <c:y val="-5.54633164916143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9F4-4DD9-8A69-A0C61373EEAF}"/>
                </c:ext>
              </c:extLst>
            </c:dLbl>
            <c:dLbl>
              <c:idx val="7"/>
              <c:layout>
                <c:manualLayout>
                  <c:x val="-6.9742135131127689E-2"/>
                  <c:y val="-6.90364417036943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9F4-4DD9-8A69-A0C61373EEA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D46D47HistAPCI!$R$5:$R$13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D46D47HistAPCI!$U$5:$U$13</c:f>
              <c:numCache>
                <c:formatCode>#\ ###\ ##0</c:formatCode>
                <c:ptCount val="9"/>
                <c:pt idx="0">
                  <c:v>871774</c:v>
                </c:pt>
                <c:pt idx="1">
                  <c:v>1103304</c:v>
                </c:pt>
                <c:pt idx="2">
                  <c:v>1067541</c:v>
                </c:pt>
                <c:pt idx="3">
                  <c:v>1037128</c:v>
                </c:pt>
                <c:pt idx="4">
                  <c:v>1252098</c:v>
                </c:pt>
                <c:pt idx="5">
                  <c:v>1655813</c:v>
                </c:pt>
                <c:pt idx="6">
                  <c:v>2237772</c:v>
                </c:pt>
                <c:pt idx="7">
                  <c:v>2508243</c:v>
                </c:pt>
                <c:pt idx="8">
                  <c:v>2629790</c:v>
                </c:pt>
              </c:numCache>
            </c:numRef>
          </c:val>
          <c:smooth val="0"/>
          <c:extLst>
            <c:ext xmlns:c16="http://schemas.microsoft.com/office/drawing/2014/chart" uri="{C3380CC4-5D6E-409C-BE32-E72D297353CC}">
              <c16:uniqueId val="{00000002-49F4-4DD9-8A69-A0C61373EEAF}"/>
            </c:ext>
          </c:extLst>
        </c:ser>
        <c:dLbls>
          <c:showLegendKey val="0"/>
          <c:showVal val="1"/>
          <c:showCatName val="0"/>
          <c:showSerName val="0"/>
          <c:showPercent val="0"/>
          <c:showBubbleSize val="0"/>
        </c:dLbls>
        <c:marker val="1"/>
        <c:smooth val="0"/>
        <c:axId val="1088908527"/>
        <c:axId val="1088905199"/>
      </c:lineChart>
      <c:catAx>
        <c:axId val="1088908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88905199"/>
        <c:crosses val="autoZero"/>
        <c:auto val="1"/>
        <c:lblAlgn val="ctr"/>
        <c:lblOffset val="100"/>
        <c:noMultiLvlLbl val="0"/>
      </c:catAx>
      <c:valAx>
        <c:axId val="1088905199"/>
        <c:scaling>
          <c:orientation val="minMax"/>
        </c:scaling>
        <c:delete val="1"/>
        <c:axPos val="l"/>
        <c:numFmt formatCode="#\ ###\ ##0" sourceLinked="1"/>
        <c:majorTickMark val="none"/>
        <c:minorTickMark val="none"/>
        <c:tickLblPos val="nextTo"/>
        <c:crossAx val="1088908527"/>
        <c:crosses val="autoZero"/>
        <c:crossBetween val="between"/>
      </c:valAx>
      <c:spPr>
        <a:noFill/>
        <a:ln>
          <a:noFill/>
        </a:ln>
        <a:effectLst/>
      </c:spPr>
    </c:plotArea>
    <c:legend>
      <c:legendPos val="b"/>
      <c:layout>
        <c:manualLayout>
          <c:xMode val="edge"/>
          <c:yMode val="edge"/>
          <c:x val="0.30290581932654104"/>
          <c:y val="0.87315967926811988"/>
          <c:w val="0.39932710749285838"/>
          <c:h val="9.784986232549151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061184773272957E-3"/>
          <c:y val="0"/>
          <c:w val="0.98908562706708281"/>
          <c:h val="0.77330488886194326"/>
        </c:manualLayout>
      </c:layout>
      <c:barChart>
        <c:barDir val="col"/>
        <c:grouping val="clustered"/>
        <c:varyColors val="0"/>
        <c:ser>
          <c:idx val="0"/>
          <c:order val="0"/>
          <c:tx>
            <c:strRef>
              <c:f>D50Delitos!$D$4</c:f>
              <c:strCache>
                <c:ptCount val="1"/>
                <c:pt idx="0">
                  <c:v>FGR</c:v>
                </c:pt>
              </c:strCache>
            </c:strRef>
          </c:tx>
          <c:spPr>
            <a:solidFill>
              <a:srgbClr val="63716D"/>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D50Delitos!$C$5:$C$15</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D50Delitos!$D$5:$D$15</c:f>
              <c:numCache>
                <c:formatCode>General</c:formatCode>
                <c:ptCount val="11"/>
                <c:pt idx="2" formatCode="#\ ###\ ##0">
                  <c:v>98189</c:v>
                </c:pt>
                <c:pt idx="3" formatCode="#\ ###\ ##0">
                  <c:v>98059</c:v>
                </c:pt>
                <c:pt idx="4" formatCode="#\ ###\ ##0">
                  <c:v>95866</c:v>
                </c:pt>
                <c:pt idx="5" formatCode="#\ ###\ ##0">
                  <c:v>85213</c:v>
                </c:pt>
                <c:pt idx="6" formatCode="#\ ###\ ##0">
                  <c:v>96035</c:v>
                </c:pt>
                <c:pt idx="7" formatCode="#\ ###\ ##0">
                  <c:v>112917</c:v>
                </c:pt>
                <c:pt idx="8" formatCode="#\ ###\ ##0">
                  <c:v>98396</c:v>
                </c:pt>
                <c:pt idx="9" formatCode="#\ ###\ ##0">
                  <c:v>78482</c:v>
                </c:pt>
                <c:pt idx="10" formatCode="#\ ###\ ##0">
                  <c:v>77637</c:v>
                </c:pt>
              </c:numCache>
            </c:numRef>
          </c:val>
          <c:extLst>
            <c:ext xmlns:c16="http://schemas.microsoft.com/office/drawing/2014/chart" uri="{C3380CC4-5D6E-409C-BE32-E72D297353CC}">
              <c16:uniqueId val="{00000000-503E-463B-817C-9B20891CF565}"/>
            </c:ext>
          </c:extLst>
        </c:ser>
        <c:ser>
          <c:idx val="1"/>
          <c:order val="1"/>
          <c:tx>
            <c:strRef>
              <c:f>D50Delitos!$E$4</c:f>
              <c:strCache>
                <c:ptCount val="1"/>
                <c:pt idx="0">
                  <c:v>FGE</c:v>
                </c:pt>
              </c:strCache>
            </c:strRef>
          </c:tx>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D50Delitos!$C$5:$C$15</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D50Delitos!$E$5:$E$15</c:f>
              <c:numCache>
                <c:formatCode>#\ ###\ ##0</c:formatCode>
                <c:ptCount val="11"/>
                <c:pt idx="0">
                  <c:v>1748756</c:v>
                </c:pt>
                <c:pt idx="1">
                  <c:v>1711623</c:v>
                </c:pt>
                <c:pt idx="2">
                  <c:v>1754066</c:v>
                </c:pt>
                <c:pt idx="3">
                  <c:v>1657167</c:v>
                </c:pt>
                <c:pt idx="4">
                  <c:v>1566904</c:v>
                </c:pt>
                <c:pt idx="5">
                  <c:v>1658658</c:v>
                </c:pt>
                <c:pt idx="6">
                  <c:v>1822108</c:v>
                </c:pt>
                <c:pt idx="7">
                  <c:v>1935652</c:v>
                </c:pt>
                <c:pt idx="8">
                  <c:v>2086731</c:v>
                </c:pt>
                <c:pt idx="9">
                  <c:v>1856923</c:v>
                </c:pt>
                <c:pt idx="10">
                  <c:v>2053095</c:v>
                </c:pt>
              </c:numCache>
            </c:numRef>
          </c:val>
          <c:extLst>
            <c:ext xmlns:c16="http://schemas.microsoft.com/office/drawing/2014/chart" uri="{C3380CC4-5D6E-409C-BE32-E72D297353CC}">
              <c16:uniqueId val="{00000001-503E-463B-817C-9B20891CF565}"/>
            </c:ext>
          </c:extLst>
        </c:ser>
        <c:dLbls>
          <c:dLblPos val="outEnd"/>
          <c:showLegendKey val="0"/>
          <c:showVal val="1"/>
          <c:showCatName val="0"/>
          <c:showSerName val="0"/>
          <c:showPercent val="0"/>
          <c:showBubbleSize val="0"/>
        </c:dLbls>
        <c:gapWidth val="80"/>
        <c:overlap val="-27"/>
        <c:axId val="1700233839"/>
        <c:axId val="1700240495"/>
      </c:barChart>
      <c:lineChart>
        <c:grouping val="standard"/>
        <c:varyColors val="0"/>
        <c:ser>
          <c:idx val="2"/>
          <c:order val="2"/>
          <c:tx>
            <c:strRef>
              <c:f>D50Delitos!$F$4</c:f>
              <c:strCache>
                <c:ptCount val="1"/>
                <c:pt idx="0">
                  <c:v>Total</c:v>
                </c:pt>
              </c:strCache>
            </c:strRef>
          </c:tx>
          <c:spPr>
            <a:ln w="31750" cap="rnd">
              <a:solidFill>
                <a:srgbClr val="C29B61"/>
              </a:solidFill>
              <a:round/>
            </a:ln>
            <a:effectLst/>
          </c:spPr>
          <c:marker>
            <c:symbol val="circle"/>
            <c:size val="5"/>
            <c:spPr>
              <a:solidFill>
                <a:srgbClr val="C29B61"/>
              </a:solidFill>
              <a:ln w="9525">
                <a:solidFill>
                  <a:srgbClr val="C29B61"/>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D50Delitos!$C$5:$C$15</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D50Delitos!$F$5:$F$15</c:f>
              <c:numCache>
                <c:formatCode>General</c:formatCode>
                <c:ptCount val="11"/>
                <c:pt idx="2" formatCode="#\ ###\ ##0">
                  <c:v>1852255</c:v>
                </c:pt>
                <c:pt idx="3" formatCode="#\ ###\ ##0">
                  <c:v>1755226</c:v>
                </c:pt>
                <c:pt idx="4" formatCode="#\ ###\ ##0">
                  <c:v>1662770</c:v>
                </c:pt>
                <c:pt idx="5" formatCode="#\ ###\ ##0">
                  <c:v>1743871</c:v>
                </c:pt>
                <c:pt idx="6" formatCode="#\ ###\ ##0">
                  <c:v>1918143</c:v>
                </c:pt>
                <c:pt idx="7" formatCode="#\ ###\ ##0">
                  <c:v>2048569</c:v>
                </c:pt>
                <c:pt idx="8" formatCode="#\ ###\ ##0">
                  <c:v>2185127</c:v>
                </c:pt>
                <c:pt idx="9" formatCode="#\ ###\ ##0">
                  <c:v>1935405</c:v>
                </c:pt>
                <c:pt idx="10" formatCode="#\ ###\ ##0">
                  <c:v>2130732</c:v>
                </c:pt>
              </c:numCache>
            </c:numRef>
          </c:val>
          <c:smooth val="0"/>
          <c:extLst>
            <c:ext xmlns:c16="http://schemas.microsoft.com/office/drawing/2014/chart" uri="{C3380CC4-5D6E-409C-BE32-E72D297353CC}">
              <c16:uniqueId val="{00000002-503E-463B-817C-9B20891CF565}"/>
            </c:ext>
          </c:extLst>
        </c:ser>
        <c:dLbls>
          <c:showLegendKey val="0"/>
          <c:showVal val="1"/>
          <c:showCatName val="0"/>
          <c:showSerName val="0"/>
          <c:showPercent val="0"/>
          <c:showBubbleSize val="0"/>
        </c:dLbls>
        <c:marker val="1"/>
        <c:smooth val="0"/>
        <c:axId val="1700233839"/>
        <c:axId val="1700240495"/>
      </c:lineChart>
      <c:catAx>
        <c:axId val="170023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00240495"/>
        <c:crosses val="autoZero"/>
        <c:auto val="1"/>
        <c:lblAlgn val="ctr"/>
        <c:lblOffset val="100"/>
        <c:noMultiLvlLbl val="0"/>
      </c:catAx>
      <c:valAx>
        <c:axId val="1700240495"/>
        <c:scaling>
          <c:orientation val="minMax"/>
        </c:scaling>
        <c:delete val="1"/>
        <c:axPos val="l"/>
        <c:numFmt formatCode="General" sourceLinked="1"/>
        <c:majorTickMark val="none"/>
        <c:minorTickMark val="none"/>
        <c:tickLblPos val="nextTo"/>
        <c:crossAx val="1700233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90407394107018E-2"/>
          <c:y val="0.16080538275257028"/>
          <c:w val="0.97365282540458387"/>
          <c:h val="0.33850050511641844"/>
        </c:manualLayout>
      </c:layout>
      <c:barChart>
        <c:barDir val="col"/>
        <c:grouping val="clustered"/>
        <c:varyColors val="0"/>
        <c:ser>
          <c:idx val="0"/>
          <c:order val="0"/>
          <c:tx>
            <c:strRef>
              <c:f>D57FGRDel!$I$2</c:f>
              <c:strCache>
                <c:ptCount val="1"/>
                <c:pt idx="0">
                  <c:v>2020</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D57FGRDel!$H$3:$H$12</c:f>
              <c:strCache>
                <c:ptCount val="10"/>
                <c:pt idx="0">
                  <c:v>Delitos en materia de armas, explosivos y otros materiales destructivos</c:v>
                </c:pt>
                <c:pt idx="1">
                  <c:v>Robo**</c:v>
                </c:pt>
                <c:pt idx="2">
                  <c:v>Delitos federales contra la salud relacionados con narcóticos***</c:v>
                </c:pt>
                <c:pt idx="3">
                  <c:v>Delitos en materia de hidrocarburos y sus derivados</c:v>
                </c:pt>
                <c:pt idx="4">
                  <c:v>Delitos en materia de vías de comunicación y correspondencia</c:v>
                </c:pt>
                <c:pt idx="5">
                  <c:v>Delitos en materia de instituciones de crédito, inversión, fianzas y seguros</c:v>
                </c:pt>
                <c:pt idx="6">
                  <c:v>Delitos por hechos de corrupción</c:v>
                </c:pt>
                <c:pt idx="7">
                  <c:v>Daño a la propiedad</c:v>
                </c:pt>
                <c:pt idx="8">
                  <c:v>Delitos contra la administración de justicia</c:v>
                </c:pt>
                <c:pt idx="9">
                  <c:v>Falsificación</c:v>
                </c:pt>
              </c:strCache>
            </c:strRef>
          </c:cat>
          <c:val>
            <c:numRef>
              <c:f>D57FGRDel!$I$3:$I$12</c:f>
              <c:numCache>
                <c:formatCode>#\ ###\ ##0</c:formatCode>
                <c:ptCount val="10"/>
                <c:pt idx="0">
                  <c:v>14416</c:v>
                </c:pt>
                <c:pt idx="1">
                  <c:v>13796</c:v>
                </c:pt>
                <c:pt idx="2">
                  <c:v>7876</c:v>
                </c:pt>
                <c:pt idx="3">
                  <c:v>5939</c:v>
                </c:pt>
                <c:pt idx="4">
                  <c:v>4250</c:v>
                </c:pt>
                <c:pt idx="5">
                  <c:v>5406</c:v>
                </c:pt>
                <c:pt idx="6">
                  <c:v>2824</c:v>
                </c:pt>
                <c:pt idx="7">
                  <c:v>2590</c:v>
                </c:pt>
                <c:pt idx="8">
                  <c:v>1741</c:v>
                </c:pt>
                <c:pt idx="9">
                  <c:v>2005</c:v>
                </c:pt>
              </c:numCache>
            </c:numRef>
          </c:val>
          <c:extLst>
            <c:ext xmlns:c16="http://schemas.microsoft.com/office/drawing/2014/chart" uri="{C3380CC4-5D6E-409C-BE32-E72D297353CC}">
              <c16:uniqueId val="{00000000-3A1E-42C3-B494-12B90CB54900}"/>
            </c:ext>
          </c:extLst>
        </c:ser>
        <c:ser>
          <c:idx val="1"/>
          <c:order val="1"/>
          <c:tx>
            <c:strRef>
              <c:f>D57FGRDel!$J$2</c:f>
              <c:strCache>
                <c:ptCount val="1"/>
                <c:pt idx="0">
                  <c:v>2021</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D57FGRDel!$H$3:$H$12</c:f>
              <c:strCache>
                <c:ptCount val="10"/>
                <c:pt idx="0">
                  <c:v>Delitos en materia de armas, explosivos y otros materiales destructivos</c:v>
                </c:pt>
                <c:pt idx="1">
                  <c:v>Robo**</c:v>
                </c:pt>
                <c:pt idx="2">
                  <c:v>Delitos federales contra la salud relacionados con narcóticos***</c:v>
                </c:pt>
                <c:pt idx="3">
                  <c:v>Delitos en materia de hidrocarburos y sus derivados</c:v>
                </c:pt>
                <c:pt idx="4">
                  <c:v>Delitos en materia de vías de comunicación y correspondencia</c:v>
                </c:pt>
                <c:pt idx="5">
                  <c:v>Delitos en materia de instituciones de crédito, inversión, fianzas y seguros</c:v>
                </c:pt>
                <c:pt idx="6">
                  <c:v>Delitos por hechos de corrupción</c:v>
                </c:pt>
                <c:pt idx="7">
                  <c:v>Daño a la propiedad</c:v>
                </c:pt>
                <c:pt idx="8">
                  <c:v>Delitos contra la administración de justicia</c:v>
                </c:pt>
                <c:pt idx="9">
                  <c:v>Falsificación</c:v>
                </c:pt>
              </c:strCache>
            </c:strRef>
          </c:cat>
          <c:val>
            <c:numRef>
              <c:f>D57FGRDel!$J$3:$J$12</c:f>
              <c:numCache>
                <c:formatCode>#\ ###\ ##0</c:formatCode>
                <c:ptCount val="10"/>
                <c:pt idx="0">
                  <c:v>13521</c:v>
                </c:pt>
                <c:pt idx="1">
                  <c:v>12517</c:v>
                </c:pt>
                <c:pt idx="2">
                  <c:v>7021</c:v>
                </c:pt>
                <c:pt idx="3">
                  <c:v>6155</c:v>
                </c:pt>
                <c:pt idx="4">
                  <c:v>5513</c:v>
                </c:pt>
                <c:pt idx="5">
                  <c:v>4175</c:v>
                </c:pt>
                <c:pt idx="6">
                  <c:v>3034</c:v>
                </c:pt>
                <c:pt idx="7">
                  <c:v>2721</c:v>
                </c:pt>
                <c:pt idx="8">
                  <c:v>2118</c:v>
                </c:pt>
                <c:pt idx="9">
                  <c:v>2010</c:v>
                </c:pt>
              </c:numCache>
            </c:numRef>
          </c:val>
          <c:extLst>
            <c:ext xmlns:c16="http://schemas.microsoft.com/office/drawing/2014/chart" uri="{C3380CC4-5D6E-409C-BE32-E72D297353CC}">
              <c16:uniqueId val="{00000001-3A1E-42C3-B494-12B90CB54900}"/>
            </c:ext>
          </c:extLst>
        </c:ser>
        <c:dLbls>
          <c:dLblPos val="outEnd"/>
          <c:showLegendKey val="0"/>
          <c:showVal val="1"/>
          <c:showCatName val="0"/>
          <c:showSerName val="0"/>
          <c:showPercent val="0"/>
          <c:showBubbleSize val="0"/>
        </c:dLbls>
        <c:gapWidth val="80"/>
        <c:overlap val="-27"/>
        <c:axId val="1629650079"/>
        <c:axId val="1629650911"/>
      </c:barChart>
      <c:catAx>
        <c:axId val="1629650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29650911"/>
        <c:crosses val="autoZero"/>
        <c:auto val="1"/>
        <c:lblAlgn val="ctr"/>
        <c:lblOffset val="100"/>
        <c:noMultiLvlLbl val="0"/>
      </c:catAx>
      <c:valAx>
        <c:axId val="1629650911"/>
        <c:scaling>
          <c:orientation val="minMax"/>
        </c:scaling>
        <c:delete val="1"/>
        <c:axPos val="l"/>
        <c:numFmt formatCode="#\ ###\ ##0" sourceLinked="1"/>
        <c:majorTickMark val="none"/>
        <c:minorTickMark val="none"/>
        <c:tickLblPos val="nextTo"/>
        <c:crossAx val="1629650079"/>
        <c:crosses val="autoZero"/>
        <c:crossBetween val="between"/>
      </c:valAx>
      <c:spPr>
        <a:noFill/>
        <a:ln>
          <a:noFill/>
        </a:ln>
        <a:effectLst/>
      </c:spPr>
    </c:plotArea>
    <c:legend>
      <c:legendPos val="b"/>
      <c:layout>
        <c:manualLayout>
          <c:xMode val="edge"/>
          <c:yMode val="edge"/>
          <c:x val="0.76186272787676512"/>
          <c:y val="0.10310616853117757"/>
          <c:w val="0.12030946180224077"/>
          <c:h val="6.9404350402903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867688252448657E-2"/>
          <c:y val="0.10892031614642605"/>
          <c:w val="0.95297135528003418"/>
          <c:h val="0.31895083392760382"/>
        </c:manualLayout>
      </c:layout>
      <c:barChart>
        <c:barDir val="col"/>
        <c:grouping val="clustered"/>
        <c:varyColors val="0"/>
        <c:ser>
          <c:idx val="0"/>
          <c:order val="0"/>
          <c:tx>
            <c:strRef>
              <c:f>D51DelFGE!$T$4</c:f>
              <c:strCache>
                <c:ptCount val="1"/>
                <c:pt idx="0">
                  <c:v>2020</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D51DelFGE!$S$5:$S$14</c:f>
              <c:strCache>
                <c:ptCount val="10"/>
                <c:pt idx="0">
                  <c:v>Robo*</c:v>
                </c:pt>
                <c:pt idx="1">
                  <c:v>Violencia familiar</c:v>
                </c:pt>
                <c:pt idx="2">
                  <c:v>Lesiones</c:v>
                </c:pt>
                <c:pt idx="3">
                  <c:v>Daño a la propiedad</c:v>
                </c:pt>
                <c:pt idx="4">
                  <c:v>Amenazas</c:v>
                </c:pt>
                <c:pt idx="5">
                  <c:v>Delitos contra la salud relacionados con narcóticos en su modalidad de narcomenudeo</c:v>
                </c:pt>
                <c:pt idx="6">
                  <c:v>Fraude</c:v>
                </c:pt>
                <c:pt idx="7">
                  <c:v>Homicidio</c:v>
                </c:pt>
                <c:pt idx="8">
                  <c:v>Despojo</c:v>
                </c:pt>
                <c:pt idx="9">
                  <c:v>Abuso de confianza</c:v>
                </c:pt>
              </c:strCache>
            </c:strRef>
          </c:cat>
          <c:val>
            <c:numRef>
              <c:f>D51DelFGE!$T$5:$T$14</c:f>
              <c:numCache>
                <c:formatCode>#\ ###\ ##0</c:formatCode>
                <c:ptCount val="10"/>
                <c:pt idx="0">
                  <c:v>612114</c:v>
                </c:pt>
                <c:pt idx="1">
                  <c:v>220609</c:v>
                </c:pt>
                <c:pt idx="2">
                  <c:v>184860</c:v>
                </c:pt>
                <c:pt idx="3">
                  <c:v>115915</c:v>
                </c:pt>
                <c:pt idx="4">
                  <c:v>105464</c:v>
                </c:pt>
                <c:pt idx="5">
                  <c:v>91837</c:v>
                </c:pt>
                <c:pt idx="6">
                  <c:v>74001</c:v>
                </c:pt>
                <c:pt idx="7">
                  <c:v>45805</c:v>
                </c:pt>
                <c:pt idx="8">
                  <c:v>28829</c:v>
                </c:pt>
                <c:pt idx="9">
                  <c:v>24592</c:v>
                </c:pt>
              </c:numCache>
            </c:numRef>
          </c:val>
          <c:extLst>
            <c:ext xmlns:c16="http://schemas.microsoft.com/office/drawing/2014/chart" uri="{C3380CC4-5D6E-409C-BE32-E72D297353CC}">
              <c16:uniqueId val="{00000000-55E7-411A-AC5C-A6033984B78E}"/>
            </c:ext>
          </c:extLst>
        </c:ser>
        <c:ser>
          <c:idx val="1"/>
          <c:order val="1"/>
          <c:tx>
            <c:strRef>
              <c:f>D51DelFGE!$U$4</c:f>
              <c:strCache>
                <c:ptCount val="1"/>
                <c:pt idx="0">
                  <c:v>2021</c:v>
                </c:pt>
              </c:strCache>
            </c:strRef>
          </c:tx>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D51DelFGE!$S$5:$S$14</c:f>
              <c:strCache>
                <c:ptCount val="10"/>
                <c:pt idx="0">
                  <c:v>Robo*</c:v>
                </c:pt>
                <c:pt idx="1">
                  <c:v>Violencia familiar</c:v>
                </c:pt>
                <c:pt idx="2">
                  <c:v>Lesiones</c:v>
                </c:pt>
                <c:pt idx="3">
                  <c:v>Daño a la propiedad</c:v>
                </c:pt>
                <c:pt idx="4">
                  <c:v>Amenazas</c:v>
                </c:pt>
                <c:pt idx="5">
                  <c:v>Delitos contra la salud relacionados con narcóticos en su modalidad de narcomenudeo</c:v>
                </c:pt>
                <c:pt idx="6">
                  <c:v>Fraude</c:v>
                </c:pt>
                <c:pt idx="7">
                  <c:v>Homicidio</c:v>
                </c:pt>
                <c:pt idx="8">
                  <c:v>Despojo</c:v>
                </c:pt>
                <c:pt idx="9">
                  <c:v>Abuso de confianza</c:v>
                </c:pt>
              </c:strCache>
            </c:strRef>
          </c:cat>
          <c:val>
            <c:numRef>
              <c:f>D51DelFGE!$U$5:$U$14</c:f>
              <c:numCache>
                <c:formatCode>#\ ###\ ##0</c:formatCode>
                <c:ptCount val="10"/>
                <c:pt idx="0">
                  <c:v>614737</c:v>
                </c:pt>
                <c:pt idx="1">
                  <c:v>254030</c:v>
                </c:pt>
                <c:pt idx="2">
                  <c:v>202746</c:v>
                </c:pt>
                <c:pt idx="3">
                  <c:v>136904</c:v>
                </c:pt>
                <c:pt idx="4">
                  <c:v>120864</c:v>
                </c:pt>
                <c:pt idx="5">
                  <c:v>104587</c:v>
                </c:pt>
                <c:pt idx="6">
                  <c:v>94643</c:v>
                </c:pt>
                <c:pt idx="7">
                  <c:v>46728</c:v>
                </c:pt>
                <c:pt idx="8">
                  <c:v>32886</c:v>
                </c:pt>
                <c:pt idx="9">
                  <c:v>30476</c:v>
                </c:pt>
              </c:numCache>
            </c:numRef>
          </c:val>
          <c:extLst>
            <c:ext xmlns:c16="http://schemas.microsoft.com/office/drawing/2014/chart" uri="{C3380CC4-5D6E-409C-BE32-E72D297353CC}">
              <c16:uniqueId val="{00000001-55E7-411A-AC5C-A6033984B78E}"/>
            </c:ext>
          </c:extLst>
        </c:ser>
        <c:dLbls>
          <c:dLblPos val="outEnd"/>
          <c:showLegendKey val="0"/>
          <c:showVal val="1"/>
          <c:showCatName val="0"/>
          <c:showSerName val="0"/>
          <c:showPercent val="0"/>
          <c:showBubbleSize val="0"/>
        </c:dLbls>
        <c:gapWidth val="80"/>
        <c:overlap val="-27"/>
        <c:axId val="1041953135"/>
        <c:axId val="1041956463"/>
      </c:barChart>
      <c:catAx>
        <c:axId val="1041953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41956463"/>
        <c:crosses val="autoZero"/>
        <c:auto val="1"/>
        <c:lblAlgn val="ctr"/>
        <c:lblOffset val="100"/>
        <c:noMultiLvlLbl val="0"/>
      </c:catAx>
      <c:valAx>
        <c:axId val="1041956463"/>
        <c:scaling>
          <c:orientation val="minMax"/>
        </c:scaling>
        <c:delete val="1"/>
        <c:axPos val="l"/>
        <c:numFmt formatCode="#\ ###\ ##0" sourceLinked="1"/>
        <c:majorTickMark val="none"/>
        <c:minorTickMark val="none"/>
        <c:tickLblPos val="nextTo"/>
        <c:crossAx val="1041953135"/>
        <c:crosses val="autoZero"/>
        <c:crossBetween val="between"/>
      </c:valAx>
      <c:spPr>
        <a:noFill/>
        <a:ln>
          <a:noFill/>
        </a:ln>
        <a:effectLst/>
      </c:spPr>
    </c:plotArea>
    <c:legend>
      <c:legendPos val="b"/>
      <c:layout>
        <c:manualLayout>
          <c:xMode val="edge"/>
          <c:yMode val="edge"/>
          <c:x val="0.74581068024897912"/>
          <c:y val="0.12696640463010211"/>
          <c:w val="0.13257701487613321"/>
          <c:h val="6.089249610820796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749689341659601E-2"/>
          <c:y val="0.14018801269956371"/>
          <c:w val="0.95637517350783263"/>
          <c:h val="0.47430914516479133"/>
        </c:manualLayout>
      </c:layout>
      <c:barChart>
        <c:barDir val="col"/>
        <c:grouping val="clustered"/>
        <c:varyColors val="0"/>
        <c:ser>
          <c:idx val="0"/>
          <c:order val="0"/>
          <c:tx>
            <c:strRef>
              <c:f>D58FGEVic!$D$14</c:f>
              <c:strCache>
                <c:ptCount val="1"/>
                <c:pt idx="0">
                  <c:v>Adultos</c:v>
                </c:pt>
              </c:strCache>
            </c:strRef>
          </c:tx>
          <c:spPr>
            <a:solidFill>
              <a:srgbClr val="5B90A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D58FGEVic!$E$12:$N$13</c:f>
              <c:multiLvlStrCache>
                <c:ptCount val="10"/>
                <c:lvl>
                  <c:pt idx="0">
                    <c:v>Hombres</c:v>
                  </c:pt>
                  <c:pt idx="1">
                    <c:v>Mujeres</c:v>
                  </c:pt>
                  <c:pt idx="2">
                    <c:v>No identificado</c:v>
                  </c:pt>
                  <c:pt idx="3">
                    <c:v>Sector público</c:v>
                  </c:pt>
                  <c:pt idx="4">
                    <c:v>Sector privado</c:v>
                  </c:pt>
                  <c:pt idx="5">
                    <c:v>No identificado</c:v>
                  </c:pt>
                  <c:pt idx="6">
                    <c:v>Sociedad</c:v>
                  </c:pt>
                  <c:pt idx="7">
                    <c:v>Estado</c:v>
                  </c:pt>
                  <c:pt idx="8">
                    <c:v>Otro tipo</c:v>
                  </c:pt>
                </c:lvl>
                <c:lvl>
                  <c:pt idx="0">
                    <c:v>Personas físicas</c:v>
                  </c:pt>
                  <c:pt idx="3">
                    <c:v>Personas morales</c:v>
                  </c:pt>
                  <c:pt idx="6">
                    <c:v>Otro tipo de víctima</c:v>
                  </c:pt>
                  <c:pt idx="9">
                    <c:v>No identificada</c:v>
                  </c:pt>
                </c:lvl>
              </c:multiLvlStrCache>
            </c:multiLvlStrRef>
          </c:cat>
          <c:val>
            <c:numRef>
              <c:f>D58FGEVic!$E$14:$N$14</c:f>
              <c:numCache>
                <c:formatCode>#\ ###\ ##0</c:formatCode>
                <c:ptCount val="10"/>
                <c:pt idx="0">
                  <c:v>973361</c:v>
                </c:pt>
                <c:pt idx="1">
                  <c:v>837763</c:v>
                </c:pt>
                <c:pt idx="2">
                  <c:v>81535</c:v>
                </c:pt>
                <c:pt idx="3">
                  <c:v>6025</c:v>
                </c:pt>
                <c:pt idx="4">
                  <c:v>66604</c:v>
                </c:pt>
                <c:pt idx="5">
                  <c:v>7212</c:v>
                </c:pt>
                <c:pt idx="6">
                  <c:v>100900</c:v>
                </c:pt>
                <c:pt idx="7">
                  <c:v>56583</c:v>
                </c:pt>
                <c:pt idx="8">
                  <c:v>1441</c:v>
                </c:pt>
                <c:pt idx="9">
                  <c:v>40579</c:v>
                </c:pt>
              </c:numCache>
            </c:numRef>
          </c:val>
          <c:extLst>
            <c:ext xmlns:c16="http://schemas.microsoft.com/office/drawing/2014/chart" uri="{C3380CC4-5D6E-409C-BE32-E72D297353CC}">
              <c16:uniqueId val="{00000000-A6A9-491E-9F21-3A82D77DE1EE}"/>
            </c:ext>
          </c:extLst>
        </c:ser>
        <c:ser>
          <c:idx val="1"/>
          <c:order val="1"/>
          <c:tx>
            <c:strRef>
              <c:f>D58FGEVic!$D$15</c:f>
              <c:strCache>
                <c:ptCount val="1"/>
                <c:pt idx="0">
                  <c:v>Justicia para adolescentes</c:v>
                </c:pt>
              </c:strCache>
            </c:strRef>
          </c:tx>
          <c:spPr>
            <a:solidFill>
              <a:srgbClr val="B7BCB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D58FGEVic!$E$12:$N$13</c:f>
              <c:multiLvlStrCache>
                <c:ptCount val="10"/>
                <c:lvl>
                  <c:pt idx="0">
                    <c:v>Hombres</c:v>
                  </c:pt>
                  <c:pt idx="1">
                    <c:v>Mujeres</c:v>
                  </c:pt>
                  <c:pt idx="2">
                    <c:v>No identificado</c:v>
                  </c:pt>
                  <c:pt idx="3">
                    <c:v>Sector público</c:v>
                  </c:pt>
                  <c:pt idx="4">
                    <c:v>Sector privado</c:v>
                  </c:pt>
                  <c:pt idx="5">
                    <c:v>No identificado</c:v>
                  </c:pt>
                  <c:pt idx="6">
                    <c:v>Sociedad</c:v>
                  </c:pt>
                  <c:pt idx="7">
                    <c:v>Estado</c:v>
                  </c:pt>
                  <c:pt idx="8">
                    <c:v>Otro tipo</c:v>
                  </c:pt>
                </c:lvl>
                <c:lvl>
                  <c:pt idx="0">
                    <c:v>Personas físicas</c:v>
                  </c:pt>
                  <c:pt idx="3">
                    <c:v>Personas morales</c:v>
                  </c:pt>
                  <c:pt idx="6">
                    <c:v>Otro tipo de víctima</c:v>
                  </c:pt>
                  <c:pt idx="9">
                    <c:v>No identificada</c:v>
                  </c:pt>
                </c:lvl>
              </c:multiLvlStrCache>
            </c:multiLvlStrRef>
          </c:cat>
          <c:val>
            <c:numRef>
              <c:f>D58FGEVic!$E$15:$N$15</c:f>
              <c:numCache>
                <c:formatCode>#\ ###\ ##0</c:formatCode>
                <c:ptCount val="10"/>
                <c:pt idx="0">
                  <c:v>8106</c:v>
                </c:pt>
                <c:pt idx="1">
                  <c:v>10148</c:v>
                </c:pt>
                <c:pt idx="2">
                  <c:v>287</c:v>
                </c:pt>
                <c:pt idx="3">
                  <c:v>115</c:v>
                </c:pt>
                <c:pt idx="4">
                  <c:v>1561</c:v>
                </c:pt>
                <c:pt idx="5">
                  <c:v>77</c:v>
                </c:pt>
                <c:pt idx="6">
                  <c:v>2699</c:v>
                </c:pt>
                <c:pt idx="7">
                  <c:v>815</c:v>
                </c:pt>
                <c:pt idx="8">
                  <c:v>71</c:v>
                </c:pt>
                <c:pt idx="9">
                  <c:v>120</c:v>
                </c:pt>
              </c:numCache>
            </c:numRef>
          </c:val>
          <c:extLst>
            <c:ext xmlns:c16="http://schemas.microsoft.com/office/drawing/2014/chart" uri="{C3380CC4-5D6E-409C-BE32-E72D297353CC}">
              <c16:uniqueId val="{00000001-A6A9-491E-9F21-3A82D77DE1EE}"/>
            </c:ext>
          </c:extLst>
        </c:ser>
        <c:dLbls>
          <c:dLblPos val="inEnd"/>
          <c:showLegendKey val="0"/>
          <c:showVal val="1"/>
          <c:showCatName val="0"/>
          <c:showSerName val="0"/>
          <c:showPercent val="0"/>
          <c:showBubbleSize val="0"/>
        </c:dLbls>
        <c:gapWidth val="80"/>
        <c:overlap val="-27"/>
        <c:axId val="453811823"/>
        <c:axId val="453825135"/>
      </c:barChart>
      <c:catAx>
        <c:axId val="45381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3825135"/>
        <c:crosses val="autoZero"/>
        <c:auto val="1"/>
        <c:lblAlgn val="ctr"/>
        <c:lblOffset val="100"/>
        <c:noMultiLvlLbl val="0"/>
      </c:catAx>
      <c:valAx>
        <c:axId val="453825135"/>
        <c:scaling>
          <c:orientation val="minMax"/>
        </c:scaling>
        <c:delete val="1"/>
        <c:axPos val="l"/>
        <c:numFmt formatCode="#\ ###\ ##0" sourceLinked="1"/>
        <c:majorTickMark val="none"/>
        <c:minorTickMark val="none"/>
        <c:tickLblPos val="nextTo"/>
        <c:crossAx val="453811823"/>
        <c:crosses val="autoZero"/>
        <c:crossBetween val="between"/>
      </c:valAx>
      <c:spPr>
        <a:noFill/>
        <a:ln>
          <a:noFill/>
        </a:ln>
        <a:effectLst/>
      </c:spPr>
    </c:plotArea>
    <c:legend>
      <c:legendPos val="b"/>
      <c:layout>
        <c:manualLayout>
          <c:xMode val="edge"/>
          <c:yMode val="edge"/>
          <c:x val="0.53971435718927219"/>
          <c:y val="0.13023130195730553"/>
          <c:w val="0.35838608608639144"/>
          <c:h val="8.895442029590137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88888888888889E-2"/>
          <c:y val="8.3333333333333329E-2"/>
          <c:w val="0.93888888888888888"/>
          <c:h val="0.74569663167104117"/>
        </c:manualLayout>
      </c:layout>
      <c:barChart>
        <c:barDir val="col"/>
        <c:grouping val="clustered"/>
        <c:varyColors val="0"/>
        <c:ser>
          <c:idx val="0"/>
          <c:order val="0"/>
          <c:tx>
            <c:strRef>
              <c:f>'66 Imp'!$C$6</c:f>
              <c:strCache>
                <c:ptCount val="1"/>
                <c:pt idx="0">
                  <c:v>Adultos</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'66 Imp'!$E$5:$H$5</c:f>
              <c:strCache>
                <c:ptCount val="4"/>
                <c:pt idx="0">
                  <c:v>Hombres</c:v>
                </c:pt>
                <c:pt idx="1">
                  <c:v>Mujeres</c:v>
                </c:pt>
                <c:pt idx="2">
                  <c:v>No identificado</c:v>
                </c:pt>
                <c:pt idx="3">
                  <c:v>Otro</c:v>
                </c:pt>
              </c:strCache>
            </c:strRef>
          </c:cat>
          <c:val>
            <c:numRef>
              <c:f>'66 Imp'!$E$6:$H$6</c:f>
              <c:numCache>
                <c:formatCode>#\ ###\ ###\ ##0</c:formatCode>
                <c:ptCount val="4"/>
                <c:pt idx="0">
                  <c:v>1031360</c:v>
                </c:pt>
                <c:pt idx="1">
                  <c:v>243943</c:v>
                </c:pt>
                <c:pt idx="2">
                  <c:v>625634</c:v>
                </c:pt>
                <c:pt idx="3">
                  <c:v>8120</c:v>
                </c:pt>
              </c:numCache>
            </c:numRef>
          </c:val>
          <c:extLst>
            <c:ext xmlns:c16="http://schemas.microsoft.com/office/drawing/2014/chart" uri="{C3380CC4-5D6E-409C-BE32-E72D297353CC}">
              <c16:uniqueId val="{00000000-7F5C-488C-BC15-CE29D87C8558}"/>
            </c:ext>
          </c:extLst>
        </c:ser>
        <c:ser>
          <c:idx val="1"/>
          <c:order val="1"/>
          <c:tx>
            <c:strRef>
              <c:f>'66 Imp'!$C$7</c:f>
              <c:strCache>
                <c:ptCount val="1"/>
                <c:pt idx="0">
                  <c:v>Justicia para adolescentes</c:v>
                </c:pt>
              </c:strCache>
            </c:strRef>
          </c:tx>
          <c:spPr>
            <a:solidFill>
              <a:srgbClr val="285172"/>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'66 Imp'!$E$5:$H$5</c:f>
              <c:strCache>
                <c:ptCount val="4"/>
                <c:pt idx="0">
                  <c:v>Hombres</c:v>
                </c:pt>
                <c:pt idx="1">
                  <c:v>Mujeres</c:v>
                </c:pt>
                <c:pt idx="2">
                  <c:v>No identificado</c:v>
                </c:pt>
                <c:pt idx="3">
                  <c:v>Otro</c:v>
                </c:pt>
              </c:strCache>
            </c:strRef>
          </c:cat>
          <c:val>
            <c:numRef>
              <c:f>'66 Imp'!$E$7:$H$7</c:f>
              <c:numCache>
                <c:formatCode>#\ ###\ ###\ ##0</c:formatCode>
                <c:ptCount val="4"/>
                <c:pt idx="0">
                  <c:v>18846</c:v>
                </c:pt>
                <c:pt idx="1">
                  <c:v>3321</c:v>
                </c:pt>
                <c:pt idx="2">
                  <c:v>487</c:v>
                </c:pt>
                <c:pt idx="3">
                  <c:v>0</c:v>
                </c:pt>
              </c:numCache>
            </c:numRef>
          </c:val>
          <c:extLst>
            <c:ext xmlns:c16="http://schemas.microsoft.com/office/drawing/2014/chart" uri="{C3380CC4-5D6E-409C-BE32-E72D297353CC}">
              <c16:uniqueId val="{00000001-7F5C-488C-BC15-CE29D87C8558}"/>
            </c:ext>
          </c:extLst>
        </c:ser>
        <c:dLbls>
          <c:dLblPos val="outEnd"/>
          <c:showLegendKey val="0"/>
          <c:showVal val="1"/>
          <c:showCatName val="0"/>
          <c:showSerName val="0"/>
          <c:showPercent val="0"/>
          <c:showBubbleSize val="0"/>
        </c:dLbls>
        <c:gapWidth val="90"/>
        <c:overlap val="-27"/>
        <c:axId val="29851375"/>
        <c:axId val="29837647"/>
      </c:barChart>
      <c:catAx>
        <c:axId val="29851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crossAx val="29837647"/>
        <c:crosses val="autoZero"/>
        <c:auto val="1"/>
        <c:lblAlgn val="ctr"/>
        <c:lblOffset val="100"/>
        <c:noMultiLvlLbl val="0"/>
      </c:catAx>
      <c:valAx>
        <c:axId val="29837647"/>
        <c:scaling>
          <c:orientation val="minMax"/>
        </c:scaling>
        <c:delete val="1"/>
        <c:axPos val="l"/>
        <c:numFmt formatCode="#\ ###\ ###\ ##0" sourceLinked="1"/>
        <c:majorTickMark val="none"/>
        <c:minorTickMark val="none"/>
        <c:tickLblPos val="nextTo"/>
        <c:crossAx val="29851375"/>
        <c:crosses val="autoZero"/>
        <c:crossBetween val="between"/>
      </c:valAx>
      <c:spPr>
        <a:noFill/>
        <a:ln>
          <a:noFill/>
        </a:ln>
        <a:effectLst/>
      </c:spPr>
    </c:plotArea>
    <c:legend>
      <c:legendPos val="b"/>
      <c:layout>
        <c:manualLayout>
          <c:xMode val="edge"/>
          <c:yMode val="edge"/>
          <c:x val="0.48328320123432533"/>
          <c:y val="7.3266980646110882E-2"/>
          <c:w val="0.51388582677165351"/>
          <c:h val="8.2992922458431637E-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rgbClr val="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88719641194889E-3"/>
          <c:y val="0.12293984251968504"/>
          <c:w val="0.98522256071761027"/>
          <c:h val="0.45185826771653537"/>
        </c:manualLayout>
      </c:layout>
      <c:barChart>
        <c:barDir val="col"/>
        <c:grouping val="clustered"/>
        <c:varyColors val="0"/>
        <c:ser>
          <c:idx val="0"/>
          <c:order val="0"/>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'67 Imp'!$C$10:$D$16</c:f>
              <c:multiLvlStrCache>
                <c:ptCount val="7"/>
                <c:lvl>
                  <c:pt idx="0">
                    <c:v>Flagrancia</c:v>
                  </c:pt>
                  <c:pt idx="1">
                    <c:v>Caso urgente</c:v>
                  </c:pt>
                  <c:pt idx="2">
                    <c:v>Sin orden judicial</c:v>
                  </c:pt>
                  <c:pt idx="3">
                    <c:v>Citación</c:v>
                  </c:pt>
                  <c:pt idx="4">
                    <c:v>Aprehensión</c:v>
                  </c:pt>
                  <c:pt idx="5">
                    <c:v>Comparecencia</c:v>
                  </c:pt>
                  <c:pt idx="6">
                    <c:v>Otro tipo de orden judicial </c:v>
                  </c:pt>
                </c:lvl>
                <c:lvl>
                  <c:pt idx="0">
                    <c:v>Inculpadas y/o imputadas detenidos </c:v>
                  </c:pt>
                  <c:pt idx="2">
                    <c:v>Inculpadas y/o imputadas no detenidos           </c:v>
                  </c:pt>
                </c:lvl>
              </c:multiLvlStrCache>
            </c:multiLvlStrRef>
          </c:cat>
          <c:val>
            <c:numRef>
              <c:f>'67 Imp'!$E$10:$E$16</c:f>
              <c:numCache>
                <c:formatCode>#\ ###\ ###\ ##0</c:formatCode>
                <c:ptCount val="7"/>
                <c:pt idx="0">
                  <c:v>447489</c:v>
                </c:pt>
                <c:pt idx="1">
                  <c:v>495</c:v>
                </c:pt>
                <c:pt idx="2">
                  <c:v>714296</c:v>
                </c:pt>
                <c:pt idx="3">
                  <c:v>22023</c:v>
                </c:pt>
                <c:pt idx="4">
                  <c:v>13298</c:v>
                </c:pt>
                <c:pt idx="5">
                  <c:v>7914</c:v>
                </c:pt>
                <c:pt idx="6">
                  <c:v>215</c:v>
                </c:pt>
              </c:numCache>
            </c:numRef>
          </c:val>
          <c:extLst>
            <c:ext xmlns:c16="http://schemas.microsoft.com/office/drawing/2014/chart" uri="{C3380CC4-5D6E-409C-BE32-E72D297353CC}">
              <c16:uniqueId val="{00000000-E97A-4AC5-94FB-702271EC4A97}"/>
            </c:ext>
          </c:extLst>
        </c:ser>
        <c:dLbls>
          <c:dLblPos val="outEnd"/>
          <c:showLegendKey val="0"/>
          <c:showVal val="1"/>
          <c:showCatName val="0"/>
          <c:showSerName val="0"/>
          <c:showPercent val="0"/>
          <c:showBubbleSize val="0"/>
        </c:dLbls>
        <c:gapWidth val="80"/>
        <c:overlap val="-27"/>
        <c:axId val="743556063"/>
        <c:axId val="743553983"/>
      </c:barChart>
      <c:catAx>
        <c:axId val="743556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crossAx val="743553983"/>
        <c:crosses val="autoZero"/>
        <c:auto val="1"/>
        <c:lblAlgn val="ctr"/>
        <c:lblOffset val="100"/>
        <c:noMultiLvlLbl val="0"/>
      </c:catAx>
      <c:valAx>
        <c:axId val="743553983"/>
        <c:scaling>
          <c:orientation val="minMax"/>
        </c:scaling>
        <c:delete val="1"/>
        <c:axPos val="l"/>
        <c:numFmt formatCode="#\ ###\ ###\ ##0" sourceLinked="1"/>
        <c:majorTickMark val="none"/>
        <c:minorTickMark val="none"/>
        <c:tickLblPos val="nextTo"/>
        <c:crossAx val="7435560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rgbClr val="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74107091239148E-3"/>
          <c:y val="3.2237831595710503E-2"/>
          <c:w val="0.985497750281215"/>
          <c:h val="0.411771631161227"/>
        </c:manualLayout>
      </c:layout>
      <c:barChart>
        <c:barDir val="col"/>
        <c:grouping val="clustered"/>
        <c:varyColors val="0"/>
        <c:ser>
          <c:idx val="0"/>
          <c:order val="0"/>
          <c:tx>
            <c:v>2020</c:v>
          </c:tx>
          <c:spPr>
            <a:solidFill>
              <a:srgbClr val="C29B61"/>
            </a:solidFill>
            <a:ln>
              <a:noFill/>
            </a:ln>
            <a:effectLst>
              <a:outerShdw blurRad="50800" dist="38100" dir="2700000" algn="tl" rotWithShape="0">
                <a:prstClr val="black">
                  <a:alpha val="40000"/>
                </a:prstClr>
              </a:outerShdw>
            </a:effectLst>
          </c:spPr>
          <c:invertIfNegative val="0"/>
          <c:dLbls>
            <c:dLbl>
              <c:idx val="0"/>
              <c:layout>
                <c:manualLayout>
                  <c:x val="-4.8111141047694974E-17"/>
                  <c:y val="0.1177536159896959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62-4F96-8120-9F8A9FE03C1E}"/>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'70 Determinaciones'!$B$15:$B$20</c:f>
              <c:strCache>
                <c:ptCount val="6"/>
                <c:pt idx="0">
                  <c:v>No ejercicio de la acción penal/ Improcedencia</c:v>
                </c:pt>
                <c:pt idx="1">
                  <c:v>Reserva/Archivo</c:v>
                </c:pt>
                <c:pt idx="2">
                  <c:v>Ejercicio de la acción penal/Procedencia</c:v>
                </c:pt>
                <c:pt idx="3">
                  <c:v>Incompetencia/ incompetencia interna</c:v>
                </c:pt>
                <c:pt idx="4">
                  <c:v>Acumulación</c:v>
                </c:pt>
                <c:pt idx="5">
                  <c:v>Otra determinación 
y/o conclusión</c:v>
                </c:pt>
              </c:strCache>
            </c:strRef>
          </c:cat>
          <c:val>
            <c:numRef>
              <c:f>'70 Determinaciones'!$C$15:$C$20</c:f>
              <c:numCache>
                <c:formatCode>#\ ###\ ###\ ##0</c:formatCode>
                <c:ptCount val="6"/>
                <c:pt idx="0">
                  <c:v>217237</c:v>
                </c:pt>
                <c:pt idx="1">
                  <c:v>19008</c:v>
                </c:pt>
                <c:pt idx="2">
                  <c:v>1788</c:v>
                </c:pt>
                <c:pt idx="3">
                  <c:v>1580</c:v>
                </c:pt>
                <c:pt idx="4">
                  <c:v>60</c:v>
                </c:pt>
                <c:pt idx="5">
                  <c:v>10304</c:v>
                </c:pt>
              </c:numCache>
            </c:numRef>
          </c:val>
          <c:extLst>
            <c:ext xmlns:c16="http://schemas.microsoft.com/office/drawing/2014/chart" uri="{C3380CC4-5D6E-409C-BE32-E72D297353CC}">
              <c16:uniqueId val="{00000001-F062-4F96-8120-9F8A9FE03C1E}"/>
            </c:ext>
          </c:extLst>
        </c:ser>
        <c:ser>
          <c:idx val="1"/>
          <c:order val="1"/>
          <c:tx>
            <c:v>2021</c:v>
          </c:tx>
          <c:spPr>
            <a:solidFill>
              <a:srgbClr val="63716D"/>
            </a:solidFill>
            <a:ln>
              <a:noFill/>
            </a:ln>
            <a:effectLst>
              <a:outerShdw blurRad="50800" dist="38100" dir="2700000" algn="tl" rotWithShape="0">
                <a:prstClr val="black">
                  <a:alpha val="40000"/>
                </a:prstClr>
              </a:outerShdw>
            </a:effectLst>
          </c:spPr>
          <c:invertIfNegative val="0"/>
          <c:dLbls>
            <c:dLbl>
              <c:idx val="0"/>
              <c:layout>
                <c:manualLayout>
                  <c:x val="-4.8111141047694974E-17"/>
                  <c:y val="0.1480331172441892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62-4F96-8120-9F8A9FE03C1E}"/>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'70 Determinaciones'!$B$15:$B$20</c:f>
              <c:strCache>
                <c:ptCount val="6"/>
                <c:pt idx="0">
                  <c:v>No ejercicio de la acción penal/ Improcedencia</c:v>
                </c:pt>
                <c:pt idx="1">
                  <c:v>Reserva/Archivo</c:v>
                </c:pt>
                <c:pt idx="2">
                  <c:v>Ejercicio de la acción penal/Procedencia</c:v>
                </c:pt>
                <c:pt idx="3">
                  <c:v>Incompetencia/ incompetencia interna</c:v>
                </c:pt>
                <c:pt idx="4">
                  <c:v>Acumulación</c:v>
                </c:pt>
                <c:pt idx="5">
                  <c:v>Otra determinación 
y/o conclusión</c:v>
                </c:pt>
              </c:strCache>
            </c:strRef>
          </c:cat>
          <c:val>
            <c:numRef>
              <c:f>'70 Determinaciones'!$D$15:$D$20</c:f>
              <c:numCache>
                <c:formatCode>#\ ###\ ###\ ##0</c:formatCode>
                <c:ptCount val="6"/>
                <c:pt idx="0">
                  <c:v>203216</c:v>
                </c:pt>
                <c:pt idx="1">
                  <c:v>7781</c:v>
                </c:pt>
                <c:pt idx="2">
                  <c:v>1209</c:v>
                </c:pt>
                <c:pt idx="3">
                  <c:v>693</c:v>
                </c:pt>
                <c:pt idx="4">
                  <c:v>78</c:v>
                </c:pt>
                <c:pt idx="5">
                  <c:v>2020</c:v>
                </c:pt>
              </c:numCache>
            </c:numRef>
          </c:val>
          <c:extLst>
            <c:ext xmlns:c16="http://schemas.microsoft.com/office/drawing/2014/chart" uri="{C3380CC4-5D6E-409C-BE32-E72D297353CC}">
              <c16:uniqueId val="{00000003-F062-4F96-8120-9F8A9FE03C1E}"/>
            </c:ext>
          </c:extLst>
        </c:ser>
        <c:dLbls>
          <c:dLblPos val="outEnd"/>
          <c:showLegendKey val="0"/>
          <c:showVal val="1"/>
          <c:showCatName val="0"/>
          <c:showSerName val="0"/>
          <c:showPercent val="0"/>
          <c:showBubbleSize val="0"/>
        </c:dLbls>
        <c:gapWidth val="80"/>
        <c:overlap val="-27"/>
        <c:axId val="1712029520"/>
        <c:axId val="1712032016"/>
      </c:barChart>
      <c:catAx>
        <c:axId val="171202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12032016"/>
        <c:crosses val="autoZero"/>
        <c:auto val="1"/>
        <c:lblAlgn val="ctr"/>
        <c:lblOffset val="100"/>
        <c:noMultiLvlLbl val="0"/>
      </c:catAx>
      <c:valAx>
        <c:axId val="1712032016"/>
        <c:scaling>
          <c:orientation val="minMax"/>
        </c:scaling>
        <c:delete val="1"/>
        <c:axPos val="l"/>
        <c:numFmt formatCode="#\ ###\ ###\ ##0" sourceLinked="1"/>
        <c:majorTickMark val="none"/>
        <c:minorTickMark val="none"/>
        <c:tickLblPos val="nextTo"/>
        <c:crossAx val="1712029520"/>
        <c:crosses val="autoZero"/>
        <c:crossBetween val="between"/>
      </c:valAx>
      <c:spPr>
        <a:noFill/>
        <a:ln>
          <a:noFill/>
        </a:ln>
        <a:effectLst/>
      </c:spPr>
    </c:plotArea>
    <c:legend>
      <c:legendPos val="r"/>
      <c:layout>
        <c:manualLayout>
          <c:xMode val="edge"/>
          <c:yMode val="edge"/>
          <c:x val="0.7994769221931578"/>
          <c:y val="1.5947998731598842E-2"/>
          <c:w val="0.18345413605271527"/>
          <c:h val="0.137600332306267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797392151176137"/>
          <c:y val="5.0925925925925923E-2"/>
          <c:w val="0.51113110035766762"/>
          <c:h val="0.9169003353747448"/>
        </c:manualLayout>
      </c:layout>
      <c:barChart>
        <c:barDir val="bar"/>
        <c:grouping val="clustered"/>
        <c:varyColors val="0"/>
        <c:ser>
          <c:idx val="0"/>
          <c:order val="0"/>
          <c:tx>
            <c:strRef>
              <c:f>'71-72 Determ2'!$C$20</c:f>
              <c:strCache>
                <c:ptCount val="1"/>
                <c:pt idx="0">
                  <c:v>2020</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'71-72 Determ2'!$B$21:$B$30</c:f>
              <c:strCache>
                <c:ptCount val="10"/>
                <c:pt idx="0">
                  <c:v>No ejercicio de la acción penal por la actualización 
de alguna causal de sobreseimiento</c:v>
                </c:pt>
                <c:pt idx="1">
                  <c:v>Archivo temporal</c:v>
                </c:pt>
                <c:pt idx="2">
                  <c:v>Ejercicio de la acción penal </c:v>
                </c:pt>
                <c:pt idx="3">
                  <c:v>Incompetencia</c:v>
                </c:pt>
                <c:pt idx="4">
                  <c:v>Facultad de abstenerse de investigar </c:v>
                </c:pt>
                <c:pt idx="5">
                  <c:v>Acuerdos reparatorios aprobados por el Ministerio Público en los que se decretó la extinción de la acción penal (cumplidos)</c:v>
                </c:pt>
                <c:pt idx="6">
                  <c:v>Criterios de oportunidad en los que se decretó la extinción de la acción penal</c:v>
                </c:pt>
                <c:pt idx="7">
                  <c:v>Acumulación </c:v>
                </c:pt>
                <c:pt idx="8">
                  <c:v>Prescripción de la acción penal en relación con el 
grupo etario en el que se ubique el adolescente</c:v>
                </c:pt>
                <c:pt idx="9">
                  <c:v>Otras determinaciones y/o conclusiones 
en la etapa de investigación inicial</c:v>
                </c:pt>
              </c:strCache>
            </c:strRef>
          </c:cat>
          <c:val>
            <c:numRef>
              <c:f>'71-72 Determ2'!$C$21:$C$30</c:f>
              <c:numCache>
                <c:formatCode>#\ ###\ ###\ ##0</c:formatCode>
                <c:ptCount val="10"/>
                <c:pt idx="0">
                  <c:v>351823</c:v>
                </c:pt>
                <c:pt idx="1">
                  <c:v>579802</c:v>
                </c:pt>
                <c:pt idx="2">
                  <c:v>120381</c:v>
                </c:pt>
                <c:pt idx="3">
                  <c:v>74480</c:v>
                </c:pt>
                <c:pt idx="4">
                  <c:v>33224</c:v>
                </c:pt>
                <c:pt idx="5">
                  <c:v>44666</c:v>
                </c:pt>
                <c:pt idx="6">
                  <c:v>34533</c:v>
                </c:pt>
                <c:pt idx="7">
                  <c:v>1603</c:v>
                </c:pt>
                <c:pt idx="8">
                  <c:v>193</c:v>
                </c:pt>
                <c:pt idx="9">
                  <c:v>20381</c:v>
                </c:pt>
              </c:numCache>
            </c:numRef>
          </c:val>
          <c:extLst>
            <c:ext xmlns:c16="http://schemas.microsoft.com/office/drawing/2014/chart" uri="{C3380CC4-5D6E-409C-BE32-E72D297353CC}">
              <c16:uniqueId val="{00000000-8E6D-4A0E-81A8-E6DD1C9833D1}"/>
            </c:ext>
          </c:extLst>
        </c:ser>
        <c:ser>
          <c:idx val="1"/>
          <c:order val="1"/>
          <c:tx>
            <c:strRef>
              <c:f>'71-72 Determ2'!$D$20</c:f>
              <c:strCache>
                <c:ptCount val="1"/>
                <c:pt idx="0">
                  <c:v>2021</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'71-72 Determ2'!$B$21:$B$30</c:f>
              <c:strCache>
                <c:ptCount val="10"/>
                <c:pt idx="0">
                  <c:v>No ejercicio de la acción penal por la actualización 
de alguna causal de sobreseimiento</c:v>
                </c:pt>
                <c:pt idx="1">
                  <c:v>Archivo temporal</c:v>
                </c:pt>
                <c:pt idx="2">
                  <c:v>Ejercicio de la acción penal </c:v>
                </c:pt>
                <c:pt idx="3">
                  <c:v>Incompetencia</c:v>
                </c:pt>
                <c:pt idx="4">
                  <c:v>Facultad de abstenerse de investigar </c:v>
                </c:pt>
                <c:pt idx="5">
                  <c:v>Acuerdos reparatorios aprobados por el Ministerio Público en los que se decretó la extinción de la acción penal (cumplidos)</c:v>
                </c:pt>
                <c:pt idx="6">
                  <c:v>Criterios de oportunidad en los que se decretó la extinción de la acción penal</c:v>
                </c:pt>
                <c:pt idx="7">
                  <c:v>Acumulación </c:v>
                </c:pt>
                <c:pt idx="8">
                  <c:v>Prescripción de la acción penal en relación con el 
grupo etario en el que se ubique el adolescente</c:v>
                </c:pt>
                <c:pt idx="9">
                  <c:v>Otras determinaciones y/o conclusiones 
en la etapa de investigación inicial</c:v>
                </c:pt>
              </c:strCache>
            </c:strRef>
          </c:cat>
          <c:val>
            <c:numRef>
              <c:f>'71-72 Determ2'!$D$21:$D$30</c:f>
              <c:numCache>
                <c:formatCode>#\ ###\ ###\ ##0</c:formatCode>
                <c:ptCount val="10"/>
                <c:pt idx="0">
                  <c:v>531556</c:v>
                </c:pt>
                <c:pt idx="1">
                  <c:v>527687</c:v>
                </c:pt>
                <c:pt idx="2">
                  <c:v>214573</c:v>
                </c:pt>
                <c:pt idx="3">
                  <c:v>78287</c:v>
                </c:pt>
                <c:pt idx="4">
                  <c:v>65749</c:v>
                </c:pt>
                <c:pt idx="5">
                  <c:v>49512</c:v>
                </c:pt>
                <c:pt idx="6">
                  <c:v>29752</c:v>
                </c:pt>
                <c:pt idx="7">
                  <c:v>10783</c:v>
                </c:pt>
                <c:pt idx="8">
                  <c:v>224</c:v>
                </c:pt>
                <c:pt idx="9">
                  <c:v>28372</c:v>
                </c:pt>
              </c:numCache>
            </c:numRef>
          </c:val>
          <c:extLst>
            <c:ext xmlns:c16="http://schemas.microsoft.com/office/drawing/2014/chart" uri="{C3380CC4-5D6E-409C-BE32-E72D297353CC}">
              <c16:uniqueId val="{00000001-8E6D-4A0E-81A8-E6DD1C9833D1}"/>
            </c:ext>
          </c:extLst>
        </c:ser>
        <c:dLbls>
          <c:dLblPos val="outEnd"/>
          <c:showLegendKey val="0"/>
          <c:showVal val="1"/>
          <c:showCatName val="0"/>
          <c:showSerName val="0"/>
          <c:showPercent val="0"/>
          <c:showBubbleSize val="0"/>
        </c:dLbls>
        <c:gapWidth val="80"/>
        <c:axId val="760869439"/>
        <c:axId val="760884415"/>
      </c:barChart>
      <c:catAx>
        <c:axId val="76086943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crossAx val="760884415"/>
        <c:crosses val="autoZero"/>
        <c:auto val="1"/>
        <c:lblAlgn val="ctr"/>
        <c:lblOffset val="100"/>
        <c:noMultiLvlLbl val="0"/>
      </c:catAx>
      <c:valAx>
        <c:axId val="760884415"/>
        <c:scaling>
          <c:orientation val="minMax"/>
        </c:scaling>
        <c:delete val="1"/>
        <c:axPos val="t"/>
        <c:numFmt formatCode="#\ ###\ ###\ ##0" sourceLinked="1"/>
        <c:majorTickMark val="none"/>
        <c:minorTickMark val="none"/>
        <c:tickLblPos val="nextTo"/>
        <c:crossAx val="760869439"/>
        <c:crosses val="autoZero"/>
        <c:crossBetween val="between"/>
      </c:valAx>
      <c:spPr>
        <a:noFill/>
        <a:ln>
          <a:noFill/>
        </a:ln>
        <a:effectLst/>
      </c:spPr>
    </c:plotArea>
    <c:legend>
      <c:legendPos val="b"/>
      <c:layout>
        <c:manualLayout>
          <c:xMode val="edge"/>
          <c:yMode val="edge"/>
          <c:x val="0.88801134046890928"/>
          <c:y val="0.3527363844631885"/>
          <c:w val="9.5556702344546385E-2"/>
          <c:h val="0.29803251588045404"/>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rgbClr val="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596510015319683"/>
          <c:y val="2.0950385677554518E-2"/>
          <c:w val="0.51178695110003458"/>
          <c:h val="0.95809922864489094"/>
        </c:manualLayout>
      </c:layout>
      <c:barChart>
        <c:barDir val="bar"/>
        <c:grouping val="clustered"/>
        <c:varyColors val="0"/>
        <c:ser>
          <c:idx val="0"/>
          <c:order val="0"/>
          <c:tx>
            <c:strRef>
              <c:f>D8UAdm!$M$3</c:f>
              <c:strCache>
                <c:ptCount val="1"/>
                <c:pt idx="0">
                  <c:v>Procuradurías o Fiscalías Generales de Justicia</c:v>
                </c:pt>
              </c:strCache>
            </c:strRef>
          </c:tx>
          <c:spPr>
            <a:solidFill>
              <a:srgbClr val="877A6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A5A5A5"/>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B713-4883-B514-A0987B89425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D8UAdm!$L$4:$L$30</c:f>
              <c:strCache>
                <c:ptCount val="27"/>
                <c:pt idx="0">
                  <c:v>Otra función</c:v>
                </c:pt>
                <c:pt idx="1">
                  <c:v>Seguridad institucional y protección civil</c:v>
                </c:pt>
                <c:pt idx="2">
                  <c:v>Atención especializada para adolescentes</c:v>
                </c:pt>
                <c:pt idx="3">
                  <c:v>Vinculación y coordinación interinstitucional</c:v>
                </c:pt>
                <c:pt idx="4">
                  <c:v>Vinculación y promoción con la sociedad</c:v>
                </c:pt>
                <c:pt idx="5">
                  <c:v>Acceso a la información pública y protección de datos personales</c:v>
                </c:pt>
                <c:pt idx="6">
                  <c:v>Asuntos internos</c:v>
                </c:pt>
                <c:pt idx="7">
                  <c:v>Estadística</c:v>
                </c:pt>
                <c:pt idx="8">
                  <c:v>Supervisión de medidas cautelares y suspensión condicional del proceso</c:v>
                </c:pt>
                <c:pt idx="9">
                  <c:v>Seguridad pública o seguridad ciudadana y/o prevención del delito</c:v>
                </c:pt>
                <c:pt idx="10">
                  <c:v>Visitaduría general</c:v>
                </c:pt>
                <c:pt idx="11">
                  <c:v>Comunicación social y difusión</c:v>
                </c:pt>
                <c:pt idx="12">
                  <c:v>Planeación y evaluación</c:v>
                </c:pt>
                <c:pt idx="13">
                  <c:v>Derechos humanos</c:v>
                </c:pt>
                <c:pt idx="14">
                  <c:v>Contraloría interna</c:v>
                </c:pt>
                <c:pt idx="15">
                  <c:v>Informática y tecnologías de la información </c:v>
                </c:pt>
                <c:pt idx="16">
                  <c:v>Atención especializada en justicia para las mujeres</c:v>
                </c:pt>
                <c:pt idx="17">
                  <c:v>Capacitación, formación y evaluación del personal</c:v>
                </c:pt>
                <c:pt idx="18">
                  <c:v>Despacho del Fiscal o Procurador</c:v>
                </c:pt>
                <c:pt idx="19">
                  <c:v>Mecanismos alternativos de solución de controversias en materia penal</c:v>
                </c:pt>
                <c:pt idx="20">
                  <c:v>Servicios periciales o servicio médico forense</c:v>
                </c:pt>
                <c:pt idx="21">
                  <c:v>Policía judicial, ministerial o de investigación</c:v>
                </c:pt>
                <c:pt idx="22">
                  <c:v>Control de aseguramientos ministeriales</c:v>
                </c:pt>
                <c:pt idx="23">
                  <c:v>Asuntos jurídicos</c:v>
                </c:pt>
                <c:pt idx="24">
                  <c:v>Atención directa a víctimas</c:v>
                </c:pt>
                <c:pt idx="25">
                  <c:v>Administración y finanzas</c:v>
                </c:pt>
                <c:pt idx="26">
                  <c:v>Investigación, análisis criminal y/o inteligencia</c:v>
                </c:pt>
              </c:strCache>
            </c:strRef>
          </c:cat>
          <c:val>
            <c:numRef>
              <c:f>D8UAdm!$M$4:$M$30</c:f>
              <c:numCache>
                <c:formatCode>#,##0</c:formatCode>
                <c:ptCount val="27"/>
                <c:pt idx="0">
                  <c:v>135</c:v>
                </c:pt>
                <c:pt idx="1">
                  <c:v>3</c:v>
                </c:pt>
                <c:pt idx="2">
                  <c:v>9</c:v>
                </c:pt>
                <c:pt idx="3">
                  <c:v>10</c:v>
                </c:pt>
                <c:pt idx="4">
                  <c:v>10</c:v>
                </c:pt>
                <c:pt idx="5">
                  <c:v>13</c:v>
                </c:pt>
                <c:pt idx="6">
                  <c:v>13</c:v>
                </c:pt>
                <c:pt idx="7">
                  <c:v>14</c:v>
                </c:pt>
                <c:pt idx="8">
                  <c:v>14</c:v>
                </c:pt>
                <c:pt idx="9">
                  <c:v>20</c:v>
                </c:pt>
                <c:pt idx="10">
                  <c:v>21</c:v>
                </c:pt>
                <c:pt idx="11">
                  <c:v>22</c:v>
                </c:pt>
                <c:pt idx="12">
                  <c:v>22</c:v>
                </c:pt>
                <c:pt idx="13">
                  <c:v>27</c:v>
                </c:pt>
                <c:pt idx="14">
                  <c:v>30</c:v>
                </c:pt>
                <c:pt idx="15">
                  <c:v>31</c:v>
                </c:pt>
                <c:pt idx="16">
                  <c:v>36</c:v>
                </c:pt>
                <c:pt idx="17">
                  <c:v>42</c:v>
                </c:pt>
                <c:pt idx="18">
                  <c:v>45</c:v>
                </c:pt>
                <c:pt idx="19">
                  <c:v>50</c:v>
                </c:pt>
                <c:pt idx="20">
                  <c:v>54</c:v>
                </c:pt>
                <c:pt idx="21">
                  <c:v>60</c:v>
                </c:pt>
                <c:pt idx="22">
                  <c:v>68</c:v>
                </c:pt>
                <c:pt idx="23">
                  <c:v>77</c:v>
                </c:pt>
                <c:pt idx="24">
                  <c:v>83</c:v>
                </c:pt>
                <c:pt idx="25">
                  <c:v>87</c:v>
                </c:pt>
                <c:pt idx="26">
                  <c:v>109</c:v>
                </c:pt>
              </c:numCache>
            </c:numRef>
          </c:val>
          <c:extLst>
            <c:ext xmlns:c16="http://schemas.microsoft.com/office/drawing/2014/chart" uri="{C3380CC4-5D6E-409C-BE32-E72D297353CC}">
              <c16:uniqueId val="{00000003-B713-4883-B514-A0987B894250}"/>
            </c:ext>
          </c:extLst>
        </c:ser>
        <c:dLbls>
          <c:dLblPos val="outEnd"/>
          <c:showLegendKey val="0"/>
          <c:showVal val="1"/>
          <c:showCatName val="0"/>
          <c:showSerName val="0"/>
          <c:showPercent val="0"/>
          <c:showBubbleSize val="0"/>
        </c:dLbls>
        <c:gapWidth val="80"/>
        <c:axId val="128220271"/>
        <c:axId val="128230671"/>
      </c:barChart>
      <c:catAx>
        <c:axId val="1282202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8230671"/>
        <c:crosses val="autoZero"/>
        <c:auto val="1"/>
        <c:lblAlgn val="ctr"/>
        <c:lblOffset val="100"/>
        <c:noMultiLvlLbl val="0"/>
      </c:catAx>
      <c:valAx>
        <c:axId val="128230671"/>
        <c:scaling>
          <c:orientation val="minMax"/>
        </c:scaling>
        <c:delete val="1"/>
        <c:axPos val="b"/>
        <c:numFmt formatCode="#,##0" sourceLinked="1"/>
        <c:majorTickMark val="none"/>
        <c:minorTickMark val="none"/>
        <c:tickLblPos val="nextTo"/>
        <c:crossAx val="12822027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74043696649757"/>
          <c:y val="2.6875699888017916E-2"/>
          <c:w val="0.44707312389044768"/>
          <c:h val="0.9016818474398427"/>
        </c:manualLayout>
      </c:layout>
      <c:barChart>
        <c:barDir val="bar"/>
        <c:grouping val="clustered"/>
        <c:varyColors val="0"/>
        <c:ser>
          <c:idx val="0"/>
          <c:order val="0"/>
          <c:tx>
            <c:strRef>
              <c:f>'71-72 Determ2'!$J$20</c:f>
              <c:strCache>
                <c:ptCount val="1"/>
                <c:pt idx="0">
                  <c:v>2020</c:v>
                </c:pt>
              </c:strCache>
            </c:strRef>
          </c:tx>
          <c:spPr>
            <a:solidFill>
              <a:srgbClr val="C29B61"/>
            </a:solidFill>
            <a:ln>
              <a:noFill/>
            </a:ln>
            <a:effectLst>
              <a:outerShdw blurRad="50800" dist="38100" dir="2700000" algn="tl" rotWithShape="0">
                <a:prstClr val="black">
                  <a:alpha val="40000"/>
                </a:prstClr>
              </a:outerShdw>
            </a:effectLst>
          </c:spPr>
          <c:invertIfNegative val="0"/>
          <c:dLbls>
            <c:dLbl>
              <c:idx val="8"/>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00-476C-9060-8EDCB8111D55}"/>
                </c:ext>
              </c:extLst>
            </c:dLbl>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'71-72 Determ2'!$I$21:$I$30</c:f>
              <c:strCache>
                <c:ptCount val="10"/>
                <c:pt idx="0">
                  <c:v>Soluciones alternas en las que se decretó 
la extinción de la acción penal</c:v>
                </c:pt>
                <c:pt idx="1">
                  <c:v>Procedimientos abreviados concluidos con sentencia</c:v>
                </c:pt>
                <c:pt idx="2">
                  <c:v>Sobreseimiento total o parcial decretado por el Juez de Control o 
Garantías en la etapa de investigación complementaria </c:v>
                </c:pt>
                <c:pt idx="3">
                  <c:v>Formulación de la acusación</c:v>
                </c:pt>
                <c:pt idx="4">
                  <c:v>Incompetencias en la etapa de investigación complementaria</c:v>
                </c:pt>
                <c:pt idx="5">
                  <c:v>Criterios de oportunidad en los que se 
decretó la extinción de la acción penal</c:v>
                </c:pt>
                <c:pt idx="6">
                  <c:v>Desistimiento de la acción penal del Ministerio Público 
en la etapa de investigación complementaria </c:v>
                </c:pt>
                <c:pt idx="7">
                  <c:v>Suspensión del proceso</c:v>
                </c:pt>
                <c:pt idx="8">
                  <c:v>Acumulación</c:v>
                </c:pt>
                <c:pt idx="9">
                  <c:v>Otras determinaciones y/o conclusiones en la 
etapa de investigación complementaria</c:v>
                </c:pt>
              </c:strCache>
            </c:strRef>
          </c:cat>
          <c:val>
            <c:numRef>
              <c:f>'71-72 Determ2'!$J$21:$J$30</c:f>
              <c:numCache>
                <c:formatCode>#\ ###\ ###\ ##0</c:formatCode>
                <c:ptCount val="10"/>
                <c:pt idx="0">
                  <c:v>14563</c:v>
                </c:pt>
                <c:pt idx="1">
                  <c:v>9323</c:v>
                </c:pt>
                <c:pt idx="2">
                  <c:v>5894</c:v>
                </c:pt>
                <c:pt idx="3">
                  <c:v>42760</c:v>
                </c:pt>
                <c:pt idx="4">
                  <c:v>7277</c:v>
                </c:pt>
                <c:pt idx="5">
                  <c:v>2031</c:v>
                </c:pt>
                <c:pt idx="6">
                  <c:v>3732</c:v>
                </c:pt>
                <c:pt idx="7">
                  <c:v>7366</c:v>
                </c:pt>
                <c:pt idx="8">
                  <c:v>0</c:v>
                </c:pt>
                <c:pt idx="9">
                  <c:v>18988</c:v>
                </c:pt>
              </c:numCache>
            </c:numRef>
          </c:val>
          <c:extLst>
            <c:ext xmlns:c16="http://schemas.microsoft.com/office/drawing/2014/chart" uri="{C3380CC4-5D6E-409C-BE32-E72D297353CC}">
              <c16:uniqueId val="{00000000-90A8-4254-915D-10CD63A6894F}"/>
            </c:ext>
          </c:extLst>
        </c:ser>
        <c:ser>
          <c:idx val="1"/>
          <c:order val="1"/>
          <c:tx>
            <c:strRef>
              <c:f>'71-72 Determ2'!$K$20</c:f>
              <c:strCache>
                <c:ptCount val="1"/>
                <c:pt idx="0">
                  <c:v>2021</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'71-72 Determ2'!$I$21:$I$30</c:f>
              <c:strCache>
                <c:ptCount val="10"/>
                <c:pt idx="0">
                  <c:v>Soluciones alternas en las que se decretó 
la extinción de la acción penal</c:v>
                </c:pt>
                <c:pt idx="1">
                  <c:v>Procedimientos abreviados concluidos con sentencia</c:v>
                </c:pt>
                <c:pt idx="2">
                  <c:v>Sobreseimiento total o parcial decretado por el Juez de Control o 
Garantías en la etapa de investigación complementaria </c:v>
                </c:pt>
                <c:pt idx="3">
                  <c:v>Formulación de la acusación</c:v>
                </c:pt>
                <c:pt idx="4">
                  <c:v>Incompetencias en la etapa de investigación complementaria</c:v>
                </c:pt>
                <c:pt idx="5">
                  <c:v>Criterios de oportunidad en los que se 
decretó la extinción de la acción penal</c:v>
                </c:pt>
                <c:pt idx="6">
                  <c:v>Desistimiento de la acción penal del Ministerio Público 
en la etapa de investigación complementaria </c:v>
                </c:pt>
                <c:pt idx="7">
                  <c:v>Suspensión del proceso</c:v>
                </c:pt>
                <c:pt idx="8">
                  <c:v>Acumulación</c:v>
                </c:pt>
                <c:pt idx="9">
                  <c:v>Otras determinaciones y/o conclusiones en la 
etapa de investigación complementaria</c:v>
                </c:pt>
              </c:strCache>
            </c:strRef>
          </c:cat>
          <c:val>
            <c:numRef>
              <c:f>'71-72 Determ2'!$K$21:$K$30</c:f>
              <c:numCache>
                <c:formatCode>#\ ###\ ###\ ##0</c:formatCode>
                <c:ptCount val="10"/>
                <c:pt idx="0">
                  <c:v>96834</c:v>
                </c:pt>
                <c:pt idx="1">
                  <c:v>90287</c:v>
                </c:pt>
                <c:pt idx="2">
                  <c:v>89922</c:v>
                </c:pt>
                <c:pt idx="3">
                  <c:v>51690</c:v>
                </c:pt>
                <c:pt idx="4">
                  <c:v>43419</c:v>
                </c:pt>
                <c:pt idx="5">
                  <c:v>34217</c:v>
                </c:pt>
                <c:pt idx="6">
                  <c:v>30098</c:v>
                </c:pt>
                <c:pt idx="7">
                  <c:v>26094</c:v>
                </c:pt>
                <c:pt idx="8">
                  <c:v>2621</c:v>
                </c:pt>
                <c:pt idx="9">
                  <c:v>12760</c:v>
                </c:pt>
              </c:numCache>
            </c:numRef>
          </c:val>
          <c:extLst>
            <c:ext xmlns:c16="http://schemas.microsoft.com/office/drawing/2014/chart" uri="{C3380CC4-5D6E-409C-BE32-E72D297353CC}">
              <c16:uniqueId val="{00000001-90A8-4254-915D-10CD63A6894F}"/>
            </c:ext>
          </c:extLst>
        </c:ser>
        <c:dLbls>
          <c:dLblPos val="outEnd"/>
          <c:showLegendKey val="0"/>
          <c:showVal val="1"/>
          <c:showCatName val="0"/>
          <c:showSerName val="0"/>
          <c:showPercent val="0"/>
          <c:showBubbleSize val="0"/>
        </c:dLbls>
        <c:gapWidth val="80"/>
        <c:axId val="1071701967"/>
        <c:axId val="1071708207"/>
      </c:barChart>
      <c:catAx>
        <c:axId val="107170196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crossAx val="1071708207"/>
        <c:crosses val="autoZero"/>
        <c:auto val="1"/>
        <c:lblAlgn val="ctr"/>
        <c:lblOffset val="100"/>
        <c:noMultiLvlLbl val="0"/>
      </c:catAx>
      <c:valAx>
        <c:axId val="1071708207"/>
        <c:scaling>
          <c:orientation val="minMax"/>
        </c:scaling>
        <c:delete val="1"/>
        <c:axPos val="t"/>
        <c:numFmt formatCode="#\ ###\ ###\ ##0" sourceLinked="1"/>
        <c:majorTickMark val="none"/>
        <c:minorTickMark val="none"/>
        <c:tickLblPos val="nextTo"/>
        <c:crossAx val="1071701967"/>
        <c:crosses val="autoZero"/>
        <c:crossBetween val="between"/>
      </c:valAx>
      <c:spPr>
        <a:noFill/>
        <a:ln>
          <a:noFill/>
        </a:ln>
        <a:effectLst/>
      </c:spPr>
    </c:plotArea>
    <c:legend>
      <c:legendPos val="b"/>
      <c:layout>
        <c:manualLayout>
          <c:xMode val="edge"/>
          <c:yMode val="edge"/>
          <c:x val="0.8572011410530852"/>
          <c:y val="0.45283367574573885"/>
          <c:w val="8.2364247211665048E-2"/>
          <c:h val="0.22090824915824916"/>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sz="900">
          <a:solidFill>
            <a:srgbClr val="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EAC479"/>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91D7-42B5-9E94-360A8A792FB4}"/>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Aseguramientos!$F$7:$G$14</c:f>
              <c:multiLvlStrCache>
                <c:ptCount val="8"/>
                <c:lvl>
                  <c:pt idx="0">
                    <c:v>De uso 
común</c:v>
                  </c:pt>
                  <c:pt idx="1">
                    <c:v>Largas</c:v>
                  </c:pt>
                  <c:pt idx="2">
                    <c:v>Cortas</c:v>
                  </c:pt>
                  <c:pt idx="3">
                    <c:v>No 
identificado</c:v>
                  </c:pt>
                  <c:pt idx="4">
                    <c:v>Armas de 
fuego</c:v>
                  </c:pt>
                  <c:pt idx="5">
                    <c:v>No 
identificado</c:v>
                  </c:pt>
                  <c:pt idx="6">
                    <c:v>Granadas</c:v>
                  </c:pt>
                </c:lvl>
                <c:lvl>
                  <c:pt idx="0">
                    <c:v>Municiones 
(cartuchos)</c:v>
                  </c:pt>
                  <c:pt idx="1">
                    <c:v>Armas de fuego</c:v>
                  </c:pt>
                  <c:pt idx="4">
                    <c:v>De fabricación 
artesanal</c:v>
                  </c:pt>
                  <c:pt idx="6">
                    <c:v>Explosivos</c:v>
                  </c:pt>
                  <c:pt idx="7">
                    <c:v>Lanzagra-nadas</c:v>
                  </c:pt>
                </c:lvl>
              </c:multiLvlStrCache>
            </c:multiLvlStrRef>
          </c:cat>
          <c:val>
            <c:numRef>
              <c:f>Aseguramientos!$H$7:$H$14</c:f>
              <c:numCache>
                <c:formatCode>#\ ###\ ##0</c:formatCode>
                <c:ptCount val="8"/>
                <c:pt idx="0">
                  <c:v>728329</c:v>
                </c:pt>
                <c:pt idx="1">
                  <c:v>7490</c:v>
                </c:pt>
                <c:pt idx="2">
                  <c:v>12507</c:v>
                </c:pt>
                <c:pt idx="3">
                  <c:v>90</c:v>
                </c:pt>
                <c:pt idx="4">
                  <c:v>1664</c:v>
                </c:pt>
                <c:pt idx="5">
                  <c:v>35</c:v>
                </c:pt>
                <c:pt idx="6">
                  <c:v>786</c:v>
                </c:pt>
                <c:pt idx="7" formatCode="General">
                  <c:v>78</c:v>
                </c:pt>
              </c:numCache>
            </c:numRef>
          </c:val>
          <c:extLst>
            <c:ext xmlns:c16="http://schemas.microsoft.com/office/drawing/2014/chart" uri="{C3380CC4-5D6E-409C-BE32-E72D297353CC}">
              <c16:uniqueId val="{00000002-91D7-42B5-9E94-360A8A792FB4}"/>
            </c:ext>
          </c:extLst>
        </c:ser>
        <c:dLbls>
          <c:showLegendKey val="0"/>
          <c:showVal val="0"/>
          <c:showCatName val="0"/>
          <c:showSerName val="0"/>
          <c:showPercent val="0"/>
          <c:showBubbleSize val="0"/>
        </c:dLbls>
        <c:gapWidth val="100"/>
        <c:overlap val="-27"/>
        <c:axId val="1722170447"/>
        <c:axId val="1722176687"/>
      </c:barChart>
      <c:catAx>
        <c:axId val="1722170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22176687"/>
        <c:crosses val="autoZero"/>
        <c:auto val="1"/>
        <c:lblAlgn val="ctr"/>
        <c:lblOffset val="100"/>
        <c:noMultiLvlLbl val="0"/>
      </c:catAx>
      <c:valAx>
        <c:axId val="1722176687"/>
        <c:scaling>
          <c:orientation val="minMax"/>
        </c:scaling>
        <c:delete val="1"/>
        <c:axPos val="l"/>
        <c:numFmt formatCode="#\ ###\ ##0" sourceLinked="1"/>
        <c:majorTickMark val="none"/>
        <c:minorTickMark val="none"/>
        <c:tickLblPos val="nextTo"/>
        <c:crossAx val="1722170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320925896843017E-2"/>
          <c:y val="2.6793007427819503E-2"/>
          <c:w val="0.98667907410315703"/>
          <c:h val="0.58325481147369784"/>
        </c:manualLayout>
      </c:layout>
      <c:barChart>
        <c:barDir val="col"/>
        <c:grouping val="clustered"/>
        <c:varyColors val="0"/>
        <c:ser>
          <c:idx val="0"/>
          <c:order val="0"/>
          <c:spPr>
            <a:solidFill>
              <a:srgbClr val="804053"/>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1142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FD65-4746-86EF-FC6E352C06E9}"/>
              </c:ext>
            </c:extLst>
          </c:dPt>
          <c:dLbls>
            <c:dLbl>
              <c:idx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1-FD65-4746-86EF-FC6E352C06E9}"/>
                </c:ext>
              </c:extLst>
            </c:dLbl>
            <c:spPr>
              <a:noFill/>
              <a:ln>
                <a:noFill/>
              </a:ln>
              <a:effectLst/>
            </c:spPr>
            <c:txPr>
              <a:bodyPr rot="0" spcFirstLastPara="1" vertOverflow="ellipsis" vert="horz" wrap="square" anchor="ctr" anchorCtr="1"/>
              <a:lstStyle/>
              <a:p>
                <a:pPr>
                  <a:defRPr sz="1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Aseguramientos!$F$7:$G$14</c:f>
              <c:multiLvlStrCache>
                <c:ptCount val="8"/>
                <c:lvl>
                  <c:pt idx="0">
                    <c:v>De uso 
común</c:v>
                  </c:pt>
                  <c:pt idx="1">
                    <c:v>Largas</c:v>
                  </c:pt>
                  <c:pt idx="2">
                    <c:v>Cortas</c:v>
                  </c:pt>
                  <c:pt idx="3">
                    <c:v>No 
identificado</c:v>
                  </c:pt>
                  <c:pt idx="4">
                    <c:v>Armas de 
fuego</c:v>
                  </c:pt>
                  <c:pt idx="5">
                    <c:v>No 
identificado</c:v>
                  </c:pt>
                  <c:pt idx="6">
                    <c:v>Granadas</c:v>
                  </c:pt>
                </c:lvl>
                <c:lvl>
                  <c:pt idx="0">
                    <c:v>Municiones 
(cartuchos)</c:v>
                  </c:pt>
                  <c:pt idx="1">
                    <c:v>Armas de fuego</c:v>
                  </c:pt>
                  <c:pt idx="4">
                    <c:v>De fabricación 
artesanal</c:v>
                  </c:pt>
                  <c:pt idx="6">
                    <c:v>Explosivos</c:v>
                  </c:pt>
                  <c:pt idx="7">
                    <c:v>Lanzagra-nadas</c:v>
                  </c:pt>
                </c:lvl>
              </c:multiLvlStrCache>
            </c:multiLvlStrRef>
          </c:cat>
          <c:val>
            <c:numRef>
              <c:f>Aseguramientos!$H$7:$H$14</c:f>
              <c:numCache>
                <c:formatCode>#\ ###\ ##0</c:formatCode>
                <c:ptCount val="8"/>
                <c:pt idx="0">
                  <c:v>728329</c:v>
                </c:pt>
                <c:pt idx="1">
                  <c:v>7490</c:v>
                </c:pt>
                <c:pt idx="2">
                  <c:v>12507</c:v>
                </c:pt>
                <c:pt idx="3">
                  <c:v>90</c:v>
                </c:pt>
                <c:pt idx="4">
                  <c:v>1664</c:v>
                </c:pt>
                <c:pt idx="5">
                  <c:v>35</c:v>
                </c:pt>
                <c:pt idx="6">
                  <c:v>786</c:v>
                </c:pt>
                <c:pt idx="7" formatCode="General">
                  <c:v>78</c:v>
                </c:pt>
              </c:numCache>
            </c:numRef>
          </c:val>
          <c:extLst>
            <c:ext xmlns:c16="http://schemas.microsoft.com/office/drawing/2014/chart" uri="{C3380CC4-5D6E-409C-BE32-E72D297353CC}">
              <c16:uniqueId val="{00000002-FD65-4746-86EF-FC6E352C06E9}"/>
            </c:ext>
          </c:extLst>
        </c:ser>
        <c:dLbls>
          <c:showLegendKey val="0"/>
          <c:showVal val="0"/>
          <c:showCatName val="0"/>
          <c:showSerName val="0"/>
          <c:showPercent val="0"/>
          <c:showBubbleSize val="0"/>
        </c:dLbls>
        <c:gapWidth val="100"/>
        <c:overlap val="-27"/>
        <c:axId val="1722170447"/>
        <c:axId val="1722176687"/>
      </c:barChart>
      <c:catAx>
        <c:axId val="1722170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22176687"/>
        <c:crosses val="autoZero"/>
        <c:auto val="1"/>
        <c:lblAlgn val="ctr"/>
        <c:lblOffset val="100"/>
        <c:noMultiLvlLbl val="0"/>
      </c:catAx>
      <c:valAx>
        <c:axId val="1722176687"/>
        <c:scaling>
          <c:orientation val="minMax"/>
        </c:scaling>
        <c:delete val="1"/>
        <c:axPos val="l"/>
        <c:numFmt formatCode="#\ ###\ ##0" sourceLinked="1"/>
        <c:majorTickMark val="none"/>
        <c:minorTickMark val="none"/>
        <c:tickLblPos val="nextTo"/>
        <c:crossAx val="1722170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706239782154519E-2"/>
          <c:y val="4.8708156519539948E-2"/>
          <c:w val="0.87711111111111106"/>
          <c:h val="0.73252333041703122"/>
        </c:manualLayout>
      </c:layout>
      <c:scatterChart>
        <c:scatterStyle val="lineMarker"/>
        <c:varyColors val="0"/>
        <c:ser>
          <c:idx val="0"/>
          <c:order val="0"/>
          <c:tx>
            <c:strRef>
              <c:f>Expedientes!$T$34</c:f>
              <c:strCache>
                <c:ptCount val="1"/>
                <c:pt idx="0">
                  <c:v>Abiertos</c:v>
                </c:pt>
              </c:strCache>
            </c:strRef>
          </c:tx>
          <c:spPr>
            <a:ln w="25400" cap="rnd">
              <a:noFill/>
              <a:round/>
            </a:ln>
            <a:effectLst>
              <a:outerShdw blurRad="50800" dist="38100" dir="2700000" algn="tl" rotWithShape="0">
                <a:prstClr val="black">
                  <a:alpha val="40000"/>
                </a:prstClr>
              </a:outerShdw>
            </a:effectLst>
          </c:spPr>
          <c:marker>
            <c:symbol val="circle"/>
            <c:size val="5"/>
            <c:spPr>
              <a:solidFill>
                <a:srgbClr val="5B90A7"/>
              </a:solidFill>
              <a:ln w="57150">
                <a:solidFill>
                  <a:srgbClr val="5B90A7"/>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lang="es-MX" sz="900" b="0" i="0" u="none" strike="noStrike" kern="1200" baseline="0">
                    <a:solidFill>
                      <a:srgbClr val="5B90A7"/>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Expedientes!$S$35:$S$39</c:f>
              <c:numCache>
                <c:formatCode>General</c:formatCode>
                <c:ptCount val="5"/>
                <c:pt idx="0">
                  <c:v>2017</c:v>
                </c:pt>
                <c:pt idx="1">
                  <c:v>2018</c:v>
                </c:pt>
                <c:pt idx="2">
                  <c:v>2019</c:v>
                </c:pt>
                <c:pt idx="3">
                  <c:v>2020</c:v>
                </c:pt>
                <c:pt idx="4">
                  <c:v>2021</c:v>
                </c:pt>
              </c:numCache>
            </c:numRef>
          </c:xVal>
          <c:yVal>
            <c:numRef>
              <c:f>Expedientes!$T$35:$T$39</c:f>
              <c:numCache>
                <c:formatCode>#\ ###\ ###\ ##0</c:formatCode>
                <c:ptCount val="5"/>
                <c:pt idx="0">
                  <c:v>2229</c:v>
                </c:pt>
                <c:pt idx="1">
                  <c:v>3998</c:v>
                </c:pt>
                <c:pt idx="2">
                  <c:v>2436</c:v>
                </c:pt>
                <c:pt idx="3">
                  <c:v>1820</c:v>
                </c:pt>
                <c:pt idx="4">
                  <c:v>2744</c:v>
                </c:pt>
              </c:numCache>
            </c:numRef>
          </c:yVal>
          <c:smooth val="0"/>
          <c:extLst>
            <c:ext xmlns:c16="http://schemas.microsoft.com/office/drawing/2014/chart" uri="{C3380CC4-5D6E-409C-BE32-E72D297353CC}">
              <c16:uniqueId val="{00000000-FF3C-4073-99FD-F34CE0E9E81E}"/>
            </c:ext>
          </c:extLst>
        </c:ser>
        <c:ser>
          <c:idx val="1"/>
          <c:order val="1"/>
          <c:tx>
            <c:strRef>
              <c:f>Expedientes!$U$34</c:f>
              <c:strCache>
                <c:ptCount val="1"/>
                <c:pt idx="0">
                  <c:v>Concluidos</c:v>
                </c:pt>
              </c:strCache>
            </c:strRef>
          </c:tx>
          <c:spPr>
            <a:ln w="25400" cap="rnd">
              <a:noFill/>
              <a:round/>
            </a:ln>
            <a:effectLst>
              <a:outerShdw blurRad="50800" dist="38100" dir="2700000" algn="tl" rotWithShape="0">
                <a:prstClr val="black">
                  <a:alpha val="40000"/>
                </a:prstClr>
              </a:outerShdw>
            </a:effectLst>
          </c:spPr>
          <c:marker>
            <c:symbol val="circle"/>
            <c:size val="5"/>
            <c:spPr>
              <a:solidFill>
                <a:srgbClr val="804053"/>
              </a:solidFill>
              <a:ln w="57150">
                <a:solidFill>
                  <a:srgbClr val="804053"/>
                </a:solidFill>
              </a:ln>
              <a:effectLst>
                <a:outerShdw blurRad="50800" dist="38100" dir="2700000" algn="tl" rotWithShape="0">
                  <a:prstClr val="black">
                    <a:alpha val="40000"/>
                  </a:prstClr>
                </a:outerShdw>
              </a:effectLst>
            </c:spPr>
          </c:marker>
          <c:dLbls>
            <c:dLbl>
              <c:idx val="1"/>
              <c:layout>
                <c:manualLayout>
                  <c:x val="0"/>
                  <c:y val="-1.85185185185185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3C-4073-99FD-F34CE0E9E81E}"/>
                </c:ext>
              </c:extLst>
            </c:dLbl>
            <c:dLbl>
              <c:idx val="4"/>
              <c:layout>
                <c:manualLayout>
                  <c:x val="-2.6516809738459945E-2"/>
                  <c:y val="-3.96820145450481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3C-4073-99FD-F34CE0E9E81E}"/>
                </c:ext>
              </c:extLst>
            </c:dLbl>
            <c:spPr>
              <a:noFill/>
              <a:ln>
                <a:noFill/>
              </a:ln>
              <a:effectLst/>
            </c:spPr>
            <c:txPr>
              <a:bodyPr rot="0" spcFirstLastPara="1" vertOverflow="ellipsis" vert="horz" wrap="square" anchor="ctr" anchorCtr="1"/>
              <a:lstStyle/>
              <a:p>
                <a:pPr>
                  <a:defRPr lang="es-MX" sz="900" b="0" i="0" u="none" strike="noStrike" kern="1200" baseline="0">
                    <a:solidFill>
                      <a:srgbClr val="804053"/>
                    </a:solidFill>
                    <a:latin typeface="Arial" panose="020B0604020202020204" pitchFamily="34" charset="0"/>
                    <a:ea typeface="+mn-ea"/>
                    <a:cs typeface="Arial" panose="020B0604020202020204" pitchFamily="34" charset="0"/>
                  </a:defRPr>
                </a:pPr>
                <a:endParaRPr lang="es-MX"/>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Expedientes!$S$35:$S$39</c:f>
              <c:numCache>
                <c:formatCode>General</c:formatCode>
                <c:ptCount val="5"/>
                <c:pt idx="0">
                  <c:v>2017</c:v>
                </c:pt>
                <c:pt idx="1">
                  <c:v>2018</c:v>
                </c:pt>
                <c:pt idx="2">
                  <c:v>2019</c:v>
                </c:pt>
                <c:pt idx="3">
                  <c:v>2020</c:v>
                </c:pt>
                <c:pt idx="4">
                  <c:v>2021</c:v>
                </c:pt>
              </c:numCache>
            </c:numRef>
          </c:xVal>
          <c:yVal>
            <c:numRef>
              <c:f>Expedientes!$U$35:$U$39</c:f>
              <c:numCache>
                <c:formatCode>#\ ###\ ###\ ##0</c:formatCode>
                <c:ptCount val="5"/>
                <c:pt idx="0">
                  <c:v>1957</c:v>
                </c:pt>
                <c:pt idx="1">
                  <c:v>2709</c:v>
                </c:pt>
                <c:pt idx="2">
                  <c:v>1688</c:v>
                </c:pt>
                <c:pt idx="3">
                  <c:v>1301</c:v>
                </c:pt>
                <c:pt idx="4">
                  <c:v>1846</c:v>
                </c:pt>
              </c:numCache>
            </c:numRef>
          </c:yVal>
          <c:smooth val="0"/>
          <c:extLst>
            <c:ext xmlns:c16="http://schemas.microsoft.com/office/drawing/2014/chart" uri="{C3380CC4-5D6E-409C-BE32-E72D297353CC}">
              <c16:uniqueId val="{00000003-FF3C-4073-99FD-F34CE0E9E81E}"/>
            </c:ext>
          </c:extLst>
        </c:ser>
        <c:ser>
          <c:idx val="2"/>
          <c:order val="2"/>
          <c:tx>
            <c:strRef>
              <c:f>Expedientes!$V$34</c:f>
              <c:strCache>
                <c:ptCount val="1"/>
                <c:pt idx="0">
                  <c:v>Pendientes de concluir</c:v>
                </c:pt>
              </c:strCache>
            </c:strRef>
          </c:tx>
          <c:spPr>
            <a:ln w="25400" cap="rnd">
              <a:noFill/>
              <a:round/>
            </a:ln>
            <a:effectLst>
              <a:outerShdw blurRad="50800" dist="38100" dir="2700000" algn="tl" rotWithShape="0">
                <a:prstClr val="black">
                  <a:alpha val="40000"/>
                </a:prstClr>
              </a:outerShdw>
            </a:effectLst>
          </c:spPr>
          <c:marker>
            <c:symbol val="circle"/>
            <c:size val="5"/>
            <c:spPr>
              <a:solidFill>
                <a:srgbClr val="63716D"/>
              </a:solidFill>
              <a:ln w="57150">
                <a:solidFill>
                  <a:srgbClr val="63716D"/>
                </a:solidFill>
              </a:ln>
              <a:effectLst>
                <a:outerShdw blurRad="50800" dist="38100" dir="2700000" algn="tl" rotWithShape="0">
                  <a:prstClr val="black">
                    <a:alpha val="40000"/>
                  </a:prstClr>
                </a:outerShdw>
              </a:effectLst>
            </c:spPr>
          </c:marker>
          <c:dLbls>
            <c:dLbl>
              <c:idx val="0"/>
              <c:layout>
                <c:manualLayout>
                  <c:x val="-5.1290489711885469E-2"/>
                  <c:y val="5.4359397377421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3C-4073-99FD-F34CE0E9E81E}"/>
                </c:ext>
              </c:extLst>
            </c:dLbl>
            <c:dLbl>
              <c:idx val="1"/>
              <c:layout>
                <c:manualLayout>
                  <c:x val="-5.4322374211940201E-2"/>
                  <c:y val="5.42428693680579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3C-4073-99FD-F34CE0E9E81E}"/>
                </c:ext>
              </c:extLst>
            </c:dLbl>
            <c:dLbl>
              <c:idx val="2"/>
              <c:layout>
                <c:manualLayout>
                  <c:x val="-5.356435337412236E-2"/>
                  <c:y val="4.04703246904104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3C-4073-99FD-F34CE0E9E81E}"/>
                </c:ext>
              </c:extLst>
            </c:dLbl>
            <c:dLbl>
              <c:idx val="3"/>
              <c:layout>
                <c:manualLayout>
                  <c:x val="-2.4555555555555556E-2"/>
                  <c:y val="3.58796296296296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3C-4073-99FD-F34CE0E9E81E}"/>
                </c:ext>
              </c:extLst>
            </c:dLbl>
            <c:dLbl>
              <c:idx val="4"/>
              <c:layout>
                <c:manualLayout>
                  <c:x val="-1.827740957713195E-3"/>
                  <c:y val="8.1018212188315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3C-4073-99FD-F34CE0E9E81E}"/>
                </c:ext>
              </c:extLst>
            </c:dLbl>
            <c:spPr>
              <a:noFill/>
              <a:ln>
                <a:noFill/>
              </a:ln>
              <a:effectLst/>
            </c:spPr>
            <c:txPr>
              <a:bodyPr rot="0" spcFirstLastPara="1" vertOverflow="ellipsis" vert="horz" wrap="square" anchor="ctr" anchorCtr="1"/>
              <a:lstStyle/>
              <a:p>
                <a:pPr>
                  <a:defRPr lang="es-MX" sz="900" b="0" i="0" u="none" strike="noStrike" kern="1200" baseline="0">
                    <a:solidFill>
                      <a:srgbClr val="63716D"/>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Expedientes!$S$35:$S$39</c:f>
              <c:numCache>
                <c:formatCode>General</c:formatCode>
                <c:ptCount val="5"/>
                <c:pt idx="0">
                  <c:v>2017</c:v>
                </c:pt>
                <c:pt idx="1">
                  <c:v>2018</c:v>
                </c:pt>
                <c:pt idx="2">
                  <c:v>2019</c:v>
                </c:pt>
                <c:pt idx="3">
                  <c:v>2020</c:v>
                </c:pt>
                <c:pt idx="4">
                  <c:v>2021</c:v>
                </c:pt>
              </c:numCache>
            </c:numRef>
          </c:xVal>
          <c:yVal>
            <c:numRef>
              <c:f>Expedientes!$V$35:$V$39</c:f>
              <c:numCache>
                <c:formatCode>#\ ###\ ###\ ##0</c:formatCode>
                <c:ptCount val="5"/>
                <c:pt idx="0">
                  <c:v>1785</c:v>
                </c:pt>
                <c:pt idx="1">
                  <c:v>2668</c:v>
                </c:pt>
                <c:pt idx="2">
                  <c:v>1410</c:v>
                </c:pt>
                <c:pt idx="3">
                  <c:v>937</c:v>
                </c:pt>
                <c:pt idx="4">
                  <c:v>676</c:v>
                </c:pt>
              </c:numCache>
            </c:numRef>
          </c:yVal>
          <c:smooth val="0"/>
          <c:extLst>
            <c:ext xmlns:c16="http://schemas.microsoft.com/office/drawing/2014/chart" uri="{C3380CC4-5D6E-409C-BE32-E72D297353CC}">
              <c16:uniqueId val="{00000009-FF3C-4073-99FD-F34CE0E9E81E}"/>
            </c:ext>
          </c:extLst>
        </c:ser>
        <c:dLbls>
          <c:dLblPos val="r"/>
          <c:showLegendKey val="0"/>
          <c:showVal val="1"/>
          <c:showCatName val="0"/>
          <c:showSerName val="0"/>
          <c:showPercent val="0"/>
          <c:showBubbleSize val="0"/>
        </c:dLbls>
        <c:axId val="1191962143"/>
        <c:axId val="996495903"/>
      </c:scatterChart>
      <c:valAx>
        <c:axId val="1191962143"/>
        <c:scaling>
          <c:orientation val="minMax"/>
          <c:max val="2021"/>
          <c:min val="2017"/>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96495903"/>
        <c:crosses val="autoZero"/>
        <c:crossBetween val="midCat"/>
        <c:majorUnit val="1"/>
      </c:valAx>
      <c:valAx>
        <c:axId val="996495903"/>
        <c:scaling>
          <c:orientation val="minMax"/>
        </c:scaling>
        <c:delete val="1"/>
        <c:axPos val="l"/>
        <c:numFmt formatCode="#\ ###\ ###\ ##0" sourceLinked="1"/>
        <c:majorTickMark val="none"/>
        <c:minorTickMark val="none"/>
        <c:tickLblPos val="nextTo"/>
        <c:crossAx val="1191962143"/>
        <c:crosses val="autoZero"/>
        <c:crossBetween val="midCat"/>
      </c:valAx>
      <c:spPr>
        <a:noFill/>
        <a:ln>
          <a:noFill/>
        </a:ln>
        <a:effectLst/>
      </c:spPr>
    </c:plotArea>
    <c:legend>
      <c:legendPos val="b"/>
      <c:layout>
        <c:manualLayout>
          <c:xMode val="edge"/>
          <c:yMode val="edge"/>
          <c:x val="0.267125554873755"/>
          <c:y val="0.91077427821522305"/>
          <c:w val="0.58274274311784802"/>
          <c:h val="6.4835477882337872E-2"/>
        </c:manualLayout>
      </c:layout>
      <c:overlay val="0"/>
      <c:spPr>
        <a:noFill/>
        <a:ln>
          <a:noFill/>
        </a:ln>
        <a:effectLst/>
      </c:spPr>
      <c:txPr>
        <a:bodyPr rot="0" spcFirstLastPara="1" vertOverflow="ellipsis" vert="horz" wrap="square" anchor="ctr" anchorCtr="1"/>
        <a:lstStyle/>
        <a:p>
          <a:pP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Expedientes!$T$16</c:f>
              <c:strCache>
                <c:ptCount val="1"/>
                <c:pt idx="0">
                  <c:v>Abiertos</c:v>
                </c:pt>
              </c:strCache>
            </c:strRef>
          </c:tx>
          <c:spPr>
            <a:ln w="28575" cap="rnd">
              <a:noFill/>
              <a:round/>
            </a:ln>
            <a:effectLst>
              <a:outerShdw blurRad="50800" dist="38100" dir="2700000" algn="tl" rotWithShape="0">
                <a:prstClr val="black">
                  <a:alpha val="40000"/>
                </a:prstClr>
              </a:outerShdw>
            </a:effectLst>
          </c:spPr>
          <c:marker>
            <c:symbol val="circle"/>
            <c:size val="10"/>
            <c:spPr>
              <a:solidFill>
                <a:srgbClr val="5B90A7"/>
              </a:solidFill>
              <a:ln w="9525">
                <a:no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rgbClr val="5B90A7"/>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Expedientes!$S$17:$S$25</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Expedientes!$T$17:$T$25</c:f>
              <c:numCache>
                <c:formatCode>#\ ###\ ###\ ##0</c:formatCode>
                <c:ptCount val="9"/>
                <c:pt idx="0">
                  <c:v>139602</c:v>
                </c:pt>
                <c:pt idx="1">
                  <c:v>168553</c:v>
                </c:pt>
                <c:pt idx="2">
                  <c:v>207825</c:v>
                </c:pt>
                <c:pt idx="3">
                  <c:v>217874</c:v>
                </c:pt>
                <c:pt idx="4">
                  <c:v>242110</c:v>
                </c:pt>
                <c:pt idx="5">
                  <c:v>257154</c:v>
                </c:pt>
                <c:pt idx="6">
                  <c:v>300116</c:v>
                </c:pt>
                <c:pt idx="7">
                  <c:v>234749</c:v>
                </c:pt>
                <c:pt idx="8">
                  <c:v>268304</c:v>
                </c:pt>
              </c:numCache>
            </c:numRef>
          </c:val>
          <c:smooth val="0"/>
          <c:extLst>
            <c:ext xmlns:c16="http://schemas.microsoft.com/office/drawing/2014/chart" uri="{C3380CC4-5D6E-409C-BE32-E72D297353CC}">
              <c16:uniqueId val="{00000000-6506-43D8-AD87-F970E51ADD4C}"/>
            </c:ext>
          </c:extLst>
        </c:ser>
        <c:ser>
          <c:idx val="1"/>
          <c:order val="1"/>
          <c:tx>
            <c:strRef>
              <c:f>Expedientes!$U$16</c:f>
              <c:strCache>
                <c:ptCount val="1"/>
                <c:pt idx="0">
                  <c:v>Concluidos</c:v>
                </c:pt>
              </c:strCache>
            </c:strRef>
          </c:tx>
          <c:spPr>
            <a:ln w="28575" cap="rnd">
              <a:noFill/>
              <a:round/>
            </a:ln>
            <a:effectLst>
              <a:outerShdw blurRad="50800" dist="38100" dir="2700000" algn="tl" rotWithShape="0">
                <a:prstClr val="black">
                  <a:alpha val="40000"/>
                </a:prstClr>
              </a:outerShdw>
            </a:effectLst>
          </c:spPr>
          <c:marker>
            <c:symbol val="circle"/>
            <c:size val="10"/>
            <c:spPr>
              <a:solidFill>
                <a:srgbClr val="804053"/>
              </a:solidFill>
              <a:ln w="9525">
                <a:noFill/>
              </a:ln>
              <a:effectLst>
                <a:outerShdw blurRad="50800" dist="38100" dir="2700000" algn="tl" rotWithShape="0">
                  <a:prstClr val="black">
                    <a:alpha val="40000"/>
                  </a:prstClr>
                </a:outerShdw>
              </a:effectLst>
            </c:spPr>
          </c:marker>
          <c:dLbls>
            <c:dLbl>
              <c:idx val="2"/>
              <c:layout>
                <c:manualLayout>
                  <c:x val="-8.8236220472440952E-2"/>
                  <c:y val="4.94098133566637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06-43D8-AD87-F970E51ADD4C}"/>
                </c:ext>
              </c:extLst>
            </c:dLbl>
            <c:dLbl>
              <c:idx val="3"/>
              <c:layout>
                <c:manualLayout>
                  <c:x val="-8.2680664916885444E-2"/>
                  <c:y val="5.4039442986293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06-43D8-AD87-F970E51ADD4C}"/>
                </c:ext>
              </c:extLst>
            </c:dLbl>
            <c:spPr>
              <a:noFill/>
              <a:ln>
                <a:noFill/>
              </a:ln>
              <a:effectLst/>
            </c:spPr>
            <c:txPr>
              <a:bodyPr rot="0" spcFirstLastPara="1" vertOverflow="ellipsis" vert="horz" wrap="square" anchor="ctr" anchorCtr="1"/>
              <a:lstStyle/>
              <a:p>
                <a:pPr>
                  <a:defRPr sz="900" b="0" i="0" u="none" strike="noStrike" kern="1200" baseline="0">
                    <a:solidFill>
                      <a:srgbClr val="804053"/>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Expedientes!$S$17:$S$25</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Expedientes!$U$17:$U$25</c:f>
              <c:numCache>
                <c:formatCode>#\ ###\ ###\ ##0</c:formatCode>
                <c:ptCount val="9"/>
                <c:pt idx="0">
                  <c:v>130193</c:v>
                </c:pt>
                <c:pt idx="1">
                  <c:v>138758</c:v>
                </c:pt>
                <c:pt idx="2">
                  <c:v>105003</c:v>
                </c:pt>
                <c:pt idx="3">
                  <c:v>100356</c:v>
                </c:pt>
                <c:pt idx="4">
                  <c:v>215709</c:v>
                </c:pt>
                <c:pt idx="5">
                  <c:v>242588</c:v>
                </c:pt>
                <c:pt idx="6">
                  <c:v>273263</c:v>
                </c:pt>
                <c:pt idx="7">
                  <c:v>226302</c:v>
                </c:pt>
                <c:pt idx="8">
                  <c:v>263156</c:v>
                </c:pt>
              </c:numCache>
            </c:numRef>
          </c:val>
          <c:smooth val="0"/>
          <c:extLst>
            <c:ext xmlns:c16="http://schemas.microsoft.com/office/drawing/2014/chart" uri="{C3380CC4-5D6E-409C-BE32-E72D297353CC}">
              <c16:uniqueId val="{00000003-6506-43D8-AD87-F970E51ADD4C}"/>
            </c:ext>
          </c:extLst>
        </c:ser>
        <c:ser>
          <c:idx val="2"/>
          <c:order val="2"/>
          <c:tx>
            <c:strRef>
              <c:f>Expedientes!$V$16</c:f>
              <c:strCache>
                <c:ptCount val="1"/>
                <c:pt idx="0">
                  <c:v>Pendientes de concluir</c:v>
                </c:pt>
              </c:strCache>
            </c:strRef>
          </c:tx>
          <c:spPr>
            <a:ln w="28575" cap="rnd">
              <a:noFill/>
              <a:round/>
            </a:ln>
            <a:effectLst>
              <a:outerShdw blurRad="50800" dist="38100" dir="2700000" algn="tl" rotWithShape="0">
                <a:prstClr val="black">
                  <a:alpha val="40000"/>
                </a:prstClr>
              </a:outerShdw>
            </a:effectLst>
          </c:spPr>
          <c:marker>
            <c:symbol val="circle"/>
            <c:size val="10"/>
            <c:spPr>
              <a:solidFill>
                <a:srgbClr val="B7BCB7"/>
              </a:solidFill>
              <a:ln w="9525">
                <a:noFill/>
              </a:ln>
              <a:effectLst>
                <a:outerShdw blurRad="50800" dist="38100" dir="2700000" algn="tl" rotWithShape="0">
                  <a:prstClr val="black">
                    <a:alpha val="40000"/>
                  </a:prstClr>
                </a:outerShdw>
              </a:effectLst>
            </c:spPr>
          </c:marker>
          <c:dLbls>
            <c:dLbl>
              <c:idx val="0"/>
              <c:layout>
                <c:manualLayout>
                  <c:x val="-7.4333333333333335E-2"/>
                  <c:y val="-5.11773528308962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06-43D8-AD87-F970E51ADD4C}"/>
                </c:ext>
              </c:extLst>
            </c:dLbl>
            <c:dLbl>
              <c:idx val="1"/>
              <c:layout>
                <c:manualLayout>
                  <c:x val="-7.5729221347331607E-2"/>
                  <c:y val="-6.17593634129068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06-43D8-AD87-F970E51ADD4C}"/>
                </c:ext>
              </c:extLst>
            </c:dLbl>
            <c:dLbl>
              <c:idx val="2"/>
              <c:layout>
                <c:manualLayout>
                  <c:x val="-7.2951443569553812E-2"/>
                  <c:y val="-5.64683581219015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06-43D8-AD87-F970E51ADD4C}"/>
                </c:ext>
              </c:extLst>
            </c:dLbl>
            <c:dLbl>
              <c:idx val="3"/>
              <c:layout>
                <c:manualLayout>
                  <c:x val="-7.5729221347331635E-2"/>
                  <c:y val="-5.40394429862934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06-43D8-AD87-F970E51ADD4C}"/>
                </c:ext>
              </c:extLst>
            </c:dLbl>
            <c:dLbl>
              <c:idx val="5"/>
              <c:layout>
                <c:manualLayout>
                  <c:x val="-7.572922134733158E-2"/>
                  <c:y val="-6.1759363412906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506-43D8-AD87-F970E51ADD4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Expedientes!$S$17:$S$25</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Expedientes!$V$17:$V$25</c:f>
              <c:numCache>
                <c:formatCode>#\ ###\ ###\ ##0</c:formatCode>
                <c:ptCount val="9"/>
                <c:pt idx="0">
                  <c:v>6373</c:v>
                </c:pt>
                <c:pt idx="1">
                  <c:v>12315</c:v>
                </c:pt>
                <c:pt idx="2">
                  <c:v>12643</c:v>
                </c:pt>
                <c:pt idx="3">
                  <c:v>20301</c:v>
                </c:pt>
                <c:pt idx="4">
                  <c:v>27230</c:v>
                </c:pt>
                <c:pt idx="5">
                  <c:v>20610</c:v>
                </c:pt>
                <c:pt idx="6">
                  <c:v>34202</c:v>
                </c:pt>
                <c:pt idx="7">
                  <c:v>28390</c:v>
                </c:pt>
                <c:pt idx="8">
                  <c:v>26900</c:v>
                </c:pt>
              </c:numCache>
            </c:numRef>
          </c:val>
          <c:smooth val="0"/>
          <c:extLst>
            <c:ext xmlns:c16="http://schemas.microsoft.com/office/drawing/2014/chart" uri="{C3380CC4-5D6E-409C-BE32-E72D297353CC}">
              <c16:uniqueId val="{00000009-6506-43D8-AD87-F970E51ADD4C}"/>
            </c:ext>
          </c:extLst>
        </c:ser>
        <c:dLbls>
          <c:showLegendKey val="0"/>
          <c:showVal val="0"/>
          <c:showCatName val="0"/>
          <c:showSerName val="0"/>
          <c:showPercent val="0"/>
          <c:showBubbleSize val="0"/>
        </c:dLbls>
        <c:marker val="1"/>
        <c:smooth val="0"/>
        <c:axId val="1498883119"/>
        <c:axId val="1498875215"/>
      </c:lineChart>
      <c:catAx>
        <c:axId val="1498883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498875215"/>
        <c:crosses val="autoZero"/>
        <c:auto val="1"/>
        <c:lblAlgn val="ctr"/>
        <c:lblOffset val="100"/>
        <c:noMultiLvlLbl val="0"/>
      </c:catAx>
      <c:valAx>
        <c:axId val="1498875215"/>
        <c:scaling>
          <c:orientation val="minMax"/>
        </c:scaling>
        <c:delete val="1"/>
        <c:axPos val="l"/>
        <c:numFmt formatCode="#\ ###\ ###\ ##0" sourceLinked="1"/>
        <c:majorTickMark val="none"/>
        <c:minorTickMark val="none"/>
        <c:tickLblPos val="nextTo"/>
        <c:crossAx val="1498883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777777777777776E-2"/>
          <c:y val="8.4876249385344618E-2"/>
          <c:w val="0.93888888888888888"/>
          <c:h val="0.4418015873147273"/>
        </c:manualLayout>
      </c:layout>
      <c:barChart>
        <c:barDir val="col"/>
        <c:grouping val="clustered"/>
        <c:varyColors val="0"/>
        <c:ser>
          <c:idx val="0"/>
          <c:order val="0"/>
          <c:tx>
            <c:strRef>
              <c:f>delitos_2020_202xFG!$L$80</c:f>
              <c:strCache>
                <c:ptCount val="1"/>
                <c:pt idx="0">
                  <c:v>2020</c:v>
                </c:pt>
              </c:strCache>
            </c:strRef>
          </c:tx>
          <c:spPr>
            <a:solidFill>
              <a:srgbClr val="B7BCB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delitos_2020_202xFG!$I$81:$I$90</c:f>
              <c:strCache>
                <c:ptCount val="10"/>
                <c:pt idx="0">
                  <c:v>Robo</c:v>
                </c:pt>
                <c:pt idx="1">
                  <c:v>Daño a la propiedad</c:v>
                </c:pt>
                <c:pt idx="2">
                  <c:v>Delitos en materia de vías de comunicación y correspondencia</c:v>
                </c:pt>
                <c:pt idx="3">
                  <c:v>Fraude</c:v>
                </c:pt>
                <c:pt idx="4">
                  <c:v>Delitos por hechos de corrupción</c:v>
                </c:pt>
                <c:pt idx="5">
                  <c:v>Delitos en materia de hidrocarburos y sus derivados</c:v>
                </c:pt>
                <c:pt idx="6">
                  <c:v>Delitos en materia fiscal</c:v>
                </c:pt>
                <c:pt idx="7">
                  <c:v>Lesiones</c:v>
                </c:pt>
                <c:pt idx="8">
                  <c:v>Delitos en materia de instituciones de crédito, inversión, fianzas y seguros</c:v>
                </c:pt>
                <c:pt idx="9">
                  <c:v>Abuso de confianza</c:v>
                </c:pt>
              </c:strCache>
            </c:strRef>
          </c:cat>
          <c:val>
            <c:numRef>
              <c:f>delitos_2020_202xFG!$L$81:$L$90</c:f>
              <c:numCache>
                <c:formatCode>#\ ###\ ###\ ##0</c:formatCode>
                <c:ptCount val="10"/>
                <c:pt idx="0">
                  <c:v>363</c:v>
                </c:pt>
                <c:pt idx="1">
                  <c:v>256</c:v>
                </c:pt>
                <c:pt idx="2">
                  <c:v>143</c:v>
                </c:pt>
                <c:pt idx="3">
                  <c:v>141</c:v>
                </c:pt>
                <c:pt idx="4">
                  <c:v>135</c:v>
                </c:pt>
                <c:pt idx="5">
                  <c:v>240</c:v>
                </c:pt>
                <c:pt idx="6">
                  <c:v>114</c:v>
                </c:pt>
                <c:pt idx="7">
                  <c:v>55</c:v>
                </c:pt>
                <c:pt idx="8">
                  <c:v>61</c:v>
                </c:pt>
                <c:pt idx="9">
                  <c:v>40</c:v>
                </c:pt>
              </c:numCache>
            </c:numRef>
          </c:val>
          <c:extLst>
            <c:ext xmlns:c16="http://schemas.microsoft.com/office/drawing/2014/chart" uri="{C3380CC4-5D6E-409C-BE32-E72D297353CC}">
              <c16:uniqueId val="{00000000-BCE6-474D-8501-8C8845D3B3DC}"/>
            </c:ext>
          </c:extLst>
        </c:ser>
        <c:ser>
          <c:idx val="1"/>
          <c:order val="1"/>
          <c:tx>
            <c:strRef>
              <c:f>delitos_2020_202xFG!$M$80</c:f>
              <c:strCache>
                <c:ptCount val="1"/>
                <c:pt idx="0">
                  <c:v>2021</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delitos_2020_202xFG!$I$81:$I$90</c:f>
              <c:strCache>
                <c:ptCount val="10"/>
                <c:pt idx="0">
                  <c:v>Robo</c:v>
                </c:pt>
                <c:pt idx="1">
                  <c:v>Daño a la propiedad</c:v>
                </c:pt>
                <c:pt idx="2">
                  <c:v>Delitos en materia de vías de comunicación y correspondencia</c:v>
                </c:pt>
                <c:pt idx="3">
                  <c:v>Fraude</c:v>
                </c:pt>
                <c:pt idx="4">
                  <c:v>Delitos por hechos de corrupción</c:v>
                </c:pt>
                <c:pt idx="5">
                  <c:v>Delitos en materia de hidrocarburos y sus derivados</c:v>
                </c:pt>
                <c:pt idx="6">
                  <c:v>Delitos en materia fiscal</c:v>
                </c:pt>
                <c:pt idx="7">
                  <c:v>Lesiones</c:v>
                </c:pt>
                <c:pt idx="8">
                  <c:v>Delitos en materia de instituciones de crédito, inversión, fianzas y seguros</c:v>
                </c:pt>
                <c:pt idx="9">
                  <c:v>Abuso de confianza</c:v>
                </c:pt>
              </c:strCache>
            </c:strRef>
          </c:cat>
          <c:val>
            <c:numRef>
              <c:f>delitos_2020_202xFG!$M$81:$M$90</c:f>
              <c:numCache>
                <c:formatCode>#\ ###\ ###\ ##0</c:formatCode>
                <c:ptCount val="10"/>
                <c:pt idx="0">
                  <c:v>571</c:v>
                </c:pt>
                <c:pt idx="1">
                  <c:v>389</c:v>
                </c:pt>
                <c:pt idx="2">
                  <c:v>301</c:v>
                </c:pt>
                <c:pt idx="3">
                  <c:v>218</c:v>
                </c:pt>
                <c:pt idx="4">
                  <c:v>204</c:v>
                </c:pt>
                <c:pt idx="5">
                  <c:v>191</c:v>
                </c:pt>
                <c:pt idx="6">
                  <c:v>184</c:v>
                </c:pt>
                <c:pt idx="7">
                  <c:v>125</c:v>
                </c:pt>
                <c:pt idx="8">
                  <c:v>106</c:v>
                </c:pt>
                <c:pt idx="9">
                  <c:v>79</c:v>
                </c:pt>
              </c:numCache>
            </c:numRef>
          </c:val>
          <c:extLst>
            <c:ext xmlns:c16="http://schemas.microsoft.com/office/drawing/2014/chart" uri="{C3380CC4-5D6E-409C-BE32-E72D297353CC}">
              <c16:uniqueId val="{00000001-BCE6-474D-8501-8C8845D3B3DC}"/>
            </c:ext>
          </c:extLst>
        </c:ser>
        <c:dLbls>
          <c:dLblPos val="outEnd"/>
          <c:showLegendKey val="0"/>
          <c:showVal val="1"/>
          <c:showCatName val="0"/>
          <c:showSerName val="0"/>
          <c:showPercent val="0"/>
          <c:showBubbleSize val="0"/>
        </c:dLbls>
        <c:gapWidth val="70"/>
        <c:overlap val="-27"/>
        <c:axId val="1070999375"/>
        <c:axId val="959049023"/>
      </c:barChart>
      <c:catAx>
        <c:axId val="107099937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959049023"/>
        <c:crosses val="autoZero"/>
        <c:auto val="1"/>
        <c:lblAlgn val="ctr"/>
        <c:lblOffset val="100"/>
        <c:noMultiLvlLbl val="0"/>
      </c:catAx>
      <c:valAx>
        <c:axId val="959049023"/>
        <c:scaling>
          <c:orientation val="minMax"/>
        </c:scaling>
        <c:delete val="1"/>
        <c:axPos val="l"/>
        <c:numFmt formatCode="#\ ###\ ###\ ##0" sourceLinked="1"/>
        <c:majorTickMark val="none"/>
        <c:minorTickMark val="none"/>
        <c:tickLblPos val="nextTo"/>
        <c:crossAx val="1070999375"/>
        <c:crosses val="autoZero"/>
        <c:crossBetween val="between"/>
      </c:valAx>
      <c:spPr>
        <a:noFill/>
        <a:ln>
          <a:noFill/>
        </a:ln>
        <a:effectLst/>
      </c:spPr>
    </c:plotArea>
    <c:legend>
      <c:legendPos val="t"/>
      <c:layout>
        <c:manualLayout>
          <c:xMode val="edge"/>
          <c:yMode val="edge"/>
          <c:x val="0.78922703412073481"/>
          <c:y val="2.1026594502952828E-2"/>
          <c:w val="0.18789617964421115"/>
          <c:h val="5.589404141632049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delitos_2020_202xFG!$L$157</c:f>
              <c:strCache>
                <c:ptCount val="1"/>
                <c:pt idx="0">
                  <c:v>2020</c:v>
                </c:pt>
              </c:strCache>
            </c:strRef>
          </c:tx>
          <c:spPr>
            <a:solidFill>
              <a:srgbClr val="D8C8AB"/>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lang="es-MX" sz="900" b="0" i="0" u="none" strike="noStrike" kern="1200" baseline="0">
                    <a:solidFill>
                      <a:srgbClr val="877A67"/>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delitos_2020_202xFG!$I$158:$I$167</c:f>
              <c:strCache>
                <c:ptCount val="10"/>
                <c:pt idx="0">
                  <c:v>Lesiones</c:v>
                </c:pt>
                <c:pt idx="1">
                  <c:v>Amenazas</c:v>
                </c:pt>
                <c:pt idx="2">
                  <c:v>Daño a la propiedad</c:v>
                </c:pt>
                <c:pt idx="3">
                  <c:v>Robo</c:v>
                </c:pt>
                <c:pt idx="4">
                  <c:v>Fraude</c:v>
                </c:pt>
                <c:pt idx="5">
                  <c:v>Incumplimiento de obligaciones familiares</c:v>
                </c:pt>
                <c:pt idx="6">
                  <c:v>Abuso de confianza</c:v>
                </c:pt>
                <c:pt idx="7">
                  <c:v>Despojo</c:v>
                </c:pt>
                <c:pt idx="8">
                  <c:v>Allanamiento de morada</c:v>
                </c:pt>
                <c:pt idx="9">
                  <c:v>Retención o sustracción de menores e incapaces</c:v>
                </c:pt>
              </c:strCache>
            </c:strRef>
          </c:cat>
          <c:val>
            <c:numRef>
              <c:f>delitos_2020_202xFG!$L$158:$L$167</c:f>
              <c:numCache>
                <c:formatCode>#\ ###\ ###\ ##0</c:formatCode>
                <c:ptCount val="10"/>
                <c:pt idx="0">
                  <c:v>58516</c:v>
                </c:pt>
                <c:pt idx="1">
                  <c:v>51140</c:v>
                </c:pt>
                <c:pt idx="2">
                  <c:v>46713</c:v>
                </c:pt>
                <c:pt idx="3">
                  <c:v>26902</c:v>
                </c:pt>
                <c:pt idx="4">
                  <c:v>17431</c:v>
                </c:pt>
                <c:pt idx="5">
                  <c:v>11489</c:v>
                </c:pt>
                <c:pt idx="6">
                  <c:v>11097</c:v>
                </c:pt>
                <c:pt idx="7">
                  <c:v>9840</c:v>
                </c:pt>
                <c:pt idx="8">
                  <c:v>4075</c:v>
                </c:pt>
                <c:pt idx="9">
                  <c:v>3526</c:v>
                </c:pt>
              </c:numCache>
            </c:numRef>
          </c:val>
          <c:extLst>
            <c:ext xmlns:c16="http://schemas.microsoft.com/office/drawing/2014/chart" uri="{C3380CC4-5D6E-409C-BE32-E72D297353CC}">
              <c16:uniqueId val="{00000000-38C0-4532-8359-14A488B26EB3}"/>
            </c:ext>
          </c:extLst>
        </c:ser>
        <c:ser>
          <c:idx val="1"/>
          <c:order val="1"/>
          <c:tx>
            <c:strRef>
              <c:f>delitos_2020_202xFG!$M$157</c:f>
              <c:strCache>
                <c:ptCount val="1"/>
                <c:pt idx="0">
                  <c:v>2021</c:v>
                </c:pt>
              </c:strCache>
            </c:strRef>
          </c:tx>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delitos_2020_202xFG!$I$158:$I$167</c:f>
              <c:strCache>
                <c:ptCount val="10"/>
                <c:pt idx="0">
                  <c:v>Lesiones</c:v>
                </c:pt>
                <c:pt idx="1">
                  <c:v>Amenazas</c:v>
                </c:pt>
                <c:pt idx="2">
                  <c:v>Daño a la propiedad</c:v>
                </c:pt>
                <c:pt idx="3">
                  <c:v>Robo</c:v>
                </c:pt>
                <c:pt idx="4">
                  <c:v>Fraude</c:v>
                </c:pt>
                <c:pt idx="5">
                  <c:v>Incumplimiento de obligaciones familiares</c:v>
                </c:pt>
                <c:pt idx="6">
                  <c:v>Abuso de confianza</c:v>
                </c:pt>
                <c:pt idx="7">
                  <c:v>Despojo</c:v>
                </c:pt>
                <c:pt idx="8">
                  <c:v>Allanamiento de morada</c:v>
                </c:pt>
                <c:pt idx="9">
                  <c:v>Retención o sustracción de menores e incapaces</c:v>
                </c:pt>
              </c:strCache>
            </c:strRef>
          </c:cat>
          <c:val>
            <c:numRef>
              <c:f>delitos_2020_202xFG!$M$158:$M$167</c:f>
              <c:numCache>
                <c:formatCode>#\ ###\ ###\ ##0</c:formatCode>
                <c:ptCount val="10"/>
                <c:pt idx="0">
                  <c:v>66975</c:v>
                </c:pt>
                <c:pt idx="1">
                  <c:v>66951</c:v>
                </c:pt>
                <c:pt idx="2">
                  <c:v>60019</c:v>
                </c:pt>
                <c:pt idx="3">
                  <c:v>32471</c:v>
                </c:pt>
                <c:pt idx="4">
                  <c:v>24738</c:v>
                </c:pt>
                <c:pt idx="5">
                  <c:v>14085</c:v>
                </c:pt>
                <c:pt idx="6">
                  <c:v>13732</c:v>
                </c:pt>
                <c:pt idx="7">
                  <c:v>12032</c:v>
                </c:pt>
                <c:pt idx="8">
                  <c:v>4803</c:v>
                </c:pt>
                <c:pt idx="9">
                  <c:v>4044</c:v>
                </c:pt>
              </c:numCache>
            </c:numRef>
          </c:val>
          <c:extLst>
            <c:ext xmlns:c16="http://schemas.microsoft.com/office/drawing/2014/chart" uri="{C3380CC4-5D6E-409C-BE32-E72D297353CC}">
              <c16:uniqueId val="{00000001-38C0-4532-8359-14A488B26EB3}"/>
            </c:ext>
          </c:extLst>
        </c:ser>
        <c:dLbls>
          <c:dLblPos val="outEnd"/>
          <c:showLegendKey val="0"/>
          <c:showVal val="1"/>
          <c:showCatName val="0"/>
          <c:showSerName val="0"/>
          <c:showPercent val="0"/>
          <c:showBubbleSize val="0"/>
        </c:dLbls>
        <c:gapWidth val="70"/>
        <c:overlap val="-27"/>
        <c:axId val="1170227391"/>
        <c:axId val="996601903"/>
      </c:barChart>
      <c:catAx>
        <c:axId val="117022739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96601903"/>
        <c:crosses val="autoZero"/>
        <c:auto val="1"/>
        <c:lblAlgn val="ctr"/>
        <c:lblOffset val="100"/>
        <c:noMultiLvlLbl val="0"/>
      </c:catAx>
      <c:valAx>
        <c:axId val="996601903"/>
        <c:scaling>
          <c:orientation val="minMax"/>
        </c:scaling>
        <c:delete val="1"/>
        <c:axPos val="l"/>
        <c:numFmt formatCode="#\ ###\ ###\ ##0" sourceLinked="1"/>
        <c:majorTickMark val="none"/>
        <c:minorTickMark val="none"/>
        <c:tickLblPos val="nextTo"/>
        <c:crossAx val="1170227391"/>
        <c:crosses val="autoZero"/>
        <c:crossBetween val="between"/>
      </c:valAx>
      <c:spPr>
        <a:noFill/>
        <a:ln>
          <a:noFill/>
        </a:ln>
        <a:effectLst/>
      </c:spPr>
    </c:plotArea>
    <c:legend>
      <c:legendPos val="t"/>
      <c:layout>
        <c:manualLayout>
          <c:xMode val="edge"/>
          <c:yMode val="edge"/>
          <c:x val="0.72011942257217842"/>
          <c:y val="2.7777777777777776E-2"/>
          <c:w val="0.20197529871274028"/>
          <c:h val="6.807076245737391E-2"/>
        </c:manualLayout>
      </c:layout>
      <c:overlay val="0"/>
      <c:spPr>
        <a:noFill/>
        <a:ln>
          <a:noFill/>
        </a:ln>
        <a:effectLst/>
      </c:spPr>
      <c:txPr>
        <a:bodyPr rot="0" spcFirstLastPara="1" vertOverflow="ellipsis" vert="horz" wrap="square" anchor="ctr" anchorCtr="1"/>
        <a:lstStyle/>
        <a:p>
          <a:pP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Hoja11!$M$3</c:f>
              <c:strCache>
                <c:ptCount val="1"/>
                <c:pt idx="0">
                  <c:v>Hombres</c:v>
                </c:pt>
              </c:strCache>
            </c:strRef>
          </c:tx>
          <c:spPr>
            <a:solidFill>
              <a:srgbClr val="804053"/>
            </a:solidFill>
            <a:ln>
              <a:noFill/>
            </a:ln>
            <a:effectLst/>
          </c:spPr>
          <c:invertIfNegative val="0"/>
          <c:dPt>
            <c:idx val="29"/>
            <c:invertIfNegative val="0"/>
            <c:bubble3D val="0"/>
            <c:spPr>
              <a:solidFill>
                <a:srgbClr val="511427"/>
              </a:solidFill>
              <a:ln>
                <a:noFill/>
              </a:ln>
              <a:effectLst/>
            </c:spPr>
            <c:extLst>
              <c:ext xmlns:c16="http://schemas.microsoft.com/office/drawing/2014/chart" uri="{C3380CC4-5D6E-409C-BE32-E72D297353CC}">
                <c16:uniqueId val="{00000000-52C6-43EE-ACB6-039E2F5EA204}"/>
              </c:ext>
            </c:extLst>
          </c:dPt>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Hoja11!$L$4:$L$35</c:f>
              <c:strCache>
                <c:ptCount val="32"/>
                <c:pt idx="0">
                  <c:v>QRO</c:v>
                </c:pt>
                <c:pt idx="1">
                  <c:v>COL</c:v>
                </c:pt>
                <c:pt idx="2">
                  <c:v>TLAX</c:v>
                </c:pt>
                <c:pt idx="3">
                  <c:v>ZAC</c:v>
                </c:pt>
                <c:pt idx="4">
                  <c:v>SIN</c:v>
                </c:pt>
                <c:pt idx="5">
                  <c:v>GRO</c:v>
                </c:pt>
                <c:pt idx="6">
                  <c:v>QROO</c:v>
                </c:pt>
                <c:pt idx="7">
                  <c:v>CAMP</c:v>
                </c:pt>
                <c:pt idx="8">
                  <c:v>OAX</c:v>
                </c:pt>
                <c:pt idx="9">
                  <c:v>COAH</c:v>
                </c:pt>
                <c:pt idx="10">
                  <c:v>CDMX</c:v>
                </c:pt>
                <c:pt idx="11">
                  <c:v>BCS</c:v>
                </c:pt>
                <c:pt idx="12">
                  <c:v>YUC</c:v>
                </c:pt>
                <c:pt idx="13">
                  <c:v>DGO</c:v>
                </c:pt>
                <c:pt idx="14">
                  <c:v>JAL</c:v>
                </c:pt>
                <c:pt idx="15">
                  <c:v>NAY</c:v>
                </c:pt>
                <c:pt idx="16">
                  <c:v>PUE</c:v>
                </c:pt>
                <c:pt idx="17">
                  <c:v>TAMPS</c:v>
                </c:pt>
                <c:pt idx="18">
                  <c:v>HGO</c:v>
                </c:pt>
                <c:pt idx="19">
                  <c:v>SON</c:v>
                </c:pt>
                <c:pt idx="20">
                  <c:v>BC</c:v>
                </c:pt>
                <c:pt idx="21">
                  <c:v>MICH</c:v>
                </c:pt>
                <c:pt idx="22">
                  <c:v>MOR</c:v>
                </c:pt>
                <c:pt idx="23">
                  <c:v>VER</c:v>
                </c:pt>
                <c:pt idx="24">
                  <c:v>CHIS</c:v>
                </c:pt>
                <c:pt idx="25">
                  <c:v>TAB</c:v>
                </c:pt>
                <c:pt idx="26">
                  <c:v>MEX</c:v>
                </c:pt>
                <c:pt idx="27">
                  <c:v>SLP</c:v>
                </c:pt>
                <c:pt idx="28">
                  <c:v>CHIH</c:v>
                </c:pt>
                <c:pt idx="29">
                  <c:v>FGR</c:v>
                </c:pt>
                <c:pt idx="30">
                  <c:v>NL</c:v>
                </c:pt>
                <c:pt idx="31">
                  <c:v>AGS</c:v>
                </c:pt>
              </c:strCache>
            </c:strRef>
          </c:cat>
          <c:val>
            <c:numRef>
              <c:f>Hoja11!$M$4:$M$35</c:f>
              <c:numCache>
                <c:formatCode>0.0\ %</c:formatCode>
                <c:ptCount val="32"/>
                <c:pt idx="0">
                  <c:v>0.46666666666666667</c:v>
                </c:pt>
                <c:pt idx="1">
                  <c:v>0.5</c:v>
                </c:pt>
                <c:pt idx="2">
                  <c:v>0.5</c:v>
                </c:pt>
                <c:pt idx="3">
                  <c:v>0.5</c:v>
                </c:pt>
                <c:pt idx="4">
                  <c:v>0.54545454545454541</c:v>
                </c:pt>
                <c:pt idx="5">
                  <c:v>0.56521739130434778</c:v>
                </c:pt>
                <c:pt idx="6">
                  <c:v>0.5714285714285714</c:v>
                </c:pt>
                <c:pt idx="7">
                  <c:v>0.57894736842105265</c:v>
                </c:pt>
                <c:pt idx="8">
                  <c:v>0.59090909090909094</c:v>
                </c:pt>
                <c:pt idx="9">
                  <c:v>0.6</c:v>
                </c:pt>
                <c:pt idx="10">
                  <c:v>0.6071428571428571</c:v>
                </c:pt>
                <c:pt idx="11">
                  <c:v>0.61904761904761907</c:v>
                </c:pt>
                <c:pt idx="12">
                  <c:v>0.62068965517241381</c:v>
                </c:pt>
                <c:pt idx="13">
                  <c:v>0.625</c:v>
                </c:pt>
                <c:pt idx="14">
                  <c:v>0.625</c:v>
                </c:pt>
                <c:pt idx="15">
                  <c:v>0.63636363636363635</c:v>
                </c:pt>
                <c:pt idx="16">
                  <c:v>0.65625</c:v>
                </c:pt>
                <c:pt idx="17">
                  <c:v>0.65957446808510634</c:v>
                </c:pt>
                <c:pt idx="18">
                  <c:v>0.6785714285714286</c:v>
                </c:pt>
                <c:pt idx="19">
                  <c:v>0.68</c:v>
                </c:pt>
                <c:pt idx="20">
                  <c:v>0.68085106382978722</c:v>
                </c:pt>
                <c:pt idx="21">
                  <c:v>0.68571428571428572</c:v>
                </c:pt>
                <c:pt idx="22">
                  <c:v>0.69230769230769229</c:v>
                </c:pt>
                <c:pt idx="23">
                  <c:v>0.69230769230769229</c:v>
                </c:pt>
                <c:pt idx="24">
                  <c:v>0.7</c:v>
                </c:pt>
                <c:pt idx="25">
                  <c:v>0.76363636363636367</c:v>
                </c:pt>
                <c:pt idx="26">
                  <c:v>0.77049180327868849</c:v>
                </c:pt>
                <c:pt idx="27">
                  <c:v>0.8</c:v>
                </c:pt>
                <c:pt idx="28">
                  <c:v>0.83333333333333337</c:v>
                </c:pt>
                <c:pt idx="29">
                  <c:v>0.83720930232558144</c:v>
                </c:pt>
                <c:pt idx="30">
                  <c:v>0.84745762711864403</c:v>
                </c:pt>
                <c:pt idx="31">
                  <c:v>1</c:v>
                </c:pt>
              </c:numCache>
            </c:numRef>
          </c:val>
          <c:extLst>
            <c:ext xmlns:c16="http://schemas.microsoft.com/office/drawing/2014/chart" uri="{C3380CC4-5D6E-409C-BE32-E72D297353CC}">
              <c16:uniqueId val="{00000000-CD07-4681-87AC-7B35E730C765}"/>
            </c:ext>
          </c:extLst>
        </c:ser>
        <c:ser>
          <c:idx val="1"/>
          <c:order val="1"/>
          <c:tx>
            <c:strRef>
              <c:f>Hoja11!$N$3</c:f>
              <c:strCache>
                <c:ptCount val="1"/>
                <c:pt idx="0">
                  <c:v>Mujeres</c:v>
                </c:pt>
              </c:strCache>
            </c:strRef>
          </c:tx>
          <c:spPr>
            <a:solidFill>
              <a:srgbClr val="285072"/>
            </a:solidFill>
            <a:ln>
              <a:noFill/>
            </a:ln>
            <a:effectLst/>
          </c:spPr>
          <c:invertIfNegative val="0"/>
          <c:dPt>
            <c:idx val="29"/>
            <c:invertIfNegative val="0"/>
            <c:bubble3D val="0"/>
            <c:spPr>
              <a:solidFill>
                <a:srgbClr val="183051"/>
              </a:solidFill>
              <a:ln>
                <a:noFill/>
              </a:ln>
              <a:effectLst/>
            </c:spPr>
            <c:extLst>
              <c:ext xmlns:c16="http://schemas.microsoft.com/office/drawing/2014/chart" uri="{C3380CC4-5D6E-409C-BE32-E72D297353CC}">
                <c16:uniqueId val="{00000001-52C6-43EE-ACB6-039E2F5EA204}"/>
              </c:ext>
            </c:extLst>
          </c:dPt>
          <c:dLbls>
            <c:dLbl>
              <c:idx val="31"/>
              <c:delete val="1"/>
              <c:extLst>
                <c:ext xmlns:c15="http://schemas.microsoft.com/office/drawing/2012/chart" uri="{CE6537A1-D6FC-4f65-9D91-7224C49458BB}"/>
                <c:ext xmlns:c16="http://schemas.microsoft.com/office/drawing/2014/chart" uri="{C3380CC4-5D6E-409C-BE32-E72D297353CC}">
                  <c16:uniqueId val="{00000002-CD07-4681-87AC-7B35E730C765}"/>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Hoja11!$L$4:$L$35</c:f>
              <c:strCache>
                <c:ptCount val="32"/>
                <c:pt idx="0">
                  <c:v>QRO</c:v>
                </c:pt>
                <c:pt idx="1">
                  <c:v>COL</c:v>
                </c:pt>
                <c:pt idx="2">
                  <c:v>TLAX</c:v>
                </c:pt>
                <c:pt idx="3">
                  <c:v>ZAC</c:v>
                </c:pt>
                <c:pt idx="4">
                  <c:v>SIN</c:v>
                </c:pt>
                <c:pt idx="5">
                  <c:v>GRO</c:v>
                </c:pt>
                <c:pt idx="6">
                  <c:v>QROO</c:v>
                </c:pt>
                <c:pt idx="7">
                  <c:v>CAMP</c:v>
                </c:pt>
                <c:pt idx="8">
                  <c:v>OAX</c:v>
                </c:pt>
                <c:pt idx="9">
                  <c:v>COAH</c:v>
                </c:pt>
                <c:pt idx="10">
                  <c:v>CDMX</c:v>
                </c:pt>
                <c:pt idx="11">
                  <c:v>BCS</c:v>
                </c:pt>
                <c:pt idx="12">
                  <c:v>YUC</c:v>
                </c:pt>
                <c:pt idx="13">
                  <c:v>DGO</c:v>
                </c:pt>
                <c:pt idx="14">
                  <c:v>JAL</c:v>
                </c:pt>
                <c:pt idx="15">
                  <c:v>NAY</c:v>
                </c:pt>
                <c:pt idx="16">
                  <c:v>PUE</c:v>
                </c:pt>
                <c:pt idx="17">
                  <c:v>TAMPS</c:v>
                </c:pt>
                <c:pt idx="18">
                  <c:v>HGO</c:v>
                </c:pt>
                <c:pt idx="19">
                  <c:v>SON</c:v>
                </c:pt>
                <c:pt idx="20">
                  <c:v>BC</c:v>
                </c:pt>
                <c:pt idx="21">
                  <c:v>MICH</c:v>
                </c:pt>
                <c:pt idx="22">
                  <c:v>MOR</c:v>
                </c:pt>
                <c:pt idx="23">
                  <c:v>VER</c:v>
                </c:pt>
                <c:pt idx="24">
                  <c:v>CHIS</c:v>
                </c:pt>
                <c:pt idx="25">
                  <c:v>TAB</c:v>
                </c:pt>
                <c:pt idx="26">
                  <c:v>MEX</c:v>
                </c:pt>
                <c:pt idx="27">
                  <c:v>SLP</c:v>
                </c:pt>
                <c:pt idx="28">
                  <c:v>CHIH</c:v>
                </c:pt>
                <c:pt idx="29">
                  <c:v>FGR</c:v>
                </c:pt>
                <c:pt idx="30">
                  <c:v>NL</c:v>
                </c:pt>
                <c:pt idx="31">
                  <c:v>AGS</c:v>
                </c:pt>
              </c:strCache>
            </c:strRef>
          </c:cat>
          <c:val>
            <c:numRef>
              <c:f>Hoja11!$N$4:$N$35</c:f>
              <c:numCache>
                <c:formatCode>0.0\ %</c:formatCode>
                <c:ptCount val="32"/>
                <c:pt idx="0">
                  <c:v>0.53333333333333333</c:v>
                </c:pt>
                <c:pt idx="1">
                  <c:v>0.5</c:v>
                </c:pt>
                <c:pt idx="2">
                  <c:v>0.5</c:v>
                </c:pt>
                <c:pt idx="3">
                  <c:v>0.5</c:v>
                </c:pt>
                <c:pt idx="4">
                  <c:v>0.45454545454545453</c:v>
                </c:pt>
                <c:pt idx="5">
                  <c:v>0.43478260869565216</c:v>
                </c:pt>
                <c:pt idx="6">
                  <c:v>0.42857142857142855</c:v>
                </c:pt>
                <c:pt idx="7">
                  <c:v>0.42105263157894735</c:v>
                </c:pt>
                <c:pt idx="8">
                  <c:v>0.40909090909090912</c:v>
                </c:pt>
                <c:pt idx="9">
                  <c:v>0.4</c:v>
                </c:pt>
                <c:pt idx="10">
                  <c:v>0.39285714285714285</c:v>
                </c:pt>
                <c:pt idx="11">
                  <c:v>0.38095238095238093</c:v>
                </c:pt>
                <c:pt idx="12">
                  <c:v>0.37931034482758619</c:v>
                </c:pt>
                <c:pt idx="13">
                  <c:v>0.375</c:v>
                </c:pt>
                <c:pt idx="14">
                  <c:v>0.375</c:v>
                </c:pt>
                <c:pt idx="15">
                  <c:v>0.36363636363636365</c:v>
                </c:pt>
                <c:pt idx="16">
                  <c:v>0.34375</c:v>
                </c:pt>
                <c:pt idx="17">
                  <c:v>0.34042553191489361</c:v>
                </c:pt>
                <c:pt idx="18">
                  <c:v>0.32142857142857145</c:v>
                </c:pt>
                <c:pt idx="19">
                  <c:v>0.32</c:v>
                </c:pt>
                <c:pt idx="20">
                  <c:v>0.31914893617021278</c:v>
                </c:pt>
                <c:pt idx="21">
                  <c:v>0.31428571428571428</c:v>
                </c:pt>
                <c:pt idx="22">
                  <c:v>0.30769230769230771</c:v>
                </c:pt>
                <c:pt idx="23">
                  <c:v>0.30769230769230771</c:v>
                </c:pt>
                <c:pt idx="24">
                  <c:v>0.3</c:v>
                </c:pt>
                <c:pt idx="25">
                  <c:v>0.23636363636363636</c:v>
                </c:pt>
                <c:pt idx="26">
                  <c:v>0.22950819672131148</c:v>
                </c:pt>
                <c:pt idx="27">
                  <c:v>0.2</c:v>
                </c:pt>
                <c:pt idx="28">
                  <c:v>0.16666666666666666</c:v>
                </c:pt>
                <c:pt idx="29">
                  <c:v>0.16279069767441862</c:v>
                </c:pt>
                <c:pt idx="30">
                  <c:v>0.15254237288135594</c:v>
                </c:pt>
                <c:pt idx="31">
                  <c:v>0</c:v>
                </c:pt>
              </c:numCache>
            </c:numRef>
          </c:val>
          <c:extLst>
            <c:ext xmlns:c16="http://schemas.microsoft.com/office/drawing/2014/chart" uri="{C3380CC4-5D6E-409C-BE32-E72D297353CC}">
              <c16:uniqueId val="{00000001-CD07-4681-87AC-7B35E730C765}"/>
            </c:ext>
          </c:extLst>
        </c:ser>
        <c:dLbls>
          <c:dLblPos val="ctr"/>
          <c:showLegendKey val="0"/>
          <c:showVal val="1"/>
          <c:showCatName val="0"/>
          <c:showSerName val="0"/>
          <c:showPercent val="0"/>
          <c:showBubbleSize val="0"/>
        </c:dLbls>
        <c:gapWidth val="80"/>
        <c:overlap val="100"/>
        <c:axId val="1176866352"/>
        <c:axId val="1176855536"/>
      </c:barChart>
      <c:catAx>
        <c:axId val="1176866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76855536"/>
        <c:crosses val="autoZero"/>
        <c:auto val="1"/>
        <c:lblAlgn val="ctr"/>
        <c:lblOffset val="100"/>
        <c:noMultiLvlLbl val="0"/>
      </c:catAx>
      <c:valAx>
        <c:axId val="1176855536"/>
        <c:scaling>
          <c:orientation val="minMax"/>
        </c:scaling>
        <c:delete val="1"/>
        <c:axPos val="b"/>
        <c:numFmt formatCode="0%" sourceLinked="1"/>
        <c:majorTickMark val="none"/>
        <c:minorTickMark val="none"/>
        <c:tickLblPos val="nextTo"/>
        <c:crossAx val="1176866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D10Titulares!$L$30</c:f>
              <c:strCache>
                <c:ptCount val="1"/>
                <c:pt idx="0">
                  <c:v>Hombres</c:v>
                </c:pt>
              </c:strCache>
            </c:strRef>
          </c:tx>
          <c:spPr>
            <a:solidFill>
              <a:srgbClr val="804053"/>
            </a:solidFill>
            <a:ln>
              <a:noFill/>
            </a:ln>
            <a:effectLst>
              <a:outerShdw blurRad="50800" dist="38100" dir="2700000" algn="tl" rotWithShape="0">
                <a:prstClr val="black">
                  <a:alpha val="40000"/>
                </a:prstClr>
              </a:outerShdw>
            </a:effectLst>
          </c:spPr>
          <c:invertIfNegative val="0"/>
          <c:dLbls>
            <c:dLbl>
              <c:idx val="0"/>
              <c:layout>
                <c:manualLayout>
                  <c:x val="-5.1860017497812876E-2"/>
                  <c:y val="0"/>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8D-4EB7-AC0D-A4706CD762B9}"/>
                </c:ext>
              </c:extLst>
            </c:dLbl>
            <c:dLbl>
              <c:idx val="1"/>
              <c:layout>
                <c:manualLayout>
                  <c:x val="-6.910011443442253E-2"/>
                  <c:y val="1.3025667076975179E-6"/>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8D-4EB7-AC0D-A4706CD762B9}"/>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D10Titulares!$K$31:$K$38</c:f>
              <c:strCache>
                <c:ptCount val="8"/>
                <c:pt idx="0">
                  <c:v>De 25 a 29 años</c:v>
                </c:pt>
                <c:pt idx="1">
                  <c:v>De 30 a 34 años</c:v>
                </c:pt>
                <c:pt idx="2">
                  <c:v>De 35 a 39 años</c:v>
                </c:pt>
                <c:pt idx="3">
                  <c:v>De 40 a 44 años</c:v>
                </c:pt>
                <c:pt idx="4">
                  <c:v>De 45 a 49 años</c:v>
                </c:pt>
                <c:pt idx="5">
                  <c:v>De 50 a 54 años </c:v>
                </c:pt>
                <c:pt idx="6">
                  <c:v>De 55 a 59 años</c:v>
                </c:pt>
                <c:pt idx="7">
                  <c:v>De 60 años o más</c:v>
                </c:pt>
              </c:strCache>
            </c:strRef>
          </c:cat>
          <c:val>
            <c:numRef>
              <c:f>D10Titulares!$L$31:$L$38</c:f>
              <c:numCache>
                <c:formatCode>0.0;0.0\ %</c:formatCode>
                <c:ptCount val="8"/>
                <c:pt idx="0">
                  <c:v>-1.2999999999999999E-2</c:v>
                </c:pt>
                <c:pt idx="1">
                  <c:v>-5.0999999999999997E-2</c:v>
                </c:pt>
                <c:pt idx="2">
                  <c:v>-0.11600000000000001</c:v>
                </c:pt>
                <c:pt idx="3">
                  <c:v>-0.16</c:v>
                </c:pt>
                <c:pt idx="4">
                  <c:v>-0.26999999999999996</c:v>
                </c:pt>
                <c:pt idx="5">
                  <c:v>-0.16500000000000001</c:v>
                </c:pt>
                <c:pt idx="6">
                  <c:v>-0.107</c:v>
                </c:pt>
                <c:pt idx="7">
                  <c:v>-0.11700000000000001</c:v>
                </c:pt>
              </c:numCache>
            </c:numRef>
          </c:val>
          <c:extLst>
            <c:ext xmlns:c16="http://schemas.microsoft.com/office/drawing/2014/chart" uri="{C3380CC4-5D6E-409C-BE32-E72D297353CC}">
              <c16:uniqueId val="{00000002-3F8D-4EB7-AC0D-A4706CD762B9}"/>
            </c:ext>
          </c:extLst>
        </c:ser>
        <c:ser>
          <c:idx val="1"/>
          <c:order val="1"/>
          <c:tx>
            <c:strRef>
              <c:f>D10Titulares!$M$30</c:f>
              <c:strCache>
                <c:ptCount val="1"/>
                <c:pt idx="0">
                  <c:v>Mujeres</c:v>
                </c:pt>
              </c:strCache>
            </c:strRef>
          </c:tx>
          <c:spPr>
            <a:solidFill>
              <a:srgbClr val="285072"/>
            </a:solidFill>
            <a:ln>
              <a:noFill/>
            </a:ln>
            <a:effectLst>
              <a:outerShdw blurRad="50800" dist="38100" dir="2700000" algn="tl" rotWithShape="0">
                <a:prstClr val="black">
                  <a:alpha val="40000"/>
                </a:prstClr>
              </a:outerShdw>
            </a:effectLst>
          </c:spPr>
          <c:invertIfNegative val="0"/>
          <c:dLbls>
            <c:dLbl>
              <c:idx val="0"/>
              <c:layout>
                <c:manualLayout>
                  <c:x val="5.5346894138232718E-2"/>
                  <c:y val="0"/>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8D-4EB7-AC0D-A4706CD762B9}"/>
                </c:ext>
              </c:extLst>
            </c:dLbl>
            <c:dLbl>
              <c:idx val="1"/>
              <c:layout>
                <c:manualLayout>
                  <c:x val="7.3443985100338116E-2"/>
                  <c:y val="-1.0109248165177166E-16"/>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8D-4EB7-AC0D-A4706CD762B9}"/>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D10Titulares!$K$31:$K$38</c:f>
              <c:strCache>
                <c:ptCount val="8"/>
                <c:pt idx="0">
                  <c:v>De 25 a 29 años</c:v>
                </c:pt>
                <c:pt idx="1">
                  <c:v>De 30 a 34 años</c:v>
                </c:pt>
                <c:pt idx="2">
                  <c:v>De 35 a 39 años</c:v>
                </c:pt>
                <c:pt idx="3">
                  <c:v>De 40 a 44 años</c:v>
                </c:pt>
                <c:pt idx="4">
                  <c:v>De 45 a 49 años</c:v>
                </c:pt>
                <c:pt idx="5">
                  <c:v>De 50 a 54 años </c:v>
                </c:pt>
                <c:pt idx="6">
                  <c:v>De 55 a 59 años</c:v>
                </c:pt>
                <c:pt idx="7">
                  <c:v>De 60 años o más</c:v>
                </c:pt>
              </c:strCache>
            </c:strRef>
          </c:cat>
          <c:val>
            <c:numRef>
              <c:f>D10Titulares!$M$31:$M$38</c:f>
              <c:numCache>
                <c:formatCode>0.0\ %</c:formatCode>
                <c:ptCount val="8"/>
                <c:pt idx="0">
                  <c:v>2.1000000000000001E-2</c:v>
                </c:pt>
                <c:pt idx="1">
                  <c:v>5.2999999999999999E-2</c:v>
                </c:pt>
                <c:pt idx="2">
                  <c:v>0.153</c:v>
                </c:pt>
                <c:pt idx="3">
                  <c:v>0.20599999999999999</c:v>
                </c:pt>
                <c:pt idx="4">
                  <c:v>0.214</c:v>
                </c:pt>
                <c:pt idx="5">
                  <c:v>0.153</c:v>
                </c:pt>
                <c:pt idx="6">
                  <c:v>0.10299999999999999</c:v>
                </c:pt>
                <c:pt idx="7">
                  <c:v>9.7000000000000003E-2</c:v>
                </c:pt>
              </c:numCache>
            </c:numRef>
          </c:val>
          <c:extLst>
            <c:ext xmlns:c16="http://schemas.microsoft.com/office/drawing/2014/chart" uri="{C3380CC4-5D6E-409C-BE32-E72D297353CC}">
              <c16:uniqueId val="{00000005-3F8D-4EB7-AC0D-A4706CD762B9}"/>
            </c:ext>
          </c:extLst>
        </c:ser>
        <c:dLbls>
          <c:dLblPos val="inEnd"/>
          <c:showLegendKey val="0"/>
          <c:showVal val="1"/>
          <c:showCatName val="0"/>
          <c:showSerName val="0"/>
          <c:showPercent val="0"/>
          <c:showBubbleSize val="0"/>
        </c:dLbls>
        <c:gapWidth val="80"/>
        <c:overlap val="100"/>
        <c:axId val="546592959"/>
        <c:axId val="546596287"/>
      </c:barChart>
      <c:catAx>
        <c:axId val="546592959"/>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6596287"/>
        <c:crosses val="autoZero"/>
        <c:auto val="1"/>
        <c:lblAlgn val="ctr"/>
        <c:lblOffset val="100"/>
        <c:noMultiLvlLbl val="0"/>
      </c:catAx>
      <c:valAx>
        <c:axId val="546596287"/>
        <c:scaling>
          <c:orientation val="minMax"/>
        </c:scaling>
        <c:delete val="1"/>
        <c:axPos val="b"/>
        <c:numFmt formatCode="0.0;0.0\ %" sourceLinked="1"/>
        <c:majorTickMark val="none"/>
        <c:minorTickMark val="none"/>
        <c:tickLblPos val="nextTo"/>
        <c:crossAx val="5465929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D11Titulares!$O$25</c:f>
              <c:strCache>
                <c:ptCount val="1"/>
                <c:pt idx="0">
                  <c:v>Hombre</c:v>
                </c:pt>
              </c:strCache>
            </c:strRef>
          </c:tx>
          <c:spPr>
            <a:solidFill>
              <a:srgbClr val="804053"/>
            </a:solidFill>
            <a:ln>
              <a:noFill/>
            </a:ln>
            <a:effectLst>
              <a:outerShdw blurRad="50800" dist="38100" dir="2700000" algn="tl" rotWithShape="0">
                <a:prstClr val="black">
                  <a:alpha val="40000"/>
                </a:prstClr>
              </a:outerShdw>
            </a:effectLst>
          </c:spPr>
          <c:invertIfNegative val="0"/>
          <c:dLbls>
            <c:dLbl>
              <c:idx val="0"/>
              <c:layout>
                <c:manualLayout>
                  <c:x val="-6.659220120379547E-2"/>
                  <c:y val="4.8306845091195144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E0-4DF4-8692-B62C138265DD}"/>
                </c:ext>
              </c:extLst>
            </c:dLbl>
            <c:dLbl>
              <c:idx val="2"/>
              <c:layout>
                <c:manualLayout>
                  <c:x val="-6.4426369519179086E-2"/>
                  <c:y val="4.5292008909681636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E0-4DF4-8692-B62C138265DD}"/>
                </c:ext>
              </c:extLst>
            </c:dLbl>
            <c:dLbl>
              <c:idx val="3"/>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2-B6E0-4DF4-8692-B62C138265DD}"/>
                </c:ext>
              </c:extLst>
            </c:dLbl>
            <c:dLbl>
              <c:idx val="4"/>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3-B6E0-4DF4-8692-B62C138265D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D11Titulares!$N$26:$N$30</c:f>
              <c:strCache>
                <c:ptCount val="5"/>
                <c:pt idx="0">
                  <c:v>10 años o más</c:v>
                </c:pt>
                <c:pt idx="1">
                  <c:v>9 a 10 años</c:v>
                </c:pt>
                <c:pt idx="2">
                  <c:v>6 a 8 años</c:v>
                </c:pt>
                <c:pt idx="3">
                  <c:v>3 a 5 años</c:v>
                </c:pt>
                <c:pt idx="4">
                  <c:v>0 a 2 años</c:v>
                </c:pt>
              </c:strCache>
            </c:strRef>
          </c:cat>
          <c:val>
            <c:numRef>
              <c:f>D11Titulares!$O$26:$O$30</c:f>
              <c:numCache>
                <c:formatCode>0.0;0.0\ %</c:formatCode>
                <c:ptCount val="5"/>
                <c:pt idx="0">
                  <c:v>-6.9000000000000006E-2</c:v>
                </c:pt>
                <c:pt idx="1">
                  <c:v>-7.0000000000000001E-3</c:v>
                </c:pt>
                <c:pt idx="2">
                  <c:v>-7.4999999999999997E-2</c:v>
                </c:pt>
                <c:pt idx="3">
                  <c:v>-0.29599999999999999</c:v>
                </c:pt>
                <c:pt idx="4">
                  <c:v>-0.502</c:v>
                </c:pt>
              </c:numCache>
            </c:numRef>
          </c:val>
          <c:extLst>
            <c:ext xmlns:c16="http://schemas.microsoft.com/office/drawing/2014/chart" uri="{C3380CC4-5D6E-409C-BE32-E72D297353CC}">
              <c16:uniqueId val="{00000004-B6E0-4DF4-8692-B62C138265DD}"/>
            </c:ext>
          </c:extLst>
        </c:ser>
        <c:ser>
          <c:idx val="1"/>
          <c:order val="1"/>
          <c:tx>
            <c:strRef>
              <c:f>D11Titulares!$P$25</c:f>
              <c:strCache>
                <c:ptCount val="1"/>
                <c:pt idx="0">
                  <c:v>Mujer</c:v>
                </c:pt>
              </c:strCache>
            </c:strRef>
          </c:tx>
          <c:spPr>
            <a:solidFill>
              <a:srgbClr val="285072"/>
            </a:solidFill>
            <a:ln>
              <a:noFill/>
            </a:ln>
            <a:effectLst>
              <a:outerShdw blurRad="50800" dist="38100" dir="2700000" algn="tl" rotWithShape="0">
                <a:prstClr val="black">
                  <a:alpha val="40000"/>
                </a:prstClr>
              </a:outerShdw>
            </a:effectLst>
          </c:spPr>
          <c:invertIfNegative val="0"/>
          <c:dLbls>
            <c:dLbl>
              <c:idx val="0"/>
              <c:layout>
                <c:manualLayout>
                  <c:x val="7.67109264870352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E0-4DF4-8692-B62C138265DD}"/>
                </c:ext>
              </c:extLst>
            </c:dLbl>
            <c:dLbl>
              <c:idx val="2"/>
              <c:layout>
                <c:manualLayout>
                  <c:x val="6.650745501422998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E0-4DF4-8692-B62C138265DD}"/>
                </c:ext>
              </c:extLst>
            </c:dLbl>
            <c:dLbl>
              <c:idx val="3"/>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6="http://schemas.microsoft.com/office/drawing/2014/chart" uri="{C3380CC4-5D6E-409C-BE32-E72D297353CC}">
                  <c16:uniqueId val="{00000007-B6E0-4DF4-8692-B62C138265DD}"/>
                </c:ext>
              </c:extLst>
            </c:dLbl>
            <c:dLbl>
              <c:idx val="4"/>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6="http://schemas.microsoft.com/office/drawing/2014/chart" uri="{C3380CC4-5D6E-409C-BE32-E72D297353CC}">
                  <c16:uniqueId val="{00000008-B6E0-4DF4-8692-B62C138265D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D11Titulares!$N$26:$N$30</c:f>
              <c:strCache>
                <c:ptCount val="5"/>
                <c:pt idx="0">
                  <c:v>10 años o más</c:v>
                </c:pt>
                <c:pt idx="1">
                  <c:v>9 a 10 años</c:v>
                </c:pt>
                <c:pt idx="2">
                  <c:v>6 a 8 años</c:v>
                </c:pt>
                <c:pt idx="3">
                  <c:v>3 a 5 años</c:v>
                </c:pt>
                <c:pt idx="4">
                  <c:v>0 a 2 años</c:v>
                </c:pt>
              </c:strCache>
            </c:strRef>
          </c:cat>
          <c:val>
            <c:numRef>
              <c:f>D11Titulares!$P$26:$P$30</c:f>
              <c:numCache>
                <c:formatCode>0.0\ %</c:formatCode>
                <c:ptCount val="5"/>
                <c:pt idx="0">
                  <c:v>8.2000000000000003E-2</c:v>
                </c:pt>
                <c:pt idx="1">
                  <c:v>2.5999999999999999E-2</c:v>
                </c:pt>
                <c:pt idx="2">
                  <c:v>6.8000000000000005E-2</c:v>
                </c:pt>
                <c:pt idx="3">
                  <c:v>0.27700000000000002</c:v>
                </c:pt>
                <c:pt idx="4">
                  <c:v>0.48199999999999998</c:v>
                </c:pt>
              </c:numCache>
            </c:numRef>
          </c:val>
          <c:extLst>
            <c:ext xmlns:c16="http://schemas.microsoft.com/office/drawing/2014/chart" uri="{C3380CC4-5D6E-409C-BE32-E72D297353CC}">
              <c16:uniqueId val="{00000009-B6E0-4DF4-8692-B62C138265DD}"/>
            </c:ext>
          </c:extLst>
        </c:ser>
        <c:dLbls>
          <c:dLblPos val="inEnd"/>
          <c:showLegendKey val="0"/>
          <c:showVal val="1"/>
          <c:showCatName val="0"/>
          <c:showSerName val="0"/>
          <c:showPercent val="0"/>
          <c:showBubbleSize val="0"/>
        </c:dLbls>
        <c:gapWidth val="80"/>
        <c:overlap val="100"/>
        <c:axId val="1656594447"/>
        <c:axId val="1656600271"/>
      </c:barChart>
      <c:catAx>
        <c:axId val="1656594447"/>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56600271"/>
        <c:crosses val="autoZero"/>
        <c:auto val="1"/>
        <c:lblAlgn val="ctr"/>
        <c:lblOffset val="100"/>
        <c:noMultiLvlLbl val="0"/>
      </c:catAx>
      <c:valAx>
        <c:axId val="1656600271"/>
        <c:scaling>
          <c:orientation val="minMax"/>
        </c:scaling>
        <c:delete val="1"/>
        <c:axPos val="b"/>
        <c:numFmt formatCode="0.0;0.0\ %" sourceLinked="1"/>
        <c:majorTickMark val="none"/>
        <c:minorTickMark val="none"/>
        <c:tickLblPos val="nextTo"/>
        <c:crossAx val="165659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D12Personal!$D$3</c:f>
              <c:strCache>
                <c:ptCount val="1"/>
                <c:pt idx="0">
                  <c:v>FGR</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D12Personal!$C$4:$C$15</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D12Personal!$D$4:$D$15</c:f>
              <c:numCache>
                <c:formatCode>General</c:formatCode>
                <c:ptCount val="12"/>
                <c:pt idx="3" formatCode="#\ ##0">
                  <c:v>20414</c:v>
                </c:pt>
                <c:pt idx="4" formatCode="#\ ##0">
                  <c:v>20812</c:v>
                </c:pt>
                <c:pt idx="5" formatCode="#\ ##0">
                  <c:v>20790</c:v>
                </c:pt>
                <c:pt idx="6" formatCode="#\ ##0">
                  <c:v>21743</c:v>
                </c:pt>
                <c:pt idx="7" formatCode="#\ ##0">
                  <c:v>23004</c:v>
                </c:pt>
                <c:pt idx="8" formatCode="#\ ##0">
                  <c:v>22825</c:v>
                </c:pt>
                <c:pt idx="9" formatCode="#\ ##0">
                  <c:v>20904</c:v>
                </c:pt>
                <c:pt idx="10" formatCode="#\ ##0">
                  <c:v>20720</c:v>
                </c:pt>
                <c:pt idx="11" formatCode="#\ ##0">
                  <c:v>19919</c:v>
                </c:pt>
              </c:numCache>
            </c:numRef>
          </c:val>
          <c:extLst>
            <c:ext xmlns:c16="http://schemas.microsoft.com/office/drawing/2014/chart" uri="{C3380CC4-5D6E-409C-BE32-E72D297353CC}">
              <c16:uniqueId val="{00000000-9072-41F4-AE80-223CFCD36744}"/>
            </c:ext>
          </c:extLst>
        </c:ser>
        <c:ser>
          <c:idx val="1"/>
          <c:order val="1"/>
          <c:tx>
            <c:strRef>
              <c:f>D12Personal!$E$3</c:f>
              <c:strCache>
                <c:ptCount val="1"/>
                <c:pt idx="0">
                  <c:v>FGE</c:v>
                </c:pt>
              </c:strCache>
            </c:strRef>
          </c:tx>
          <c:spPr>
            <a:solidFill>
              <a:srgbClr val="877A6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D12Personal!$C$4:$C$15</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D12Personal!$E$4:$E$15</c:f>
              <c:numCache>
                <c:formatCode>#\ ##0</c:formatCode>
                <c:ptCount val="12"/>
                <c:pt idx="0">
                  <c:v>71589</c:v>
                </c:pt>
                <c:pt idx="1">
                  <c:v>79327</c:v>
                </c:pt>
                <c:pt idx="2">
                  <c:v>80856</c:v>
                </c:pt>
                <c:pt idx="3">
                  <c:v>89651</c:v>
                </c:pt>
                <c:pt idx="4">
                  <c:v>91882</c:v>
                </c:pt>
                <c:pt idx="5">
                  <c:v>94665</c:v>
                </c:pt>
                <c:pt idx="6">
                  <c:v>96406</c:v>
                </c:pt>
                <c:pt idx="7">
                  <c:v>93526</c:v>
                </c:pt>
                <c:pt idx="8">
                  <c:v>96847</c:v>
                </c:pt>
                <c:pt idx="9">
                  <c:v>95150</c:v>
                </c:pt>
                <c:pt idx="10">
                  <c:v>95602</c:v>
                </c:pt>
                <c:pt idx="11">
                  <c:v>95386</c:v>
                </c:pt>
              </c:numCache>
            </c:numRef>
          </c:val>
          <c:extLst>
            <c:ext xmlns:c16="http://schemas.microsoft.com/office/drawing/2014/chart" uri="{C3380CC4-5D6E-409C-BE32-E72D297353CC}">
              <c16:uniqueId val="{00000001-9072-41F4-AE80-223CFCD36744}"/>
            </c:ext>
          </c:extLst>
        </c:ser>
        <c:dLbls>
          <c:dLblPos val="outEnd"/>
          <c:showLegendKey val="0"/>
          <c:showVal val="1"/>
          <c:showCatName val="0"/>
          <c:showSerName val="0"/>
          <c:showPercent val="0"/>
          <c:showBubbleSize val="0"/>
        </c:dLbls>
        <c:gapWidth val="80"/>
        <c:overlap val="-27"/>
        <c:axId val="131875647"/>
        <c:axId val="131882303"/>
      </c:barChart>
      <c:lineChart>
        <c:grouping val="standard"/>
        <c:varyColors val="0"/>
        <c:ser>
          <c:idx val="2"/>
          <c:order val="2"/>
          <c:tx>
            <c:strRef>
              <c:f>D12Personal!$F$3</c:f>
              <c:strCache>
                <c:ptCount val="1"/>
                <c:pt idx="0">
                  <c:v>Total</c:v>
                </c:pt>
              </c:strCache>
            </c:strRef>
          </c:tx>
          <c:spPr>
            <a:ln w="31750" cap="rnd">
              <a:solidFill>
                <a:srgbClr val="C29B61"/>
              </a:solidFill>
              <a:round/>
            </a:ln>
            <a:effectLst>
              <a:outerShdw blurRad="50800" dist="38100" dir="2700000" algn="tl" rotWithShape="0">
                <a:prstClr val="black">
                  <a:alpha val="40000"/>
                </a:prstClr>
              </a:outerShdw>
            </a:effectLst>
          </c:spPr>
          <c:marker>
            <c:symbol val="circle"/>
            <c:size val="5"/>
            <c:spPr>
              <a:solidFill>
                <a:srgbClr val="C29B61"/>
              </a:solidFill>
              <a:ln w="9525">
                <a:solidFill>
                  <a:srgbClr val="C29B61"/>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D12Personal!$C$4:$C$15</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D12Personal!$F$4:$F$15</c:f>
              <c:numCache>
                <c:formatCode>General</c:formatCode>
                <c:ptCount val="12"/>
                <c:pt idx="3" formatCode="#\ ##0">
                  <c:v>110065</c:v>
                </c:pt>
                <c:pt idx="4" formatCode="#\ ##0">
                  <c:v>112694</c:v>
                </c:pt>
                <c:pt idx="5" formatCode="#\ ##0">
                  <c:v>115455</c:v>
                </c:pt>
                <c:pt idx="6" formatCode="#\ ##0">
                  <c:v>118149</c:v>
                </c:pt>
                <c:pt idx="7" formatCode="#\ ##0">
                  <c:v>116530</c:v>
                </c:pt>
                <c:pt idx="8" formatCode="#\ ##0">
                  <c:v>119672</c:v>
                </c:pt>
                <c:pt idx="9" formatCode="#\ ##0">
                  <c:v>116054</c:v>
                </c:pt>
                <c:pt idx="10" formatCode="#\ ##0">
                  <c:v>116322</c:v>
                </c:pt>
                <c:pt idx="11" formatCode="#\ ##0">
                  <c:v>115305</c:v>
                </c:pt>
              </c:numCache>
            </c:numRef>
          </c:val>
          <c:smooth val="0"/>
          <c:extLst>
            <c:ext xmlns:c16="http://schemas.microsoft.com/office/drawing/2014/chart" uri="{C3380CC4-5D6E-409C-BE32-E72D297353CC}">
              <c16:uniqueId val="{00000002-9072-41F4-AE80-223CFCD36744}"/>
            </c:ext>
          </c:extLst>
        </c:ser>
        <c:dLbls>
          <c:showLegendKey val="0"/>
          <c:showVal val="1"/>
          <c:showCatName val="0"/>
          <c:showSerName val="0"/>
          <c:showPercent val="0"/>
          <c:showBubbleSize val="0"/>
        </c:dLbls>
        <c:marker val="1"/>
        <c:smooth val="0"/>
        <c:axId val="131875647"/>
        <c:axId val="131882303"/>
      </c:lineChart>
      <c:catAx>
        <c:axId val="13187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1882303"/>
        <c:crosses val="autoZero"/>
        <c:auto val="1"/>
        <c:lblAlgn val="ctr"/>
        <c:lblOffset val="100"/>
        <c:noMultiLvlLbl val="0"/>
      </c:catAx>
      <c:valAx>
        <c:axId val="131882303"/>
        <c:scaling>
          <c:orientation val="minMax"/>
        </c:scaling>
        <c:delete val="1"/>
        <c:axPos val="l"/>
        <c:numFmt formatCode="General" sourceLinked="1"/>
        <c:majorTickMark val="none"/>
        <c:minorTickMark val="none"/>
        <c:tickLblPos val="nextTo"/>
        <c:crossAx val="131875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'D12Personal (2)'!$T$3</c:f>
              <c:strCache>
                <c:ptCount val="1"/>
                <c:pt idx="0">
                  <c:v>Total</c:v>
                </c:pt>
              </c:strCache>
            </c:strRef>
          </c:tx>
          <c:spPr>
            <a:solidFill>
              <a:srgbClr val="877A67"/>
            </a:solidFill>
            <a:ln>
              <a:noFill/>
            </a:ln>
            <a:effectLst>
              <a:outerShdw blurRad="50800" dist="38100" dir="2700000" algn="tl" rotWithShape="0">
                <a:prstClr val="black">
                  <a:alpha val="40000"/>
                </a:prstClr>
              </a:outerShdw>
            </a:effectLst>
          </c:spPr>
          <c:invertIfNegative val="0"/>
          <c:dPt>
            <c:idx val="32"/>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FECE-4658-9E9C-FA010A49709C}"/>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'D12Personal (2)'!$S$4:$S$36</c:f>
              <c:strCache>
                <c:ptCount val="33"/>
                <c:pt idx="0">
                  <c:v>TLAX</c:v>
                </c:pt>
                <c:pt idx="1">
                  <c:v>CAMP</c:v>
                </c:pt>
                <c:pt idx="2">
                  <c:v>SLP</c:v>
                </c:pt>
                <c:pt idx="3">
                  <c:v>AGS</c:v>
                </c:pt>
                <c:pt idx="4">
                  <c:v>COL</c:v>
                </c:pt>
                <c:pt idx="5">
                  <c:v>YUC</c:v>
                </c:pt>
                <c:pt idx="6">
                  <c:v>DGO</c:v>
                </c:pt>
                <c:pt idx="7">
                  <c:v>BCS</c:v>
                </c:pt>
                <c:pt idx="8">
                  <c:v>QRO</c:v>
                </c:pt>
                <c:pt idx="9">
                  <c:v>NAY</c:v>
                </c:pt>
                <c:pt idx="10">
                  <c:v>MOR</c:v>
                </c:pt>
                <c:pt idx="11">
                  <c:v>ZAC</c:v>
                </c:pt>
                <c:pt idx="12">
                  <c:v>QROO</c:v>
                </c:pt>
                <c:pt idx="13">
                  <c:v>SIN</c:v>
                </c:pt>
                <c:pt idx="14">
                  <c:v>HGO</c:v>
                </c:pt>
                <c:pt idx="15">
                  <c:v>COAH</c:v>
                </c:pt>
                <c:pt idx="16">
                  <c:v>TAB</c:v>
                </c:pt>
                <c:pt idx="17">
                  <c:v>SON</c:v>
                </c:pt>
                <c:pt idx="18">
                  <c:v>OAX</c:v>
                </c:pt>
                <c:pt idx="19">
                  <c:v>MICH</c:v>
                </c:pt>
                <c:pt idx="20">
                  <c:v>GRO</c:v>
                </c:pt>
                <c:pt idx="21">
                  <c:v>TAMPS</c:v>
                </c:pt>
                <c:pt idx="22">
                  <c:v>PUE</c:v>
                </c:pt>
                <c:pt idx="23">
                  <c:v>VER</c:v>
                </c:pt>
                <c:pt idx="24">
                  <c:v>NL</c:v>
                </c:pt>
                <c:pt idx="25">
                  <c:v>CHIS</c:v>
                </c:pt>
                <c:pt idx="26">
                  <c:v>BC</c:v>
                </c:pt>
                <c:pt idx="27">
                  <c:v>JAL</c:v>
                </c:pt>
                <c:pt idx="28">
                  <c:v>GTO</c:v>
                </c:pt>
                <c:pt idx="29">
                  <c:v>CHIH</c:v>
                </c:pt>
                <c:pt idx="30">
                  <c:v>MEX</c:v>
                </c:pt>
                <c:pt idx="31">
                  <c:v>CDMX</c:v>
                </c:pt>
                <c:pt idx="32">
                  <c:v>FGR</c:v>
                </c:pt>
              </c:strCache>
            </c:strRef>
          </c:cat>
          <c:val>
            <c:numRef>
              <c:f>'D12Personal (2)'!$T$4:$T$36</c:f>
              <c:numCache>
                <c:formatCode>#\ ##0</c:formatCode>
                <c:ptCount val="33"/>
                <c:pt idx="0">
                  <c:v>656</c:v>
                </c:pt>
                <c:pt idx="1">
                  <c:v>822</c:v>
                </c:pt>
                <c:pt idx="2">
                  <c:v>942</c:v>
                </c:pt>
                <c:pt idx="3">
                  <c:v>1078</c:v>
                </c:pt>
                <c:pt idx="4">
                  <c:v>1129</c:v>
                </c:pt>
                <c:pt idx="5">
                  <c:v>1135</c:v>
                </c:pt>
                <c:pt idx="6">
                  <c:v>1181</c:v>
                </c:pt>
                <c:pt idx="7">
                  <c:v>1206</c:v>
                </c:pt>
                <c:pt idx="8">
                  <c:v>1410</c:v>
                </c:pt>
                <c:pt idx="9">
                  <c:v>1467</c:v>
                </c:pt>
                <c:pt idx="10">
                  <c:v>1681</c:v>
                </c:pt>
                <c:pt idx="11">
                  <c:v>1684</c:v>
                </c:pt>
                <c:pt idx="12">
                  <c:v>1833</c:v>
                </c:pt>
                <c:pt idx="13">
                  <c:v>1931</c:v>
                </c:pt>
                <c:pt idx="14">
                  <c:v>2210</c:v>
                </c:pt>
                <c:pt idx="15">
                  <c:v>2260</c:v>
                </c:pt>
                <c:pt idx="16">
                  <c:v>2509</c:v>
                </c:pt>
                <c:pt idx="17">
                  <c:v>2632</c:v>
                </c:pt>
                <c:pt idx="18">
                  <c:v>2684</c:v>
                </c:pt>
                <c:pt idx="19">
                  <c:v>2951</c:v>
                </c:pt>
                <c:pt idx="20">
                  <c:v>3021</c:v>
                </c:pt>
                <c:pt idx="21">
                  <c:v>3038</c:v>
                </c:pt>
                <c:pt idx="22">
                  <c:v>3155</c:v>
                </c:pt>
                <c:pt idx="23">
                  <c:v>3219</c:v>
                </c:pt>
                <c:pt idx="24">
                  <c:v>3462</c:v>
                </c:pt>
                <c:pt idx="25">
                  <c:v>3703</c:v>
                </c:pt>
                <c:pt idx="26">
                  <c:v>3927</c:v>
                </c:pt>
                <c:pt idx="27">
                  <c:v>4313</c:v>
                </c:pt>
                <c:pt idx="28">
                  <c:v>5063</c:v>
                </c:pt>
                <c:pt idx="29">
                  <c:v>6320</c:v>
                </c:pt>
                <c:pt idx="30">
                  <c:v>7059</c:v>
                </c:pt>
                <c:pt idx="31">
                  <c:v>15705</c:v>
                </c:pt>
                <c:pt idx="32">
                  <c:v>19919</c:v>
                </c:pt>
              </c:numCache>
            </c:numRef>
          </c:val>
          <c:extLst>
            <c:ext xmlns:c16="http://schemas.microsoft.com/office/drawing/2014/chart" uri="{C3380CC4-5D6E-409C-BE32-E72D297353CC}">
              <c16:uniqueId val="{00000002-FECE-4658-9E9C-FA010A49709C}"/>
            </c:ext>
          </c:extLst>
        </c:ser>
        <c:dLbls>
          <c:dLblPos val="outEnd"/>
          <c:showLegendKey val="0"/>
          <c:showVal val="1"/>
          <c:showCatName val="0"/>
          <c:showSerName val="0"/>
          <c:showPercent val="0"/>
          <c:showBubbleSize val="0"/>
        </c:dLbls>
        <c:gapWidth val="80"/>
        <c:axId val="325579711"/>
        <c:axId val="325598847"/>
      </c:barChart>
      <c:catAx>
        <c:axId val="3255797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5598847"/>
        <c:crosses val="autoZero"/>
        <c:auto val="1"/>
        <c:lblAlgn val="ctr"/>
        <c:lblOffset val="100"/>
        <c:noMultiLvlLbl val="0"/>
      </c:catAx>
      <c:valAx>
        <c:axId val="325598847"/>
        <c:scaling>
          <c:orientation val="minMax"/>
        </c:scaling>
        <c:delete val="1"/>
        <c:axPos val="b"/>
        <c:numFmt formatCode="#\ ##0" sourceLinked="1"/>
        <c:majorTickMark val="none"/>
        <c:minorTickMark val="none"/>
        <c:tickLblPos val="nextTo"/>
        <c:crossAx val="3255797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D13Personal!$X$37</c:f>
              <c:strCache>
                <c:ptCount val="1"/>
              </c:strCache>
            </c:strRef>
          </c:tx>
          <c:spPr>
            <a:solidFill>
              <a:schemeClr val="accent1"/>
            </a:solidFill>
            <a:ln>
              <a:noFill/>
            </a:ln>
            <a:effectLst/>
          </c:spPr>
          <c:invertIfNegative val="0"/>
          <c:cat>
            <c:strRef>
              <c:f>D13Personal!$W$38:$W$65</c:f>
              <c:strCache>
                <c:ptCount val="28"/>
                <c:pt idx="0">
                  <c:v>Policía judicial, ministerial o de investigación</c:v>
                </c:pt>
                <c:pt idx="1">
                  <c:v>Informática y tecnologías de la información </c:v>
                </c:pt>
                <c:pt idx="2">
                  <c:v>Seguridad pública o seguridad ciudadana y/o prevención del delito</c:v>
                </c:pt>
                <c:pt idx="3">
                  <c:v>Seguridad institucional y protección civil</c:v>
                </c:pt>
                <c:pt idx="4">
                  <c:v>Investigación, análisis criminal y/o inteligencia</c:v>
                </c:pt>
                <c:pt idx="5">
                  <c:v>Despacho del Fiscal o Procurador</c:v>
                </c:pt>
                <c:pt idx="6">
                  <c:v>Comunicación social y difusión</c:v>
                </c:pt>
                <c:pt idx="7">
                  <c:v>Servicios periciales o servicio médico forense</c:v>
                </c:pt>
                <c:pt idx="8">
                  <c:v>Administración y finanzas</c:v>
                </c:pt>
                <c:pt idx="9">
                  <c:v>Otra función</c:v>
                </c:pt>
                <c:pt idx="10">
                  <c:v>Planeación y evaluación</c:v>
                </c:pt>
                <c:pt idx="11">
                  <c:v>Contraloría interna</c:v>
                </c:pt>
                <c:pt idx="12">
                  <c:v>Vinculación y coordinación interinstitucional</c:v>
                </c:pt>
                <c:pt idx="13">
                  <c:v>Atención directa a víctimas</c:v>
                </c:pt>
                <c:pt idx="14">
                  <c:v>Estadística</c:v>
                </c:pt>
                <c:pt idx="15">
                  <c:v>Control de aseguramientos ministeriales</c:v>
                </c:pt>
                <c:pt idx="16">
                  <c:v>Atención especializada para adolescentes</c:v>
                </c:pt>
                <c:pt idx="17">
                  <c:v>Derechos humanos </c:v>
                </c:pt>
                <c:pt idx="18">
                  <c:v>Visitaduría general</c:v>
                </c:pt>
                <c:pt idx="19">
                  <c:v>Asuntos internos</c:v>
                </c:pt>
                <c:pt idx="20">
                  <c:v>Vinculación y promoción con la sociedad</c:v>
                </c:pt>
                <c:pt idx="21">
                  <c:v>Cooperación internacional, asuntos ***</c:v>
                </c:pt>
                <c:pt idx="22">
                  <c:v>Asuntos jurídicos</c:v>
                </c:pt>
                <c:pt idx="23">
                  <c:v>Capacitación, formación y evaluación del personal</c:v>
                </c:pt>
                <c:pt idx="24">
                  <c:v>Supervisión de medidas cautelares y suspensión**</c:v>
                </c:pt>
                <c:pt idx="25">
                  <c:v>Mecanismos alternativos de solución de controversias*</c:v>
                </c:pt>
                <c:pt idx="26">
                  <c:v>Acceso a la información pública y protección de datos personales</c:v>
                </c:pt>
                <c:pt idx="27">
                  <c:v>Atención especializada en justicia para las mujeres</c:v>
                </c:pt>
              </c:strCache>
            </c:strRef>
          </c:cat>
          <c:val>
            <c:numRef>
              <c:f>D13Personal!$X$38:$X$65</c:f>
            </c:numRef>
          </c:val>
          <c:extLst>
            <c:ext xmlns:c16="http://schemas.microsoft.com/office/drawing/2014/chart" uri="{C3380CC4-5D6E-409C-BE32-E72D297353CC}">
              <c16:uniqueId val="{00000000-4A80-49DD-8DAD-D9D12272DA36}"/>
            </c:ext>
          </c:extLst>
        </c:ser>
        <c:ser>
          <c:idx val="1"/>
          <c:order val="1"/>
          <c:tx>
            <c:strRef>
              <c:f>D13Personal!$Y$37</c:f>
              <c:strCache>
                <c:ptCount val="1"/>
                <c:pt idx="0">
                  <c:v>Hombres</c:v>
                </c:pt>
              </c:strCache>
            </c:strRef>
          </c:tx>
          <c:spPr>
            <a:solidFill>
              <a:srgbClr val="804053"/>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D13Personal!$W$38:$W$65</c:f>
              <c:strCache>
                <c:ptCount val="28"/>
                <c:pt idx="0">
                  <c:v>Policía judicial, ministerial o de investigación</c:v>
                </c:pt>
                <c:pt idx="1">
                  <c:v>Informática y tecnologías de la información </c:v>
                </c:pt>
                <c:pt idx="2">
                  <c:v>Seguridad pública o seguridad ciudadana y/o prevención del delito</c:v>
                </c:pt>
                <c:pt idx="3">
                  <c:v>Seguridad institucional y protección civil</c:v>
                </c:pt>
                <c:pt idx="4">
                  <c:v>Investigación, análisis criminal y/o inteligencia</c:v>
                </c:pt>
                <c:pt idx="5">
                  <c:v>Despacho del Fiscal o Procurador</c:v>
                </c:pt>
                <c:pt idx="6">
                  <c:v>Comunicación social y difusión</c:v>
                </c:pt>
                <c:pt idx="7">
                  <c:v>Servicios periciales o servicio médico forense</c:v>
                </c:pt>
                <c:pt idx="8">
                  <c:v>Administración y finanzas</c:v>
                </c:pt>
                <c:pt idx="9">
                  <c:v>Otra función</c:v>
                </c:pt>
                <c:pt idx="10">
                  <c:v>Planeación y evaluación</c:v>
                </c:pt>
                <c:pt idx="11">
                  <c:v>Contraloría interna</c:v>
                </c:pt>
                <c:pt idx="12">
                  <c:v>Vinculación y coordinación interinstitucional</c:v>
                </c:pt>
                <c:pt idx="13">
                  <c:v>Atención directa a víctimas</c:v>
                </c:pt>
                <c:pt idx="14">
                  <c:v>Estadística</c:v>
                </c:pt>
                <c:pt idx="15">
                  <c:v>Control de aseguramientos ministeriales</c:v>
                </c:pt>
                <c:pt idx="16">
                  <c:v>Atención especializada para adolescentes</c:v>
                </c:pt>
                <c:pt idx="17">
                  <c:v>Derechos humanos </c:v>
                </c:pt>
                <c:pt idx="18">
                  <c:v>Visitaduría general</c:v>
                </c:pt>
                <c:pt idx="19">
                  <c:v>Asuntos internos</c:v>
                </c:pt>
                <c:pt idx="20">
                  <c:v>Vinculación y promoción con la sociedad</c:v>
                </c:pt>
                <c:pt idx="21">
                  <c:v>Cooperación internacional, asuntos ***</c:v>
                </c:pt>
                <c:pt idx="22">
                  <c:v>Asuntos jurídicos</c:v>
                </c:pt>
                <c:pt idx="23">
                  <c:v>Capacitación, formación y evaluación del personal</c:v>
                </c:pt>
                <c:pt idx="24">
                  <c:v>Supervisión de medidas cautelares y suspensión**</c:v>
                </c:pt>
                <c:pt idx="25">
                  <c:v>Mecanismos alternativos de solución de controversias*</c:v>
                </c:pt>
                <c:pt idx="26">
                  <c:v>Acceso a la información pública y protección de datos personales</c:v>
                </c:pt>
                <c:pt idx="27">
                  <c:v>Atención especializada en justicia para las mujeres</c:v>
                </c:pt>
              </c:strCache>
            </c:strRef>
          </c:cat>
          <c:val>
            <c:numRef>
              <c:f>D13Personal!$Y$38:$Y$65</c:f>
              <c:numCache>
                <c:formatCode>0.0\ %</c:formatCode>
                <c:ptCount val="28"/>
                <c:pt idx="0">
                  <c:v>0.74619259606373012</c:v>
                </c:pt>
                <c:pt idx="1">
                  <c:v>0.64639443961772369</c:v>
                </c:pt>
                <c:pt idx="2">
                  <c:v>0.60540069686411146</c:v>
                </c:pt>
                <c:pt idx="3">
                  <c:v>0.58020477815699656</c:v>
                </c:pt>
                <c:pt idx="4">
                  <c:v>0.56639183352964273</c:v>
                </c:pt>
                <c:pt idx="5">
                  <c:v>0.54897360703812315</c:v>
                </c:pt>
                <c:pt idx="6">
                  <c:v>0.54867256637168138</c:v>
                </c:pt>
                <c:pt idx="7">
                  <c:v>0.5218134183847819</c:v>
                </c:pt>
                <c:pt idx="8">
                  <c:v>0.5205677867902665</c:v>
                </c:pt>
                <c:pt idx="9">
                  <c:v>0.51675695528417964</c:v>
                </c:pt>
                <c:pt idx="10">
                  <c:v>0.50802139037433158</c:v>
                </c:pt>
                <c:pt idx="11">
                  <c:v>0.50539083557951481</c:v>
                </c:pt>
                <c:pt idx="12">
                  <c:v>0.49036402569593146</c:v>
                </c:pt>
                <c:pt idx="13">
                  <c:v>0.48470819304152635</c:v>
                </c:pt>
                <c:pt idx="14">
                  <c:v>0.48347107438016529</c:v>
                </c:pt>
                <c:pt idx="15">
                  <c:v>0.48191409193669932</c:v>
                </c:pt>
                <c:pt idx="16">
                  <c:v>0.47058823529411764</c:v>
                </c:pt>
                <c:pt idx="17">
                  <c:v>0.46979260595130751</c:v>
                </c:pt>
                <c:pt idx="18">
                  <c:v>0.46700507614213199</c:v>
                </c:pt>
                <c:pt idx="19">
                  <c:v>0.46005917159763315</c:v>
                </c:pt>
                <c:pt idx="20">
                  <c:v>0.45276872964169379</c:v>
                </c:pt>
                <c:pt idx="21">
                  <c:v>0.45217391304347826</c:v>
                </c:pt>
                <c:pt idx="22">
                  <c:v>0.42170864710464817</c:v>
                </c:pt>
                <c:pt idx="23">
                  <c:v>0.39985433357611072</c:v>
                </c:pt>
                <c:pt idx="24">
                  <c:v>0.36590909090909091</c:v>
                </c:pt>
                <c:pt idx="25">
                  <c:v>0.36570477247502775</c:v>
                </c:pt>
                <c:pt idx="26">
                  <c:v>0.35135135135135137</c:v>
                </c:pt>
                <c:pt idx="27">
                  <c:v>0.3167232918082295</c:v>
                </c:pt>
              </c:numCache>
            </c:numRef>
          </c:val>
          <c:extLst>
            <c:ext xmlns:c16="http://schemas.microsoft.com/office/drawing/2014/chart" uri="{C3380CC4-5D6E-409C-BE32-E72D297353CC}">
              <c16:uniqueId val="{00000001-4A80-49DD-8DAD-D9D12272DA36}"/>
            </c:ext>
          </c:extLst>
        </c:ser>
        <c:ser>
          <c:idx val="2"/>
          <c:order val="2"/>
          <c:tx>
            <c:strRef>
              <c:f>D13Personal!$Z$37</c:f>
              <c:strCache>
                <c:ptCount val="1"/>
                <c:pt idx="0">
                  <c:v>Mujeres</c:v>
                </c:pt>
              </c:strCache>
            </c:strRef>
          </c:tx>
          <c:spPr>
            <a:solidFill>
              <a:srgbClr val="285072"/>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D13Personal!$W$38:$W$65</c:f>
              <c:strCache>
                <c:ptCount val="28"/>
                <c:pt idx="0">
                  <c:v>Policía judicial, ministerial o de investigación</c:v>
                </c:pt>
                <c:pt idx="1">
                  <c:v>Informática y tecnologías de la información </c:v>
                </c:pt>
                <c:pt idx="2">
                  <c:v>Seguridad pública o seguridad ciudadana y/o prevención del delito</c:v>
                </c:pt>
                <c:pt idx="3">
                  <c:v>Seguridad institucional y protección civil</c:v>
                </c:pt>
                <c:pt idx="4">
                  <c:v>Investigación, análisis criminal y/o inteligencia</c:v>
                </c:pt>
                <c:pt idx="5">
                  <c:v>Despacho del Fiscal o Procurador</c:v>
                </c:pt>
                <c:pt idx="6">
                  <c:v>Comunicación social y difusión</c:v>
                </c:pt>
                <c:pt idx="7">
                  <c:v>Servicios periciales o servicio médico forense</c:v>
                </c:pt>
                <c:pt idx="8">
                  <c:v>Administración y finanzas</c:v>
                </c:pt>
                <c:pt idx="9">
                  <c:v>Otra función</c:v>
                </c:pt>
                <c:pt idx="10">
                  <c:v>Planeación y evaluación</c:v>
                </c:pt>
                <c:pt idx="11">
                  <c:v>Contraloría interna</c:v>
                </c:pt>
                <c:pt idx="12">
                  <c:v>Vinculación y coordinación interinstitucional</c:v>
                </c:pt>
                <c:pt idx="13">
                  <c:v>Atención directa a víctimas</c:v>
                </c:pt>
                <c:pt idx="14">
                  <c:v>Estadística</c:v>
                </c:pt>
                <c:pt idx="15">
                  <c:v>Control de aseguramientos ministeriales</c:v>
                </c:pt>
                <c:pt idx="16">
                  <c:v>Atención especializada para adolescentes</c:v>
                </c:pt>
                <c:pt idx="17">
                  <c:v>Derechos humanos </c:v>
                </c:pt>
                <c:pt idx="18">
                  <c:v>Visitaduría general</c:v>
                </c:pt>
                <c:pt idx="19">
                  <c:v>Asuntos internos</c:v>
                </c:pt>
                <c:pt idx="20">
                  <c:v>Vinculación y promoción con la sociedad</c:v>
                </c:pt>
                <c:pt idx="21">
                  <c:v>Cooperación internacional, asuntos ***</c:v>
                </c:pt>
                <c:pt idx="22">
                  <c:v>Asuntos jurídicos</c:v>
                </c:pt>
                <c:pt idx="23">
                  <c:v>Capacitación, formación y evaluación del personal</c:v>
                </c:pt>
                <c:pt idx="24">
                  <c:v>Supervisión de medidas cautelares y suspensión**</c:v>
                </c:pt>
                <c:pt idx="25">
                  <c:v>Mecanismos alternativos de solución de controversias*</c:v>
                </c:pt>
                <c:pt idx="26">
                  <c:v>Acceso a la información pública y protección de datos personales</c:v>
                </c:pt>
                <c:pt idx="27">
                  <c:v>Atención especializada en justicia para las mujeres</c:v>
                </c:pt>
              </c:strCache>
            </c:strRef>
          </c:cat>
          <c:val>
            <c:numRef>
              <c:f>D13Personal!$Z$38:$Z$65</c:f>
              <c:numCache>
                <c:formatCode>0.0\ %</c:formatCode>
                <c:ptCount val="28"/>
                <c:pt idx="0">
                  <c:v>0.25380740393626994</c:v>
                </c:pt>
                <c:pt idx="1">
                  <c:v>0.35360556038227631</c:v>
                </c:pt>
                <c:pt idx="2">
                  <c:v>0.39459930313588848</c:v>
                </c:pt>
                <c:pt idx="3">
                  <c:v>0.41979522184300339</c:v>
                </c:pt>
                <c:pt idx="4">
                  <c:v>0.43360816647035727</c:v>
                </c:pt>
                <c:pt idx="5">
                  <c:v>0.45102639296187685</c:v>
                </c:pt>
                <c:pt idx="6">
                  <c:v>0.45132743362831856</c:v>
                </c:pt>
                <c:pt idx="7">
                  <c:v>0.47818658161521815</c:v>
                </c:pt>
                <c:pt idx="8">
                  <c:v>0.4794322132097335</c:v>
                </c:pt>
                <c:pt idx="9">
                  <c:v>0.48324304471582041</c:v>
                </c:pt>
                <c:pt idx="10">
                  <c:v>0.49197860962566847</c:v>
                </c:pt>
                <c:pt idx="11">
                  <c:v>0.49460916442048519</c:v>
                </c:pt>
                <c:pt idx="12">
                  <c:v>0.50963597430406848</c:v>
                </c:pt>
                <c:pt idx="13">
                  <c:v>0.51529180695847365</c:v>
                </c:pt>
                <c:pt idx="14">
                  <c:v>0.51652892561983466</c:v>
                </c:pt>
                <c:pt idx="15">
                  <c:v>0.51808590806330068</c:v>
                </c:pt>
                <c:pt idx="16">
                  <c:v>0.52941176470588236</c:v>
                </c:pt>
                <c:pt idx="17">
                  <c:v>0.53020739404869255</c:v>
                </c:pt>
                <c:pt idx="18">
                  <c:v>0.53299492385786806</c:v>
                </c:pt>
                <c:pt idx="19">
                  <c:v>0.5399408284023669</c:v>
                </c:pt>
                <c:pt idx="20">
                  <c:v>0.54723127035830621</c:v>
                </c:pt>
                <c:pt idx="21">
                  <c:v>0.54782608695652169</c:v>
                </c:pt>
                <c:pt idx="22">
                  <c:v>0.57829135289535183</c:v>
                </c:pt>
                <c:pt idx="23">
                  <c:v>0.59941733430444277</c:v>
                </c:pt>
                <c:pt idx="24">
                  <c:v>0.63409090909090904</c:v>
                </c:pt>
                <c:pt idx="25">
                  <c:v>0.63429522752497225</c:v>
                </c:pt>
                <c:pt idx="26">
                  <c:v>0.64864864864864868</c:v>
                </c:pt>
                <c:pt idx="27">
                  <c:v>0.68327670819177044</c:v>
                </c:pt>
              </c:numCache>
            </c:numRef>
          </c:val>
          <c:extLst>
            <c:ext xmlns:c16="http://schemas.microsoft.com/office/drawing/2014/chart" uri="{C3380CC4-5D6E-409C-BE32-E72D297353CC}">
              <c16:uniqueId val="{00000002-4A80-49DD-8DAD-D9D12272DA36}"/>
            </c:ext>
          </c:extLst>
        </c:ser>
        <c:dLbls>
          <c:showLegendKey val="0"/>
          <c:showVal val="0"/>
          <c:showCatName val="0"/>
          <c:showSerName val="0"/>
          <c:showPercent val="0"/>
          <c:showBubbleSize val="0"/>
        </c:dLbls>
        <c:gapWidth val="80"/>
        <c:overlap val="100"/>
        <c:axId val="128206959"/>
        <c:axId val="128217775"/>
      </c:barChart>
      <c:catAx>
        <c:axId val="128206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8217775"/>
        <c:crosses val="autoZero"/>
        <c:auto val="1"/>
        <c:lblAlgn val="ctr"/>
        <c:lblOffset val="100"/>
        <c:noMultiLvlLbl val="0"/>
      </c:catAx>
      <c:valAx>
        <c:axId val="128217775"/>
        <c:scaling>
          <c:orientation val="minMax"/>
        </c:scaling>
        <c:delete val="1"/>
        <c:axPos val="b"/>
        <c:numFmt formatCode="0%" sourceLinked="1"/>
        <c:majorTickMark val="none"/>
        <c:minorTickMark val="none"/>
        <c:tickLblPos val="nextTo"/>
        <c:crossAx val="1282069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0.88325</cdr:x>
      <cdr:y>0.64364</cdr:y>
    </cdr:from>
    <cdr:to>
      <cdr:x>0.93338</cdr:x>
      <cdr:y>0.82893</cdr:y>
    </cdr:to>
    <cdr:sp macro="" textlink="">
      <cdr:nvSpPr>
        <cdr:cNvPr id="2" name="Cuadro de texto 1"/>
        <cdr:cNvSpPr txBox="1"/>
      </cdr:nvSpPr>
      <cdr:spPr>
        <a:xfrm xmlns:a="http://schemas.openxmlformats.org/drawingml/2006/main">
          <a:off x="4762831" y="1049573"/>
          <a:ext cx="270344" cy="30215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s-MX" sz="900">
              <a:solidFill>
                <a:schemeClr val="tx1"/>
              </a:solidFill>
              <a:latin typeface="Arial" panose="020B0604020202020204" pitchFamily="34" charset="0"/>
              <a:cs typeface="Arial" panose="020B0604020202020204" pitchFamily="34" charset="0"/>
            </a:rPr>
            <a:t>0</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794F4-53D3-4916-B915-63DDA035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5195</Words>
  <Characters>28576</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Censo Nacional de Procuración de Justicia Estatal y del Censo Nacional de Procuración de Justicia Federal</vt:lpstr>
      <vt:lpstr/>
    </vt:vector>
  </TitlesOfParts>
  <Manager>INEGI</Manager>
  <Company/>
  <LinksUpToDate>false</LinksUpToDate>
  <CharactersWithSpaces>33704</CharactersWithSpaces>
  <SharedDoc>false</SharedDoc>
  <HLinks>
    <vt:vector size="6" baseType="variant">
      <vt:variant>
        <vt:i4>1114206</vt:i4>
      </vt:variant>
      <vt:variant>
        <vt:i4>0</vt:i4>
      </vt:variant>
      <vt:variant>
        <vt:i4>0</vt:i4>
      </vt:variant>
      <vt:variant>
        <vt:i4>5</vt:i4>
      </vt:variant>
      <vt:variant>
        <vt:lpwstr>https://www.inegi.org.mx/programas/cnge/2022/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Censo Nacional de Procuración de Justicia Estatal y del Censo Nacional de Procuración de Justicia Federal</dc:title>
  <dc:subject/>
  <dc:creator>INEGI</dc:creator>
  <cp:keywords/>
  <dc:description/>
  <cp:lastModifiedBy>COLLAZO GALLEGOS MARCOS DARIO</cp:lastModifiedBy>
  <cp:revision>2</cp:revision>
  <cp:lastPrinted>2022-07-01T02:53:00Z</cp:lastPrinted>
  <dcterms:created xsi:type="dcterms:W3CDTF">2022-10-14T18:23:00Z</dcterms:created>
  <dcterms:modified xsi:type="dcterms:W3CDTF">2022-10-14T18:23:00Z</dcterms:modified>
</cp:coreProperties>
</file>