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62270" w14:textId="77777777" w:rsidR="006E3504" w:rsidRDefault="006E3504" w:rsidP="00AD162B">
      <w:pPr>
        <w:spacing w:after="0" w:line="240" w:lineRule="auto"/>
        <w:ind w:left="-425" w:right="-28"/>
        <w:jc w:val="center"/>
        <w:rPr>
          <w:rFonts w:eastAsia="Arial" w:cs="Arial"/>
          <w:b/>
          <w:bCs/>
          <w:spacing w:val="1"/>
          <w:szCs w:val="24"/>
        </w:rPr>
      </w:pPr>
      <w:bookmarkStart w:id="0" w:name="_GoBack"/>
      <w:bookmarkEnd w:id="0"/>
    </w:p>
    <w:p w14:paraId="31FB070A" w14:textId="77777777" w:rsidR="00734F3E" w:rsidRDefault="00734F3E" w:rsidP="00AD162B">
      <w:pPr>
        <w:spacing w:after="0" w:line="240" w:lineRule="auto"/>
        <w:ind w:left="-425" w:right="-28"/>
        <w:jc w:val="center"/>
        <w:rPr>
          <w:rFonts w:eastAsia="Arial" w:cs="Arial"/>
          <w:b/>
          <w:bCs/>
          <w:spacing w:val="1"/>
          <w:szCs w:val="24"/>
        </w:rPr>
      </w:pPr>
    </w:p>
    <w:p w14:paraId="1AEE91B0" w14:textId="3E34C129" w:rsidR="00895206" w:rsidRDefault="001B71A1" w:rsidP="00AD162B">
      <w:pPr>
        <w:spacing w:after="0" w:line="240" w:lineRule="auto"/>
        <w:ind w:left="-425" w:right="-28"/>
        <w:jc w:val="center"/>
        <w:rPr>
          <w:rFonts w:eastAsia="Arial" w:cs="Arial"/>
          <w:b/>
          <w:bCs/>
          <w:spacing w:val="1"/>
          <w:szCs w:val="24"/>
        </w:rPr>
      </w:pPr>
      <w:r w:rsidRPr="00895206">
        <w:rPr>
          <w:rFonts w:eastAsia="Arial" w:cs="Arial"/>
          <w:b/>
          <w:bCs/>
          <w:spacing w:val="1"/>
          <w:szCs w:val="24"/>
        </w:rPr>
        <w:t>SISTEMA DE CUENTAS POR SECTORES</w:t>
      </w:r>
      <w:r w:rsidR="0058689B" w:rsidRPr="00895206">
        <w:rPr>
          <w:rFonts w:eastAsia="Arial" w:cs="Arial"/>
          <w:b/>
          <w:bCs/>
          <w:spacing w:val="1"/>
          <w:szCs w:val="24"/>
        </w:rPr>
        <w:t xml:space="preserve"> </w:t>
      </w:r>
      <w:r w:rsidRPr="00895206">
        <w:rPr>
          <w:rFonts w:eastAsia="Arial" w:cs="Arial"/>
          <w:b/>
          <w:bCs/>
          <w:spacing w:val="1"/>
          <w:szCs w:val="24"/>
        </w:rPr>
        <w:t xml:space="preserve">INSTITUCIONALES </w:t>
      </w:r>
      <w:r w:rsidR="009B76AB" w:rsidRPr="009B76AB">
        <w:rPr>
          <w:rFonts w:eastAsia="Arial" w:cs="Arial"/>
          <w:b/>
          <w:bCs/>
          <w:spacing w:val="1"/>
          <w:szCs w:val="24"/>
        </w:rPr>
        <w:t>2021</w:t>
      </w:r>
    </w:p>
    <w:p w14:paraId="7300C25C" w14:textId="77777777" w:rsidR="003D418A" w:rsidRPr="003D418A" w:rsidRDefault="003D418A" w:rsidP="00AD162B">
      <w:pPr>
        <w:spacing w:after="0" w:line="240" w:lineRule="auto"/>
        <w:ind w:left="-425" w:right="-28"/>
        <w:jc w:val="center"/>
        <w:rPr>
          <w:rFonts w:eastAsia="Arial" w:cs="Arial"/>
          <w:b/>
          <w:bCs/>
          <w:spacing w:val="1"/>
          <w:szCs w:val="24"/>
        </w:rPr>
      </w:pPr>
    </w:p>
    <w:p w14:paraId="0C7B0594" w14:textId="44A67D6D" w:rsidR="00C94F5A" w:rsidRPr="004E1FA4" w:rsidRDefault="006C55CE" w:rsidP="00F71AD7">
      <w:pPr>
        <w:pStyle w:val="Prrafodelista"/>
        <w:widowControl/>
        <w:numPr>
          <w:ilvl w:val="0"/>
          <w:numId w:val="4"/>
        </w:numPr>
        <w:spacing w:after="0" w:line="240" w:lineRule="auto"/>
        <w:ind w:left="284" w:right="536" w:hanging="283"/>
        <w:jc w:val="both"/>
        <w:rPr>
          <w:rFonts w:eastAsia="Times New Roman" w:cs="Arial"/>
          <w:bCs/>
          <w:szCs w:val="24"/>
          <w:lang w:eastAsia="es-MX"/>
        </w:rPr>
      </w:pPr>
      <w:r w:rsidRPr="004E1FA4">
        <w:rPr>
          <w:rFonts w:eastAsia="Times New Roman" w:cs="Arial"/>
          <w:bCs/>
          <w:szCs w:val="24"/>
          <w:lang w:eastAsia="es-MX"/>
        </w:rPr>
        <w:t xml:space="preserve">Durante </w:t>
      </w:r>
      <w:r w:rsidR="00184A82" w:rsidRPr="00184A82">
        <w:rPr>
          <w:rFonts w:eastAsia="Times New Roman" w:cs="Arial"/>
          <w:bCs/>
          <w:szCs w:val="24"/>
          <w:lang w:eastAsia="es-MX"/>
        </w:rPr>
        <w:t>2021</w:t>
      </w:r>
      <w:r w:rsidRPr="004E1FA4">
        <w:rPr>
          <w:rFonts w:eastAsia="Times New Roman" w:cs="Arial"/>
          <w:bCs/>
          <w:szCs w:val="24"/>
          <w:lang w:eastAsia="es-MX"/>
        </w:rPr>
        <w:t>, las</w:t>
      </w:r>
      <w:r w:rsidRPr="00895206">
        <w:rPr>
          <w:rFonts w:eastAsia="Times New Roman" w:cs="Arial"/>
          <w:bCs/>
          <w:szCs w:val="24"/>
          <w:lang w:eastAsia="es-MX"/>
        </w:rPr>
        <w:t xml:space="preserve"> sociedades no financieras contribuyeron con </w:t>
      </w:r>
      <w:r w:rsidR="00184A82" w:rsidRPr="00184A82">
        <w:rPr>
          <w:rFonts w:eastAsia="Times New Roman" w:cs="Arial"/>
          <w:bCs/>
          <w:szCs w:val="24"/>
          <w:lang w:eastAsia="es-MX"/>
        </w:rPr>
        <w:t>44.6</w:t>
      </w:r>
      <w:r w:rsidRPr="00895206">
        <w:rPr>
          <w:rFonts w:eastAsia="Times New Roman" w:cs="Arial"/>
          <w:bCs/>
          <w:szCs w:val="24"/>
          <w:lang w:eastAsia="es-MX"/>
        </w:rPr>
        <w:t xml:space="preserve"> %</w:t>
      </w:r>
      <w:r w:rsidR="000C6BA3">
        <w:rPr>
          <w:rFonts w:eastAsia="Times New Roman" w:cs="Arial"/>
          <w:bCs/>
          <w:szCs w:val="24"/>
          <w:lang w:eastAsia="es-MX"/>
        </w:rPr>
        <w:t xml:space="preserve"> </w:t>
      </w:r>
      <w:r w:rsidRPr="00895206">
        <w:rPr>
          <w:rFonts w:eastAsia="Times New Roman" w:cs="Arial"/>
          <w:bCs/>
          <w:szCs w:val="24"/>
          <w:lang w:eastAsia="es-MX"/>
        </w:rPr>
        <w:t>del Producto Interno Bruto (PIB)</w:t>
      </w:r>
      <w:r w:rsidR="00F71AD7">
        <w:rPr>
          <w:rFonts w:eastAsia="Times New Roman" w:cs="Arial"/>
          <w:bCs/>
          <w:szCs w:val="24"/>
          <w:lang w:eastAsia="es-MX"/>
        </w:rPr>
        <w:t xml:space="preserve">. Los hogares generaron </w:t>
      </w:r>
      <w:r w:rsidR="00184A82" w:rsidRPr="00184A82">
        <w:rPr>
          <w:rFonts w:eastAsia="Times New Roman" w:cs="Arial"/>
          <w:bCs/>
          <w:szCs w:val="24"/>
          <w:lang w:eastAsia="es-MX"/>
        </w:rPr>
        <w:t>34.4</w:t>
      </w:r>
      <w:r w:rsidR="00F71AD7">
        <w:rPr>
          <w:rFonts w:eastAsia="Times New Roman" w:cs="Arial"/>
          <w:bCs/>
          <w:szCs w:val="24"/>
          <w:lang w:eastAsia="es-MX"/>
        </w:rPr>
        <w:t xml:space="preserve"> por ciento. </w:t>
      </w:r>
    </w:p>
    <w:p w14:paraId="5A3F6D91" w14:textId="7DFDD1D4" w:rsidR="007D0EA5" w:rsidRPr="004E1FA4" w:rsidRDefault="007D0EA5" w:rsidP="00F71AD7">
      <w:pPr>
        <w:pStyle w:val="Prrafodelista"/>
        <w:widowControl/>
        <w:numPr>
          <w:ilvl w:val="0"/>
          <w:numId w:val="4"/>
        </w:numPr>
        <w:spacing w:after="0" w:line="240" w:lineRule="auto"/>
        <w:ind w:left="284" w:right="536" w:hanging="283"/>
        <w:jc w:val="both"/>
        <w:rPr>
          <w:rFonts w:eastAsia="Times New Roman" w:cs="Arial"/>
          <w:bCs/>
          <w:szCs w:val="24"/>
          <w:lang w:eastAsia="es-MX"/>
        </w:rPr>
      </w:pPr>
      <w:r w:rsidRPr="00895206">
        <w:rPr>
          <w:rFonts w:eastAsia="Times New Roman" w:cs="Arial"/>
          <w:bCs/>
          <w:szCs w:val="24"/>
          <w:lang w:eastAsia="es-MX"/>
        </w:rPr>
        <w:t>De la inve</w:t>
      </w:r>
      <w:r>
        <w:rPr>
          <w:rFonts w:eastAsia="Times New Roman" w:cs="Arial"/>
          <w:bCs/>
          <w:szCs w:val="24"/>
          <w:lang w:eastAsia="es-MX"/>
        </w:rPr>
        <w:t>rsión bruta fija del país, las s</w:t>
      </w:r>
      <w:r w:rsidRPr="00895206">
        <w:rPr>
          <w:rFonts w:eastAsia="Times New Roman" w:cs="Arial"/>
          <w:bCs/>
          <w:szCs w:val="24"/>
          <w:lang w:eastAsia="es-MX"/>
        </w:rPr>
        <w:t xml:space="preserve">ociedades no financieras </w:t>
      </w:r>
      <w:r>
        <w:rPr>
          <w:rFonts w:eastAsia="Times New Roman" w:cs="Arial"/>
          <w:bCs/>
          <w:szCs w:val="24"/>
          <w:lang w:eastAsia="es-MX"/>
        </w:rPr>
        <w:t>aportaron</w:t>
      </w:r>
      <w:r w:rsidRPr="00895206">
        <w:rPr>
          <w:rFonts w:eastAsia="Times New Roman" w:cs="Arial"/>
          <w:bCs/>
          <w:szCs w:val="24"/>
          <w:lang w:eastAsia="es-MX"/>
        </w:rPr>
        <w:t xml:space="preserve"> </w:t>
      </w:r>
      <w:r w:rsidR="00184A82" w:rsidRPr="00184A82">
        <w:rPr>
          <w:rFonts w:eastAsia="Times New Roman" w:cs="Arial"/>
          <w:bCs/>
          <w:szCs w:val="24"/>
          <w:lang w:eastAsia="es-MX"/>
        </w:rPr>
        <w:t>62.3</w:t>
      </w:r>
      <w:r>
        <w:rPr>
          <w:rFonts w:eastAsia="Times New Roman" w:cs="Arial"/>
          <w:bCs/>
          <w:szCs w:val="24"/>
          <w:lang w:eastAsia="es-MX"/>
        </w:rPr>
        <w:t xml:space="preserve"> </w:t>
      </w:r>
      <w:r w:rsidRPr="00895206">
        <w:rPr>
          <w:rFonts w:eastAsia="Times New Roman" w:cs="Arial"/>
          <w:bCs/>
          <w:szCs w:val="24"/>
          <w:lang w:eastAsia="es-MX"/>
        </w:rPr>
        <w:t>%, l</w:t>
      </w:r>
      <w:r>
        <w:rPr>
          <w:rFonts w:eastAsia="Times New Roman" w:cs="Arial"/>
          <w:bCs/>
          <w:szCs w:val="24"/>
          <w:lang w:eastAsia="es-MX"/>
        </w:rPr>
        <w:t>os h</w:t>
      </w:r>
      <w:r w:rsidRPr="00895206">
        <w:rPr>
          <w:rFonts w:eastAsia="Times New Roman" w:cs="Arial"/>
          <w:bCs/>
          <w:szCs w:val="24"/>
          <w:lang w:eastAsia="es-MX"/>
        </w:rPr>
        <w:t xml:space="preserve">ogares participaron con </w:t>
      </w:r>
      <w:r w:rsidR="00184A82" w:rsidRPr="00184A82">
        <w:rPr>
          <w:rFonts w:eastAsia="Times New Roman" w:cs="Arial"/>
          <w:bCs/>
          <w:szCs w:val="24"/>
          <w:lang w:eastAsia="es-MX"/>
        </w:rPr>
        <w:t>29.3</w:t>
      </w:r>
      <w:r>
        <w:rPr>
          <w:rFonts w:eastAsia="Times New Roman" w:cs="Arial"/>
          <w:bCs/>
          <w:szCs w:val="24"/>
          <w:lang w:eastAsia="es-MX"/>
        </w:rPr>
        <w:t xml:space="preserve"> % y </w:t>
      </w:r>
      <w:r w:rsidRPr="00895206">
        <w:rPr>
          <w:rFonts w:eastAsia="Times New Roman" w:cs="Arial"/>
          <w:bCs/>
          <w:szCs w:val="24"/>
          <w:lang w:eastAsia="es-MX"/>
        </w:rPr>
        <w:t xml:space="preserve">el </w:t>
      </w:r>
      <w:r>
        <w:rPr>
          <w:rFonts w:eastAsia="Times New Roman" w:cs="Arial"/>
          <w:bCs/>
          <w:szCs w:val="24"/>
          <w:lang w:eastAsia="es-MX"/>
        </w:rPr>
        <w:t>g</w:t>
      </w:r>
      <w:r w:rsidRPr="00895206">
        <w:rPr>
          <w:rFonts w:eastAsia="Times New Roman" w:cs="Arial"/>
          <w:bCs/>
          <w:szCs w:val="24"/>
          <w:lang w:eastAsia="es-MX"/>
        </w:rPr>
        <w:t>obierno general</w:t>
      </w:r>
      <w:r w:rsidR="00562869">
        <w:rPr>
          <w:rFonts w:eastAsia="Times New Roman" w:cs="Arial"/>
          <w:bCs/>
          <w:szCs w:val="24"/>
          <w:lang w:eastAsia="es-MX"/>
        </w:rPr>
        <w:t>,</w:t>
      </w:r>
      <w:r w:rsidRPr="00895206">
        <w:rPr>
          <w:rFonts w:eastAsia="Times New Roman" w:cs="Arial"/>
          <w:bCs/>
          <w:szCs w:val="24"/>
          <w:lang w:eastAsia="es-MX"/>
        </w:rPr>
        <w:t xml:space="preserve"> con </w:t>
      </w:r>
      <w:r w:rsidR="00184A82" w:rsidRPr="00184A82">
        <w:rPr>
          <w:rFonts w:eastAsia="Times New Roman" w:cs="Arial"/>
          <w:bCs/>
          <w:szCs w:val="24"/>
          <w:lang w:eastAsia="es-MX"/>
        </w:rPr>
        <w:t>7.0</w:t>
      </w:r>
      <w:r>
        <w:rPr>
          <w:rFonts w:eastAsia="Times New Roman" w:cs="Arial"/>
          <w:bCs/>
          <w:szCs w:val="24"/>
          <w:lang w:eastAsia="es-MX"/>
        </w:rPr>
        <w:t xml:space="preserve"> por ciento.</w:t>
      </w:r>
    </w:p>
    <w:p w14:paraId="6411CFB7" w14:textId="282E5D62" w:rsidR="006C55CE" w:rsidRPr="003D418A" w:rsidRDefault="00A6096F" w:rsidP="00F71AD7">
      <w:pPr>
        <w:pStyle w:val="Prrafodelista"/>
        <w:widowControl/>
        <w:numPr>
          <w:ilvl w:val="0"/>
          <w:numId w:val="4"/>
        </w:numPr>
        <w:spacing w:after="0" w:line="240" w:lineRule="auto"/>
        <w:ind w:left="284" w:right="536" w:hanging="283"/>
        <w:jc w:val="both"/>
        <w:rPr>
          <w:lang w:eastAsia="es-MX"/>
        </w:rPr>
      </w:pPr>
      <w:r>
        <w:rPr>
          <w:rFonts w:eastAsia="Times New Roman" w:cs="Arial"/>
          <w:bCs/>
          <w:szCs w:val="24"/>
          <w:lang w:eastAsia="es-MX"/>
        </w:rPr>
        <w:t xml:space="preserve">Al cierre de </w:t>
      </w:r>
      <w:r w:rsidR="00184A82">
        <w:t>2021</w:t>
      </w:r>
      <w:r w:rsidR="008465A2" w:rsidRPr="004E1FA4">
        <w:rPr>
          <w:rFonts w:eastAsia="Times New Roman" w:cs="Arial"/>
          <w:bCs/>
          <w:szCs w:val="24"/>
          <w:lang w:eastAsia="es-MX"/>
        </w:rPr>
        <w:t xml:space="preserve">, el valor nominal neto de los activos de la economía fue de </w:t>
      </w:r>
      <w:r w:rsidR="007608D5">
        <w:rPr>
          <w:rFonts w:eastAsia="Times New Roman" w:cs="Arial"/>
          <w:bCs/>
          <w:szCs w:val="24"/>
          <w:lang w:eastAsia="es-MX"/>
        </w:rPr>
        <w:t xml:space="preserve">       </w:t>
      </w:r>
      <w:r w:rsidR="00184A82" w:rsidRPr="00184A82">
        <w:rPr>
          <w:rFonts w:eastAsia="Times New Roman" w:cs="Arial"/>
          <w:bCs/>
          <w:szCs w:val="24"/>
          <w:lang w:eastAsia="es-MX"/>
        </w:rPr>
        <w:t>172</w:t>
      </w:r>
      <w:r w:rsidR="007608D5">
        <w:rPr>
          <w:rFonts w:eastAsia="Times New Roman" w:cs="Arial"/>
          <w:bCs/>
          <w:szCs w:val="24"/>
          <w:lang w:eastAsia="es-MX"/>
        </w:rPr>
        <w:t xml:space="preserve"> </w:t>
      </w:r>
      <w:r w:rsidR="00184A82" w:rsidRPr="00184A82">
        <w:rPr>
          <w:rFonts w:eastAsia="Times New Roman" w:cs="Arial"/>
          <w:bCs/>
          <w:szCs w:val="24"/>
          <w:lang w:eastAsia="es-MX"/>
        </w:rPr>
        <w:t>588</w:t>
      </w:r>
      <w:r w:rsidR="007608D5">
        <w:rPr>
          <w:rFonts w:eastAsia="Times New Roman" w:cs="Arial"/>
          <w:bCs/>
          <w:szCs w:val="24"/>
          <w:lang w:eastAsia="es-MX"/>
        </w:rPr>
        <w:t xml:space="preserve"> </w:t>
      </w:r>
      <w:r w:rsidR="00184A82" w:rsidRPr="00184A82">
        <w:rPr>
          <w:rFonts w:eastAsia="Times New Roman" w:cs="Arial"/>
          <w:bCs/>
          <w:szCs w:val="24"/>
          <w:lang w:eastAsia="es-MX"/>
        </w:rPr>
        <w:t>723</w:t>
      </w:r>
      <w:r w:rsidR="00586D64" w:rsidRPr="004E1FA4">
        <w:rPr>
          <w:rFonts w:eastAsia="Times New Roman" w:cs="Arial"/>
          <w:bCs/>
          <w:szCs w:val="24"/>
          <w:lang w:eastAsia="es-MX"/>
        </w:rPr>
        <w:t xml:space="preserve"> millones de pesos</w:t>
      </w:r>
      <w:r w:rsidR="00F71AD7">
        <w:rPr>
          <w:rFonts w:eastAsia="Times New Roman" w:cs="Arial"/>
          <w:bCs/>
          <w:szCs w:val="24"/>
          <w:lang w:eastAsia="es-MX"/>
        </w:rPr>
        <w:t>:</w:t>
      </w:r>
      <w:r w:rsidR="00586D64" w:rsidRPr="004E1FA4">
        <w:rPr>
          <w:rFonts w:eastAsia="Times New Roman" w:cs="Arial"/>
          <w:bCs/>
          <w:szCs w:val="24"/>
          <w:lang w:eastAsia="es-MX"/>
        </w:rPr>
        <w:t xml:space="preserve"> </w:t>
      </w:r>
      <w:r w:rsidR="00184A82" w:rsidRPr="00184A82">
        <w:rPr>
          <w:rFonts w:eastAsia="Times New Roman" w:cs="Arial"/>
          <w:bCs/>
          <w:szCs w:val="24"/>
          <w:lang w:eastAsia="es-MX"/>
        </w:rPr>
        <w:t>13.4</w:t>
      </w:r>
      <w:r w:rsidR="008465A2" w:rsidRPr="004E1FA4">
        <w:rPr>
          <w:rFonts w:eastAsia="Times New Roman" w:cs="Arial"/>
          <w:bCs/>
          <w:szCs w:val="24"/>
          <w:lang w:eastAsia="es-MX"/>
        </w:rPr>
        <w:t xml:space="preserve"> % más respecto al de inicio del año</w:t>
      </w:r>
      <w:r w:rsidR="004E1FA4">
        <w:rPr>
          <w:rFonts w:eastAsia="Times New Roman" w:cs="Arial"/>
          <w:bCs/>
          <w:szCs w:val="24"/>
          <w:lang w:eastAsia="es-MX"/>
        </w:rPr>
        <w:t>.</w:t>
      </w:r>
    </w:p>
    <w:p w14:paraId="42E27405" w14:textId="7FE90163" w:rsidR="003D418A" w:rsidRDefault="003D418A" w:rsidP="00AD162B">
      <w:pPr>
        <w:widowControl/>
        <w:spacing w:after="0" w:line="240" w:lineRule="auto"/>
        <w:ind w:left="-425" w:right="-28"/>
        <w:jc w:val="both"/>
        <w:rPr>
          <w:lang w:eastAsia="es-MX"/>
        </w:rPr>
      </w:pPr>
    </w:p>
    <w:p w14:paraId="28E736EA" w14:textId="77777777" w:rsidR="00734F3E" w:rsidRDefault="00734F3E" w:rsidP="00AD162B">
      <w:pPr>
        <w:widowControl/>
        <w:spacing w:after="0" w:line="240" w:lineRule="auto"/>
        <w:ind w:left="-425" w:right="-28"/>
        <w:jc w:val="both"/>
        <w:rPr>
          <w:lang w:eastAsia="es-MX"/>
        </w:rPr>
      </w:pPr>
    </w:p>
    <w:p w14:paraId="0101E8CE" w14:textId="3A8DED82" w:rsidR="001B71A1" w:rsidRDefault="001B71A1" w:rsidP="00AD162B">
      <w:pPr>
        <w:widowControl/>
        <w:spacing w:after="0" w:line="240" w:lineRule="auto"/>
        <w:ind w:left="-425" w:right="-28"/>
        <w:jc w:val="both"/>
        <w:rPr>
          <w:rFonts w:eastAsia="Times New Roman" w:cs="Arial"/>
          <w:bCs/>
          <w:szCs w:val="24"/>
          <w:lang w:eastAsia="es-MX"/>
        </w:rPr>
      </w:pPr>
      <w:r w:rsidRPr="00895206">
        <w:rPr>
          <w:rFonts w:eastAsia="Times New Roman" w:cs="Arial"/>
          <w:bCs/>
          <w:szCs w:val="24"/>
          <w:lang w:eastAsia="es-MX"/>
        </w:rPr>
        <w:t xml:space="preserve">El </w:t>
      </w:r>
      <w:r w:rsidR="00586D64">
        <w:rPr>
          <w:rFonts w:eastAsia="Times New Roman" w:cs="Arial"/>
          <w:bCs/>
          <w:szCs w:val="24"/>
          <w:lang w:eastAsia="es-MX"/>
        </w:rPr>
        <w:t>Instituto Nacional de Estadística y Geografía (</w:t>
      </w:r>
      <w:r w:rsidRPr="00895206">
        <w:rPr>
          <w:rFonts w:eastAsia="Times New Roman" w:cs="Arial"/>
          <w:bCs/>
          <w:szCs w:val="24"/>
          <w:lang w:eastAsia="es-MX"/>
        </w:rPr>
        <w:t>INEGI</w:t>
      </w:r>
      <w:r w:rsidR="00586D64">
        <w:rPr>
          <w:rFonts w:eastAsia="Times New Roman" w:cs="Arial"/>
          <w:bCs/>
          <w:szCs w:val="24"/>
          <w:lang w:eastAsia="es-MX"/>
        </w:rPr>
        <w:t>)</w:t>
      </w:r>
      <w:r w:rsidRPr="00895206">
        <w:rPr>
          <w:rFonts w:eastAsia="Times New Roman" w:cs="Arial"/>
          <w:bCs/>
          <w:szCs w:val="24"/>
          <w:lang w:eastAsia="es-MX"/>
        </w:rPr>
        <w:t xml:space="preserve"> presenta los resultados de las Cuentas por Sectores Institucionales</w:t>
      </w:r>
      <w:r w:rsidR="00586D64">
        <w:rPr>
          <w:rFonts w:eastAsia="Times New Roman" w:cs="Arial"/>
          <w:bCs/>
          <w:szCs w:val="24"/>
          <w:lang w:eastAsia="es-MX"/>
        </w:rPr>
        <w:t xml:space="preserve"> (CSI) </w:t>
      </w:r>
      <w:r w:rsidR="009B76AB" w:rsidRPr="009B76AB">
        <w:rPr>
          <w:rFonts w:eastAsia="Times New Roman" w:cs="Arial"/>
          <w:bCs/>
          <w:szCs w:val="24"/>
          <w:lang w:eastAsia="es-MX"/>
        </w:rPr>
        <w:t>2021</w:t>
      </w:r>
      <w:r w:rsidRPr="00895206">
        <w:rPr>
          <w:rFonts w:eastAsia="Times New Roman" w:cs="Arial"/>
          <w:bCs/>
          <w:szCs w:val="24"/>
          <w:lang w:eastAsia="es-MX"/>
        </w:rPr>
        <w:t xml:space="preserve">, versión </w:t>
      </w:r>
      <w:r w:rsidR="009B76AB" w:rsidRPr="009B76AB">
        <w:rPr>
          <w:rFonts w:eastAsia="Times New Roman" w:cs="Arial"/>
          <w:bCs/>
          <w:szCs w:val="24"/>
          <w:lang w:eastAsia="es-MX"/>
        </w:rPr>
        <w:t>preliminar</w:t>
      </w:r>
      <w:r w:rsidRPr="00895206">
        <w:rPr>
          <w:rFonts w:eastAsia="Times New Roman" w:cs="Arial"/>
          <w:bCs/>
          <w:szCs w:val="24"/>
          <w:lang w:eastAsia="es-MX"/>
        </w:rPr>
        <w:t>, año base 2013</w:t>
      </w:r>
      <w:r w:rsidR="007608D5">
        <w:rPr>
          <w:rFonts w:eastAsia="Times New Roman" w:cs="Arial"/>
          <w:bCs/>
          <w:szCs w:val="24"/>
          <w:lang w:eastAsia="es-MX"/>
        </w:rPr>
        <w:t>. Estas</w:t>
      </w:r>
      <w:r w:rsidR="006E3504">
        <w:rPr>
          <w:rFonts w:eastAsia="Times New Roman" w:cs="Arial"/>
          <w:bCs/>
          <w:szCs w:val="24"/>
          <w:lang w:eastAsia="es-MX"/>
        </w:rPr>
        <w:t xml:space="preserve"> </w:t>
      </w:r>
      <w:r w:rsidR="00F71AD7">
        <w:rPr>
          <w:rFonts w:eastAsia="Times New Roman" w:cs="Arial"/>
          <w:bCs/>
          <w:szCs w:val="24"/>
          <w:lang w:eastAsia="es-MX"/>
        </w:rPr>
        <w:t xml:space="preserve">informan </w:t>
      </w:r>
      <w:r w:rsidRPr="00895206">
        <w:rPr>
          <w:rFonts w:eastAsia="Times New Roman" w:cs="Arial"/>
          <w:bCs/>
          <w:szCs w:val="24"/>
          <w:lang w:eastAsia="es-MX"/>
        </w:rPr>
        <w:t>sobre las transacciones reales y financieras que realizan los distintos sectores</w:t>
      </w:r>
      <w:r w:rsidR="00734F3E" w:rsidRPr="00672543">
        <w:rPr>
          <w:rFonts w:eastAsia="Times New Roman"/>
          <w:vertAlign w:val="superscript"/>
          <w:lang w:eastAsia="es-MX"/>
        </w:rPr>
        <w:footnoteReference w:id="2"/>
      </w:r>
      <w:r w:rsidR="00734F3E">
        <w:rPr>
          <w:rFonts w:eastAsia="Times New Roman" w:cs="Arial"/>
          <w:bCs/>
          <w:szCs w:val="24"/>
          <w:lang w:eastAsia="es-MX"/>
        </w:rPr>
        <w:t xml:space="preserve"> </w:t>
      </w:r>
      <w:r w:rsidRPr="00895206">
        <w:rPr>
          <w:rFonts w:eastAsia="Times New Roman" w:cs="Arial"/>
          <w:bCs/>
          <w:szCs w:val="24"/>
          <w:lang w:eastAsia="es-MX"/>
        </w:rPr>
        <w:t>entre sí y con el resto del mundo, así como del balance de activos al inicio y al cierre del año.</w:t>
      </w:r>
    </w:p>
    <w:p w14:paraId="42EFCEFF" w14:textId="77777777" w:rsidR="003D418A" w:rsidRDefault="003D418A" w:rsidP="00AD162B">
      <w:pPr>
        <w:widowControl/>
        <w:spacing w:after="0" w:line="240" w:lineRule="auto"/>
        <w:ind w:left="-425" w:right="-28"/>
        <w:jc w:val="both"/>
        <w:rPr>
          <w:rFonts w:eastAsia="Calibri" w:cs="Arial"/>
          <w:b/>
          <w:smallCaps/>
          <w:szCs w:val="28"/>
        </w:rPr>
      </w:pPr>
    </w:p>
    <w:p w14:paraId="7994CDB9" w14:textId="571B0731" w:rsidR="00EF4E16" w:rsidRDefault="00EF4E16" w:rsidP="00AD162B">
      <w:pPr>
        <w:widowControl/>
        <w:spacing w:after="0" w:line="240" w:lineRule="auto"/>
        <w:ind w:left="-425" w:right="-28"/>
        <w:jc w:val="both"/>
        <w:rPr>
          <w:rFonts w:eastAsia="Times New Roman" w:cs="Arial"/>
          <w:bCs/>
          <w:szCs w:val="24"/>
          <w:lang w:eastAsia="es-MX"/>
        </w:rPr>
      </w:pPr>
      <w:r w:rsidRPr="00E174F6">
        <w:rPr>
          <w:rFonts w:eastAsia="Calibri" w:cs="Arial"/>
          <w:b/>
          <w:smallCaps/>
          <w:szCs w:val="28"/>
        </w:rPr>
        <w:t>Principales</w:t>
      </w:r>
      <w:r w:rsidRPr="00E174F6">
        <w:rPr>
          <w:rFonts w:eastAsia="Calibri" w:cs="Arial"/>
          <w:b/>
          <w:szCs w:val="28"/>
        </w:rPr>
        <w:t xml:space="preserve"> </w:t>
      </w:r>
      <w:r w:rsidRPr="00E174F6">
        <w:rPr>
          <w:rFonts w:eastAsia="Calibri" w:cs="Arial"/>
          <w:b/>
          <w:smallCaps/>
          <w:szCs w:val="28"/>
        </w:rPr>
        <w:t>resultados</w:t>
      </w:r>
    </w:p>
    <w:p w14:paraId="48FDA89E" w14:textId="77777777" w:rsidR="003D418A" w:rsidRDefault="003D418A" w:rsidP="00AD162B">
      <w:pPr>
        <w:widowControl/>
        <w:spacing w:after="0" w:line="240" w:lineRule="auto"/>
        <w:ind w:left="-425" w:right="-28"/>
        <w:jc w:val="both"/>
        <w:rPr>
          <w:rFonts w:eastAsia="Times New Roman" w:cs="Arial"/>
          <w:bCs/>
          <w:szCs w:val="24"/>
          <w:lang w:eastAsia="es-MX"/>
        </w:rPr>
      </w:pPr>
    </w:p>
    <w:p w14:paraId="414CE88C" w14:textId="40F3FF2B" w:rsidR="001B71A1" w:rsidRDefault="00EF4E16" w:rsidP="00AD162B">
      <w:pPr>
        <w:widowControl/>
        <w:spacing w:after="0" w:line="240" w:lineRule="auto"/>
        <w:ind w:left="-425" w:right="-28"/>
        <w:jc w:val="both"/>
        <w:rPr>
          <w:rFonts w:eastAsia="Times New Roman" w:cs="Arial"/>
          <w:bCs/>
          <w:szCs w:val="24"/>
          <w:lang w:eastAsia="es-MX"/>
        </w:rPr>
      </w:pPr>
      <w:r>
        <w:rPr>
          <w:rFonts w:eastAsia="Times New Roman" w:cs="Arial"/>
          <w:bCs/>
          <w:szCs w:val="24"/>
          <w:lang w:eastAsia="es-MX"/>
        </w:rPr>
        <w:t xml:space="preserve">De </w:t>
      </w:r>
      <w:r w:rsidR="009B76AB" w:rsidRPr="009B76AB">
        <w:rPr>
          <w:rFonts w:eastAsia="Times New Roman" w:cs="Arial"/>
          <w:bCs/>
          <w:szCs w:val="24"/>
          <w:lang w:eastAsia="es-MX"/>
        </w:rPr>
        <w:t>2018</w:t>
      </w:r>
      <w:r>
        <w:rPr>
          <w:rFonts w:eastAsia="Times New Roman" w:cs="Arial"/>
          <w:bCs/>
          <w:szCs w:val="24"/>
          <w:lang w:eastAsia="es-MX"/>
        </w:rPr>
        <w:t xml:space="preserve"> a</w:t>
      </w:r>
      <w:r w:rsidR="00C80446" w:rsidRPr="00895206">
        <w:rPr>
          <w:rFonts w:eastAsia="Times New Roman" w:cs="Arial"/>
          <w:bCs/>
          <w:szCs w:val="24"/>
          <w:lang w:eastAsia="es-MX"/>
        </w:rPr>
        <w:t xml:space="preserve"> </w:t>
      </w:r>
      <w:r w:rsidR="009B76AB" w:rsidRPr="009B76AB">
        <w:rPr>
          <w:rFonts w:eastAsia="Times New Roman" w:cs="Arial"/>
          <w:bCs/>
          <w:szCs w:val="24"/>
          <w:lang w:eastAsia="es-MX"/>
        </w:rPr>
        <w:t>2021</w:t>
      </w:r>
      <w:r>
        <w:rPr>
          <w:rFonts w:eastAsia="Times New Roman" w:cs="Arial"/>
          <w:bCs/>
          <w:szCs w:val="24"/>
          <w:lang w:eastAsia="es-MX"/>
        </w:rPr>
        <w:t xml:space="preserve">, </w:t>
      </w:r>
      <w:r w:rsidR="00586CB9">
        <w:rPr>
          <w:rFonts w:eastAsia="Times New Roman" w:cs="Arial"/>
          <w:bCs/>
          <w:szCs w:val="24"/>
          <w:lang w:eastAsia="es-MX"/>
        </w:rPr>
        <w:t>destacó</w:t>
      </w:r>
      <w:r w:rsidR="00762C04">
        <w:rPr>
          <w:rFonts w:eastAsia="Times New Roman" w:cs="Arial"/>
          <w:bCs/>
          <w:szCs w:val="24"/>
          <w:lang w:eastAsia="es-MX"/>
        </w:rPr>
        <w:t xml:space="preserve"> </w:t>
      </w:r>
      <w:r w:rsidR="007608D5">
        <w:rPr>
          <w:rFonts w:cs="Arial"/>
        </w:rPr>
        <w:t xml:space="preserve">la contribución </w:t>
      </w:r>
      <w:r w:rsidR="006E3504">
        <w:rPr>
          <w:rFonts w:cs="Arial"/>
        </w:rPr>
        <w:t xml:space="preserve">de </w:t>
      </w:r>
      <w:r w:rsidR="006E3504" w:rsidRPr="00AA2437">
        <w:rPr>
          <w:rFonts w:cs="Arial"/>
        </w:rPr>
        <w:t xml:space="preserve">las </w:t>
      </w:r>
      <w:r w:rsidR="006E3504">
        <w:rPr>
          <w:rFonts w:cs="Arial"/>
        </w:rPr>
        <w:t>s</w:t>
      </w:r>
      <w:r w:rsidR="006E3504" w:rsidRPr="00AA2437">
        <w:rPr>
          <w:rFonts w:cs="Arial"/>
        </w:rPr>
        <w:t xml:space="preserve">ociedades </w:t>
      </w:r>
      <w:r w:rsidR="006E3504">
        <w:rPr>
          <w:rFonts w:cs="Arial"/>
        </w:rPr>
        <w:t>n</w:t>
      </w:r>
      <w:r w:rsidR="006E3504" w:rsidRPr="00AA2437">
        <w:rPr>
          <w:rFonts w:cs="Arial"/>
        </w:rPr>
        <w:t>o financieras</w:t>
      </w:r>
      <w:r w:rsidR="006E3504">
        <w:rPr>
          <w:rFonts w:cs="Arial"/>
        </w:rPr>
        <w:t xml:space="preserve"> y</w:t>
      </w:r>
      <w:r w:rsidR="006E3504" w:rsidRPr="006E3504">
        <w:rPr>
          <w:rFonts w:cs="Arial"/>
        </w:rPr>
        <w:t xml:space="preserve"> </w:t>
      </w:r>
      <w:r w:rsidR="006E3504">
        <w:rPr>
          <w:rFonts w:cs="Arial"/>
        </w:rPr>
        <w:t xml:space="preserve">de </w:t>
      </w:r>
      <w:r w:rsidR="006E3504" w:rsidRPr="00AA2437">
        <w:rPr>
          <w:rFonts w:cs="Arial"/>
        </w:rPr>
        <w:t xml:space="preserve">los </w:t>
      </w:r>
      <w:r w:rsidR="006E3504">
        <w:rPr>
          <w:rFonts w:cs="Arial"/>
        </w:rPr>
        <w:t>h</w:t>
      </w:r>
      <w:r w:rsidR="006E3504" w:rsidRPr="00AA2437">
        <w:rPr>
          <w:rFonts w:cs="Arial"/>
        </w:rPr>
        <w:t>ogares</w:t>
      </w:r>
      <w:r w:rsidR="006E3504">
        <w:rPr>
          <w:rFonts w:cs="Arial"/>
        </w:rPr>
        <w:t xml:space="preserve"> </w:t>
      </w:r>
      <w:r w:rsidR="007608D5">
        <w:rPr>
          <w:rFonts w:cs="Arial"/>
        </w:rPr>
        <w:t>al P</w:t>
      </w:r>
      <w:r w:rsidR="006E3504">
        <w:rPr>
          <w:rFonts w:cs="Arial"/>
        </w:rPr>
        <w:t>roducto</w:t>
      </w:r>
      <w:r w:rsidR="007608D5">
        <w:rPr>
          <w:rFonts w:cs="Arial"/>
        </w:rPr>
        <w:t xml:space="preserve"> Interno Bruto </w:t>
      </w:r>
      <w:r w:rsidR="006E3504">
        <w:rPr>
          <w:rFonts w:cs="Arial"/>
        </w:rPr>
        <w:t>(PIB)</w:t>
      </w:r>
      <w:r w:rsidR="00F71AD7">
        <w:rPr>
          <w:rFonts w:cs="Arial"/>
        </w:rPr>
        <w:t xml:space="preserve">. La </w:t>
      </w:r>
      <w:r w:rsidR="00B17C15">
        <w:rPr>
          <w:rFonts w:cs="Arial"/>
        </w:rPr>
        <w:t>contribuci</w:t>
      </w:r>
      <w:r w:rsidR="00F973B8" w:rsidRPr="00AA2437">
        <w:rPr>
          <w:rFonts w:cs="Arial"/>
        </w:rPr>
        <w:t>ón promedio</w:t>
      </w:r>
      <w:r w:rsidR="00F71AD7">
        <w:rPr>
          <w:rFonts w:cs="Arial"/>
        </w:rPr>
        <w:t xml:space="preserve"> fue</w:t>
      </w:r>
      <w:r w:rsidR="00F973B8" w:rsidRPr="00AA2437">
        <w:rPr>
          <w:rFonts w:cs="Arial"/>
        </w:rPr>
        <w:t xml:space="preserve"> de</w:t>
      </w:r>
      <w:r w:rsidR="00762C04">
        <w:rPr>
          <w:rFonts w:eastAsia="Times New Roman" w:cs="Arial"/>
          <w:bCs/>
          <w:szCs w:val="24"/>
          <w:lang w:eastAsia="es-MX"/>
        </w:rPr>
        <w:t xml:space="preserve"> </w:t>
      </w:r>
      <w:r w:rsidR="009B76AB" w:rsidRPr="009B76AB">
        <w:rPr>
          <w:rFonts w:eastAsia="Times New Roman" w:cs="Arial"/>
          <w:bCs/>
          <w:szCs w:val="24"/>
          <w:lang w:eastAsia="es-MX"/>
        </w:rPr>
        <w:t>46.4</w:t>
      </w:r>
      <w:r w:rsidR="00F973B8">
        <w:rPr>
          <w:rFonts w:eastAsia="Times New Roman" w:cs="Arial"/>
          <w:bCs/>
          <w:szCs w:val="24"/>
          <w:lang w:eastAsia="es-MX"/>
        </w:rPr>
        <w:t xml:space="preserve"> </w:t>
      </w:r>
      <w:r w:rsidR="006E3504">
        <w:rPr>
          <w:rFonts w:eastAsia="Times New Roman" w:cs="Arial"/>
          <w:bCs/>
          <w:szCs w:val="24"/>
          <w:lang w:eastAsia="es-MX"/>
        </w:rPr>
        <w:t xml:space="preserve">y </w:t>
      </w:r>
      <w:r w:rsidR="009B76AB" w:rsidRPr="009B76AB">
        <w:rPr>
          <w:rFonts w:eastAsia="Times New Roman" w:cs="Arial"/>
          <w:bCs/>
          <w:szCs w:val="24"/>
          <w:lang w:eastAsia="es-MX"/>
        </w:rPr>
        <w:t>33.6</w:t>
      </w:r>
      <w:r w:rsidR="00F973B8">
        <w:rPr>
          <w:rFonts w:eastAsia="Times New Roman" w:cs="Arial"/>
          <w:bCs/>
          <w:szCs w:val="24"/>
          <w:lang w:eastAsia="es-MX"/>
        </w:rPr>
        <w:t xml:space="preserve"> </w:t>
      </w:r>
      <w:r w:rsidR="006E3504">
        <w:rPr>
          <w:rFonts w:eastAsia="Times New Roman" w:cs="Arial"/>
          <w:bCs/>
          <w:szCs w:val="24"/>
          <w:lang w:eastAsia="es-MX"/>
        </w:rPr>
        <w:t>%, respectivamente</w:t>
      </w:r>
      <w:r w:rsidR="00762C04">
        <w:rPr>
          <w:rFonts w:eastAsia="Times New Roman" w:cs="Arial"/>
          <w:bCs/>
          <w:szCs w:val="24"/>
          <w:lang w:eastAsia="es-MX"/>
        </w:rPr>
        <w:t xml:space="preserve">, mientras que el gobierno general participó, en promedio, con </w:t>
      </w:r>
      <w:r w:rsidR="00762C04">
        <w:t>8.7</w:t>
      </w:r>
      <w:r w:rsidR="00762C04">
        <w:rPr>
          <w:rFonts w:eastAsia="Times New Roman" w:cs="Arial"/>
          <w:bCs/>
          <w:szCs w:val="24"/>
          <w:lang w:eastAsia="es-MX"/>
        </w:rPr>
        <w:t xml:space="preserve"> por ciento.</w:t>
      </w:r>
    </w:p>
    <w:p w14:paraId="108F21F4" w14:textId="5E165ABE" w:rsidR="006E3504" w:rsidRDefault="006E3504" w:rsidP="00AD162B">
      <w:pPr>
        <w:widowControl/>
        <w:spacing w:after="0" w:line="240" w:lineRule="auto"/>
        <w:ind w:left="-425" w:right="-28"/>
        <w:jc w:val="both"/>
        <w:rPr>
          <w:rFonts w:eastAsia="Times New Roman" w:cs="Arial"/>
          <w:bCs/>
          <w:szCs w:val="24"/>
          <w:lang w:eastAsia="es-MX"/>
        </w:rPr>
      </w:pPr>
    </w:p>
    <w:p w14:paraId="20D44A0A" w14:textId="7F9D5E92" w:rsidR="006E3504" w:rsidRPr="00572BC8" w:rsidRDefault="00F71AD7" w:rsidP="006E3504">
      <w:pPr>
        <w:widowControl/>
        <w:spacing w:after="0" w:line="240" w:lineRule="auto"/>
        <w:ind w:left="-425" w:right="-28"/>
        <w:jc w:val="both"/>
        <w:rPr>
          <w:rFonts w:eastAsia="Times New Roman" w:cs="Arial"/>
          <w:bCs/>
          <w:szCs w:val="24"/>
          <w:lang w:eastAsia="es-MX"/>
        </w:rPr>
      </w:pPr>
      <w:r>
        <w:rPr>
          <w:rFonts w:eastAsia="Times New Roman" w:cs="Arial"/>
          <w:bCs/>
          <w:szCs w:val="24"/>
          <w:lang w:eastAsia="es-MX"/>
        </w:rPr>
        <w:t xml:space="preserve">En cuanto al </w:t>
      </w:r>
      <w:r w:rsidR="006E3504" w:rsidRPr="00954FA9">
        <w:rPr>
          <w:rFonts w:eastAsia="Times New Roman" w:cs="Arial"/>
          <w:bCs/>
          <w:szCs w:val="24"/>
          <w:lang w:eastAsia="es-MX"/>
        </w:rPr>
        <w:t>Ingreso Disponible Bruto</w:t>
      </w:r>
      <w:r w:rsidR="00C93FAD">
        <w:rPr>
          <w:rStyle w:val="Refdenotaalpie"/>
          <w:rFonts w:eastAsia="Times New Roman" w:cs="Arial"/>
          <w:bCs/>
          <w:szCs w:val="24"/>
          <w:lang w:eastAsia="es-MX"/>
        </w:rPr>
        <w:footnoteReference w:id="3"/>
      </w:r>
      <w:r w:rsidR="006E3504" w:rsidRPr="00954FA9">
        <w:rPr>
          <w:rFonts w:eastAsia="Times New Roman" w:cs="Arial"/>
          <w:bCs/>
          <w:szCs w:val="24"/>
          <w:lang w:eastAsia="es-MX"/>
        </w:rPr>
        <w:t xml:space="preserve"> para consumir o ahorrar</w:t>
      </w:r>
      <w:r w:rsidR="006E3504">
        <w:rPr>
          <w:rFonts w:eastAsia="Times New Roman" w:cs="Arial"/>
          <w:bCs/>
          <w:szCs w:val="24"/>
          <w:lang w:eastAsia="es-MX"/>
        </w:rPr>
        <w:t>,</w:t>
      </w:r>
      <w:r w:rsidR="006E3504" w:rsidRPr="00954FA9">
        <w:rPr>
          <w:rFonts w:eastAsia="Times New Roman" w:cs="Arial"/>
          <w:bCs/>
          <w:szCs w:val="24"/>
          <w:lang w:eastAsia="es-MX"/>
        </w:rPr>
        <w:t xml:space="preserve"> el sector de los hogares concentró</w:t>
      </w:r>
      <w:r w:rsidR="006E3504">
        <w:rPr>
          <w:rFonts w:eastAsia="Times New Roman" w:cs="Arial"/>
          <w:bCs/>
          <w:szCs w:val="24"/>
          <w:lang w:eastAsia="es-MX"/>
        </w:rPr>
        <w:t xml:space="preserve"> </w:t>
      </w:r>
      <w:r w:rsidR="006E3504">
        <w:t>76.6</w:t>
      </w:r>
      <w:r>
        <w:t xml:space="preserve"> por ciento. El </w:t>
      </w:r>
      <w:r w:rsidR="006E3504" w:rsidRPr="00572BC8">
        <w:rPr>
          <w:rFonts w:eastAsia="Times New Roman" w:cs="Arial"/>
          <w:bCs/>
          <w:szCs w:val="24"/>
          <w:lang w:eastAsia="es-MX"/>
        </w:rPr>
        <w:t>gobierno</w:t>
      </w:r>
      <w:r w:rsidR="006E3504">
        <w:rPr>
          <w:rFonts w:eastAsia="Times New Roman" w:cs="Arial"/>
          <w:bCs/>
          <w:szCs w:val="24"/>
          <w:lang w:eastAsia="es-MX"/>
        </w:rPr>
        <w:t xml:space="preserve"> general</w:t>
      </w:r>
      <w:r w:rsidR="006E3504" w:rsidRPr="00572BC8">
        <w:rPr>
          <w:rFonts w:eastAsia="Times New Roman" w:cs="Arial"/>
          <w:bCs/>
          <w:szCs w:val="24"/>
          <w:lang w:eastAsia="es-MX"/>
        </w:rPr>
        <w:t xml:space="preserve"> alcanzó</w:t>
      </w:r>
      <w:r>
        <w:rPr>
          <w:rFonts w:eastAsia="Times New Roman" w:cs="Arial"/>
          <w:bCs/>
          <w:szCs w:val="24"/>
          <w:lang w:eastAsia="es-MX"/>
        </w:rPr>
        <w:t>,</w:t>
      </w:r>
      <w:r w:rsidR="006E3504" w:rsidRPr="00572BC8">
        <w:rPr>
          <w:rFonts w:eastAsia="Times New Roman" w:cs="Arial"/>
          <w:bCs/>
          <w:szCs w:val="24"/>
          <w:lang w:eastAsia="es-MX"/>
        </w:rPr>
        <w:t xml:space="preserve"> en promedio</w:t>
      </w:r>
      <w:r>
        <w:rPr>
          <w:rFonts w:eastAsia="Times New Roman" w:cs="Arial"/>
          <w:bCs/>
          <w:szCs w:val="24"/>
          <w:lang w:eastAsia="es-MX"/>
        </w:rPr>
        <w:t>,</w:t>
      </w:r>
      <w:r w:rsidR="006E3504">
        <w:rPr>
          <w:rFonts w:eastAsia="Times New Roman" w:cs="Arial"/>
          <w:bCs/>
          <w:szCs w:val="24"/>
          <w:lang w:eastAsia="es-MX"/>
        </w:rPr>
        <w:t xml:space="preserve"> </w:t>
      </w:r>
      <w:r w:rsidR="006E3504">
        <w:t>8.0</w:t>
      </w:r>
      <w:r w:rsidR="006E3504">
        <w:rPr>
          <w:rFonts w:eastAsia="Times New Roman" w:cs="Arial"/>
          <w:bCs/>
          <w:szCs w:val="24"/>
          <w:lang w:eastAsia="es-MX"/>
        </w:rPr>
        <w:t xml:space="preserve"> %</w:t>
      </w:r>
      <w:r>
        <w:rPr>
          <w:rFonts w:eastAsia="Times New Roman" w:cs="Arial"/>
          <w:bCs/>
          <w:szCs w:val="24"/>
          <w:lang w:eastAsia="es-MX"/>
        </w:rPr>
        <w:t>;</w:t>
      </w:r>
      <w:r w:rsidR="006E3504">
        <w:rPr>
          <w:rFonts w:eastAsia="Times New Roman" w:cs="Arial"/>
          <w:bCs/>
          <w:szCs w:val="24"/>
          <w:lang w:eastAsia="es-MX"/>
        </w:rPr>
        <w:t xml:space="preserve"> </w:t>
      </w:r>
      <w:r w:rsidR="006E3504" w:rsidRPr="00954FA9">
        <w:rPr>
          <w:rFonts w:eastAsia="Times New Roman" w:cs="Arial"/>
          <w:bCs/>
          <w:szCs w:val="24"/>
          <w:lang w:eastAsia="es-MX"/>
        </w:rPr>
        <w:t>las sociedades no financieras</w:t>
      </w:r>
      <w:r>
        <w:rPr>
          <w:rFonts w:eastAsia="Times New Roman" w:cs="Arial"/>
          <w:bCs/>
          <w:szCs w:val="24"/>
          <w:lang w:eastAsia="es-MX"/>
        </w:rPr>
        <w:t>,</w:t>
      </w:r>
      <w:r w:rsidR="006E3504">
        <w:rPr>
          <w:rFonts w:eastAsia="Times New Roman" w:cs="Arial"/>
          <w:bCs/>
          <w:szCs w:val="24"/>
          <w:lang w:eastAsia="es-MX"/>
        </w:rPr>
        <w:t xml:space="preserve"> </w:t>
      </w:r>
      <w:r w:rsidR="006E3504">
        <w:t>6.6</w:t>
      </w:r>
      <w:r w:rsidR="006E3504">
        <w:rPr>
          <w:rFonts w:eastAsia="Times New Roman" w:cs="Arial"/>
          <w:bCs/>
          <w:szCs w:val="24"/>
          <w:lang w:eastAsia="es-MX"/>
        </w:rPr>
        <w:t xml:space="preserve"> % </w:t>
      </w:r>
      <w:r w:rsidR="006E3504" w:rsidRPr="00954FA9">
        <w:rPr>
          <w:rFonts w:eastAsia="Times New Roman" w:cs="Arial"/>
          <w:bCs/>
          <w:szCs w:val="24"/>
          <w:lang w:eastAsia="es-MX"/>
        </w:rPr>
        <w:t>y</w:t>
      </w:r>
      <w:r w:rsidR="006E3504">
        <w:rPr>
          <w:rFonts w:eastAsia="Times New Roman" w:cs="Arial"/>
          <w:bCs/>
          <w:szCs w:val="24"/>
          <w:lang w:eastAsia="es-MX"/>
        </w:rPr>
        <w:t xml:space="preserve"> las sociedades financieras</w:t>
      </w:r>
      <w:r w:rsidR="00562869">
        <w:rPr>
          <w:rFonts w:eastAsia="Times New Roman" w:cs="Arial"/>
          <w:bCs/>
          <w:szCs w:val="24"/>
          <w:lang w:eastAsia="es-MX"/>
        </w:rPr>
        <w:t>,</w:t>
      </w:r>
      <w:r w:rsidR="006E3504">
        <w:rPr>
          <w:rFonts w:eastAsia="Times New Roman" w:cs="Arial"/>
          <w:bCs/>
          <w:szCs w:val="24"/>
          <w:lang w:eastAsia="es-MX"/>
        </w:rPr>
        <w:t xml:space="preserve"> </w:t>
      </w:r>
      <w:r w:rsidR="006E3504">
        <w:t>7.5</w:t>
      </w:r>
      <w:r w:rsidR="006E3504" w:rsidRPr="00954FA9">
        <w:rPr>
          <w:rFonts w:eastAsia="Times New Roman" w:cs="Arial"/>
          <w:bCs/>
          <w:szCs w:val="24"/>
          <w:lang w:eastAsia="es-MX"/>
        </w:rPr>
        <w:t xml:space="preserve"> por ciento</w:t>
      </w:r>
      <w:r w:rsidR="006E3504">
        <w:rPr>
          <w:rFonts w:eastAsia="Times New Roman" w:cs="Arial"/>
          <w:bCs/>
          <w:szCs w:val="24"/>
          <w:lang w:eastAsia="es-MX"/>
        </w:rPr>
        <w:t>.</w:t>
      </w:r>
    </w:p>
    <w:p w14:paraId="0B291689" w14:textId="77777777" w:rsidR="006E3504" w:rsidRDefault="006E3504" w:rsidP="006E3504">
      <w:pPr>
        <w:widowControl/>
        <w:spacing w:after="0" w:line="240" w:lineRule="auto"/>
        <w:ind w:left="-425" w:right="-28"/>
        <w:jc w:val="both"/>
        <w:rPr>
          <w:rFonts w:eastAsia="Times New Roman" w:cs="Arial"/>
          <w:bCs/>
          <w:szCs w:val="24"/>
          <w:lang w:eastAsia="es-MX"/>
        </w:rPr>
      </w:pPr>
    </w:p>
    <w:p w14:paraId="42524263" w14:textId="758BF32A" w:rsidR="006E3504" w:rsidRPr="00895206" w:rsidRDefault="006E3504" w:rsidP="006E3504">
      <w:pPr>
        <w:widowControl/>
        <w:spacing w:after="0" w:line="240" w:lineRule="auto"/>
        <w:ind w:left="-425" w:right="-28"/>
        <w:jc w:val="both"/>
        <w:rPr>
          <w:rFonts w:eastAsia="Times New Roman" w:cs="Arial"/>
          <w:bCs/>
          <w:szCs w:val="24"/>
          <w:lang w:eastAsia="es-MX"/>
        </w:rPr>
      </w:pPr>
      <w:r>
        <w:rPr>
          <w:rFonts w:eastAsia="Times New Roman" w:cs="Arial"/>
          <w:bCs/>
          <w:szCs w:val="24"/>
          <w:lang w:eastAsia="es-MX"/>
        </w:rPr>
        <w:t xml:space="preserve">Entre </w:t>
      </w:r>
      <w:r>
        <w:t>2018</w:t>
      </w:r>
      <w:r>
        <w:rPr>
          <w:rFonts w:eastAsia="Times New Roman" w:cs="Arial"/>
          <w:bCs/>
          <w:szCs w:val="24"/>
          <w:lang w:eastAsia="es-MX"/>
        </w:rPr>
        <w:t xml:space="preserve"> y </w:t>
      </w:r>
      <w:r>
        <w:t>2021</w:t>
      </w:r>
      <w:r w:rsidRPr="00572BC8">
        <w:rPr>
          <w:rFonts w:eastAsia="Times New Roman" w:cs="Arial"/>
          <w:bCs/>
          <w:szCs w:val="24"/>
          <w:lang w:eastAsia="es-MX"/>
        </w:rPr>
        <w:t>, el Ingreso Disponib</w:t>
      </w:r>
      <w:r>
        <w:rPr>
          <w:rFonts w:eastAsia="Times New Roman" w:cs="Arial"/>
          <w:bCs/>
          <w:szCs w:val="24"/>
          <w:lang w:eastAsia="es-MX"/>
        </w:rPr>
        <w:t>le</w:t>
      </w:r>
      <w:r w:rsidR="00734F3E">
        <w:rPr>
          <w:rFonts w:eastAsia="Times New Roman" w:cs="Arial"/>
          <w:bCs/>
          <w:szCs w:val="24"/>
          <w:lang w:eastAsia="es-MX"/>
        </w:rPr>
        <w:t xml:space="preserve"> Bruto</w:t>
      </w:r>
      <w:r>
        <w:rPr>
          <w:rFonts w:eastAsia="Times New Roman" w:cs="Arial"/>
          <w:bCs/>
          <w:szCs w:val="24"/>
          <w:lang w:eastAsia="es-MX"/>
        </w:rPr>
        <w:t xml:space="preserve"> en los hogares incrementó </w:t>
      </w:r>
      <w:r>
        <w:t>5.6</w:t>
      </w:r>
      <w:r w:rsidRPr="00572BC8">
        <w:rPr>
          <w:rFonts w:eastAsia="Times New Roman" w:cs="Arial"/>
          <w:bCs/>
          <w:szCs w:val="24"/>
          <w:lang w:eastAsia="es-MX"/>
        </w:rPr>
        <w:t xml:space="preserve"> puntos porcentuale</w:t>
      </w:r>
      <w:r>
        <w:rPr>
          <w:rFonts w:eastAsia="Times New Roman" w:cs="Arial"/>
          <w:bCs/>
          <w:szCs w:val="24"/>
          <w:lang w:eastAsia="es-MX"/>
        </w:rPr>
        <w:t xml:space="preserve">s, en el gobierno disminuyó </w:t>
      </w:r>
      <w:r>
        <w:t>1.2</w:t>
      </w:r>
      <w:r w:rsidRPr="00572BC8">
        <w:rPr>
          <w:rFonts w:eastAsia="Times New Roman" w:cs="Arial"/>
          <w:bCs/>
          <w:szCs w:val="24"/>
          <w:lang w:eastAsia="es-MX"/>
        </w:rPr>
        <w:t xml:space="preserve"> puntos, en las sociedad</w:t>
      </w:r>
      <w:r>
        <w:rPr>
          <w:rFonts w:eastAsia="Times New Roman" w:cs="Arial"/>
          <w:bCs/>
          <w:szCs w:val="24"/>
          <w:lang w:eastAsia="es-MX"/>
        </w:rPr>
        <w:t xml:space="preserve">es no financieras retrocedió </w:t>
      </w:r>
      <w:r>
        <w:t>6.7</w:t>
      </w:r>
      <w:r w:rsidRPr="00572BC8">
        <w:rPr>
          <w:rFonts w:eastAsia="Times New Roman" w:cs="Arial"/>
          <w:bCs/>
          <w:szCs w:val="24"/>
          <w:lang w:eastAsia="es-MX"/>
        </w:rPr>
        <w:t xml:space="preserve"> puntos y en las so</w:t>
      </w:r>
      <w:r>
        <w:rPr>
          <w:rFonts w:eastAsia="Times New Roman" w:cs="Arial"/>
          <w:bCs/>
          <w:szCs w:val="24"/>
          <w:lang w:eastAsia="es-MX"/>
        </w:rPr>
        <w:t xml:space="preserve">ciedades financieras aumentó </w:t>
      </w:r>
      <w:r>
        <w:t>4.1</w:t>
      </w:r>
      <w:r w:rsidRPr="00572BC8">
        <w:rPr>
          <w:rFonts w:eastAsia="Times New Roman" w:cs="Arial"/>
          <w:bCs/>
          <w:szCs w:val="24"/>
          <w:lang w:eastAsia="es-MX"/>
        </w:rPr>
        <w:t xml:space="preserve"> puntos porcentuales.</w:t>
      </w:r>
    </w:p>
    <w:p w14:paraId="68C9A7C7" w14:textId="77777777" w:rsidR="006E3504" w:rsidRDefault="006E3504" w:rsidP="006E3504">
      <w:pPr>
        <w:widowControl/>
        <w:spacing w:after="0" w:line="240" w:lineRule="auto"/>
        <w:ind w:left="-425" w:right="-28"/>
        <w:jc w:val="both"/>
        <w:rPr>
          <w:rFonts w:eastAsia="Times New Roman" w:cs="Arial"/>
          <w:bCs/>
          <w:szCs w:val="24"/>
          <w:lang w:eastAsia="es-MX"/>
        </w:rPr>
      </w:pPr>
    </w:p>
    <w:p w14:paraId="13CCCA92" w14:textId="6B90F6A0" w:rsidR="006E3504" w:rsidRDefault="006E3504" w:rsidP="00C93FAD">
      <w:pPr>
        <w:widowControl/>
        <w:spacing w:after="0" w:line="240" w:lineRule="auto"/>
        <w:ind w:left="-425" w:right="-28"/>
        <w:jc w:val="both"/>
        <w:rPr>
          <w:rFonts w:eastAsia="Times New Roman" w:cs="Arial"/>
          <w:bCs/>
          <w:szCs w:val="24"/>
          <w:lang w:eastAsia="es-MX"/>
        </w:rPr>
      </w:pPr>
      <w:r w:rsidRPr="004F7F9C">
        <w:rPr>
          <w:rFonts w:eastAsia="Times New Roman" w:cs="Arial"/>
          <w:bCs/>
          <w:szCs w:val="24"/>
          <w:lang w:eastAsia="es-MX"/>
        </w:rPr>
        <w:t>La Formación Bruta de Capital Fijo</w:t>
      </w:r>
      <w:r w:rsidR="002A1694">
        <w:rPr>
          <w:rStyle w:val="Refdenotaalpie"/>
          <w:rFonts w:eastAsia="Times New Roman" w:cs="Arial"/>
          <w:bCs/>
          <w:szCs w:val="24"/>
          <w:lang w:eastAsia="es-MX"/>
        </w:rPr>
        <w:footnoteReference w:id="4"/>
      </w:r>
      <w:r w:rsidRPr="004F7F9C">
        <w:rPr>
          <w:rFonts w:eastAsia="Times New Roman" w:cs="Arial"/>
          <w:bCs/>
          <w:szCs w:val="24"/>
          <w:lang w:eastAsia="es-MX"/>
        </w:rPr>
        <w:t xml:space="preserve"> más representativa en este periodo fue la del sector de las sociedades no financieras</w:t>
      </w:r>
      <w:r w:rsidR="00F71AD7">
        <w:rPr>
          <w:rFonts w:eastAsia="Times New Roman" w:cs="Arial"/>
          <w:bCs/>
          <w:szCs w:val="24"/>
          <w:lang w:eastAsia="es-MX"/>
        </w:rPr>
        <w:t xml:space="preserve">: su </w:t>
      </w:r>
      <w:r>
        <w:rPr>
          <w:rFonts w:eastAsia="Times New Roman" w:cs="Arial"/>
          <w:bCs/>
          <w:szCs w:val="24"/>
          <w:lang w:eastAsia="es-MX"/>
        </w:rPr>
        <w:t>participación promedio</w:t>
      </w:r>
      <w:r w:rsidR="00F71AD7">
        <w:rPr>
          <w:rFonts w:eastAsia="Times New Roman" w:cs="Arial"/>
          <w:bCs/>
          <w:szCs w:val="24"/>
          <w:lang w:eastAsia="es-MX"/>
        </w:rPr>
        <w:t>, en términos de</w:t>
      </w:r>
      <w:r w:rsidR="00762C04">
        <w:rPr>
          <w:rFonts w:eastAsia="Times New Roman" w:cs="Arial"/>
          <w:bCs/>
          <w:szCs w:val="24"/>
          <w:lang w:eastAsia="es-MX"/>
        </w:rPr>
        <w:t>l</w:t>
      </w:r>
      <w:r w:rsidR="00F71AD7">
        <w:rPr>
          <w:rFonts w:eastAsia="Times New Roman" w:cs="Arial"/>
          <w:bCs/>
          <w:szCs w:val="24"/>
          <w:lang w:eastAsia="es-MX"/>
        </w:rPr>
        <w:t xml:space="preserve"> PIB,</w:t>
      </w:r>
      <w:r>
        <w:rPr>
          <w:rFonts w:eastAsia="Times New Roman" w:cs="Arial"/>
          <w:bCs/>
          <w:szCs w:val="24"/>
          <w:lang w:eastAsia="es-MX"/>
        </w:rPr>
        <w:t xml:space="preserve"> </w:t>
      </w:r>
      <w:r w:rsidR="00F71AD7">
        <w:rPr>
          <w:rFonts w:eastAsia="Times New Roman" w:cs="Arial"/>
          <w:bCs/>
          <w:szCs w:val="24"/>
          <w:lang w:eastAsia="es-MX"/>
        </w:rPr>
        <w:t xml:space="preserve">fue </w:t>
      </w:r>
      <w:r>
        <w:rPr>
          <w:rFonts w:eastAsia="Times New Roman" w:cs="Arial"/>
          <w:bCs/>
          <w:szCs w:val="24"/>
          <w:lang w:eastAsia="es-MX"/>
        </w:rPr>
        <w:t xml:space="preserve">de </w:t>
      </w:r>
      <w:r w:rsidRPr="009B76AB">
        <w:rPr>
          <w:rFonts w:eastAsia="Times New Roman" w:cs="Arial"/>
          <w:bCs/>
          <w:szCs w:val="24"/>
          <w:lang w:eastAsia="es-MX"/>
        </w:rPr>
        <w:t>12.4</w:t>
      </w:r>
      <w:r w:rsidR="00F71AD7">
        <w:rPr>
          <w:rFonts w:eastAsia="Times New Roman" w:cs="Arial"/>
          <w:bCs/>
          <w:szCs w:val="24"/>
          <w:lang w:eastAsia="es-MX"/>
        </w:rPr>
        <w:t xml:space="preserve"> por ciento. </w:t>
      </w:r>
      <w:r w:rsidR="00734F3E">
        <w:rPr>
          <w:rFonts w:eastAsia="Times New Roman" w:cs="Arial"/>
          <w:bCs/>
          <w:szCs w:val="24"/>
          <w:lang w:eastAsia="es-MX"/>
        </w:rPr>
        <w:t>L</w:t>
      </w:r>
      <w:r w:rsidRPr="004F7F9C">
        <w:rPr>
          <w:rFonts w:eastAsia="Times New Roman" w:cs="Arial"/>
          <w:bCs/>
          <w:szCs w:val="24"/>
          <w:lang w:eastAsia="es-MX"/>
        </w:rPr>
        <w:t xml:space="preserve">os gastos </w:t>
      </w:r>
      <w:r w:rsidR="00F71AD7">
        <w:rPr>
          <w:rFonts w:eastAsia="Times New Roman" w:cs="Arial"/>
          <w:bCs/>
          <w:szCs w:val="24"/>
          <w:lang w:eastAsia="es-MX"/>
        </w:rPr>
        <w:t xml:space="preserve">que realizaron </w:t>
      </w:r>
      <w:r w:rsidRPr="004F7F9C">
        <w:rPr>
          <w:rFonts w:eastAsia="Times New Roman" w:cs="Arial"/>
          <w:bCs/>
          <w:szCs w:val="24"/>
          <w:lang w:eastAsia="es-MX"/>
        </w:rPr>
        <w:t>las sociedades no financie</w:t>
      </w:r>
      <w:r>
        <w:rPr>
          <w:rFonts w:eastAsia="Times New Roman" w:cs="Arial"/>
          <w:bCs/>
          <w:szCs w:val="24"/>
          <w:lang w:eastAsia="es-MX"/>
        </w:rPr>
        <w:t xml:space="preserve">ras disminuyeron </w:t>
      </w:r>
      <w:r>
        <w:t>0.9</w:t>
      </w:r>
      <w:r w:rsidRPr="004F7F9C">
        <w:rPr>
          <w:rFonts w:eastAsia="Times New Roman" w:cs="Arial"/>
          <w:bCs/>
          <w:szCs w:val="24"/>
          <w:lang w:eastAsia="es-MX"/>
        </w:rPr>
        <w:t xml:space="preserve"> puntos porcentuales</w:t>
      </w:r>
      <w:r w:rsidR="00F71AD7">
        <w:rPr>
          <w:rFonts w:eastAsia="Times New Roman" w:cs="Arial"/>
          <w:bCs/>
          <w:szCs w:val="24"/>
          <w:lang w:eastAsia="es-MX"/>
        </w:rPr>
        <w:t>.</w:t>
      </w:r>
    </w:p>
    <w:p w14:paraId="32840726" w14:textId="77777777" w:rsidR="006E3504" w:rsidRDefault="006E3504" w:rsidP="006E3504">
      <w:pPr>
        <w:widowControl/>
        <w:spacing w:after="0" w:line="240" w:lineRule="auto"/>
        <w:ind w:left="-425" w:right="-28"/>
        <w:jc w:val="both"/>
        <w:rPr>
          <w:rFonts w:eastAsia="Times New Roman" w:cs="Arial"/>
          <w:bCs/>
          <w:szCs w:val="24"/>
          <w:lang w:eastAsia="es-MX"/>
        </w:rPr>
      </w:pPr>
    </w:p>
    <w:p w14:paraId="0E131AEB" w14:textId="59C5A891" w:rsidR="006E3504" w:rsidRDefault="006E3504" w:rsidP="006E3504">
      <w:pPr>
        <w:widowControl/>
        <w:spacing w:after="0" w:line="240" w:lineRule="auto"/>
        <w:ind w:left="-425" w:right="-28"/>
        <w:jc w:val="both"/>
        <w:rPr>
          <w:rFonts w:eastAsia="Times New Roman" w:cs="Arial"/>
          <w:bCs/>
          <w:szCs w:val="24"/>
          <w:lang w:eastAsia="es-MX"/>
        </w:rPr>
      </w:pPr>
      <w:r w:rsidRPr="007863D3">
        <w:rPr>
          <w:rFonts w:eastAsia="Times New Roman" w:cs="Arial"/>
          <w:bCs/>
          <w:szCs w:val="24"/>
          <w:lang w:eastAsia="es-MX"/>
        </w:rPr>
        <w:t>En cuanto a la conformación del Ahorro Bruto Interno</w:t>
      </w:r>
      <w:r w:rsidR="00B16DEB">
        <w:rPr>
          <w:rFonts w:eastAsia="Times New Roman" w:cs="Arial"/>
          <w:bCs/>
          <w:szCs w:val="24"/>
          <w:lang w:eastAsia="es-MX"/>
        </w:rPr>
        <w:t>,</w:t>
      </w:r>
      <w:r w:rsidR="00762C04">
        <w:rPr>
          <w:rStyle w:val="Refdenotaalpie"/>
          <w:rFonts w:eastAsia="Times New Roman" w:cs="Arial"/>
          <w:bCs/>
          <w:szCs w:val="24"/>
          <w:lang w:eastAsia="es-MX"/>
        </w:rPr>
        <w:footnoteReference w:id="5"/>
      </w:r>
      <w:r w:rsidRPr="007863D3">
        <w:rPr>
          <w:rFonts w:eastAsia="Times New Roman" w:cs="Arial"/>
          <w:bCs/>
          <w:szCs w:val="24"/>
          <w:lang w:eastAsia="es-MX"/>
        </w:rPr>
        <w:t xml:space="preserve"> los hogares, en su calidad de prestamist</w:t>
      </w:r>
      <w:r>
        <w:rPr>
          <w:rFonts w:eastAsia="Times New Roman" w:cs="Arial"/>
          <w:bCs/>
          <w:szCs w:val="24"/>
          <w:lang w:eastAsia="es-MX"/>
        </w:rPr>
        <w:t>as netos, contribuyeron</w:t>
      </w:r>
      <w:r w:rsidR="00F71AD7">
        <w:rPr>
          <w:rFonts w:eastAsia="Times New Roman" w:cs="Arial"/>
          <w:bCs/>
          <w:szCs w:val="24"/>
          <w:lang w:eastAsia="es-MX"/>
        </w:rPr>
        <w:t>,</w:t>
      </w:r>
      <w:r w:rsidR="00B17C15">
        <w:rPr>
          <w:rFonts w:eastAsia="Times New Roman" w:cs="Arial"/>
          <w:bCs/>
          <w:szCs w:val="24"/>
          <w:lang w:eastAsia="es-MX"/>
        </w:rPr>
        <w:t xml:space="preserve"> en promedio</w:t>
      </w:r>
      <w:r w:rsidR="00F71AD7">
        <w:rPr>
          <w:rFonts w:eastAsia="Times New Roman" w:cs="Arial"/>
          <w:bCs/>
          <w:szCs w:val="24"/>
          <w:lang w:eastAsia="es-MX"/>
        </w:rPr>
        <w:t>,</w:t>
      </w:r>
      <w:r>
        <w:rPr>
          <w:rFonts w:eastAsia="Times New Roman" w:cs="Arial"/>
          <w:bCs/>
          <w:szCs w:val="24"/>
          <w:lang w:eastAsia="es-MX"/>
        </w:rPr>
        <w:t xml:space="preserve"> con </w:t>
      </w:r>
      <w:r>
        <w:t>16.1</w:t>
      </w:r>
      <w:r w:rsidRPr="007863D3">
        <w:rPr>
          <w:rFonts w:eastAsia="Times New Roman" w:cs="Arial"/>
          <w:bCs/>
          <w:szCs w:val="24"/>
          <w:lang w:eastAsia="es-MX"/>
        </w:rPr>
        <w:t xml:space="preserve"> % </w:t>
      </w:r>
      <w:r>
        <w:rPr>
          <w:rFonts w:eastAsia="Times New Roman" w:cs="Arial"/>
          <w:bCs/>
          <w:szCs w:val="24"/>
          <w:lang w:eastAsia="es-MX"/>
        </w:rPr>
        <w:t xml:space="preserve">del PIB. Entre </w:t>
      </w:r>
      <w:r>
        <w:t>2018</w:t>
      </w:r>
      <w:r>
        <w:rPr>
          <w:rFonts w:eastAsia="Times New Roman" w:cs="Arial"/>
          <w:bCs/>
          <w:szCs w:val="24"/>
          <w:lang w:eastAsia="es-MX"/>
        </w:rPr>
        <w:t xml:space="preserve"> y </w:t>
      </w:r>
      <w:r>
        <w:t>2021</w:t>
      </w:r>
      <w:r>
        <w:rPr>
          <w:rFonts w:eastAsia="Times New Roman" w:cs="Arial"/>
          <w:bCs/>
          <w:szCs w:val="24"/>
          <w:lang w:eastAsia="es-MX"/>
        </w:rPr>
        <w:t xml:space="preserve">, </w:t>
      </w:r>
      <w:r w:rsidR="00B17C15">
        <w:rPr>
          <w:rFonts w:eastAsia="Times New Roman" w:cs="Arial"/>
          <w:bCs/>
          <w:szCs w:val="24"/>
          <w:lang w:eastAsia="es-MX"/>
        </w:rPr>
        <w:t xml:space="preserve">el Ahorro Bruto Interno de los hogares </w:t>
      </w:r>
      <w:r>
        <w:rPr>
          <w:rFonts w:eastAsia="Times New Roman" w:cs="Arial"/>
          <w:bCs/>
          <w:szCs w:val="24"/>
          <w:lang w:eastAsia="es-MX"/>
        </w:rPr>
        <w:t xml:space="preserve">registró un incremento de </w:t>
      </w:r>
      <w:r>
        <w:t>6.5</w:t>
      </w:r>
      <w:r w:rsidRPr="007863D3">
        <w:rPr>
          <w:rFonts w:eastAsia="Times New Roman" w:cs="Arial"/>
          <w:bCs/>
          <w:szCs w:val="24"/>
          <w:lang w:eastAsia="es-MX"/>
        </w:rPr>
        <w:t xml:space="preserve"> puntos porcentuales.</w:t>
      </w:r>
    </w:p>
    <w:p w14:paraId="0DFC623F" w14:textId="77777777" w:rsidR="006E3504" w:rsidRDefault="006E3504" w:rsidP="006E3504">
      <w:pPr>
        <w:widowControl/>
        <w:spacing w:after="0" w:line="240" w:lineRule="auto"/>
        <w:ind w:left="-425" w:right="-28"/>
        <w:jc w:val="both"/>
        <w:rPr>
          <w:rFonts w:cs="Arial"/>
          <w:szCs w:val="24"/>
        </w:rPr>
      </w:pPr>
    </w:p>
    <w:p w14:paraId="2651B932" w14:textId="317BA223" w:rsidR="006E3504" w:rsidRPr="00D74986" w:rsidRDefault="006E3504" w:rsidP="006E3504">
      <w:pPr>
        <w:widowControl/>
        <w:spacing w:after="0" w:line="240" w:lineRule="auto"/>
        <w:ind w:left="-425" w:right="-28"/>
        <w:jc w:val="both"/>
        <w:rPr>
          <w:rFonts w:eastAsia="Times New Roman" w:cs="Arial"/>
          <w:bCs/>
          <w:szCs w:val="24"/>
          <w:lang w:eastAsia="es-MX"/>
        </w:rPr>
      </w:pPr>
      <w:r w:rsidRPr="00D74986">
        <w:rPr>
          <w:rFonts w:cs="Arial"/>
          <w:szCs w:val="24"/>
        </w:rPr>
        <w:t>El agregado del Ahorro Bruto Total representa la fuente de financiamiento del gasto en Formación Bruta de Capital</w:t>
      </w:r>
      <w:r w:rsidR="00B17C15">
        <w:rPr>
          <w:rFonts w:cs="Arial"/>
          <w:szCs w:val="24"/>
        </w:rPr>
        <w:t>. Con estos indicadores se</w:t>
      </w:r>
      <w:r w:rsidRPr="00D74986">
        <w:rPr>
          <w:rFonts w:cs="Arial"/>
          <w:szCs w:val="24"/>
        </w:rPr>
        <w:t xml:space="preserve"> c</w:t>
      </w:r>
      <w:r w:rsidR="00B17C15">
        <w:rPr>
          <w:rFonts w:cs="Arial"/>
          <w:szCs w:val="24"/>
        </w:rPr>
        <w:t>ierra la</w:t>
      </w:r>
      <w:r w:rsidRPr="00D74986">
        <w:rPr>
          <w:rFonts w:cs="Arial"/>
          <w:szCs w:val="24"/>
        </w:rPr>
        <w:t xml:space="preserve"> brecha entre recursos y gastos de inversión.</w:t>
      </w:r>
    </w:p>
    <w:p w14:paraId="1AA40158" w14:textId="77777777" w:rsidR="006E3504" w:rsidRDefault="006E3504" w:rsidP="00AD162B">
      <w:pPr>
        <w:widowControl/>
        <w:spacing w:after="0" w:line="240" w:lineRule="auto"/>
        <w:ind w:left="-425" w:right="-28"/>
        <w:jc w:val="both"/>
        <w:rPr>
          <w:rFonts w:eastAsia="Times New Roman" w:cs="Arial"/>
          <w:bCs/>
          <w:szCs w:val="24"/>
          <w:lang w:eastAsia="es-MX"/>
        </w:rPr>
      </w:pPr>
    </w:p>
    <w:p w14:paraId="319C92DA" w14:textId="71B6C8B4" w:rsidR="00F973B8" w:rsidRDefault="00F973B8" w:rsidP="00AD162B">
      <w:pPr>
        <w:widowControl/>
        <w:spacing w:after="0" w:line="240" w:lineRule="auto"/>
        <w:ind w:left="-425" w:right="-28"/>
        <w:jc w:val="center"/>
        <w:rPr>
          <w:rFonts w:eastAsia="Arial" w:cs="Arial"/>
          <w:spacing w:val="-2"/>
          <w:sz w:val="20"/>
          <w:szCs w:val="20"/>
        </w:rPr>
      </w:pPr>
      <w:r w:rsidRPr="00F973B8">
        <w:rPr>
          <w:rFonts w:eastAsia="Arial" w:cs="Arial"/>
          <w:spacing w:val="-2"/>
          <w:sz w:val="20"/>
          <w:szCs w:val="20"/>
        </w:rPr>
        <w:t>Cuadro 1</w:t>
      </w:r>
    </w:p>
    <w:p w14:paraId="7C06BB27" w14:textId="2EDD18BF" w:rsidR="00F973B8" w:rsidRPr="00F973B8" w:rsidRDefault="00F973B8" w:rsidP="00AD162B">
      <w:pPr>
        <w:widowControl/>
        <w:spacing w:after="0" w:line="240" w:lineRule="auto"/>
        <w:ind w:left="-425" w:right="-28"/>
        <w:jc w:val="center"/>
        <w:rPr>
          <w:rFonts w:eastAsia="Arial" w:cs="Arial"/>
          <w:b/>
          <w:smallCaps/>
          <w:spacing w:val="-2"/>
          <w:sz w:val="22"/>
        </w:rPr>
      </w:pPr>
      <w:r>
        <w:rPr>
          <w:rFonts w:eastAsia="Arial" w:cs="Arial"/>
          <w:b/>
          <w:smallCaps/>
          <w:spacing w:val="-2"/>
          <w:sz w:val="22"/>
        </w:rPr>
        <w:t>Evolución de algunos agregados macroeconómicos p</w:t>
      </w:r>
      <w:r w:rsidRPr="00F973B8">
        <w:rPr>
          <w:rFonts w:eastAsia="Arial" w:cs="Arial"/>
          <w:b/>
          <w:smallCaps/>
          <w:spacing w:val="-2"/>
          <w:sz w:val="22"/>
        </w:rPr>
        <w:t xml:space="preserve">or </w:t>
      </w:r>
      <w:r w:rsidR="007608D5">
        <w:rPr>
          <w:rFonts w:eastAsia="Arial" w:cs="Arial"/>
          <w:b/>
          <w:smallCaps/>
          <w:spacing w:val="-2"/>
          <w:sz w:val="22"/>
        </w:rPr>
        <w:t>s</w:t>
      </w:r>
      <w:r w:rsidRPr="00F973B8">
        <w:rPr>
          <w:rFonts w:eastAsia="Arial" w:cs="Arial"/>
          <w:b/>
          <w:smallCaps/>
          <w:spacing w:val="-2"/>
          <w:sz w:val="22"/>
        </w:rPr>
        <w:t xml:space="preserve">ector </w:t>
      </w:r>
      <w:r w:rsidR="007608D5">
        <w:rPr>
          <w:rFonts w:eastAsia="Arial" w:cs="Arial"/>
          <w:b/>
          <w:smallCaps/>
          <w:spacing w:val="-2"/>
          <w:sz w:val="22"/>
        </w:rPr>
        <w:t>i</w:t>
      </w:r>
      <w:r w:rsidRPr="00F973B8">
        <w:rPr>
          <w:rFonts w:eastAsia="Arial" w:cs="Arial"/>
          <w:b/>
          <w:smallCaps/>
          <w:spacing w:val="-2"/>
          <w:sz w:val="22"/>
        </w:rPr>
        <w:t>nstitucional</w:t>
      </w:r>
    </w:p>
    <w:p w14:paraId="5728462C" w14:textId="509AAAAB" w:rsidR="00F973B8" w:rsidRDefault="00F973B8" w:rsidP="00AD162B">
      <w:pPr>
        <w:widowControl/>
        <w:spacing w:after="0" w:line="240" w:lineRule="auto"/>
        <w:ind w:left="-425" w:right="-28"/>
        <w:jc w:val="center"/>
        <w:rPr>
          <w:rFonts w:eastAsia="Arial" w:cs="Arial"/>
          <w:spacing w:val="-2"/>
          <w:sz w:val="18"/>
          <w:szCs w:val="18"/>
        </w:rPr>
      </w:pPr>
      <w:r w:rsidRPr="00F973B8">
        <w:rPr>
          <w:rFonts w:eastAsia="Arial" w:cs="Arial"/>
          <w:spacing w:val="-2"/>
          <w:sz w:val="18"/>
          <w:szCs w:val="18"/>
        </w:rPr>
        <w:t>(Valores a precios corrientes y participación porcentual respecto al PIB)</w:t>
      </w:r>
    </w:p>
    <w:p w14:paraId="58923AD6" w14:textId="39B06CBF" w:rsidR="003D418A" w:rsidRPr="00F973B8" w:rsidRDefault="00D7221F" w:rsidP="00AD162B">
      <w:pPr>
        <w:widowControl/>
        <w:spacing w:after="0" w:line="240" w:lineRule="auto"/>
        <w:ind w:left="-425" w:right="-28"/>
        <w:jc w:val="center"/>
        <w:rPr>
          <w:rFonts w:eastAsia="Times New Roman" w:cs="Arial"/>
          <w:bCs/>
          <w:sz w:val="18"/>
          <w:szCs w:val="18"/>
          <w:lang w:eastAsia="es-MX"/>
        </w:rPr>
      </w:pPr>
      <w:r w:rsidRPr="00D7221F">
        <w:rPr>
          <w:noProof/>
          <w:lang w:eastAsia="es-MX"/>
        </w:rPr>
        <w:drawing>
          <wp:inline distT="0" distB="0" distL="0" distR="0" wp14:anchorId="593DA50D" wp14:editId="22CCE9D8">
            <wp:extent cx="6196965" cy="42957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1239" cy="4305670"/>
                    </a:xfrm>
                    <a:prstGeom prst="rect">
                      <a:avLst/>
                    </a:prstGeom>
                    <a:noFill/>
                    <a:ln>
                      <a:noFill/>
                    </a:ln>
                  </pic:spPr>
                </pic:pic>
              </a:graphicData>
            </a:graphic>
          </wp:inline>
        </w:drawing>
      </w:r>
    </w:p>
    <w:p w14:paraId="41192675" w14:textId="27ABE4C0" w:rsidR="00F973B8" w:rsidRPr="00F973B8" w:rsidRDefault="001C2C9B" w:rsidP="00CD7FA6">
      <w:pPr>
        <w:widowControl/>
        <w:spacing w:after="0" w:line="240" w:lineRule="auto"/>
        <w:ind w:left="142" w:right="-28" w:hanging="426"/>
        <w:jc w:val="both"/>
        <w:rPr>
          <w:rFonts w:eastAsia="Times New Roman" w:cs="Arial"/>
          <w:bCs/>
          <w:sz w:val="16"/>
          <w:szCs w:val="16"/>
          <w:lang w:eastAsia="es-MX"/>
        </w:rPr>
      </w:pPr>
      <w:r w:rsidRPr="000C6BA3">
        <w:rPr>
          <w:rFonts w:eastAsia="Times New Roman" w:cs="Arial"/>
          <w:bCs/>
          <w:sz w:val="16"/>
          <w:szCs w:val="16"/>
          <w:vertAlign w:val="superscript"/>
          <w:lang w:eastAsia="es-MX"/>
        </w:rPr>
        <w:t>1/</w:t>
      </w:r>
      <w:r>
        <w:rPr>
          <w:rFonts w:eastAsia="Times New Roman" w:cs="Arial"/>
          <w:bCs/>
          <w:sz w:val="16"/>
          <w:szCs w:val="16"/>
          <w:lang w:eastAsia="es-MX"/>
        </w:rPr>
        <w:t xml:space="preserve"> </w:t>
      </w:r>
      <w:r w:rsidR="00C038B3" w:rsidRPr="00F973B8">
        <w:rPr>
          <w:rFonts w:eastAsia="Times New Roman" w:cs="Arial"/>
          <w:bCs/>
          <w:sz w:val="16"/>
          <w:szCs w:val="16"/>
          <w:lang w:eastAsia="es-MX"/>
        </w:rPr>
        <w:t>La suma de las participaciones sectoriales no coincide</w:t>
      </w:r>
      <w:r w:rsidR="00F973B8" w:rsidRPr="00F973B8">
        <w:rPr>
          <w:rFonts w:eastAsia="Times New Roman" w:cs="Arial"/>
          <w:bCs/>
          <w:sz w:val="16"/>
          <w:szCs w:val="16"/>
          <w:lang w:eastAsia="es-MX"/>
        </w:rPr>
        <w:t xml:space="preserve"> con el total debido a que no se incluyen los impuestos netos de subsidios.</w:t>
      </w:r>
    </w:p>
    <w:p w14:paraId="01F03BDD" w14:textId="4C15AB04" w:rsidR="00586CB9" w:rsidRDefault="00F973B8" w:rsidP="00CD7FA6">
      <w:pPr>
        <w:widowControl/>
        <w:spacing w:after="0" w:line="240" w:lineRule="auto"/>
        <w:ind w:left="142" w:right="-28" w:hanging="426"/>
        <w:jc w:val="both"/>
        <w:rPr>
          <w:rFonts w:eastAsia="Times New Roman" w:cs="Arial"/>
          <w:bCs/>
          <w:sz w:val="16"/>
          <w:szCs w:val="16"/>
          <w:lang w:eastAsia="es-MX"/>
        </w:rPr>
      </w:pPr>
      <w:r w:rsidRPr="00F973B8">
        <w:rPr>
          <w:rFonts w:eastAsia="Times New Roman" w:cs="Arial"/>
          <w:bCs/>
          <w:sz w:val="16"/>
          <w:szCs w:val="16"/>
          <w:lang w:eastAsia="es-MX"/>
        </w:rPr>
        <w:t xml:space="preserve">Nota: La diferencia entre el valor del </w:t>
      </w:r>
      <w:r w:rsidR="001C2C9B">
        <w:rPr>
          <w:rFonts w:eastAsia="Times New Roman" w:cs="Arial"/>
          <w:bCs/>
          <w:sz w:val="16"/>
          <w:szCs w:val="16"/>
          <w:lang w:eastAsia="es-MX"/>
        </w:rPr>
        <w:t>a</w:t>
      </w:r>
      <w:r w:rsidRPr="00F973B8">
        <w:rPr>
          <w:rFonts w:eastAsia="Times New Roman" w:cs="Arial"/>
          <w:bCs/>
          <w:sz w:val="16"/>
          <w:szCs w:val="16"/>
          <w:lang w:eastAsia="es-MX"/>
        </w:rPr>
        <w:t xml:space="preserve">horro </w:t>
      </w:r>
      <w:r w:rsidR="003C407E">
        <w:rPr>
          <w:rFonts w:eastAsia="Times New Roman" w:cs="Arial"/>
          <w:bCs/>
          <w:sz w:val="16"/>
          <w:szCs w:val="16"/>
          <w:lang w:eastAsia="es-MX"/>
        </w:rPr>
        <w:t>b</w:t>
      </w:r>
      <w:r w:rsidRPr="00F973B8">
        <w:rPr>
          <w:rFonts w:eastAsia="Times New Roman" w:cs="Arial"/>
          <w:bCs/>
          <w:sz w:val="16"/>
          <w:szCs w:val="16"/>
          <w:lang w:eastAsia="es-MX"/>
        </w:rPr>
        <w:t xml:space="preserve">ruto </w:t>
      </w:r>
      <w:r w:rsidR="003C407E">
        <w:rPr>
          <w:rFonts w:eastAsia="Times New Roman" w:cs="Arial"/>
          <w:bCs/>
          <w:sz w:val="16"/>
          <w:szCs w:val="16"/>
          <w:lang w:eastAsia="es-MX"/>
        </w:rPr>
        <w:t>t</w:t>
      </w:r>
      <w:r w:rsidRPr="00F973B8">
        <w:rPr>
          <w:rFonts w:eastAsia="Times New Roman" w:cs="Arial"/>
          <w:bCs/>
          <w:sz w:val="16"/>
          <w:szCs w:val="16"/>
          <w:lang w:eastAsia="es-MX"/>
        </w:rPr>
        <w:t xml:space="preserve">otal y la </w:t>
      </w:r>
      <w:r w:rsidR="003C407E">
        <w:rPr>
          <w:rFonts w:eastAsia="Times New Roman" w:cs="Arial"/>
          <w:bCs/>
          <w:sz w:val="16"/>
          <w:szCs w:val="16"/>
          <w:lang w:eastAsia="es-MX"/>
        </w:rPr>
        <w:t>f</w:t>
      </w:r>
      <w:r w:rsidRPr="00F973B8">
        <w:rPr>
          <w:rFonts w:eastAsia="Times New Roman" w:cs="Arial"/>
          <w:bCs/>
          <w:sz w:val="16"/>
          <w:szCs w:val="16"/>
          <w:lang w:eastAsia="es-MX"/>
        </w:rPr>
        <w:t xml:space="preserve">ormación </w:t>
      </w:r>
      <w:r w:rsidR="003C407E">
        <w:rPr>
          <w:rFonts w:eastAsia="Times New Roman" w:cs="Arial"/>
          <w:bCs/>
          <w:sz w:val="16"/>
          <w:szCs w:val="16"/>
          <w:lang w:eastAsia="es-MX"/>
        </w:rPr>
        <w:t>b</w:t>
      </w:r>
      <w:r w:rsidRPr="00F973B8">
        <w:rPr>
          <w:rFonts w:eastAsia="Times New Roman" w:cs="Arial"/>
          <w:bCs/>
          <w:sz w:val="16"/>
          <w:szCs w:val="16"/>
          <w:lang w:eastAsia="es-MX"/>
        </w:rPr>
        <w:t xml:space="preserve">ruta de </w:t>
      </w:r>
      <w:r w:rsidR="003C407E">
        <w:rPr>
          <w:rFonts w:eastAsia="Times New Roman" w:cs="Arial"/>
          <w:bCs/>
          <w:sz w:val="16"/>
          <w:szCs w:val="16"/>
          <w:lang w:eastAsia="es-MX"/>
        </w:rPr>
        <w:t>c</w:t>
      </w:r>
      <w:r w:rsidRPr="00F973B8">
        <w:rPr>
          <w:rFonts w:eastAsia="Times New Roman" w:cs="Arial"/>
          <w:bCs/>
          <w:sz w:val="16"/>
          <w:szCs w:val="16"/>
          <w:lang w:eastAsia="es-MX"/>
        </w:rPr>
        <w:t xml:space="preserve">apital </w:t>
      </w:r>
      <w:r w:rsidR="003C407E">
        <w:rPr>
          <w:rFonts w:eastAsia="Times New Roman" w:cs="Arial"/>
          <w:bCs/>
          <w:sz w:val="16"/>
          <w:szCs w:val="16"/>
          <w:lang w:eastAsia="es-MX"/>
        </w:rPr>
        <w:t>f</w:t>
      </w:r>
      <w:r w:rsidRPr="00F973B8">
        <w:rPr>
          <w:rFonts w:eastAsia="Times New Roman" w:cs="Arial"/>
          <w:bCs/>
          <w:sz w:val="16"/>
          <w:szCs w:val="16"/>
          <w:lang w:eastAsia="es-MX"/>
        </w:rPr>
        <w:t xml:space="preserve">ijo se explica por la discrepancia estadística, </w:t>
      </w:r>
    </w:p>
    <w:p w14:paraId="224BA861" w14:textId="00D6C6FF" w:rsidR="001B71A1" w:rsidRPr="00895206" w:rsidRDefault="00586CB9" w:rsidP="00CD7FA6">
      <w:pPr>
        <w:widowControl/>
        <w:spacing w:after="0" w:line="240" w:lineRule="auto"/>
        <w:ind w:left="142" w:right="-28" w:hanging="426"/>
        <w:jc w:val="both"/>
        <w:rPr>
          <w:rFonts w:eastAsia="Times New Roman" w:cs="Arial"/>
          <w:bCs/>
          <w:szCs w:val="24"/>
          <w:lang w:eastAsia="es-MX"/>
        </w:rPr>
      </w:pPr>
      <w:r>
        <w:rPr>
          <w:rFonts w:eastAsia="Times New Roman" w:cs="Arial"/>
          <w:bCs/>
          <w:sz w:val="16"/>
          <w:szCs w:val="16"/>
          <w:lang w:eastAsia="es-MX"/>
        </w:rPr>
        <w:t xml:space="preserve">          </w:t>
      </w:r>
      <w:r w:rsidR="00F973B8" w:rsidRPr="00F973B8">
        <w:rPr>
          <w:rFonts w:eastAsia="Times New Roman" w:cs="Arial"/>
          <w:bCs/>
          <w:sz w:val="16"/>
          <w:szCs w:val="16"/>
          <w:lang w:eastAsia="es-MX"/>
        </w:rPr>
        <w:t>la variación de existencias y otros gastos en activos no financieros.</w:t>
      </w:r>
    </w:p>
    <w:p w14:paraId="42AA06D0" w14:textId="77777777" w:rsidR="003D418A" w:rsidRDefault="003D418A" w:rsidP="00AD162B">
      <w:pPr>
        <w:widowControl/>
        <w:spacing w:after="0" w:line="240" w:lineRule="auto"/>
        <w:ind w:left="-425" w:right="-28"/>
        <w:jc w:val="both"/>
        <w:rPr>
          <w:rFonts w:eastAsia="Times New Roman" w:cs="Arial"/>
          <w:bCs/>
          <w:szCs w:val="24"/>
          <w:lang w:eastAsia="es-MX"/>
        </w:rPr>
      </w:pPr>
    </w:p>
    <w:p w14:paraId="0F87CBD2" w14:textId="77777777" w:rsidR="000C6BA3" w:rsidRDefault="000C6BA3" w:rsidP="00B95009">
      <w:pPr>
        <w:widowControl/>
        <w:spacing w:after="0" w:line="240" w:lineRule="auto"/>
        <w:ind w:left="-425" w:right="-28"/>
        <w:jc w:val="both"/>
        <w:rPr>
          <w:rFonts w:eastAsia="Times New Roman" w:cs="Arial"/>
          <w:bCs/>
          <w:szCs w:val="24"/>
          <w:lang w:eastAsia="es-MX"/>
        </w:rPr>
      </w:pPr>
    </w:p>
    <w:p w14:paraId="047C8ECC" w14:textId="4916ECD0" w:rsidR="001B71A1" w:rsidRPr="00B95009" w:rsidRDefault="007863D3" w:rsidP="00B95009">
      <w:pPr>
        <w:widowControl/>
        <w:spacing w:after="0" w:line="240" w:lineRule="auto"/>
        <w:ind w:left="-425" w:right="-28"/>
        <w:jc w:val="both"/>
        <w:rPr>
          <w:rFonts w:eastAsia="Times New Roman" w:cs="Arial"/>
          <w:bCs/>
          <w:szCs w:val="24"/>
          <w:lang w:eastAsia="es-MX"/>
        </w:rPr>
      </w:pPr>
      <w:r>
        <w:rPr>
          <w:rFonts w:eastAsia="Times New Roman" w:cs="Arial"/>
          <w:bCs/>
          <w:szCs w:val="24"/>
          <w:lang w:eastAsia="es-MX"/>
        </w:rPr>
        <w:t xml:space="preserve">En </w:t>
      </w:r>
      <w:r w:rsidR="009B76AB">
        <w:t>2021</w:t>
      </w:r>
      <w:r w:rsidRPr="007863D3">
        <w:rPr>
          <w:rFonts w:eastAsia="Times New Roman" w:cs="Arial"/>
          <w:bCs/>
          <w:szCs w:val="24"/>
          <w:lang w:eastAsia="es-MX"/>
        </w:rPr>
        <w:t xml:space="preserve">, las sociedades no financieras </w:t>
      </w:r>
      <w:r w:rsidR="005F0FB7">
        <w:rPr>
          <w:rFonts w:eastAsia="Times New Roman" w:cs="Arial"/>
          <w:bCs/>
          <w:szCs w:val="24"/>
          <w:lang w:eastAsia="es-MX"/>
        </w:rPr>
        <w:t xml:space="preserve">aportaron </w:t>
      </w:r>
      <w:r w:rsidR="005F0FB7">
        <w:t>44.6</w:t>
      </w:r>
      <w:r w:rsidR="005F0FB7" w:rsidRPr="007863D3">
        <w:rPr>
          <w:rFonts w:eastAsia="Times New Roman" w:cs="Arial"/>
          <w:bCs/>
          <w:szCs w:val="24"/>
          <w:lang w:eastAsia="es-MX"/>
        </w:rPr>
        <w:t xml:space="preserve"> % del PIB </w:t>
      </w:r>
      <w:r w:rsidRPr="007863D3">
        <w:rPr>
          <w:rFonts w:eastAsia="Times New Roman" w:cs="Arial"/>
          <w:bCs/>
          <w:szCs w:val="24"/>
          <w:lang w:eastAsia="es-MX"/>
        </w:rPr>
        <w:t>y lo</w:t>
      </w:r>
      <w:r w:rsidR="005C273C">
        <w:rPr>
          <w:rFonts w:eastAsia="Times New Roman" w:cs="Arial"/>
          <w:bCs/>
          <w:szCs w:val="24"/>
          <w:lang w:eastAsia="es-MX"/>
        </w:rPr>
        <w:t xml:space="preserve">s hogares contribuyeron con </w:t>
      </w:r>
      <w:r w:rsidR="009B76AB">
        <w:t>34.4</w:t>
      </w:r>
      <w:r w:rsidRPr="007863D3">
        <w:rPr>
          <w:rFonts w:eastAsia="Times New Roman" w:cs="Arial"/>
          <w:bCs/>
          <w:szCs w:val="24"/>
          <w:lang w:eastAsia="es-MX"/>
        </w:rPr>
        <w:t xml:space="preserve"> </w:t>
      </w:r>
      <w:r w:rsidR="005F0FB7">
        <w:rPr>
          <w:rFonts w:eastAsia="Times New Roman" w:cs="Arial"/>
          <w:bCs/>
          <w:szCs w:val="24"/>
          <w:lang w:eastAsia="es-MX"/>
        </w:rPr>
        <w:t xml:space="preserve">por ciento. </w:t>
      </w:r>
      <w:r w:rsidR="00F3150E">
        <w:rPr>
          <w:rFonts w:eastAsia="Times New Roman" w:cs="Arial"/>
          <w:bCs/>
          <w:szCs w:val="24"/>
          <w:lang w:eastAsia="es-MX"/>
        </w:rPr>
        <w:t xml:space="preserve">Siguieron </w:t>
      </w:r>
      <w:r w:rsidR="005C273C">
        <w:rPr>
          <w:rFonts w:eastAsia="Times New Roman" w:cs="Arial"/>
          <w:bCs/>
          <w:szCs w:val="24"/>
          <w:lang w:eastAsia="es-MX"/>
        </w:rPr>
        <w:t>el gobierno general</w:t>
      </w:r>
      <w:r w:rsidR="00F3150E">
        <w:rPr>
          <w:rFonts w:eastAsia="Times New Roman" w:cs="Arial"/>
          <w:bCs/>
          <w:szCs w:val="24"/>
          <w:lang w:eastAsia="es-MX"/>
        </w:rPr>
        <w:t>,</w:t>
      </w:r>
      <w:r w:rsidR="005C273C">
        <w:rPr>
          <w:rFonts w:eastAsia="Times New Roman" w:cs="Arial"/>
          <w:bCs/>
          <w:szCs w:val="24"/>
          <w:lang w:eastAsia="es-MX"/>
        </w:rPr>
        <w:t xml:space="preserve"> con </w:t>
      </w:r>
      <w:r w:rsidR="009B76AB">
        <w:t>8.8</w:t>
      </w:r>
      <w:r w:rsidRPr="007863D3">
        <w:rPr>
          <w:rFonts w:eastAsia="Times New Roman" w:cs="Arial"/>
          <w:bCs/>
          <w:szCs w:val="24"/>
          <w:lang w:eastAsia="es-MX"/>
        </w:rPr>
        <w:t xml:space="preserve"> %</w:t>
      </w:r>
      <w:r w:rsidR="00F3150E">
        <w:rPr>
          <w:rFonts w:eastAsia="Times New Roman" w:cs="Arial"/>
          <w:bCs/>
          <w:szCs w:val="24"/>
          <w:lang w:eastAsia="es-MX"/>
        </w:rPr>
        <w:t>;</w:t>
      </w:r>
      <w:r w:rsidRPr="007863D3">
        <w:rPr>
          <w:rFonts w:eastAsia="Times New Roman" w:cs="Arial"/>
          <w:bCs/>
          <w:szCs w:val="24"/>
          <w:lang w:eastAsia="es-MX"/>
        </w:rPr>
        <w:t xml:space="preserve"> la</w:t>
      </w:r>
      <w:r w:rsidR="005C273C">
        <w:rPr>
          <w:rFonts w:eastAsia="Times New Roman" w:cs="Arial"/>
          <w:bCs/>
          <w:szCs w:val="24"/>
          <w:lang w:eastAsia="es-MX"/>
        </w:rPr>
        <w:t>s sociedades financieras</w:t>
      </w:r>
      <w:r w:rsidR="00F3150E">
        <w:rPr>
          <w:rFonts w:eastAsia="Times New Roman" w:cs="Arial"/>
          <w:bCs/>
          <w:szCs w:val="24"/>
          <w:lang w:eastAsia="es-MX"/>
        </w:rPr>
        <w:t>,</w:t>
      </w:r>
      <w:r w:rsidR="005C273C">
        <w:rPr>
          <w:rFonts w:eastAsia="Times New Roman" w:cs="Arial"/>
          <w:bCs/>
          <w:szCs w:val="24"/>
          <w:lang w:eastAsia="es-MX"/>
        </w:rPr>
        <w:t xml:space="preserve"> con </w:t>
      </w:r>
      <w:r w:rsidR="009B76AB">
        <w:t>5.3</w:t>
      </w:r>
      <w:r w:rsidRPr="007863D3">
        <w:rPr>
          <w:rFonts w:eastAsia="Times New Roman" w:cs="Arial"/>
          <w:bCs/>
          <w:szCs w:val="24"/>
          <w:lang w:eastAsia="es-MX"/>
        </w:rPr>
        <w:t xml:space="preserve"> % y las </w:t>
      </w:r>
      <w:r w:rsidR="00AC2CED">
        <w:rPr>
          <w:rFonts w:eastAsia="Times New Roman" w:cs="Arial"/>
          <w:bCs/>
          <w:szCs w:val="24"/>
          <w:lang w:eastAsia="es-MX"/>
        </w:rPr>
        <w:t>i</w:t>
      </w:r>
      <w:r w:rsidRPr="007863D3">
        <w:rPr>
          <w:rFonts w:eastAsia="Times New Roman" w:cs="Arial"/>
          <w:bCs/>
          <w:szCs w:val="24"/>
          <w:lang w:eastAsia="es-MX"/>
        </w:rPr>
        <w:t>nstituciones sin fines de lucro que sirve</w:t>
      </w:r>
      <w:r w:rsidR="005C273C">
        <w:rPr>
          <w:rFonts w:eastAsia="Times New Roman" w:cs="Arial"/>
          <w:bCs/>
          <w:szCs w:val="24"/>
          <w:lang w:eastAsia="es-MX"/>
        </w:rPr>
        <w:t>n a los hogares (ISFLSH)</w:t>
      </w:r>
      <w:r w:rsidR="00F3150E">
        <w:rPr>
          <w:rFonts w:eastAsia="Times New Roman" w:cs="Arial"/>
          <w:bCs/>
          <w:szCs w:val="24"/>
          <w:lang w:eastAsia="es-MX"/>
        </w:rPr>
        <w:t>,</w:t>
      </w:r>
      <w:r w:rsidR="005C273C">
        <w:rPr>
          <w:rFonts w:eastAsia="Times New Roman" w:cs="Arial"/>
          <w:bCs/>
          <w:szCs w:val="24"/>
          <w:lang w:eastAsia="es-MX"/>
        </w:rPr>
        <w:t xml:space="preserve"> con </w:t>
      </w:r>
      <w:r w:rsidR="009B76AB">
        <w:t>0.9</w:t>
      </w:r>
      <w:r w:rsidR="005F0FB7">
        <w:rPr>
          <w:rFonts w:eastAsia="Times New Roman" w:cs="Arial"/>
          <w:bCs/>
          <w:szCs w:val="24"/>
          <w:lang w:eastAsia="es-MX"/>
        </w:rPr>
        <w:t xml:space="preserve"> por ciento.</w:t>
      </w:r>
      <w:r w:rsidR="005C273C">
        <w:rPr>
          <w:rStyle w:val="Refdenotaalpie"/>
          <w:rFonts w:eastAsia="Times New Roman" w:cs="Arial"/>
          <w:bCs/>
          <w:szCs w:val="24"/>
          <w:lang w:eastAsia="es-MX"/>
        </w:rPr>
        <w:footnoteReference w:id="6"/>
      </w:r>
    </w:p>
    <w:p w14:paraId="76E63C5D" w14:textId="77777777" w:rsidR="008A3F89" w:rsidRDefault="008A3F89" w:rsidP="00AD162B">
      <w:pPr>
        <w:pStyle w:val="consang"/>
        <w:spacing w:after="0" w:line="240" w:lineRule="auto"/>
        <w:ind w:left="-425" w:right="-28" w:firstLine="0"/>
        <w:jc w:val="center"/>
        <w:rPr>
          <w:rFonts w:ascii="Arial" w:hAnsi="Arial" w:cs="Arial"/>
          <w:sz w:val="20"/>
          <w:szCs w:val="20"/>
        </w:rPr>
      </w:pPr>
    </w:p>
    <w:p w14:paraId="0D9D7E0A" w14:textId="77777777" w:rsidR="008A3F89" w:rsidRDefault="008A3F89" w:rsidP="00AD162B">
      <w:pPr>
        <w:pStyle w:val="consang"/>
        <w:spacing w:after="0" w:line="240" w:lineRule="auto"/>
        <w:ind w:left="-425" w:right="-28" w:firstLine="0"/>
        <w:jc w:val="center"/>
        <w:rPr>
          <w:rFonts w:ascii="Arial" w:hAnsi="Arial" w:cs="Arial"/>
          <w:sz w:val="20"/>
          <w:szCs w:val="20"/>
        </w:rPr>
      </w:pPr>
    </w:p>
    <w:p w14:paraId="06C0D316" w14:textId="77777777" w:rsidR="008A3F89" w:rsidRDefault="008A3F89" w:rsidP="00AD162B">
      <w:pPr>
        <w:pStyle w:val="consang"/>
        <w:spacing w:after="0" w:line="240" w:lineRule="auto"/>
        <w:ind w:left="-425" w:right="-28" w:firstLine="0"/>
        <w:jc w:val="center"/>
        <w:rPr>
          <w:rFonts w:ascii="Arial" w:hAnsi="Arial" w:cs="Arial"/>
          <w:sz w:val="20"/>
          <w:szCs w:val="20"/>
        </w:rPr>
      </w:pPr>
    </w:p>
    <w:p w14:paraId="63CD3418" w14:textId="77777777" w:rsidR="008A3F89" w:rsidRDefault="008A3F89" w:rsidP="00AD162B">
      <w:pPr>
        <w:pStyle w:val="consang"/>
        <w:spacing w:after="0" w:line="240" w:lineRule="auto"/>
        <w:ind w:left="-425" w:right="-28" w:firstLine="0"/>
        <w:jc w:val="center"/>
        <w:rPr>
          <w:rFonts w:ascii="Arial" w:hAnsi="Arial" w:cs="Arial"/>
          <w:sz w:val="20"/>
          <w:szCs w:val="20"/>
        </w:rPr>
      </w:pPr>
    </w:p>
    <w:p w14:paraId="6CEA040F" w14:textId="77777777" w:rsidR="008A3F89" w:rsidRDefault="008A3F89" w:rsidP="00F71AD7">
      <w:pPr>
        <w:pStyle w:val="consang"/>
        <w:spacing w:after="0" w:line="240" w:lineRule="auto"/>
        <w:ind w:right="-28" w:firstLine="0"/>
        <w:rPr>
          <w:rFonts w:ascii="Arial" w:hAnsi="Arial" w:cs="Arial"/>
          <w:sz w:val="20"/>
          <w:szCs w:val="20"/>
        </w:rPr>
      </w:pPr>
    </w:p>
    <w:p w14:paraId="7048F08B" w14:textId="77777777" w:rsidR="000C6BA3" w:rsidRDefault="000C6BA3" w:rsidP="00AD162B">
      <w:pPr>
        <w:pStyle w:val="consang"/>
        <w:spacing w:after="0" w:line="240" w:lineRule="auto"/>
        <w:ind w:left="-425" w:right="-28" w:firstLine="0"/>
        <w:jc w:val="center"/>
        <w:rPr>
          <w:rFonts w:ascii="Arial" w:hAnsi="Arial" w:cs="Arial"/>
          <w:sz w:val="20"/>
          <w:szCs w:val="20"/>
        </w:rPr>
      </w:pPr>
    </w:p>
    <w:p w14:paraId="0D8ED104" w14:textId="67A2EC1D" w:rsidR="003D418A" w:rsidRPr="003D418A" w:rsidRDefault="003D418A" w:rsidP="00AD162B">
      <w:pPr>
        <w:pStyle w:val="consang"/>
        <w:spacing w:after="0" w:line="240" w:lineRule="auto"/>
        <w:ind w:left="-425" w:right="-28" w:firstLine="0"/>
        <w:jc w:val="center"/>
        <w:rPr>
          <w:rFonts w:ascii="Arial" w:hAnsi="Arial" w:cs="Arial"/>
          <w:sz w:val="20"/>
          <w:szCs w:val="20"/>
        </w:rPr>
      </w:pPr>
      <w:r w:rsidRPr="003D418A">
        <w:rPr>
          <w:rFonts w:ascii="Arial" w:hAnsi="Arial" w:cs="Arial"/>
          <w:sz w:val="20"/>
          <w:szCs w:val="20"/>
        </w:rPr>
        <w:t>Gráfica 1</w:t>
      </w:r>
    </w:p>
    <w:p w14:paraId="397EE1A8" w14:textId="66F02B5C" w:rsidR="001B71A1" w:rsidRPr="00F71AD7" w:rsidRDefault="001B71A1" w:rsidP="00AD162B">
      <w:pPr>
        <w:pStyle w:val="consang"/>
        <w:spacing w:after="0" w:line="240" w:lineRule="auto"/>
        <w:ind w:left="-425" w:right="-28" w:firstLine="0"/>
        <w:jc w:val="center"/>
        <w:rPr>
          <w:rFonts w:ascii="Arial" w:hAnsi="Arial" w:cs="Arial"/>
          <w:b/>
          <w:smallCaps/>
          <w:sz w:val="22"/>
        </w:rPr>
      </w:pPr>
      <w:r w:rsidRPr="00F71AD7">
        <w:rPr>
          <w:rFonts w:ascii="Arial" w:hAnsi="Arial" w:cs="Arial"/>
          <w:b/>
          <w:smallCaps/>
          <w:sz w:val="22"/>
        </w:rPr>
        <w:t xml:space="preserve">Composición del Producto Interno Bruto por </w:t>
      </w:r>
      <w:r w:rsidR="005F0FB7">
        <w:rPr>
          <w:rFonts w:ascii="Arial" w:hAnsi="Arial" w:cs="Arial"/>
          <w:b/>
          <w:smallCaps/>
          <w:sz w:val="22"/>
        </w:rPr>
        <w:t>s</w:t>
      </w:r>
      <w:r w:rsidRPr="00F71AD7">
        <w:rPr>
          <w:rFonts w:ascii="Arial" w:hAnsi="Arial" w:cs="Arial"/>
          <w:b/>
          <w:smallCaps/>
          <w:sz w:val="22"/>
        </w:rPr>
        <w:t xml:space="preserve">ector </w:t>
      </w:r>
      <w:r w:rsidR="005F0FB7">
        <w:rPr>
          <w:rFonts w:ascii="Arial" w:hAnsi="Arial" w:cs="Arial"/>
          <w:b/>
          <w:smallCaps/>
          <w:sz w:val="22"/>
        </w:rPr>
        <w:t>i</w:t>
      </w:r>
      <w:r w:rsidRPr="00F71AD7">
        <w:rPr>
          <w:rFonts w:ascii="Arial" w:hAnsi="Arial" w:cs="Arial"/>
          <w:b/>
          <w:smallCaps/>
          <w:sz w:val="22"/>
        </w:rPr>
        <w:t xml:space="preserve">nstitucional, </w:t>
      </w:r>
      <w:r w:rsidR="00634CD9" w:rsidRPr="00F71AD7">
        <w:rPr>
          <w:rFonts w:ascii="Arial" w:hAnsi="Arial" w:cs="Arial"/>
          <w:b/>
          <w:smallCaps/>
          <w:sz w:val="22"/>
        </w:rPr>
        <w:t>2021</w:t>
      </w:r>
    </w:p>
    <w:p w14:paraId="248DCF01" w14:textId="5609938D" w:rsidR="00EB4938" w:rsidRPr="00895206" w:rsidRDefault="003C407E" w:rsidP="00AD162B">
      <w:pPr>
        <w:tabs>
          <w:tab w:val="left" w:pos="8364"/>
          <w:tab w:val="left" w:pos="8505"/>
        </w:tabs>
        <w:spacing w:after="0" w:line="240" w:lineRule="auto"/>
        <w:ind w:left="-425" w:right="-28"/>
        <w:jc w:val="center"/>
        <w:rPr>
          <w:rFonts w:eastAsia="Arial" w:cs="Arial"/>
          <w:w w:val="101"/>
          <w:sz w:val="18"/>
          <w:szCs w:val="18"/>
        </w:rPr>
      </w:pPr>
      <w:r w:rsidRPr="00187A54">
        <w:rPr>
          <w:noProof/>
          <w:lang w:eastAsia="es-MX"/>
        </w:rPr>
        <w:drawing>
          <wp:inline distT="0" distB="0" distL="0" distR="0" wp14:anchorId="6BBC3E8A" wp14:editId="1014AD92">
            <wp:extent cx="5977719" cy="2532977"/>
            <wp:effectExtent l="0" t="0" r="4445" b="127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9"/>
                    <a:stretch>
                      <a:fillRect/>
                    </a:stretch>
                  </pic:blipFill>
                  <pic:spPr>
                    <a:xfrm>
                      <a:off x="0" y="0"/>
                      <a:ext cx="5993494" cy="2539662"/>
                    </a:xfrm>
                    <a:prstGeom prst="rect">
                      <a:avLst/>
                    </a:prstGeom>
                  </pic:spPr>
                </pic:pic>
              </a:graphicData>
            </a:graphic>
          </wp:inline>
        </w:drawing>
      </w:r>
    </w:p>
    <w:p w14:paraId="20FC15F5" w14:textId="3350BBBE" w:rsidR="001B71A1" w:rsidRPr="00895206" w:rsidRDefault="001B71A1" w:rsidP="00F71AD7">
      <w:pPr>
        <w:tabs>
          <w:tab w:val="left" w:pos="8364"/>
          <w:tab w:val="left" w:pos="8505"/>
        </w:tabs>
        <w:spacing w:after="0" w:line="240" w:lineRule="auto"/>
        <w:ind w:left="142" w:right="-28" w:hanging="284"/>
        <w:rPr>
          <w:rFonts w:eastAsia="Arial" w:cs="Arial"/>
          <w:sz w:val="16"/>
          <w:szCs w:val="16"/>
        </w:rPr>
      </w:pPr>
      <w:r w:rsidRPr="00895206">
        <w:rPr>
          <w:rFonts w:eastAsia="Arial" w:cs="Arial"/>
          <w:spacing w:val="-1"/>
          <w:sz w:val="16"/>
          <w:szCs w:val="16"/>
        </w:rPr>
        <w:t>F</w:t>
      </w:r>
      <w:r w:rsidRPr="00895206">
        <w:rPr>
          <w:rFonts w:eastAsia="Arial" w:cs="Arial"/>
          <w:spacing w:val="-2"/>
          <w:sz w:val="16"/>
          <w:szCs w:val="16"/>
        </w:rPr>
        <w:t>u</w:t>
      </w:r>
      <w:r w:rsidRPr="00895206">
        <w:rPr>
          <w:rFonts w:eastAsia="Arial" w:cs="Arial"/>
          <w:spacing w:val="-6"/>
          <w:sz w:val="16"/>
          <w:szCs w:val="16"/>
        </w:rPr>
        <w:t>e</w:t>
      </w:r>
      <w:r w:rsidRPr="00895206">
        <w:rPr>
          <w:rFonts w:eastAsia="Arial" w:cs="Arial"/>
          <w:spacing w:val="-2"/>
          <w:sz w:val="16"/>
          <w:szCs w:val="16"/>
        </w:rPr>
        <w:t>n</w:t>
      </w:r>
      <w:r w:rsidRPr="00895206">
        <w:rPr>
          <w:rFonts w:eastAsia="Arial" w:cs="Arial"/>
          <w:spacing w:val="-1"/>
          <w:sz w:val="16"/>
          <w:szCs w:val="16"/>
        </w:rPr>
        <w:t>t</w:t>
      </w:r>
      <w:r w:rsidRPr="00895206">
        <w:rPr>
          <w:rFonts w:eastAsia="Arial" w:cs="Arial"/>
          <w:spacing w:val="-6"/>
          <w:sz w:val="16"/>
          <w:szCs w:val="16"/>
        </w:rPr>
        <w:t>e</w:t>
      </w:r>
      <w:r w:rsidRPr="00895206">
        <w:rPr>
          <w:rFonts w:eastAsia="Arial" w:cs="Arial"/>
          <w:sz w:val="16"/>
          <w:szCs w:val="16"/>
        </w:rPr>
        <w:t>:</w:t>
      </w:r>
      <w:r w:rsidRPr="00895206">
        <w:rPr>
          <w:rFonts w:eastAsia="Arial" w:cs="Arial"/>
          <w:spacing w:val="-13"/>
          <w:sz w:val="16"/>
          <w:szCs w:val="16"/>
        </w:rPr>
        <w:t xml:space="preserve"> </w:t>
      </w:r>
      <w:r w:rsidRPr="00895206">
        <w:rPr>
          <w:rFonts w:eastAsia="Arial" w:cs="Arial"/>
          <w:spacing w:val="-1"/>
          <w:sz w:val="16"/>
          <w:szCs w:val="16"/>
        </w:rPr>
        <w:t>I</w:t>
      </w:r>
      <w:r w:rsidRPr="00895206">
        <w:rPr>
          <w:rFonts w:eastAsia="Arial" w:cs="Arial"/>
          <w:spacing w:val="1"/>
          <w:sz w:val="16"/>
          <w:szCs w:val="16"/>
        </w:rPr>
        <w:t>N</w:t>
      </w:r>
      <w:r w:rsidRPr="00895206">
        <w:rPr>
          <w:rFonts w:eastAsia="Arial" w:cs="Arial"/>
          <w:sz w:val="16"/>
          <w:szCs w:val="16"/>
        </w:rPr>
        <w:t>E</w:t>
      </w:r>
      <w:r w:rsidRPr="00895206">
        <w:rPr>
          <w:rFonts w:eastAsia="Arial" w:cs="Arial"/>
          <w:spacing w:val="1"/>
          <w:sz w:val="16"/>
          <w:szCs w:val="16"/>
        </w:rPr>
        <w:t>G</w:t>
      </w:r>
      <w:r w:rsidRPr="00895206">
        <w:rPr>
          <w:rFonts w:eastAsia="Arial" w:cs="Arial"/>
          <w:spacing w:val="-1"/>
          <w:sz w:val="16"/>
          <w:szCs w:val="16"/>
        </w:rPr>
        <w:t>I</w:t>
      </w:r>
    </w:p>
    <w:p w14:paraId="01E3130D" w14:textId="77777777" w:rsidR="001B71A1" w:rsidRPr="00895206" w:rsidRDefault="001B71A1" w:rsidP="00AD162B">
      <w:pPr>
        <w:widowControl/>
        <w:spacing w:after="0" w:line="240" w:lineRule="auto"/>
        <w:ind w:left="-425" w:right="-28"/>
        <w:jc w:val="both"/>
        <w:rPr>
          <w:rFonts w:eastAsia="Times New Roman" w:cs="Arial"/>
          <w:szCs w:val="24"/>
          <w:lang w:eastAsia="es-MX"/>
        </w:rPr>
      </w:pPr>
    </w:p>
    <w:p w14:paraId="53FF4794" w14:textId="5475C288" w:rsidR="005B0500" w:rsidRDefault="005B0500" w:rsidP="00AD162B">
      <w:pPr>
        <w:widowControl/>
        <w:spacing w:after="0" w:line="240" w:lineRule="auto"/>
        <w:ind w:left="-425" w:right="-28"/>
        <w:jc w:val="both"/>
        <w:rPr>
          <w:rFonts w:eastAsia="Times New Roman" w:cs="Arial"/>
          <w:bCs/>
          <w:szCs w:val="24"/>
          <w:lang w:eastAsia="es-MX"/>
        </w:rPr>
      </w:pPr>
      <w:r w:rsidRPr="005B0500">
        <w:rPr>
          <w:rFonts w:eastAsia="Times New Roman" w:cs="Arial"/>
          <w:bCs/>
          <w:szCs w:val="24"/>
          <w:lang w:eastAsia="es-MX"/>
        </w:rPr>
        <w:t>El Ingreso Nacional Disponible Bruto</w:t>
      </w:r>
      <w:r>
        <w:rPr>
          <w:rStyle w:val="Refdenotaalpie"/>
          <w:rFonts w:eastAsia="Times New Roman" w:cs="Arial"/>
          <w:bCs/>
          <w:szCs w:val="24"/>
          <w:lang w:eastAsia="es-MX"/>
        </w:rPr>
        <w:footnoteReference w:id="7"/>
      </w:r>
      <w:r w:rsidR="003C407E">
        <w:rPr>
          <w:rFonts w:eastAsia="Times New Roman" w:cs="Arial"/>
          <w:bCs/>
          <w:szCs w:val="24"/>
          <w:lang w:eastAsia="es-MX"/>
        </w:rPr>
        <w:t xml:space="preserve"> es mayor al Producto Interno Bruto principalmente por las transferencias corrientes entre hogares residentes y no residentes (remesas). En </w:t>
      </w:r>
      <w:r w:rsidR="003C407E">
        <w:t>2021</w:t>
      </w:r>
      <w:r w:rsidR="003C407E">
        <w:rPr>
          <w:rFonts w:eastAsia="Times New Roman" w:cs="Arial"/>
          <w:bCs/>
          <w:szCs w:val="24"/>
          <w:lang w:eastAsia="es-MX"/>
        </w:rPr>
        <w:t xml:space="preserve">, el Ingreso Disponible Bruto represento </w:t>
      </w:r>
      <w:r w:rsidR="003C407E">
        <w:t>101.4</w:t>
      </w:r>
      <w:r w:rsidR="003C407E">
        <w:rPr>
          <w:rFonts w:eastAsia="Times New Roman" w:cs="Arial"/>
          <w:bCs/>
          <w:szCs w:val="24"/>
          <w:lang w:eastAsia="es-MX"/>
        </w:rPr>
        <w:t xml:space="preserve"> % del PIB, mientras que el Ingreso Nacional Bruto fue de </w:t>
      </w:r>
      <w:r w:rsidR="003C407E">
        <w:t>97.4</w:t>
      </w:r>
      <w:r w:rsidR="003C407E">
        <w:rPr>
          <w:rFonts w:eastAsia="Times New Roman" w:cs="Arial"/>
          <w:bCs/>
          <w:szCs w:val="24"/>
          <w:lang w:eastAsia="es-MX"/>
        </w:rPr>
        <w:t xml:space="preserve"> % del PIB.</w:t>
      </w:r>
      <w:r w:rsidR="003C407E" w:rsidDel="003C407E">
        <w:rPr>
          <w:rStyle w:val="Refdecomentario"/>
        </w:rPr>
        <w:t xml:space="preserve"> </w:t>
      </w:r>
    </w:p>
    <w:p w14:paraId="7F66D0DD" w14:textId="77777777" w:rsidR="006D6C21" w:rsidRDefault="006D6C21" w:rsidP="005B0500">
      <w:pPr>
        <w:spacing w:after="0" w:line="240" w:lineRule="auto"/>
        <w:ind w:left="-425" w:right="-28"/>
        <w:jc w:val="center"/>
        <w:rPr>
          <w:rFonts w:eastAsia="Arial" w:cs="Arial"/>
          <w:bCs/>
          <w:spacing w:val="-1"/>
          <w:sz w:val="20"/>
          <w:szCs w:val="20"/>
        </w:rPr>
      </w:pPr>
    </w:p>
    <w:p w14:paraId="2596EC2C" w14:textId="3E02759D" w:rsidR="005B0500" w:rsidRPr="005B0500" w:rsidRDefault="005B0500" w:rsidP="005B0500">
      <w:pPr>
        <w:spacing w:after="0" w:line="240" w:lineRule="auto"/>
        <w:ind w:left="-425" w:right="-28"/>
        <w:jc w:val="center"/>
        <w:rPr>
          <w:rFonts w:eastAsia="Arial" w:cs="Arial"/>
          <w:bCs/>
          <w:spacing w:val="-1"/>
          <w:sz w:val="20"/>
          <w:szCs w:val="20"/>
        </w:rPr>
      </w:pPr>
      <w:r w:rsidRPr="005B0500">
        <w:rPr>
          <w:rFonts w:eastAsia="Arial" w:cs="Arial"/>
          <w:bCs/>
          <w:spacing w:val="-1"/>
          <w:sz w:val="20"/>
          <w:szCs w:val="20"/>
        </w:rPr>
        <w:t>Cuadro 2</w:t>
      </w:r>
    </w:p>
    <w:p w14:paraId="29EF14A6" w14:textId="3EB8A2E8" w:rsidR="005B0500" w:rsidRPr="005B0500" w:rsidRDefault="005B0500" w:rsidP="005B0500">
      <w:pPr>
        <w:spacing w:after="0" w:line="240" w:lineRule="auto"/>
        <w:ind w:left="-425" w:right="-28"/>
        <w:jc w:val="center"/>
        <w:rPr>
          <w:rFonts w:cs="Arial"/>
          <w:b/>
          <w:smallCaps/>
          <w:sz w:val="22"/>
        </w:rPr>
      </w:pPr>
      <w:r w:rsidRPr="005B0500">
        <w:rPr>
          <w:rFonts w:cs="Arial"/>
          <w:b/>
          <w:smallCaps/>
          <w:sz w:val="22"/>
        </w:rPr>
        <w:t>Determinación del Ingreso</w:t>
      </w:r>
      <w:r w:rsidR="001F706B">
        <w:rPr>
          <w:rFonts w:cs="Arial"/>
          <w:b/>
          <w:smallCaps/>
          <w:sz w:val="22"/>
        </w:rPr>
        <w:t xml:space="preserve"> Nacional Disponible Bruto, </w:t>
      </w:r>
      <w:r w:rsidR="009B76AB" w:rsidRPr="009B76AB">
        <w:rPr>
          <w:rFonts w:cs="Arial"/>
          <w:b/>
          <w:smallCaps/>
          <w:sz w:val="22"/>
        </w:rPr>
        <w:t>2021</w:t>
      </w:r>
    </w:p>
    <w:p w14:paraId="44D7E1E9" w14:textId="000F47DC" w:rsidR="0046008A" w:rsidRDefault="005B0500" w:rsidP="0046008A">
      <w:pPr>
        <w:spacing w:after="0" w:line="203" w:lineRule="exact"/>
        <w:ind w:left="1134" w:right="-28"/>
        <w:rPr>
          <w:rFonts w:asciiTheme="minorHAnsi" w:hAnsiTheme="minorHAnsi"/>
          <w:sz w:val="22"/>
        </w:rPr>
      </w:pPr>
      <w:r w:rsidRPr="00895206">
        <w:rPr>
          <w:rFonts w:cs="Arial"/>
          <w:noProof/>
          <w:lang w:eastAsia="es-MX"/>
        </w:rPr>
        <mc:AlternateContent>
          <mc:Choice Requires="wpg">
            <w:drawing>
              <wp:anchor distT="0" distB="0" distL="114300" distR="114300" simplePos="0" relativeHeight="251658240" behindDoc="1" locked="0" layoutInCell="1" allowOverlap="1" wp14:anchorId="57F4E00F" wp14:editId="6844825A">
                <wp:simplePos x="0" y="0"/>
                <wp:positionH relativeFrom="page">
                  <wp:posOffset>1061085</wp:posOffset>
                </wp:positionH>
                <wp:positionV relativeFrom="paragraph">
                  <wp:posOffset>436245</wp:posOffset>
                </wp:positionV>
                <wp:extent cx="18415" cy="1270"/>
                <wp:effectExtent l="0" t="0" r="19685" b="177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671" y="687"/>
                          <a:chExt cx="29" cy="2"/>
                        </a:xfrm>
                      </wpg:grpSpPr>
                      <wps:wsp>
                        <wps:cNvPr id="6" name="Freeform 3"/>
                        <wps:cNvSpPr>
                          <a:spLocks/>
                        </wps:cNvSpPr>
                        <wps:spPr bwMode="auto">
                          <a:xfrm>
                            <a:off x="1671" y="687"/>
                            <a:ext cx="29" cy="2"/>
                          </a:xfrm>
                          <a:custGeom>
                            <a:avLst/>
                            <a:gdLst>
                              <a:gd name="T0" fmla="+- 0 1671 1671"/>
                              <a:gd name="T1" fmla="*/ T0 w 29"/>
                              <a:gd name="T2" fmla="+- 0 1700 167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32E7A315" id="Group 2" o:spid="_x0000_s1026" style="position:absolute;margin-left:83.55pt;margin-top:34.35pt;width:1.45pt;height:.1pt;z-index:-251655168;mso-position-horizontal-relative:page" coordorigin="1671,68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">
                <v:shape id="Freeform 3" o:spid="_x0000_s1027" style="position:absolute;left:1671;top:687;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" path="m,l29,e" filled="f" strokeweight="1.54pt">
                  <v:path arrowok="t" o:connecttype="custom" o:connectlocs="0,0;29,0" o:connectangles="0,0"/>
                </v:shape>
                <w10:wrap anchorx="page"/>
              </v:group>
            </w:pict>
          </mc:Fallback>
        </mc:AlternateContent>
      </w:r>
      <w:r w:rsidRPr="00895206">
        <w:rPr>
          <w:rFonts w:eastAsia="Arial" w:cs="Arial"/>
          <w:spacing w:val="1"/>
          <w:position w:val="-1"/>
          <w:sz w:val="18"/>
          <w:szCs w:val="18"/>
        </w:rPr>
        <w:t>(Millones de pesos corrientes y p</w:t>
      </w:r>
      <w:r w:rsidRPr="00895206">
        <w:rPr>
          <w:rFonts w:eastAsia="Arial" w:cs="Arial"/>
          <w:spacing w:val="-1"/>
          <w:position w:val="-1"/>
          <w:sz w:val="18"/>
          <w:szCs w:val="18"/>
        </w:rPr>
        <w:t>a</w:t>
      </w:r>
      <w:r w:rsidRPr="00895206">
        <w:rPr>
          <w:rFonts w:eastAsia="Arial" w:cs="Arial"/>
          <w:spacing w:val="1"/>
          <w:position w:val="-1"/>
          <w:sz w:val="18"/>
          <w:szCs w:val="18"/>
        </w:rPr>
        <w:t>r</w:t>
      </w:r>
      <w:r w:rsidRPr="00895206">
        <w:rPr>
          <w:rFonts w:eastAsia="Arial" w:cs="Arial"/>
          <w:spacing w:val="2"/>
          <w:position w:val="-1"/>
          <w:sz w:val="18"/>
          <w:szCs w:val="18"/>
        </w:rPr>
        <w:t>t</w:t>
      </w:r>
      <w:r w:rsidRPr="00895206">
        <w:rPr>
          <w:rFonts w:eastAsia="Arial" w:cs="Arial"/>
          <w:spacing w:val="3"/>
          <w:position w:val="-1"/>
          <w:sz w:val="18"/>
          <w:szCs w:val="18"/>
        </w:rPr>
        <w:t>i</w:t>
      </w:r>
      <w:r w:rsidRPr="00895206">
        <w:rPr>
          <w:rFonts w:eastAsia="Arial" w:cs="Arial"/>
          <w:position w:val="-1"/>
          <w:sz w:val="18"/>
          <w:szCs w:val="18"/>
        </w:rPr>
        <w:t>c</w:t>
      </w:r>
      <w:r w:rsidRPr="00895206">
        <w:rPr>
          <w:rFonts w:eastAsia="Arial" w:cs="Arial"/>
          <w:spacing w:val="3"/>
          <w:position w:val="-1"/>
          <w:sz w:val="18"/>
          <w:szCs w:val="18"/>
        </w:rPr>
        <w:t>i</w:t>
      </w:r>
      <w:r w:rsidRPr="00895206">
        <w:rPr>
          <w:rFonts w:eastAsia="Arial" w:cs="Arial"/>
          <w:spacing w:val="-1"/>
          <w:position w:val="-1"/>
          <w:sz w:val="18"/>
          <w:szCs w:val="18"/>
        </w:rPr>
        <w:t>pa</w:t>
      </w:r>
      <w:r w:rsidRPr="00895206">
        <w:rPr>
          <w:rFonts w:eastAsia="Arial" w:cs="Arial"/>
          <w:position w:val="-1"/>
          <w:sz w:val="18"/>
          <w:szCs w:val="18"/>
        </w:rPr>
        <w:t>c</w:t>
      </w:r>
      <w:r w:rsidRPr="00895206">
        <w:rPr>
          <w:rFonts w:eastAsia="Arial" w:cs="Arial"/>
          <w:spacing w:val="3"/>
          <w:position w:val="-1"/>
          <w:sz w:val="18"/>
          <w:szCs w:val="18"/>
        </w:rPr>
        <w:t>i</w:t>
      </w:r>
      <w:r w:rsidRPr="00895206">
        <w:rPr>
          <w:rFonts w:eastAsia="Arial" w:cs="Arial"/>
          <w:spacing w:val="-1"/>
          <w:position w:val="-1"/>
          <w:sz w:val="18"/>
          <w:szCs w:val="18"/>
        </w:rPr>
        <w:t>ó</w:t>
      </w:r>
      <w:r w:rsidRPr="00895206">
        <w:rPr>
          <w:rFonts w:eastAsia="Arial" w:cs="Arial"/>
          <w:position w:val="-1"/>
          <w:sz w:val="18"/>
          <w:szCs w:val="18"/>
        </w:rPr>
        <w:t>n</w:t>
      </w:r>
      <w:r w:rsidRPr="00895206">
        <w:rPr>
          <w:rFonts w:eastAsia="Arial" w:cs="Arial"/>
          <w:spacing w:val="13"/>
          <w:position w:val="-1"/>
          <w:sz w:val="18"/>
          <w:szCs w:val="18"/>
        </w:rPr>
        <w:t xml:space="preserve"> </w:t>
      </w:r>
      <w:r w:rsidRPr="00895206">
        <w:rPr>
          <w:rFonts w:eastAsia="Arial" w:cs="Arial"/>
          <w:spacing w:val="1"/>
          <w:position w:val="-1"/>
          <w:sz w:val="18"/>
          <w:szCs w:val="18"/>
        </w:rPr>
        <w:t>r</w:t>
      </w:r>
      <w:r w:rsidRPr="00895206">
        <w:rPr>
          <w:rFonts w:eastAsia="Arial" w:cs="Arial"/>
          <w:spacing w:val="-5"/>
          <w:position w:val="-1"/>
          <w:sz w:val="18"/>
          <w:szCs w:val="18"/>
        </w:rPr>
        <w:t>e</w:t>
      </w:r>
      <w:r w:rsidRPr="00895206">
        <w:rPr>
          <w:rFonts w:eastAsia="Arial" w:cs="Arial"/>
          <w:position w:val="-1"/>
          <w:sz w:val="18"/>
          <w:szCs w:val="18"/>
        </w:rPr>
        <w:t>s</w:t>
      </w:r>
      <w:r w:rsidRPr="00895206">
        <w:rPr>
          <w:rFonts w:eastAsia="Arial" w:cs="Arial"/>
          <w:spacing w:val="-1"/>
          <w:position w:val="-1"/>
          <w:sz w:val="18"/>
          <w:szCs w:val="18"/>
        </w:rPr>
        <w:t>p</w:t>
      </w:r>
      <w:r w:rsidRPr="00895206">
        <w:rPr>
          <w:rFonts w:eastAsia="Arial" w:cs="Arial"/>
          <w:spacing w:val="-5"/>
          <w:position w:val="-1"/>
          <w:sz w:val="18"/>
          <w:szCs w:val="18"/>
        </w:rPr>
        <w:t>e</w:t>
      </w:r>
      <w:r w:rsidRPr="00895206">
        <w:rPr>
          <w:rFonts w:eastAsia="Arial" w:cs="Arial"/>
          <w:position w:val="-1"/>
          <w:sz w:val="18"/>
          <w:szCs w:val="18"/>
        </w:rPr>
        <w:t>c</w:t>
      </w:r>
      <w:r w:rsidRPr="00895206">
        <w:rPr>
          <w:rFonts w:eastAsia="Arial" w:cs="Arial"/>
          <w:spacing w:val="2"/>
          <w:position w:val="-1"/>
          <w:sz w:val="18"/>
          <w:szCs w:val="18"/>
        </w:rPr>
        <w:t>t</w:t>
      </w:r>
      <w:r w:rsidRPr="00895206">
        <w:rPr>
          <w:rFonts w:eastAsia="Arial" w:cs="Arial"/>
          <w:position w:val="-1"/>
          <w:sz w:val="18"/>
          <w:szCs w:val="18"/>
        </w:rPr>
        <w:t>o</w:t>
      </w:r>
      <w:r w:rsidRPr="00895206">
        <w:rPr>
          <w:rFonts w:eastAsia="Arial" w:cs="Arial"/>
          <w:spacing w:val="9"/>
          <w:position w:val="-1"/>
          <w:sz w:val="18"/>
          <w:szCs w:val="18"/>
        </w:rPr>
        <w:t xml:space="preserve"> </w:t>
      </w:r>
      <w:r w:rsidRPr="00895206">
        <w:rPr>
          <w:rFonts w:eastAsia="Arial" w:cs="Arial"/>
          <w:spacing w:val="-1"/>
          <w:position w:val="-1"/>
          <w:sz w:val="18"/>
          <w:szCs w:val="18"/>
        </w:rPr>
        <w:t>a</w:t>
      </w:r>
      <w:r w:rsidRPr="00895206">
        <w:rPr>
          <w:rFonts w:eastAsia="Arial" w:cs="Arial"/>
          <w:position w:val="-1"/>
          <w:sz w:val="18"/>
          <w:szCs w:val="18"/>
        </w:rPr>
        <w:t>l</w:t>
      </w:r>
      <w:r w:rsidRPr="00895206">
        <w:rPr>
          <w:rFonts w:eastAsia="Arial" w:cs="Arial"/>
          <w:spacing w:val="6"/>
          <w:position w:val="-1"/>
          <w:sz w:val="18"/>
          <w:szCs w:val="18"/>
        </w:rPr>
        <w:t xml:space="preserve"> </w:t>
      </w:r>
      <w:r w:rsidRPr="00895206">
        <w:rPr>
          <w:rFonts w:eastAsia="Arial" w:cs="Arial"/>
          <w:spacing w:val="-2"/>
          <w:position w:val="-1"/>
          <w:sz w:val="18"/>
          <w:szCs w:val="18"/>
        </w:rPr>
        <w:t>P</w:t>
      </w:r>
      <w:r w:rsidRPr="00895206">
        <w:rPr>
          <w:rFonts w:eastAsia="Arial" w:cs="Arial"/>
          <w:spacing w:val="2"/>
          <w:position w:val="-1"/>
          <w:sz w:val="18"/>
          <w:szCs w:val="18"/>
        </w:rPr>
        <w:t>I</w:t>
      </w:r>
      <w:r w:rsidRPr="00895206">
        <w:rPr>
          <w:rFonts w:eastAsia="Arial" w:cs="Arial"/>
          <w:position w:val="-1"/>
          <w:sz w:val="18"/>
          <w:szCs w:val="18"/>
        </w:rPr>
        <w:t>B</w:t>
      </w:r>
      <w:r w:rsidRPr="00895206">
        <w:rPr>
          <w:rFonts w:eastAsia="Arial" w:cs="Arial"/>
          <w:spacing w:val="4"/>
          <w:position w:val="-1"/>
          <w:sz w:val="18"/>
          <w:szCs w:val="18"/>
        </w:rPr>
        <w:t xml:space="preserve"> </w:t>
      </w:r>
      <w:r w:rsidRPr="00895206">
        <w:rPr>
          <w:rFonts w:eastAsia="Arial" w:cs="Arial"/>
          <w:spacing w:val="2"/>
          <w:position w:val="-1"/>
          <w:sz w:val="18"/>
          <w:szCs w:val="18"/>
        </w:rPr>
        <w:t>t</w:t>
      </w:r>
      <w:r w:rsidRPr="00895206">
        <w:rPr>
          <w:rFonts w:eastAsia="Arial" w:cs="Arial"/>
          <w:spacing w:val="3"/>
          <w:position w:val="-1"/>
          <w:sz w:val="18"/>
          <w:szCs w:val="18"/>
        </w:rPr>
        <w:t>o</w:t>
      </w:r>
      <w:r w:rsidRPr="00895206">
        <w:rPr>
          <w:rFonts w:eastAsia="Arial" w:cs="Arial"/>
          <w:spacing w:val="2"/>
          <w:position w:val="-1"/>
          <w:sz w:val="18"/>
          <w:szCs w:val="18"/>
        </w:rPr>
        <w:t>t</w:t>
      </w:r>
      <w:r w:rsidRPr="00895206">
        <w:rPr>
          <w:rFonts w:eastAsia="Arial" w:cs="Arial"/>
          <w:spacing w:val="-1"/>
          <w:position w:val="-1"/>
          <w:sz w:val="18"/>
          <w:szCs w:val="18"/>
        </w:rPr>
        <w:t>a</w:t>
      </w:r>
      <w:r w:rsidRPr="00895206">
        <w:rPr>
          <w:rFonts w:eastAsia="Arial" w:cs="Arial"/>
          <w:position w:val="-1"/>
          <w:sz w:val="18"/>
          <w:szCs w:val="18"/>
        </w:rPr>
        <w:t>l</w:t>
      </w:r>
      <w:r w:rsidRPr="00895206">
        <w:rPr>
          <w:rFonts w:eastAsia="Arial" w:cs="Arial"/>
          <w:spacing w:val="8"/>
          <w:position w:val="-1"/>
          <w:sz w:val="18"/>
          <w:szCs w:val="18"/>
        </w:rPr>
        <w:t xml:space="preserve"> </w:t>
      </w:r>
      <w:r w:rsidRPr="00895206">
        <w:rPr>
          <w:rFonts w:eastAsia="Arial" w:cs="Arial"/>
          <w:position w:val="-1"/>
          <w:sz w:val="18"/>
          <w:szCs w:val="18"/>
        </w:rPr>
        <w:t>a</w:t>
      </w:r>
      <w:r w:rsidRPr="00895206">
        <w:rPr>
          <w:rFonts w:eastAsia="Arial" w:cs="Arial"/>
          <w:spacing w:val="3"/>
          <w:position w:val="-1"/>
          <w:sz w:val="18"/>
          <w:szCs w:val="18"/>
        </w:rPr>
        <w:t xml:space="preserve"> </w:t>
      </w:r>
      <w:r w:rsidRPr="00895206">
        <w:rPr>
          <w:rFonts w:eastAsia="Arial" w:cs="Arial"/>
          <w:spacing w:val="-1"/>
          <w:position w:val="-1"/>
          <w:sz w:val="18"/>
          <w:szCs w:val="18"/>
        </w:rPr>
        <w:t>p</w:t>
      </w:r>
      <w:r w:rsidRPr="00895206">
        <w:rPr>
          <w:rFonts w:eastAsia="Arial" w:cs="Arial"/>
          <w:spacing w:val="1"/>
          <w:position w:val="-1"/>
          <w:sz w:val="18"/>
          <w:szCs w:val="18"/>
        </w:rPr>
        <w:t>r</w:t>
      </w:r>
      <w:r w:rsidRPr="00895206">
        <w:rPr>
          <w:rFonts w:eastAsia="Arial" w:cs="Arial"/>
          <w:spacing w:val="-5"/>
          <w:position w:val="-1"/>
          <w:sz w:val="18"/>
          <w:szCs w:val="18"/>
        </w:rPr>
        <w:t>e</w:t>
      </w:r>
      <w:r w:rsidRPr="00895206">
        <w:rPr>
          <w:rFonts w:eastAsia="Arial" w:cs="Arial"/>
          <w:position w:val="-1"/>
          <w:sz w:val="18"/>
          <w:szCs w:val="18"/>
        </w:rPr>
        <w:t>c</w:t>
      </w:r>
      <w:r w:rsidRPr="00895206">
        <w:rPr>
          <w:rFonts w:eastAsia="Arial" w:cs="Arial"/>
          <w:spacing w:val="3"/>
          <w:position w:val="-1"/>
          <w:sz w:val="18"/>
          <w:szCs w:val="18"/>
        </w:rPr>
        <w:t>i</w:t>
      </w:r>
      <w:r w:rsidRPr="00895206">
        <w:rPr>
          <w:rFonts w:eastAsia="Arial" w:cs="Arial"/>
          <w:spacing w:val="-1"/>
          <w:position w:val="-1"/>
          <w:sz w:val="18"/>
          <w:szCs w:val="18"/>
        </w:rPr>
        <w:t>o</w:t>
      </w:r>
      <w:r w:rsidRPr="00895206">
        <w:rPr>
          <w:rFonts w:eastAsia="Arial" w:cs="Arial"/>
          <w:position w:val="-1"/>
          <w:sz w:val="18"/>
          <w:szCs w:val="18"/>
        </w:rPr>
        <w:t>s</w:t>
      </w:r>
      <w:r w:rsidRPr="00895206">
        <w:rPr>
          <w:rFonts w:eastAsia="Arial" w:cs="Arial"/>
          <w:spacing w:val="8"/>
          <w:position w:val="-1"/>
          <w:sz w:val="18"/>
          <w:szCs w:val="18"/>
        </w:rPr>
        <w:t xml:space="preserve"> </w:t>
      </w:r>
      <w:r w:rsidRPr="00895206">
        <w:rPr>
          <w:rFonts w:eastAsia="Arial" w:cs="Arial"/>
          <w:spacing w:val="-1"/>
          <w:position w:val="-1"/>
          <w:sz w:val="18"/>
          <w:szCs w:val="18"/>
        </w:rPr>
        <w:t>d</w:t>
      </w:r>
      <w:r w:rsidRPr="00895206">
        <w:rPr>
          <w:rFonts w:eastAsia="Arial" w:cs="Arial"/>
          <w:position w:val="-1"/>
          <w:sz w:val="18"/>
          <w:szCs w:val="18"/>
        </w:rPr>
        <w:t>e</w:t>
      </w:r>
      <w:r w:rsidRPr="00895206">
        <w:rPr>
          <w:rFonts w:eastAsia="Arial" w:cs="Arial"/>
          <w:spacing w:val="-1"/>
          <w:position w:val="-1"/>
          <w:sz w:val="18"/>
          <w:szCs w:val="18"/>
        </w:rPr>
        <w:t xml:space="preserve"> </w:t>
      </w:r>
      <w:r w:rsidRPr="00895206">
        <w:rPr>
          <w:rFonts w:eastAsia="Arial" w:cs="Arial"/>
          <w:spacing w:val="6"/>
          <w:w w:val="101"/>
          <w:position w:val="-1"/>
          <w:sz w:val="18"/>
          <w:szCs w:val="18"/>
        </w:rPr>
        <w:t>m</w:t>
      </w:r>
      <w:r w:rsidRPr="00895206">
        <w:rPr>
          <w:rFonts w:eastAsia="Arial" w:cs="Arial"/>
          <w:spacing w:val="-5"/>
          <w:w w:val="101"/>
          <w:position w:val="-1"/>
          <w:sz w:val="18"/>
          <w:szCs w:val="18"/>
        </w:rPr>
        <w:t>e</w:t>
      </w:r>
      <w:r w:rsidRPr="00895206">
        <w:rPr>
          <w:rFonts w:eastAsia="Arial" w:cs="Arial"/>
          <w:spacing w:val="1"/>
          <w:w w:val="101"/>
          <w:position w:val="-1"/>
          <w:sz w:val="18"/>
          <w:szCs w:val="18"/>
        </w:rPr>
        <w:t>r</w:t>
      </w:r>
      <w:r w:rsidRPr="00895206">
        <w:rPr>
          <w:rFonts w:eastAsia="Arial" w:cs="Arial"/>
          <w:w w:val="101"/>
          <w:position w:val="-1"/>
          <w:sz w:val="18"/>
          <w:szCs w:val="18"/>
        </w:rPr>
        <w:t>c</w:t>
      </w:r>
      <w:r w:rsidRPr="00895206">
        <w:rPr>
          <w:rFonts w:eastAsia="Arial" w:cs="Arial"/>
          <w:spacing w:val="-1"/>
          <w:w w:val="101"/>
          <w:position w:val="-1"/>
          <w:sz w:val="18"/>
          <w:szCs w:val="18"/>
        </w:rPr>
        <w:t>ado</w:t>
      </w:r>
      <w:r w:rsidRPr="00895206">
        <w:rPr>
          <w:rFonts w:eastAsia="Arial" w:cs="Arial"/>
          <w:w w:val="101"/>
          <w:position w:val="-1"/>
          <w:sz w:val="18"/>
          <w:szCs w:val="18"/>
        </w:rPr>
        <w:t>)</w:t>
      </w:r>
    </w:p>
    <w:tbl>
      <w:tblPr>
        <w:tblW w:w="8052" w:type="dxa"/>
        <w:jc w:val="center"/>
        <w:tblCellMar>
          <w:left w:w="70" w:type="dxa"/>
          <w:right w:w="70" w:type="dxa"/>
        </w:tblCellMar>
        <w:tblLook w:val="04A0" w:firstRow="1" w:lastRow="0" w:firstColumn="1" w:lastColumn="0" w:noHBand="0" w:noVBand="1"/>
      </w:tblPr>
      <w:tblGrid>
        <w:gridCol w:w="511"/>
        <w:gridCol w:w="3920"/>
        <w:gridCol w:w="2194"/>
        <w:gridCol w:w="1427"/>
      </w:tblGrid>
      <w:tr w:rsidR="0046008A" w:rsidRPr="00FA1144" w14:paraId="6D9E14EE" w14:textId="77777777" w:rsidTr="000C6BA3">
        <w:trPr>
          <w:trHeight w:val="450"/>
          <w:jc w:val="center"/>
        </w:trPr>
        <w:tc>
          <w:tcPr>
            <w:tcW w:w="511" w:type="dxa"/>
            <w:tcBorders>
              <w:top w:val="single" w:sz="4" w:space="0" w:color="auto"/>
              <w:left w:val="single" w:sz="4" w:space="0" w:color="auto"/>
              <w:bottom w:val="nil"/>
              <w:right w:val="single" w:sz="4" w:space="0" w:color="auto"/>
            </w:tcBorders>
            <w:shd w:val="clear" w:color="000000" w:fill="203764"/>
            <w:vAlign w:val="center"/>
            <w:hideMark/>
          </w:tcPr>
          <w:p w14:paraId="0FD14C00" w14:textId="22021477" w:rsidR="0046008A" w:rsidRPr="00A850AD" w:rsidRDefault="0046008A" w:rsidP="003C407E">
            <w:pPr>
              <w:widowControl/>
              <w:spacing w:after="0" w:line="240" w:lineRule="auto"/>
              <w:jc w:val="center"/>
              <w:rPr>
                <w:rFonts w:eastAsia="Times New Roman" w:cs="Arial"/>
                <w:b/>
                <w:bCs/>
                <w:color w:val="FFFFFF"/>
                <w:sz w:val="20"/>
                <w:szCs w:val="20"/>
                <w:lang w:eastAsia="es-MX"/>
              </w:rPr>
            </w:pPr>
            <w:r w:rsidRPr="00A850AD">
              <w:rPr>
                <w:rFonts w:eastAsia="Times New Roman" w:cs="Arial"/>
                <w:b/>
                <w:bCs/>
                <w:color w:val="FFFFFF"/>
                <w:sz w:val="20"/>
                <w:szCs w:val="20"/>
                <w:lang w:eastAsia="es-MX"/>
              </w:rPr>
              <w:t> </w:t>
            </w:r>
          </w:p>
        </w:tc>
        <w:tc>
          <w:tcPr>
            <w:tcW w:w="3920" w:type="dxa"/>
            <w:tcBorders>
              <w:top w:val="single" w:sz="4" w:space="0" w:color="auto"/>
              <w:left w:val="nil"/>
              <w:bottom w:val="nil"/>
              <w:right w:val="single" w:sz="4" w:space="0" w:color="auto"/>
            </w:tcBorders>
            <w:shd w:val="clear" w:color="000000" w:fill="203764"/>
            <w:vAlign w:val="center"/>
            <w:hideMark/>
          </w:tcPr>
          <w:p w14:paraId="6B5D6282" w14:textId="77777777" w:rsidR="0046008A" w:rsidRPr="00FA1144" w:rsidRDefault="0046008A" w:rsidP="003C407E">
            <w:pPr>
              <w:widowControl/>
              <w:spacing w:after="0" w:line="240" w:lineRule="auto"/>
              <w:jc w:val="center"/>
              <w:rPr>
                <w:rFonts w:eastAsia="Times New Roman" w:cs="Arial"/>
                <w:b/>
                <w:bCs/>
                <w:color w:val="FFFFFF"/>
                <w:sz w:val="20"/>
                <w:szCs w:val="20"/>
                <w:lang w:eastAsia="es-MX"/>
              </w:rPr>
            </w:pPr>
            <w:r w:rsidRPr="00FA1144">
              <w:rPr>
                <w:rFonts w:eastAsia="Times New Roman" w:cs="Arial"/>
                <w:b/>
                <w:bCs/>
                <w:color w:val="FFFFFF"/>
                <w:sz w:val="20"/>
                <w:szCs w:val="20"/>
                <w:lang w:eastAsia="es-MX"/>
              </w:rPr>
              <w:t>Concepto</w:t>
            </w:r>
          </w:p>
        </w:tc>
        <w:tc>
          <w:tcPr>
            <w:tcW w:w="2194" w:type="dxa"/>
            <w:tcBorders>
              <w:top w:val="single" w:sz="4" w:space="0" w:color="auto"/>
              <w:left w:val="nil"/>
              <w:bottom w:val="nil"/>
              <w:right w:val="single" w:sz="4" w:space="0" w:color="auto"/>
            </w:tcBorders>
            <w:shd w:val="clear" w:color="000000" w:fill="203764"/>
            <w:vAlign w:val="center"/>
            <w:hideMark/>
          </w:tcPr>
          <w:p w14:paraId="7898FA82" w14:textId="77777777" w:rsidR="0046008A" w:rsidRPr="00FA1144" w:rsidRDefault="0046008A" w:rsidP="003C407E">
            <w:pPr>
              <w:widowControl/>
              <w:spacing w:after="0" w:line="240" w:lineRule="auto"/>
              <w:jc w:val="center"/>
              <w:rPr>
                <w:rFonts w:eastAsia="Times New Roman" w:cs="Arial"/>
                <w:b/>
                <w:bCs/>
                <w:color w:val="FFFFFF"/>
                <w:sz w:val="20"/>
                <w:szCs w:val="20"/>
                <w:lang w:eastAsia="es-MX"/>
              </w:rPr>
            </w:pPr>
            <w:r w:rsidRPr="00FA1144">
              <w:rPr>
                <w:rFonts w:eastAsia="Times New Roman" w:cs="Arial"/>
                <w:b/>
                <w:bCs/>
                <w:color w:val="FFFFFF"/>
                <w:sz w:val="20"/>
                <w:szCs w:val="20"/>
                <w:lang w:eastAsia="es-MX"/>
              </w:rPr>
              <w:t>Valores absolutos</w:t>
            </w:r>
          </w:p>
        </w:tc>
        <w:tc>
          <w:tcPr>
            <w:tcW w:w="1427" w:type="dxa"/>
            <w:tcBorders>
              <w:top w:val="single" w:sz="4" w:space="0" w:color="auto"/>
              <w:left w:val="nil"/>
              <w:bottom w:val="nil"/>
              <w:right w:val="single" w:sz="4" w:space="0" w:color="auto"/>
            </w:tcBorders>
            <w:shd w:val="clear" w:color="000000" w:fill="203764"/>
            <w:vAlign w:val="center"/>
            <w:hideMark/>
          </w:tcPr>
          <w:p w14:paraId="1FCF4530" w14:textId="77777777" w:rsidR="0046008A" w:rsidRPr="00FA1144" w:rsidRDefault="0046008A" w:rsidP="003C407E">
            <w:pPr>
              <w:widowControl/>
              <w:spacing w:after="0" w:line="240" w:lineRule="auto"/>
              <w:jc w:val="center"/>
              <w:rPr>
                <w:rFonts w:eastAsia="Times New Roman" w:cs="Arial"/>
                <w:b/>
                <w:bCs/>
                <w:color w:val="FFFFFF"/>
                <w:sz w:val="20"/>
                <w:szCs w:val="20"/>
                <w:lang w:eastAsia="es-MX"/>
              </w:rPr>
            </w:pPr>
            <w:r w:rsidRPr="00FA1144">
              <w:rPr>
                <w:rFonts w:eastAsia="Times New Roman" w:cs="Arial"/>
                <w:b/>
                <w:bCs/>
                <w:color w:val="FFFFFF"/>
                <w:sz w:val="20"/>
                <w:szCs w:val="20"/>
                <w:lang w:eastAsia="es-MX"/>
              </w:rPr>
              <w:t>%</w:t>
            </w:r>
          </w:p>
        </w:tc>
      </w:tr>
      <w:tr w:rsidR="0046008A" w:rsidRPr="00FA1144" w14:paraId="7D9CA9E7" w14:textId="77777777" w:rsidTr="000C6BA3">
        <w:trPr>
          <w:trHeight w:val="298"/>
          <w:jc w:val="center"/>
        </w:trPr>
        <w:tc>
          <w:tcPr>
            <w:tcW w:w="511" w:type="dxa"/>
            <w:tcBorders>
              <w:top w:val="nil"/>
              <w:left w:val="single" w:sz="4" w:space="0" w:color="auto"/>
              <w:bottom w:val="nil"/>
              <w:right w:val="single" w:sz="4" w:space="0" w:color="auto"/>
            </w:tcBorders>
            <w:shd w:val="clear" w:color="000000" w:fill="FFF2CC"/>
            <w:noWrap/>
            <w:vAlign w:val="center"/>
            <w:hideMark/>
          </w:tcPr>
          <w:p w14:paraId="6495EE23" w14:textId="77777777" w:rsidR="0046008A" w:rsidRPr="000C6BA3" w:rsidRDefault="0046008A" w:rsidP="003C407E">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 </w:t>
            </w:r>
          </w:p>
        </w:tc>
        <w:tc>
          <w:tcPr>
            <w:tcW w:w="3920" w:type="dxa"/>
            <w:tcBorders>
              <w:top w:val="nil"/>
              <w:left w:val="nil"/>
              <w:bottom w:val="nil"/>
              <w:right w:val="nil"/>
            </w:tcBorders>
            <w:shd w:val="clear" w:color="000000" w:fill="FFF2CC"/>
            <w:noWrap/>
            <w:vAlign w:val="center"/>
            <w:hideMark/>
          </w:tcPr>
          <w:p w14:paraId="66DDA255" w14:textId="77777777" w:rsidR="0046008A" w:rsidRPr="00A850AD" w:rsidRDefault="0046008A" w:rsidP="003C407E">
            <w:pPr>
              <w:widowControl/>
              <w:spacing w:after="0" w:line="240" w:lineRule="auto"/>
              <w:rPr>
                <w:rFonts w:eastAsia="Times New Roman" w:cs="Arial"/>
                <w:b/>
                <w:bCs/>
                <w:color w:val="000000"/>
                <w:sz w:val="20"/>
                <w:szCs w:val="20"/>
                <w:lang w:eastAsia="es-MX"/>
              </w:rPr>
            </w:pPr>
            <w:r w:rsidRPr="00A850AD">
              <w:rPr>
                <w:rFonts w:eastAsia="Times New Roman" w:cs="Arial"/>
                <w:b/>
                <w:bCs/>
                <w:color w:val="000000"/>
                <w:sz w:val="20"/>
                <w:szCs w:val="20"/>
                <w:lang w:eastAsia="es-MX"/>
              </w:rPr>
              <w:t>Producto Interno Bruto</w:t>
            </w:r>
          </w:p>
        </w:tc>
        <w:tc>
          <w:tcPr>
            <w:tcW w:w="2194" w:type="dxa"/>
            <w:tcBorders>
              <w:top w:val="nil"/>
              <w:left w:val="single" w:sz="4" w:space="0" w:color="auto"/>
              <w:bottom w:val="nil"/>
              <w:right w:val="single" w:sz="4" w:space="0" w:color="auto"/>
            </w:tcBorders>
            <w:shd w:val="clear" w:color="000000" w:fill="FFF2CC"/>
            <w:noWrap/>
            <w:vAlign w:val="center"/>
            <w:hideMark/>
          </w:tcPr>
          <w:p w14:paraId="5FA98D1D" w14:textId="77777777" w:rsidR="0046008A" w:rsidRPr="000C6BA3" w:rsidRDefault="0046008A" w:rsidP="003C407E">
            <w:pPr>
              <w:widowControl/>
              <w:spacing w:after="0" w:line="240" w:lineRule="auto"/>
              <w:ind w:firstLineChars="100" w:firstLine="221"/>
              <w:jc w:val="right"/>
              <w:rPr>
                <w:rFonts w:eastAsia="Times New Roman" w:cs="Arial"/>
                <w:b/>
                <w:bCs/>
                <w:color w:val="000000"/>
                <w:sz w:val="22"/>
                <w:lang w:eastAsia="es-MX"/>
              </w:rPr>
            </w:pPr>
            <w:r w:rsidRPr="000C6BA3">
              <w:rPr>
                <w:rFonts w:eastAsia="Times New Roman" w:cs="Arial"/>
                <w:b/>
                <w:bCs/>
                <w:color w:val="000000"/>
                <w:sz w:val="22"/>
                <w:lang w:eastAsia="es-MX"/>
              </w:rPr>
              <w:t xml:space="preserve"> 25 803 508</w:t>
            </w:r>
          </w:p>
        </w:tc>
        <w:tc>
          <w:tcPr>
            <w:tcW w:w="1427" w:type="dxa"/>
            <w:tcBorders>
              <w:top w:val="nil"/>
              <w:left w:val="nil"/>
              <w:bottom w:val="nil"/>
              <w:right w:val="single" w:sz="4" w:space="0" w:color="auto"/>
            </w:tcBorders>
            <w:shd w:val="clear" w:color="000000" w:fill="FFF2CC"/>
            <w:noWrap/>
            <w:vAlign w:val="center"/>
            <w:hideMark/>
          </w:tcPr>
          <w:p w14:paraId="06978381" w14:textId="77777777" w:rsidR="0046008A" w:rsidRPr="000C6BA3" w:rsidRDefault="0046008A" w:rsidP="003C407E">
            <w:pPr>
              <w:widowControl/>
              <w:spacing w:after="0" w:line="240" w:lineRule="auto"/>
              <w:ind w:firstLineChars="100" w:firstLine="221"/>
              <w:jc w:val="right"/>
              <w:rPr>
                <w:rFonts w:eastAsia="Times New Roman" w:cs="Arial"/>
                <w:b/>
                <w:bCs/>
                <w:color w:val="000000"/>
                <w:sz w:val="22"/>
                <w:lang w:eastAsia="es-MX"/>
              </w:rPr>
            </w:pPr>
            <w:r w:rsidRPr="000C6BA3">
              <w:rPr>
                <w:rFonts w:eastAsia="Times New Roman" w:cs="Arial"/>
                <w:b/>
                <w:bCs/>
                <w:color w:val="000000"/>
                <w:sz w:val="22"/>
                <w:lang w:eastAsia="es-MX"/>
              </w:rPr>
              <w:t>100.0</w:t>
            </w:r>
          </w:p>
        </w:tc>
      </w:tr>
      <w:tr w:rsidR="0046008A" w:rsidRPr="00FA1144" w14:paraId="6266F073" w14:textId="77777777" w:rsidTr="000C6BA3">
        <w:trPr>
          <w:trHeight w:val="254"/>
          <w:jc w:val="center"/>
        </w:trPr>
        <w:tc>
          <w:tcPr>
            <w:tcW w:w="511" w:type="dxa"/>
            <w:tcBorders>
              <w:top w:val="nil"/>
              <w:left w:val="single" w:sz="4" w:space="0" w:color="auto"/>
              <w:bottom w:val="nil"/>
              <w:right w:val="single" w:sz="4" w:space="0" w:color="auto"/>
            </w:tcBorders>
            <w:shd w:val="clear" w:color="auto" w:fill="auto"/>
            <w:noWrap/>
            <w:vAlign w:val="center"/>
            <w:hideMark/>
          </w:tcPr>
          <w:p w14:paraId="7E2EEC0A" w14:textId="2ADDCCE0" w:rsidR="0046008A" w:rsidRPr="000C6BA3" w:rsidRDefault="0046008A" w:rsidP="003C407E">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 </w:t>
            </w:r>
            <w:r w:rsidR="00FA1144" w:rsidRPr="000C6BA3">
              <w:rPr>
                <w:rFonts w:eastAsia="Times New Roman" w:cs="Arial"/>
                <w:color w:val="000000"/>
                <w:sz w:val="22"/>
                <w:lang w:eastAsia="es-MX"/>
              </w:rPr>
              <w:t>(+)</w:t>
            </w:r>
          </w:p>
        </w:tc>
        <w:tc>
          <w:tcPr>
            <w:tcW w:w="3920" w:type="dxa"/>
            <w:tcBorders>
              <w:top w:val="nil"/>
              <w:left w:val="nil"/>
              <w:bottom w:val="nil"/>
              <w:right w:val="single" w:sz="4" w:space="0" w:color="auto"/>
            </w:tcBorders>
            <w:shd w:val="clear" w:color="auto" w:fill="auto"/>
            <w:noWrap/>
            <w:vAlign w:val="center"/>
            <w:hideMark/>
          </w:tcPr>
          <w:p w14:paraId="692235D7" w14:textId="77777777" w:rsidR="0046008A" w:rsidRPr="000C6BA3" w:rsidRDefault="0046008A" w:rsidP="003C407E">
            <w:pPr>
              <w:widowControl/>
              <w:spacing w:after="0" w:line="240" w:lineRule="auto"/>
              <w:rPr>
                <w:rFonts w:eastAsia="Times New Roman" w:cs="Arial"/>
                <w:color w:val="000000"/>
                <w:sz w:val="22"/>
                <w:lang w:eastAsia="es-MX"/>
              </w:rPr>
            </w:pPr>
            <w:r w:rsidRPr="000C6BA3">
              <w:rPr>
                <w:rFonts w:eastAsia="Times New Roman" w:cs="Arial"/>
                <w:color w:val="000000"/>
                <w:sz w:val="22"/>
                <w:lang w:eastAsia="es-MX"/>
              </w:rPr>
              <w:t>Remuneraciones</w:t>
            </w:r>
          </w:p>
        </w:tc>
        <w:tc>
          <w:tcPr>
            <w:tcW w:w="2194" w:type="dxa"/>
            <w:tcBorders>
              <w:top w:val="nil"/>
              <w:left w:val="nil"/>
              <w:bottom w:val="nil"/>
              <w:right w:val="single" w:sz="4" w:space="0" w:color="auto"/>
            </w:tcBorders>
            <w:shd w:val="clear" w:color="auto" w:fill="auto"/>
            <w:noWrap/>
            <w:vAlign w:val="center"/>
            <w:hideMark/>
          </w:tcPr>
          <w:p w14:paraId="60785CD5" w14:textId="77777777" w:rsidR="0046008A" w:rsidRPr="000C6BA3" w:rsidRDefault="0046008A" w:rsidP="003C407E">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 xml:space="preserve"> 7 214 544</w:t>
            </w:r>
          </w:p>
        </w:tc>
        <w:tc>
          <w:tcPr>
            <w:tcW w:w="1427" w:type="dxa"/>
            <w:tcBorders>
              <w:top w:val="nil"/>
              <w:left w:val="nil"/>
              <w:bottom w:val="nil"/>
              <w:right w:val="single" w:sz="4" w:space="0" w:color="auto"/>
            </w:tcBorders>
            <w:shd w:val="clear" w:color="auto" w:fill="auto"/>
            <w:noWrap/>
            <w:vAlign w:val="center"/>
            <w:hideMark/>
          </w:tcPr>
          <w:p w14:paraId="048E4E85"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28.0</w:t>
            </w:r>
          </w:p>
        </w:tc>
      </w:tr>
      <w:tr w:rsidR="0046008A" w:rsidRPr="00FA1144" w14:paraId="547CD31B" w14:textId="77777777" w:rsidTr="000C6BA3">
        <w:trPr>
          <w:trHeight w:val="254"/>
          <w:jc w:val="center"/>
        </w:trPr>
        <w:tc>
          <w:tcPr>
            <w:tcW w:w="511" w:type="dxa"/>
            <w:tcBorders>
              <w:top w:val="nil"/>
              <w:left w:val="single" w:sz="4" w:space="0" w:color="auto"/>
              <w:bottom w:val="nil"/>
              <w:right w:val="single" w:sz="4" w:space="0" w:color="auto"/>
            </w:tcBorders>
            <w:shd w:val="clear" w:color="auto" w:fill="auto"/>
            <w:noWrap/>
            <w:vAlign w:val="center"/>
            <w:hideMark/>
          </w:tcPr>
          <w:p w14:paraId="22234518" w14:textId="51892A14" w:rsidR="0046008A" w:rsidRPr="000C6BA3" w:rsidRDefault="0046008A" w:rsidP="0046008A">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 </w:t>
            </w:r>
            <w:r w:rsidR="00FA1144" w:rsidRPr="000C6BA3">
              <w:rPr>
                <w:rFonts w:eastAsia="Times New Roman" w:cs="Arial"/>
                <w:color w:val="000000"/>
                <w:sz w:val="22"/>
                <w:lang w:eastAsia="es-MX"/>
              </w:rPr>
              <w:t>(+)</w:t>
            </w:r>
          </w:p>
        </w:tc>
        <w:tc>
          <w:tcPr>
            <w:tcW w:w="3920" w:type="dxa"/>
            <w:tcBorders>
              <w:top w:val="nil"/>
              <w:left w:val="nil"/>
              <w:bottom w:val="nil"/>
              <w:right w:val="single" w:sz="4" w:space="0" w:color="auto"/>
            </w:tcBorders>
            <w:shd w:val="clear" w:color="auto" w:fill="auto"/>
            <w:vAlign w:val="center"/>
            <w:hideMark/>
          </w:tcPr>
          <w:p w14:paraId="3E1E70FA" w14:textId="77777777" w:rsidR="0046008A" w:rsidRPr="000C6BA3" w:rsidRDefault="0046008A" w:rsidP="0046008A">
            <w:pPr>
              <w:widowControl/>
              <w:spacing w:after="0" w:line="240" w:lineRule="auto"/>
              <w:rPr>
                <w:rFonts w:eastAsia="Times New Roman" w:cs="Arial"/>
                <w:color w:val="000000"/>
                <w:sz w:val="22"/>
                <w:lang w:eastAsia="es-MX"/>
              </w:rPr>
            </w:pPr>
            <w:r w:rsidRPr="000C6BA3">
              <w:rPr>
                <w:rFonts w:eastAsia="Times New Roman" w:cs="Arial"/>
                <w:color w:val="000000"/>
                <w:sz w:val="22"/>
                <w:lang w:eastAsia="es-MX"/>
              </w:rPr>
              <w:t>Excedente bruto de operación</w:t>
            </w:r>
          </w:p>
        </w:tc>
        <w:tc>
          <w:tcPr>
            <w:tcW w:w="2194" w:type="dxa"/>
            <w:tcBorders>
              <w:top w:val="nil"/>
              <w:left w:val="nil"/>
              <w:bottom w:val="nil"/>
              <w:right w:val="single" w:sz="4" w:space="0" w:color="auto"/>
            </w:tcBorders>
            <w:shd w:val="clear" w:color="auto" w:fill="auto"/>
            <w:noWrap/>
            <w:vAlign w:val="center"/>
            <w:hideMark/>
          </w:tcPr>
          <w:p w14:paraId="30E0F6B2"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 xml:space="preserve"> 11 339 876</w:t>
            </w:r>
          </w:p>
        </w:tc>
        <w:tc>
          <w:tcPr>
            <w:tcW w:w="1427" w:type="dxa"/>
            <w:tcBorders>
              <w:top w:val="nil"/>
              <w:left w:val="nil"/>
              <w:bottom w:val="nil"/>
              <w:right w:val="single" w:sz="4" w:space="0" w:color="auto"/>
            </w:tcBorders>
            <w:shd w:val="clear" w:color="auto" w:fill="auto"/>
            <w:noWrap/>
            <w:vAlign w:val="center"/>
            <w:hideMark/>
          </w:tcPr>
          <w:p w14:paraId="4164D644"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43.9</w:t>
            </w:r>
          </w:p>
        </w:tc>
      </w:tr>
      <w:tr w:rsidR="0046008A" w:rsidRPr="00FA1144" w14:paraId="31F48B7F" w14:textId="77777777" w:rsidTr="000C6BA3">
        <w:trPr>
          <w:trHeight w:val="254"/>
          <w:jc w:val="center"/>
        </w:trPr>
        <w:tc>
          <w:tcPr>
            <w:tcW w:w="511" w:type="dxa"/>
            <w:tcBorders>
              <w:top w:val="nil"/>
              <w:left w:val="single" w:sz="4" w:space="0" w:color="auto"/>
              <w:bottom w:val="nil"/>
              <w:right w:val="single" w:sz="4" w:space="0" w:color="auto"/>
            </w:tcBorders>
            <w:shd w:val="clear" w:color="auto" w:fill="auto"/>
            <w:noWrap/>
            <w:vAlign w:val="center"/>
            <w:hideMark/>
          </w:tcPr>
          <w:p w14:paraId="53BB9BEF" w14:textId="76D62DC4" w:rsidR="0046008A" w:rsidRPr="000C6BA3" w:rsidRDefault="0046008A" w:rsidP="0046008A">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 </w:t>
            </w:r>
            <w:r w:rsidR="00FA1144" w:rsidRPr="000C6BA3">
              <w:rPr>
                <w:rFonts w:eastAsia="Times New Roman" w:cs="Arial"/>
                <w:color w:val="000000"/>
                <w:sz w:val="22"/>
                <w:lang w:eastAsia="es-MX"/>
              </w:rPr>
              <w:t>(+)</w:t>
            </w:r>
          </w:p>
        </w:tc>
        <w:tc>
          <w:tcPr>
            <w:tcW w:w="3920" w:type="dxa"/>
            <w:tcBorders>
              <w:top w:val="nil"/>
              <w:left w:val="nil"/>
              <w:bottom w:val="nil"/>
              <w:right w:val="single" w:sz="4" w:space="0" w:color="auto"/>
            </w:tcBorders>
            <w:shd w:val="clear" w:color="auto" w:fill="auto"/>
            <w:noWrap/>
            <w:vAlign w:val="center"/>
            <w:hideMark/>
          </w:tcPr>
          <w:p w14:paraId="5F59F398" w14:textId="77777777" w:rsidR="0046008A" w:rsidRPr="000C6BA3" w:rsidRDefault="0046008A" w:rsidP="0046008A">
            <w:pPr>
              <w:widowControl/>
              <w:spacing w:after="0" w:line="240" w:lineRule="auto"/>
              <w:rPr>
                <w:rFonts w:eastAsia="Times New Roman" w:cs="Arial"/>
                <w:color w:val="000000"/>
                <w:sz w:val="22"/>
                <w:lang w:eastAsia="es-MX"/>
              </w:rPr>
            </w:pPr>
            <w:r w:rsidRPr="000C6BA3">
              <w:rPr>
                <w:rFonts w:eastAsia="Times New Roman" w:cs="Arial"/>
                <w:color w:val="000000"/>
                <w:sz w:val="22"/>
                <w:lang w:eastAsia="es-MX"/>
              </w:rPr>
              <w:t>Ingreso mixto bruto</w:t>
            </w:r>
          </w:p>
        </w:tc>
        <w:tc>
          <w:tcPr>
            <w:tcW w:w="2194" w:type="dxa"/>
            <w:tcBorders>
              <w:top w:val="nil"/>
              <w:left w:val="nil"/>
              <w:bottom w:val="nil"/>
              <w:right w:val="single" w:sz="4" w:space="0" w:color="auto"/>
            </w:tcBorders>
            <w:shd w:val="clear" w:color="auto" w:fill="auto"/>
            <w:noWrap/>
            <w:vAlign w:val="center"/>
            <w:hideMark/>
          </w:tcPr>
          <w:p w14:paraId="18E2EAE8"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 xml:space="preserve"> 5 514 623</w:t>
            </w:r>
          </w:p>
        </w:tc>
        <w:tc>
          <w:tcPr>
            <w:tcW w:w="1427" w:type="dxa"/>
            <w:tcBorders>
              <w:top w:val="nil"/>
              <w:left w:val="nil"/>
              <w:bottom w:val="nil"/>
              <w:right w:val="single" w:sz="4" w:space="0" w:color="auto"/>
            </w:tcBorders>
            <w:shd w:val="clear" w:color="auto" w:fill="auto"/>
            <w:noWrap/>
            <w:vAlign w:val="center"/>
            <w:hideMark/>
          </w:tcPr>
          <w:p w14:paraId="545A9435"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21.4</w:t>
            </w:r>
          </w:p>
        </w:tc>
      </w:tr>
      <w:tr w:rsidR="0046008A" w:rsidRPr="00FA1144" w14:paraId="7CFD82B6" w14:textId="77777777" w:rsidTr="000C6BA3">
        <w:trPr>
          <w:trHeight w:val="612"/>
          <w:jc w:val="center"/>
        </w:trPr>
        <w:tc>
          <w:tcPr>
            <w:tcW w:w="511" w:type="dxa"/>
            <w:tcBorders>
              <w:top w:val="nil"/>
              <w:left w:val="single" w:sz="4" w:space="0" w:color="auto"/>
              <w:bottom w:val="nil"/>
              <w:right w:val="single" w:sz="4" w:space="0" w:color="auto"/>
            </w:tcBorders>
            <w:shd w:val="clear" w:color="auto" w:fill="auto"/>
            <w:noWrap/>
            <w:vAlign w:val="center"/>
            <w:hideMark/>
          </w:tcPr>
          <w:p w14:paraId="0D98639A" w14:textId="2AE2EFC1" w:rsidR="0046008A" w:rsidRPr="000C6BA3" w:rsidRDefault="0046008A" w:rsidP="0046008A">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 </w:t>
            </w:r>
            <w:r w:rsidR="00FA1144" w:rsidRPr="000C6BA3">
              <w:rPr>
                <w:rFonts w:eastAsia="Times New Roman" w:cs="Arial"/>
                <w:color w:val="000000"/>
                <w:sz w:val="22"/>
                <w:lang w:eastAsia="es-MX"/>
              </w:rPr>
              <w:t>(+)</w:t>
            </w:r>
          </w:p>
        </w:tc>
        <w:tc>
          <w:tcPr>
            <w:tcW w:w="3920" w:type="dxa"/>
            <w:tcBorders>
              <w:top w:val="nil"/>
              <w:left w:val="nil"/>
              <w:bottom w:val="nil"/>
              <w:right w:val="single" w:sz="4" w:space="0" w:color="auto"/>
            </w:tcBorders>
            <w:shd w:val="clear" w:color="auto" w:fill="auto"/>
            <w:vAlign w:val="center"/>
            <w:hideMark/>
          </w:tcPr>
          <w:p w14:paraId="2A31C3F8" w14:textId="77777777" w:rsidR="0046008A" w:rsidRPr="000C6BA3" w:rsidRDefault="0046008A" w:rsidP="0046008A">
            <w:pPr>
              <w:widowControl/>
              <w:spacing w:after="0" w:line="240" w:lineRule="auto"/>
              <w:rPr>
                <w:rFonts w:eastAsia="Times New Roman" w:cs="Arial"/>
                <w:color w:val="000000"/>
                <w:sz w:val="22"/>
                <w:lang w:eastAsia="es-MX"/>
              </w:rPr>
            </w:pPr>
            <w:r w:rsidRPr="000C6BA3">
              <w:rPr>
                <w:rFonts w:eastAsia="Times New Roman" w:cs="Arial"/>
                <w:color w:val="000000"/>
                <w:sz w:val="22"/>
                <w:lang w:eastAsia="es-MX"/>
              </w:rPr>
              <w:t>Impuestos sobre la producción y las importaciones netos de subsidios</w:t>
            </w:r>
          </w:p>
        </w:tc>
        <w:tc>
          <w:tcPr>
            <w:tcW w:w="2194" w:type="dxa"/>
            <w:tcBorders>
              <w:top w:val="nil"/>
              <w:left w:val="nil"/>
              <w:bottom w:val="nil"/>
              <w:right w:val="single" w:sz="4" w:space="0" w:color="auto"/>
            </w:tcBorders>
            <w:shd w:val="clear" w:color="auto" w:fill="auto"/>
            <w:noWrap/>
            <w:vAlign w:val="center"/>
            <w:hideMark/>
          </w:tcPr>
          <w:p w14:paraId="5237BD56"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 xml:space="preserve"> 1 734 465</w:t>
            </w:r>
          </w:p>
        </w:tc>
        <w:tc>
          <w:tcPr>
            <w:tcW w:w="1427" w:type="dxa"/>
            <w:tcBorders>
              <w:top w:val="nil"/>
              <w:left w:val="nil"/>
              <w:bottom w:val="nil"/>
              <w:right w:val="single" w:sz="4" w:space="0" w:color="auto"/>
            </w:tcBorders>
            <w:shd w:val="clear" w:color="auto" w:fill="auto"/>
            <w:noWrap/>
            <w:vAlign w:val="center"/>
            <w:hideMark/>
          </w:tcPr>
          <w:p w14:paraId="3F676795"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6.7</w:t>
            </w:r>
          </w:p>
        </w:tc>
      </w:tr>
      <w:tr w:rsidR="0046008A" w:rsidRPr="00FA1144" w14:paraId="45B16397" w14:textId="77777777" w:rsidTr="000C6BA3">
        <w:trPr>
          <w:trHeight w:val="254"/>
          <w:jc w:val="center"/>
        </w:trPr>
        <w:tc>
          <w:tcPr>
            <w:tcW w:w="511" w:type="dxa"/>
            <w:tcBorders>
              <w:top w:val="nil"/>
              <w:left w:val="single" w:sz="4" w:space="0" w:color="auto"/>
              <w:bottom w:val="nil"/>
              <w:right w:val="single" w:sz="4" w:space="0" w:color="auto"/>
            </w:tcBorders>
            <w:shd w:val="clear" w:color="000000" w:fill="DDEBF7"/>
            <w:noWrap/>
            <w:vAlign w:val="center"/>
            <w:hideMark/>
          </w:tcPr>
          <w:p w14:paraId="248C7A2D" w14:textId="77777777" w:rsidR="0046008A" w:rsidRPr="000C6BA3" w:rsidRDefault="0046008A" w:rsidP="0046008A">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w:t>
            </w:r>
          </w:p>
        </w:tc>
        <w:tc>
          <w:tcPr>
            <w:tcW w:w="3920" w:type="dxa"/>
            <w:tcBorders>
              <w:top w:val="nil"/>
              <w:left w:val="nil"/>
              <w:bottom w:val="nil"/>
              <w:right w:val="single" w:sz="4" w:space="0" w:color="auto"/>
            </w:tcBorders>
            <w:shd w:val="clear" w:color="000000" w:fill="DDEBF7"/>
            <w:vAlign w:val="center"/>
            <w:hideMark/>
          </w:tcPr>
          <w:p w14:paraId="3C37E624" w14:textId="77777777" w:rsidR="0046008A" w:rsidRPr="000C6BA3" w:rsidRDefault="0046008A" w:rsidP="0046008A">
            <w:pPr>
              <w:widowControl/>
              <w:spacing w:after="0" w:line="240" w:lineRule="auto"/>
              <w:rPr>
                <w:rFonts w:eastAsia="Times New Roman" w:cs="Arial"/>
                <w:color w:val="000000"/>
                <w:sz w:val="22"/>
                <w:lang w:eastAsia="es-MX"/>
              </w:rPr>
            </w:pPr>
            <w:r w:rsidRPr="000C6BA3">
              <w:rPr>
                <w:rFonts w:eastAsia="Times New Roman" w:cs="Arial"/>
                <w:color w:val="000000"/>
                <w:sz w:val="22"/>
                <w:lang w:eastAsia="es-MX"/>
              </w:rPr>
              <w:t xml:space="preserve">Remuneraciones netas con el exterior </w:t>
            </w:r>
          </w:p>
        </w:tc>
        <w:tc>
          <w:tcPr>
            <w:tcW w:w="2194" w:type="dxa"/>
            <w:tcBorders>
              <w:top w:val="nil"/>
              <w:left w:val="nil"/>
              <w:bottom w:val="nil"/>
              <w:right w:val="single" w:sz="4" w:space="0" w:color="auto"/>
            </w:tcBorders>
            <w:shd w:val="clear" w:color="000000" w:fill="DDEBF7"/>
            <w:noWrap/>
            <w:vAlign w:val="center"/>
            <w:hideMark/>
          </w:tcPr>
          <w:p w14:paraId="4784CC18"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 xml:space="preserve">  51 600</w:t>
            </w:r>
          </w:p>
        </w:tc>
        <w:tc>
          <w:tcPr>
            <w:tcW w:w="1427" w:type="dxa"/>
            <w:tcBorders>
              <w:top w:val="nil"/>
              <w:left w:val="nil"/>
              <w:bottom w:val="nil"/>
              <w:right w:val="single" w:sz="4" w:space="0" w:color="auto"/>
            </w:tcBorders>
            <w:shd w:val="clear" w:color="000000" w:fill="DDEBF7"/>
            <w:noWrap/>
            <w:vAlign w:val="center"/>
            <w:hideMark/>
          </w:tcPr>
          <w:p w14:paraId="4C968677"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0.2</w:t>
            </w:r>
          </w:p>
        </w:tc>
      </w:tr>
      <w:tr w:rsidR="0046008A" w:rsidRPr="00FA1144" w14:paraId="11E513AF" w14:textId="77777777" w:rsidTr="000C6BA3">
        <w:trPr>
          <w:trHeight w:val="509"/>
          <w:jc w:val="center"/>
        </w:trPr>
        <w:tc>
          <w:tcPr>
            <w:tcW w:w="511" w:type="dxa"/>
            <w:tcBorders>
              <w:top w:val="nil"/>
              <w:left w:val="single" w:sz="4" w:space="0" w:color="auto"/>
              <w:bottom w:val="nil"/>
              <w:right w:val="single" w:sz="4" w:space="0" w:color="auto"/>
            </w:tcBorders>
            <w:shd w:val="clear" w:color="000000" w:fill="DDEBF7"/>
            <w:noWrap/>
            <w:vAlign w:val="center"/>
            <w:hideMark/>
          </w:tcPr>
          <w:p w14:paraId="414661F6" w14:textId="77777777" w:rsidR="0046008A" w:rsidRPr="000C6BA3" w:rsidRDefault="0046008A" w:rsidP="0046008A">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w:t>
            </w:r>
          </w:p>
        </w:tc>
        <w:tc>
          <w:tcPr>
            <w:tcW w:w="3920" w:type="dxa"/>
            <w:tcBorders>
              <w:top w:val="nil"/>
              <w:left w:val="nil"/>
              <w:bottom w:val="nil"/>
              <w:right w:val="single" w:sz="4" w:space="0" w:color="auto"/>
            </w:tcBorders>
            <w:shd w:val="clear" w:color="000000" w:fill="DDEBF7"/>
            <w:vAlign w:val="center"/>
            <w:hideMark/>
          </w:tcPr>
          <w:p w14:paraId="4428E67F" w14:textId="77777777" w:rsidR="0046008A" w:rsidRPr="000C6BA3" w:rsidRDefault="0046008A" w:rsidP="0046008A">
            <w:pPr>
              <w:widowControl/>
              <w:spacing w:after="0" w:line="240" w:lineRule="auto"/>
              <w:rPr>
                <w:rFonts w:eastAsia="Times New Roman" w:cs="Arial"/>
                <w:color w:val="000000"/>
                <w:sz w:val="22"/>
                <w:lang w:eastAsia="es-MX"/>
              </w:rPr>
            </w:pPr>
            <w:r w:rsidRPr="000C6BA3">
              <w:rPr>
                <w:rFonts w:eastAsia="Times New Roman" w:cs="Arial"/>
                <w:color w:val="000000"/>
                <w:sz w:val="22"/>
                <w:lang w:eastAsia="es-MX"/>
              </w:rPr>
              <w:t>Rentas netas de la propiedad con el exterior</w:t>
            </w:r>
          </w:p>
        </w:tc>
        <w:tc>
          <w:tcPr>
            <w:tcW w:w="2194" w:type="dxa"/>
            <w:tcBorders>
              <w:top w:val="nil"/>
              <w:left w:val="nil"/>
              <w:bottom w:val="nil"/>
              <w:right w:val="single" w:sz="4" w:space="0" w:color="auto"/>
            </w:tcBorders>
            <w:shd w:val="clear" w:color="000000" w:fill="DDEBF7"/>
            <w:noWrap/>
            <w:vAlign w:val="center"/>
            <w:hideMark/>
          </w:tcPr>
          <w:p w14:paraId="701F5E97"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 xml:space="preserve">  731 008</w:t>
            </w:r>
          </w:p>
        </w:tc>
        <w:tc>
          <w:tcPr>
            <w:tcW w:w="1427" w:type="dxa"/>
            <w:tcBorders>
              <w:top w:val="nil"/>
              <w:left w:val="nil"/>
              <w:bottom w:val="nil"/>
              <w:right w:val="single" w:sz="4" w:space="0" w:color="auto"/>
            </w:tcBorders>
            <w:shd w:val="clear" w:color="000000" w:fill="DDEBF7"/>
            <w:noWrap/>
            <w:vAlign w:val="center"/>
            <w:hideMark/>
          </w:tcPr>
          <w:p w14:paraId="7E7CB97E"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2.8</w:t>
            </w:r>
          </w:p>
        </w:tc>
      </w:tr>
      <w:tr w:rsidR="0046008A" w:rsidRPr="00FA1144" w14:paraId="584B29EF" w14:textId="77777777" w:rsidTr="000C6BA3">
        <w:trPr>
          <w:trHeight w:val="254"/>
          <w:jc w:val="center"/>
        </w:trPr>
        <w:tc>
          <w:tcPr>
            <w:tcW w:w="511" w:type="dxa"/>
            <w:tcBorders>
              <w:top w:val="nil"/>
              <w:left w:val="single" w:sz="4" w:space="0" w:color="auto"/>
              <w:bottom w:val="nil"/>
              <w:right w:val="single" w:sz="4" w:space="0" w:color="auto"/>
            </w:tcBorders>
            <w:shd w:val="clear" w:color="000000" w:fill="FFF2CC"/>
            <w:noWrap/>
            <w:vAlign w:val="center"/>
            <w:hideMark/>
          </w:tcPr>
          <w:p w14:paraId="1C30CC43" w14:textId="39F88936" w:rsidR="0046008A" w:rsidRPr="000C6BA3" w:rsidRDefault="0046008A" w:rsidP="0046008A">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 </w:t>
            </w:r>
            <w:r w:rsidR="00FA1144" w:rsidRPr="000C6BA3">
              <w:rPr>
                <w:rFonts w:eastAsia="Times New Roman" w:cs="Arial"/>
                <w:color w:val="000000"/>
                <w:sz w:val="22"/>
                <w:lang w:eastAsia="es-MX"/>
              </w:rPr>
              <w:t>(=)</w:t>
            </w:r>
          </w:p>
        </w:tc>
        <w:tc>
          <w:tcPr>
            <w:tcW w:w="3920" w:type="dxa"/>
            <w:tcBorders>
              <w:top w:val="nil"/>
              <w:left w:val="nil"/>
              <w:bottom w:val="nil"/>
              <w:right w:val="nil"/>
            </w:tcBorders>
            <w:shd w:val="clear" w:color="000000" w:fill="FFF2CC"/>
            <w:noWrap/>
            <w:vAlign w:val="center"/>
            <w:hideMark/>
          </w:tcPr>
          <w:p w14:paraId="1718D5D9" w14:textId="77777777" w:rsidR="0046008A" w:rsidRPr="00A850AD" w:rsidRDefault="0046008A" w:rsidP="0046008A">
            <w:pPr>
              <w:widowControl/>
              <w:spacing w:after="0" w:line="240" w:lineRule="auto"/>
              <w:rPr>
                <w:rFonts w:eastAsia="Times New Roman" w:cs="Arial"/>
                <w:b/>
                <w:bCs/>
                <w:color w:val="000000"/>
                <w:sz w:val="20"/>
                <w:szCs w:val="20"/>
                <w:lang w:eastAsia="es-MX"/>
              </w:rPr>
            </w:pPr>
            <w:r w:rsidRPr="00A850AD">
              <w:rPr>
                <w:rFonts w:eastAsia="Times New Roman" w:cs="Arial"/>
                <w:b/>
                <w:bCs/>
                <w:color w:val="000000"/>
                <w:sz w:val="20"/>
                <w:szCs w:val="20"/>
                <w:lang w:eastAsia="es-MX"/>
              </w:rPr>
              <w:t>Ingreso Nacional Bruto</w:t>
            </w:r>
          </w:p>
        </w:tc>
        <w:tc>
          <w:tcPr>
            <w:tcW w:w="2194" w:type="dxa"/>
            <w:tcBorders>
              <w:top w:val="nil"/>
              <w:left w:val="single" w:sz="4" w:space="0" w:color="auto"/>
              <w:bottom w:val="nil"/>
              <w:right w:val="single" w:sz="4" w:space="0" w:color="auto"/>
            </w:tcBorders>
            <w:shd w:val="clear" w:color="000000" w:fill="FFF2CC"/>
            <w:noWrap/>
            <w:vAlign w:val="center"/>
            <w:hideMark/>
          </w:tcPr>
          <w:p w14:paraId="2ED09F74" w14:textId="77777777" w:rsidR="0046008A" w:rsidRPr="000C6BA3" w:rsidRDefault="0046008A" w:rsidP="0046008A">
            <w:pPr>
              <w:widowControl/>
              <w:spacing w:after="0" w:line="240" w:lineRule="auto"/>
              <w:ind w:firstLineChars="100" w:firstLine="221"/>
              <w:jc w:val="right"/>
              <w:rPr>
                <w:rFonts w:eastAsia="Times New Roman" w:cs="Arial"/>
                <w:b/>
                <w:bCs/>
                <w:color w:val="000000"/>
                <w:sz w:val="22"/>
                <w:lang w:eastAsia="es-MX"/>
              </w:rPr>
            </w:pPr>
            <w:r w:rsidRPr="000C6BA3">
              <w:rPr>
                <w:rFonts w:eastAsia="Times New Roman" w:cs="Arial"/>
                <w:b/>
                <w:bCs/>
                <w:color w:val="000000"/>
                <w:sz w:val="22"/>
                <w:lang w:eastAsia="es-MX"/>
              </w:rPr>
              <w:t xml:space="preserve"> 25 124 100</w:t>
            </w:r>
          </w:p>
        </w:tc>
        <w:tc>
          <w:tcPr>
            <w:tcW w:w="1427" w:type="dxa"/>
            <w:tcBorders>
              <w:top w:val="nil"/>
              <w:left w:val="nil"/>
              <w:bottom w:val="nil"/>
              <w:right w:val="single" w:sz="4" w:space="0" w:color="auto"/>
            </w:tcBorders>
            <w:shd w:val="clear" w:color="000000" w:fill="FFF2CC"/>
            <w:noWrap/>
            <w:vAlign w:val="center"/>
            <w:hideMark/>
          </w:tcPr>
          <w:p w14:paraId="1481F2C5" w14:textId="77777777" w:rsidR="0046008A" w:rsidRPr="000C6BA3" w:rsidRDefault="0046008A" w:rsidP="0046008A">
            <w:pPr>
              <w:widowControl/>
              <w:spacing w:after="0" w:line="240" w:lineRule="auto"/>
              <w:ind w:firstLineChars="100" w:firstLine="221"/>
              <w:jc w:val="right"/>
              <w:rPr>
                <w:rFonts w:eastAsia="Times New Roman" w:cs="Arial"/>
                <w:b/>
                <w:bCs/>
                <w:color w:val="000000"/>
                <w:sz w:val="22"/>
                <w:lang w:eastAsia="es-MX"/>
              </w:rPr>
            </w:pPr>
            <w:r w:rsidRPr="000C6BA3">
              <w:rPr>
                <w:rFonts w:eastAsia="Times New Roman" w:cs="Arial"/>
                <w:b/>
                <w:bCs/>
                <w:color w:val="000000"/>
                <w:sz w:val="22"/>
                <w:lang w:eastAsia="es-MX"/>
              </w:rPr>
              <w:t>97.4</w:t>
            </w:r>
          </w:p>
        </w:tc>
      </w:tr>
      <w:tr w:rsidR="0046008A" w:rsidRPr="00FA1144" w14:paraId="69E18594" w14:textId="77777777" w:rsidTr="000C6BA3">
        <w:trPr>
          <w:trHeight w:val="254"/>
          <w:jc w:val="center"/>
        </w:trPr>
        <w:tc>
          <w:tcPr>
            <w:tcW w:w="511" w:type="dxa"/>
            <w:tcBorders>
              <w:top w:val="nil"/>
              <w:left w:val="single" w:sz="4" w:space="0" w:color="auto"/>
              <w:bottom w:val="nil"/>
              <w:right w:val="single" w:sz="4" w:space="0" w:color="auto"/>
            </w:tcBorders>
            <w:shd w:val="clear" w:color="000000" w:fill="DDEBF7"/>
            <w:noWrap/>
            <w:vAlign w:val="center"/>
            <w:hideMark/>
          </w:tcPr>
          <w:p w14:paraId="5694A2C5" w14:textId="77777777" w:rsidR="0046008A" w:rsidRPr="000C6BA3" w:rsidRDefault="0046008A" w:rsidP="0046008A">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w:t>
            </w:r>
          </w:p>
        </w:tc>
        <w:tc>
          <w:tcPr>
            <w:tcW w:w="3920" w:type="dxa"/>
            <w:tcBorders>
              <w:top w:val="nil"/>
              <w:left w:val="nil"/>
              <w:bottom w:val="nil"/>
              <w:right w:val="single" w:sz="4" w:space="0" w:color="auto"/>
            </w:tcBorders>
            <w:shd w:val="clear" w:color="000000" w:fill="DDEBF7"/>
            <w:vAlign w:val="center"/>
            <w:hideMark/>
          </w:tcPr>
          <w:p w14:paraId="1F353D74" w14:textId="77777777" w:rsidR="0046008A" w:rsidRPr="000C6BA3" w:rsidRDefault="0046008A" w:rsidP="0046008A">
            <w:pPr>
              <w:widowControl/>
              <w:spacing w:after="0" w:line="240" w:lineRule="auto"/>
              <w:rPr>
                <w:rFonts w:eastAsia="Times New Roman" w:cs="Arial"/>
                <w:color w:val="000000"/>
                <w:sz w:val="22"/>
                <w:lang w:eastAsia="es-MX"/>
              </w:rPr>
            </w:pPr>
            <w:r w:rsidRPr="000C6BA3">
              <w:rPr>
                <w:rFonts w:eastAsia="Times New Roman" w:cs="Arial"/>
                <w:color w:val="000000"/>
                <w:sz w:val="22"/>
                <w:lang w:eastAsia="es-MX"/>
              </w:rPr>
              <w:t>Otras transferencias corrientes</w:t>
            </w:r>
          </w:p>
        </w:tc>
        <w:tc>
          <w:tcPr>
            <w:tcW w:w="2194" w:type="dxa"/>
            <w:tcBorders>
              <w:top w:val="nil"/>
              <w:left w:val="nil"/>
              <w:bottom w:val="nil"/>
              <w:right w:val="single" w:sz="4" w:space="0" w:color="auto"/>
            </w:tcBorders>
            <w:shd w:val="clear" w:color="000000" w:fill="DDEBF7"/>
            <w:noWrap/>
            <w:vAlign w:val="center"/>
            <w:hideMark/>
          </w:tcPr>
          <w:p w14:paraId="58835578"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 xml:space="preserve"> 1 040 061</w:t>
            </w:r>
          </w:p>
        </w:tc>
        <w:tc>
          <w:tcPr>
            <w:tcW w:w="1427" w:type="dxa"/>
            <w:tcBorders>
              <w:top w:val="nil"/>
              <w:left w:val="nil"/>
              <w:bottom w:val="nil"/>
              <w:right w:val="single" w:sz="4" w:space="0" w:color="auto"/>
            </w:tcBorders>
            <w:shd w:val="clear" w:color="000000" w:fill="DDEBF7"/>
            <w:noWrap/>
            <w:vAlign w:val="center"/>
            <w:hideMark/>
          </w:tcPr>
          <w:p w14:paraId="4172BDA0"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4.0</w:t>
            </w:r>
          </w:p>
        </w:tc>
      </w:tr>
      <w:tr w:rsidR="0046008A" w:rsidRPr="00FA1144" w14:paraId="27B417EA" w14:textId="77777777" w:rsidTr="000C6BA3">
        <w:trPr>
          <w:trHeight w:val="265"/>
          <w:jc w:val="center"/>
        </w:trPr>
        <w:tc>
          <w:tcPr>
            <w:tcW w:w="511" w:type="dxa"/>
            <w:tcBorders>
              <w:top w:val="nil"/>
              <w:left w:val="single" w:sz="4" w:space="0" w:color="auto"/>
              <w:bottom w:val="nil"/>
              <w:right w:val="single" w:sz="4" w:space="0" w:color="auto"/>
            </w:tcBorders>
            <w:shd w:val="clear" w:color="000000" w:fill="DDEBF7"/>
            <w:noWrap/>
            <w:vAlign w:val="center"/>
            <w:hideMark/>
          </w:tcPr>
          <w:p w14:paraId="0BCE7289" w14:textId="77777777" w:rsidR="0046008A" w:rsidRPr="000C6BA3" w:rsidRDefault="0046008A" w:rsidP="0046008A">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w:t>
            </w:r>
          </w:p>
        </w:tc>
        <w:tc>
          <w:tcPr>
            <w:tcW w:w="3920" w:type="dxa"/>
            <w:tcBorders>
              <w:top w:val="nil"/>
              <w:left w:val="nil"/>
              <w:bottom w:val="nil"/>
              <w:right w:val="single" w:sz="4" w:space="0" w:color="auto"/>
            </w:tcBorders>
            <w:shd w:val="clear" w:color="000000" w:fill="DDEBF7"/>
            <w:vAlign w:val="center"/>
            <w:hideMark/>
          </w:tcPr>
          <w:p w14:paraId="0A0C973D" w14:textId="77777777" w:rsidR="0046008A" w:rsidRPr="000C6BA3" w:rsidRDefault="0046008A" w:rsidP="0046008A">
            <w:pPr>
              <w:widowControl/>
              <w:spacing w:after="0" w:line="240" w:lineRule="auto"/>
              <w:rPr>
                <w:rFonts w:eastAsia="Times New Roman" w:cs="Arial"/>
                <w:color w:val="000000"/>
                <w:sz w:val="22"/>
                <w:lang w:eastAsia="es-MX"/>
              </w:rPr>
            </w:pPr>
            <w:r w:rsidRPr="000C6BA3">
              <w:rPr>
                <w:rFonts w:eastAsia="Times New Roman" w:cs="Arial"/>
                <w:color w:val="000000"/>
                <w:sz w:val="22"/>
                <w:lang w:eastAsia="es-MX"/>
              </w:rPr>
              <w:t>Ajuste por reaseguro con el exterior</w:t>
            </w:r>
          </w:p>
        </w:tc>
        <w:tc>
          <w:tcPr>
            <w:tcW w:w="2194" w:type="dxa"/>
            <w:tcBorders>
              <w:top w:val="nil"/>
              <w:left w:val="nil"/>
              <w:bottom w:val="nil"/>
              <w:right w:val="single" w:sz="4" w:space="0" w:color="auto"/>
            </w:tcBorders>
            <w:shd w:val="clear" w:color="000000" w:fill="DDEBF7"/>
            <w:noWrap/>
            <w:vAlign w:val="center"/>
            <w:hideMark/>
          </w:tcPr>
          <w:p w14:paraId="2012ABBF"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 xml:space="preserve">  6 633</w:t>
            </w:r>
          </w:p>
        </w:tc>
        <w:tc>
          <w:tcPr>
            <w:tcW w:w="1427" w:type="dxa"/>
            <w:tcBorders>
              <w:top w:val="nil"/>
              <w:left w:val="nil"/>
              <w:bottom w:val="nil"/>
              <w:right w:val="single" w:sz="4" w:space="0" w:color="auto"/>
            </w:tcBorders>
            <w:shd w:val="clear" w:color="000000" w:fill="DDEBF7"/>
            <w:noWrap/>
            <w:vAlign w:val="center"/>
            <w:hideMark/>
          </w:tcPr>
          <w:p w14:paraId="075374CA" w14:textId="77777777" w:rsidR="0046008A" w:rsidRPr="000C6BA3" w:rsidRDefault="0046008A" w:rsidP="0046008A">
            <w:pPr>
              <w:widowControl/>
              <w:spacing w:after="0" w:line="240" w:lineRule="auto"/>
              <w:ind w:firstLineChars="100" w:firstLine="220"/>
              <w:jc w:val="right"/>
              <w:rPr>
                <w:rFonts w:eastAsia="Times New Roman" w:cs="Arial"/>
                <w:color w:val="000000"/>
                <w:sz w:val="22"/>
                <w:lang w:eastAsia="es-MX"/>
              </w:rPr>
            </w:pPr>
            <w:r w:rsidRPr="000C6BA3">
              <w:rPr>
                <w:rFonts w:eastAsia="Times New Roman" w:cs="Arial"/>
                <w:color w:val="000000"/>
                <w:sz w:val="22"/>
                <w:lang w:eastAsia="es-MX"/>
              </w:rPr>
              <w:t>0.0</w:t>
            </w:r>
          </w:p>
        </w:tc>
      </w:tr>
      <w:tr w:rsidR="0046008A" w:rsidRPr="00FA1144" w14:paraId="3376FCDA" w14:textId="77777777" w:rsidTr="000C6BA3">
        <w:trPr>
          <w:trHeight w:val="254"/>
          <w:jc w:val="center"/>
        </w:trPr>
        <w:tc>
          <w:tcPr>
            <w:tcW w:w="511" w:type="dxa"/>
            <w:tcBorders>
              <w:top w:val="nil"/>
              <w:left w:val="single" w:sz="4" w:space="0" w:color="auto"/>
              <w:bottom w:val="single" w:sz="4" w:space="0" w:color="auto"/>
              <w:right w:val="single" w:sz="4" w:space="0" w:color="auto"/>
            </w:tcBorders>
            <w:shd w:val="clear" w:color="000000" w:fill="FFF2CC"/>
            <w:noWrap/>
            <w:vAlign w:val="center"/>
            <w:hideMark/>
          </w:tcPr>
          <w:p w14:paraId="43063E21" w14:textId="1296ADA5" w:rsidR="0046008A" w:rsidRPr="00A850AD" w:rsidRDefault="0046008A" w:rsidP="0046008A">
            <w:pPr>
              <w:widowControl/>
              <w:spacing w:after="0" w:line="240" w:lineRule="auto"/>
              <w:rPr>
                <w:rFonts w:eastAsia="Times New Roman" w:cs="Arial"/>
                <w:b/>
                <w:bCs/>
                <w:color w:val="000000"/>
                <w:sz w:val="20"/>
                <w:szCs w:val="20"/>
                <w:lang w:eastAsia="es-MX"/>
              </w:rPr>
            </w:pPr>
            <w:r w:rsidRPr="00FA1144">
              <w:rPr>
                <w:rFonts w:eastAsia="Times New Roman" w:cs="Arial"/>
                <w:b/>
                <w:bCs/>
                <w:color w:val="000000"/>
                <w:sz w:val="20"/>
                <w:szCs w:val="20"/>
                <w:lang w:eastAsia="es-MX"/>
              </w:rPr>
              <w:t> </w:t>
            </w:r>
            <w:r w:rsidR="00FA1144" w:rsidRPr="000C6BA3">
              <w:rPr>
                <w:rFonts w:eastAsia="Times New Roman" w:cs="Arial"/>
                <w:color w:val="000000"/>
                <w:sz w:val="22"/>
                <w:lang w:eastAsia="es-MX"/>
              </w:rPr>
              <w:t>(=)</w:t>
            </w:r>
          </w:p>
        </w:tc>
        <w:tc>
          <w:tcPr>
            <w:tcW w:w="3920" w:type="dxa"/>
            <w:tcBorders>
              <w:top w:val="nil"/>
              <w:left w:val="nil"/>
              <w:bottom w:val="single" w:sz="4" w:space="0" w:color="auto"/>
              <w:right w:val="nil"/>
            </w:tcBorders>
            <w:shd w:val="clear" w:color="000000" w:fill="FFF2CC"/>
            <w:noWrap/>
            <w:vAlign w:val="center"/>
            <w:hideMark/>
          </w:tcPr>
          <w:p w14:paraId="618A54D3" w14:textId="77777777" w:rsidR="0046008A" w:rsidRPr="00FA1144" w:rsidRDefault="0046008A" w:rsidP="0046008A">
            <w:pPr>
              <w:widowControl/>
              <w:spacing w:after="0" w:line="240" w:lineRule="auto"/>
              <w:rPr>
                <w:rFonts w:eastAsia="Times New Roman" w:cs="Arial"/>
                <w:b/>
                <w:bCs/>
                <w:color w:val="000000"/>
                <w:sz w:val="20"/>
                <w:szCs w:val="20"/>
                <w:lang w:eastAsia="es-MX"/>
              </w:rPr>
            </w:pPr>
            <w:r w:rsidRPr="00FA1144">
              <w:rPr>
                <w:rFonts w:eastAsia="Times New Roman" w:cs="Arial"/>
                <w:b/>
                <w:bCs/>
                <w:color w:val="000000"/>
                <w:sz w:val="20"/>
                <w:szCs w:val="20"/>
                <w:lang w:eastAsia="es-MX"/>
              </w:rPr>
              <w:t>Ingreso Disponible Bruto</w:t>
            </w:r>
          </w:p>
        </w:tc>
        <w:tc>
          <w:tcPr>
            <w:tcW w:w="2194" w:type="dxa"/>
            <w:tcBorders>
              <w:top w:val="nil"/>
              <w:left w:val="single" w:sz="4" w:space="0" w:color="auto"/>
              <w:bottom w:val="single" w:sz="4" w:space="0" w:color="auto"/>
              <w:right w:val="single" w:sz="4" w:space="0" w:color="auto"/>
            </w:tcBorders>
            <w:shd w:val="clear" w:color="000000" w:fill="FFF2CC"/>
            <w:noWrap/>
            <w:vAlign w:val="center"/>
            <w:hideMark/>
          </w:tcPr>
          <w:p w14:paraId="12E4FE84" w14:textId="77777777" w:rsidR="0046008A" w:rsidRPr="000C6BA3" w:rsidRDefault="0046008A" w:rsidP="0046008A">
            <w:pPr>
              <w:widowControl/>
              <w:spacing w:after="0" w:line="240" w:lineRule="auto"/>
              <w:ind w:firstLineChars="100" w:firstLine="221"/>
              <w:jc w:val="right"/>
              <w:rPr>
                <w:rFonts w:eastAsia="Times New Roman" w:cs="Arial"/>
                <w:b/>
                <w:bCs/>
                <w:color w:val="000000"/>
                <w:sz w:val="22"/>
                <w:lang w:eastAsia="es-MX"/>
              </w:rPr>
            </w:pPr>
            <w:r w:rsidRPr="000C6BA3">
              <w:rPr>
                <w:rFonts w:eastAsia="Times New Roman" w:cs="Arial"/>
                <w:b/>
                <w:bCs/>
                <w:color w:val="000000"/>
                <w:sz w:val="22"/>
                <w:lang w:eastAsia="es-MX"/>
              </w:rPr>
              <w:t xml:space="preserve"> 26 157 527</w:t>
            </w:r>
          </w:p>
        </w:tc>
        <w:tc>
          <w:tcPr>
            <w:tcW w:w="1427" w:type="dxa"/>
            <w:tcBorders>
              <w:top w:val="nil"/>
              <w:left w:val="nil"/>
              <w:bottom w:val="single" w:sz="4" w:space="0" w:color="auto"/>
              <w:right w:val="single" w:sz="4" w:space="0" w:color="auto"/>
            </w:tcBorders>
            <w:shd w:val="clear" w:color="000000" w:fill="FFF2CC"/>
            <w:noWrap/>
            <w:vAlign w:val="center"/>
            <w:hideMark/>
          </w:tcPr>
          <w:p w14:paraId="7604DBF3" w14:textId="77777777" w:rsidR="0046008A" w:rsidRPr="000C6BA3" w:rsidRDefault="0046008A" w:rsidP="0046008A">
            <w:pPr>
              <w:widowControl/>
              <w:spacing w:after="0" w:line="240" w:lineRule="auto"/>
              <w:ind w:firstLineChars="100" w:firstLine="221"/>
              <w:jc w:val="right"/>
              <w:rPr>
                <w:rFonts w:eastAsia="Times New Roman" w:cs="Arial"/>
                <w:b/>
                <w:bCs/>
                <w:color w:val="000000"/>
                <w:sz w:val="22"/>
                <w:lang w:eastAsia="es-MX"/>
              </w:rPr>
            </w:pPr>
            <w:r w:rsidRPr="000C6BA3">
              <w:rPr>
                <w:rFonts w:eastAsia="Times New Roman" w:cs="Arial"/>
                <w:b/>
                <w:bCs/>
                <w:color w:val="000000"/>
                <w:sz w:val="22"/>
                <w:lang w:eastAsia="es-MX"/>
              </w:rPr>
              <w:t>101.4</w:t>
            </w:r>
          </w:p>
        </w:tc>
      </w:tr>
    </w:tbl>
    <w:p w14:paraId="09FB5E12" w14:textId="25B3DC18" w:rsidR="005B0500" w:rsidRPr="0046008A" w:rsidRDefault="005B0500" w:rsidP="0046008A">
      <w:pPr>
        <w:spacing w:after="0" w:line="203" w:lineRule="exact"/>
        <w:ind w:left="709" w:right="-28"/>
        <w:rPr>
          <w:rFonts w:cs="Arial"/>
          <w:sz w:val="16"/>
        </w:rPr>
      </w:pPr>
      <w:r w:rsidRPr="00895206">
        <w:rPr>
          <w:rFonts w:cs="Arial"/>
          <w:sz w:val="16"/>
        </w:rPr>
        <w:t xml:space="preserve">Nota: La suma de los </w:t>
      </w:r>
      <w:r w:rsidRPr="00895206">
        <w:rPr>
          <w:rFonts w:eastAsia="Arial" w:cs="Arial"/>
          <w:spacing w:val="-1"/>
          <w:sz w:val="16"/>
          <w:szCs w:val="16"/>
        </w:rPr>
        <w:t>parciales</w:t>
      </w:r>
      <w:r w:rsidRPr="00895206">
        <w:rPr>
          <w:rFonts w:cs="Arial"/>
          <w:sz w:val="16"/>
        </w:rPr>
        <w:t xml:space="preserve"> puede no coincidir con el total debido al redondeo.</w:t>
      </w:r>
    </w:p>
    <w:p w14:paraId="0B5486EC" w14:textId="3B3F282A" w:rsidR="005B0500" w:rsidRPr="00895206" w:rsidRDefault="005B0500" w:rsidP="0012434F">
      <w:pPr>
        <w:spacing w:after="0" w:line="240" w:lineRule="exact"/>
        <w:ind w:left="709" w:right="-28"/>
        <w:rPr>
          <w:rFonts w:eastAsia="Arial" w:cs="Arial"/>
          <w:sz w:val="16"/>
          <w:szCs w:val="16"/>
        </w:rPr>
      </w:pPr>
      <w:r w:rsidRPr="00895206">
        <w:rPr>
          <w:rFonts w:eastAsia="Arial" w:cs="Arial"/>
          <w:spacing w:val="-1"/>
          <w:sz w:val="16"/>
          <w:szCs w:val="16"/>
        </w:rPr>
        <w:t>F</w:t>
      </w:r>
      <w:r w:rsidRPr="00895206">
        <w:rPr>
          <w:rFonts w:eastAsia="Arial" w:cs="Arial"/>
          <w:spacing w:val="-2"/>
          <w:sz w:val="16"/>
          <w:szCs w:val="16"/>
        </w:rPr>
        <w:t>u</w:t>
      </w:r>
      <w:r w:rsidRPr="00895206">
        <w:rPr>
          <w:rFonts w:eastAsia="Arial" w:cs="Arial"/>
          <w:spacing w:val="-6"/>
          <w:sz w:val="16"/>
          <w:szCs w:val="16"/>
        </w:rPr>
        <w:t>e</w:t>
      </w:r>
      <w:r w:rsidRPr="00895206">
        <w:rPr>
          <w:rFonts w:eastAsia="Arial" w:cs="Arial"/>
          <w:spacing w:val="-2"/>
          <w:sz w:val="16"/>
          <w:szCs w:val="16"/>
        </w:rPr>
        <w:t>n</w:t>
      </w:r>
      <w:r w:rsidRPr="00895206">
        <w:rPr>
          <w:rFonts w:eastAsia="Arial" w:cs="Arial"/>
          <w:spacing w:val="-1"/>
          <w:sz w:val="16"/>
          <w:szCs w:val="16"/>
        </w:rPr>
        <w:t>t</w:t>
      </w:r>
      <w:r w:rsidRPr="00895206">
        <w:rPr>
          <w:rFonts w:eastAsia="Arial" w:cs="Arial"/>
          <w:spacing w:val="-6"/>
          <w:sz w:val="16"/>
          <w:szCs w:val="16"/>
        </w:rPr>
        <w:t>e</w:t>
      </w:r>
      <w:r w:rsidRPr="00895206">
        <w:rPr>
          <w:rFonts w:eastAsia="Arial" w:cs="Arial"/>
          <w:sz w:val="16"/>
          <w:szCs w:val="16"/>
        </w:rPr>
        <w:t>:</w:t>
      </w:r>
      <w:r w:rsidRPr="00895206">
        <w:rPr>
          <w:rFonts w:eastAsia="Arial" w:cs="Arial"/>
          <w:spacing w:val="-13"/>
          <w:sz w:val="16"/>
          <w:szCs w:val="16"/>
        </w:rPr>
        <w:t xml:space="preserve"> </w:t>
      </w:r>
      <w:r w:rsidRPr="00895206">
        <w:rPr>
          <w:rFonts w:eastAsia="Arial" w:cs="Arial"/>
          <w:spacing w:val="-1"/>
          <w:sz w:val="16"/>
          <w:szCs w:val="16"/>
        </w:rPr>
        <w:t>I</w:t>
      </w:r>
      <w:r w:rsidRPr="00895206">
        <w:rPr>
          <w:rFonts w:eastAsia="Arial" w:cs="Arial"/>
          <w:spacing w:val="1"/>
          <w:sz w:val="16"/>
          <w:szCs w:val="16"/>
        </w:rPr>
        <w:t>N</w:t>
      </w:r>
      <w:r w:rsidRPr="00895206">
        <w:rPr>
          <w:rFonts w:eastAsia="Arial" w:cs="Arial"/>
          <w:sz w:val="16"/>
          <w:szCs w:val="16"/>
        </w:rPr>
        <w:t>E</w:t>
      </w:r>
      <w:r w:rsidRPr="00895206">
        <w:rPr>
          <w:rFonts w:eastAsia="Arial" w:cs="Arial"/>
          <w:spacing w:val="1"/>
          <w:sz w:val="16"/>
          <w:szCs w:val="16"/>
        </w:rPr>
        <w:t>G</w:t>
      </w:r>
      <w:r w:rsidRPr="00895206">
        <w:rPr>
          <w:rFonts w:eastAsia="Arial" w:cs="Arial"/>
          <w:spacing w:val="-1"/>
          <w:sz w:val="16"/>
          <w:szCs w:val="16"/>
        </w:rPr>
        <w:t>I</w:t>
      </w:r>
    </w:p>
    <w:p w14:paraId="57361A5A" w14:textId="77777777" w:rsidR="0012434F" w:rsidRDefault="0012434F" w:rsidP="005B0500">
      <w:pPr>
        <w:spacing w:after="0" w:line="246" w:lineRule="auto"/>
        <w:ind w:left="-425" w:right="-28"/>
        <w:jc w:val="both"/>
        <w:rPr>
          <w:rFonts w:eastAsia="Arial" w:cs="Arial"/>
          <w:szCs w:val="24"/>
        </w:rPr>
      </w:pPr>
    </w:p>
    <w:p w14:paraId="2BC68F25" w14:textId="77777777" w:rsidR="00A850AD" w:rsidRDefault="00A850AD" w:rsidP="005B0500">
      <w:pPr>
        <w:spacing w:after="0" w:line="246" w:lineRule="auto"/>
        <w:ind w:left="-425" w:right="-28"/>
        <w:jc w:val="both"/>
        <w:rPr>
          <w:rFonts w:eastAsia="Arial" w:cs="Arial"/>
          <w:szCs w:val="24"/>
        </w:rPr>
      </w:pPr>
    </w:p>
    <w:p w14:paraId="44C8CFEB" w14:textId="799A33EA" w:rsidR="005B0500" w:rsidRPr="00895206" w:rsidRDefault="0012434F" w:rsidP="005B0500">
      <w:pPr>
        <w:spacing w:after="0" w:line="246" w:lineRule="auto"/>
        <w:ind w:left="-425" w:right="-28"/>
        <w:jc w:val="both"/>
        <w:rPr>
          <w:rFonts w:eastAsia="Arial" w:cs="Arial"/>
          <w:szCs w:val="24"/>
        </w:rPr>
      </w:pPr>
      <w:r>
        <w:rPr>
          <w:rFonts w:eastAsia="Arial" w:cs="Arial"/>
          <w:szCs w:val="24"/>
        </w:rPr>
        <w:t xml:space="preserve">En </w:t>
      </w:r>
      <w:r w:rsidR="009B76AB">
        <w:t>2021</w:t>
      </w:r>
      <w:r w:rsidR="005B0500" w:rsidRPr="00895206">
        <w:rPr>
          <w:rFonts w:eastAsia="Arial" w:cs="Arial"/>
          <w:szCs w:val="24"/>
        </w:rPr>
        <w:t>, el Ingreso Nacional Dispo</w:t>
      </w:r>
      <w:r>
        <w:rPr>
          <w:rFonts w:eastAsia="Arial" w:cs="Arial"/>
          <w:szCs w:val="24"/>
        </w:rPr>
        <w:t xml:space="preserve">nible Bruto se ubicó en </w:t>
      </w:r>
      <w:r w:rsidR="009B76AB">
        <w:t>26</w:t>
      </w:r>
      <w:r w:rsidR="00A13B7C">
        <w:t xml:space="preserve"> </w:t>
      </w:r>
      <w:r w:rsidR="009B76AB">
        <w:t>157</w:t>
      </w:r>
      <w:r w:rsidR="00A13B7C">
        <w:t xml:space="preserve"> </w:t>
      </w:r>
      <w:r w:rsidR="009B76AB">
        <w:t>527</w:t>
      </w:r>
      <w:r w:rsidR="005B0500" w:rsidRPr="00895206">
        <w:rPr>
          <w:rFonts w:eastAsia="Arial" w:cs="Arial"/>
          <w:szCs w:val="24"/>
        </w:rPr>
        <w:t xml:space="preserve"> millones de pesos</w:t>
      </w:r>
      <w:r w:rsidR="00A13B7C">
        <w:rPr>
          <w:rFonts w:eastAsia="Arial" w:cs="Arial"/>
          <w:szCs w:val="24"/>
        </w:rPr>
        <w:t>. L</w:t>
      </w:r>
      <w:r w:rsidR="005B0500" w:rsidRPr="00895206">
        <w:rPr>
          <w:rFonts w:eastAsia="Arial" w:cs="Arial"/>
          <w:szCs w:val="24"/>
        </w:rPr>
        <w:t>a distribución por sector institucional fue la siguiente: los</w:t>
      </w:r>
      <w:r w:rsidR="0048180A">
        <w:rPr>
          <w:rFonts w:eastAsia="Arial" w:cs="Arial"/>
          <w:szCs w:val="24"/>
        </w:rPr>
        <w:t xml:space="preserve"> </w:t>
      </w:r>
      <w:r w:rsidR="00A13B7C">
        <w:rPr>
          <w:rFonts w:eastAsia="Arial" w:cs="Arial"/>
          <w:szCs w:val="24"/>
        </w:rPr>
        <w:t>h</w:t>
      </w:r>
      <w:r w:rsidR="0048180A">
        <w:rPr>
          <w:rFonts w:eastAsia="Arial" w:cs="Arial"/>
          <w:szCs w:val="24"/>
        </w:rPr>
        <w:t xml:space="preserve">ogares recibieron </w:t>
      </w:r>
      <w:r w:rsidR="009B76AB">
        <w:t>78.9</w:t>
      </w:r>
      <w:r w:rsidR="0048180A">
        <w:rPr>
          <w:rFonts w:eastAsia="Arial" w:cs="Arial"/>
          <w:szCs w:val="24"/>
        </w:rPr>
        <w:t xml:space="preserve"> </w:t>
      </w:r>
      <w:r w:rsidR="005B0500" w:rsidRPr="00895206">
        <w:rPr>
          <w:rFonts w:eastAsia="Arial" w:cs="Arial"/>
          <w:szCs w:val="24"/>
        </w:rPr>
        <w:t>%</w:t>
      </w:r>
      <w:r w:rsidR="00C64810">
        <w:rPr>
          <w:rFonts w:eastAsia="Arial" w:cs="Arial"/>
          <w:szCs w:val="24"/>
        </w:rPr>
        <w:t>;</w:t>
      </w:r>
      <w:r w:rsidR="0048180A">
        <w:rPr>
          <w:rFonts w:eastAsia="Arial" w:cs="Arial"/>
          <w:szCs w:val="24"/>
        </w:rPr>
        <w:t xml:space="preserve"> las </w:t>
      </w:r>
      <w:r w:rsidR="00A13B7C">
        <w:rPr>
          <w:rFonts w:eastAsia="Arial" w:cs="Arial"/>
          <w:szCs w:val="24"/>
        </w:rPr>
        <w:t>s</w:t>
      </w:r>
      <w:r w:rsidR="0048180A">
        <w:rPr>
          <w:rFonts w:eastAsia="Arial" w:cs="Arial"/>
          <w:szCs w:val="24"/>
        </w:rPr>
        <w:t>ociedades financieras</w:t>
      </w:r>
      <w:r w:rsidR="00C64810">
        <w:rPr>
          <w:rFonts w:eastAsia="Arial" w:cs="Arial"/>
          <w:szCs w:val="24"/>
        </w:rPr>
        <w:t>,</w:t>
      </w:r>
      <w:r w:rsidR="0048180A">
        <w:rPr>
          <w:rFonts w:eastAsia="Arial" w:cs="Arial"/>
          <w:szCs w:val="24"/>
        </w:rPr>
        <w:t xml:space="preserve"> </w:t>
      </w:r>
      <w:r w:rsidR="009B76AB">
        <w:t>9.7</w:t>
      </w:r>
      <w:r w:rsidR="0048180A">
        <w:rPr>
          <w:rFonts w:eastAsia="Arial" w:cs="Arial"/>
          <w:szCs w:val="24"/>
        </w:rPr>
        <w:t xml:space="preserve"> %</w:t>
      </w:r>
      <w:r w:rsidR="00C64810">
        <w:rPr>
          <w:rFonts w:eastAsia="Arial" w:cs="Arial"/>
          <w:szCs w:val="24"/>
        </w:rPr>
        <w:t>;</w:t>
      </w:r>
      <w:r w:rsidR="0048180A">
        <w:rPr>
          <w:rFonts w:eastAsia="Arial" w:cs="Arial"/>
          <w:szCs w:val="24"/>
        </w:rPr>
        <w:t xml:space="preserve"> el </w:t>
      </w:r>
      <w:r w:rsidR="00A13B7C">
        <w:rPr>
          <w:rFonts w:eastAsia="Arial" w:cs="Arial"/>
          <w:szCs w:val="24"/>
        </w:rPr>
        <w:t>g</w:t>
      </w:r>
      <w:r w:rsidR="0048180A">
        <w:rPr>
          <w:rFonts w:eastAsia="Arial" w:cs="Arial"/>
          <w:szCs w:val="24"/>
        </w:rPr>
        <w:t>obierno general</w:t>
      </w:r>
      <w:r w:rsidR="00C64810">
        <w:rPr>
          <w:rFonts w:eastAsia="Arial" w:cs="Arial"/>
          <w:szCs w:val="24"/>
        </w:rPr>
        <w:t>,</w:t>
      </w:r>
      <w:r w:rsidR="0048180A">
        <w:rPr>
          <w:rFonts w:eastAsia="Arial" w:cs="Arial"/>
          <w:szCs w:val="24"/>
        </w:rPr>
        <w:t xml:space="preserve"> </w:t>
      </w:r>
      <w:r w:rsidR="009B76AB">
        <w:t>7.7</w:t>
      </w:r>
      <w:r w:rsidR="0048180A">
        <w:rPr>
          <w:rFonts w:eastAsia="Arial" w:cs="Arial"/>
          <w:szCs w:val="24"/>
        </w:rPr>
        <w:t xml:space="preserve"> </w:t>
      </w:r>
      <w:r w:rsidR="005B0500" w:rsidRPr="00895206">
        <w:rPr>
          <w:rFonts w:eastAsia="Arial" w:cs="Arial"/>
          <w:szCs w:val="24"/>
        </w:rPr>
        <w:t>%</w:t>
      </w:r>
      <w:r w:rsidR="00C64810">
        <w:rPr>
          <w:rFonts w:eastAsia="Arial" w:cs="Arial"/>
          <w:szCs w:val="24"/>
        </w:rPr>
        <w:t>;</w:t>
      </w:r>
      <w:r w:rsidR="005B0500" w:rsidRPr="00895206">
        <w:rPr>
          <w:rFonts w:eastAsia="Arial" w:cs="Arial"/>
          <w:szCs w:val="24"/>
        </w:rPr>
        <w:t xml:space="preserve"> l</w:t>
      </w:r>
      <w:r w:rsidR="0048180A">
        <w:rPr>
          <w:rFonts w:eastAsia="Arial" w:cs="Arial"/>
          <w:szCs w:val="24"/>
        </w:rPr>
        <w:t xml:space="preserve">as </w:t>
      </w:r>
      <w:r w:rsidR="00A13B7C">
        <w:rPr>
          <w:rFonts w:eastAsia="Arial" w:cs="Arial"/>
          <w:szCs w:val="24"/>
        </w:rPr>
        <w:t>s</w:t>
      </w:r>
      <w:r w:rsidR="0048180A">
        <w:rPr>
          <w:rFonts w:eastAsia="Arial" w:cs="Arial"/>
          <w:szCs w:val="24"/>
        </w:rPr>
        <w:t xml:space="preserve">ociedades no financieras </w:t>
      </w:r>
      <w:r w:rsidR="0048180A">
        <w:rPr>
          <w:rFonts w:eastAsia="Arial" w:cs="Arial"/>
          <w:szCs w:val="24"/>
        </w:rPr>
        <w:br/>
      </w:r>
      <w:r w:rsidR="009B76AB">
        <w:t>3.5</w:t>
      </w:r>
      <w:r w:rsidR="0048180A">
        <w:rPr>
          <w:rFonts w:eastAsia="Arial" w:cs="Arial"/>
          <w:szCs w:val="24"/>
        </w:rPr>
        <w:t xml:space="preserve"> % y las ISFLSH</w:t>
      </w:r>
      <w:r w:rsidR="00C64810">
        <w:rPr>
          <w:rFonts w:eastAsia="Arial" w:cs="Arial"/>
          <w:szCs w:val="24"/>
        </w:rPr>
        <w:t>,</w:t>
      </w:r>
      <w:r w:rsidR="0048180A">
        <w:rPr>
          <w:rFonts w:eastAsia="Arial" w:cs="Arial"/>
          <w:szCs w:val="24"/>
        </w:rPr>
        <w:t xml:space="preserve"> </w:t>
      </w:r>
      <w:r w:rsidR="009B76AB">
        <w:t>1.6</w:t>
      </w:r>
      <w:r w:rsidR="0048180A">
        <w:rPr>
          <w:rFonts w:eastAsia="Arial" w:cs="Arial"/>
          <w:szCs w:val="24"/>
        </w:rPr>
        <w:t xml:space="preserve"> </w:t>
      </w:r>
      <w:r w:rsidR="00A13B7C">
        <w:rPr>
          <w:rFonts w:eastAsia="Arial" w:cs="Arial"/>
          <w:szCs w:val="24"/>
        </w:rPr>
        <w:t>por ciento</w:t>
      </w:r>
      <w:r w:rsidR="005B0500" w:rsidRPr="00895206">
        <w:rPr>
          <w:rFonts w:eastAsia="Arial" w:cs="Arial"/>
          <w:szCs w:val="24"/>
        </w:rPr>
        <w:t>.</w:t>
      </w:r>
    </w:p>
    <w:p w14:paraId="66DD4F73" w14:textId="54EF8BE0" w:rsidR="005B0500" w:rsidRPr="00895206" w:rsidRDefault="005B0500" w:rsidP="00F71AD7">
      <w:pPr>
        <w:spacing w:after="0"/>
        <w:ind w:right="-28"/>
        <w:rPr>
          <w:rFonts w:eastAsia="Arial" w:cs="Arial"/>
          <w:szCs w:val="24"/>
        </w:rPr>
      </w:pPr>
    </w:p>
    <w:p w14:paraId="533DC9E4" w14:textId="77777777" w:rsidR="005B0500" w:rsidRPr="0048180A" w:rsidRDefault="005B0500" w:rsidP="005B0500">
      <w:pPr>
        <w:spacing w:after="0" w:line="246" w:lineRule="auto"/>
        <w:ind w:left="-425" w:right="-28"/>
        <w:jc w:val="center"/>
        <w:rPr>
          <w:rFonts w:eastAsia="Arial" w:cs="Arial"/>
          <w:sz w:val="20"/>
          <w:szCs w:val="20"/>
        </w:rPr>
      </w:pPr>
      <w:r w:rsidRPr="0048180A">
        <w:rPr>
          <w:rFonts w:eastAsia="Arial" w:cs="Arial"/>
          <w:sz w:val="20"/>
          <w:szCs w:val="20"/>
        </w:rPr>
        <w:t>Gráfica 2</w:t>
      </w:r>
    </w:p>
    <w:p w14:paraId="6502BF11" w14:textId="2094EE7A" w:rsidR="005B0500" w:rsidRPr="0048180A" w:rsidRDefault="005B0500" w:rsidP="0048180A">
      <w:pPr>
        <w:spacing w:after="0" w:line="240" w:lineRule="auto"/>
        <w:ind w:left="-425" w:right="-28"/>
        <w:jc w:val="center"/>
        <w:rPr>
          <w:rFonts w:cs="Arial"/>
          <w:b/>
          <w:smallCaps/>
          <w:sz w:val="22"/>
        </w:rPr>
      </w:pPr>
      <w:r w:rsidRPr="0048180A">
        <w:rPr>
          <w:rFonts w:cs="Arial"/>
          <w:b/>
          <w:smallCaps/>
          <w:sz w:val="22"/>
        </w:rPr>
        <w:t>Distribución del Ingreso</w:t>
      </w:r>
      <w:r w:rsidR="0048180A">
        <w:rPr>
          <w:rFonts w:cs="Arial"/>
          <w:b/>
          <w:smallCaps/>
          <w:sz w:val="22"/>
        </w:rPr>
        <w:t xml:space="preserve"> Nacional Disponible Bruto por </w:t>
      </w:r>
      <w:r w:rsidR="00A13B7C">
        <w:rPr>
          <w:rFonts w:cs="Arial"/>
          <w:b/>
          <w:smallCaps/>
          <w:sz w:val="22"/>
        </w:rPr>
        <w:t>s</w:t>
      </w:r>
      <w:r w:rsidRPr="0048180A">
        <w:rPr>
          <w:rFonts w:cs="Arial"/>
          <w:b/>
          <w:smallCaps/>
          <w:sz w:val="22"/>
        </w:rPr>
        <w:t xml:space="preserve">ector </w:t>
      </w:r>
      <w:r w:rsidR="00A13B7C">
        <w:rPr>
          <w:rFonts w:cs="Arial"/>
          <w:b/>
          <w:smallCaps/>
          <w:sz w:val="22"/>
        </w:rPr>
        <w:t>i</w:t>
      </w:r>
      <w:r w:rsidRPr="0048180A">
        <w:rPr>
          <w:rFonts w:cs="Arial"/>
          <w:b/>
          <w:smallCaps/>
          <w:sz w:val="22"/>
        </w:rPr>
        <w:t xml:space="preserve">nstitucional, </w:t>
      </w:r>
      <w:r w:rsidR="009B76AB" w:rsidRPr="009B76AB">
        <w:rPr>
          <w:rFonts w:cs="Arial"/>
          <w:b/>
          <w:smallCaps/>
          <w:sz w:val="22"/>
        </w:rPr>
        <w:t>2021</w:t>
      </w:r>
    </w:p>
    <w:p w14:paraId="3568EA22" w14:textId="0C8D8F52" w:rsidR="005B0500" w:rsidRDefault="005B0500" w:rsidP="005B0500">
      <w:pPr>
        <w:spacing w:after="0" w:line="240" w:lineRule="auto"/>
        <w:ind w:left="-425" w:right="-28"/>
        <w:jc w:val="center"/>
        <w:rPr>
          <w:rFonts w:eastAsia="Arial" w:cs="Arial"/>
          <w:w w:val="101"/>
          <w:sz w:val="18"/>
          <w:szCs w:val="18"/>
        </w:rPr>
      </w:pPr>
      <w:r w:rsidRPr="00895206">
        <w:rPr>
          <w:rFonts w:eastAsia="Arial" w:cs="Arial"/>
          <w:spacing w:val="1"/>
          <w:sz w:val="18"/>
          <w:szCs w:val="18"/>
        </w:rPr>
        <w:t>(</w:t>
      </w:r>
      <w:r w:rsidRPr="00895206">
        <w:rPr>
          <w:rFonts w:eastAsia="Arial" w:cs="Arial"/>
          <w:spacing w:val="-2"/>
          <w:sz w:val="18"/>
          <w:szCs w:val="18"/>
        </w:rPr>
        <w:t>E</w:t>
      </w:r>
      <w:r w:rsidRPr="00895206">
        <w:rPr>
          <w:rFonts w:eastAsia="Arial" w:cs="Arial"/>
          <w:sz w:val="18"/>
          <w:szCs w:val="18"/>
        </w:rPr>
        <w:t>s</w:t>
      </w:r>
      <w:r w:rsidRPr="00895206">
        <w:rPr>
          <w:rFonts w:eastAsia="Arial" w:cs="Arial"/>
          <w:spacing w:val="2"/>
          <w:sz w:val="18"/>
          <w:szCs w:val="18"/>
        </w:rPr>
        <w:t>t</w:t>
      </w:r>
      <w:r w:rsidRPr="00895206">
        <w:rPr>
          <w:rFonts w:eastAsia="Arial" w:cs="Arial"/>
          <w:spacing w:val="1"/>
          <w:sz w:val="18"/>
          <w:szCs w:val="18"/>
        </w:rPr>
        <w:t>r</w:t>
      </w:r>
      <w:r w:rsidRPr="00895206">
        <w:rPr>
          <w:rFonts w:eastAsia="Arial" w:cs="Arial"/>
          <w:spacing w:val="-1"/>
          <w:sz w:val="18"/>
          <w:szCs w:val="18"/>
        </w:rPr>
        <w:t>u</w:t>
      </w:r>
      <w:r w:rsidRPr="00895206">
        <w:rPr>
          <w:rFonts w:eastAsia="Arial" w:cs="Arial"/>
          <w:sz w:val="18"/>
          <w:szCs w:val="18"/>
        </w:rPr>
        <w:t>c</w:t>
      </w:r>
      <w:r w:rsidRPr="00895206">
        <w:rPr>
          <w:rFonts w:eastAsia="Arial" w:cs="Arial"/>
          <w:spacing w:val="2"/>
          <w:sz w:val="18"/>
          <w:szCs w:val="18"/>
        </w:rPr>
        <w:t>t</w:t>
      </w:r>
      <w:r w:rsidRPr="00895206">
        <w:rPr>
          <w:rFonts w:eastAsia="Arial" w:cs="Arial"/>
          <w:spacing w:val="-1"/>
          <w:sz w:val="18"/>
          <w:szCs w:val="18"/>
        </w:rPr>
        <w:t>u</w:t>
      </w:r>
      <w:r w:rsidRPr="00895206">
        <w:rPr>
          <w:rFonts w:eastAsia="Arial" w:cs="Arial"/>
          <w:spacing w:val="1"/>
          <w:sz w:val="18"/>
          <w:szCs w:val="18"/>
        </w:rPr>
        <w:t>r</w:t>
      </w:r>
      <w:r w:rsidRPr="00895206">
        <w:rPr>
          <w:rFonts w:eastAsia="Arial" w:cs="Arial"/>
          <w:sz w:val="18"/>
          <w:szCs w:val="18"/>
        </w:rPr>
        <w:t>a</w:t>
      </w:r>
      <w:r w:rsidRPr="00895206">
        <w:rPr>
          <w:rFonts w:eastAsia="Arial" w:cs="Arial"/>
          <w:spacing w:val="11"/>
          <w:sz w:val="18"/>
          <w:szCs w:val="18"/>
        </w:rPr>
        <w:t xml:space="preserve"> </w:t>
      </w:r>
      <w:r w:rsidR="00A13B7C">
        <w:rPr>
          <w:rFonts w:eastAsia="Arial" w:cs="Arial"/>
          <w:spacing w:val="-2"/>
          <w:w w:val="101"/>
          <w:sz w:val="18"/>
          <w:szCs w:val="18"/>
        </w:rPr>
        <w:t>p</w:t>
      </w:r>
      <w:r w:rsidRPr="00895206">
        <w:rPr>
          <w:rFonts w:eastAsia="Arial" w:cs="Arial"/>
          <w:spacing w:val="-1"/>
          <w:w w:val="101"/>
          <w:sz w:val="18"/>
          <w:szCs w:val="18"/>
        </w:rPr>
        <w:t>o</w:t>
      </w:r>
      <w:r w:rsidRPr="00895206">
        <w:rPr>
          <w:rFonts w:eastAsia="Arial" w:cs="Arial"/>
          <w:spacing w:val="1"/>
          <w:w w:val="101"/>
          <w:sz w:val="18"/>
          <w:szCs w:val="18"/>
        </w:rPr>
        <w:t>r</w:t>
      </w:r>
      <w:r w:rsidRPr="00895206">
        <w:rPr>
          <w:rFonts w:eastAsia="Arial" w:cs="Arial"/>
          <w:w w:val="101"/>
          <w:sz w:val="18"/>
          <w:szCs w:val="18"/>
        </w:rPr>
        <w:t>c</w:t>
      </w:r>
      <w:r w:rsidRPr="00895206">
        <w:rPr>
          <w:rFonts w:eastAsia="Arial" w:cs="Arial"/>
          <w:spacing w:val="-5"/>
          <w:w w:val="101"/>
          <w:sz w:val="18"/>
          <w:szCs w:val="18"/>
        </w:rPr>
        <w:t>e</w:t>
      </w:r>
      <w:r w:rsidRPr="00895206">
        <w:rPr>
          <w:rFonts w:eastAsia="Arial" w:cs="Arial"/>
          <w:spacing w:val="-1"/>
          <w:w w:val="101"/>
          <w:sz w:val="18"/>
          <w:szCs w:val="18"/>
        </w:rPr>
        <w:t>n</w:t>
      </w:r>
      <w:r w:rsidRPr="00895206">
        <w:rPr>
          <w:rFonts w:eastAsia="Arial" w:cs="Arial"/>
          <w:spacing w:val="2"/>
          <w:w w:val="101"/>
          <w:sz w:val="18"/>
          <w:szCs w:val="18"/>
        </w:rPr>
        <w:t>t</w:t>
      </w:r>
      <w:r w:rsidRPr="00895206">
        <w:rPr>
          <w:rFonts w:eastAsia="Arial" w:cs="Arial"/>
          <w:spacing w:val="-1"/>
          <w:w w:val="101"/>
          <w:sz w:val="18"/>
          <w:szCs w:val="18"/>
        </w:rPr>
        <w:t>ua</w:t>
      </w:r>
      <w:r w:rsidRPr="00895206">
        <w:rPr>
          <w:rFonts w:eastAsia="Arial" w:cs="Arial"/>
          <w:spacing w:val="3"/>
          <w:w w:val="101"/>
          <w:sz w:val="18"/>
          <w:szCs w:val="18"/>
        </w:rPr>
        <w:t>l</w:t>
      </w:r>
      <w:r w:rsidRPr="00895206">
        <w:rPr>
          <w:rFonts w:eastAsia="Arial" w:cs="Arial"/>
          <w:w w:val="101"/>
          <w:sz w:val="18"/>
          <w:szCs w:val="18"/>
        </w:rPr>
        <w:t>)</w:t>
      </w:r>
    </w:p>
    <w:p w14:paraId="3E260DB6" w14:textId="5E0E4095" w:rsidR="004764AB" w:rsidRPr="00895206" w:rsidRDefault="00A850AD" w:rsidP="005B0500">
      <w:pPr>
        <w:spacing w:after="0" w:line="240" w:lineRule="auto"/>
        <w:ind w:left="-425" w:right="-28"/>
        <w:jc w:val="center"/>
        <w:rPr>
          <w:rFonts w:eastAsia="Arial" w:cs="Arial"/>
          <w:w w:val="101"/>
          <w:sz w:val="18"/>
          <w:szCs w:val="18"/>
        </w:rPr>
      </w:pPr>
      <w:r>
        <w:rPr>
          <w:rFonts w:eastAsia="Arial" w:cs="Arial"/>
          <w:noProof/>
          <w:w w:val="101"/>
          <w:sz w:val="18"/>
          <w:szCs w:val="18"/>
          <w:lang w:eastAsia="es-MX"/>
        </w:rPr>
        <w:drawing>
          <wp:inline distT="0" distB="0" distL="0" distR="0" wp14:anchorId="6665551C" wp14:editId="5B91F741">
            <wp:extent cx="5772150" cy="3176709"/>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3724" cy="3177575"/>
                    </a:xfrm>
                    <a:prstGeom prst="rect">
                      <a:avLst/>
                    </a:prstGeom>
                    <a:noFill/>
                  </pic:spPr>
                </pic:pic>
              </a:graphicData>
            </a:graphic>
          </wp:inline>
        </w:drawing>
      </w:r>
    </w:p>
    <w:p w14:paraId="151128B1" w14:textId="61254416" w:rsidR="005B0500" w:rsidRPr="00895206" w:rsidRDefault="005B0500" w:rsidP="00A850AD">
      <w:pPr>
        <w:spacing w:after="0" w:line="240" w:lineRule="auto"/>
        <w:ind w:right="-28"/>
        <w:rPr>
          <w:rFonts w:cs="Arial"/>
          <w:sz w:val="16"/>
        </w:rPr>
      </w:pPr>
      <w:r w:rsidRPr="00895206">
        <w:rPr>
          <w:rFonts w:cs="Arial"/>
          <w:sz w:val="16"/>
        </w:rPr>
        <w:t xml:space="preserve">Nota: La suma de los </w:t>
      </w:r>
      <w:r w:rsidRPr="00895206">
        <w:rPr>
          <w:rFonts w:eastAsia="Arial" w:cs="Arial"/>
          <w:spacing w:val="-1"/>
          <w:sz w:val="16"/>
          <w:szCs w:val="16"/>
        </w:rPr>
        <w:t>parciales</w:t>
      </w:r>
      <w:r w:rsidRPr="00895206">
        <w:rPr>
          <w:rFonts w:cs="Arial"/>
          <w:sz w:val="16"/>
        </w:rPr>
        <w:t xml:space="preserve"> puede no coincidir con el total debido al redondeo.</w:t>
      </w:r>
    </w:p>
    <w:p w14:paraId="4E52C24D" w14:textId="2DBFFDD4" w:rsidR="005B0500" w:rsidRPr="00895206" w:rsidRDefault="005B0500" w:rsidP="00A850AD">
      <w:pPr>
        <w:spacing w:after="0" w:line="240" w:lineRule="auto"/>
        <w:ind w:right="-28"/>
        <w:rPr>
          <w:rFonts w:eastAsia="Arial" w:cs="Arial"/>
          <w:sz w:val="16"/>
          <w:szCs w:val="16"/>
        </w:rPr>
      </w:pPr>
      <w:r w:rsidRPr="00895206">
        <w:rPr>
          <w:rFonts w:eastAsia="Arial" w:cs="Arial"/>
          <w:spacing w:val="-1"/>
          <w:sz w:val="16"/>
          <w:szCs w:val="16"/>
        </w:rPr>
        <w:t>F</w:t>
      </w:r>
      <w:r w:rsidRPr="00895206">
        <w:rPr>
          <w:rFonts w:eastAsia="Arial" w:cs="Arial"/>
          <w:spacing w:val="-2"/>
          <w:sz w:val="16"/>
          <w:szCs w:val="16"/>
        </w:rPr>
        <w:t>u</w:t>
      </w:r>
      <w:r w:rsidRPr="00895206">
        <w:rPr>
          <w:rFonts w:eastAsia="Arial" w:cs="Arial"/>
          <w:spacing w:val="-6"/>
          <w:sz w:val="16"/>
          <w:szCs w:val="16"/>
        </w:rPr>
        <w:t>e</w:t>
      </w:r>
      <w:r w:rsidRPr="00895206">
        <w:rPr>
          <w:rFonts w:eastAsia="Arial" w:cs="Arial"/>
          <w:spacing w:val="-2"/>
          <w:sz w:val="16"/>
          <w:szCs w:val="16"/>
        </w:rPr>
        <w:t>n</w:t>
      </w:r>
      <w:r w:rsidRPr="00895206">
        <w:rPr>
          <w:rFonts w:eastAsia="Arial" w:cs="Arial"/>
          <w:spacing w:val="-1"/>
          <w:sz w:val="16"/>
          <w:szCs w:val="16"/>
        </w:rPr>
        <w:t>t</w:t>
      </w:r>
      <w:r w:rsidRPr="00895206">
        <w:rPr>
          <w:rFonts w:eastAsia="Arial" w:cs="Arial"/>
          <w:spacing w:val="-6"/>
          <w:sz w:val="16"/>
          <w:szCs w:val="16"/>
        </w:rPr>
        <w:t>e</w:t>
      </w:r>
      <w:r w:rsidRPr="00895206">
        <w:rPr>
          <w:rFonts w:eastAsia="Arial" w:cs="Arial"/>
          <w:sz w:val="16"/>
          <w:szCs w:val="16"/>
        </w:rPr>
        <w:t>:</w:t>
      </w:r>
      <w:r w:rsidRPr="00895206">
        <w:rPr>
          <w:rFonts w:eastAsia="Arial" w:cs="Arial"/>
          <w:spacing w:val="-13"/>
          <w:sz w:val="16"/>
          <w:szCs w:val="16"/>
        </w:rPr>
        <w:t xml:space="preserve"> </w:t>
      </w:r>
      <w:r w:rsidRPr="00895206">
        <w:rPr>
          <w:rFonts w:cs="Arial"/>
          <w:sz w:val="16"/>
        </w:rPr>
        <w:t>INEGI</w:t>
      </w:r>
    </w:p>
    <w:p w14:paraId="4C6A7BF8" w14:textId="64812172" w:rsidR="005B0500" w:rsidRDefault="005B0500" w:rsidP="00AD162B">
      <w:pPr>
        <w:widowControl/>
        <w:spacing w:after="0" w:line="240" w:lineRule="auto"/>
        <w:ind w:left="-425" w:right="-28"/>
        <w:jc w:val="both"/>
        <w:rPr>
          <w:rFonts w:eastAsia="Times New Roman" w:cs="Arial"/>
          <w:bCs/>
          <w:szCs w:val="24"/>
          <w:lang w:eastAsia="es-MX"/>
        </w:rPr>
      </w:pPr>
    </w:p>
    <w:p w14:paraId="48C08D1B" w14:textId="41BEF904" w:rsidR="00BB6F11" w:rsidRDefault="00BB6F11" w:rsidP="00BB6F11">
      <w:pPr>
        <w:spacing w:after="0" w:line="246" w:lineRule="auto"/>
        <w:ind w:left="-425" w:right="-28"/>
        <w:jc w:val="both"/>
        <w:rPr>
          <w:rFonts w:eastAsia="Arial" w:cs="Arial"/>
          <w:szCs w:val="24"/>
        </w:rPr>
      </w:pPr>
      <w:r w:rsidRPr="00895206">
        <w:rPr>
          <w:rFonts w:eastAsia="Arial" w:cs="Arial"/>
          <w:szCs w:val="24"/>
        </w:rPr>
        <w:t>La Formación Bruta de Capital Fijo da cuenta del gasto en inversión</w:t>
      </w:r>
      <w:r w:rsidR="00C64810">
        <w:rPr>
          <w:rFonts w:eastAsia="Arial" w:cs="Arial"/>
          <w:szCs w:val="24"/>
        </w:rPr>
        <w:t xml:space="preserve"> que se realiza </w:t>
      </w:r>
      <w:r w:rsidRPr="00895206">
        <w:rPr>
          <w:rFonts w:eastAsia="Arial" w:cs="Arial"/>
          <w:szCs w:val="24"/>
        </w:rPr>
        <w:t>en infraestructura, maquinaria y equipo</w:t>
      </w:r>
      <w:r w:rsidR="00A850AD">
        <w:rPr>
          <w:rFonts w:eastAsia="Arial" w:cs="Arial"/>
          <w:szCs w:val="24"/>
        </w:rPr>
        <w:t xml:space="preserve">, el cual </w:t>
      </w:r>
      <w:r w:rsidRPr="00895206">
        <w:rPr>
          <w:rFonts w:eastAsia="Arial" w:cs="Arial"/>
          <w:szCs w:val="24"/>
        </w:rPr>
        <w:t xml:space="preserve">permite ampliar la capacidad productiva de la economía. </w:t>
      </w:r>
      <w:r>
        <w:rPr>
          <w:rFonts w:eastAsia="Arial" w:cs="Arial"/>
          <w:szCs w:val="24"/>
        </w:rPr>
        <w:t xml:space="preserve">En </w:t>
      </w:r>
      <w:r w:rsidR="009B76AB">
        <w:t>2021</w:t>
      </w:r>
      <w:r w:rsidR="00C64810">
        <w:t>,</w:t>
      </w:r>
      <w:r w:rsidRPr="00895206">
        <w:rPr>
          <w:rFonts w:eastAsia="Arial" w:cs="Arial"/>
          <w:szCs w:val="24"/>
        </w:rPr>
        <w:t xml:space="preserve"> dicha formación alcanzó un nivel de </w:t>
      </w:r>
      <w:r w:rsidR="009B76AB">
        <w:t>5</w:t>
      </w:r>
      <w:r w:rsidR="00C67DC0">
        <w:t xml:space="preserve"> </w:t>
      </w:r>
      <w:r w:rsidR="009B76AB">
        <w:t>211</w:t>
      </w:r>
      <w:r w:rsidR="00C67DC0">
        <w:t xml:space="preserve"> </w:t>
      </w:r>
      <w:r w:rsidR="009B76AB">
        <w:t>014</w:t>
      </w:r>
      <w:r w:rsidRPr="00895206">
        <w:rPr>
          <w:rFonts w:eastAsia="Arial" w:cs="Arial"/>
          <w:szCs w:val="24"/>
        </w:rPr>
        <w:t xml:space="preserve"> millones de pesos. Por sector institucional</w:t>
      </w:r>
      <w:r w:rsidR="004528D1">
        <w:rPr>
          <w:rFonts w:eastAsia="Arial" w:cs="Arial"/>
          <w:szCs w:val="24"/>
        </w:rPr>
        <w:t>,</w:t>
      </w:r>
      <w:r w:rsidR="00A850AD">
        <w:rPr>
          <w:rFonts w:eastAsia="Arial" w:cs="Arial"/>
          <w:szCs w:val="24"/>
        </w:rPr>
        <w:t xml:space="preserve"> se observó que</w:t>
      </w:r>
      <w:r w:rsidRPr="00895206">
        <w:rPr>
          <w:rFonts w:eastAsia="Arial" w:cs="Arial"/>
          <w:szCs w:val="24"/>
        </w:rPr>
        <w:t xml:space="preserve"> el porcentaje más alto de gasto de inversión fija lo realizaron las </w:t>
      </w:r>
      <w:r w:rsidR="00C67DC0">
        <w:rPr>
          <w:rFonts w:eastAsia="Arial" w:cs="Arial"/>
          <w:szCs w:val="24"/>
        </w:rPr>
        <w:t>s</w:t>
      </w:r>
      <w:r w:rsidRPr="00895206">
        <w:rPr>
          <w:rFonts w:eastAsia="Arial" w:cs="Arial"/>
          <w:szCs w:val="24"/>
        </w:rPr>
        <w:t>ociedades no financieras</w:t>
      </w:r>
      <w:r w:rsidR="00C64810">
        <w:rPr>
          <w:rFonts w:eastAsia="Arial" w:cs="Arial"/>
          <w:szCs w:val="24"/>
        </w:rPr>
        <w:t>,</w:t>
      </w:r>
      <w:r w:rsidRPr="00895206">
        <w:rPr>
          <w:rFonts w:eastAsia="Arial" w:cs="Arial"/>
          <w:szCs w:val="24"/>
        </w:rPr>
        <w:t xml:space="preserve"> con </w:t>
      </w:r>
      <w:r w:rsidR="009B76AB">
        <w:t>62.3</w:t>
      </w:r>
      <w:r w:rsidR="00245C3F">
        <w:rPr>
          <w:rFonts w:eastAsia="Arial" w:cs="Arial"/>
          <w:szCs w:val="24"/>
        </w:rPr>
        <w:t xml:space="preserve"> </w:t>
      </w:r>
      <w:r w:rsidRPr="00895206">
        <w:rPr>
          <w:rFonts w:eastAsia="Arial" w:cs="Arial"/>
          <w:szCs w:val="24"/>
        </w:rPr>
        <w:t>% del total nacional</w:t>
      </w:r>
      <w:r w:rsidR="00C64810">
        <w:rPr>
          <w:rFonts w:eastAsia="Arial" w:cs="Arial"/>
          <w:szCs w:val="24"/>
        </w:rPr>
        <w:t>. L</w:t>
      </w:r>
      <w:r w:rsidRPr="00895206">
        <w:rPr>
          <w:rFonts w:eastAsia="Arial" w:cs="Arial"/>
          <w:szCs w:val="24"/>
        </w:rPr>
        <w:t xml:space="preserve">os </w:t>
      </w:r>
      <w:r w:rsidR="00667199">
        <w:rPr>
          <w:rFonts w:eastAsia="Arial" w:cs="Arial"/>
          <w:szCs w:val="24"/>
        </w:rPr>
        <w:t>h</w:t>
      </w:r>
      <w:r w:rsidRPr="00895206">
        <w:rPr>
          <w:rFonts w:eastAsia="Arial" w:cs="Arial"/>
          <w:szCs w:val="24"/>
        </w:rPr>
        <w:t>ogares participaron con</w:t>
      </w:r>
      <w:r w:rsidR="00A850AD">
        <w:rPr>
          <w:rFonts w:eastAsia="Arial" w:cs="Arial"/>
          <w:szCs w:val="24"/>
        </w:rPr>
        <w:t xml:space="preserve"> </w:t>
      </w:r>
      <w:r w:rsidR="009B76AB">
        <w:t>29.3</w:t>
      </w:r>
      <w:r w:rsidR="00245C3F">
        <w:rPr>
          <w:rFonts w:eastAsia="Arial" w:cs="Arial"/>
          <w:szCs w:val="24"/>
        </w:rPr>
        <w:t xml:space="preserve"> </w:t>
      </w:r>
      <w:r w:rsidRPr="00895206">
        <w:rPr>
          <w:rFonts w:eastAsia="Arial" w:cs="Arial"/>
          <w:szCs w:val="24"/>
        </w:rPr>
        <w:t>%</w:t>
      </w:r>
      <w:r w:rsidR="00C64810">
        <w:rPr>
          <w:rFonts w:eastAsia="Arial" w:cs="Arial"/>
          <w:szCs w:val="24"/>
        </w:rPr>
        <w:t>;</w:t>
      </w:r>
      <w:r w:rsidRPr="00895206">
        <w:rPr>
          <w:rFonts w:eastAsia="Arial" w:cs="Arial"/>
          <w:szCs w:val="24"/>
        </w:rPr>
        <w:t xml:space="preserve"> el </w:t>
      </w:r>
      <w:r w:rsidR="00C67DC0">
        <w:rPr>
          <w:rFonts w:eastAsia="Arial" w:cs="Arial"/>
          <w:szCs w:val="24"/>
        </w:rPr>
        <w:t>g</w:t>
      </w:r>
      <w:r w:rsidRPr="00895206">
        <w:rPr>
          <w:rFonts w:eastAsia="Arial" w:cs="Arial"/>
          <w:szCs w:val="24"/>
        </w:rPr>
        <w:t>obierno general</w:t>
      </w:r>
      <w:r w:rsidR="00C64810">
        <w:rPr>
          <w:rFonts w:eastAsia="Arial" w:cs="Arial"/>
          <w:szCs w:val="24"/>
        </w:rPr>
        <w:t>,</w:t>
      </w:r>
      <w:r w:rsidRPr="00895206">
        <w:rPr>
          <w:rFonts w:eastAsia="Arial" w:cs="Arial"/>
          <w:szCs w:val="24"/>
        </w:rPr>
        <w:t xml:space="preserve"> </w:t>
      </w:r>
      <w:r w:rsidR="00C67DC0">
        <w:rPr>
          <w:rFonts w:eastAsia="Arial" w:cs="Arial"/>
          <w:szCs w:val="24"/>
        </w:rPr>
        <w:t xml:space="preserve">con </w:t>
      </w:r>
      <w:r w:rsidR="009B76AB">
        <w:t>7.0</w:t>
      </w:r>
      <w:r w:rsidR="00245C3F">
        <w:rPr>
          <w:rFonts w:eastAsia="Arial" w:cs="Arial"/>
          <w:szCs w:val="24"/>
        </w:rPr>
        <w:t xml:space="preserve"> %</w:t>
      </w:r>
      <w:r w:rsidR="00C64810">
        <w:rPr>
          <w:rFonts w:eastAsia="Arial" w:cs="Arial"/>
          <w:szCs w:val="24"/>
        </w:rPr>
        <w:t>;</w:t>
      </w:r>
      <w:r w:rsidR="00245C3F">
        <w:rPr>
          <w:rFonts w:eastAsia="Arial" w:cs="Arial"/>
          <w:szCs w:val="24"/>
        </w:rPr>
        <w:t xml:space="preserve"> las </w:t>
      </w:r>
      <w:r w:rsidR="00C67DC0">
        <w:rPr>
          <w:rFonts w:eastAsia="Arial" w:cs="Arial"/>
          <w:szCs w:val="24"/>
        </w:rPr>
        <w:t>s</w:t>
      </w:r>
      <w:r w:rsidR="00245C3F">
        <w:rPr>
          <w:rFonts w:eastAsia="Arial" w:cs="Arial"/>
          <w:szCs w:val="24"/>
        </w:rPr>
        <w:t>ociedades financieras</w:t>
      </w:r>
      <w:r w:rsidR="00C64810">
        <w:rPr>
          <w:rFonts w:eastAsia="Arial" w:cs="Arial"/>
          <w:szCs w:val="24"/>
        </w:rPr>
        <w:t>,</w:t>
      </w:r>
      <w:r w:rsidR="00245C3F">
        <w:rPr>
          <w:rFonts w:eastAsia="Arial" w:cs="Arial"/>
          <w:szCs w:val="24"/>
        </w:rPr>
        <w:t xml:space="preserve"> </w:t>
      </w:r>
      <w:r w:rsidR="00C67DC0">
        <w:rPr>
          <w:rFonts w:eastAsia="Arial" w:cs="Arial"/>
          <w:szCs w:val="24"/>
        </w:rPr>
        <w:t xml:space="preserve">con </w:t>
      </w:r>
      <w:r w:rsidR="00A850AD">
        <w:rPr>
          <w:rFonts w:eastAsia="Arial" w:cs="Arial"/>
          <w:szCs w:val="24"/>
        </w:rPr>
        <w:br/>
      </w:r>
      <w:r w:rsidR="009B76AB">
        <w:t>1.4</w:t>
      </w:r>
      <w:r w:rsidR="00245C3F">
        <w:rPr>
          <w:rFonts w:eastAsia="Arial" w:cs="Arial"/>
          <w:szCs w:val="24"/>
        </w:rPr>
        <w:t xml:space="preserve"> % y las ISFLSH</w:t>
      </w:r>
      <w:r w:rsidR="00C64810">
        <w:rPr>
          <w:rFonts w:eastAsia="Arial" w:cs="Arial"/>
          <w:szCs w:val="24"/>
        </w:rPr>
        <w:t>,</w:t>
      </w:r>
      <w:r w:rsidR="00245C3F">
        <w:rPr>
          <w:rFonts w:eastAsia="Arial" w:cs="Arial"/>
          <w:szCs w:val="24"/>
        </w:rPr>
        <w:t xml:space="preserve"> </w:t>
      </w:r>
      <w:r w:rsidR="00C67DC0">
        <w:rPr>
          <w:rFonts w:eastAsia="Arial" w:cs="Arial"/>
          <w:szCs w:val="24"/>
        </w:rPr>
        <w:t xml:space="preserve">con </w:t>
      </w:r>
      <w:r w:rsidR="009B76AB">
        <w:t>0.1</w:t>
      </w:r>
      <w:r w:rsidRPr="00895206">
        <w:rPr>
          <w:rFonts w:eastAsia="Arial" w:cs="Arial"/>
          <w:szCs w:val="24"/>
        </w:rPr>
        <w:t xml:space="preserve"> por ciento.</w:t>
      </w:r>
    </w:p>
    <w:p w14:paraId="215409F8" w14:textId="06F7C40D" w:rsidR="00266018" w:rsidRDefault="00266018" w:rsidP="00BB6F11">
      <w:pPr>
        <w:spacing w:after="0" w:line="246" w:lineRule="auto"/>
        <w:ind w:left="-425" w:right="-28"/>
        <w:jc w:val="both"/>
        <w:rPr>
          <w:rFonts w:eastAsia="Arial" w:cs="Arial"/>
          <w:szCs w:val="24"/>
        </w:rPr>
      </w:pPr>
    </w:p>
    <w:p w14:paraId="585FE300" w14:textId="2940EECA" w:rsidR="00BB6F11" w:rsidRPr="00895206" w:rsidRDefault="00C30CB5" w:rsidP="00BB6F11">
      <w:pPr>
        <w:spacing w:after="0" w:line="246" w:lineRule="auto"/>
        <w:ind w:left="-425" w:right="-28"/>
        <w:jc w:val="both"/>
        <w:rPr>
          <w:rFonts w:eastAsia="Arial" w:cs="Arial"/>
          <w:szCs w:val="24"/>
        </w:rPr>
      </w:pPr>
      <w:r>
        <w:rPr>
          <w:rFonts w:eastAsia="Arial" w:cs="Arial"/>
          <w:szCs w:val="24"/>
        </w:rPr>
        <w:t>L</w:t>
      </w:r>
      <w:r w:rsidR="00BB6F11" w:rsidRPr="00895206">
        <w:rPr>
          <w:rFonts w:eastAsia="Arial" w:cs="Arial"/>
          <w:szCs w:val="24"/>
        </w:rPr>
        <w:t>as C</w:t>
      </w:r>
      <w:r w:rsidR="00C67DC0">
        <w:rPr>
          <w:rFonts w:eastAsia="Arial" w:cs="Arial"/>
          <w:szCs w:val="24"/>
        </w:rPr>
        <w:t>SI</w:t>
      </w:r>
      <w:r w:rsidR="00266018">
        <w:rPr>
          <w:rFonts w:eastAsia="Arial" w:cs="Arial"/>
          <w:szCs w:val="24"/>
        </w:rPr>
        <w:t xml:space="preserve"> </w:t>
      </w:r>
      <w:r w:rsidR="007C79AC">
        <w:rPr>
          <w:rFonts w:eastAsia="Arial" w:cs="Arial"/>
          <w:szCs w:val="24"/>
        </w:rPr>
        <w:t xml:space="preserve">mostraron </w:t>
      </w:r>
      <w:r w:rsidR="00266018">
        <w:rPr>
          <w:rFonts w:eastAsia="Arial" w:cs="Arial"/>
          <w:szCs w:val="24"/>
        </w:rPr>
        <w:t>que</w:t>
      </w:r>
      <w:r w:rsidR="007C79AC">
        <w:rPr>
          <w:rFonts w:eastAsia="Arial" w:cs="Arial"/>
          <w:szCs w:val="24"/>
        </w:rPr>
        <w:t xml:space="preserve"> </w:t>
      </w:r>
      <w:r w:rsidR="00BB6F11" w:rsidRPr="00895206">
        <w:rPr>
          <w:rFonts w:eastAsia="Arial" w:cs="Arial"/>
          <w:szCs w:val="24"/>
        </w:rPr>
        <w:t xml:space="preserve">los </w:t>
      </w:r>
      <w:r w:rsidR="00C67DC0">
        <w:rPr>
          <w:rFonts w:eastAsia="Arial" w:cs="Arial"/>
          <w:szCs w:val="24"/>
        </w:rPr>
        <w:t>h</w:t>
      </w:r>
      <w:r w:rsidR="00BB6F11" w:rsidRPr="00895206">
        <w:rPr>
          <w:rFonts w:eastAsia="Arial" w:cs="Arial"/>
          <w:szCs w:val="24"/>
        </w:rPr>
        <w:t xml:space="preserve">ogares y las </w:t>
      </w:r>
      <w:r w:rsidR="00C67DC0">
        <w:rPr>
          <w:rFonts w:eastAsia="Arial" w:cs="Arial"/>
          <w:szCs w:val="24"/>
        </w:rPr>
        <w:t>s</w:t>
      </w:r>
      <w:r w:rsidR="00BB6F11" w:rsidRPr="00895206">
        <w:rPr>
          <w:rFonts w:eastAsia="Arial" w:cs="Arial"/>
          <w:szCs w:val="24"/>
        </w:rPr>
        <w:t>ociedades</w:t>
      </w:r>
      <w:r w:rsidR="00A64C0F">
        <w:rPr>
          <w:rFonts w:eastAsia="Arial" w:cs="Arial"/>
          <w:szCs w:val="24"/>
        </w:rPr>
        <w:t xml:space="preserve"> financieras </w:t>
      </w:r>
      <w:r w:rsidR="00C67DC0">
        <w:rPr>
          <w:rFonts w:eastAsia="Arial" w:cs="Arial"/>
          <w:szCs w:val="24"/>
        </w:rPr>
        <w:t xml:space="preserve">aportaron </w:t>
      </w:r>
      <w:r w:rsidR="009B76AB">
        <w:t>71.5</w:t>
      </w:r>
      <w:r w:rsidR="00A64C0F">
        <w:rPr>
          <w:rFonts w:eastAsia="Arial" w:cs="Arial"/>
          <w:szCs w:val="24"/>
        </w:rPr>
        <w:t xml:space="preserve"> y </w:t>
      </w:r>
      <w:r w:rsidR="009B76AB">
        <w:t>27.5</w:t>
      </w:r>
      <w:r w:rsidR="00C67DC0">
        <w:t xml:space="preserve"> </w:t>
      </w:r>
      <w:r w:rsidR="00BB6F11" w:rsidRPr="00895206">
        <w:rPr>
          <w:rFonts w:eastAsia="Arial" w:cs="Arial"/>
          <w:szCs w:val="24"/>
        </w:rPr>
        <w:t>%</w:t>
      </w:r>
      <w:r w:rsidR="00C67DC0" w:rsidRPr="00C67DC0">
        <w:rPr>
          <w:rFonts w:eastAsia="Arial" w:cs="Arial"/>
          <w:szCs w:val="24"/>
        </w:rPr>
        <w:t xml:space="preserve"> </w:t>
      </w:r>
      <w:r w:rsidR="00C67DC0">
        <w:rPr>
          <w:rFonts w:eastAsia="Arial" w:cs="Arial"/>
          <w:szCs w:val="24"/>
        </w:rPr>
        <w:t xml:space="preserve">del </w:t>
      </w:r>
      <w:r w:rsidR="00C67DC0" w:rsidRPr="00895206">
        <w:rPr>
          <w:rFonts w:eastAsia="Arial" w:cs="Arial"/>
          <w:szCs w:val="24"/>
        </w:rPr>
        <w:t xml:space="preserve">Ahorro Bruto </w:t>
      </w:r>
      <w:r w:rsidR="00667199">
        <w:rPr>
          <w:rFonts w:eastAsia="Arial" w:cs="Arial"/>
          <w:szCs w:val="24"/>
        </w:rPr>
        <w:t>T</w:t>
      </w:r>
      <w:r w:rsidR="00C67DC0" w:rsidRPr="00895206">
        <w:rPr>
          <w:rFonts w:eastAsia="Arial" w:cs="Arial"/>
          <w:szCs w:val="24"/>
        </w:rPr>
        <w:t>otal</w:t>
      </w:r>
      <w:r w:rsidR="00C67DC0">
        <w:rPr>
          <w:rFonts w:eastAsia="Arial" w:cs="Arial"/>
          <w:szCs w:val="24"/>
        </w:rPr>
        <w:t>, respectivamente</w:t>
      </w:r>
      <w:r>
        <w:rPr>
          <w:rFonts w:eastAsia="Arial" w:cs="Arial"/>
          <w:szCs w:val="24"/>
        </w:rPr>
        <w:t>, en 2021</w:t>
      </w:r>
      <w:r w:rsidR="00C67DC0">
        <w:rPr>
          <w:rFonts w:eastAsia="Arial" w:cs="Arial"/>
          <w:szCs w:val="24"/>
        </w:rPr>
        <w:t xml:space="preserve">. </w:t>
      </w:r>
      <w:r w:rsidR="007C79AC">
        <w:rPr>
          <w:rFonts w:eastAsia="Arial" w:cs="Arial"/>
          <w:szCs w:val="24"/>
        </w:rPr>
        <w:t>S</w:t>
      </w:r>
      <w:r w:rsidR="00BB6F11" w:rsidRPr="00895206">
        <w:rPr>
          <w:rFonts w:eastAsia="Arial" w:cs="Arial"/>
          <w:szCs w:val="24"/>
        </w:rPr>
        <w:t xml:space="preserve">iguieron las </w:t>
      </w:r>
      <w:r w:rsidR="00667199">
        <w:rPr>
          <w:rFonts w:eastAsia="Arial" w:cs="Arial"/>
          <w:szCs w:val="24"/>
        </w:rPr>
        <w:t>s</w:t>
      </w:r>
      <w:r w:rsidR="00BB6F11" w:rsidRPr="00895206">
        <w:rPr>
          <w:rFonts w:eastAsia="Arial" w:cs="Arial"/>
          <w:szCs w:val="24"/>
        </w:rPr>
        <w:t>ociedades</w:t>
      </w:r>
      <w:r w:rsidR="00A64C0F">
        <w:rPr>
          <w:rFonts w:eastAsia="Arial" w:cs="Arial"/>
          <w:szCs w:val="24"/>
        </w:rPr>
        <w:t xml:space="preserve"> no financieras con </w:t>
      </w:r>
      <w:r w:rsidR="009B76AB">
        <w:t>14.3</w:t>
      </w:r>
      <w:r w:rsidR="00A64C0F">
        <w:rPr>
          <w:rFonts w:eastAsia="Arial" w:cs="Arial"/>
          <w:szCs w:val="24"/>
        </w:rPr>
        <w:t xml:space="preserve"> %</w:t>
      </w:r>
      <w:r w:rsidR="00C67DC0">
        <w:rPr>
          <w:rFonts w:eastAsia="Arial" w:cs="Arial"/>
          <w:szCs w:val="24"/>
        </w:rPr>
        <w:t xml:space="preserve"> y </w:t>
      </w:r>
      <w:r w:rsidR="00A64C0F">
        <w:rPr>
          <w:rFonts w:eastAsia="Arial" w:cs="Arial"/>
          <w:szCs w:val="24"/>
        </w:rPr>
        <w:t>las ISFLSH</w:t>
      </w:r>
      <w:r w:rsidR="007C79AC">
        <w:rPr>
          <w:rFonts w:eastAsia="Arial" w:cs="Arial"/>
          <w:szCs w:val="24"/>
        </w:rPr>
        <w:t>,</w:t>
      </w:r>
      <w:r w:rsidR="00A64C0F">
        <w:rPr>
          <w:rFonts w:eastAsia="Arial" w:cs="Arial"/>
          <w:szCs w:val="24"/>
        </w:rPr>
        <w:t xml:space="preserve"> </w:t>
      </w:r>
      <w:r w:rsidR="00C67DC0">
        <w:rPr>
          <w:rFonts w:eastAsia="Arial" w:cs="Arial"/>
          <w:szCs w:val="24"/>
        </w:rPr>
        <w:t xml:space="preserve">con </w:t>
      </w:r>
      <w:r w:rsidR="009B76AB">
        <w:t>1.8</w:t>
      </w:r>
      <w:r w:rsidR="00C67DC0">
        <w:rPr>
          <w:rFonts w:eastAsia="Arial" w:cs="Arial"/>
          <w:szCs w:val="24"/>
        </w:rPr>
        <w:t xml:space="preserve"> por ciento. E</w:t>
      </w:r>
      <w:r w:rsidR="00BB6F11" w:rsidRPr="00895206">
        <w:rPr>
          <w:rFonts w:eastAsia="Arial" w:cs="Arial"/>
          <w:szCs w:val="24"/>
        </w:rPr>
        <w:t xml:space="preserve">l </w:t>
      </w:r>
      <w:r w:rsidR="006A67F8">
        <w:rPr>
          <w:rFonts w:eastAsia="Arial" w:cs="Arial"/>
          <w:szCs w:val="24"/>
        </w:rPr>
        <w:t>g</w:t>
      </w:r>
      <w:r w:rsidR="00BB6F11" w:rsidRPr="00895206">
        <w:rPr>
          <w:rFonts w:eastAsia="Arial" w:cs="Arial"/>
          <w:szCs w:val="24"/>
        </w:rPr>
        <w:t>o</w:t>
      </w:r>
      <w:r w:rsidR="00A64C0F">
        <w:rPr>
          <w:rFonts w:eastAsia="Arial" w:cs="Arial"/>
          <w:szCs w:val="24"/>
        </w:rPr>
        <w:t xml:space="preserve">bierno </w:t>
      </w:r>
      <w:r w:rsidR="006A67F8">
        <w:rPr>
          <w:rFonts w:eastAsia="Arial" w:cs="Arial"/>
          <w:szCs w:val="24"/>
        </w:rPr>
        <w:t xml:space="preserve">general </w:t>
      </w:r>
      <w:r w:rsidR="002616DD">
        <w:rPr>
          <w:rFonts w:eastAsia="Arial" w:cs="Arial"/>
          <w:szCs w:val="24"/>
        </w:rPr>
        <w:t>observó un desahorro de</w:t>
      </w:r>
      <w:r w:rsidR="007C79AC">
        <w:rPr>
          <w:rFonts w:eastAsia="Arial" w:cs="Arial"/>
          <w:szCs w:val="24"/>
        </w:rPr>
        <w:t xml:space="preserve">         </w:t>
      </w:r>
      <w:r w:rsidR="002616DD">
        <w:rPr>
          <w:rFonts w:eastAsia="Arial" w:cs="Arial"/>
          <w:szCs w:val="24"/>
        </w:rPr>
        <w:t xml:space="preserve"> </w:t>
      </w:r>
      <w:r w:rsidR="009B76AB">
        <w:t>16.6</w:t>
      </w:r>
      <w:r w:rsidR="006A67F8">
        <w:rPr>
          <w:rFonts w:eastAsia="Arial" w:cs="Arial"/>
          <w:szCs w:val="24"/>
        </w:rPr>
        <w:t xml:space="preserve"> % y el restante </w:t>
      </w:r>
      <w:r w:rsidR="009B76AB">
        <w:t>1.5</w:t>
      </w:r>
      <w:r w:rsidR="006A67F8">
        <w:rPr>
          <w:rFonts w:eastAsia="Arial" w:cs="Arial"/>
          <w:szCs w:val="24"/>
        </w:rPr>
        <w:t xml:space="preserve"> </w:t>
      </w:r>
      <w:r w:rsidR="00BB6F11" w:rsidRPr="00895206">
        <w:rPr>
          <w:rFonts w:eastAsia="Arial" w:cs="Arial"/>
          <w:szCs w:val="24"/>
        </w:rPr>
        <w:t xml:space="preserve">% </w:t>
      </w:r>
      <w:r w:rsidR="006A67F8">
        <w:rPr>
          <w:rFonts w:eastAsia="Arial" w:cs="Arial"/>
          <w:szCs w:val="24"/>
        </w:rPr>
        <w:t>correspond</w:t>
      </w:r>
      <w:r w:rsidR="00C67DC0">
        <w:rPr>
          <w:rFonts w:eastAsia="Arial" w:cs="Arial"/>
          <w:szCs w:val="24"/>
        </w:rPr>
        <w:t>ió</w:t>
      </w:r>
      <w:r w:rsidR="006A67F8">
        <w:rPr>
          <w:rFonts w:eastAsia="Arial" w:cs="Arial"/>
          <w:szCs w:val="24"/>
        </w:rPr>
        <w:t xml:space="preserve"> al</w:t>
      </w:r>
      <w:r w:rsidR="00BB6F11" w:rsidRPr="00895206">
        <w:rPr>
          <w:rFonts w:eastAsia="Arial" w:cs="Arial"/>
          <w:szCs w:val="24"/>
        </w:rPr>
        <w:t xml:space="preserve"> </w:t>
      </w:r>
      <w:r w:rsidR="006A67F8">
        <w:rPr>
          <w:rFonts w:eastAsia="Arial" w:cs="Arial"/>
          <w:szCs w:val="24"/>
        </w:rPr>
        <w:t>ahorro</w:t>
      </w:r>
      <w:r w:rsidR="00BB6F11" w:rsidRPr="00895206">
        <w:rPr>
          <w:rFonts w:eastAsia="Arial" w:cs="Arial"/>
          <w:szCs w:val="24"/>
        </w:rPr>
        <w:t xml:space="preserve"> </w:t>
      </w:r>
      <w:r w:rsidR="006A67F8">
        <w:rPr>
          <w:rFonts w:eastAsia="Arial" w:cs="Arial"/>
          <w:szCs w:val="24"/>
        </w:rPr>
        <w:t>externo</w:t>
      </w:r>
      <w:r w:rsidR="00BB6F11" w:rsidRPr="00895206">
        <w:rPr>
          <w:rFonts w:eastAsia="Arial" w:cs="Arial"/>
          <w:szCs w:val="24"/>
        </w:rPr>
        <w:t>.</w:t>
      </w:r>
    </w:p>
    <w:p w14:paraId="3D26D8B5" w14:textId="77777777" w:rsidR="006A67F8" w:rsidRDefault="006A67F8" w:rsidP="00BB6F11">
      <w:pPr>
        <w:spacing w:after="0" w:line="246" w:lineRule="auto"/>
        <w:ind w:left="-425" w:right="-28"/>
        <w:jc w:val="both"/>
        <w:rPr>
          <w:rFonts w:eastAsia="Arial" w:cs="Arial"/>
          <w:spacing w:val="-2"/>
          <w:szCs w:val="24"/>
        </w:rPr>
      </w:pPr>
    </w:p>
    <w:p w14:paraId="7194593A" w14:textId="08CC31AB" w:rsidR="00BB6F11" w:rsidRPr="00895206" w:rsidRDefault="00C67DC0" w:rsidP="00BB6F11">
      <w:pPr>
        <w:spacing w:after="0" w:line="246" w:lineRule="auto"/>
        <w:ind w:left="-425" w:right="-28"/>
        <w:jc w:val="both"/>
        <w:rPr>
          <w:rFonts w:eastAsia="Arial" w:cs="Arial"/>
          <w:spacing w:val="-2"/>
          <w:szCs w:val="24"/>
        </w:rPr>
      </w:pPr>
      <w:r>
        <w:rPr>
          <w:rFonts w:eastAsia="Arial" w:cs="Arial"/>
          <w:spacing w:val="-2"/>
          <w:szCs w:val="24"/>
        </w:rPr>
        <w:t>En 2021,</w:t>
      </w:r>
      <w:r w:rsidR="00BB6F11" w:rsidRPr="00895206">
        <w:rPr>
          <w:rFonts w:eastAsia="Arial" w:cs="Arial"/>
          <w:spacing w:val="-2"/>
          <w:szCs w:val="24"/>
        </w:rPr>
        <w:t xml:space="preserve"> la tasa de </w:t>
      </w:r>
      <w:r w:rsidR="006A67F8">
        <w:rPr>
          <w:rFonts w:eastAsia="Arial" w:cs="Arial"/>
          <w:spacing w:val="-2"/>
          <w:szCs w:val="24"/>
        </w:rPr>
        <w:t>Ahorro Bruto T</w:t>
      </w:r>
      <w:r w:rsidR="00BB6F11" w:rsidRPr="00895206">
        <w:rPr>
          <w:rFonts w:eastAsia="Arial" w:cs="Arial"/>
          <w:spacing w:val="-2"/>
          <w:szCs w:val="24"/>
        </w:rPr>
        <w:t xml:space="preserve">otal </w:t>
      </w:r>
      <w:r w:rsidR="00E9003C">
        <w:rPr>
          <w:rFonts w:eastAsia="Arial" w:cs="Arial"/>
          <w:spacing w:val="-2"/>
          <w:szCs w:val="24"/>
        </w:rPr>
        <w:t>del país</w:t>
      </w:r>
      <w:r w:rsidR="00667199">
        <w:rPr>
          <w:rFonts w:eastAsia="Arial" w:cs="Arial"/>
          <w:spacing w:val="-2"/>
          <w:szCs w:val="24"/>
        </w:rPr>
        <w:t>,</w:t>
      </w:r>
      <w:r w:rsidR="00667199" w:rsidRPr="00667199">
        <w:rPr>
          <w:rFonts w:eastAsia="Arial" w:cs="Arial"/>
          <w:spacing w:val="-2"/>
          <w:szCs w:val="24"/>
        </w:rPr>
        <w:t xml:space="preserve"> </w:t>
      </w:r>
      <w:r w:rsidR="00667199" w:rsidRPr="00895206">
        <w:rPr>
          <w:rFonts w:eastAsia="Arial" w:cs="Arial"/>
          <w:spacing w:val="-2"/>
          <w:szCs w:val="24"/>
        </w:rPr>
        <w:t>a precios de mercado</w:t>
      </w:r>
      <w:r w:rsidR="00667199">
        <w:rPr>
          <w:rFonts w:eastAsia="Arial" w:cs="Arial"/>
          <w:spacing w:val="-2"/>
          <w:szCs w:val="24"/>
        </w:rPr>
        <w:t>,</w:t>
      </w:r>
      <w:r w:rsidR="00C30CB5">
        <w:rPr>
          <w:rFonts w:eastAsia="Arial" w:cs="Arial"/>
          <w:spacing w:val="-2"/>
          <w:szCs w:val="24"/>
        </w:rPr>
        <w:t xml:space="preserve"> equivalió </w:t>
      </w:r>
      <w:r w:rsidR="00E9003C">
        <w:rPr>
          <w:rFonts w:eastAsia="Arial" w:cs="Arial"/>
          <w:spacing w:val="-2"/>
          <w:szCs w:val="24"/>
        </w:rPr>
        <w:t xml:space="preserve">a </w:t>
      </w:r>
      <w:r w:rsidR="009B76AB">
        <w:t>24.7</w:t>
      </w:r>
      <w:r w:rsidR="00E9003C">
        <w:rPr>
          <w:rFonts w:eastAsia="Arial" w:cs="Arial"/>
          <w:spacing w:val="-2"/>
          <w:szCs w:val="24"/>
        </w:rPr>
        <w:t xml:space="preserve"> </w:t>
      </w:r>
      <w:r w:rsidR="00BB6F11" w:rsidRPr="00895206">
        <w:rPr>
          <w:rFonts w:eastAsia="Arial" w:cs="Arial"/>
          <w:spacing w:val="-2"/>
          <w:szCs w:val="24"/>
        </w:rPr>
        <w:t>% del PIB</w:t>
      </w:r>
      <w:r w:rsidR="00667199">
        <w:rPr>
          <w:rFonts w:eastAsia="Arial" w:cs="Arial"/>
          <w:spacing w:val="-2"/>
          <w:szCs w:val="24"/>
        </w:rPr>
        <w:t>.</w:t>
      </w:r>
      <w:r w:rsidR="00BB6F11" w:rsidRPr="00895206">
        <w:rPr>
          <w:rFonts w:eastAsia="Arial" w:cs="Arial"/>
          <w:spacing w:val="-2"/>
          <w:szCs w:val="24"/>
        </w:rPr>
        <w:t xml:space="preserve"> </w:t>
      </w:r>
      <w:r>
        <w:rPr>
          <w:rFonts w:eastAsia="Arial" w:cs="Arial"/>
          <w:spacing w:val="-2"/>
          <w:szCs w:val="24"/>
        </w:rPr>
        <w:t>Esta</w:t>
      </w:r>
      <w:r w:rsidR="00BB6F11" w:rsidRPr="00895206">
        <w:rPr>
          <w:rFonts w:eastAsia="Arial" w:cs="Arial"/>
          <w:spacing w:val="-2"/>
          <w:szCs w:val="24"/>
        </w:rPr>
        <w:t xml:space="preserve"> cifra </w:t>
      </w:r>
      <w:r>
        <w:rPr>
          <w:rFonts w:eastAsia="Arial" w:cs="Arial"/>
          <w:spacing w:val="-2"/>
          <w:szCs w:val="24"/>
        </w:rPr>
        <w:t xml:space="preserve">fue </w:t>
      </w:r>
      <w:r w:rsidR="009B76AB">
        <w:t>mayor</w:t>
      </w:r>
      <w:r w:rsidR="00E9003C">
        <w:rPr>
          <w:rFonts w:eastAsia="Arial" w:cs="Arial"/>
          <w:spacing w:val="-2"/>
          <w:szCs w:val="24"/>
        </w:rPr>
        <w:t xml:space="preserve"> </w:t>
      </w:r>
      <w:r w:rsidR="00C30CB5">
        <w:rPr>
          <w:rFonts w:eastAsia="Arial" w:cs="Arial"/>
          <w:spacing w:val="-2"/>
          <w:szCs w:val="24"/>
        </w:rPr>
        <w:t xml:space="preserve">a la de 2020 </w:t>
      </w:r>
      <w:r w:rsidR="00E9003C">
        <w:rPr>
          <w:rFonts w:eastAsia="Arial" w:cs="Arial"/>
          <w:spacing w:val="-2"/>
          <w:szCs w:val="24"/>
        </w:rPr>
        <w:t xml:space="preserve">en </w:t>
      </w:r>
      <w:r w:rsidR="009B76AB">
        <w:t>2.3</w:t>
      </w:r>
      <w:r w:rsidR="00BB6F11" w:rsidRPr="00895206">
        <w:rPr>
          <w:rFonts w:eastAsia="Arial" w:cs="Arial"/>
          <w:spacing w:val="-2"/>
          <w:szCs w:val="24"/>
        </w:rPr>
        <w:t xml:space="preserve"> puntos porce</w:t>
      </w:r>
      <w:r w:rsidR="00D62C47">
        <w:rPr>
          <w:rFonts w:eastAsia="Arial" w:cs="Arial"/>
          <w:spacing w:val="-2"/>
          <w:szCs w:val="24"/>
        </w:rPr>
        <w:t>ntuales</w:t>
      </w:r>
      <w:r w:rsidR="00C30CB5">
        <w:rPr>
          <w:rFonts w:eastAsia="Arial" w:cs="Arial"/>
          <w:spacing w:val="-2"/>
          <w:szCs w:val="24"/>
        </w:rPr>
        <w:t>.</w:t>
      </w:r>
      <w:r w:rsidR="00BB6F11" w:rsidRPr="00895206">
        <w:rPr>
          <w:rFonts w:eastAsia="Arial" w:cs="Arial"/>
          <w:spacing w:val="-2"/>
          <w:szCs w:val="24"/>
        </w:rPr>
        <w:t xml:space="preserve"> Dicho comporta</w:t>
      </w:r>
      <w:r w:rsidR="008E4759">
        <w:rPr>
          <w:rFonts w:eastAsia="Arial" w:cs="Arial"/>
          <w:spacing w:val="-2"/>
          <w:szCs w:val="24"/>
        </w:rPr>
        <w:t>miento derivó de un aumento</w:t>
      </w:r>
      <w:r w:rsidR="00BB6F11" w:rsidRPr="00895206">
        <w:rPr>
          <w:rFonts w:eastAsia="Arial" w:cs="Arial"/>
          <w:spacing w:val="-2"/>
          <w:szCs w:val="24"/>
        </w:rPr>
        <w:t xml:space="preserve"> en el ahorro externo.</w:t>
      </w:r>
    </w:p>
    <w:p w14:paraId="082A4818" w14:textId="77777777" w:rsidR="00D62C47" w:rsidRDefault="00D62C47" w:rsidP="00BB6F11">
      <w:pPr>
        <w:spacing w:after="0" w:line="247" w:lineRule="auto"/>
        <w:ind w:left="-425" w:right="-28"/>
        <w:jc w:val="center"/>
        <w:rPr>
          <w:rFonts w:eastAsia="Arial" w:cs="Arial"/>
          <w:spacing w:val="-2"/>
          <w:szCs w:val="24"/>
        </w:rPr>
      </w:pPr>
    </w:p>
    <w:p w14:paraId="72C678F5" w14:textId="77777777" w:rsidR="009C4E45" w:rsidRDefault="009C4E45" w:rsidP="00BB6F11">
      <w:pPr>
        <w:spacing w:after="0" w:line="247" w:lineRule="auto"/>
        <w:ind w:left="-425" w:right="-28"/>
        <w:jc w:val="center"/>
        <w:rPr>
          <w:rFonts w:eastAsia="Arial" w:cs="Arial"/>
          <w:spacing w:val="-2"/>
          <w:sz w:val="20"/>
          <w:szCs w:val="20"/>
        </w:rPr>
      </w:pPr>
    </w:p>
    <w:p w14:paraId="63300B4A" w14:textId="4FF48606" w:rsidR="00BB6F11" w:rsidRPr="00D62C47" w:rsidRDefault="00BB6F11" w:rsidP="00BB6F11">
      <w:pPr>
        <w:spacing w:after="0" w:line="247" w:lineRule="auto"/>
        <w:ind w:left="-425" w:right="-28"/>
        <w:jc w:val="center"/>
        <w:rPr>
          <w:rFonts w:eastAsia="Arial" w:cs="Arial"/>
          <w:spacing w:val="-2"/>
          <w:sz w:val="20"/>
          <w:szCs w:val="20"/>
        </w:rPr>
      </w:pPr>
      <w:r w:rsidRPr="00D62C47">
        <w:rPr>
          <w:rFonts w:eastAsia="Arial" w:cs="Arial"/>
          <w:spacing w:val="-2"/>
          <w:sz w:val="20"/>
          <w:szCs w:val="20"/>
        </w:rPr>
        <w:t xml:space="preserve">Cuadro </w:t>
      </w:r>
      <w:r w:rsidR="00AB3380">
        <w:rPr>
          <w:rFonts w:eastAsia="Arial" w:cs="Arial"/>
          <w:spacing w:val="-2"/>
          <w:sz w:val="20"/>
          <w:szCs w:val="20"/>
        </w:rPr>
        <w:t>3</w:t>
      </w:r>
    </w:p>
    <w:p w14:paraId="452E1496" w14:textId="20BB5148" w:rsidR="00BB6F11" w:rsidRPr="00D62C47" w:rsidRDefault="00BB6F11" w:rsidP="00BB6F11">
      <w:pPr>
        <w:spacing w:after="0" w:line="240" w:lineRule="auto"/>
        <w:ind w:left="-425" w:right="-28"/>
        <w:jc w:val="center"/>
        <w:rPr>
          <w:rFonts w:eastAsia="Arial" w:cs="Arial"/>
          <w:sz w:val="22"/>
        </w:rPr>
      </w:pPr>
      <w:r w:rsidRPr="00D62C47">
        <w:rPr>
          <w:rFonts w:cs="Arial"/>
          <w:b/>
          <w:smallCaps/>
          <w:sz w:val="22"/>
        </w:rPr>
        <w:t xml:space="preserve">Ahorro </w:t>
      </w:r>
      <w:r w:rsidR="00C67DC0">
        <w:rPr>
          <w:rFonts w:cs="Arial"/>
          <w:b/>
          <w:smallCaps/>
          <w:sz w:val="22"/>
        </w:rPr>
        <w:t>b</w:t>
      </w:r>
      <w:r w:rsidRPr="00D62C47">
        <w:rPr>
          <w:rFonts w:cs="Arial"/>
          <w:b/>
          <w:smallCaps/>
          <w:sz w:val="22"/>
        </w:rPr>
        <w:t>ru</w:t>
      </w:r>
      <w:r w:rsidR="00D62C47" w:rsidRPr="00D62C47">
        <w:rPr>
          <w:rFonts w:cs="Arial"/>
          <w:b/>
          <w:smallCaps/>
          <w:sz w:val="22"/>
        </w:rPr>
        <w:t xml:space="preserve">to por </w:t>
      </w:r>
      <w:r w:rsidR="00C67DC0">
        <w:rPr>
          <w:rFonts w:cs="Arial"/>
          <w:b/>
          <w:smallCaps/>
          <w:sz w:val="22"/>
        </w:rPr>
        <w:t>s</w:t>
      </w:r>
      <w:r w:rsidR="00D62C47" w:rsidRPr="00D62C47">
        <w:rPr>
          <w:rFonts w:cs="Arial"/>
          <w:b/>
          <w:smallCaps/>
          <w:sz w:val="22"/>
        </w:rPr>
        <w:t xml:space="preserve">ector </w:t>
      </w:r>
      <w:r w:rsidR="00C67DC0">
        <w:rPr>
          <w:rFonts w:cs="Arial"/>
          <w:b/>
          <w:smallCaps/>
          <w:sz w:val="22"/>
        </w:rPr>
        <w:t>i</w:t>
      </w:r>
      <w:r w:rsidR="00D62C47" w:rsidRPr="00D62C47">
        <w:rPr>
          <w:rFonts w:cs="Arial"/>
          <w:b/>
          <w:smallCaps/>
          <w:sz w:val="22"/>
        </w:rPr>
        <w:t xml:space="preserve">nstitucional, </w:t>
      </w:r>
      <w:r w:rsidR="009B76AB" w:rsidRPr="009B76AB">
        <w:rPr>
          <w:rFonts w:cs="Arial"/>
          <w:b/>
          <w:smallCaps/>
          <w:sz w:val="22"/>
        </w:rPr>
        <w:t>2020</w:t>
      </w:r>
      <w:r w:rsidR="00D62C47" w:rsidRPr="00D62C47">
        <w:rPr>
          <w:rFonts w:cs="Arial"/>
          <w:b/>
          <w:smallCaps/>
          <w:sz w:val="22"/>
        </w:rPr>
        <w:t>-</w:t>
      </w:r>
      <w:r w:rsidR="009B76AB" w:rsidRPr="009B76AB">
        <w:rPr>
          <w:rFonts w:cs="Arial"/>
          <w:b/>
          <w:smallCaps/>
          <w:sz w:val="22"/>
        </w:rPr>
        <w:t>2021</w:t>
      </w:r>
    </w:p>
    <w:p w14:paraId="1C4A340A" w14:textId="77777777" w:rsidR="00D62C47" w:rsidRDefault="00BB6F11" w:rsidP="00BB6F11">
      <w:pPr>
        <w:spacing w:after="0" w:line="203" w:lineRule="exact"/>
        <w:ind w:left="-425" w:right="-28"/>
        <w:jc w:val="center"/>
        <w:rPr>
          <w:rFonts w:eastAsia="Arial" w:cs="Arial"/>
          <w:w w:val="101"/>
          <w:position w:val="-1"/>
          <w:sz w:val="18"/>
          <w:szCs w:val="18"/>
        </w:rPr>
      </w:pPr>
      <w:r w:rsidRPr="00895206">
        <w:rPr>
          <w:rFonts w:cs="Arial"/>
          <w:noProof/>
          <w:lang w:eastAsia="es-MX"/>
        </w:rPr>
        <mc:AlternateContent>
          <mc:Choice Requires="wpg">
            <w:drawing>
              <wp:anchor distT="0" distB="0" distL="114300" distR="114300" simplePos="0" relativeHeight="251658241" behindDoc="1" locked="0" layoutInCell="1" allowOverlap="1" wp14:anchorId="1582D244" wp14:editId="56C92E1A">
                <wp:simplePos x="0" y="0"/>
                <wp:positionH relativeFrom="page">
                  <wp:posOffset>1061085</wp:posOffset>
                </wp:positionH>
                <wp:positionV relativeFrom="paragraph">
                  <wp:posOffset>436245</wp:posOffset>
                </wp:positionV>
                <wp:extent cx="18415" cy="1270"/>
                <wp:effectExtent l="0" t="0" r="19685" b="1778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671" y="687"/>
                          <a:chExt cx="29" cy="2"/>
                        </a:xfrm>
                      </wpg:grpSpPr>
                      <wps:wsp>
                        <wps:cNvPr id="8" name="Freeform 3"/>
                        <wps:cNvSpPr>
                          <a:spLocks/>
                        </wps:cNvSpPr>
                        <wps:spPr bwMode="auto">
                          <a:xfrm>
                            <a:off x="1671" y="687"/>
                            <a:ext cx="29" cy="2"/>
                          </a:xfrm>
                          <a:custGeom>
                            <a:avLst/>
                            <a:gdLst>
                              <a:gd name="T0" fmla="+- 0 1671 1671"/>
                              <a:gd name="T1" fmla="*/ T0 w 29"/>
                              <a:gd name="T2" fmla="+- 0 1700 167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4BA90049" id="Group 2" o:spid="_x0000_s1026" style="position:absolute;margin-left:83.55pt;margin-top:34.35pt;width:1.45pt;height:.1pt;z-index:-251653120;mso-position-horizontal-relative:page" coordorigin="1671,68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">
                <v:shape id="Freeform 3" o:spid="_x0000_s1027" style="position:absolute;left:1671;top:687;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" path="m,l29,e" filled="f" strokeweight="1.54pt">
                  <v:path arrowok="t" o:connecttype="custom" o:connectlocs="0,0;29,0" o:connectangles="0,0"/>
                </v:shape>
                <w10:wrap anchorx="page"/>
              </v:group>
            </w:pict>
          </mc:Fallback>
        </mc:AlternateContent>
      </w:r>
      <w:r w:rsidRPr="00895206">
        <w:rPr>
          <w:rFonts w:eastAsia="Arial" w:cs="Arial"/>
          <w:spacing w:val="1"/>
          <w:position w:val="-1"/>
          <w:sz w:val="18"/>
          <w:szCs w:val="18"/>
        </w:rPr>
        <w:t>(</w:t>
      </w:r>
      <w:r w:rsidRPr="00895206">
        <w:rPr>
          <w:rFonts w:eastAsia="Arial" w:cs="Arial"/>
          <w:spacing w:val="-2"/>
          <w:position w:val="-1"/>
          <w:sz w:val="18"/>
          <w:szCs w:val="18"/>
        </w:rPr>
        <w:t>P</w:t>
      </w:r>
      <w:r w:rsidRPr="00895206">
        <w:rPr>
          <w:rFonts w:eastAsia="Arial" w:cs="Arial"/>
          <w:spacing w:val="-1"/>
          <w:position w:val="-1"/>
          <w:sz w:val="18"/>
          <w:szCs w:val="18"/>
        </w:rPr>
        <w:t>a</w:t>
      </w:r>
      <w:r w:rsidRPr="00895206">
        <w:rPr>
          <w:rFonts w:eastAsia="Arial" w:cs="Arial"/>
          <w:spacing w:val="1"/>
          <w:position w:val="-1"/>
          <w:sz w:val="18"/>
          <w:szCs w:val="18"/>
        </w:rPr>
        <w:t>r</w:t>
      </w:r>
      <w:r w:rsidRPr="00895206">
        <w:rPr>
          <w:rFonts w:eastAsia="Arial" w:cs="Arial"/>
          <w:spacing w:val="2"/>
          <w:position w:val="-1"/>
          <w:sz w:val="18"/>
          <w:szCs w:val="18"/>
        </w:rPr>
        <w:t>t</w:t>
      </w:r>
      <w:r w:rsidRPr="00895206">
        <w:rPr>
          <w:rFonts w:eastAsia="Arial" w:cs="Arial"/>
          <w:spacing w:val="3"/>
          <w:position w:val="-1"/>
          <w:sz w:val="18"/>
          <w:szCs w:val="18"/>
        </w:rPr>
        <w:t>i</w:t>
      </w:r>
      <w:r w:rsidRPr="00895206">
        <w:rPr>
          <w:rFonts w:eastAsia="Arial" w:cs="Arial"/>
          <w:position w:val="-1"/>
          <w:sz w:val="18"/>
          <w:szCs w:val="18"/>
        </w:rPr>
        <w:t>c</w:t>
      </w:r>
      <w:r w:rsidRPr="00895206">
        <w:rPr>
          <w:rFonts w:eastAsia="Arial" w:cs="Arial"/>
          <w:spacing w:val="3"/>
          <w:position w:val="-1"/>
          <w:sz w:val="18"/>
          <w:szCs w:val="18"/>
        </w:rPr>
        <w:t>i</w:t>
      </w:r>
      <w:r w:rsidRPr="00895206">
        <w:rPr>
          <w:rFonts w:eastAsia="Arial" w:cs="Arial"/>
          <w:spacing w:val="-1"/>
          <w:position w:val="-1"/>
          <w:sz w:val="18"/>
          <w:szCs w:val="18"/>
        </w:rPr>
        <w:t>pa</w:t>
      </w:r>
      <w:r w:rsidRPr="00895206">
        <w:rPr>
          <w:rFonts w:eastAsia="Arial" w:cs="Arial"/>
          <w:position w:val="-1"/>
          <w:sz w:val="18"/>
          <w:szCs w:val="18"/>
        </w:rPr>
        <w:t>c</w:t>
      </w:r>
      <w:r w:rsidRPr="00895206">
        <w:rPr>
          <w:rFonts w:eastAsia="Arial" w:cs="Arial"/>
          <w:spacing w:val="3"/>
          <w:position w:val="-1"/>
          <w:sz w:val="18"/>
          <w:szCs w:val="18"/>
        </w:rPr>
        <w:t>i</w:t>
      </w:r>
      <w:r w:rsidRPr="00895206">
        <w:rPr>
          <w:rFonts w:eastAsia="Arial" w:cs="Arial"/>
          <w:spacing w:val="-1"/>
          <w:position w:val="-1"/>
          <w:sz w:val="18"/>
          <w:szCs w:val="18"/>
        </w:rPr>
        <w:t>ó</w:t>
      </w:r>
      <w:r w:rsidRPr="00895206">
        <w:rPr>
          <w:rFonts w:eastAsia="Arial" w:cs="Arial"/>
          <w:position w:val="-1"/>
          <w:sz w:val="18"/>
          <w:szCs w:val="18"/>
        </w:rPr>
        <w:t>n</w:t>
      </w:r>
      <w:r w:rsidRPr="00895206">
        <w:rPr>
          <w:rFonts w:eastAsia="Arial" w:cs="Arial"/>
          <w:spacing w:val="13"/>
          <w:position w:val="-1"/>
          <w:sz w:val="18"/>
          <w:szCs w:val="18"/>
        </w:rPr>
        <w:t xml:space="preserve"> </w:t>
      </w:r>
      <w:r w:rsidRPr="00895206">
        <w:rPr>
          <w:rFonts w:eastAsia="Arial" w:cs="Arial"/>
          <w:spacing w:val="1"/>
          <w:position w:val="-1"/>
          <w:sz w:val="18"/>
          <w:szCs w:val="18"/>
        </w:rPr>
        <w:t>r</w:t>
      </w:r>
      <w:r w:rsidRPr="00895206">
        <w:rPr>
          <w:rFonts w:eastAsia="Arial" w:cs="Arial"/>
          <w:spacing w:val="-5"/>
          <w:position w:val="-1"/>
          <w:sz w:val="18"/>
          <w:szCs w:val="18"/>
        </w:rPr>
        <w:t>e</w:t>
      </w:r>
      <w:r w:rsidRPr="00895206">
        <w:rPr>
          <w:rFonts w:eastAsia="Arial" w:cs="Arial"/>
          <w:position w:val="-1"/>
          <w:sz w:val="18"/>
          <w:szCs w:val="18"/>
        </w:rPr>
        <w:t>s</w:t>
      </w:r>
      <w:r w:rsidRPr="00895206">
        <w:rPr>
          <w:rFonts w:eastAsia="Arial" w:cs="Arial"/>
          <w:spacing w:val="-1"/>
          <w:position w:val="-1"/>
          <w:sz w:val="18"/>
          <w:szCs w:val="18"/>
        </w:rPr>
        <w:t>p</w:t>
      </w:r>
      <w:r w:rsidRPr="00895206">
        <w:rPr>
          <w:rFonts w:eastAsia="Arial" w:cs="Arial"/>
          <w:spacing w:val="-5"/>
          <w:position w:val="-1"/>
          <w:sz w:val="18"/>
          <w:szCs w:val="18"/>
        </w:rPr>
        <w:t>e</w:t>
      </w:r>
      <w:r w:rsidRPr="00895206">
        <w:rPr>
          <w:rFonts w:eastAsia="Arial" w:cs="Arial"/>
          <w:position w:val="-1"/>
          <w:sz w:val="18"/>
          <w:szCs w:val="18"/>
        </w:rPr>
        <w:t>c</w:t>
      </w:r>
      <w:r w:rsidRPr="00895206">
        <w:rPr>
          <w:rFonts w:eastAsia="Arial" w:cs="Arial"/>
          <w:spacing w:val="2"/>
          <w:position w:val="-1"/>
          <w:sz w:val="18"/>
          <w:szCs w:val="18"/>
        </w:rPr>
        <w:t>t</w:t>
      </w:r>
      <w:r w:rsidRPr="00895206">
        <w:rPr>
          <w:rFonts w:eastAsia="Arial" w:cs="Arial"/>
          <w:position w:val="-1"/>
          <w:sz w:val="18"/>
          <w:szCs w:val="18"/>
        </w:rPr>
        <w:t>o</w:t>
      </w:r>
      <w:r w:rsidRPr="00895206">
        <w:rPr>
          <w:rFonts w:eastAsia="Arial" w:cs="Arial"/>
          <w:spacing w:val="9"/>
          <w:position w:val="-1"/>
          <w:sz w:val="18"/>
          <w:szCs w:val="18"/>
        </w:rPr>
        <w:t xml:space="preserve"> </w:t>
      </w:r>
      <w:r w:rsidRPr="00895206">
        <w:rPr>
          <w:rFonts w:eastAsia="Arial" w:cs="Arial"/>
          <w:spacing w:val="-1"/>
          <w:position w:val="-1"/>
          <w:sz w:val="18"/>
          <w:szCs w:val="18"/>
        </w:rPr>
        <w:t>a</w:t>
      </w:r>
      <w:r w:rsidRPr="00895206">
        <w:rPr>
          <w:rFonts w:eastAsia="Arial" w:cs="Arial"/>
          <w:position w:val="-1"/>
          <w:sz w:val="18"/>
          <w:szCs w:val="18"/>
        </w:rPr>
        <w:t>l</w:t>
      </w:r>
      <w:r w:rsidRPr="00895206">
        <w:rPr>
          <w:rFonts w:eastAsia="Arial" w:cs="Arial"/>
          <w:spacing w:val="6"/>
          <w:position w:val="-1"/>
          <w:sz w:val="18"/>
          <w:szCs w:val="18"/>
        </w:rPr>
        <w:t xml:space="preserve"> </w:t>
      </w:r>
      <w:r w:rsidRPr="00895206">
        <w:rPr>
          <w:rFonts w:eastAsia="Arial" w:cs="Arial"/>
          <w:spacing w:val="-2"/>
          <w:position w:val="-1"/>
          <w:sz w:val="18"/>
          <w:szCs w:val="18"/>
        </w:rPr>
        <w:t>P</w:t>
      </w:r>
      <w:r w:rsidRPr="00895206">
        <w:rPr>
          <w:rFonts w:eastAsia="Arial" w:cs="Arial"/>
          <w:spacing w:val="2"/>
          <w:position w:val="-1"/>
          <w:sz w:val="18"/>
          <w:szCs w:val="18"/>
        </w:rPr>
        <w:t>I</w:t>
      </w:r>
      <w:r w:rsidRPr="00895206">
        <w:rPr>
          <w:rFonts w:eastAsia="Arial" w:cs="Arial"/>
          <w:position w:val="-1"/>
          <w:sz w:val="18"/>
          <w:szCs w:val="18"/>
        </w:rPr>
        <w:t>B</w:t>
      </w:r>
      <w:r w:rsidRPr="00895206">
        <w:rPr>
          <w:rFonts w:eastAsia="Arial" w:cs="Arial"/>
          <w:spacing w:val="4"/>
          <w:position w:val="-1"/>
          <w:sz w:val="18"/>
          <w:szCs w:val="18"/>
        </w:rPr>
        <w:t xml:space="preserve"> </w:t>
      </w:r>
      <w:r w:rsidRPr="00895206">
        <w:rPr>
          <w:rFonts w:eastAsia="Arial" w:cs="Arial"/>
          <w:spacing w:val="2"/>
          <w:position w:val="-1"/>
          <w:sz w:val="18"/>
          <w:szCs w:val="18"/>
        </w:rPr>
        <w:t>t</w:t>
      </w:r>
      <w:r w:rsidRPr="00895206">
        <w:rPr>
          <w:rFonts w:eastAsia="Arial" w:cs="Arial"/>
          <w:spacing w:val="3"/>
          <w:position w:val="-1"/>
          <w:sz w:val="18"/>
          <w:szCs w:val="18"/>
        </w:rPr>
        <w:t>o</w:t>
      </w:r>
      <w:r w:rsidRPr="00895206">
        <w:rPr>
          <w:rFonts w:eastAsia="Arial" w:cs="Arial"/>
          <w:spacing w:val="2"/>
          <w:position w:val="-1"/>
          <w:sz w:val="18"/>
          <w:szCs w:val="18"/>
        </w:rPr>
        <w:t>t</w:t>
      </w:r>
      <w:r w:rsidRPr="00895206">
        <w:rPr>
          <w:rFonts w:eastAsia="Arial" w:cs="Arial"/>
          <w:spacing w:val="-1"/>
          <w:position w:val="-1"/>
          <w:sz w:val="18"/>
          <w:szCs w:val="18"/>
        </w:rPr>
        <w:t>a</w:t>
      </w:r>
      <w:r w:rsidRPr="00895206">
        <w:rPr>
          <w:rFonts w:eastAsia="Arial" w:cs="Arial"/>
          <w:position w:val="-1"/>
          <w:sz w:val="18"/>
          <w:szCs w:val="18"/>
        </w:rPr>
        <w:t>l</w:t>
      </w:r>
      <w:r w:rsidRPr="00895206">
        <w:rPr>
          <w:rFonts w:eastAsia="Arial" w:cs="Arial"/>
          <w:spacing w:val="8"/>
          <w:position w:val="-1"/>
          <w:sz w:val="18"/>
          <w:szCs w:val="18"/>
        </w:rPr>
        <w:t xml:space="preserve"> </w:t>
      </w:r>
      <w:r w:rsidRPr="00895206">
        <w:rPr>
          <w:rFonts w:eastAsia="Arial" w:cs="Arial"/>
          <w:position w:val="-1"/>
          <w:sz w:val="18"/>
          <w:szCs w:val="18"/>
        </w:rPr>
        <w:t>a</w:t>
      </w:r>
      <w:r w:rsidRPr="00895206">
        <w:rPr>
          <w:rFonts w:eastAsia="Arial" w:cs="Arial"/>
          <w:spacing w:val="3"/>
          <w:position w:val="-1"/>
          <w:sz w:val="18"/>
          <w:szCs w:val="18"/>
        </w:rPr>
        <w:t xml:space="preserve"> </w:t>
      </w:r>
      <w:r w:rsidRPr="00895206">
        <w:rPr>
          <w:rFonts w:eastAsia="Arial" w:cs="Arial"/>
          <w:spacing w:val="-1"/>
          <w:position w:val="-1"/>
          <w:sz w:val="18"/>
          <w:szCs w:val="18"/>
        </w:rPr>
        <w:t>p</w:t>
      </w:r>
      <w:r w:rsidRPr="00895206">
        <w:rPr>
          <w:rFonts w:eastAsia="Arial" w:cs="Arial"/>
          <w:spacing w:val="1"/>
          <w:position w:val="-1"/>
          <w:sz w:val="18"/>
          <w:szCs w:val="18"/>
        </w:rPr>
        <w:t>r</w:t>
      </w:r>
      <w:r w:rsidRPr="00895206">
        <w:rPr>
          <w:rFonts w:eastAsia="Arial" w:cs="Arial"/>
          <w:spacing w:val="-5"/>
          <w:position w:val="-1"/>
          <w:sz w:val="18"/>
          <w:szCs w:val="18"/>
        </w:rPr>
        <w:t>e</w:t>
      </w:r>
      <w:r w:rsidRPr="00895206">
        <w:rPr>
          <w:rFonts w:eastAsia="Arial" w:cs="Arial"/>
          <w:position w:val="-1"/>
          <w:sz w:val="18"/>
          <w:szCs w:val="18"/>
        </w:rPr>
        <w:t>c</w:t>
      </w:r>
      <w:r w:rsidRPr="00895206">
        <w:rPr>
          <w:rFonts w:eastAsia="Arial" w:cs="Arial"/>
          <w:spacing w:val="3"/>
          <w:position w:val="-1"/>
          <w:sz w:val="18"/>
          <w:szCs w:val="18"/>
        </w:rPr>
        <w:t>i</w:t>
      </w:r>
      <w:r w:rsidRPr="00895206">
        <w:rPr>
          <w:rFonts w:eastAsia="Arial" w:cs="Arial"/>
          <w:spacing w:val="-1"/>
          <w:position w:val="-1"/>
          <w:sz w:val="18"/>
          <w:szCs w:val="18"/>
        </w:rPr>
        <w:t>o</w:t>
      </w:r>
      <w:r w:rsidRPr="00895206">
        <w:rPr>
          <w:rFonts w:eastAsia="Arial" w:cs="Arial"/>
          <w:position w:val="-1"/>
          <w:sz w:val="18"/>
          <w:szCs w:val="18"/>
        </w:rPr>
        <w:t>s</w:t>
      </w:r>
      <w:r w:rsidRPr="00895206">
        <w:rPr>
          <w:rFonts w:eastAsia="Arial" w:cs="Arial"/>
          <w:spacing w:val="8"/>
          <w:position w:val="-1"/>
          <w:sz w:val="18"/>
          <w:szCs w:val="18"/>
        </w:rPr>
        <w:t xml:space="preserve"> </w:t>
      </w:r>
      <w:r w:rsidRPr="00895206">
        <w:rPr>
          <w:rFonts w:eastAsia="Arial" w:cs="Arial"/>
          <w:spacing w:val="-1"/>
          <w:position w:val="-1"/>
          <w:sz w:val="18"/>
          <w:szCs w:val="18"/>
        </w:rPr>
        <w:t>d</w:t>
      </w:r>
      <w:r w:rsidRPr="00895206">
        <w:rPr>
          <w:rFonts w:eastAsia="Arial" w:cs="Arial"/>
          <w:position w:val="-1"/>
          <w:sz w:val="18"/>
          <w:szCs w:val="18"/>
        </w:rPr>
        <w:t>e</w:t>
      </w:r>
      <w:r w:rsidRPr="00895206">
        <w:rPr>
          <w:rFonts w:eastAsia="Arial" w:cs="Arial"/>
          <w:spacing w:val="-1"/>
          <w:position w:val="-1"/>
          <w:sz w:val="18"/>
          <w:szCs w:val="18"/>
        </w:rPr>
        <w:t xml:space="preserve"> </w:t>
      </w:r>
      <w:r w:rsidRPr="00895206">
        <w:rPr>
          <w:rFonts w:eastAsia="Arial" w:cs="Arial"/>
          <w:spacing w:val="6"/>
          <w:w w:val="101"/>
          <w:position w:val="-1"/>
          <w:sz w:val="18"/>
          <w:szCs w:val="18"/>
        </w:rPr>
        <w:t>m</w:t>
      </w:r>
      <w:r w:rsidRPr="00895206">
        <w:rPr>
          <w:rFonts w:eastAsia="Arial" w:cs="Arial"/>
          <w:spacing w:val="-5"/>
          <w:w w:val="101"/>
          <w:position w:val="-1"/>
          <w:sz w:val="18"/>
          <w:szCs w:val="18"/>
        </w:rPr>
        <w:t>e</w:t>
      </w:r>
      <w:r w:rsidRPr="00895206">
        <w:rPr>
          <w:rFonts w:eastAsia="Arial" w:cs="Arial"/>
          <w:spacing w:val="1"/>
          <w:w w:val="101"/>
          <w:position w:val="-1"/>
          <w:sz w:val="18"/>
          <w:szCs w:val="18"/>
        </w:rPr>
        <w:t>r</w:t>
      </w:r>
      <w:r w:rsidRPr="00895206">
        <w:rPr>
          <w:rFonts w:eastAsia="Arial" w:cs="Arial"/>
          <w:w w:val="101"/>
          <w:position w:val="-1"/>
          <w:sz w:val="18"/>
          <w:szCs w:val="18"/>
        </w:rPr>
        <w:t>c</w:t>
      </w:r>
      <w:r w:rsidRPr="00895206">
        <w:rPr>
          <w:rFonts w:eastAsia="Arial" w:cs="Arial"/>
          <w:spacing w:val="-1"/>
          <w:w w:val="101"/>
          <w:position w:val="-1"/>
          <w:sz w:val="18"/>
          <w:szCs w:val="18"/>
        </w:rPr>
        <w:t>ado</w:t>
      </w:r>
      <w:r w:rsidRPr="00895206">
        <w:rPr>
          <w:rFonts w:eastAsia="Arial" w:cs="Arial"/>
          <w:w w:val="101"/>
          <w:position w:val="-1"/>
          <w:sz w:val="18"/>
          <w:szCs w:val="18"/>
        </w:rPr>
        <w:t>)</w:t>
      </w:r>
    </w:p>
    <w:p w14:paraId="4EC6E3AC" w14:textId="49A5E072" w:rsidR="009B76AB" w:rsidRDefault="009B76AB" w:rsidP="009B76AB">
      <w:pPr>
        <w:spacing w:after="0" w:line="203" w:lineRule="exact"/>
        <w:ind w:left="-425" w:right="-28"/>
        <w:jc w:val="center"/>
        <w:rPr>
          <w:rFonts w:asciiTheme="minorHAnsi" w:hAnsiTheme="minorHAnsi"/>
          <w:sz w:val="22"/>
        </w:rPr>
      </w:pPr>
    </w:p>
    <w:tbl>
      <w:tblPr>
        <w:tblW w:w="9578" w:type="dxa"/>
        <w:jc w:val="center"/>
        <w:tblCellMar>
          <w:left w:w="70" w:type="dxa"/>
          <w:right w:w="70" w:type="dxa"/>
        </w:tblCellMar>
        <w:tblLook w:val="04A0" w:firstRow="1" w:lastRow="0" w:firstColumn="1" w:lastColumn="0" w:noHBand="0" w:noVBand="1"/>
      </w:tblPr>
      <w:tblGrid>
        <w:gridCol w:w="1295"/>
        <w:gridCol w:w="1459"/>
        <w:gridCol w:w="1204"/>
        <w:gridCol w:w="1186"/>
        <w:gridCol w:w="948"/>
        <w:gridCol w:w="803"/>
        <w:gridCol w:w="729"/>
        <w:gridCol w:w="1134"/>
        <w:gridCol w:w="820"/>
      </w:tblGrid>
      <w:tr w:rsidR="009B76AB" w:rsidRPr="00E21E11" w14:paraId="5376CAD9" w14:textId="77777777" w:rsidTr="009B76AB">
        <w:trPr>
          <w:divId w:val="1680228464"/>
          <w:trHeight w:val="315"/>
          <w:jc w:val="center"/>
        </w:trPr>
        <w:tc>
          <w:tcPr>
            <w:tcW w:w="1295"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E6A35DF" w14:textId="29DAED1B"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Año</w:t>
            </w:r>
          </w:p>
        </w:tc>
        <w:tc>
          <w:tcPr>
            <w:tcW w:w="1459"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BA17AC3" w14:textId="77777777"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Ahorro Bruto Total</w:t>
            </w:r>
          </w:p>
        </w:tc>
        <w:tc>
          <w:tcPr>
            <w:tcW w:w="6004" w:type="dxa"/>
            <w:gridSpan w:val="6"/>
            <w:tcBorders>
              <w:top w:val="single" w:sz="4" w:space="0" w:color="auto"/>
              <w:left w:val="nil"/>
              <w:bottom w:val="single" w:sz="4" w:space="0" w:color="auto"/>
              <w:right w:val="single" w:sz="4" w:space="0" w:color="auto"/>
            </w:tcBorders>
            <w:shd w:val="clear" w:color="000000" w:fill="203764"/>
            <w:vAlign w:val="center"/>
            <w:hideMark/>
          </w:tcPr>
          <w:p w14:paraId="3CEF6102" w14:textId="77777777" w:rsidR="009B76AB" w:rsidRPr="00E21E11" w:rsidRDefault="009B76AB" w:rsidP="009B76AB">
            <w:pPr>
              <w:widowControl/>
              <w:spacing w:after="0" w:line="240" w:lineRule="auto"/>
              <w:jc w:val="center"/>
              <w:rPr>
                <w:rFonts w:eastAsia="Times New Roman" w:cs="Arial"/>
                <w:b/>
                <w:bCs/>
                <w:color w:val="FFFFFF"/>
                <w:sz w:val="20"/>
                <w:szCs w:val="20"/>
                <w:lang w:eastAsia="es-MX"/>
              </w:rPr>
            </w:pPr>
            <w:r w:rsidRPr="00E21E11">
              <w:rPr>
                <w:rFonts w:eastAsia="Times New Roman" w:cs="Arial"/>
                <w:b/>
                <w:bCs/>
                <w:color w:val="FFFFFF"/>
                <w:sz w:val="20"/>
                <w:szCs w:val="20"/>
                <w:lang w:eastAsia="es-MX"/>
              </w:rPr>
              <w:t>Ahorro Bruto Interno</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6695F38" w14:textId="4D29F712"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 xml:space="preserve">Ahorro </w:t>
            </w:r>
            <w:r w:rsidR="00C67DC0" w:rsidRPr="00E21E11">
              <w:rPr>
                <w:rFonts w:eastAsia="Times New Roman" w:cs="Arial"/>
                <w:b/>
                <w:bCs/>
                <w:color w:val="FFFFFF"/>
                <w:sz w:val="16"/>
                <w:szCs w:val="16"/>
                <w:lang w:eastAsia="es-MX"/>
              </w:rPr>
              <w:t>e</w:t>
            </w:r>
            <w:r w:rsidRPr="00E21E11">
              <w:rPr>
                <w:rFonts w:eastAsia="Times New Roman" w:cs="Arial"/>
                <w:b/>
                <w:bCs/>
                <w:color w:val="FFFFFF"/>
                <w:sz w:val="16"/>
                <w:szCs w:val="16"/>
                <w:lang w:eastAsia="es-MX"/>
              </w:rPr>
              <w:t>xterno</w:t>
            </w:r>
          </w:p>
        </w:tc>
      </w:tr>
      <w:tr w:rsidR="009B76AB" w:rsidRPr="00E21E11" w14:paraId="5F7FFDE8" w14:textId="77777777" w:rsidTr="009B76AB">
        <w:trPr>
          <w:divId w:val="1680228464"/>
          <w:trHeight w:val="1010"/>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14:paraId="0F50C911" w14:textId="77777777" w:rsidR="009B76AB" w:rsidRPr="00E21E11" w:rsidRDefault="009B76AB" w:rsidP="009B76AB">
            <w:pPr>
              <w:widowControl/>
              <w:spacing w:after="0" w:line="240" w:lineRule="auto"/>
              <w:rPr>
                <w:rFonts w:eastAsia="Times New Roman" w:cs="Arial"/>
                <w:b/>
                <w:bCs/>
                <w:color w:val="FFFFFF"/>
                <w:sz w:val="16"/>
                <w:szCs w:val="16"/>
                <w:lang w:eastAsia="es-MX"/>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93E49AC" w14:textId="77777777" w:rsidR="009B76AB" w:rsidRPr="00E21E11" w:rsidRDefault="009B76AB" w:rsidP="009B76AB">
            <w:pPr>
              <w:widowControl/>
              <w:spacing w:after="0" w:line="240" w:lineRule="auto"/>
              <w:rPr>
                <w:rFonts w:eastAsia="Times New Roman" w:cs="Arial"/>
                <w:b/>
                <w:bCs/>
                <w:color w:val="FFFFFF"/>
                <w:sz w:val="16"/>
                <w:szCs w:val="16"/>
                <w:lang w:eastAsia="es-MX"/>
              </w:rPr>
            </w:pPr>
          </w:p>
        </w:tc>
        <w:tc>
          <w:tcPr>
            <w:tcW w:w="1204" w:type="dxa"/>
            <w:tcBorders>
              <w:top w:val="nil"/>
              <w:left w:val="nil"/>
              <w:bottom w:val="single" w:sz="4" w:space="0" w:color="auto"/>
              <w:right w:val="single" w:sz="4" w:space="0" w:color="auto"/>
            </w:tcBorders>
            <w:shd w:val="clear" w:color="000000" w:fill="203764"/>
            <w:vAlign w:val="center"/>
            <w:hideMark/>
          </w:tcPr>
          <w:p w14:paraId="559D23AD" w14:textId="5DF8450E"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 xml:space="preserve">Sociedades no </w:t>
            </w:r>
            <w:r w:rsidR="00C67DC0" w:rsidRPr="00E21E11">
              <w:rPr>
                <w:rFonts w:eastAsia="Times New Roman" w:cs="Arial"/>
                <w:b/>
                <w:bCs/>
                <w:color w:val="FFFFFF"/>
                <w:sz w:val="16"/>
                <w:szCs w:val="16"/>
                <w:lang w:eastAsia="es-MX"/>
              </w:rPr>
              <w:t>f</w:t>
            </w:r>
            <w:r w:rsidRPr="00E21E11">
              <w:rPr>
                <w:rFonts w:eastAsia="Times New Roman" w:cs="Arial"/>
                <w:b/>
                <w:bCs/>
                <w:color w:val="FFFFFF"/>
                <w:sz w:val="16"/>
                <w:szCs w:val="16"/>
                <w:lang w:eastAsia="es-MX"/>
              </w:rPr>
              <w:t>inancieras</w:t>
            </w:r>
          </w:p>
        </w:tc>
        <w:tc>
          <w:tcPr>
            <w:tcW w:w="1186" w:type="dxa"/>
            <w:tcBorders>
              <w:top w:val="nil"/>
              <w:left w:val="nil"/>
              <w:bottom w:val="single" w:sz="4" w:space="0" w:color="auto"/>
              <w:right w:val="single" w:sz="4" w:space="0" w:color="auto"/>
            </w:tcBorders>
            <w:shd w:val="clear" w:color="000000" w:fill="203764"/>
            <w:vAlign w:val="center"/>
            <w:hideMark/>
          </w:tcPr>
          <w:p w14:paraId="086E75AC" w14:textId="187E09EC"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 xml:space="preserve">Sociedades </w:t>
            </w:r>
            <w:r w:rsidR="00C67DC0" w:rsidRPr="00E21E11">
              <w:rPr>
                <w:rFonts w:eastAsia="Times New Roman" w:cs="Arial"/>
                <w:b/>
                <w:bCs/>
                <w:color w:val="FFFFFF"/>
                <w:sz w:val="16"/>
                <w:szCs w:val="16"/>
                <w:lang w:eastAsia="es-MX"/>
              </w:rPr>
              <w:t>f</w:t>
            </w:r>
            <w:r w:rsidRPr="00E21E11">
              <w:rPr>
                <w:rFonts w:eastAsia="Times New Roman" w:cs="Arial"/>
                <w:b/>
                <w:bCs/>
                <w:color w:val="FFFFFF"/>
                <w:sz w:val="16"/>
                <w:szCs w:val="16"/>
                <w:lang w:eastAsia="es-MX"/>
              </w:rPr>
              <w:t>inancieras</w:t>
            </w:r>
          </w:p>
        </w:tc>
        <w:tc>
          <w:tcPr>
            <w:tcW w:w="948" w:type="dxa"/>
            <w:tcBorders>
              <w:top w:val="nil"/>
              <w:left w:val="nil"/>
              <w:bottom w:val="single" w:sz="4" w:space="0" w:color="auto"/>
              <w:right w:val="single" w:sz="4" w:space="0" w:color="auto"/>
            </w:tcBorders>
            <w:shd w:val="clear" w:color="000000" w:fill="203764"/>
            <w:vAlign w:val="center"/>
            <w:hideMark/>
          </w:tcPr>
          <w:p w14:paraId="10A50873" w14:textId="364F626D"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 xml:space="preserve">Gobierno </w:t>
            </w:r>
            <w:r w:rsidR="00C67DC0" w:rsidRPr="00E21E11">
              <w:rPr>
                <w:rFonts w:eastAsia="Times New Roman" w:cs="Arial"/>
                <w:b/>
                <w:bCs/>
                <w:color w:val="FFFFFF"/>
                <w:sz w:val="16"/>
                <w:szCs w:val="16"/>
                <w:lang w:eastAsia="es-MX"/>
              </w:rPr>
              <w:t>g</w:t>
            </w:r>
            <w:r w:rsidRPr="00E21E11">
              <w:rPr>
                <w:rFonts w:eastAsia="Times New Roman" w:cs="Arial"/>
                <w:b/>
                <w:bCs/>
                <w:color w:val="FFFFFF"/>
                <w:sz w:val="16"/>
                <w:szCs w:val="16"/>
                <w:lang w:eastAsia="es-MX"/>
              </w:rPr>
              <w:t>eneral</w:t>
            </w:r>
          </w:p>
        </w:tc>
        <w:tc>
          <w:tcPr>
            <w:tcW w:w="803" w:type="dxa"/>
            <w:tcBorders>
              <w:top w:val="nil"/>
              <w:left w:val="nil"/>
              <w:bottom w:val="single" w:sz="4" w:space="0" w:color="auto"/>
              <w:right w:val="single" w:sz="4" w:space="0" w:color="auto"/>
            </w:tcBorders>
            <w:shd w:val="clear" w:color="000000" w:fill="203764"/>
            <w:vAlign w:val="center"/>
            <w:hideMark/>
          </w:tcPr>
          <w:p w14:paraId="2641E9C3" w14:textId="77777777"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Hogares</w:t>
            </w:r>
          </w:p>
        </w:tc>
        <w:tc>
          <w:tcPr>
            <w:tcW w:w="729" w:type="dxa"/>
            <w:tcBorders>
              <w:top w:val="nil"/>
              <w:left w:val="nil"/>
              <w:bottom w:val="single" w:sz="4" w:space="0" w:color="auto"/>
              <w:right w:val="single" w:sz="4" w:space="0" w:color="auto"/>
            </w:tcBorders>
            <w:shd w:val="clear" w:color="000000" w:fill="203764"/>
            <w:vAlign w:val="center"/>
            <w:hideMark/>
          </w:tcPr>
          <w:p w14:paraId="49B1AA57" w14:textId="77777777"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ISFLSH</w:t>
            </w:r>
          </w:p>
        </w:tc>
        <w:tc>
          <w:tcPr>
            <w:tcW w:w="1132" w:type="dxa"/>
            <w:tcBorders>
              <w:top w:val="nil"/>
              <w:left w:val="nil"/>
              <w:bottom w:val="single" w:sz="4" w:space="0" w:color="auto"/>
              <w:right w:val="single" w:sz="4" w:space="0" w:color="auto"/>
            </w:tcBorders>
            <w:shd w:val="clear" w:color="000000" w:fill="203764"/>
            <w:vAlign w:val="center"/>
            <w:hideMark/>
          </w:tcPr>
          <w:p w14:paraId="3FE0B6E7" w14:textId="77777777"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Suma</w:t>
            </w: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2AD599F4" w14:textId="77777777" w:rsidR="009B76AB" w:rsidRPr="00E21E11" w:rsidRDefault="009B76AB" w:rsidP="009B76AB">
            <w:pPr>
              <w:widowControl/>
              <w:spacing w:after="0" w:line="240" w:lineRule="auto"/>
              <w:rPr>
                <w:rFonts w:eastAsia="Times New Roman" w:cs="Arial"/>
                <w:b/>
                <w:bCs/>
                <w:color w:val="FFFFFF"/>
                <w:sz w:val="16"/>
                <w:szCs w:val="16"/>
                <w:lang w:eastAsia="es-MX"/>
              </w:rPr>
            </w:pPr>
          </w:p>
        </w:tc>
      </w:tr>
      <w:tr w:rsidR="009B76AB" w:rsidRPr="00E21E11" w14:paraId="6E7C47E5" w14:textId="77777777" w:rsidTr="009B76AB">
        <w:trPr>
          <w:divId w:val="1680228464"/>
          <w:trHeight w:val="315"/>
          <w:jc w:val="center"/>
        </w:trPr>
        <w:tc>
          <w:tcPr>
            <w:tcW w:w="1295" w:type="dxa"/>
            <w:tcBorders>
              <w:top w:val="nil"/>
              <w:left w:val="single" w:sz="4" w:space="0" w:color="auto"/>
              <w:bottom w:val="single" w:sz="4" w:space="0" w:color="auto"/>
              <w:right w:val="single" w:sz="4" w:space="0" w:color="auto"/>
            </w:tcBorders>
            <w:shd w:val="clear" w:color="000000" w:fill="203764"/>
            <w:hideMark/>
          </w:tcPr>
          <w:p w14:paraId="4C3C8612" w14:textId="77777777" w:rsidR="009B76AB" w:rsidRPr="000C6BA3" w:rsidRDefault="009B76AB" w:rsidP="009B76AB">
            <w:pPr>
              <w:widowControl/>
              <w:spacing w:after="0" w:line="240" w:lineRule="auto"/>
              <w:rPr>
                <w:rFonts w:eastAsia="Times New Roman" w:cs="Arial"/>
                <w:b/>
                <w:bCs/>
                <w:color w:val="FFFFFF"/>
                <w:sz w:val="22"/>
                <w:lang w:eastAsia="es-MX"/>
              </w:rPr>
            </w:pPr>
            <w:r w:rsidRPr="000C6BA3">
              <w:rPr>
                <w:rFonts w:eastAsia="Times New Roman" w:cs="Arial"/>
                <w:b/>
                <w:bCs/>
                <w:color w:val="FFFFFF"/>
                <w:sz w:val="22"/>
                <w:lang w:eastAsia="es-MX"/>
              </w:rPr>
              <w:t> </w:t>
            </w:r>
          </w:p>
        </w:tc>
        <w:tc>
          <w:tcPr>
            <w:tcW w:w="1459" w:type="dxa"/>
            <w:tcBorders>
              <w:top w:val="nil"/>
              <w:left w:val="nil"/>
              <w:bottom w:val="single" w:sz="4" w:space="0" w:color="auto"/>
              <w:right w:val="single" w:sz="4" w:space="0" w:color="auto"/>
            </w:tcBorders>
            <w:shd w:val="clear" w:color="000000" w:fill="203764"/>
            <w:vAlign w:val="center"/>
            <w:hideMark/>
          </w:tcPr>
          <w:p w14:paraId="48F043BE" w14:textId="77777777"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(1)=(7)+(8)</w:t>
            </w:r>
          </w:p>
        </w:tc>
        <w:tc>
          <w:tcPr>
            <w:tcW w:w="1204" w:type="dxa"/>
            <w:tcBorders>
              <w:top w:val="nil"/>
              <w:left w:val="nil"/>
              <w:bottom w:val="single" w:sz="4" w:space="0" w:color="auto"/>
              <w:right w:val="single" w:sz="4" w:space="0" w:color="auto"/>
            </w:tcBorders>
            <w:shd w:val="clear" w:color="000000" w:fill="203764"/>
            <w:vAlign w:val="center"/>
            <w:hideMark/>
          </w:tcPr>
          <w:p w14:paraId="4463BCBF" w14:textId="77777777"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(2)</w:t>
            </w:r>
          </w:p>
        </w:tc>
        <w:tc>
          <w:tcPr>
            <w:tcW w:w="1186" w:type="dxa"/>
            <w:tcBorders>
              <w:top w:val="nil"/>
              <w:left w:val="nil"/>
              <w:bottom w:val="single" w:sz="4" w:space="0" w:color="auto"/>
              <w:right w:val="single" w:sz="4" w:space="0" w:color="auto"/>
            </w:tcBorders>
            <w:shd w:val="clear" w:color="000000" w:fill="203764"/>
            <w:vAlign w:val="center"/>
            <w:hideMark/>
          </w:tcPr>
          <w:p w14:paraId="414CB45E" w14:textId="77777777"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(3)</w:t>
            </w:r>
          </w:p>
        </w:tc>
        <w:tc>
          <w:tcPr>
            <w:tcW w:w="948" w:type="dxa"/>
            <w:tcBorders>
              <w:top w:val="nil"/>
              <w:left w:val="nil"/>
              <w:bottom w:val="single" w:sz="4" w:space="0" w:color="auto"/>
              <w:right w:val="single" w:sz="4" w:space="0" w:color="auto"/>
            </w:tcBorders>
            <w:shd w:val="clear" w:color="000000" w:fill="203764"/>
            <w:vAlign w:val="center"/>
            <w:hideMark/>
          </w:tcPr>
          <w:p w14:paraId="36B050D7" w14:textId="77777777"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(4)</w:t>
            </w:r>
          </w:p>
        </w:tc>
        <w:tc>
          <w:tcPr>
            <w:tcW w:w="803" w:type="dxa"/>
            <w:tcBorders>
              <w:top w:val="nil"/>
              <w:left w:val="nil"/>
              <w:bottom w:val="single" w:sz="4" w:space="0" w:color="auto"/>
              <w:right w:val="single" w:sz="4" w:space="0" w:color="auto"/>
            </w:tcBorders>
            <w:shd w:val="clear" w:color="000000" w:fill="203764"/>
            <w:vAlign w:val="center"/>
            <w:hideMark/>
          </w:tcPr>
          <w:p w14:paraId="251A2804" w14:textId="77777777"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(5)</w:t>
            </w:r>
          </w:p>
        </w:tc>
        <w:tc>
          <w:tcPr>
            <w:tcW w:w="729" w:type="dxa"/>
            <w:tcBorders>
              <w:top w:val="nil"/>
              <w:left w:val="nil"/>
              <w:bottom w:val="single" w:sz="4" w:space="0" w:color="auto"/>
              <w:right w:val="single" w:sz="4" w:space="0" w:color="auto"/>
            </w:tcBorders>
            <w:shd w:val="clear" w:color="000000" w:fill="203764"/>
            <w:vAlign w:val="center"/>
            <w:hideMark/>
          </w:tcPr>
          <w:p w14:paraId="777DE81C" w14:textId="77777777"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(6)</w:t>
            </w:r>
          </w:p>
        </w:tc>
        <w:tc>
          <w:tcPr>
            <w:tcW w:w="1132" w:type="dxa"/>
            <w:tcBorders>
              <w:top w:val="nil"/>
              <w:left w:val="nil"/>
              <w:bottom w:val="single" w:sz="4" w:space="0" w:color="auto"/>
              <w:right w:val="single" w:sz="4" w:space="0" w:color="auto"/>
            </w:tcBorders>
            <w:shd w:val="clear" w:color="000000" w:fill="203764"/>
            <w:vAlign w:val="center"/>
            <w:hideMark/>
          </w:tcPr>
          <w:p w14:paraId="343E5F07" w14:textId="77777777"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(7) = (2)a(6)</w:t>
            </w:r>
          </w:p>
        </w:tc>
        <w:tc>
          <w:tcPr>
            <w:tcW w:w="820" w:type="dxa"/>
            <w:tcBorders>
              <w:top w:val="nil"/>
              <w:left w:val="nil"/>
              <w:bottom w:val="single" w:sz="4" w:space="0" w:color="auto"/>
              <w:right w:val="single" w:sz="4" w:space="0" w:color="auto"/>
            </w:tcBorders>
            <w:shd w:val="clear" w:color="000000" w:fill="203764"/>
            <w:vAlign w:val="center"/>
            <w:hideMark/>
          </w:tcPr>
          <w:p w14:paraId="57D055E6" w14:textId="77777777" w:rsidR="009B76AB" w:rsidRPr="00E21E11" w:rsidRDefault="009B76AB" w:rsidP="009B76AB">
            <w:pPr>
              <w:widowControl/>
              <w:spacing w:after="0" w:line="240" w:lineRule="auto"/>
              <w:jc w:val="center"/>
              <w:rPr>
                <w:rFonts w:eastAsia="Times New Roman" w:cs="Arial"/>
                <w:b/>
                <w:bCs/>
                <w:color w:val="FFFFFF"/>
                <w:sz w:val="16"/>
                <w:szCs w:val="16"/>
                <w:lang w:eastAsia="es-MX"/>
              </w:rPr>
            </w:pPr>
            <w:r w:rsidRPr="00E21E11">
              <w:rPr>
                <w:rFonts w:eastAsia="Times New Roman" w:cs="Arial"/>
                <w:b/>
                <w:bCs/>
                <w:color w:val="FFFFFF"/>
                <w:sz w:val="16"/>
                <w:szCs w:val="16"/>
                <w:lang w:eastAsia="es-MX"/>
              </w:rPr>
              <w:t>(8)</w:t>
            </w:r>
          </w:p>
        </w:tc>
      </w:tr>
      <w:tr w:rsidR="009B76AB" w:rsidRPr="00E21E11" w14:paraId="0A5426E1" w14:textId="77777777" w:rsidTr="009B76AB">
        <w:trPr>
          <w:divId w:val="1680228464"/>
          <w:trHeight w:val="599"/>
          <w:jc w:val="center"/>
        </w:trPr>
        <w:tc>
          <w:tcPr>
            <w:tcW w:w="1295" w:type="dxa"/>
            <w:tcBorders>
              <w:top w:val="nil"/>
              <w:left w:val="single" w:sz="4" w:space="0" w:color="auto"/>
              <w:bottom w:val="single" w:sz="4" w:space="0" w:color="auto"/>
              <w:right w:val="single" w:sz="4" w:space="0" w:color="auto"/>
            </w:tcBorders>
            <w:shd w:val="clear" w:color="DDEBF7" w:fill="FFFFFF"/>
            <w:noWrap/>
            <w:vAlign w:val="center"/>
            <w:hideMark/>
          </w:tcPr>
          <w:p w14:paraId="30DF193F"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2020</w:t>
            </w:r>
          </w:p>
        </w:tc>
        <w:tc>
          <w:tcPr>
            <w:tcW w:w="1459" w:type="dxa"/>
            <w:tcBorders>
              <w:top w:val="nil"/>
              <w:left w:val="nil"/>
              <w:bottom w:val="single" w:sz="4" w:space="0" w:color="auto"/>
              <w:right w:val="single" w:sz="4" w:space="0" w:color="auto"/>
            </w:tcBorders>
            <w:shd w:val="clear" w:color="DDEBF7" w:fill="FFFFFF"/>
            <w:noWrap/>
            <w:vAlign w:val="center"/>
            <w:hideMark/>
          </w:tcPr>
          <w:p w14:paraId="79D865DE"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22.4</w:t>
            </w:r>
          </w:p>
        </w:tc>
        <w:tc>
          <w:tcPr>
            <w:tcW w:w="1204" w:type="dxa"/>
            <w:tcBorders>
              <w:top w:val="nil"/>
              <w:left w:val="nil"/>
              <w:bottom w:val="single" w:sz="4" w:space="0" w:color="auto"/>
              <w:right w:val="single" w:sz="4" w:space="0" w:color="auto"/>
            </w:tcBorders>
            <w:shd w:val="clear" w:color="DDEBF7" w:fill="FFFFFF"/>
            <w:noWrap/>
            <w:vAlign w:val="center"/>
            <w:hideMark/>
          </w:tcPr>
          <w:p w14:paraId="7DC8E9A2"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5.4</w:t>
            </w:r>
          </w:p>
        </w:tc>
        <w:tc>
          <w:tcPr>
            <w:tcW w:w="1186" w:type="dxa"/>
            <w:tcBorders>
              <w:top w:val="nil"/>
              <w:left w:val="nil"/>
              <w:bottom w:val="single" w:sz="4" w:space="0" w:color="auto"/>
              <w:right w:val="single" w:sz="4" w:space="0" w:color="auto"/>
            </w:tcBorders>
            <w:shd w:val="clear" w:color="DDEBF7" w:fill="FFFFFF"/>
            <w:noWrap/>
            <w:vAlign w:val="center"/>
            <w:hideMark/>
          </w:tcPr>
          <w:p w14:paraId="1FB7F2F3"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4.1</w:t>
            </w:r>
          </w:p>
        </w:tc>
        <w:tc>
          <w:tcPr>
            <w:tcW w:w="948" w:type="dxa"/>
            <w:tcBorders>
              <w:top w:val="nil"/>
              <w:left w:val="nil"/>
              <w:bottom w:val="single" w:sz="4" w:space="0" w:color="auto"/>
              <w:right w:val="single" w:sz="4" w:space="0" w:color="auto"/>
            </w:tcBorders>
            <w:shd w:val="clear" w:color="DDEBF7" w:fill="FFFFFF"/>
            <w:noWrap/>
            <w:vAlign w:val="center"/>
            <w:hideMark/>
          </w:tcPr>
          <w:p w14:paraId="6EF01AEF"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-5.0</w:t>
            </w:r>
          </w:p>
        </w:tc>
        <w:tc>
          <w:tcPr>
            <w:tcW w:w="803" w:type="dxa"/>
            <w:tcBorders>
              <w:top w:val="nil"/>
              <w:left w:val="nil"/>
              <w:bottom w:val="single" w:sz="4" w:space="0" w:color="auto"/>
              <w:right w:val="single" w:sz="4" w:space="0" w:color="auto"/>
            </w:tcBorders>
            <w:shd w:val="clear" w:color="DDEBF7" w:fill="FFFFFF"/>
            <w:noWrap/>
            <w:vAlign w:val="center"/>
            <w:hideMark/>
          </w:tcPr>
          <w:p w14:paraId="0C4627AE"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19.9</w:t>
            </w:r>
          </w:p>
        </w:tc>
        <w:tc>
          <w:tcPr>
            <w:tcW w:w="729" w:type="dxa"/>
            <w:tcBorders>
              <w:top w:val="nil"/>
              <w:left w:val="nil"/>
              <w:bottom w:val="single" w:sz="4" w:space="0" w:color="auto"/>
              <w:right w:val="single" w:sz="4" w:space="0" w:color="auto"/>
            </w:tcBorders>
            <w:shd w:val="clear" w:color="DDEBF7" w:fill="FFFFFF"/>
            <w:noWrap/>
            <w:vAlign w:val="center"/>
            <w:hideMark/>
          </w:tcPr>
          <w:p w14:paraId="7A6D0491"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0.4</w:t>
            </w:r>
          </w:p>
        </w:tc>
        <w:tc>
          <w:tcPr>
            <w:tcW w:w="1132" w:type="dxa"/>
            <w:tcBorders>
              <w:top w:val="nil"/>
              <w:left w:val="nil"/>
              <w:bottom w:val="single" w:sz="4" w:space="0" w:color="auto"/>
              <w:right w:val="single" w:sz="4" w:space="0" w:color="auto"/>
            </w:tcBorders>
            <w:shd w:val="clear" w:color="DDEBF7" w:fill="FFFFFF"/>
            <w:noWrap/>
            <w:vAlign w:val="center"/>
            <w:hideMark/>
          </w:tcPr>
          <w:p w14:paraId="43551E05"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24.9</w:t>
            </w:r>
          </w:p>
        </w:tc>
        <w:tc>
          <w:tcPr>
            <w:tcW w:w="820" w:type="dxa"/>
            <w:tcBorders>
              <w:top w:val="nil"/>
              <w:left w:val="nil"/>
              <w:bottom w:val="single" w:sz="4" w:space="0" w:color="auto"/>
              <w:right w:val="single" w:sz="4" w:space="0" w:color="auto"/>
            </w:tcBorders>
            <w:shd w:val="clear" w:color="DDEBF7" w:fill="FFFFFF"/>
            <w:noWrap/>
            <w:vAlign w:val="center"/>
            <w:hideMark/>
          </w:tcPr>
          <w:p w14:paraId="336D7CA9"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-2.5</w:t>
            </w:r>
          </w:p>
        </w:tc>
      </w:tr>
      <w:tr w:rsidR="009B76AB" w:rsidRPr="00E21E11" w14:paraId="6F54F8D5" w14:textId="77777777" w:rsidTr="009B76AB">
        <w:trPr>
          <w:divId w:val="1680228464"/>
          <w:trHeight w:val="504"/>
          <w:jc w:val="center"/>
        </w:trPr>
        <w:tc>
          <w:tcPr>
            <w:tcW w:w="1295" w:type="dxa"/>
            <w:tcBorders>
              <w:top w:val="nil"/>
              <w:left w:val="single" w:sz="4" w:space="0" w:color="auto"/>
              <w:bottom w:val="single" w:sz="4" w:space="0" w:color="auto"/>
              <w:right w:val="single" w:sz="4" w:space="0" w:color="auto"/>
            </w:tcBorders>
            <w:shd w:val="clear" w:color="DDEBF7" w:fill="DDEBF7"/>
            <w:noWrap/>
            <w:vAlign w:val="center"/>
            <w:hideMark/>
          </w:tcPr>
          <w:p w14:paraId="59644427"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2021</w:t>
            </w:r>
          </w:p>
        </w:tc>
        <w:tc>
          <w:tcPr>
            <w:tcW w:w="1459" w:type="dxa"/>
            <w:tcBorders>
              <w:top w:val="nil"/>
              <w:left w:val="nil"/>
              <w:bottom w:val="single" w:sz="4" w:space="0" w:color="auto"/>
              <w:right w:val="single" w:sz="4" w:space="0" w:color="auto"/>
            </w:tcBorders>
            <w:shd w:val="clear" w:color="DDEBF7" w:fill="DDEBF7"/>
            <w:noWrap/>
            <w:vAlign w:val="center"/>
            <w:hideMark/>
          </w:tcPr>
          <w:p w14:paraId="769771C5"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24.7</w:t>
            </w:r>
          </w:p>
        </w:tc>
        <w:tc>
          <w:tcPr>
            <w:tcW w:w="1204" w:type="dxa"/>
            <w:tcBorders>
              <w:top w:val="nil"/>
              <w:left w:val="nil"/>
              <w:bottom w:val="single" w:sz="4" w:space="0" w:color="auto"/>
              <w:right w:val="single" w:sz="4" w:space="0" w:color="auto"/>
            </w:tcBorders>
            <w:shd w:val="clear" w:color="DDEBF7" w:fill="DDEBF7"/>
            <w:noWrap/>
            <w:vAlign w:val="center"/>
            <w:hideMark/>
          </w:tcPr>
          <w:p w14:paraId="2AF47819"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3.5</w:t>
            </w:r>
          </w:p>
        </w:tc>
        <w:tc>
          <w:tcPr>
            <w:tcW w:w="1186" w:type="dxa"/>
            <w:tcBorders>
              <w:top w:val="nil"/>
              <w:left w:val="nil"/>
              <w:bottom w:val="single" w:sz="4" w:space="0" w:color="auto"/>
              <w:right w:val="single" w:sz="4" w:space="0" w:color="auto"/>
            </w:tcBorders>
            <w:shd w:val="clear" w:color="DDEBF7" w:fill="DDEBF7"/>
            <w:noWrap/>
            <w:vAlign w:val="center"/>
            <w:hideMark/>
          </w:tcPr>
          <w:p w14:paraId="7FB00F5A"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6.8</w:t>
            </w:r>
          </w:p>
        </w:tc>
        <w:tc>
          <w:tcPr>
            <w:tcW w:w="948" w:type="dxa"/>
            <w:tcBorders>
              <w:top w:val="nil"/>
              <w:left w:val="nil"/>
              <w:bottom w:val="single" w:sz="4" w:space="0" w:color="auto"/>
              <w:right w:val="single" w:sz="4" w:space="0" w:color="auto"/>
            </w:tcBorders>
            <w:shd w:val="clear" w:color="DDEBF7" w:fill="DDEBF7"/>
            <w:noWrap/>
            <w:vAlign w:val="center"/>
            <w:hideMark/>
          </w:tcPr>
          <w:p w14:paraId="2049D959"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-4.1</w:t>
            </w:r>
          </w:p>
        </w:tc>
        <w:tc>
          <w:tcPr>
            <w:tcW w:w="803" w:type="dxa"/>
            <w:tcBorders>
              <w:top w:val="nil"/>
              <w:left w:val="nil"/>
              <w:bottom w:val="single" w:sz="4" w:space="0" w:color="auto"/>
              <w:right w:val="single" w:sz="4" w:space="0" w:color="auto"/>
            </w:tcBorders>
            <w:shd w:val="clear" w:color="DDEBF7" w:fill="DDEBF7"/>
            <w:noWrap/>
            <w:vAlign w:val="center"/>
            <w:hideMark/>
          </w:tcPr>
          <w:p w14:paraId="4C23E34E"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17.6</w:t>
            </w:r>
          </w:p>
        </w:tc>
        <w:tc>
          <w:tcPr>
            <w:tcW w:w="729" w:type="dxa"/>
            <w:tcBorders>
              <w:top w:val="nil"/>
              <w:left w:val="nil"/>
              <w:bottom w:val="single" w:sz="4" w:space="0" w:color="auto"/>
              <w:right w:val="single" w:sz="4" w:space="0" w:color="auto"/>
            </w:tcBorders>
            <w:shd w:val="clear" w:color="DDEBF7" w:fill="DDEBF7"/>
            <w:noWrap/>
            <w:vAlign w:val="center"/>
            <w:hideMark/>
          </w:tcPr>
          <w:p w14:paraId="17D3F51D"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0.4</w:t>
            </w:r>
          </w:p>
        </w:tc>
        <w:tc>
          <w:tcPr>
            <w:tcW w:w="1132" w:type="dxa"/>
            <w:tcBorders>
              <w:top w:val="nil"/>
              <w:left w:val="nil"/>
              <w:bottom w:val="single" w:sz="4" w:space="0" w:color="auto"/>
              <w:right w:val="single" w:sz="4" w:space="0" w:color="auto"/>
            </w:tcBorders>
            <w:shd w:val="clear" w:color="DDEBF7" w:fill="DDEBF7"/>
            <w:noWrap/>
            <w:vAlign w:val="center"/>
            <w:hideMark/>
          </w:tcPr>
          <w:p w14:paraId="396F21D7"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24.3</w:t>
            </w:r>
          </w:p>
        </w:tc>
        <w:tc>
          <w:tcPr>
            <w:tcW w:w="820" w:type="dxa"/>
            <w:tcBorders>
              <w:top w:val="nil"/>
              <w:left w:val="nil"/>
              <w:bottom w:val="single" w:sz="4" w:space="0" w:color="auto"/>
              <w:right w:val="single" w:sz="4" w:space="0" w:color="auto"/>
            </w:tcBorders>
            <w:shd w:val="clear" w:color="DDEBF7" w:fill="DDEBF7"/>
            <w:noWrap/>
            <w:vAlign w:val="center"/>
            <w:hideMark/>
          </w:tcPr>
          <w:p w14:paraId="777219CE" w14:textId="77777777" w:rsidR="009B76AB" w:rsidRPr="000C6BA3" w:rsidRDefault="009B76AB" w:rsidP="009B76AB">
            <w:pPr>
              <w:widowControl/>
              <w:spacing w:after="0" w:line="240" w:lineRule="auto"/>
              <w:jc w:val="center"/>
              <w:rPr>
                <w:rFonts w:eastAsia="Times New Roman" w:cs="Arial"/>
                <w:color w:val="000000"/>
                <w:sz w:val="22"/>
                <w:lang w:eastAsia="es-MX"/>
              </w:rPr>
            </w:pPr>
            <w:r w:rsidRPr="000C6BA3">
              <w:rPr>
                <w:rFonts w:eastAsia="Times New Roman" w:cs="Arial"/>
                <w:color w:val="000000"/>
                <w:sz w:val="22"/>
                <w:lang w:eastAsia="es-MX"/>
              </w:rPr>
              <w:t>0.4</w:t>
            </w:r>
          </w:p>
        </w:tc>
      </w:tr>
    </w:tbl>
    <w:p w14:paraId="0C5D08DA" w14:textId="0FABB75B" w:rsidR="00BB6F11" w:rsidRPr="00D62C47" w:rsidRDefault="00BB6F11" w:rsidP="004A07AD">
      <w:pPr>
        <w:spacing w:after="0" w:line="203" w:lineRule="exact"/>
        <w:ind w:right="-28"/>
        <w:rPr>
          <w:rFonts w:eastAsia="Arial" w:cs="Arial"/>
          <w:w w:val="101"/>
          <w:position w:val="-1"/>
          <w:sz w:val="18"/>
          <w:szCs w:val="18"/>
        </w:rPr>
      </w:pPr>
      <w:r w:rsidRPr="00895206">
        <w:rPr>
          <w:rFonts w:cs="Arial"/>
          <w:sz w:val="16"/>
        </w:rPr>
        <w:t>Nota: La suma o resta de los parciales puede no coincidir con los totales debido al redondeo.</w:t>
      </w:r>
    </w:p>
    <w:p w14:paraId="68295A87" w14:textId="1E7FB236" w:rsidR="00BB6F11" w:rsidRPr="00895206" w:rsidRDefault="00BB6F11" w:rsidP="004A07AD">
      <w:pPr>
        <w:pStyle w:val="Textoindependiente2"/>
        <w:spacing w:before="0"/>
        <w:ind w:right="-28"/>
        <w:rPr>
          <w:rFonts w:cs="Arial"/>
          <w:sz w:val="16"/>
        </w:rPr>
      </w:pPr>
      <w:r w:rsidRPr="00895206">
        <w:rPr>
          <w:rFonts w:cs="Arial"/>
          <w:sz w:val="16"/>
        </w:rPr>
        <w:t>Fuente: INEGI</w:t>
      </w:r>
    </w:p>
    <w:p w14:paraId="48ECF5D8" w14:textId="77777777" w:rsidR="00BB6F11" w:rsidRDefault="00BB6F11" w:rsidP="00AD162B">
      <w:pPr>
        <w:widowControl/>
        <w:spacing w:after="0" w:line="240" w:lineRule="auto"/>
        <w:ind w:left="-425" w:right="-28"/>
        <w:jc w:val="both"/>
        <w:rPr>
          <w:rFonts w:eastAsia="Times New Roman" w:cs="Arial"/>
          <w:bCs/>
          <w:szCs w:val="24"/>
          <w:lang w:eastAsia="es-MX"/>
        </w:rPr>
      </w:pPr>
    </w:p>
    <w:p w14:paraId="38374D76" w14:textId="26F69018" w:rsidR="00D62C47" w:rsidRDefault="00A336A3" w:rsidP="003A3A50">
      <w:pPr>
        <w:spacing w:after="0" w:line="246" w:lineRule="auto"/>
        <w:ind w:left="-425" w:right="-28"/>
        <w:jc w:val="both"/>
        <w:rPr>
          <w:rFonts w:eastAsia="Arial" w:cs="Arial"/>
          <w:spacing w:val="-2"/>
          <w:szCs w:val="24"/>
        </w:rPr>
      </w:pPr>
      <w:r>
        <w:rPr>
          <w:rFonts w:eastAsia="Arial" w:cs="Arial"/>
          <w:spacing w:val="-2"/>
          <w:szCs w:val="24"/>
        </w:rPr>
        <w:t xml:space="preserve">Entre </w:t>
      </w:r>
      <w:r>
        <w:t>2020</w:t>
      </w:r>
      <w:r>
        <w:rPr>
          <w:rFonts w:eastAsia="Arial" w:cs="Arial"/>
          <w:spacing w:val="-2"/>
          <w:szCs w:val="24"/>
        </w:rPr>
        <w:t xml:space="preserve"> y </w:t>
      </w:r>
      <w:r>
        <w:t xml:space="preserve">2021, </w:t>
      </w:r>
      <w:r w:rsidR="00D62C47" w:rsidRPr="00895206">
        <w:rPr>
          <w:rFonts w:eastAsia="Arial" w:cs="Arial"/>
          <w:spacing w:val="-2"/>
          <w:szCs w:val="24"/>
        </w:rPr>
        <w:t>el ahorro interno</w:t>
      </w:r>
      <w:r>
        <w:rPr>
          <w:rFonts w:eastAsia="Arial" w:cs="Arial"/>
          <w:spacing w:val="-2"/>
          <w:szCs w:val="24"/>
        </w:rPr>
        <w:t xml:space="preserve"> correspondiente </w:t>
      </w:r>
      <w:r w:rsidR="004A07AD">
        <w:rPr>
          <w:rFonts w:eastAsia="Arial" w:cs="Arial"/>
          <w:spacing w:val="-2"/>
          <w:szCs w:val="24"/>
        </w:rPr>
        <w:t>a las s</w:t>
      </w:r>
      <w:r w:rsidR="00D62C47" w:rsidRPr="00895206">
        <w:rPr>
          <w:rFonts w:eastAsia="Arial" w:cs="Arial"/>
          <w:spacing w:val="-2"/>
          <w:szCs w:val="24"/>
        </w:rPr>
        <w:t>ocie</w:t>
      </w:r>
      <w:r w:rsidR="004A07AD">
        <w:rPr>
          <w:rFonts w:eastAsia="Arial" w:cs="Arial"/>
          <w:spacing w:val="-2"/>
          <w:szCs w:val="24"/>
        </w:rPr>
        <w:t xml:space="preserve">dades no financieras </w:t>
      </w:r>
      <w:r>
        <w:rPr>
          <w:rFonts w:eastAsia="Arial" w:cs="Arial"/>
          <w:spacing w:val="-2"/>
          <w:szCs w:val="24"/>
        </w:rPr>
        <w:t>disminuyó</w:t>
      </w:r>
      <w:r w:rsidR="004A07AD">
        <w:rPr>
          <w:rFonts w:eastAsia="Arial" w:cs="Arial"/>
          <w:spacing w:val="-2"/>
          <w:szCs w:val="24"/>
        </w:rPr>
        <w:t xml:space="preserve"> de </w:t>
      </w:r>
      <w:r w:rsidR="009B76AB">
        <w:t>5.4</w:t>
      </w:r>
      <w:r w:rsidR="004A07AD">
        <w:rPr>
          <w:rFonts w:eastAsia="Arial" w:cs="Arial"/>
          <w:spacing w:val="-2"/>
          <w:szCs w:val="24"/>
        </w:rPr>
        <w:t xml:space="preserve"> a </w:t>
      </w:r>
      <w:r w:rsidR="009B76AB">
        <w:t>3.5</w:t>
      </w:r>
      <w:r w:rsidR="004A07AD">
        <w:rPr>
          <w:rFonts w:eastAsia="Arial" w:cs="Arial"/>
          <w:spacing w:val="-2"/>
          <w:szCs w:val="24"/>
        </w:rPr>
        <w:t xml:space="preserve"> </w:t>
      </w:r>
      <w:r w:rsidR="00D62C47" w:rsidRPr="00895206">
        <w:rPr>
          <w:rFonts w:eastAsia="Arial" w:cs="Arial"/>
          <w:spacing w:val="-2"/>
          <w:szCs w:val="24"/>
        </w:rPr>
        <w:t>%</w:t>
      </w:r>
      <w:r w:rsidR="004A07AD">
        <w:rPr>
          <w:rFonts w:eastAsia="Arial" w:cs="Arial"/>
          <w:spacing w:val="-2"/>
          <w:szCs w:val="24"/>
        </w:rPr>
        <w:t xml:space="preserve"> respecto al PIB</w:t>
      </w:r>
      <w:r w:rsidR="00C30CB5">
        <w:rPr>
          <w:rFonts w:eastAsia="Arial" w:cs="Arial"/>
          <w:spacing w:val="-2"/>
          <w:szCs w:val="24"/>
        </w:rPr>
        <w:t xml:space="preserve">. El </w:t>
      </w:r>
      <w:r>
        <w:rPr>
          <w:rFonts w:eastAsia="Arial" w:cs="Arial"/>
          <w:spacing w:val="-2"/>
          <w:szCs w:val="24"/>
        </w:rPr>
        <w:t>de l</w:t>
      </w:r>
      <w:r w:rsidR="004A07AD">
        <w:rPr>
          <w:rFonts w:eastAsia="Arial" w:cs="Arial"/>
          <w:spacing w:val="-2"/>
          <w:szCs w:val="24"/>
        </w:rPr>
        <w:t xml:space="preserve">os </w:t>
      </w:r>
      <w:r>
        <w:rPr>
          <w:rFonts w:eastAsia="Arial" w:cs="Arial"/>
          <w:spacing w:val="-2"/>
          <w:szCs w:val="24"/>
        </w:rPr>
        <w:t>h</w:t>
      </w:r>
      <w:r w:rsidR="004A07AD">
        <w:rPr>
          <w:rFonts w:eastAsia="Arial" w:cs="Arial"/>
          <w:spacing w:val="-2"/>
          <w:szCs w:val="24"/>
        </w:rPr>
        <w:t xml:space="preserve">ogares </w:t>
      </w:r>
      <w:r>
        <w:rPr>
          <w:rFonts w:eastAsia="Arial" w:cs="Arial"/>
          <w:spacing w:val="-2"/>
          <w:szCs w:val="24"/>
        </w:rPr>
        <w:t>retrocedió</w:t>
      </w:r>
      <w:r w:rsidR="004A07AD">
        <w:rPr>
          <w:rFonts w:eastAsia="Arial" w:cs="Arial"/>
          <w:spacing w:val="-2"/>
          <w:szCs w:val="24"/>
        </w:rPr>
        <w:t xml:space="preserve"> de </w:t>
      </w:r>
      <w:r w:rsidR="009B76AB">
        <w:t>19.9</w:t>
      </w:r>
      <w:r w:rsidR="004A07AD">
        <w:rPr>
          <w:rFonts w:eastAsia="Arial" w:cs="Arial"/>
          <w:spacing w:val="-2"/>
          <w:szCs w:val="24"/>
        </w:rPr>
        <w:t xml:space="preserve"> a </w:t>
      </w:r>
      <w:r w:rsidR="009B76AB">
        <w:t>17.6</w:t>
      </w:r>
      <w:r w:rsidR="004A07AD">
        <w:rPr>
          <w:rFonts w:eastAsia="Arial" w:cs="Arial"/>
          <w:spacing w:val="-2"/>
          <w:szCs w:val="24"/>
        </w:rPr>
        <w:t xml:space="preserve"> por ciento</w:t>
      </w:r>
      <w:r w:rsidR="004C5DF4">
        <w:rPr>
          <w:rFonts w:eastAsia="Arial" w:cs="Arial"/>
          <w:spacing w:val="-2"/>
          <w:szCs w:val="24"/>
        </w:rPr>
        <w:t xml:space="preserve">. Por su parte, las </w:t>
      </w:r>
      <w:r>
        <w:rPr>
          <w:rFonts w:eastAsia="Arial" w:cs="Arial"/>
          <w:spacing w:val="-2"/>
          <w:szCs w:val="24"/>
        </w:rPr>
        <w:t>s</w:t>
      </w:r>
      <w:r w:rsidR="004C5DF4">
        <w:rPr>
          <w:rFonts w:eastAsia="Arial" w:cs="Arial"/>
          <w:spacing w:val="-2"/>
          <w:szCs w:val="24"/>
        </w:rPr>
        <w:t>ociedades financieras</w:t>
      </w:r>
      <w:r w:rsidR="00D62C47" w:rsidRPr="00895206">
        <w:rPr>
          <w:rFonts w:eastAsia="Arial" w:cs="Arial"/>
          <w:spacing w:val="-2"/>
          <w:szCs w:val="24"/>
        </w:rPr>
        <w:t xml:space="preserve"> </w:t>
      </w:r>
      <w:r>
        <w:rPr>
          <w:rFonts w:eastAsia="Arial" w:cs="Arial"/>
          <w:spacing w:val="-2"/>
          <w:szCs w:val="24"/>
        </w:rPr>
        <w:t>aumentaron</w:t>
      </w:r>
      <w:r w:rsidR="004C5DF4">
        <w:rPr>
          <w:rFonts w:eastAsia="Arial" w:cs="Arial"/>
          <w:spacing w:val="-2"/>
          <w:szCs w:val="24"/>
        </w:rPr>
        <w:t xml:space="preserve"> de </w:t>
      </w:r>
      <w:r w:rsidR="009B76AB">
        <w:t>4.1</w:t>
      </w:r>
      <w:r w:rsidR="004C5DF4">
        <w:rPr>
          <w:rFonts w:eastAsia="Arial" w:cs="Arial"/>
          <w:spacing w:val="-2"/>
          <w:szCs w:val="24"/>
        </w:rPr>
        <w:t xml:space="preserve"> a </w:t>
      </w:r>
      <w:r w:rsidR="009B76AB">
        <w:t>6.8</w:t>
      </w:r>
      <w:r w:rsidR="004C5DF4">
        <w:rPr>
          <w:rFonts w:eastAsia="Arial" w:cs="Arial"/>
          <w:spacing w:val="-2"/>
          <w:szCs w:val="24"/>
        </w:rPr>
        <w:t xml:space="preserve"> </w:t>
      </w:r>
      <w:r w:rsidR="00D62C47" w:rsidRPr="00895206">
        <w:rPr>
          <w:rFonts w:eastAsia="Arial" w:cs="Arial"/>
          <w:spacing w:val="-2"/>
          <w:szCs w:val="24"/>
        </w:rPr>
        <w:t xml:space="preserve">% y las </w:t>
      </w:r>
      <w:r w:rsidR="004C5DF4">
        <w:rPr>
          <w:rFonts w:eastAsia="Arial" w:cs="Arial"/>
          <w:spacing w:val="-2"/>
          <w:szCs w:val="24"/>
        </w:rPr>
        <w:t xml:space="preserve">ISFLSH se mantuvieron en </w:t>
      </w:r>
      <w:r w:rsidR="009B76AB">
        <w:t>0.4</w:t>
      </w:r>
      <w:r w:rsidR="00261D88">
        <w:rPr>
          <w:rFonts w:eastAsia="Arial" w:cs="Arial"/>
          <w:spacing w:val="-2"/>
          <w:szCs w:val="24"/>
        </w:rPr>
        <w:t xml:space="preserve"> por ciento. </w:t>
      </w:r>
      <w:r>
        <w:rPr>
          <w:rFonts w:eastAsia="Arial" w:cs="Arial"/>
          <w:spacing w:val="-2"/>
          <w:szCs w:val="24"/>
        </w:rPr>
        <w:t>El</w:t>
      </w:r>
      <w:r w:rsidR="00261D88">
        <w:rPr>
          <w:rFonts w:eastAsia="Arial" w:cs="Arial"/>
          <w:spacing w:val="-2"/>
          <w:szCs w:val="24"/>
        </w:rPr>
        <w:t xml:space="preserve"> g</w:t>
      </w:r>
      <w:r w:rsidR="00D62C47" w:rsidRPr="00895206">
        <w:rPr>
          <w:rFonts w:eastAsia="Arial" w:cs="Arial"/>
          <w:spacing w:val="-2"/>
          <w:szCs w:val="24"/>
        </w:rPr>
        <w:t>obierno general</w:t>
      </w:r>
      <w:r w:rsidR="00DD0B1E">
        <w:rPr>
          <w:rFonts w:eastAsia="Arial" w:cs="Arial"/>
          <w:spacing w:val="-2"/>
          <w:szCs w:val="24"/>
        </w:rPr>
        <w:t xml:space="preserve"> tuvo un desahorro que pasó </w:t>
      </w:r>
      <w:r w:rsidR="00261D88" w:rsidRPr="00D9450A">
        <w:rPr>
          <w:rFonts w:eastAsia="Arial" w:cs="Arial"/>
          <w:spacing w:val="-2"/>
          <w:szCs w:val="24"/>
        </w:rPr>
        <w:t>de</w:t>
      </w:r>
      <w:r w:rsidR="00DD0B1E">
        <w:rPr>
          <w:rFonts w:eastAsia="Arial" w:cs="Arial"/>
          <w:spacing w:val="-2"/>
          <w:szCs w:val="24"/>
        </w:rPr>
        <w:t xml:space="preserve"> </w:t>
      </w:r>
      <w:r w:rsidR="009B76AB" w:rsidRPr="00D9450A">
        <w:t>-5.0</w:t>
      </w:r>
      <w:r w:rsidR="00DD0B1E">
        <w:rPr>
          <w:rFonts w:eastAsia="Arial" w:cs="Arial"/>
          <w:spacing w:val="-2"/>
          <w:szCs w:val="24"/>
        </w:rPr>
        <w:t xml:space="preserve"> </w:t>
      </w:r>
      <w:r w:rsidR="00261D88" w:rsidRPr="00D9450A">
        <w:rPr>
          <w:rFonts w:eastAsia="Arial" w:cs="Arial"/>
          <w:spacing w:val="-2"/>
          <w:szCs w:val="24"/>
        </w:rPr>
        <w:t xml:space="preserve">a </w:t>
      </w:r>
      <w:r w:rsidR="00261D88" w:rsidRPr="00D9450A">
        <w:rPr>
          <w:rFonts w:eastAsia="Arial" w:cs="Arial"/>
          <w:spacing w:val="-2"/>
          <w:szCs w:val="24"/>
        </w:rPr>
        <w:br/>
      </w:r>
      <w:r w:rsidR="009B76AB" w:rsidRPr="00D9450A">
        <w:t>-4.1</w:t>
      </w:r>
      <w:r w:rsidR="00261D88" w:rsidRPr="00D9450A">
        <w:rPr>
          <w:rFonts w:eastAsia="Arial" w:cs="Arial"/>
          <w:spacing w:val="-2"/>
          <w:szCs w:val="24"/>
        </w:rPr>
        <w:t xml:space="preserve"> </w:t>
      </w:r>
      <w:r w:rsidR="003A3A50" w:rsidRPr="00D9450A">
        <w:rPr>
          <w:rFonts w:eastAsia="Arial" w:cs="Arial"/>
          <w:spacing w:val="-2"/>
          <w:szCs w:val="24"/>
        </w:rPr>
        <w:t>% en el periodo de estudio.</w:t>
      </w:r>
    </w:p>
    <w:p w14:paraId="592A02BF" w14:textId="77777777" w:rsidR="003A3A50" w:rsidRPr="003A3A50" w:rsidRDefault="003A3A50" w:rsidP="003A3A50">
      <w:pPr>
        <w:spacing w:after="0" w:line="246" w:lineRule="auto"/>
        <w:ind w:left="-425" w:right="-28"/>
        <w:jc w:val="both"/>
        <w:rPr>
          <w:rFonts w:eastAsia="Arial" w:cs="Arial"/>
          <w:spacing w:val="-2"/>
          <w:szCs w:val="24"/>
        </w:rPr>
      </w:pPr>
    </w:p>
    <w:p w14:paraId="11870A50" w14:textId="5E129413" w:rsidR="00551CC3" w:rsidRDefault="003A3A50" w:rsidP="00D62C47">
      <w:pPr>
        <w:tabs>
          <w:tab w:val="left" w:pos="4536"/>
        </w:tabs>
        <w:spacing w:after="0" w:line="246" w:lineRule="auto"/>
        <w:ind w:left="-425" w:right="-28"/>
        <w:jc w:val="both"/>
        <w:rPr>
          <w:rFonts w:eastAsia="Arial" w:cs="Arial"/>
          <w:szCs w:val="24"/>
        </w:rPr>
      </w:pPr>
      <w:r>
        <w:rPr>
          <w:rFonts w:eastAsia="Arial" w:cs="Arial"/>
          <w:szCs w:val="24"/>
        </w:rPr>
        <w:t xml:space="preserve">En </w:t>
      </w:r>
      <w:r w:rsidR="009B76AB">
        <w:t>2021</w:t>
      </w:r>
      <w:r w:rsidR="00D62C47" w:rsidRPr="00895206">
        <w:rPr>
          <w:rFonts w:eastAsia="Arial" w:cs="Arial"/>
          <w:szCs w:val="24"/>
        </w:rPr>
        <w:t xml:space="preserve">, las </w:t>
      </w:r>
      <w:r w:rsidR="00AC2CED">
        <w:rPr>
          <w:rFonts w:eastAsia="Arial" w:cs="Arial"/>
          <w:szCs w:val="24"/>
        </w:rPr>
        <w:t>s</w:t>
      </w:r>
      <w:r w:rsidR="00D62C47" w:rsidRPr="00895206">
        <w:rPr>
          <w:rFonts w:eastAsia="Arial" w:cs="Arial"/>
          <w:szCs w:val="24"/>
        </w:rPr>
        <w:t xml:space="preserve">ociedades no financieras realizaron gastos en activos no </w:t>
      </w:r>
      <w:r>
        <w:rPr>
          <w:rFonts w:eastAsia="Arial" w:cs="Arial"/>
          <w:szCs w:val="24"/>
        </w:rPr>
        <w:t xml:space="preserve">financieros equivalentes a </w:t>
      </w:r>
      <w:r w:rsidR="009B76AB">
        <w:t>16.9</w:t>
      </w:r>
      <w:r>
        <w:rPr>
          <w:rFonts w:eastAsia="Arial" w:cs="Arial"/>
          <w:szCs w:val="24"/>
        </w:rPr>
        <w:t xml:space="preserve"> </w:t>
      </w:r>
      <w:r w:rsidR="00D62C47" w:rsidRPr="00895206">
        <w:rPr>
          <w:rFonts w:eastAsia="Arial" w:cs="Arial"/>
          <w:szCs w:val="24"/>
        </w:rPr>
        <w:t>% del PIB</w:t>
      </w:r>
      <w:r w:rsidR="00667199">
        <w:rPr>
          <w:rFonts w:eastAsia="Arial" w:cs="Arial"/>
          <w:szCs w:val="24"/>
        </w:rPr>
        <w:t xml:space="preserve">. Estos gastos se </w:t>
      </w:r>
      <w:r w:rsidR="00D62C47" w:rsidRPr="00895206">
        <w:rPr>
          <w:rFonts w:eastAsia="Arial" w:cs="Arial"/>
          <w:szCs w:val="24"/>
        </w:rPr>
        <w:t>financi</w:t>
      </w:r>
      <w:r w:rsidR="00667199">
        <w:rPr>
          <w:rFonts w:eastAsia="Arial" w:cs="Arial"/>
          <w:szCs w:val="24"/>
        </w:rPr>
        <w:t>aron con</w:t>
      </w:r>
      <w:r w:rsidR="00D62C47" w:rsidRPr="00895206">
        <w:rPr>
          <w:rFonts w:eastAsia="Arial" w:cs="Arial"/>
          <w:szCs w:val="24"/>
        </w:rPr>
        <w:t xml:space="preserve"> el ahorro bruto y las transferencias netas de cap</w:t>
      </w:r>
      <w:r>
        <w:rPr>
          <w:rFonts w:eastAsia="Arial" w:cs="Arial"/>
          <w:szCs w:val="24"/>
        </w:rPr>
        <w:t>ital</w:t>
      </w:r>
      <w:r w:rsidR="00667199">
        <w:rPr>
          <w:rFonts w:eastAsia="Arial" w:cs="Arial"/>
          <w:szCs w:val="24"/>
        </w:rPr>
        <w:t xml:space="preserve">. La suma de </w:t>
      </w:r>
      <w:r>
        <w:rPr>
          <w:rFonts w:eastAsia="Arial" w:cs="Arial"/>
          <w:szCs w:val="24"/>
        </w:rPr>
        <w:t xml:space="preserve">ambos </w:t>
      </w:r>
      <w:r w:rsidR="00667199">
        <w:rPr>
          <w:rFonts w:eastAsia="Arial" w:cs="Arial"/>
          <w:szCs w:val="24"/>
        </w:rPr>
        <w:t>representó</w:t>
      </w:r>
      <w:r>
        <w:rPr>
          <w:rFonts w:eastAsia="Arial" w:cs="Arial"/>
          <w:szCs w:val="24"/>
        </w:rPr>
        <w:t xml:space="preserve"> </w:t>
      </w:r>
      <w:r w:rsidR="009B76AB">
        <w:t>3.6</w:t>
      </w:r>
      <w:r>
        <w:rPr>
          <w:rFonts w:eastAsia="Arial" w:cs="Arial"/>
          <w:szCs w:val="24"/>
        </w:rPr>
        <w:t xml:space="preserve"> </w:t>
      </w:r>
      <w:r w:rsidR="00D62C47" w:rsidRPr="00895206">
        <w:rPr>
          <w:rFonts w:eastAsia="Arial" w:cs="Arial"/>
          <w:szCs w:val="24"/>
        </w:rPr>
        <w:t xml:space="preserve">% del PIB. </w:t>
      </w:r>
    </w:p>
    <w:p w14:paraId="710CC83C" w14:textId="77777777" w:rsidR="00551CC3" w:rsidRDefault="00551CC3" w:rsidP="00D62C47">
      <w:pPr>
        <w:tabs>
          <w:tab w:val="left" w:pos="4536"/>
        </w:tabs>
        <w:spacing w:after="0" w:line="246" w:lineRule="auto"/>
        <w:ind w:left="-425" w:right="-28"/>
        <w:jc w:val="both"/>
        <w:rPr>
          <w:rFonts w:eastAsia="Arial" w:cs="Arial"/>
          <w:szCs w:val="24"/>
        </w:rPr>
      </w:pPr>
    </w:p>
    <w:p w14:paraId="22648BE6" w14:textId="5058C48A" w:rsidR="00551CC3" w:rsidRDefault="00D62C47" w:rsidP="00D62C47">
      <w:pPr>
        <w:tabs>
          <w:tab w:val="left" w:pos="4536"/>
        </w:tabs>
        <w:spacing w:after="0" w:line="246" w:lineRule="auto"/>
        <w:ind w:left="-425" w:right="-28"/>
        <w:jc w:val="both"/>
        <w:rPr>
          <w:rFonts w:eastAsia="Arial" w:cs="Arial"/>
          <w:szCs w:val="24"/>
        </w:rPr>
      </w:pPr>
      <w:r w:rsidRPr="00895206">
        <w:rPr>
          <w:rFonts w:eastAsia="Arial" w:cs="Arial"/>
          <w:szCs w:val="24"/>
        </w:rPr>
        <w:t xml:space="preserve">Para </w:t>
      </w:r>
      <w:r w:rsidR="00551CC3">
        <w:rPr>
          <w:rFonts w:eastAsia="Arial" w:cs="Arial"/>
          <w:szCs w:val="24"/>
        </w:rPr>
        <w:t xml:space="preserve">financiar sus gastos en </w:t>
      </w:r>
      <w:r w:rsidRPr="00895206">
        <w:rPr>
          <w:rFonts w:eastAsia="Arial" w:cs="Arial"/>
          <w:szCs w:val="24"/>
        </w:rPr>
        <w:t xml:space="preserve">activos no financieros, </w:t>
      </w:r>
      <w:r w:rsidR="00551CC3">
        <w:rPr>
          <w:rFonts w:eastAsia="Arial" w:cs="Arial"/>
          <w:szCs w:val="24"/>
        </w:rPr>
        <w:t>las s</w:t>
      </w:r>
      <w:r w:rsidRPr="00895206">
        <w:rPr>
          <w:rFonts w:eastAsia="Arial" w:cs="Arial"/>
          <w:szCs w:val="24"/>
        </w:rPr>
        <w:t xml:space="preserve">ociedades </w:t>
      </w:r>
      <w:r w:rsidR="00551CC3">
        <w:rPr>
          <w:rFonts w:eastAsia="Arial" w:cs="Arial"/>
          <w:szCs w:val="24"/>
        </w:rPr>
        <w:t xml:space="preserve">no financieras recurrieron a recursos netos adicionales equivalentes a </w:t>
      </w:r>
      <w:r w:rsidR="009B76AB">
        <w:t>13.3</w:t>
      </w:r>
      <w:r w:rsidR="00551CC3">
        <w:rPr>
          <w:rFonts w:eastAsia="Arial" w:cs="Arial"/>
          <w:szCs w:val="24"/>
        </w:rPr>
        <w:t xml:space="preserve"> </w:t>
      </w:r>
      <w:r w:rsidRPr="00895206">
        <w:rPr>
          <w:rFonts w:eastAsia="Arial" w:cs="Arial"/>
          <w:szCs w:val="24"/>
        </w:rPr>
        <w:t>% del PIB</w:t>
      </w:r>
      <w:r w:rsidR="00DD0B1E">
        <w:rPr>
          <w:rFonts w:eastAsia="Arial" w:cs="Arial"/>
          <w:szCs w:val="24"/>
        </w:rPr>
        <w:t>.</w:t>
      </w:r>
      <w:r w:rsidRPr="00895206">
        <w:rPr>
          <w:rFonts w:eastAsia="Arial" w:cs="Arial"/>
          <w:szCs w:val="24"/>
        </w:rPr>
        <w:t xml:space="preserve"> </w:t>
      </w:r>
      <w:r w:rsidR="00DD0B1E">
        <w:rPr>
          <w:rFonts w:eastAsia="Arial" w:cs="Arial"/>
          <w:szCs w:val="24"/>
        </w:rPr>
        <w:t xml:space="preserve">Este porcentaje </w:t>
      </w:r>
      <w:r w:rsidRPr="00895206">
        <w:rPr>
          <w:rFonts w:eastAsia="Arial" w:cs="Arial"/>
          <w:szCs w:val="24"/>
        </w:rPr>
        <w:t xml:space="preserve">resultó de la </w:t>
      </w:r>
      <w:r w:rsidR="00551CC3">
        <w:rPr>
          <w:rFonts w:eastAsia="Arial" w:cs="Arial"/>
          <w:szCs w:val="24"/>
        </w:rPr>
        <w:t xml:space="preserve">disposición de activos financieros por </w:t>
      </w:r>
      <w:r w:rsidR="009B76AB">
        <w:t>2.2</w:t>
      </w:r>
      <w:r w:rsidR="00551CC3">
        <w:rPr>
          <w:rFonts w:eastAsia="Arial" w:cs="Arial"/>
          <w:szCs w:val="24"/>
        </w:rPr>
        <w:t xml:space="preserve"> </w:t>
      </w:r>
      <w:r w:rsidR="00667199">
        <w:rPr>
          <w:rFonts w:eastAsia="Arial" w:cs="Arial"/>
          <w:szCs w:val="24"/>
        </w:rPr>
        <w:t>por ciento</w:t>
      </w:r>
      <w:r w:rsidR="00DD0B1E">
        <w:rPr>
          <w:rFonts w:eastAsia="Arial" w:cs="Arial"/>
          <w:szCs w:val="24"/>
        </w:rPr>
        <w:t xml:space="preserve"> y de la emisión de pasivos de 11.0 </w:t>
      </w:r>
      <w:r w:rsidR="00B16DEB">
        <w:rPr>
          <w:rFonts w:eastAsia="Arial" w:cs="Arial"/>
          <w:szCs w:val="24"/>
        </w:rPr>
        <w:t>por ciento</w:t>
      </w:r>
      <w:r w:rsidR="00667199">
        <w:rPr>
          <w:rFonts w:eastAsia="Arial" w:cs="Arial"/>
          <w:szCs w:val="24"/>
        </w:rPr>
        <w:t>. E</w:t>
      </w:r>
      <w:r w:rsidR="00551CC3">
        <w:rPr>
          <w:rFonts w:eastAsia="Arial" w:cs="Arial"/>
          <w:szCs w:val="24"/>
        </w:rPr>
        <w:t>l gobierno general report</w:t>
      </w:r>
      <w:r w:rsidR="00667199">
        <w:rPr>
          <w:rFonts w:eastAsia="Arial" w:cs="Arial"/>
          <w:szCs w:val="24"/>
        </w:rPr>
        <w:t>ó</w:t>
      </w:r>
      <w:r w:rsidR="00551CC3">
        <w:rPr>
          <w:rFonts w:eastAsia="Arial" w:cs="Arial"/>
          <w:szCs w:val="24"/>
        </w:rPr>
        <w:t xml:space="preserve"> necesidades de financiamiento </w:t>
      </w:r>
      <w:r w:rsidR="00667199">
        <w:rPr>
          <w:rFonts w:eastAsia="Arial" w:cs="Arial"/>
          <w:szCs w:val="24"/>
        </w:rPr>
        <w:t>de</w:t>
      </w:r>
      <w:r w:rsidR="00551CC3">
        <w:rPr>
          <w:rFonts w:eastAsia="Arial" w:cs="Arial"/>
          <w:szCs w:val="24"/>
        </w:rPr>
        <w:t xml:space="preserve"> </w:t>
      </w:r>
      <w:r w:rsidR="009B76AB">
        <w:t>6.0</w:t>
      </w:r>
      <w:r w:rsidR="00551CC3">
        <w:rPr>
          <w:rFonts w:eastAsia="Arial" w:cs="Arial"/>
          <w:szCs w:val="24"/>
        </w:rPr>
        <w:t xml:space="preserve"> por ciento.</w:t>
      </w:r>
    </w:p>
    <w:p w14:paraId="644F8EF0" w14:textId="4E937E63" w:rsidR="00551CC3" w:rsidRDefault="00551CC3" w:rsidP="00D62C47">
      <w:pPr>
        <w:tabs>
          <w:tab w:val="left" w:pos="4536"/>
        </w:tabs>
        <w:spacing w:after="0" w:line="246" w:lineRule="auto"/>
        <w:ind w:left="-425" w:right="-28"/>
        <w:jc w:val="both"/>
        <w:rPr>
          <w:rFonts w:eastAsia="Arial" w:cs="Arial"/>
          <w:szCs w:val="24"/>
        </w:rPr>
      </w:pPr>
    </w:p>
    <w:p w14:paraId="0B647BF4" w14:textId="09C7819C" w:rsidR="00551CC3" w:rsidRDefault="00551CC3" w:rsidP="00D62C47">
      <w:pPr>
        <w:tabs>
          <w:tab w:val="left" w:pos="4536"/>
        </w:tabs>
        <w:spacing w:after="0" w:line="246" w:lineRule="auto"/>
        <w:ind w:left="-425" w:right="-28"/>
        <w:jc w:val="both"/>
        <w:rPr>
          <w:rFonts w:eastAsia="Arial" w:cs="Arial"/>
          <w:szCs w:val="24"/>
        </w:rPr>
      </w:pPr>
      <w:r w:rsidRPr="00551CC3">
        <w:rPr>
          <w:rFonts w:eastAsia="Arial" w:cs="Arial"/>
          <w:szCs w:val="24"/>
        </w:rPr>
        <w:t xml:space="preserve">Por su parte, las sociedades financieras </w:t>
      </w:r>
      <w:r w:rsidR="00C45A9B">
        <w:rPr>
          <w:color w:val="000000"/>
        </w:rPr>
        <w:t>—</w:t>
      </w:r>
      <w:r w:rsidR="00C45A9B">
        <w:rPr>
          <w:rFonts w:eastAsia="Arial" w:cs="Arial"/>
          <w:szCs w:val="24"/>
        </w:rPr>
        <w:t xml:space="preserve">que </w:t>
      </w:r>
      <w:r w:rsidRPr="00551CC3">
        <w:rPr>
          <w:rFonts w:eastAsia="Arial" w:cs="Arial"/>
          <w:szCs w:val="24"/>
        </w:rPr>
        <w:t>cumple</w:t>
      </w:r>
      <w:r w:rsidR="00C45A9B">
        <w:rPr>
          <w:rFonts w:eastAsia="Arial" w:cs="Arial"/>
          <w:szCs w:val="24"/>
        </w:rPr>
        <w:t>n con la</w:t>
      </w:r>
      <w:r w:rsidRPr="00551CC3">
        <w:rPr>
          <w:rFonts w:eastAsia="Arial" w:cs="Arial"/>
          <w:szCs w:val="24"/>
        </w:rPr>
        <w:t xml:space="preserve"> función de oferentes de recursos para el financiamiento de la actividad productiva</w:t>
      </w:r>
      <w:r w:rsidR="00C45A9B">
        <w:rPr>
          <w:color w:val="000000"/>
        </w:rPr>
        <w:t>—</w:t>
      </w:r>
      <w:r w:rsidRPr="00551CC3">
        <w:rPr>
          <w:rFonts w:eastAsia="Arial" w:cs="Arial"/>
          <w:szCs w:val="24"/>
        </w:rPr>
        <w:t xml:space="preserve"> proporcionaron recur</w:t>
      </w:r>
      <w:r>
        <w:rPr>
          <w:rFonts w:eastAsia="Arial" w:cs="Arial"/>
          <w:szCs w:val="24"/>
        </w:rPr>
        <w:t xml:space="preserve">sos netos equivalentes a </w:t>
      </w:r>
      <w:r w:rsidR="009B76AB">
        <w:t>6.7</w:t>
      </w:r>
      <w:r>
        <w:rPr>
          <w:rFonts w:eastAsia="Arial" w:cs="Arial"/>
          <w:szCs w:val="24"/>
        </w:rPr>
        <w:t xml:space="preserve"> %; los hogares</w:t>
      </w:r>
      <w:r w:rsidR="00C30CB5">
        <w:rPr>
          <w:rFonts w:eastAsia="Arial" w:cs="Arial"/>
          <w:szCs w:val="24"/>
        </w:rPr>
        <w:t>,</w:t>
      </w:r>
      <w:r>
        <w:rPr>
          <w:rFonts w:eastAsia="Arial" w:cs="Arial"/>
          <w:szCs w:val="24"/>
        </w:rPr>
        <w:t xml:space="preserve"> </w:t>
      </w:r>
      <w:r w:rsidR="009B76AB">
        <w:t>11.7</w:t>
      </w:r>
      <w:r w:rsidRPr="00551CC3">
        <w:rPr>
          <w:rFonts w:eastAsia="Arial" w:cs="Arial"/>
          <w:szCs w:val="24"/>
        </w:rPr>
        <w:t xml:space="preserve"> % y las ISFLSH reportaron préstamos netos p</w:t>
      </w:r>
      <w:r>
        <w:rPr>
          <w:rFonts w:eastAsia="Arial" w:cs="Arial"/>
          <w:szCs w:val="24"/>
        </w:rPr>
        <w:t xml:space="preserve">or </w:t>
      </w:r>
      <w:r w:rsidR="00C45A9B">
        <w:rPr>
          <w:rFonts w:eastAsia="Arial" w:cs="Arial"/>
          <w:szCs w:val="24"/>
        </w:rPr>
        <w:t xml:space="preserve">            </w:t>
      </w:r>
      <w:r w:rsidR="009B76AB">
        <w:t>0.4</w:t>
      </w:r>
      <w:r>
        <w:rPr>
          <w:rFonts w:eastAsia="Arial" w:cs="Arial"/>
          <w:szCs w:val="24"/>
        </w:rPr>
        <w:t xml:space="preserve"> % </w:t>
      </w:r>
      <w:r w:rsidRPr="00551CC3">
        <w:rPr>
          <w:rFonts w:eastAsia="Arial" w:cs="Arial"/>
          <w:szCs w:val="24"/>
        </w:rPr>
        <w:t>del PIB.</w:t>
      </w:r>
      <w:r w:rsidR="00C30CB5">
        <w:rPr>
          <w:rStyle w:val="Refdenotaalpie"/>
          <w:rFonts w:eastAsia="Arial" w:cs="Arial"/>
          <w:szCs w:val="24"/>
        </w:rPr>
        <w:footnoteReference w:id="8"/>
      </w:r>
      <w:r>
        <w:rPr>
          <w:rFonts w:eastAsia="Arial" w:cs="Arial"/>
          <w:szCs w:val="24"/>
        </w:rPr>
        <w:t xml:space="preserve"> </w:t>
      </w:r>
    </w:p>
    <w:p w14:paraId="3CA38946" w14:textId="3146EAD8" w:rsidR="00D62C47" w:rsidRPr="00895206" w:rsidRDefault="00D62C47" w:rsidP="00553185">
      <w:pPr>
        <w:tabs>
          <w:tab w:val="left" w:pos="4536"/>
        </w:tabs>
        <w:spacing w:after="0" w:line="246" w:lineRule="auto"/>
        <w:ind w:right="-28"/>
        <w:jc w:val="both"/>
        <w:rPr>
          <w:rFonts w:eastAsia="Arial" w:cs="Arial"/>
          <w:szCs w:val="24"/>
        </w:rPr>
      </w:pPr>
    </w:p>
    <w:p w14:paraId="003FA37B" w14:textId="77777777" w:rsidR="00BD34FC" w:rsidRDefault="00BD34FC">
      <w:pPr>
        <w:widowControl/>
        <w:spacing w:after="160" w:line="259" w:lineRule="auto"/>
        <w:rPr>
          <w:rFonts w:eastAsia="Arial" w:cs="Arial"/>
          <w:spacing w:val="-2"/>
          <w:sz w:val="20"/>
          <w:szCs w:val="20"/>
        </w:rPr>
      </w:pPr>
      <w:r>
        <w:rPr>
          <w:rFonts w:eastAsia="Arial" w:cs="Arial"/>
          <w:spacing w:val="-2"/>
          <w:sz w:val="20"/>
          <w:szCs w:val="20"/>
        </w:rPr>
        <w:br w:type="page"/>
      </w:r>
    </w:p>
    <w:p w14:paraId="4AEE5CA8" w14:textId="77777777" w:rsidR="00C45A9B" w:rsidRDefault="00C45A9B" w:rsidP="00D62C47">
      <w:pPr>
        <w:spacing w:after="0" w:line="247" w:lineRule="auto"/>
        <w:ind w:left="-425" w:right="-28"/>
        <w:jc w:val="center"/>
        <w:rPr>
          <w:rFonts w:eastAsia="Arial" w:cs="Arial"/>
          <w:spacing w:val="-2"/>
          <w:sz w:val="20"/>
          <w:szCs w:val="20"/>
        </w:rPr>
      </w:pPr>
    </w:p>
    <w:p w14:paraId="68D6215D" w14:textId="59A5DBCE" w:rsidR="00D62C47" w:rsidRPr="0036453C" w:rsidRDefault="00412673" w:rsidP="00D62C47">
      <w:pPr>
        <w:spacing w:after="0" w:line="247" w:lineRule="auto"/>
        <w:ind w:left="-425" w:right="-28"/>
        <w:jc w:val="center"/>
        <w:rPr>
          <w:rFonts w:eastAsia="Arial" w:cs="Arial"/>
          <w:spacing w:val="-2"/>
          <w:sz w:val="20"/>
          <w:szCs w:val="20"/>
        </w:rPr>
      </w:pPr>
      <w:r>
        <w:rPr>
          <w:rFonts w:eastAsia="Arial" w:cs="Arial"/>
          <w:spacing w:val="-2"/>
          <w:sz w:val="20"/>
          <w:szCs w:val="20"/>
        </w:rPr>
        <w:t xml:space="preserve">Cuadro </w:t>
      </w:r>
      <w:r w:rsidR="00763A09">
        <w:rPr>
          <w:rFonts w:eastAsia="Arial" w:cs="Arial"/>
          <w:spacing w:val="-2"/>
          <w:sz w:val="20"/>
          <w:szCs w:val="20"/>
        </w:rPr>
        <w:t>4</w:t>
      </w:r>
    </w:p>
    <w:p w14:paraId="79CACBF1" w14:textId="19A84A61" w:rsidR="00D62C47" w:rsidRPr="0036453C" w:rsidRDefault="00D62C47" w:rsidP="00D62C47">
      <w:pPr>
        <w:pStyle w:val="p0"/>
        <w:spacing w:before="0"/>
        <w:ind w:left="-425" w:right="-28" w:firstLine="0"/>
        <w:jc w:val="center"/>
        <w:rPr>
          <w:rFonts w:cs="Arial"/>
          <w:b/>
          <w:smallCaps/>
          <w:color w:val="auto"/>
          <w:sz w:val="22"/>
          <w:szCs w:val="22"/>
        </w:rPr>
      </w:pPr>
      <w:r w:rsidRPr="0036453C">
        <w:rPr>
          <w:rFonts w:cs="Arial"/>
          <w:b/>
          <w:smallCaps/>
          <w:color w:val="auto"/>
          <w:sz w:val="22"/>
          <w:szCs w:val="22"/>
        </w:rPr>
        <w:t xml:space="preserve">Financiamiento de los </w:t>
      </w:r>
      <w:r w:rsidR="00C45A9B">
        <w:rPr>
          <w:rFonts w:cs="Arial"/>
          <w:b/>
          <w:smallCaps/>
          <w:color w:val="auto"/>
          <w:sz w:val="22"/>
          <w:szCs w:val="22"/>
        </w:rPr>
        <w:t>a</w:t>
      </w:r>
      <w:r w:rsidRPr="0036453C">
        <w:rPr>
          <w:rFonts w:cs="Arial"/>
          <w:b/>
          <w:smallCaps/>
          <w:color w:val="auto"/>
          <w:sz w:val="22"/>
          <w:szCs w:val="22"/>
        </w:rPr>
        <w:t xml:space="preserve">ctivos no </w:t>
      </w:r>
      <w:r w:rsidR="00C45A9B">
        <w:rPr>
          <w:rFonts w:cs="Arial"/>
          <w:b/>
          <w:smallCaps/>
          <w:color w:val="auto"/>
          <w:sz w:val="22"/>
          <w:szCs w:val="22"/>
        </w:rPr>
        <w:t>f</w:t>
      </w:r>
      <w:r w:rsidRPr="0036453C">
        <w:rPr>
          <w:rFonts w:cs="Arial"/>
          <w:b/>
          <w:smallCaps/>
          <w:color w:val="auto"/>
          <w:sz w:val="22"/>
          <w:szCs w:val="22"/>
        </w:rPr>
        <w:t xml:space="preserve">inancieros por </w:t>
      </w:r>
      <w:r w:rsidR="00C45A9B">
        <w:rPr>
          <w:rFonts w:cs="Arial"/>
          <w:b/>
          <w:smallCaps/>
          <w:color w:val="auto"/>
          <w:sz w:val="22"/>
          <w:szCs w:val="22"/>
        </w:rPr>
        <w:t>s</w:t>
      </w:r>
      <w:r w:rsidR="0036453C">
        <w:rPr>
          <w:rFonts w:cs="Arial"/>
          <w:b/>
          <w:smallCaps/>
          <w:color w:val="auto"/>
          <w:sz w:val="22"/>
          <w:szCs w:val="22"/>
        </w:rPr>
        <w:t xml:space="preserve">ector </w:t>
      </w:r>
      <w:r w:rsidR="00C45A9B">
        <w:rPr>
          <w:rFonts w:cs="Arial"/>
          <w:b/>
          <w:smallCaps/>
          <w:color w:val="auto"/>
          <w:sz w:val="22"/>
          <w:szCs w:val="22"/>
        </w:rPr>
        <w:t>i</w:t>
      </w:r>
      <w:r w:rsidR="0036453C">
        <w:rPr>
          <w:rFonts w:cs="Arial"/>
          <w:b/>
          <w:smallCaps/>
          <w:color w:val="auto"/>
          <w:sz w:val="22"/>
          <w:szCs w:val="22"/>
        </w:rPr>
        <w:t xml:space="preserve">nstitucional, </w:t>
      </w:r>
      <w:r w:rsidR="009B76AB" w:rsidRPr="009B76AB">
        <w:rPr>
          <w:rFonts w:cs="Arial"/>
          <w:b/>
          <w:smallCaps/>
          <w:color w:val="auto"/>
          <w:sz w:val="22"/>
          <w:szCs w:val="22"/>
        </w:rPr>
        <w:t>2021</w:t>
      </w:r>
    </w:p>
    <w:p w14:paraId="2A355056" w14:textId="162A137A" w:rsidR="009B76AB" w:rsidRDefault="00D62C47" w:rsidP="009B76AB">
      <w:pPr>
        <w:pStyle w:val="p0"/>
        <w:spacing w:before="0"/>
        <w:ind w:left="-425" w:right="-28" w:firstLine="0"/>
        <w:jc w:val="center"/>
        <w:rPr>
          <w:rFonts w:asciiTheme="minorHAnsi" w:eastAsiaTheme="minorHAnsi" w:hAnsiTheme="minorHAnsi" w:cstheme="minorBidi"/>
          <w:color w:val="auto"/>
          <w:sz w:val="22"/>
          <w:szCs w:val="22"/>
          <w:lang w:val="es-MX" w:eastAsia="en-US"/>
        </w:rPr>
      </w:pPr>
      <w:r w:rsidRPr="00895206">
        <w:rPr>
          <w:rFonts w:cs="Arial"/>
          <w:color w:val="auto"/>
          <w:sz w:val="18"/>
        </w:rPr>
        <w:t>(Participación porcentual respecto al PIB)</w:t>
      </w:r>
    </w:p>
    <w:tbl>
      <w:tblPr>
        <w:tblW w:w="9551" w:type="dxa"/>
        <w:tblCellMar>
          <w:left w:w="70" w:type="dxa"/>
          <w:right w:w="70" w:type="dxa"/>
        </w:tblCellMar>
        <w:tblLook w:val="04A0" w:firstRow="1" w:lastRow="0" w:firstColumn="1" w:lastColumn="0" w:noHBand="0" w:noVBand="1"/>
      </w:tblPr>
      <w:tblGrid>
        <w:gridCol w:w="1196"/>
        <w:gridCol w:w="1382"/>
        <w:gridCol w:w="1112"/>
        <w:gridCol w:w="1095"/>
        <w:gridCol w:w="876"/>
        <w:gridCol w:w="741"/>
        <w:gridCol w:w="674"/>
        <w:gridCol w:w="1044"/>
        <w:gridCol w:w="758"/>
        <w:gridCol w:w="707"/>
      </w:tblGrid>
      <w:tr w:rsidR="009B76AB" w:rsidRPr="00E21E11" w14:paraId="58308094" w14:textId="77777777" w:rsidTr="009B76AB">
        <w:trPr>
          <w:divId w:val="948121957"/>
          <w:trHeight w:val="720"/>
        </w:trPr>
        <w:tc>
          <w:tcPr>
            <w:tcW w:w="1196" w:type="dxa"/>
            <w:tcBorders>
              <w:top w:val="single" w:sz="4" w:space="0" w:color="auto"/>
              <w:left w:val="single" w:sz="4" w:space="0" w:color="auto"/>
              <w:bottom w:val="nil"/>
              <w:right w:val="nil"/>
            </w:tcBorders>
            <w:shd w:val="clear" w:color="000000" w:fill="203764"/>
            <w:vAlign w:val="center"/>
            <w:hideMark/>
          </w:tcPr>
          <w:p w14:paraId="10990C46" w14:textId="283F949F" w:rsidR="009B76AB" w:rsidRPr="00E21E11" w:rsidRDefault="009B76AB" w:rsidP="009B76AB">
            <w:pPr>
              <w:widowControl/>
              <w:spacing w:after="0" w:line="240" w:lineRule="auto"/>
              <w:jc w:val="center"/>
              <w:rPr>
                <w:rFonts w:eastAsia="Times New Roman" w:cs="Arial"/>
                <w:b/>
                <w:bCs/>
                <w:color w:val="FFFFFF"/>
                <w:sz w:val="14"/>
                <w:szCs w:val="14"/>
                <w:lang w:eastAsia="es-MX"/>
              </w:rPr>
            </w:pPr>
            <w:r w:rsidRPr="00E21E11">
              <w:rPr>
                <w:rFonts w:eastAsia="Times New Roman" w:cs="Arial"/>
                <w:b/>
                <w:bCs/>
                <w:color w:val="FFFFFF"/>
                <w:sz w:val="14"/>
                <w:szCs w:val="14"/>
                <w:lang w:eastAsia="es-MX"/>
              </w:rPr>
              <w:t>Fórmula</w:t>
            </w:r>
          </w:p>
        </w:tc>
        <w:tc>
          <w:tcPr>
            <w:tcW w:w="1348" w:type="dxa"/>
            <w:tcBorders>
              <w:top w:val="single" w:sz="4" w:space="0" w:color="auto"/>
              <w:left w:val="nil"/>
              <w:bottom w:val="nil"/>
              <w:right w:val="nil"/>
            </w:tcBorders>
            <w:shd w:val="clear" w:color="000000" w:fill="203764"/>
            <w:vAlign w:val="center"/>
            <w:hideMark/>
          </w:tcPr>
          <w:p w14:paraId="5A78A362" w14:textId="77777777" w:rsidR="009B76AB" w:rsidRPr="00E21E11" w:rsidRDefault="009B76AB" w:rsidP="009B76AB">
            <w:pPr>
              <w:widowControl/>
              <w:spacing w:after="0" w:line="240" w:lineRule="auto"/>
              <w:jc w:val="center"/>
              <w:rPr>
                <w:rFonts w:eastAsia="Times New Roman" w:cs="Arial"/>
                <w:b/>
                <w:bCs/>
                <w:color w:val="FFFFFF"/>
                <w:sz w:val="14"/>
                <w:szCs w:val="14"/>
                <w:lang w:eastAsia="es-MX"/>
              </w:rPr>
            </w:pPr>
            <w:r w:rsidRPr="00E21E11">
              <w:rPr>
                <w:rFonts w:eastAsia="Times New Roman" w:cs="Arial"/>
                <w:b/>
                <w:bCs/>
                <w:color w:val="FFFFFF"/>
                <w:sz w:val="14"/>
                <w:szCs w:val="14"/>
                <w:lang w:eastAsia="es-MX"/>
              </w:rPr>
              <w:t>Concepto</w:t>
            </w:r>
          </w:p>
        </w:tc>
        <w:tc>
          <w:tcPr>
            <w:tcW w:w="1112" w:type="dxa"/>
            <w:tcBorders>
              <w:top w:val="single" w:sz="4" w:space="0" w:color="auto"/>
              <w:left w:val="nil"/>
              <w:bottom w:val="nil"/>
              <w:right w:val="nil"/>
            </w:tcBorders>
            <w:shd w:val="clear" w:color="000000" w:fill="203764"/>
            <w:vAlign w:val="center"/>
            <w:hideMark/>
          </w:tcPr>
          <w:p w14:paraId="6120CB27" w14:textId="683A30FF" w:rsidR="009B76AB" w:rsidRPr="00E21E11" w:rsidRDefault="009B76AB" w:rsidP="009B76AB">
            <w:pPr>
              <w:widowControl/>
              <w:spacing w:after="0" w:line="240" w:lineRule="auto"/>
              <w:jc w:val="center"/>
              <w:rPr>
                <w:rFonts w:eastAsia="Times New Roman" w:cs="Arial"/>
                <w:b/>
                <w:bCs/>
                <w:color w:val="FFFFFF"/>
                <w:sz w:val="14"/>
                <w:szCs w:val="14"/>
                <w:lang w:eastAsia="es-MX"/>
              </w:rPr>
            </w:pPr>
            <w:r w:rsidRPr="00E21E11">
              <w:rPr>
                <w:rFonts w:eastAsia="Times New Roman" w:cs="Arial"/>
                <w:b/>
                <w:bCs/>
                <w:color w:val="FFFFFF"/>
                <w:sz w:val="14"/>
                <w:szCs w:val="14"/>
                <w:lang w:eastAsia="es-MX"/>
              </w:rPr>
              <w:t xml:space="preserve">Sociedades no </w:t>
            </w:r>
            <w:r w:rsidR="00C45A9B" w:rsidRPr="00E21E11">
              <w:rPr>
                <w:rFonts w:eastAsia="Times New Roman" w:cs="Arial"/>
                <w:b/>
                <w:bCs/>
                <w:color w:val="FFFFFF"/>
                <w:sz w:val="14"/>
                <w:szCs w:val="14"/>
                <w:lang w:eastAsia="es-MX"/>
              </w:rPr>
              <w:t>f</w:t>
            </w:r>
            <w:r w:rsidRPr="00E21E11">
              <w:rPr>
                <w:rFonts w:eastAsia="Times New Roman" w:cs="Arial"/>
                <w:b/>
                <w:bCs/>
                <w:color w:val="FFFFFF"/>
                <w:sz w:val="14"/>
                <w:szCs w:val="14"/>
                <w:lang w:eastAsia="es-MX"/>
              </w:rPr>
              <w:t>inancieras</w:t>
            </w:r>
          </w:p>
        </w:tc>
        <w:tc>
          <w:tcPr>
            <w:tcW w:w="1095" w:type="dxa"/>
            <w:tcBorders>
              <w:top w:val="single" w:sz="4" w:space="0" w:color="auto"/>
              <w:left w:val="nil"/>
              <w:bottom w:val="nil"/>
              <w:right w:val="nil"/>
            </w:tcBorders>
            <w:shd w:val="clear" w:color="000000" w:fill="203764"/>
            <w:vAlign w:val="center"/>
            <w:hideMark/>
          </w:tcPr>
          <w:p w14:paraId="421E8E3B" w14:textId="1B768499" w:rsidR="009B76AB" w:rsidRPr="00E21E11" w:rsidRDefault="009B76AB" w:rsidP="009B76AB">
            <w:pPr>
              <w:widowControl/>
              <w:spacing w:after="0" w:line="240" w:lineRule="auto"/>
              <w:jc w:val="center"/>
              <w:rPr>
                <w:rFonts w:eastAsia="Times New Roman" w:cs="Arial"/>
                <w:b/>
                <w:bCs/>
                <w:color w:val="FFFFFF"/>
                <w:sz w:val="14"/>
                <w:szCs w:val="14"/>
                <w:lang w:eastAsia="es-MX"/>
              </w:rPr>
            </w:pPr>
            <w:r w:rsidRPr="00E21E11">
              <w:rPr>
                <w:rFonts w:eastAsia="Times New Roman" w:cs="Arial"/>
                <w:b/>
                <w:bCs/>
                <w:color w:val="FFFFFF"/>
                <w:sz w:val="14"/>
                <w:szCs w:val="14"/>
                <w:lang w:eastAsia="es-MX"/>
              </w:rPr>
              <w:t xml:space="preserve">Sociedades </w:t>
            </w:r>
            <w:r w:rsidR="00C45A9B" w:rsidRPr="00E21E11">
              <w:rPr>
                <w:rFonts w:eastAsia="Times New Roman" w:cs="Arial"/>
                <w:b/>
                <w:bCs/>
                <w:color w:val="FFFFFF"/>
                <w:sz w:val="14"/>
                <w:szCs w:val="14"/>
                <w:lang w:eastAsia="es-MX"/>
              </w:rPr>
              <w:t>f</w:t>
            </w:r>
            <w:r w:rsidRPr="00E21E11">
              <w:rPr>
                <w:rFonts w:eastAsia="Times New Roman" w:cs="Arial"/>
                <w:b/>
                <w:bCs/>
                <w:color w:val="FFFFFF"/>
                <w:sz w:val="14"/>
                <w:szCs w:val="14"/>
                <w:lang w:eastAsia="es-MX"/>
              </w:rPr>
              <w:t>inancieras</w:t>
            </w:r>
          </w:p>
        </w:tc>
        <w:tc>
          <w:tcPr>
            <w:tcW w:w="876" w:type="dxa"/>
            <w:tcBorders>
              <w:top w:val="single" w:sz="4" w:space="0" w:color="auto"/>
              <w:left w:val="nil"/>
              <w:bottom w:val="nil"/>
              <w:right w:val="nil"/>
            </w:tcBorders>
            <w:shd w:val="clear" w:color="000000" w:fill="203764"/>
            <w:vAlign w:val="center"/>
            <w:hideMark/>
          </w:tcPr>
          <w:p w14:paraId="294338F7" w14:textId="2CC9B2E1" w:rsidR="009B76AB" w:rsidRPr="00E21E11" w:rsidRDefault="009B76AB" w:rsidP="009B76AB">
            <w:pPr>
              <w:widowControl/>
              <w:spacing w:after="0" w:line="240" w:lineRule="auto"/>
              <w:jc w:val="center"/>
              <w:rPr>
                <w:rFonts w:eastAsia="Times New Roman" w:cs="Arial"/>
                <w:b/>
                <w:bCs/>
                <w:color w:val="FFFFFF"/>
                <w:sz w:val="14"/>
                <w:szCs w:val="14"/>
                <w:lang w:eastAsia="es-MX"/>
              </w:rPr>
            </w:pPr>
            <w:r w:rsidRPr="00E21E11">
              <w:rPr>
                <w:rFonts w:eastAsia="Times New Roman" w:cs="Arial"/>
                <w:b/>
                <w:bCs/>
                <w:color w:val="FFFFFF"/>
                <w:sz w:val="14"/>
                <w:szCs w:val="14"/>
                <w:lang w:eastAsia="es-MX"/>
              </w:rPr>
              <w:t xml:space="preserve"> Gobierno </w:t>
            </w:r>
            <w:r w:rsidR="00C45A9B" w:rsidRPr="00E21E11">
              <w:rPr>
                <w:rFonts w:eastAsia="Times New Roman" w:cs="Arial"/>
                <w:b/>
                <w:bCs/>
                <w:color w:val="FFFFFF"/>
                <w:sz w:val="14"/>
                <w:szCs w:val="14"/>
                <w:lang w:eastAsia="es-MX"/>
              </w:rPr>
              <w:t>g</w:t>
            </w:r>
            <w:r w:rsidRPr="00E21E11">
              <w:rPr>
                <w:rFonts w:eastAsia="Times New Roman" w:cs="Arial"/>
                <w:b/>
                <w:bCs/>
                <w:color w:val="FFFFFF"/>
                <w:sz w:val="14"/>
                <w:szCs w:val="14"/>
                <w:lang w:eastAsia="es-MX"/>
              </w:rPr>
              <w:t>eneral</w:t>
            </w:r>
          </w:p>
        </w:tc>
        <w:tc>
          <w:tcPr>
            <w:tcW w:w="741" w:type="dxa"/>
            <w:tcBorders>
              <w:top w:val="single" w:sz="4" w:space="0" w:color="auto"/>
              <w:left w:val="nil"/>
              <w:bottom w:val="nil"/>
              <w:right w:val="nil"/>
            </w:tcBorders>
            <w:shd w:val="clear" w:color="000000" w:fill="203764"/>
            <w:vAlign w:val="center"/>
            <w:hideMark/>
          </w:tcPr>
          <w:p w14:paraId="12ED12CE" w14:textId="77777777" w:rsidR="009B76AB" w:rsidRPr="00E21E11" w:rsidRDefault="009B76AB" w:rsidP="009B76AB">
            <w:pPr>
              <w:widowControl/>
              <w:spacing w:after="0" w:line="240" w:lineRule="auto"/>
              <w:jc w:val="center"/>
              <w:rPr>
                <w:rFonts w:eastAsia="Times New Roman" w:cs="Arial"/>
                <w:b/>
                <w:bCs/>
                <w:color w:val="FFFFFF"/>
                <w:sz w:val="14"/>
                <w:szCs w:val="14"/>
                <w:lang w:eastAsia="es-MX"/>
              </w:rPr>
            </w:pPr>
            <w:r w:rsidRPr="00E21E11">
              <w:rPr>
                <w:rFonts w:eastAsia="Times New Roman" w:cs="Arial"/>
                <w:b/>
                <w:bCs/>
                <w:color w:val="FFFFFF"/>
                <w:sz w:val="14"/>
                <w:szCs w:val="14"/>
                <w:lang w:eastAsia="es-MX"/>
              </w:rPr>
              <w:t>Hogares</w:t>
            </w:r>
          </w:p>
        </w:tc>
        <w:tc>
          <w:tcPr>
            <w:tcW w:w="674" w:type="dxa"/>
            <w:tcBorders>
              <w:top w:val="single" w:sz="4" w:space="0" w:color="auto"/>
              <w:left w:val="nil"/>
              <w:bottom w:val="nil"/>
              <w:right w:val="nil"/>
            </w:tcBorders>
            <w:shd w:val="clear" w:color="000000" w:fill="203764"/>
            <w:vAlign w:val="center"/>
            <w:hideMark/>
          </w:tcPr>
          <w:p w14:paraId="2BF72FB8" w14:textId="77777777" w:rsidR="009B76AB" w:rsidRPr="00E21E11" w:rsidRDefault="009B76AB" w:rsidP="009B76AB">
            <w:pPr>
              <w:widowControl/>
              <w:spacing w:after="0" w:line="240" w:lineRule="auto"/>
              <w:jc w:val="center"/>
              <w:rPr>
                <w:rFonts w:eastAsia="Times New Roman" w:cs="Arial"/>
                <w:b/>
                <w:bCs/>
                <w:color w:val="FFFFFF"/>
                <w:sz w:val="14"/>
                <w:szCs w:val="14"/>
                <w:lang w:eastAsia="es-MX"/>
              </w:rPr>
            </w:pPr>
            <w:r w:rsidRPr="00E21E11">
              <w:rPr>
                <w:rFonts w:eastAsia="Times New Roman" w:cs="Arial"/>
                <w:b/>
                <w:bCs/>
                <w:color w:val="FFFFFF"/>
                <w:sz w:val="14"/>
                <w:szCs w:val="14"/>
                <w:lang w:eastAsia="es-MX"/>
              </w:rPr>
              <w:t>ISFLSH</w:t>
            </w:r>
          </w:p>
        </w:tc>
        <w:tc>
          <w:tcPr>
            <w:tcW w:w="1044" w:type="dxa"/>
            <w:tcBorders>
              <w:top w:val="single" w:sz="4" w:space="0" w:color="auto"/>
              <w:left w:val="nil"/>
              <w:bottom w:val="nil"/>
              <w:right w:val="nil"/>
            </w:tcBorders>
            <w:shd w:val="clear" w:color="000000" w:fill="203764"/>
            <w:vAlign w:val="center"/>
            <w:hideMark/>
          </w:tcPr>
          <w:p w14:paraId="44EE793D" w14:textId="50E03EA6" w:rsidR="009B76AB" w:rsidRPr="00E21E11" w:rsidRDefault="009B76AB" w:rsidP="009B76AB">
            <w:pPr>
              <w:widowControl/>
              <w:spacing w:after="0" w:line="240" w:lineRule="auto"/>
              <w:jc w:val="center"/>
              <w:rPr>
                <w:rFonts w:eastAsia="Times New Roman" w:cs="Arial"/>
                <w:b/>
                <w:bCs/>
                <w:color w:val="FFFFFF"/>
                <w:sz w:val="14"/>
                <w:szCs w:val="14"/>
                <w:lang w:eastAsia="es-MX"/>
              </w:rPr>
            </w:pPr>
            <w:r w:rsidRPr="00E21E11">
              <w:rPr>
                <w:rFonts w:eastAsia="Times New Roman" w:cs="Arial"/>
                <w:b/>
                <w:bCs/>
                <w:color w:val="FFFFFF"/>
                <w:sz w:val="14"/>
                <w:szCs w:val="14"/>
                <w:lang w:eastAsia="es-MX"/>
              </w:rPr>
              <w:t xml:space="preserve">Economía </w:t>
            </w:r>
            <w:r w:rsidR="00C45A9B" w:rsidRPr="00E21E11">
              <w:rPr>
                <w:rFonts w:eastAsia="Times New Roman" w:cs="Arial"/>
                <w:b/>
                <w:bCs/>
                <w:color w:val="FFFFFF"/>
                <w:sz w:val="14"/>
                <w:szCs w:val="14"/>
                <w:lang w:eastAsia="es-MX"/>
              </w:rPr>
              <w:t>i</w:t>
            </w:r>
            <w:r w:rsidRPr="00E21E11">
              <w:rPr>
                <w:rFonts w:eastAsia="Times New Roman" w:cs="Arial"/>
                <w:b/>
                <w:bCs/>
                <w:color w:val="FFFFFF"/>
                <w:sz w:val="14"/>
                <w:szCs w:val="14"/>
                <w:lang w:eastAsia="es-MX"/>
              </w:rPr>
              <w:t>nterna</w:t>
            </w:r>
          </w:p>
        </w:tc>
        <w:tc>
          <w:tcPr>
            <w:tcW w:w="758" w:type="dxa"/>
            <w:tcBorders>
              <w:top w:val="single" w:sz="4" w:space="0" w:color="auto"/>
              <w:left w:val="nil"/>
              <w:bottom w:val="nil"/>
              <w:right w:val="nil"/>
            </w:tcBorders>
            <w:shd w:val="clear" w:color="000000" w:fill="203764"/>
            <w:vAlign w:val="center"/>
            <w:hideMark/>
          </w:tcPr>
          <w:p w14:paraId="0BADF95F" w14:textId="45D04923" w:rsidR="009B76AB" w:rsidRPr="00E21E11" w:rsidRDefault="009B76AB" w:rsidP="009B76AB">
            <w:pPr>
              <w:widowControl/>
              <w:spacing w:after="0" w:line="240" w:lineRule="auto"/>
              <w:jc w:val="center"/>
              <w:rPr>
                <w:rFonts w:eastAsia="Times New Roman" w:cs="Arial"/>
                <w:b/>
                <w:bCs/>
                <w:color w:val="FFFFFF"/>
                <w:sz w:val="14"/>
                <w:szCs w:val="14"/>
                <w:lang w:eastAsia="es-MX"/>
              </w:rPr>
            </w:pPr>
            <w:r w:rsidRPr="00E21E11">
              <w:rPr>
                <w:rFonts w:eastAsia="Times New Roman" w:cs="Arial"/>
                <w:b/>
                <w:bCs/>
                <w:color w:val="FFFFFF"/>
                <w:sz w:val="14"/>
                <w:szCs w:val="14"/>
                <w:lang w:eastAsia="es-MX"/>
              </w:rPr>
              <w:t xml:space="preserve">Resto del </w:t>
            </w:r>
            <w:r w:rsidR="00C45A9B" w:rsidRPr="00E21E11">
              <w:rPr>
                <w:rFonts w:eastAsia="Times New Roman" w:cs="Arial"/>
                <w:b/>
                <w:bCs/>
                <w:color w:val="FFFFFF"/>
                <w:sz w:val="14"/>
                <w:szCs w:val="14"/>
                <w:lang w:eastAsia="es-MX"/>
              </w:rPr>
              <w:t>m</w:t>
            </w:r>
            <w:r w:rsidRPr="00E21E11">
              <w:rPr>
                <w:rFonts w:eastAsia="Times New Roman" w:cs="Arial"/>
                <w:b/>
                <w:bCs/>
                <w:color w:val="FFFFFF"/>
                <w:sz w:val="14"/>
                <w:szCs w:val="14"/>
                <w:lang w:eastAsia="es-MX"/>
              </w:rPr>
              <w:t>undo</w:t>
            </w:r>
          </w:p>
        </w:tc>
        <w:tc>
          <w:tcPr>
            <w:tcW w:w="707" w:type="dxa"/>
            <w:tcBorders>
              <w:top w:val="single" w:sz="4" w:space="0" w:color="auto"/>
              <w:left w:val="nil"/>
              <w:bottom w:val="nil"/>
              <w:right w:val="single" w:sz="4" w:space="0" w:color="auto"/>
            </w:tcBorders>
            <w:shd w:val="clear" w:color="000000" w:fill="203764"/>
            <w:vAlign w:val="center"/>
            <w:hideMark/>
          </w:tcPr>
          <w:p w14:paraId="2C446DAE" w14:textId="77777777" w:rsidR="009B76AB" w:rsidRPr="00E21E11" w:rsidRDefault="009B76AB" w:rsidP="009B76AB">
            <w:pPr>
              <w:widowControl/>
              <w:spacing w:after="0" w:line="240" w:lineRule="auto"/>
              <w:jc w:val="center"/>
              <w:rPr>
                <w:rFonts w:eastAsia="Times New Roman" w:cs="Arial"/>
                <w:b/>
                <w:bCs/>
                <w:color w:val="FFFFFF"/>
                <w:sz w:val="14"/>
                <w:szCs w:val="14"/>
                <w:lang w:eastAsia="es-MX"/>
              </w:rPr>
            </w:pPr>
            <w:r w:rsidRPr="00E21E11">
              <w:rPr>
                <w:rFonts w:eastAsia="Times New Roman" w:cs="Arial"/>
                <w:b/>
                <w:bCs/>
                <w:color w:val="FFFFFF"/>
                <w:sz w:val="14"/>
                <w:szCs w:val="14"/>
                <w:lang w:eastAsia="es-MX"/>
              </w:rPr>
              <w:t>Total</w:t>
            </w:r>
          </w:p>
        </w:tc>
      </w:tr>
      <w:tr w:rsidR="009B76AB" w:rsidRPr="00E21E11" w14:paraId="37EBEA12" w14:textId="77777777" w:rsidTr="009B76AB">
        <w:trPr>
          <w:divId w:val="948121957"/>
          <w:trHeight w:val="480"/>
        </w:trPr>
        <w:tc>
          <w:tcPr>
            <w:tcW w:w="1196" w:type="dxa"/>
            <w:tcBorders>
              <w:top w:val="nil"/>
              <w:left w:val="single" w:sz="4" w:space="0" w:color="auto"/>
              <w:bottom w:val="nil"/>
              <w:right w:val="nil"/>
            </w:tcBorders>
            <w:shd w:val="clear" w:color="DDEBF7" w:fill="FFFFFF"/>
            <w:noWrap/>
            <w:vAlign w:val="center"/>
            <w:hideMark/>
          </w:tcPr>
          <w:p w14:paraId="57C19BD6"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1348" w:type="dxa"/>
            <w:tcBorders>
              <w:top w:val="nil"/>
              <w:left w:val="nil"/>
              <w:bottom w:val="nil"/>
              <w:right w:val="nil"/>
            </w:tcBorders>
            <w:shd w:val="clear" w:color="DDEBF7" w:fill="FFFFFF"/>
            <w:vAlign w:val="center"/>
            <w:hideMark/>
          </w:tcPr>
          <w:p w14:paraId="39843410" w14:textId="77777777" w:rsidR="009B76AB" w:rsidRPr="000C6BA3" w:rsidRDefault="009B76AB" w:rsidP="009B76AB">
            <w:pPr>
              <w:widowControl/>
              <w:spacing w:after="0" w:line="240" w:lineRule="auto"/>
              <w:rPr>
                <w:rFonts w:eastAsia="Times New Roman" w:cs="Arial"/>
                <w:b/>
                <w:bCs/>
                <w:color w:val="000000"/>
                <w:sz w:val="18"/>
                <w:szCs w:val="18"/>
                <w:lang w:eastAsia="es-MX"/>
              </w:rPr>
            </w:pPr>
            <w:r w:rsidRPr="000C6BA3">
              <w:rPr>
                <w:rFonts w:eastAsia="Times New Roman" w:cs="Arial"/>
                <w:b/>
                <w:bCs/>
                <w:color w:val="000000"/>
                <w:sz w:val="18"/>
                <w:szCs w:val="18"/>
                <w:lang w:eastAsia="es-MX"/>
              </w:rPr>
              <w:t>Recursos</w:t>
            </w:r>
          </w:p>
        </w:tc>
        <w:tc>
          <w:tcPr>
            <w:tcW w:w="1112" w:type="dxa"/>
            <w:tcBorders>
              <w:top w:val="nil"/>
              <w:left w:val="nil"/>
              <w:bottom w:val="nil"/>
              <w:right w:val="nil"/>
            </w:tcBorders>
            <w:shd w:val="clear" w:color="DDEBF7" w:fill="FFFFFF"/>
            <w:noWrap/>
            <w:vAlign w:val="bottom"/>
            <w:hideMark/>
          </w:tcPr>
          <w:p w14:paraId="1FCE230E"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1095" w:type="dxa"/>
            <w:tcBorders>
              <w:top w:val="nil"/>
              <w:left w:val="nil"/>
              <w:bottom w:val="nil"/>
              <w:right w:val="nil"/>
            </w:tcBorders>
            <w:shd w:val="clear" w:color="DDEBF7" w:fill="FFFFFF"/>
            <w:noWrap/>
            <w:vAlign w:val="bottom"/>
            <w:hideMark/>
          </w:tcPr>
          <w:p w14:paraId="42239060"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876" w:type="dxa"/>
            <w:tcBorders>
              <w:top w:val="nil"/>
              <w:left w:val="nil"/>
              <w:bottom w:val="nil"/>
              <w:right w:val="nil"/>
            </w:tcBorders>
            <w:shd w:val="clear" w:color="DDEBF7" w:fill="FFFFFF"/>
            <w:noWrap/>
            <w:vAlign w:val="bottom"/>
            <w:hideMark/>
          </w:tcPr>
          <w:p w14:paraId="696686DE"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741" w:type="dxa"/>
            <w:tcBorders>
              <w:top w:val="nil"/>
              <w:left w:val="nil"/>
              <w:bottom w:val="nil"/>
              <w:right w:val="nil"/>
            </w:tcBorders>
            <w:shd w:val="clear" w:color="DDEBF7" w:fill="FFFFFF"/>
            <w:noWrap/>
            <w:vAlign w:val="bottom"/>
            <w:hideMark/>
          </w:tcPr>
          <w:p w14:paraId="1D50E43E"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674" w:type="dxa"/>
            <w:tcBorders>
              <w:top w:val="nil"/>
              <w:left w:val="nil"/>
              <w:bottom w:val="nil"/>
              <w:right w:val="nil"/>
            </w:tcBorders>
            <w:shd w:val="clear" w:color="DDEBF7" w:fill="FFFFFF"/>
            <w:noWrap/>
            <w:vAlign w:val="bottom"/>
            <w:hideMark/>
          </w:tcPr>
          <w:p w14:paraId="4350E016"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1044" w:type="dxa"/>
            <w:tcBorders>
              <w:top w:val="nil"/>
              <w:left w:val="nil"/>
              <w:bottom w:val="nil"/>
              <w:right w:val="nil"/>
            </w:tcBorders>
            <w:shd w:val="clear" w:color="DDEBF7" w:fill="FFFFFF"/>
            <w:noWrap/>
            <w:vAlign w:val="bottom"/>
            <w:hideMark/>
          </w:tcPr>
          <w:p w14:paraId="10B1835D"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758" w:type="dxa"/>
            <w:tcBorders>
              <w:top w:val="nil"/>
              <w:left w:val="nil"/>
              <w:bottom w:val="nil"/>
              <w:right w:val="nil"/>
            </w:tcBorders>
            <w:shd w:val="clear" w:color="DDEBF7" w:fill="FFFFFF"/>
            <w:noWrap/>
            <w:vAlign w:val="bottom"/>
            <w:hideMark/>
          </w:tcPr>
          <w:p w14:paraId="05093253"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707" w:type="dxa"/>
            <w:tcBorders>
              <w:top w:val="nil"/>
              <w:left w:val="nil"/>
              <w:bottom w:val="nil"/>
              <w:right w:val="single" w:sz="4" w:space="0" w:color="auto"/>
            </w:tcBorders>
            <w:shd w:val="clear" w:color="DDEBF7" w:fill="FFFFFF"/>
            <w:noWrap/>
            <w:vAlign w:val="bottom"/>
            <w:hideMark/>
          </w:tcPr>
          <w:p w14:paraId="4CDC3BB8"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r>
      <w:tr w:rsidR="009B76AB" w:rsidRPr="00E21E11" w14:paraId="105C835C" w14:textId="77777777" w:rsidTr="009B76AB">
        <w:trPr>
          <w:divId w:val="948121957"/>
          <w:trHeight w:val="282"/>
        </w:trPr>
        <w:tc>
          <w:tcPr>
            <w:tcW w:w="1196" w:type="dxa"/>
            <w:tcBorders>
              <w:top w:val="nil"/>
              <w:left w:val="single" w:sz="4" w:space="0" w:color="auto"/>
              <w:bottom w:val="nil"/>
              <w:right w:val="nil"/>
            </w:tcBorders>
            <w:shd w:val="clear" w:color="000000" w:fill="FFFFFF"/>
            <w:noWrap/>
            <w:vAlign w:val="center"/>
            <w:hideMark/>
          </w:tcPr>
          <w:p w14:paraId="707F816A"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(1)</w:t>
            </w:r>
          </w:p>
        </w:tc>
        <w:tc>
          <w:tcPr>
            <w:tcW w:w="1348" w:type="dxa"/>
            <w:tcBorders>
              <w:top w:val="nil"/>
              <w:left w:val="nil"/>
              <w:bottom w:val="nil"/>
              <w:right w:val="nil"/>
            </w:tcBorders>
            <w:shd w:val="clear" w:color="000000" w:fill="FFFFFF"/>
            <w:vAlign w:val="bottom"/>
            <w:hideMark/>
          </w:tcPr>
          <w:p w14:paraId="6694A748"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Ahorro Bruto</w:t>
            </w:r>
          </w:p>
        </w:tc>
        <w:tc>
          <w:tcPr>
            <w:tcW w:w="1112" w:type="dxa"/>
            <w:tcBorders>
              <w:top w:val="nil"/>
              <w:left w:val="nil"/>
              <w:bottom w:val="nil"/>
              <w:right w:val="nil"/>
            </w:tcBorders>
            <w:shd w:val="clear" w:color="000000" w:fill="FFFFFF"/>
            <w:noWrap/>
            <w:vAlign w:val="bottom"/>
            <w:hideMark/>
          </w:tcPr>
          <w:p w14:paraId="6FE26506"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3.5</w:t>
            </w:r>
          </w:p>
        </w:tc>
        <w:tc>
          <w:tcPr>
            <w:tcW w:w="1095" w:type="dxa"/>
            <w:tcBorders>
              <w:top w:val="nil"/>
              <w:left w:val="nil"/>
              <w:bottom w:val="nil"/>
              <w:right w:val="nil"/>
            </w:tcBorders>
            <w:shd w:val="clear" w:color="000000" w:fill="FFFFFF"/>
            <w:noWrap/>
            <w:vAlign w:val="bottom"/>
            <w:hideMark/>
          </w:tcPr>
          <w:p w14:paraId="5B4A7849"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6.8</w:t>
            </w:r>
          </w:p>
        </w:tc>
        <w:tc>
          <w:tcPr>
            <w:tcW w:w="876" w:type="dxa"/>
            <w:tcBorders>
              <w:top w:val="nil"/>
              <w:left w:val="nil"/>
              <w:bottom w:val="nil"/>
              <w:right w:val="nil"/>
            </w:tcBorders>
            <w:shd w:val="clear" w:color="000000" w:fill="FFFFFF"/>
            <w:noWrap/>
            <w:vAlign w:val="bottom"/>
            <w:hideMark/>
          </w:tcPr>
          <w:p w14:paraId="52F571F1"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-4.1</w:t>
            </w:r>
          </w:p>
        </w:tc>
        <w:tc>
          <w:tcPr>
            <w:tcW w:w="741" w:type="dxa"/>
            <w:tcBorders>
              <w:top w:val="nil"/>
              <w:left w:val="nil"/>
              <w:bottom w:val="nil"/>
              <w:right w:val="nil"/>
            </w:tcBorders>
            <w:shd w:val="clear" w:color="000000" w:fill="FFFFFF"/>
            <w:noWrap/>
            <w:vAlign w:val="bottom"/>
            <w:hideMark/>
          </w:tcPr>
          <w:p w14:paraId="2D211A32"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17.6</w:t>
            </w:r>
          </w:p>
        </w:tc>
        <w:tc>
          <w:tcPr>
            <w:tcW w:w="674" w:type="dxa"/>
            <w:tcBorders>
              <w:top w:val="nil"/>
              <w:left w:val="nil"/>
              <w:bottom w:val="nil"/>
              <w:right w:val="nil"/>
            </w:tcBorders>
            <w:shd w:val="clear" w:color="000000" w:fill="FFFFFF"/>
            <w:noWrap/>
            <w:vAlign w:val="bottom"/>
            <w:hideMark/>
          </w:tcPr>
          <w:p w14:paraId="69F6BC5D"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0.4</w:t>
            </w:r>
          </w:p>
        </w:tc>
        <w:tc>
          <w:tcPr>
            <w:tcW w:w="1044" w:type="dxa"/>
            <w:tcBorders>
              <w:top w:val="nil"/>
              <w:left w:val="nil"/>
              <w:bottom w:val="nil"/>
              <w:right w:val="nil"/>
            </w:tcBorders>
            <w:shd w:val="clear" w:color="000000" w:fill="FFFFFF"/>
            <w:noWrap/>
            <w:vAlign w:val="bottom"/>
            <w:hideMark/>
          </w:tcPr>
          <w:p w14:paraId="39A53193"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24.3</w:t>
            </w:r>
          </w:p>
        </w:tc>
        <w:tc>
          <w:tcPr>
            <w:tcW w:w="758" w:type="dxa"/>
            <w:tcBorders>
              <w:top w:val="nil"/>
              <w:left w:val="nil"/>
              <w:bottom w:val="nil"/>
              <w:right w:val="nil"/>
            </w:tcBorders>
            <w:shd w:val="clear" w:color="000000" w:fill="FFFFFF"/>
            <w:noWrap/>
            <w:vAlign w:val="bottom"/>
            <w:hideMark/>
          </w:tcPr>
          <w:p w14:paraId="116B9C90"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0.4</w:t>
            </w:r>
          </w:p>
        </w:tc>
        <w:tc>
          <w:tcPr>
            <w:tcW w:w="707" w:type="dxa"/>
            <w:tcBorders>
              <w:top w:val="nil"/>
              <w:left w:val="nil"/>
              <w:bottom w:val="nil"/>
              <w:right w:val="single" w:sz="4" w:space="0" w:color="auto"/>
            </w:tcBorders>
            <w:shd w:val="clear" w:color="000000" w:fill="FFFFFF"/>
            <w:noWrap/>
            <w:vAlign w:val="bottom"/>
            <w:hideMark/>
          </w:tcPr>
          <w:p w14:paraId="6861F0B7"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24.7</w:t>
            </w:r>
          </w:p>
        </w:tc>
      </w:tr>
      <w:tr w:rsidR="009B76AB" w:rsidRPr="00E21E11" w14:paraId="59793C57" w14:textId="77777777" w:rsidTr="009B76AB">
        <w:trPr>
          <w:divId w:val="948121957"/>
          <w:trHeight w:val="466"/>
        </w:trPr>
        <w:tc>
          <w:tcPr>
            <w:tcW w:w="1196" w:type="dxa"/>
            <w:tcBorders>
              <w:top w:val="nil"/>
              <w:left w:val="single" w:sz="4" w:space="0" w:color="auto"/>
              <w:bottom w:val="nil"/>
              <w:right w:val="nil"/>
            </w:tcBorders>
            <w:shd w:val="clear" w:color="DDEBF7" w:fill="FFFFFF"/>
            <w:noWrap/>
            <w:vAlign w:val="center"/>
            <w:hideMark/>
          </w:tcPr>
          <w:p w14:paraId="482822F5"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(2)</w:t>
            </w:r>
          </w:p>
        </w:tc>
        <w:tc>
          <w:tcPr>
            <w:tcW w:w="1348" w:type="dxa"/>
            <w:tcBorders>
              <w:top w:val="nil"/>
              <w:left w:val="nil"/>
              <w:bottom w:val="nil"/>
              <w:right w:val="nil"/>
            </w:tcBorders>
            <w:shd w:val="clear" w:color="DDEBF7" w:fill="FFFFFF"/>
            <w:vAlign w:val="bottom"/>
            <w:hideMark/>
          </w:tcPr>
          <w:p w14:paraId="46D1F63B"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Transferencias netas de capital</w:t>
            </w:r>
          </w:p>
        </w:tc>
        <w:tc>
          <w:tcPr>
            <w:tcW w:w="1112" w:type="dxa"/>
            <w:tcBorders>
              <w:top w:val="nil"/>
              <w:left w:val="nil"/>
              <w:bottom w:val="nil"/>
              <w:right w:val="nil"/>
            </w:tcBorders>
            <w:shd w:val="clear" w:color="DDEBF7" w:fill="FFFFFF"/>
            <w:noWrap/>
            <w:vAlign w:val="bottom"/>
            <w:hideMark/>
          </w:tcPr>
          <w:p w14:paraId="7FE01E7B"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0.1</w:t>
            </w:r>
          </w:p>
        </w:tc>
        <w:tc>
          <w:tcPr>
            <w:tcW w:w="1095" w:type="dxa"/>
            <w:tcBorders>
              <w:top w:val="nil"/>
              <w:left w:val="nil"/>
              <w:bottom w:val="nil"/>
              <w:right w:val="nil"/>
            </w:tcBorders>
            <w:shd w:val="clear" w:color="DDEBF7" w:fill="FFFFFF"/>
            <w:noWrap/>
            <w:vAlign w:val="bottom"/>
            <w:hideMark/>
          </w:tcPr>
          <w:p w14:paraId="53FE47D9"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0.0</w:t>
            </w:r>
          </w:p>
        </w:tc>
        <w:tc>
          <w:tcPr>
            <w:tcW w:w="876" w:type="dxa"/>
            <w:tcBorders>
              <w:top w:val="nil"/>
              <w:left w:val="nil"/>
              <w:bottom w:val="nil"/>
              <w:right w:val="nil"/>
            </w:tcBorders>
            <w:shd w:val="clear" w:color="DDEBF7" w:fill="FFFFFF"/>
            <w:noWrap/>
            <w:vAlign w:val="bottom"/>
            <w:hideMark/>
          </w:tcPr>
          <w:p w14:paraId="5D1730B6"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-0.1</w:t>
            </w:r>
          </w:p>
        </w:tc>
        <w:tc>
          <w:tcPr>
            <w:tcW w:w="741" w:type="dxa"/>
            <w:tcBorders>
              <w:top w:val="nil"/>
              <w:left w:val="nil"/>
              <w:bottom w:val="nil"/>
              <w:right w:val="nil"/>
            </w:tcBorders>
            <w:shd w:val="clear" w:color="DDEBF7" w:fill="FFFFFF"/>
            <w:noWrap/>
            <w:vAlign w:val="bottom"/>
            <w:hideMark/>
          </w:tcPr>
          <w:p w14:paraId="5DB4B100"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0.0</w:t>
            </w:r>
          </w:p>
        </w:tc>
        <w:tc>
          <w:tcPr>
            <w:tcW w:w="674" w:type="dxa"/>
            <w:tcBorders>
              <w:top w:val="nil"/>
              <w:left w:val="nil"/>
              <w:bottom w:val="nil"/>
              <w:right w:val="nil"/>
            </w:tcBorders>
            <w:shd w:val="clear" w:color="DDEBF7" w:fill="FFFFFF"/>
            <w:noWrap/>
            <w:vAlign w:val="bottom"/>
            <w:hideMark/>
          </w:tcPr>
          <w:p w14:paraId="77F722A4"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0.0</w:t>
            </w:r>
          </w:p>
        </w:tc>
        <w:tc>
          <w:tcPr>
            <w:tcW w:w="1044" w:type="dxa"/>
            <w:tcBorders>
              <w:top w:val="nil"/>
              <w:left w:val="nil"/>
              <w:bottom w:val="nil"/>
              <w:right w:val="nil"/>
            </w:tcBorders>
            <w:shd w:val="clear" w:color="DDEBF7" w:fill="FFFFFF"/>
            <w:noWrap/>
            <w:vAlign w:val="bottom"/>
            <w:hideMark/>
          </w:tcPr>
          <w:p w14:paraId="5EF8DF05"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0.0</w:t>
            </w:r>
          </w:p>
        </w:tc>
        <w:tc>
          <w:tcPr>
            <w:tcW w:w="758" w:type="dxa"/>
            <w:tcBorders>
              <w:top w:val="nil"/>
              <w:left w:val="nil"/>
              <w:bottom w:val="nil"/>
              <w:right w:val="nil"/>
            </w:tcBorders>
            <w:shd w:val="clear" w:color="DDEBF7" w:fill="FFFFFF"/>
            <w:noWrap/>
            <w:vAlign w:val="bottom"/>
            <w:hideMark/>
          </w:tcPr>
          <w:p w14:paraId="0C909CF5"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707" w:type="dxa"/>
            <w:tcBorders>
              <w:top w:val="nil"/>
              <w:left w:val="nil"/>
              <w:bottom w:val="nil"/>
              <w:right w:val="single" w:sz="4" w:space="0" w:color="auto"/>
            </w:tcBorders>
            <w:shd w:val="clear" w:color="DDEBF7" w:fill="FFFFFF"/>
            <w:noWrap/>
            <w:vAlign w:val="bottom"/>
            <w:hideMark/>
          </w:tcPr>
          <w:p w14:paraId="22E22A30"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0.0</w:t>
            </w:r>
          </w:p>
        </w:tc>
      </w:tr>
      <w:tr w:rsidR="009B76AB" w:rsidRPr="00E21E11" w14:paraId="5EC34A10" w14:textId="77777777" w:rsidTr="009B76AB">
        <w:trPr>
          <w:divId w:val="948121957"/>
          <w:trHeight w:val="282"/>
        </w:trPr>
        <w:tc>
          <w:tcPr>
            <w:tcW w:w="1196" w:type="dxa"/>
            <w:tcBorders>
              <w:top w:val="nil"/>
              <w:left w:val="single" w:sz="4" w:space="0" w:color="auto"/>
              <w:bottom w:val="nil"/>
              <w:right w:val="nil"/>
            </w:tcBorders>
            <w:shd w:val="clear" w:color="000000" w:fill="FFFFFF"/>
            <w:noWrap/>
            <w:vAlign w:val="center"/>
            <w:hideMark/>
          </w:tcPr>
          <w:p w14:paraId="1B0CCBB2"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1348" w:type="dxa"/>
            <w:tcBorders>
              <w:top w:val="nil"/>
              <w:left w:val="nil"/>
              <w:bottom w:val="nil"/>
              <w:right w:val="nil"/>
            </w:tcBorders>
            <w:shd w:val="clear" w:color="000000" w:fill="FFFFFF"/>
            <w:vAlign w:val="center"/>
            <w:hideMark/>
          </w:tcPr>
          <w:p w14:paraId="54EF2954" w14:textId="77777777" w:rsidR="009B76AB" w:rsidRPr="000C6BA3" w:rsidRDefault="009B76AB" w:rsidP="009B76AB">
            <w:pPr>
              <w:widowControl/>
              <w:spacing w:after="0" w:line="240" w:lineRule="auto"/>
              <w:rPr>
                <w:rFonts w:eastAsia="Times New Roman" w:cs="Arial"/>
                <w:b/>
                <w:bCs/>
                <w:color w:val="000000"/>
                <w:sz w:val="18"/>
                <w:szCs w:val="18"/>
                <w:lang w:eastAsia="es-MX"/>
              </w:rPr>
            </w:pPr>
            <w:r w:rsidRPr="000C6BA3">
              <w:rPr>
                <w:rFonts w:eastAsia="Times New Roman" w:cs="Arial"/>
                <w:b/>
                <w:bCs/>
                <w:color w:val="000000"/>
                <w:sz w:val="18"/>
                <w:szCs w:val="18"/>
                <w:lang w:eastAsia="es-MX"/>
              </w:rPr>
              <w:t>Usos</w:t>
            </w:r>
          </w:p>
        </w:tc>
        <w:tc>
          <w:tcPr>
            <w:tcW w:w="1112" w:type="dxa"/>
            <w:tcBorders>
              <w:top w:val="nil"/>
              <w:left w:val="nil"/>
              <w:bottom w:val="nil"/>
              <w:right w:val="nil"/>
            </w:tcBorders>
            <w:shd w:val="clear" w:color="000000" w:fill="FFFFFF"/>
            <w:noWrap/>
            <w:vAlign w:val="bottom"/>
            <w:hideMark/>
          </w:tcPr>
          <w:p w14:paraId="76116829"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1095" w:type="dxa"/>
            <w:tcBorders>
              <w:top w:val="nil"/>
              <w:left w:val="nil"/>
              <w:bottom w:val="nil"/>
              <w:right w:val="nil"/>
            </w:tcBorders>
            <w:shd w:val="clear" w:color="000000" w:fill="FFFFFF"/>
            <w:noWrap/>
            <w:vAlign w:val="bottom"/>
            <w:hideMark/>
          </w:tcPr>
          <w:p w14:paraId="14D5D546"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876" w:type="dxa"/>
            <w:tcBorders>
              <w:top w:val="nil"/>
              <w:left w:val="nil"/>
              <w:bottom w:val="nil"/>
              <w:right w:val="nil"/>
            </w:tcBorders>
            <w:shd w:val="clear" w:color="000000" w:fill="FFFFFF"/>
            <w:noWrap/>
            <w:vAlign w:val="bottom"/>
            <w:hideMark/>
          </w:tcPr>
          <w:p w14:paraId="6A6392F4"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741" w:type="dxa"/>
            <w:tcBorders>
              <w:top w:val="nil"/>
              <w:left w:val="nil"/>
              <w:bottom w:val="nil"/>
              <w:right w:val="nil"/>
            </w:tcBorders>
            <w:shd w:val="clear" w:color="000000" w:fill="FFFFFF"/>
            <w:noWrap/>
            <w:vAlign w:val="bottom"/>
            <w:hideMark/>
          </w:tcPr>
          <w:p w14:paraId="09098125"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674" w:type="dxa"/>
            <w:tcBorders>
              <w:top w:val="nil"/>
              <w:left w:val="nil"/>
              <w:bottom w:val="nil"/>
              <w:right w:val="nil"/>
            </w:tcBorders>
            <w:shd w:val="clear" w:color="000000" w:fill="FFFFFF"/>
            <w:noWrap/>
            <w:vAlign w:val="bottom"/>
            <w:hideMark/>
          </w:tcPr>
          <w:p w14:paraId="4CAC2E80"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1044" w:type="dxa"/>
            <w:tcBorders>
              <w:top w:val="nil"/>
              <w:left w:val="nil"/>
              <w:bottom w:val="nil"/>
              <w:right w:val="nil"/>
            </w:tcBorders>
            <w:shd w:val="clear" w:color="000000" w:fill="FFFFFF"/>
            <w:noWrap/>
            <w:vAlign w:val="bottom"/>
            <w:hideMark/>
          </w:tcPr>
          <w:p w14:paraId="0480B7F9"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758" w:type="dxa"/>
            <w:tcBorders>
              <w:top w:val="nil"/>
              <w:left w:val="nil"/>
              <w:bottom w:val="nil"/>
              <w:right w:val="nil"/>
            </w:tcBorders>
            <w:shd w:val="clear" w:color="000000" w:fill="FFFFFF"/>
            <w:noWrap/>
            <w:vAlign w:val="bottom"/>
            <w:hideMark/>
          </w:tcPr>
          <w:p w14:paraId="591E8C45"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707" w:type="dxa"/>
            <w:tcBorders>
              <w:top w:val="nil"/>
              <w:left w:val="nil"/>
              <w:bottom w:val="nil"/>
              <w:right w:val="single" w:sz="4" w:space="0" w:color="auto"/>
            </w:tcBorders>
            <w:shd w:val="clear" w:color="000000" w:fill="FFFFFF"/>
            <w:noWrap/>
            <w:vAlign w:val="bottom"/>
            <w:hideMark/>
          </w:tcPr>
          <w:p w14:paraId="03F8117B"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r>
      <w:tr w:rsidR="009B76AB" w:rsidRPr="00E21E11" w14:paraId="3119638F" w14:textId="77777777" w:rsidTr="009B76AB">
        <w:trPr>
          <w:divId w:val="948121957"/>
          <w:trHeight w:val="480"/>
        </w:trPr>
        <w:tc>
          <w:tcPr>
            <w:tcW w:w="1196" w:type="dxa"/>
            <w:tcBorders>
              <w:top w:val="nil"/>
              <w:left w:val="single" w:sz="4" w:space="0" w:color="auto"/>
              <w:bottom w:val="nil"/>
              <w:right w:val="nil"/>
            </w:tcBorders>
            <w:shd w:val="clear" w:color="DDEBF7" w:fill="DDEBF7"/>
            <w:noWrap/>
            <w:vAlign w:val="center"/>
            <w:hideMark/>
          </w:tcPr>
          <w:p w14:paraId="04FD325D"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(3)</w:t>
            </w:r>
          </w:p>
        </w:tc>
        <w:tc>
          <w:tcPr>
            <w:tcW w:w="1348" w:type="dxa"/>
            <w:tcBorders>
              <w:top w:val="nil"/>
              <w:left w:val="nil"/>
              <w:bottom w:val="nil"/>
              <w:right w:val="nil"/>
            </w:tcBorders>
            <w:shd w:val="clear" w:color="DDEBF7" w:fill="DDEBF7"/>
            <w:vAlign w:val="bottom"/>
            <w:hideMark/>
          </w:tcPr>
          <w:p w14:paraId="0081D881"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Activos no</w:t>
            </w:r>
            <w:r w:rsidRPr="000C6BA3">
              <w:rPr>
                <w:rFonts w:eastAsia="Times New Roman" w:cs="Arial"/>
                <w:color w:val="000000"/>
                <w:sz w:val="18"/>
                <w:szCs w:val="18"/>
                <w:lang w:eastAsia="es-MX"/>
              </w:rPr>
              <w:br/>
              <w:t>financieros*</w:t>
            </w:r>
          </w:p>
        </w:tc>
        <w:tc>
          <w:tcPr>
            <w:tcW w:w="1112" w:type="dxa"/>
            <w:tcBorders>
              <w:top w:val="nil"/>
              <w:left w:val="nil"/>
              <w:bottom w:val="nil"/>
              <w:right w:val="nil"/>
            </w:tcBorders>
            <w:shd w:val="clear" w:color="DDEBF7" w:fill="DDEBF7"/>
            <w:noWrap/>
            <w:vAlign w:val="bottom"/>
            <w:hideMark/>
          </w:tcPr>
          <w:p w14:paraId="105B819E"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16.9</w:t>
            </w:r>
          </w:p>
        </w:tc>
        <w:tc>
          <w:tcPr>
            <w:tcW w:w="1095" w:type="dxa"/>
            <w:tcBorders>
              <w:top w:val="nil"/>
              <w:left w:val="nil"/>
              <w:bottom w:val="nil"/>
              <w:right w:val="nil"/>
            </w:tcBorders>
            <w:shd w:val="clear" w:color="DDEBF7" w:fill="DDEBF7"/>
            <w:noWrap/>
            <w:vAlign w:val="bottom"/>
            <w:hideMark/>
          </w:tcPr>
          <w:p w14:paraId="21883915"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0.1</w:t>
            </w:r>
          </w:p>
        </w:tc>
        <w:tc>
          <w:tcPr>
            <w:tcW w:w="876" w:type="dxa"/>
            <w:tcBorders>
              <w:top w:val="nil"/>
              <w:left w:val="nil"/>
              <w:bottom w:val="nil"/>
              <w:right w:val="nil"/>
            </w:tcBorders>
            <w:shd w:val="clear" w:color="DDEBF7" w:fill="DDEBF7"/>
            <w:noWrap/>
            <w:vAlign w:val="bottom"/>
            <w:hideMark/>
          </w:tcPr>
          <w:p w14:paraId="02029FD4"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1.7</w:t>
            </w:r>
          </w:p>
        </w:tc>
        <w:tc>
          <w:tcPr>
            <w:tcW w:w="741" w:type="dxa"/>
            <w:tcBorders>
              <w:top w:val="nil"/>
              <w:left w:val="nil"/>
              <w:bottom w:val="nil"/>
              <w:right w:val="nil"/>
            </w:tcBorders>
            <w:shd w:val="clear" w:color="DDEBF7" w:fill="DDEBF7"/>
            <w:noWrap/>
            <w:vAlign w:val="bottom"/>
            <w:hideMark/>
          </w:tcPr>
          <w:p w14:paraId="39BA44E5"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5.9</w:t>
            </w:r>
          </w:p>
        </w:tc>
        <w:tc>
          <w:tcPr>
            <w:tcW w:w="674" w:type="dxa"/>
            <w:tcBorders>
              <w:top w:val="nil"/>
              <w:left w:val="nil"/>
              <w:bottom w:val="nil"/>
              <w:right w:val="nil"/>
            </w:tcBorders>
            <w:shd w:val="clear" w:color="DDEBF7" w:fill="DDEBF7"/>
            <w:noWrap/>
            <w:vAlign w:val="bottom"/>
            <w:hideMark/>
          </w:tcPr>
          <w:p w14:paraId="39F1E238"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0.0</w:t>
            </w:r>
          </w:p>
        </w:tc>
        <w:tc>
          <w:tcPr>
            <w:tcW w:w="1044" w:type="dxa"/>
            <w:tcBorders>
              <w:top w:val="nil"/>
              <w:left w:val="nil"/>
              <w:bottom w:val="nil"/>
              <w:right w:val="nil"/>
            </w:tcBorders>
            <w:shd w:val="clear" w:color="DDEBF7" w:fill="DDEBF7"/>
            <w:noWrap/>
            <w:vAlign w:val="bottom"/>
            <w:hideMark/>
          </w:tcPr>
          <w:p w14:paraId="0F80490D"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24.7</w:t>
            </w:r>
          </w:p>
        </w:tc>
        <w:tc>
          <w:tcPr>
            <w:tcW w:w="758" w:type="dxa"/>
            <w:tcBorders>
              <w:top w:val="nil"/>
              <w:left w:val="nil"/>
              <w:bottom w:val="nil"/>
              <w:right w:val="nil"/>
            </w:tcBorders>
            <w:shd w:val="clear" w:color="DDEBF7" w:fill="DDEBF7"/>
            <w:noWrap/>
            <w:vAlign w:val="bottom"/>
            <w:hideMark/>
          </w:tcPr>
          <w:p w14:paraId="477F2EDF"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707" w:type="dxa"/>
            <w:tcBorders>
              <w:top w:val="nil"/>
              <w:left w:val="nil"/>
              <w:bottom w:val="nil"/>
              <w:right w:val="single" w:sz="4" w:space="0" w:color="auto"/>
            </w:tcBorders>
            <w:shd w:val="clear" w:color="DDEBF7" w:fill="DDEBF7"/>
            <w:noWrap/>
            <w:vAlign w:val="bottom"/>
            <w:hideMark/>
          </w:tcPr>
          <w:p w14:paraId="7535EEDC"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24.7</w:t>
            </w:r>
          </w:p>
        </w:tc>
      </w:tr>
      <w:tr w:rsidR="009B76AB" w:rsidRPr="00E21E11" w14:paraId="5F0FC640" w14:textId="77777777" w:rsidTr="009B76AB">
        <w:trPr>
          <w:divId w:val="948121957"/>
          <w:trHeight w:val="211"/>
        </w:trPr>
        <w:tc>
          <w:tcPr>
            <w:tcW w:w="1196" w:type="dxa"/>
            <w:tcBorders>
              <w:top w:val="nil"/>
              <w:left w:val="single" w:sz="4" w:space="0" w:color="auto"/>
              <w:bottom w:val="nil"/>
              <w:right w:val="nil"/>
            </w:tcBorders>
            <w:shd w:val="clear" w:color="DDEBF7" w:fill="FFFFFF"/>
            <w:noWrap/>
            <w:vAlign w:val="center"/>
            <w:hideMark/>
          </w:tcPr>
          <w:p w14:paraId="360D45AF"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1348" w:type="dxa"/>
            <w:tcBorders>
              <w:top w:val="nil"/>
              <w:left w:val="nil"/>
              <w:bottom w:val="nil"/>
              <w:right w:val="nil"/>
            </w:tcBorders>
            <w:shd w:val="clear" w:color="DDEBF7" w:fill="FFFFFF"/>
            <w:vAlign w:val="bottom"/>
            <w:hideMark/>
          </w:tcPr>
          <w:p w14:paraId="36371128"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1112" w:type="dxa"/>
            <w:tcBorders>
              <w:top w:val="nil"/>
              <w:left w:val="nil"/>
              <w:bottom w:val="nil"/>
              <w:right w:val="nil"/>
            </w:tcBorders>
            <w:shd w:val="clear" w:color="DDEBF7" w:fill="FFFFFF"/>
            <w:noWrap/>
            <w:vAlign w:val="bottom"/>
            <w:hideMark/>
          </w:tcPr>
          <w:p w14:paraId="799A096A"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1095" w:type="dxa"/>
            <w:tcBorders>
              <w:top w:val="nil"/>
              <w:left w:val="nil"/>
              <w:bottom w:val="nil"/>
              <w:right w:val="nil"/>
            </w:tcBorders>
            <w:shd w:val="clear" w:color="DDEBF7" w:fill="FFFFFF"/>
            <w:noWrap/>
            <w:vAlign w:val="bottom"/>
            <w:hideMark/>
          </w:tcPr>
          <w:p w14:paraId="25681834"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876" w:type="dxa"/>
            <w:tcBorders>
              <w:top w:val="nil"/>
              <w:left w:val="nil"/>
              <w:bottom w:val="nil"/>
              <w:right w:val="nil"/>
            </w:tcBorders>
            <w:shd w:val="clear" w:color="DDEBF7" w:fill="FFFFFF"/>
            <w:noWrap/>
            <w:vAlign w:val="bottom"/>
            <w:hideMark/>
          </w:tcPr>
          <w:p w14:paraId="25753D90"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741" w:type="dxa"/>
            <w:tcBorders>
              <w:top w:val="nil"/>
              <w:left w:val="nil"/>
              <w:bottom w:val="nil"/>
              <w:right w:val="nil"/>
            </w:tcBorders>
            <w:shd w:val="clear" w:color="DDEBF7" w:fill="FFFFFF"/>
            <w:noWrap/>
            <w:vAlign w:val="bottom"/>
            <w:hideMark/>
          </w:tcPr>
          <w:p w14:paraId="1DC77968"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674" w:type="dxa"/>
            <w:tcBorders>
              <w:top w:val="nil"/>
              <w:left w:val="nil"/>
              <w:bottom w:val="nil"/>
              <w:right w:val="nil"/>
            </w:tcBorders>
            <w:shd w:val="clear" w:color="DDEBF7" w:fill="FFFFFF"/>
            <w:noWrap/>
            <w:vAlign w:val="bottom"/>
            <w:hideMark/>
          </w:tcPr>
          <w:p w14:paraId="08895830"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1044" w:type="dxa"/>
            <w:tcBorders>
              <w:top w:val="nil"/>
              <w:left w:val="nil"/>
              <w:bottom w:val="nil"/>
              <w:right w:val="nil"/>
            </w:tcBorders>
            <w:shd w:val="clear" w:color="DDEBF7" w:fill="FFFFFF"/>
            <w:noWrap/>
            <w:vAlign w:val="bottom"/>
            <w:hideMark/>
          </w:tcPr>
          <w:p w14:paraId="1808CEE8"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758" w:type="dxa"/>
            <w:tcBorders>
              <w:top w:val="nil"/>
              <w:left w:val="nil"/>
              <w:bottom w:val="nil"/>
              <w:right w:val="nil"/>
            </w:tcBorders>
            <w:shd w:val="clear" w:color="DDEBF7" w:fill="FFFFFF"/>
            <w:noWrap/>
            <w:vAlign w:val="bottom"/>
            <w:hideMark/>
          </w:tcPr>
          <w:p w14:paraId="24F646DE"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c>
          <w:tcPr>
            <w:tcW w:w="707" w:type="dxa"/>
            <w:tcBorders>
              <w:top w:val="nil"/>
              <w:left w:val="nil"/>
              <w:bottom w:val="nil"/>
              <w:right w:val="single" w:sz="4" w:space="0" w:color="auto"/>
            </w:tcBorders>
            <w:shd w:val="clear" w:color="DDEBF7" w:fill="FFFFFF"/>
            <w:noWrap/>
            <w:vAlign w:val="bottom"/>
            <w:hideMark/>
          </w:tcPr>
          <w:p w14:paraId="1709690D"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 </w:t>
            </w:r>
          </w:p>
        </w:tc>
      </w:tr>
      <w:tr w:rsidR="009B76AB" w:rsidRPr="00E21E11" w14:paraId="0B650D5D" w14:textId="77777777" w:rsidTr="009B76AB">
        <w:trPr>
          <w:divId w:val="948121957"/>
          <w:trHeight w:val="466"/>
        </w:trPr>
        <w:tc>
          <w:tcPr>
            <w:tcW w:w="1196" w:type="dxa"/>
            <w:tcBorders>
              <w:top w:val="nil"/>
              <w:left w:val="single" w:sz="4" w:space="0" w:color="auto"/>
              <w:bottom w:val="nil"/>
              <w:right w:val="nil"/>
            </w:tcBorders>
            <w:shd w:val="clear" w:color="000000" w:fill="FCE4D6"/>
            <w:noWrap/>
            <w:vAlign w:val="center"/>
            <w:hideMark/>
          </w:tcPr>
          <w:p w14:paraId="7B357DBB"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(4)=(1)+(2)-(3)</w:t>
            </w:r>
          </w:p>
        </w:tc>
        <w:tc>
          <w:tcPr>
            <w:tcW w:w="1348" w:type="dxa"/>
            <w:tcBorders>
              <w:top w:val="nil"/>
              <w:left w:val="nil"/>
              <w:bottom w:val="nil"/>
              <w:right w:val="nil"/>
            </w:tcBorders>
            <w:shd w:val="clear" w:color="000000" w:fill="FCE4D6"/>
            <w:vAlign w:val="bottom"/>
            <w:hideMark/>
          </w:tcPr>
          <w:p w14:paraId="4E257222" w14:textId="62928D98"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 xml:space="preserve">Necesidades de </w:t>
            </w:r>
            <w:r w:rsidR="00C45A9B" w:rsidRPr="000C6BA3">
              <w:rPr>
                <w:rFonts w:eastAsia="Times New Roman" w:cs="Arial"/>
                <w:color w:val="000000"/>
                <w:sz w:val="18"/>
                <w:szCs w:val="18"/>
                <w:lang w:eastAsia="es-MX"/>
              </w:rPr>
              <w:t>f</w:t>
            </w:r>
            <w:r w:rsidRPr="000C6BA3">
              <w:rPr>
                <w:rFonts w:eastAsia="Times New Roman" w:cs="Arial"/>
                <w:color w:val="000000"/>
                <w:sz w:val="18"/>
                <w:szCs w:val="18"/>
                <w:lang w:eastAsia="es-MX"/>
              </w:rPr>
              <w:t>inanciamiento</w:t>
            </w:r>
          </w:p>
        </w:tc>
        <w:tc>
          <w:tcPr>
            <w:tcW w:w="1112" w:type="dxa"/>
            <w:tcBorders>
              <w:top w:val="nil"/>
              <w:left w:val="nil"/>
              <w:bottom w:val="nil"/>
              <w:right w:val="nil"/>
            </w:tcBorders>
            <w:shd w:val="clear" w:color="000000" w:fill="FCE4D6"/>
            <w:noWrap/>
            <w:vAlign w:val="bottom"/>
            <w:hideMark/>
          </w:tcPr>
          <w:p w14:paraId="0D985E4B"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-13.3</w:t>
            </w:r>
          </w:p>
        </w:tc>
        <w:tc>
          <w:tcPr>
            <w:tcW w:w="1095" w:type="dxa"/>
            <w:tcBorders>
              <w:top w:val="nil"/>
              <w:left w:val="nil"/>
              <w:bottom w:val="nil"/>
              <w:right w:val="nil"/>
            </w:tcBorders>
            <w:shd w:val="clear" w:color="000000" w:fill="FCE4D6"/>
            <w:noWrap/>
            <w:vAlign w:val="bottom"/>
            <w:hideMark/>
          </w:tcPr>
          <w:p w14:paraId="296611DA"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6.7</w:t>
            </w:r>
          </w:p>
        </w:tc>
        <w:tc>
          <w:tcPr>
            <w:tcW w:w="876" w:type="dxa"/>
            <w:tcBorders>
              <w:top w:val="nil"/>
              <w:left w:val="nil"/>
              <w:bottom w:val="nil"/>
              <w:right w:val="nil"/>
            </w:tcBorders>
            <w:shd w:val="clear" w:color="000000" w:fill="FCE4D6"/>
            <w:noWrap/>
            <w:vAlign w:val="bottom"/>
            <w:hideMark/>
          </w:tcPr>
          <w:p w14:paraId="4BC7B149"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-6.0</w:t>
            </w:r>
          </w:p>
        </w:tc>
        <w:tc>
          <w:tcPr>
            <w:tcW w:w="741" w:type="dxa"/>
            <w:tcBorders>
              <w:top w:val="nil"/>
              <w:left w:val="nil"/>
              <w:bottom w:val="nil"/>
              <w:right w:val="nil"/>
            </w:tcBorders>
            <w:shd w:val="clear" w:color="000000" w:fill="FCE4D6"/>
            <w:noWrap/>
            <w:vAlign w:val="bottom"/>
            <w:hideMark/>
          </w:tcPr>
          <w:p w14:paraId="46E9163C"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11.7</w:t>
            </w:r>
          </w:p>
        </w:tc>
        <w:tc>
          <w:tcPr>
            <w:tcW w:w="674" w:type="dxa"/>
            <w:tcBorders>
              <w:top w:val="nil"/>
              <w:left w:val="nil"/>
              <w:bottom w:val="nil"/>
              <w:right w:val="nil"/>
            </w:tcBorders>
            <w:shd w:val="clear" w:color="000000" w:fill="FCE4D6"/>
            <w:noWrap/>
            <w:vAlign w:val="bottom"/>
            <w:hideMark/>
          </w:tcPr>
          <w:p w14:paraId="7706D808"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0.4</w:t>
            </w:r>
          </w:p>
        </w:tc>
        <w:tc>
          <w:tcPr>
            <w:tcW w:w="1044" w:type="dxa"/>
            <w:tcBorders>
              <w:top w:val="nil"/>
              <w:left w:val="nil"/>
              <w:bottom w:val="nil"/>
              <w:right w:val="nil"/>
            </w:tcBorders>
            <w:shd w:val="clear" w:color="000000" w:fill="FCE4D6"/>
            <w:noWrap/>
            <w:vAlign w:val="bottom"/>
            <w:hideMark/>
          </w:tcPr>
          <w:p w14:paraId="5C9A9BBF"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-0.4</w:t>
            </w:r>
          </w:p>
        </w:tc>
        <w:tc>
          <w:tcPr>
            <w:tcW w:w="758" w:type="dxa"/>
            <w:tcBorders>
              <w:top w:val="nil"/>
              <w:left w:val="nil"/>
              <w:bottom w:val="nil"/>
              <w:right w:val="nil"/>
            </w:tcBorders>
            <w:shd w:val="clear" w:color="000000" w:fill="FCE4D6"/>
            <w:noWrap/>
            <w:vAlign w:val="bottom"/>
            <w:hideMark/>
          </w:tcPr>
          <w:p w14:paraId="3255DD82"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0.4</w:t>
            </w:r>
          </w:p>
        </w:tc>
        <w:tc>
          <w:tcPr>
            <w:tcW w:w="707" w:type="dxa"/>
            <w:tcBorders>
              <w:top w:val="nil"/>
              <w:left w:val="nil"/>
              <w:bottom w:val="nil"/>
              <w:right w:val="single" w:sz="4" w:space="0" w:color="auto"/>
            </w:tcBorders>
            <w:shd w:val="clear" w:color="000000" w:fill="FCE4D6"/>
            <w:noWrap/>
            <w:vAlign w:val="bottom"/>
            <w:hideMark/>
          </w:tcPr>
          <w:p w14:paraId="231F8604"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0.0</w:t>
            </w:r>
          </w:p>
        </w:tc>
      </w:tr>
      <w:tr w:rsidR="009B76AB" w:rsidRPr="00E21E11" w14:paraId="5E6985CC" w14:textId="77777777" w:rsidTr="009B76AB">
        <w:trPr>
          <w:divId w:val="948121957"/>
          <w:trHeight w:val="692"/>
        </w:trPr>
        <w:tc>
          <w:tcPr>
            <w:tcW w:w="1196" w:type="dxa"/>
            <w:tcBorders>
              <w:top w:val="nil"/>
              <w:left w:val="single" w:sz="4" w:space="0" w:color="auto"/>
              <w:bottom w:val="nil"/>
              <w:right w:val="nil"/>
            </w:tcBorders>
            <w:shd w:val="clear" w:color="DDEBF7" w:fill="FFFFFF"/>
            <w:noWrap/>
            <w:vAlign w:val="center"/>
            <w:hideMark/>
          </w:tcPr>
          <w:p w14:paraId="3EBE6E52"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(5)</w:t>
            </w:r>
          </w:p>
        </w:tc>
        <w:tc>
          <w:tcPr>
            <w:tcW w:w="1348" w:type="dxa"/>
            <w:tcBorders>
              <w:top w:val="nil"/>
              <w:left w:val="nil"/>
              <w:bottom w:val="nil"/>
              <w:right w:val="nil"/>
            </w:tcBorders>
            <w:shd w:val="clear" w:color="DDEBF7" w:fill="FFFFFF"/>
            <w:vAlign w:val="bottom"/>
            <w:hideMark/>
          </w:tcPr>
          <w:p w14:paraId="2A9B08D9"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Adquisición de activos financieros</w:t>
            </w:r>
          </w:p>
        </w:tc>
        <w:tc>
          <w:tcPr>
            <w:tcW w:w="1112" w:type="dxa"/>
            <w:tcBorders>
              <w:top w:val="nil"/>
              <w:left w:val="nil"/>
              <w:bottom w:val="nil"/>
              <w:right w:val="nil"/>
            </w:tcBorders>
            <w:shd w:val="clear" w:color="DDEBF7" w:fill="FFFFFF"/>
            <w:noWrap/>
            <w:vAlign w:val="bottom"/>
            <w:hideMark/>
          </w:tcPr>
          <w:p w14:paraId="18AF2422"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-2.2</w:t>
            </w:r>
          </w:p>
        </w:tc>
        <w:tc>
          <w:tcPr>
            <w:tcW w:w="1095" w:type="dxa"/>
            <w:tcBorders>
              <w:top w:val="nil"/>
              <w:left w:val="nil"/>
              <w:bottom w:val="nil"/>
              <w:right w:val="nil"/>
            </w:tcBorders>
            <w:shd w:val="clear" w:color="DDEBF7" w:fill="FFFFFF"/>
            <w:noWrap/>
            <w:vAlign w:val="bottom"/>
            <w:hideMark/>
          </w:tcPr>
          <w:p w14:paraId="1209E1C7"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5.5</w:t>
            </w:r>
          </w:p>
        </w:tc>
        <w:tc>
          <w:tcPr>
            <w:tcW w:w="876" w:type="dxa"/>
            <w:tcBorders>
              <w:top w:val="nil"/>
              <w:left w:val="nil"/>
              <w:bottom w:val="nil"/>
              <w:right w:val="nil"/>
            </w:tcBorders>
            <w:shd w:val="clear" w:color="DDEBF7" w:fill="FFFFFF"/>
            <w:noWrap/>
            <w:vAlign w:val="bottom"/>
            <w:hideMark/>
          </w:tcPr>
          <w:p w14:paraId="20275654"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-1.5</w:t>
            </w:r>
          </w:p>
        </w:tc>
        <w:tc>
          <w:tcPr>
            <w:tcW w:w="741" w:type="dxa"/>
            <w:tcBorders>
              <w:top w:val="nil"/>
              <w:left w:val="nil"/>
              <w:bottom w:val="nil"/>
              <w:right w:val="nil"/>
            </w:tcBorders>
            <w:shd w:val="clear" w:color="DDEBF7" w:fill="FFFFFF"/>
            <w:noWrap/>
            <w:vAlign w:val="bottom"/>
            <w:hideMark/>
          </w:tcPr>
          <w:p w14:paraId="20278F7D"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9.5</w:t>
            </w:r>
          </w:p>
        </w:tc>
        <w:tc>
          <w:tcPr>
            <w:tcW w:w="674" w:type="dxa"/>
            <w:tcBorders>
              <w:top w:val="nil"/>
              <w:left w:val="nil"/>
              <w:bottom w:val="nil"/>
              <w:right w:val="nil"/>
            </w:tcBorders>
            <w:shd w:val="clear" w:color="DDEBF7" w:fill="FFFFFF"/>
            <w:noWrap/>
            <w:vAlign w:val="bottom"/>
            <w:hideMark/>
          </w:tcPr>
          <w:p w14:paraId="28B86004"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0.0</w:t>
            </w:r>
          </w:p>
        </w:tc>
        <w:tc>
          <w:tcPr>
            <w:tcW w:w="1044" w:type="dxa"/>
            <w:tcBorders>
              <w:top w:val="nil"/>
              <w:left w:val="nil"/>
              <w:bottom w:val="nil"/>
              <w:right w:val="nil"/>
            </w:tcBorders>
            <w:shd w:val="clear" w:color="DDEBF7" w:fill="FFFFFF"/>
            <w:noWrap/>
            <w:vAlign w:val="bottom"/>
            <w:hideMark/>
          </w:tcPr>
          <w:p w14:paraId="4448365F"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11.2</w:t>
            </w:r>
          </w:p>
        </w:tc>
        <w:tc>
          <w:tcPr>
            <w:tcW w:w="758" w:type="dxa"/>
            <w:tcBorders>
              <w:top w:val="nil"/>
              <w:left w:val="nil"/>
              <w:bottom w:val="nil"/>
              <w:right w:val="nil"/>
            </w:tcBorders>
            <w:shd w:val="clear" w:color="DDEBF7" w:fill="FFFFFF"/>
            <w:noWrap/>
            <w:vAlign w:val="bottom"/>
            <w:hideMark/>
          </w:tcPr>
          <w:p w14:paraId="215AA7D7"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-1.3</w:t>
            </w:r>
          </w:p>
        </w:tc>
        <w:tc>
          <w:tcPr>
            <w:tcW w:w="707" w:type="dxa"/>
            <w:tcBorders>
              <w:top w:val="nil"/>
              <w:left w:val="nil"/>
              <w:bottom w:val="nil"/>
              <w:right w:val="single" w:sz="4" w:space="0" w:color="auto"/>
            </w:tcBorders>
            <w:shd w:val="clear" w:color="DDEBF7" w:fill="FFFFFF"/>
            <w:noWrap/>
            <w:vAlign w:val="bottom"/>
            <w:hideMark/>
          </w:tcPr>
          <w:p w14:paraId="2DE5A7F7"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10.0</w:t>
            </w:r>
          </w:p>
        </w:tc>
      </w:tr>
      <w:tr w:rsidR="009B76AB" w:rsidRPr="00E21E11" w14:paraId="7362F95D" w14:textId="77777777" w:rsidTr="009B76AB">
        <w:trPr>
          <w:divId w:val="948121957"/>
          <w:trHeight w:val="466"/>
        </w:trPr>
        <w:tc>
          <w:tcPr>
            <w:tcW w:w="1196" w:type="dxa"/>
            <w:tcBorders>
              <w:top w:val="nil"/>
              <w:left w:val="single" w:sz="4" w:space="0" w:color="auto"/>
              <w:bottom w:val="nil"/>
              <w:right w:val="nil"/>
            </w:tcBorders>
            <w:shd w:val="clear" w:color="000000" w:fill="FFFFFF"/>
            <w:noWrap/>
            <w:vAlign w:val="center"/>
            <w:hideMark/>
          </w:tcPr>
          <w:p w14:paraId="113EBF80"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(6)</w:t>
            </w:r>
          </w:p>
        </w:tc>
        <w:tc>
          <w:tcPr>
            <w:tcW w:w="1348" w:type="dxa"/>
            <w:tcBorders>
              <w:top w:val="nil"/>
              <w:left w:val="nil"/>
              <w:bottom w:val="nil"/>
              <w:right w:val="nil"/>
            </w:tcBorders>
            <w:shd w:val="clear" w:color="000000" w:fill="FFFFFF"/>
            <w:vAlign w:val="bottom"/>
            <w:hideMark/>
          </w:tcPr>
          <w:p w14:paraId="2F45438E"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Emisión de pasivos</w:t>
            </w:r>
          </w:p>
        </w:tc>
        <w:tc>
          <w:tcPr>
            <w:tcW w:w="1112" w:type="dxa"/>
            <w:tcBorders>
              <w:top w:val="nil"/>
              <w:left w:val="nil"/>
              <w:bottom w:val="nil"/>
              <w:right w:val="nil"/>
            </w:tcBorders>
            <w:shd w:val="clear" w:color="000000" w:fill="FFFFFF"/>
            <w:noWrap/>
            <w:vAlign w:val="bottom"/>
            <w:hideMark/>
          </w:tcPr>
          <w:p w14:paraId="0F3D5EF4"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11.0</w:t>
            </w:r>
          </w:p>
        </w:tc>
        <w:tc>
          <w:tcPr>
            <w:tcW w:w="1095" w:type="dxa"/>
            <w:tcBorders>
              <w:top w:val="nil"/>
              <w:left w:val="nil"/>
              <w:bottom w:val="nil"/>
              <w:right w:val="nil"/>
            </w:tcBorders>
            <w:shd w:val="clear" w:color="000000" w:fill="FFFFFF"/>
            <w:noWrap/>
            <w:vAlign w:val="bottom"/>
            <w:hideMark/>
          </w:tcPr>
          <w:p w14:paraId="40706B3E"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-1.2</w:t>
            </w:r>
          </w:p>
        </w:tc>
        <w:tc>
          <w:tcPr>
            <w:tcW w:w="876" w:type="dxa"/>
            <w:tcBorders>
              <w:top w:val="nil"/>
              <w:left w:val="nil"/>
              <w:bottom w:val="nil"/>
              <w:right w:val="nil"/>
            </w:tcBorders>
            <w:shd w:val="clear" w:color="000000" w:fill="FFFFFF"/>
            <w:noWrap/>
            <w:vAlign w:val="bottom"/>
            <w:hideMark/>
          </w:tcPr>
          <w:p w14:paraId="33CEF0A2"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4.4</w:t>
            </w:r>
          </w:p>
        </w:tc>
        <w:tc>
          <w:tcPr>
            <w:tcW w:w="741" w:type="dxa"/>
            <w:tcBorders>
              <w:top w:val="nil"/>
              <w:left w:val="nil"/>
              <w:bottom w:val="nil"/>
              <w:right w:val="nil"/>
            </w:tcBorders>
            <w:shd w:val="clear" w:color="000000" w:fill="FFFFFF"/>
            <w:noWrap/>
            <w:vAlign w:val="bottom"/>
            <w:hideMark/>
          </w:tcPr>
          <w:p w14:paraId="24F238CA"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-2.2</w:t>
            </w:r>
          </w:p>
        </w:tc>
        <w:tc>
          <w:tcPr>
            <w:tcW w:w="674" w:type="dxa"/>
            <w:tcBorders>
              <w:top w:val="nil"/>
              <w:left w:val="nil"/>
              <w:bottom w:val="nil"/>
              <w:right w:val="nil"/>
            </w:tcBorders>
            <w:shd w:val="clear" w:color="000000" w:fill="FFFFFF"/>
            <w:noWrap/>
            <w:vAlign w:val="bottom"/>
            <w:hideMark/>
          </w:tcPr>
          <w:p w14:paraId="7B797139"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-0.4</w:t>
            </w:r>
          </w:p>
        </w:tc>
        <w:tc>
          <w:tcPr>
            <w:tcW w:w="1044" w:type="dxa"/>
            <w:tcBorders>
              <w:top w:val="nil"/>
              <w:left w:val="nil"/>
              <w:bottom w:val="nil"/>
              <w:right w:val="nil"/>
            </w:tcBorders>
            <w:shd w:val="clear" w:color="000000" w:fill="FFFFFF"/>
            <w:noWrap/>
            <w:vAlign w:val="bottom"/>
            <w:hideMark/>
          </w:tcPr>
          <w:p w14:paraId="7CF9A1B9"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11.6</w:t>
            </w:r>
          </w:p>
        </w:tc>
        <w:tc>
          <w:tcPr>
            <w:tcW w:w="758" w:type="dxa"/>
            <w:tcBorders>
              <w:top w:val="nil"/>
              <w:left w:val="nil"/>
              <w:bottom w:val="nil"/>
              <w:right w:val="nil"/>
            </w:tcBorders>
            <w:shd w:val="clear" w:color="000000" w:fill="FFFFFF"/>
            <w:noWrap/>
            <w:vAlign w:val="bottom"/>
            <w:hideMark/>
          </w:tcPr>
          <w:p w14:paraId="0FBE2687"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-1.6</w:t>
            </w:r>
          </w:p>
        </w:tc>
        <w:tc>
          <w:tcPr>
            <w:tcW w:w="707" w:type="dxa"/>
            <w:tcBorders>
              <w:top w:val="nil"/>
              <w:left w:val="nil"/>
              <w:bottom w:val="nil"/>
              <w:right w:val="single" w:sz="4" w:space="0" w:color="auto"/>
            </w:tcBorders>
            <w:shd w:val="clear" w:color="000000" w:fill="FFFFFF"/>
            <w:noWrap/>
            <w:vAlign w:val="bottom"/>
            <w:hideMark/>
          </w:tcPr>
          <w:p w14:paraId="0CD8C750"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10.0</w:t>
            </w:r>
          </w:p>
        </w:tc>
      </w:tr>
      <w:tr w:rsidR="009B76AB" w:rsidRPr="00E21E11" w14:paraId="6AB120AE" w14:textId="77777777" w:rsidTr="009B76AB">
        <w:trPr>
          <w:divId w:val="948121957"/>
          <w:trHeight w:val="692"/>
        </w:trPr>
        <w:tc>
          <w:tcPr>
            <w:tcW w:w="1196" w:type="dxa"/>
            <w:tcBorders>
              <w:top w:val="nil"/>
              <w:left w:val="single" w:sz="4" w:space="0" w:color="auto"/>
              <w:bottom w:val="single" w:sz="4" w:space="0" w:color="auto"/>
              <w:right w:val="nil"/>
            </w:tcBorders>
            <w:shd w:val="clear" w:color="DDEBF7" w:fill="DDEBF7"/>
            <w:noWrap/>
            <w:vAlign w:val="center"/>
            <w:hideMark/>
          </w:tcPr>
          <w:p w14:paraId="3705528E"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(7)=(5)-(6)</w:t>
            </w:r>
          </w:p>
        </w:tc>
        <w:tc>
          <w:tcPr>
            <w:tcW w:w="1348" w:type="dxa"/>
            <w:tcBorders>
              <w:top w:val="nil"/>
              <w:left w:val="nil"/>
              <w:bottom w:val="single" w:sz="4" w:space="0" w:color="auto"/>
              <w:right w:val="nil"/>
            </w:tcBorders>
            <w:shd w:val="clear" w:color="DDEBF7" w:fill="DDEBF7"/>
            <w:vAlign w:val="bottom"/>
            <w:hideMark/>
          </w:tcPr>
          <w:p w14:paraId="623CEF78" w14:textId="77777777" w:rsidR="009B76AB" w:rsidRPr="000C6BA3" w:rsidRDefault="009B76AB" w:rsidP="009B76AB">
            <w:pPr>
              <w:widowControl/>
              <w:spacing w:after="0" w:line="240" w:lineRule="auto"/>
              <w:rPr>
                <w:rFonts w:eastAsia="Times New Roman" w:cs="Arial"/>
                <w:color w:val="000000"/>
                <w:sz w:val="18"/>
                <w:szCs w:val="18"/>
                <w:lang w:eastAsia="es-MX"/>
              </w:rPr>
            </w:pPr>
            <w:r w:rsidRPr="000C6BA3">
              <w:rPr>
                <w:rFonts w:eastAsia="Times New Roman" w:cs="Arial"/>
                <w:color w:val="000000"/>
                <w:sz w:val="18"/>
                <w:szCs w:val="18"/>
                <w:lang w:eastAsia="es-MX"/>
              </w:rPr>
              <w:t>Préstamo / endeudamiento neto</w:t>
            </w:r>
          </w:p>
        </w:tc>
        <w:tc>
          <w:tcPr>
            <w:tcW w:w="1112" w:type="dxa"/>
            <w:tcBorders>
              <w:top w:val="nil"/>
              <w:left w:val="nil"/>
              <w:bottom w:val="single" w:sz="4" w:space="0" w:color="auto"/>
              <w:right w:val="nil"/>
            </w:tcBorders>
            <w:shd w:val="clear" w:color="DDEBF7" w:fill="DDEBF7"/>
            <w:noWrap/>
            <w:vAlign w:val="bottom"/>
            <w:hideMark/>
          </w:tcPr>
          <w:p w14:paraId="56BBBF49"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-13.3</w:t>
            </w:r>
          </w:p>
        </w:tc>
        <w:tc>
          <w:tcPr>
            <w:tcW w:w="1095" w:type="dxa"/>
            <w:tcBorders>
              <w:top w:val="nil"/>
              <w:left w:val="nil"/>
              <w:bottom w:val="single" w:sz="4" w:space="0" w:color="auto"/>
              <w:right w:val="nil"/>
            </w:tcBorders>
            <w:shd w:val="clear" w:color="DDEBF7" w:fill="DDEBF7"/>
            <w:noWrap/>
            <w:vAlign w:val="bottom"/>
            <w:hideMark/>
          </w:tcPr>
          <w:p w14:paraId="7BA6348C"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6.7</w:t>
            </w:r>
          </w:p>
        </w:tc>
        <w:tc>
          <w:tcPr>
            <w:tcW w:w="876" w:type="dxa"/>
            <w:tcBorders>
              <w:top w:val="nil"/>
              <w:left w:val="nil"/>
              <w:bottom w:val="single" w:sz="4" w:space="0" w:color="auto"/>
              <w:right w:val="nil"/>
            </w:tcBorders>
            <w:shd w:val="clear" w:color="DDEBF7" w:fill="DDEBF7"/>
            <w:noWrap/>
            <w:vAlign w:val="bottom"/>
            <w:hideMark/>
          </w:tcPr>
          <w:p w14:paraId="323AE7AE" w14:textId="77777777" w:rsidR="009B76AB" w:rsidRPr="000C6BA3" w:rsidRDefault="009B76AB" w:rsidP="009B76AB">
            <w:pPr>
              <w:widowControl/>
              <w:spacing w:after="0" w:line="240" w:lineRule="auto"/>
              <w:jc w:val="right"/>
              <w:rPr>
                <w:rFonts w:eastAsia="Times New Roman" w:cs="Arial"/>
                <w:color w:val="000000"/>
                <w:sz w:val="18"/>
                <w:szCs w:val="18"/>
                <w:lang w:eastAsia="es-MX"/>
              </w:rPr>
            </w:pPr>
            <w:r w:rsidRPr="000C6BA3">
              <w:rPr>
                <w:rFonts w:eastAsia="Times New Roman" w:cs="Arial"/>
                <w:color w:val="000000"/>
                <w:sz w:val="18"/>
                <w:szCs w:val="18"/>
                <w:lang w:eastAsia="es-MX"/>
              </w:rPr>
              <w:t>-6.0</w:t>
            </w:r>
          </w:p>
        </w:tc>
        <w:tc>
          <w:tcPr>
            <w:tcW w:w="741" w:type="dxa"/>
            <w:tcBorders>
              <w:top w:val="nil"/>
              <w:left w:val="nil"/>
              <w:bottom w:val="single" w:sz="4" w:space="0" w:color="auto"/>
              <w:right w:val="nil"/>
            </w:tcBorders>
            <w:shd w:val="clear" w:color="DDEBF7" w:fill="DDEBF7"/>
            <w:noWrap/>
            <w:vAlign w:val="bottom"/>
            <w:hideMark/>
          </w:tcPr>
          <w:p w14:paraId="18D6CBC4"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11.7</w:t>
            </w:r>
          </w:p>
        </w:tc>
        <w:tc>
          <w:tcPr>
            <w:tcW w:w="674" w:type="dxa"/>
            <w:tcBorders>
              <w:top w:val="nil"/>
              <w:left w:val="nil"/>
              <w:bottom w:val="single" w:sz="4" w:space="0" w:color="auto"/>
              <w:right w:val="nil"/>
            </w:tcBorders>
            <w:shd w:val="clear" w:color="DDEBF7" w:fill="DDEBF7"/>
            <w:noWrap/>
            <w:vAlign w:val="bottom"/>
            <w:hideMark/>
          </w:tcPr>
          <w:p w14:paraId="0353D19C"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0.4</w:t>
            </w:r>
          </w:p>
        </w:tc>
        <w:tc>
          <w:tcPr>
            <w:tcW w:w="1044" w:type="dxa"/>
            <w:tcBorders>
              <w:top w:val="nil"/>
              <w:left w:val="nil"/>
              <w:bottom w:val="single" w:sz="4" w:space="0" w:color="auto"/>
              <w:right w:val="nil"/>
            </w:tcBorders>
            <w:shd w:val="clear" w:color="DDEBF7" w:fill="DDEBF7"/>
            <w:noWrap/>
            <w:vAlign w:val="bottom"/>
            <w:hideMark/>
          </w:tcPr>
          <w:p w14:paraId="419CF203"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-0.4</w:t>
            </w:r>
          </w:p>
        </w:tc>
        <w:tc>
          <w:tcPr>
            <w:tcW w:w="758" w:type="dxa"/>
            <w:tcBorders>
              <w:top w:val="nil"/>
              <w:left w:val="nil"/>
              <w:bottom w:val="single" w:sz="4" w:space="0" w:color="auto"/>
              <w:right w:val="nil"/>
            </w:tcBorders>
            <w:shd w:val="clear" w:color="DDEBF7" w:fill="DDEBF7"/>
            <w:noWrap/>
            <w:vAlign w:val="bottom"/>
            <w:hideMark/>
          </w:tcPr>
          <w:p w14:paraId="3CFD3A9A"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0.4</w:t>
            </w:r>
          </w:p>
        </w:tc>
        <w:tc>
          <w:tcPr>
            <w:tcW w:w="707" w:type="dxa"/>
            <w:tcBorders>
              <w:top w:val="nil"/>
              <w:left w:val="nil"/>
              <w:bottom w:val="single" w:sz="4" w:space="0" w:color="auto"/>
              <w:right w:val="single" w:sz="4" w:space="0" w:color="auto"/>
            </w:tcBorders>
            <w:shd w:val="clear" w:color="DDEBF7" w:fill="DDEBF7"/>
            <w:noWrap/>
            <w:vAlign w:val="bottom"/>
            <w:hideMark/>
          </w:tcPr>
          <w:p w14:paraId="59BE0ACC" w14:textId="77777777" w:rsidR="009B76AB" w:rsidRPr="000C6BA3" w:rsidRDefault="009B76AB" w:rsidP="009B76AB">
            <w:pPr>
              <w:widowControl/>
              <w:spacing w:after="0" w:line="240" w:lineRule="auto"/>
              <w:jc w:val="center"/>
              <w:rPr>
                <w:rFonts w:eastAsia="Times New Roman" w:cs="Arial"/>
                <w:color w:val="000000"/>
                <w:sz w:val="18"/>
                <w:szCs w:val="18"/>
                <w:lang w:eastAsia="es-MX"/>
              </w:rPr>
            </w:pPr>
            <w:r w:rsidRPr="000C6BA3">
              <w:rPr>
                <w:rFonts w:eastAsia="Times New Roman" w:cs="Arial"/>
                <w:color w:val="000000"/>
                <w:sz w:val="18"/>
                <w:szCs w:val="18"/>
                <w:lang w:eastAsia="es-MX"/>
              </w:rPr>
              <w:t>0.0</w:t>
            </w:r>
          </w:p>
        </w:tc>
      </w:tr>
    </w:tbl>
    <w:p w14:paraId="1FD0CEDF" w14:textId="2C0A1831" w:rsidR="00D62C47" w:rsidRPr="0049278B" w:rsidRDefault="00D62C47" w:rsidP="00BD406D">
      <w:pPr>
        <w:pStyle w:val="p0"/>
        <w:spacing w:before="0"/>
        <w:ind w:left="0" w:right="-28" w:firstLine="0"/>
        <w:rPr>
          <w:rFonts w:eastAsiaTheme="minorHAnsi" w:cs="Arial"/>
          <w:color w:val="auto"/>
          <w:sz w:val="16"/>
          <w:szCs w:val="22"/>
          <w:lang w:val="es-MX" w:eastAsia="en-US"/>
        </w:rPr>
      </w:pPr>
      <w:r w:rsidRPr="00BD34FC">
        <w:rPr>
          <w:rFonts w:eastAsiaTheme="minorHAnsi" w:cs="Arial"/>
          <w:color w:val="auto"/>
          <w:sz w:val="16"/>
          <w:szCs w:val="22"/>
          <w:lang w:val="es-MX" w:eastAsia="en-US"/>
        </w:rPr>
        <w:t>*/En el Sector 11</w:t>
      </w:r>
      <w:r w:rsidR="003A2D05">
        <w:rPr>
          <w:rFonts w:eastAsiaTheme="minorHAnsi" w:cs="Arial"/>
          <w:color w:val="auto"/>
          <w:sz w:val="16"/>
          <w:szCs w:val="22"/>
          <w:lang w:val="es-MX" w:eastAsia="en-US"/>
        </w:rPr>
        <w:t>,</w:t>
      </w:r>
      <w:r w:rsidRPr="00BD34FC">
        <w:rPr>
          <w:rFonts w:eastAsiaTheme="minorHAnsi" w:cs="Arial"/>
          <w:color w:val="auto"/>
          <w:sz w:val="16"/>
          <w:szCs w:val="22"/>
          <w:lang w:val="es-MX" w:eastAsia="en-US"/>
        </w:rPr>
        <w:t xml:space="preserve"> Sociedad</w:t>
      </w:r>
      <w:r w:rsidR="0049278B">
        <w:rPr>
          <w:rFonts w:eastAsiaTheme="minorHAnsi" w:cs="Arial"/>
          <w:color w:val="auto"/>
          <w:sz w:val="16"/>
          <w:szCs w:val="22"/>
          <w:lang w:val="es-MX" w:eastAsia="en-US"/>
        </w:rPr>
        <w:t>es no financieras</w:t>
      </w:r>
      <w:r w:rsidR="003A2D05">
        <w:rPr>
          <w:rFonts w:eastAsiaTheme="minorHAnsi" w:cs="Arial"/>
          <w:color w:val="auto"/>
          <w:sz w:val="16"/>
          <w:szCs w:val="22"/>
          <w:lang w:val="es-MX" w:eastAsia="en-US"/>
        </w:rPr>
        <w:t>, se</w:t>
      </w:r>
      <w:r w:rsidR="0049278B">
        <w:rPr>
          <w:rFonts w:eastAsiaTheme="minorHAnsi" w:cs="Arial"/>
          <w:color w:val="auto"/>
          <w:sz w:val="16"/>
          <w:szCs w:val="22"/>
          <w:lang w:val="es-MX" w:eastAsia="en-US"/>
        </w:rPr>
        <w:t xml:space="preserve"> incluye un </w:t>
      </w:r>
      <w:r w:rsidR="009B76AB" w:rsidRPr="009B76AB">
        <w:rPr>
          <w:rFonts w:eastAsiaTheme="minorHAnsi" w:cs="Arial"/>
          <w:color w:val="auto"/>
          <w:sz w:val="16"/>
          <w:szCs w:val="22"/>
          <w:lang w:val="es-MX" w:eastAsia="en-US"/>
        </w:rPr>
        <w:t>3.9</w:t>
      </w:r>
      <w:r w:rsidR="0049278B">
        <w:rPr>
          <w:rFonts w:eastAsiaTheme="minorHAnsi" w:cs="Arial"/>
          <w:color w:val="auto"/>
          <w:sz w:val="16"/>
          <w:szCs w:val="22"/>
          <w:lang w:val="es-MX" w:eastAsia="en-US"/>
        </w:rPr>
        <w:t xml:space="preserve"> </w:t>
      </w:r>
      <w:r w:rsidRPr="00BD34FC">
        <w:rPr>
          <w:rFonts w:eastAsiaTheme="minorHAnsi" w:cs="Arial"/>
          <w:color w:val="auto"/>
          <w:sz w:val="16"/>
          <w:szCs w:val="22"/>
          <w:lang w:val="es-MX" w:eastAsia="en-US"/>
        </w:rPr>
        <w:t>% de discrepancia estadística.</w:t>
      </w:r>
    </w:p>
    <w:p w14:paraId="289D14C9" w14:textId="77777777" w:rsidR="00D62C47" w:rsidRPr="00895206" w:rsidRDefault="00D62C47" w:rsidP="00BD406D">
      <w:pPr>
        <w:spacing w:after="0"/>
        <w:ind w:right="-28"/>
        <w:jc w:val="both"/>
        <w:rPr>
          <w:rFonts w:cs="Arial"/>
          <w:sz w:val="16"/>
        </w:rPr>
      </w:pPr>
      <w:r w:rsidRPr="00895206">
        <w:rPr>
          <w:rFonts w:cs="Arial"/>
          <w:sz w:val="16"/>
        </w:rPr>
        <w:t>Nota: La suma o resta de los parciales puede no coincidir con los totales debido al redondeo.</w:t>
      </w:r>
    </w:p>
    <w:p w14:paraId="2D331958" w14:textId="2B4EDDCE" w:rsidR="00D62C47" w:rsidRPr="00895206" w:rsidRDefault="00D62C47" w:rsidP="00BD406D">
      <w:pPr>
        <w:spacing w:after="0"/>
        <w:ind w:right="-28"/>
        <w:jc w:val="both"/>
        <w:rPr>
          <w:rFonts w:cs="Arial"/>
          <w:sz w:val="16"/>
        </w:rPr>
      </w:pPr>
      <w:r w:rsidRPr="00895206">
        <w:rPr>
          <w:rFonts w:cs="Arial"/>
          <w:sz w:val="16"/>
        </w:rPr>
        <w:t>Fuente: INEGI</w:t>
      </w:r>
    </w:p>
    <w:p w14:paraId="1C6012E6" w14:textId="77777777" w:rsidR="00D62C47" w:rsidRPr="00895206" w:rsidRDefault="00D62C47" w:rsidP="00D62C47">
      <w:pPr>
        <w:spacing w:after="0" w:line="246" w:lineRule="auto"/>
        <w:ind w:left="-425" w:right="-28"/>
        <w:jc w:val="both"/>
        <w:rPr>
          <w:rFonts w:eastAsia="Arial" w:cs="Arial"/>
          <w:szCs w:val="24"/>
        </w:rPr>
      </w:pPr>
    </w:p>
    <w:p w14:paraId="2CC1B16F" w14:textId="078BBAF5" w:rsidR="00D62C47" w:rsidRPr="00895206" w:rsidRDefault="00D62C47" w:rsidP="00D62C47">
      <w:pPr>
        <w:spacing w:after="0" w:line="246" w:lineRule="auto"/>
        <w:ind w:left="-425" w:right="-28"/>
        <w:jc w:val="both"/>
        <w:rPr>
          <w:rFonts w:eastAsia="Arial" w:cs="Arial"/>
          <w:szCs w:val="24"/>
        </w:rPr>
      </w:pPr>
      <w:r w:rsidRPr="00895206">
        <w:rPr>
          <w:rFonts w:eastAsia="Arial" w:cs="Arial"/>
          <w:szCs w:val="24"/>
        </w:rPr>
        <w:t>Al consolidarse todos los sectores institucionales</w:t>
      </w:r>
      <w:r w:rsidR="003A2D05">
        <w:rPr>
          <w:rFonts w:eastAsia="Arial" w:cs="Arial"/>
          <w:szCs w:val="24"/>
        </w:rPr>
        <w:t>,</w:t>
      </w:r>
      <w:r w:rsidRPr="00895206">
        <w:rPr>
          <w:rFonts w:eastAsia="Arial" w:cs="Arial"/>
          <w:szCs w:val="24"/>
        </w:rPr>
        <w:t xml:space="preserve"> se obtienen las fuentes de financiamiento para la inversión total de la economía. </w:t>
      </w:r>
      <w:r w:rsidR="003A2D05">
        <w:rPr>
          <w:rFonts w:eastAsia="Arial" w:cs="Arial"/>
          <w:szCs w:val="24"/>
        </w:rPr>
        <w:t xml:space="preserve">Así, </w:t>
      </w:r>
      <w:r w:rsidR="00412673">
        <w:rPr>
          <w:rFonts w:eastAsia="Arial" w:cs="Arial"/>
          <w:szCs w:val="24"/>
        </w:rPr>
        <w:t xml:space="preserve">en </w:t>
      </w:r>
      <w:r w:rsidR="009B76AB">
        <w:t>2021</w:t>
      </w:r>
      <w:r w:rsidR="003A2D05">
        <w:t>,</w:t>
      </w:r>
      <w:r w:rsidR="00412673">
        <w:rPr>
          <w:rFonts w:eastAsia="Arial" w:cs="Arial"/>
          <w:szCs w:val="24"/>
        </w:rPr>
        <w:t xml:space="preserve"> </w:t>
      </w:r>
      <w:r w:rsidRPr="00895206">
        <w:rPr>
          <w:rFonts w:eastAsia="Arial" w:cs="Arial"/>
          <w:szCs w:val="24"/>
        </w:rPr>
        <w:t>la inversión del</w:t>
      </w:r>
      <w:r w:rsidR="00412673">
        <w:rPr>
          <w:rFonts w:eastAsia="Arial" w:cs="Arial"/>
          <w:szCs w:val="24"/>
        </w:rPr>
        <w:t xml:space="preserve"> país representó</w:t>
      </w:r>
      <w:r w:rsidR="00537CB7">
        <w:rPr>
          <w:rFonts w:eastAsia="Arial" w:cs="Arial"/>
          <w:szCs w:val="24"/>
        </w:rPr>
        <w:t xml:space="preserve"> </w:t>
      </w:r>
      <w:r w:rsidR="009B76AB">
        <w:t>24.7</w:t>
      </w:r>
      <w:r w:rsidR="00537CB7">
        <w:rPr>
          <w:rFonts w:eastAsia="Arial" w:cs="Arial"/>
          <w:szCs w:val="24"/>
        </w:rPr>
        <w:t xml:space="preserve"> </w:t>
      </w:r>
      <w:r w:rsidRPr="00895206">
        <w:rPr>
          <w:rFonts w:eastAsia="Arial" w:cs="Arial"/>
          <w:szCs w:val="24"/>
        </w:rPr>
        <w:t>% del PIB</w:t>
      </w:r>
      <w:r w:rsidR="00C45A9B">
        <w:rPr>
          <w:rFonts w:eastAsia="Arial" w:cs="Arial"/>
          <w:szCs w:val="24"/>
        </w:rPr>
        <w:t>. La inversión se financió</w:t>
      </w:r>
      <w:r w:rsidRPr="00895206">
        <w:rPr>
          <w:rFonts w:eastAsia="Arial" w:cs="Arial"/>
          <w:szCs w:val="24"/>
        </w:rPr>
        <w:t xml:space="preserve"> por el </w:t>
      </w:r>
      <w:r w:rsidR="00C45A9B">
        <w:rPr>
          <w:rFonts w:eastAsia="Arial" w:cs="Arial"/>
          <w:szCs w:val="24"/>
        </w:rPr>
        <w:t>A</w:t>
      </w:r>
      <w:r w:rsidRPr="00895206">
        <w:rPr>
          <w:rFonts w:eastAsia="Arial" w:cs="Arial"/>
          <w:szCs w:val="24"/>
        </w:rPr>
        <w:t xml:space="preserve">horro </w:t>
      </w:r>
      <w:r w:rsidR="00C45A9B">
        <w:rPr>
          <w:rFonts w:eastAsia="Arial" w:cs="Arial"/>
          <w:szCs w:val="24"/>
        </w:rPr>
        <w:t>I</w:t>
      </w:r>
      <w:r w:rsidRPr="00895206">
        <w:rPr>
          <w:rFonts w:eastAsia="Arial" w:cs="Arial"/>
          <w:szCs w:val="24"/>
        </w:rPr>
        <w:t xml:space="preserve">nterno </w:t>
      </w:r>
      <w:r w:rsidR="00C45A9B">
        <w:rPr>
          <w:rFonts w:eastAsia="Arial" w:cs="Arial"/>
          <w:szCs w:val="24"/>
        </w:rPr>
        <w:t>B</w:t>
      </w:r>
      <w:r w:rsidRPr="00895206">
        <w:rPr>
          <w:rFonts w:eastAsia="Arial" w:cs="Arial"/>
          <w:szCs w:val="24"/>
        </w:rPr>
        <w:t>ruto con una tasa que se ubicó en</w:t>
      </w:r>
      <w:r w:rsidR="003A2D05">
        <w:rPr>
          <w:rFonts w:eastAsia="Arial" w:cs="Arial"/>
          <w:szCs w:val="24"/>
        </w:rPr>
        <w:t xml:space="preserve">  </w:t>
      </w:r>
      <w:r w:rsidR="00867580">
        <w:rPr>
          <w:rFonts w:eastAsia="Arial" w:cs="Arial"/>
          <w:szCs w:val="24"/>
        </w:rPr>
        <w:t xml:space="preserve"> </w:t>
      </w:r>
      <w:r w:rsidR="00867580">
        <w:t>24.3</w:t>
      </w:r>
      <w:r w:rsidR="00867580">
        <w:rPr>
          <w:rFonts w:eastAsia="Arial" w:cs="Arial"/>
          <w:szCs w:val="24"/>
        </w:rPr>
        <w:t xml:space="preserve"> </w:t>
      </w:r>
      <w:r w:rsidR="00C83731">
        <w:rPr>
          <w:rFonts w:eastAsia="Arial" w:cs="Arial"/>
          <w:szCs w:val="24"/>
        </w:rPr>
        <w:t xml:space="preserve">% del </w:t>
      </w:r>
      <w:r w:rsidR="00C45A9B">
        <w:rPr>
          <w:rFonts w:eastAsia="Arial" w:cs="Arial"/>
          <w:szCs w:val="24"/>
        </w:rPr>
        <w:t>PIB. De este porcentaje,</w:t>
      </w:r>
      <w:r w:rsidR="00C83731">
        <w:rPr>
          <w:rFonts w:eastAsia="Arial" w:cs="Arial"/>
          <w:szCs w:val="24"/>
        </w:rPr>
        <w:t xml:space="preserve"> </w:t>
      </w:r>
      <w:r w:rsidR="009B76AB">
        <w:t>17.6</w:t>
      </w:r>
      <w:r w:rsidR="00C83731">
        <w:rPr>
          <w:rFonts w:eastAsia="Arial" w:cs="Arial"/>
          <w:szCs w:val="24"/>
        </w:rPr>
        <w:t xml:space="preserve"> </w:t>
      </w:r>
      <w:r w:rsidRPr="00895206">
        <w:rPr>
          <w:rFonts w:eastAsia="Arial" w:cs="Arial"/>
          <w:szCs w:val="24"/>
        </w:rPr>
        <w:t>%</w:t>
      </w:r>
      <w:r w:rsidR="00C83731">
        <w:rPr>
          <w:rFonts w:eastAsia="Arial" w:cs="Arial"/>
          <w:szCs w:val="24"/>
        </w:rPr>
        <w:t xml:space="preserve"> correspondió a los </w:t>
      </w:r>
      <w:r w:rsidR="00C45A9B">
        <w:rPr>
          <w:rFonts w:eastAsia="Arial" w:cs="Arial"/>
          <w:szCs w:val="24"/>
        </w:rPr>
        <w:t>h</w:t>
      </w:r>
      <w:r w:rsidR="00C83731">
        <w:rPr>
          <w:rFonts w:eastAsia="Arial" w:cs="Arial"/>
          <w:szCs w:val="24"/>
        </w:rPr>
        <w:t>ogares</w:t>
      </w:r>
      <w:r w:rsidR="003A2D05">
        <w:rPr>
          <w:rFonts w:eastAsia="Arial" w:cs="Arial"/>
          <w:szCs w:val="24"/>
        </w:rPr>
        <w:t xml:space="preserve">; </w:t>
      </w:r>
      <w:r w:rsidR="009B76AB">
        <w:t>6.8</w:t>
      </w:r>
      <w:r w:rsidR="00C83731">
        <w:rPr>
          <w:rFonts w:eastAsia="Arial" w:cs="Arial"/>
          <w:szCs w:val="24"/>
        </w:rPr>
        <w:t xml:space="preserve"> %</w:t>
      </w:r>
      <w:r w:rsidR="003A2D05">
        <w:rPr>
          <w:rFonts w:eastAsia="Arial" w:cs="Arial"/>
          <w:szCs w:val="24"/>
        </w:rPr>
        <w:t>,</w:t>
      </w:r>
      <w:r w:rsidR="00C83731">
        <w:rPr>
          <w:rFonts w:eastAsia="Arial" w:cs="Arial"/>
          <w:szCs w:val="24"/>
        </w:rPr>
        <w:t xml:space="preserve"> a las sociedades financieras</w:t>
      </w:r>
      <w:r w:rsidR="003A2D05">
        <w:rPr>
          <w:rFonts w:eastAsia="Arial" w:cs="Arial"/>
          <w:szCs w:val="24"/>
        </w:rPr>
        <w:t>;</w:t>
      </w:r>
      <w:r w:rsidR="00C83731">
        <w:rPr>
          <w:rFonts w:eastAsia="Arial" w:cs="Arial"/>
          <w:szCs w:val="24"/>
        </w:rPr>
        <w:t xml:space="preserve"> </w:t>
      </w:r>
      <w:r w:rsidR="009B76AB">
        <w:t>3.5</w:t>
      </w:r>
      <w:r w:rsidR="00C83731">
        <w:rPr>
          <w:rFonts w:eastAsia="Arial" w:cs="Arial"/>
          <w:szCs w:val="24"/>
        </w:rPr>
        <w:t xml:space="preserve"> %</w:t>
      </w:r>
      <w:r w:rsidR="003A2D05">
        <w:rPr>
          <w:rFonts w:eastAsia="Arial" w:cs="Arial"/>
          <w:szCs w:val="24"/>
        </w:rPr>
        <w:t>,</w:t>
      </w:r>
      <w:r w:rsidR="00C83731">
        <w:rPr>
          <w:rFonts w:eastAsia="Arial" w:cs="Arial"/>
          <w:szCs w:val="24"/>
        </w:rPr>
        <w:t xml:space="preserve"> </w:t>
      </w:r>
      <w:r w:rsidR="00C45A9B">
        <w:rPr>
          <w:rFonts w:eastAsia="Arial" w:cs="Arial"/>
          <w:szCs w:val="24"/>
        </w:rPr>
        <w:t>a</w:t>
      </w:r>
      <w:r w:rsidR="00C83731">
        <w:rPr>
          <w:rFonts w:eastAsia="Arial" w:cs="Arial"/>
          <w:szCs w:val="24"/>
        </w:rPr>
        <w:t xml:space="preserve"> las s</w:t>
      </w:r>
      <w:r w:rsidRPr="00895206">
        <w:rPr>
          <w:rFonts w:eastAsia="Arial" w:cs="Arial"/>
          <w:szCs w:val="24"/>
        </w:rPr>
        <w:t xml:space="preserve">ociedades </w:t>
      </w:r>
      <w:r w:rsidR="00C83731">
        <w:rPr>
          <w:rFonts w:eastAsia="Arial" w:cs="Arial"/>
          <w:szCs w:val="24"/>
        </w:rPr>
        <w:t>no financieras</w:t>
      </w:r>
      <w:r w:rsidR="003A2D05">
        <w:rPr>
          <w:rFonts w:eastAsia="Arial" w:cs="Arial"/>
          <w:szCs w:val="24"/>
        </w:rPr>
        <w:t>;</w:t>
      </w:r>
      <w:r w:rsidR="00C83731">
        <w:rPr>
          <w:rFonts w:eastAsia="Arial" w:cs="Arial"/>
          <w:szCs w:val="24"/>
        </w:rPr>
        <w:t xml:space="preserve"> </w:t>
      </w:r>
      <w:r w:rsidR="009B76AB">
        <w:t>0.4</w:t>
      </w:r>
      <w:r w:rsidR="00C83731">
        <w:rPr>
          <w:rFonts w:eastAsia="Arial" w:cs="Arial"/>
          <w:szCs w:val="24"/>
        </w:rPr>
        <w:t xml:space="preserve"> </w:t>
      </w:r>
      <w:r w:rsidRPr="00895206">
        <w:rPr>
          <w:rFonts w:eastAsia="Arial" w:cs="Arial"/>
          <w:szCs w:val="24"/>
        </w:rPr>
        <w:t>%</w:t>
      </w:r>
      <w:r w:rsidR="003A2D05">
        <w:rPr>
          <w:rFonts w:eastAsia="Arial" w:cs="Arial"/>
          <w:szCs w:val="24"/>
        </w:rPr>
        <w:t>,</w:t>
      </w:r>
      <w:r w:rsidRPr="00895206">
        <w:rPr>
          <w:rFonts w:eastAsia="Arial" w:cs="Arial"/>
          <w:szCs w:val="24"/>
        </w:rPr>
        <w:t xml:space="preserve"> </w:t>
      </w:r>
      <w:r w:rsidR="00C45A9B">
        <w:rPr>
          <w:rFonts w:eastAsia="Arial" w:cs="Arial"/>
          <w:szCs w:val="24"/>
        </w:rPr>
        <w:t>a</w:t>
      </w:r>
      <w:r w:rsidRPr="00895206">
        <w:rPr>
          <w:rFonts w:eastAsia="Arial" w:cs="Arial"/>
          <w:szCs w:val="24"/>
        </w:rPr>
        <w:t xml:space="preserve"> las ISFLSH y el </w:t>
      </w:r>
      <w:r w:rsidR="00C83731">
        <w:rPr>
          <w:rFonts w:eastAsia="Arial" w:cs="Arial"/>
          <w:szCs w:val="24"/>
        </w:rPr>
        <w:t>g</w:t>
      </w:r>
      <w:r w:rsidRPr="00895206">
        <w:rPr>
          <w:rFonts w:eastAsia="Arial" w:cs="Arial"/>
          <w:szCs w:val="24"/>
        </w:rPr>
        <w:t>obierno general registró un desahorro de</w:t>
      </w:r>
      <w:r w:rsidRPr="00895206">
        <w:rPr>
          <w:rFonts w:eastAsia="Arial" w:cs="Arial"/>
          <w:color w:val="00B0F0"/>
          <w:szCs w:val="24"/>
        </w:rPr>
        <w:t xml:space="preserve"> </w:t>
      </w:r>
      <w:r w:rsidR="009B76AB">
        <w:t>4.1</w:t>
      </w:r>
      <w:r w:rsidR="00C83731">
        <w:rPr>
          <w:rFonts w:eastAsia="Arial" w:cs="Arial"/>
          <w:color w:val="00B0F0"/>
          <w:szCs w:val="24"/>
        </w:rPr>
        <w:t xml:space="preserve"> </w:t>
      </w:r>
      <w:r w:rsidR="00C45A9B">
        <w:rPr>
          <w:rFonts w:eastAsia="Arial" w:cs="Arial"/>
          <w:szCs w:val="24"/>
        </w:rPr>
        <w:t>por ciento. P</w:t>
      </w:r>
      <w:r w:rsidR="00C83731">
        <w:rPr>
          <w:rFonts w:eastAsia="Arial" w:cs="Arial"/>
          <w:szCs w:val="24"/>
        </w:rPr>
        <w:t xml:space="preserve">or su parte, hubo un </w:t>
      </w:r>
      <w:r w:rsidRPr="00895206">
        <w:rPr>
          <w:rFonts w:eastAsia="Arial" w:cs="Arial"/>
          <w:szCs w:val="24"/>
        </w:rPr>
        <w:t xml:space="preserve">ahorro </w:t>
      </w:r>
      <w:r w:rsidR="00C83731">
        <w:rPr>
          <w:rFonts w:eastAsia="Arial" w:cs="Arial"/>
          <w:szCs w:val="24"/>
        </w:rPr>
        <w:t xml:space="preserve">del resto del mundo de </w:t>
      </w:r>
      <w:r w:rsidR="009B76AB">
        <w:t>0.4</w:t>
      </w:r>
      <w:r w:rsidR="00C83731">
        <w:rPr>
          <w:rFonts w:eastAsia="Arial" w:cs="Arial"/>
          <w:szCs w:val="24"/>
        </w:rPr>
        <w:t xml:space="preserve"> por ciento</w:t>
      </w:r>
      <w:r w:rsidRPr="00895206">
        <w:rPr>
          <w:rFonts w:eastAsia="Arial" w:cs="Arial"/>
          <w:szCs w:val="24"/>
        </w:rPr>
        <w:t>.</w:t>
      </w:r>
    </w:p>
    <w:p w14:paraId="40687FE6" w14:textId="77777777" w:rsidR="00C83731" w:rsidRDefault="00C83731" w:rsidP="00D62C47">
      <w:pPr>
        <w:spacing w:after="0" w:line="246" w:lineRule="auto"/>
        <w:ind w:left="-425" w:right="-28"/>
        <w:jc w:val="both"/>
        <w:rPr>
          <w:rFonts w:eastAsia="Arial" w:cs="Arial"/>
          <w:szCs w:val="24"/>
        </w:rPr>
      </w:pPr>
    </w:p>
    <w:p w14:paraId="1DC0CBCA" w14:textId="168FF8E3" w:rsidR="00D62C47" w:rsidRDefault="00C83731" w:rsidP="00D62C47">
      <w:pPr>
        <w:spacing w:after="0" w:line="246" w:lineRule="auto"/>
        <w:ind w:left="-425" w:right="-28"/>
        <w:jc w:val="both"/>
        <w:rPr>
          <w:rFonts w:eastAsia="Arial" w:cs="Arial"/>
          <w:szCs w:val="24"/>
        </w:rPr>
      </w:pPr>
      <w:r w:rsidRPr="00967568">
        <w:rPr>
          <w:rFonts w:eastAsia="Arial" w:cs="Arial"/>
          <w:szCs w:val="24"/>
        </w:rPr>
        <w:t>Como un desglose adicional para el análisis de la cuenta financiera</w:t>
      </w:r>
      <w:r w:rsidR="00375D5F">
        <w:rPr>
          <w:rFonts w:eastAsia="Arial" w:cs="Arial"/>
          <w:szCs w:val="24"/>
        </w:rPr>
        <w:t>,</w:t>
      </w:r>
      <w:r w:rsidRPr="00967568">
        <w:rPr>
          <w:rFonts w:eastAsia="Arial" w:cs="Arial"/>
          <w:szCs w:val="24"/>
        </w:rPr>
        <w:t xml:space="preserve"> se proporcionan los cuadros de flujos de fondos detallados</w:t>
      </w:r>
      <w:r w:rsidR="00C45A9B">
        <w:rPr>
          <w:rFonts w:eastAsia="Arial" w:cs="Arial"/>
          <w:szCs w:val="24"/>
        </w:rPr>
        <w:t>:</w:t>
      </w:r>
      <w:r w:rsidRPr="00967568">
        <w:rPr>
          <w:rFonts w:eastAsia="Arial" w:cs="Arial"/>
          <w:szCs w:val="24"/>
        </w:rPr>
        <w:t xml:space="preserve"> uno para los activos financieros</w:t>
      </w:r>
      <w:r>
        <w:rPr>
          <w:rFonts w:eastAsia="Arial" w:cs="Arial"/>
          <w:szCs w:val="24"/>
        </w:rPr>
        <w:t xml:space="preserve"> y otro para los pasivos.</w:t>
      </w:r>
      <w:r w:rsidRPr="00967568">
        <w:rPr>
          <w:rFonts w:eastAsia="Arial" w:cs="Arial"/>
          <w:szCs w:val="24"/>
        </w:rPr>
        <w:t xml:space="preserve"> </w:t>
      </w:r>
      <w:r>
        <w:rPr>
          <w:rFonts w:eastAsia="Arial" w:cs="Arial"/>
          <w:szCs w:val="24"/>
        </w:rPr>
        <w:t>S</w:t>
      </w:r>
      <w:r w:rsidRPr="00967568">
        <w:rPr>
          <w:rFonts w:eastAsia="Arial" w:cs="Arial"/>
          <w:szCs w:val="24"/>
        </w:rPr>
        <w:t xml:space="preserve">u estructura vertical responde al grado de liquidez de los activos. </w:t>
      </w:r>
      <w:r w:rsidR="00C45A9B">
        <w:rPr>
          <w:rFonts w:eastAsia="Arial" w:cs="Arial"/>
          <w:szCs w:val="24"/>
        </w:rPr>
        <w:t xml:space="preserve">De acuerdo con </w:t>
      </w:r>
      <w:r w:rsidRPr="00967568">
        <w:rPr>
          <w:rFonts w:eastAsia="Arial" w:cs="Arial"/>
          <w:szCs w:val="24"/>
        </w:rPr>
        <w:t>este criterio</w:t>
      </w:r>
      <w:r w:rsidR="00C45A9B">
        <w:rPr>
          <w:rFonts w:eastAsia="Arial" w:cs="Arial"/>
          <w:szCs w:val="24"/>
        </w:rPr>
        <w:t>,</w:t>
      </w:r>
      <w:r w:rsidRPr="00967568">
        <w:rPr>
          <w:rFonts w:eastAsia="Arial" w:cs="Arial"/>
          <w:szCs w:val="24"/>
        </w:rPr>
        <w:t xml:space="preserve"> se presenta el dinero en circulación</w:t>
      </w:r>
      <w:r w:rsidR="00C45A9B">
        <w:rPr>
          <w:rFonts w:eastAsia="Arial" w:cs="Arial"/>
          <w:szCs w:val="24"/>
        </w:rPr>
        <w:t>,</w:t>
      </w:r>
      <w:r w:rsidRPr="00967568">
        <w:rPr>
          <w:rFonts w:eastAsia="Arial" w:cs="Arial"/>
          <w:szCs w:val="24"/>
        </w:rPr>
        <w:t xml:space="preserve"> los depósitos de fácil realización</w:t>
      </w:r>
      <w:r w:rsidR="00C45A9B">
        <w:rPr>
          <w:rFonts w:eastAsia="Arial" w:cs="Arial"/>
          <w:szCs w:val="24"/>
        </w:rPr>
        <w:t>,</w:t>
      </w:r>
      <w:r w:rsidRPr="00967568">
        <w:rPr>
          <w:rFonts w:eastAsia="Arial" w:cs="Arial"/>
          <w:szCs w:val="24"/>
        </w:rPr>
        <w:t xml:space="preserve"> los valores </w:t>
      </w:r>
      <w:r w:rsidR="00C45A9B">
        <w:rPr>
          <w:rFonts w:eastAsia="Arial" w:cs="Arial"/>
          <w:szCs w:val="24"/>
        </w:rPr>
        <w:t>(</w:t>
      </w:r>
      <w:r w:rsidRPr="00967568">
        <w:rPr>
          <w:rFonts w:eastAsia="Arial" w:cs="Arial"/>
          <w:szCs w:val="24"/>
        </w:rPr>
        <w:t>emitidos por el gobierno, la banca y las empresas</w:t>
      </w:r>
      <w:r w:rsidR="00C45A9B">
        <w:rPr>
          <w:rFonts w:eastAsia="Arial" w:cs="Arial"/>
          <w:szCs w:val="24"/>
        </w:rPr>
        <w:t>),</w:t>
      </w:r>
      <w:r w:rsidRPr="00967568">
        <w:rPr>
          <w:rFonts w:eastAsia="Arial" w:cs="Arial"/>
          <w:szCs w:val="24"/>
        </w:rPr>
        <w:t xml:space="preserve"> los préstamos otorgados por el sector financiero</w:t>
      </w:r>
      <w:r w:rsidR="00C45A9B">
        <w:rPr>
          <w:rFonts w:eastAsia="Arial" w:cs="Arial"/>
          <w:szCs w:val="24"/>
        </w:rPr>
        <w:t>,</w:t>
      </w:r>
      <w:r w:rsidRPr="00967568">
        <w:rPr>
          <w:rFonts w:eastAsia="Arial" w:cs="Arial"/>
          <w:szCs w:val="24"/>
        </w:rPr>
        <w:t xml:space="preserve"> las acciones que emiten las sociedades</w:t>
      </w:r>
      <w:r w:rsidR="009B1454">
        <w:rPr>
          <w:rFonts w:eastAsia="Arial" w:cs="Arial"/>
          <w:szCs w:val="24"/>
        </w:rPr>
        <w:t>,</w:t>
      </w:r>
      <w:r w:rsidRPr="00967568">
        <w:rPr>
          <w:rFonts w:eastAsia="Arial" w:cs="Arial"/>
          <w:szCs w:val="24"/>
        </w:rPr>
        <w:t xml:space="preserve"> las reservas de seguros y derechos de pensiones</w:t>
      </w:r>
      <w:r w:rsidR="009B1454">
        <w:rPr>
          <w:rFonts w:eastAsia="Arial" w:cs="Arial"/>
          <w:szCs w:val="24"/>
        </w:rPr>
        <w:t>,</w:t>
      </w:r>
      <w:r w:rsidRPr="00967568">
        <w:rPr>
          <w:rFonts w:eastAsia="Arial" w:cs="Arial"/>
          <w:szCs w:val="24"/>
        </w:rPr>
        <w:t xml:space="preserve"> los activos fi</w:t>
      </w:r>
      <w:r>
        <w:rPr>
          <w:rFonts w:eastAsia="Arial" w:cs="Arial"/>
          <w:szCs w:val="24"/>
        </w:rPr>
        <w:t>nancieros denominados derivados</w:t>
      </w:r>
      <w:r w:rsidRPr="00967568">
        <w:rPr>
          <w:rFonts w:eastAsia="Arial" w:cs="Arial"/>
          <w:szCs w:val="24"/>
        </w:rPr>
        <w:t xml:space="preserve"> </w:t>
      </w:r>
      <w:r>
        <w:rPr>
          <w:rFonts w:eastAsia="Arial" w:cs="Arial"/>
          <w:szCs w:val="24"/>
        </w:rPr>
        <w:t>y</w:t>
      </w:r>
      <w:r w:rsidRPr="00967568">
        <w:rPr>
          <w:rFonts w:eastAsia="Arial" w:cs="Arial"/>
          <w:szCs w:val="24"/>
        </w:rPr>
        <w:t xml:space="preserve"> los créditos comerciales. </w:t>
      </w:r>
      <w:r w:rsidRPr="00033909">
        <w:rPr>
          <w:rFonts w:eastAsia="Arial" w:cs="Arial"/>
          <w:szCs w:val="24"/>
        </w:rPr>
        <w:t xml:space="preserve">Esta herramienta de análisis </w:t>
      </w:r>
      <w:r>
        <w:rPr>
          <w:rFonts w:eastAsia="Arial" w:cs="Arial"/>
          <w:szCs w:val="24"/>
        </w:rPr>
        <w:t>cuenta con</w:t>
      </w:r>
      <w:r w:rsidRPr="00033909">
        <w:rPr>
          <w:rFonts w:eastAsia="Arial" w:cs="Arial"/>
          <w:szCs w:val="24"/>
        </w:rPr>
        <w:t xml:space="preserve"> todas las innovaciones que surgieron en los mercados financieros en los últimos años y que </w:t>
      </w:r>
      <w:r w:rsidR="00375D5F">
        <w:rPr>
          <w:rFonts w:eastAsia="Arial" w:cs="Arial"/>
          <w:szCs w:val="24"/>
        </w:rPr>
        <w:t xml:space="preserve">se introdujeron </w:t>
      </w:r>
      <w:r w:rsidRPr="00033909">
        <w:rPr>
          <w:rFonts w:eastAsia="Arial" w:cs="Arial"/>
          <w:szCs w:val="24"/>
        </w:rPr>
        <w:t>en el S</w:t>
      </w:r>
      <w:r>
        <w:rPr>
          <w:rFonts w:eastAsia="Arial" w:cs="Arial"/>
          <w:szCs w:val="24"/>
        </w:rPr>
        <w:t xml:space="preserve">istema de </w:t>
      </w:r>
      <w:r w:rsidRPr="00033909">
        <w:rPr>
          <w:rFonts w:eastAsia="Arial" w:cs="Arial"/>
          <w:szCs w:val="24"/>
        </w:rPr>
        <w:t>C</w:t>
      </w:r>
      <w:r>
        <w:rPr>
          <w:rFonts w:eastAsia="Arial" w:cs="Arial"/>
          <w:szCs w:val="24"/>
        </w:rPr>
        <w:t xml:space="preserve">uentas </w:t>
      </w:r>
      <w:r w:rsidRPr="00033909">
        <w:rPr>
          <w:rFonts w:eastAsia="Arial" w:cs="Arial"/>
          <w:szCs w:val="24"/>
        </w:rPr>
        <w:t>N</w:t>
      </w:r>
      <w:r>
        <w:rPr>
          <w:rFonts w:eastAsia="Arial" w:cs="Arial"/>
          <w:szCs w:val="24"/>
        </w:rPr>
        <w:t>acionales (SCN)</w:t>
      </w:r>
      <w:r w:rsidRPr="00033909">
        <w:rPr>
          <w:rFonts w:eastAsia="Arial" w:cs="Arial"/>
          <w:szCs w:val="24"/>
        </w:rPr>
        <w:t xml:space="preserve"> 2008.</w:t>
      </w:r>
    </w:p>
    <w:p w14:paraId="40E6F774" w14:textId="77777777" w:rsidR="00C83731" w:rsidRPr="00895206" w:rsidRDefault="00C83731" w:rsidP="00D62C47">
      <w:pPr>
        <w:spacing w:after="0" w:line="246" w:lineRule="auto"/>
        <w:ind w:left="-425" w:right="-28"/>
        <w:jc w:val="both"/>
        <w:rPr>
          <w:rFonts w:eastAsia="Arial" w:cs="Arial"/>
          <w:szCs w:val="24"/>
        </w:rPr>
      </w:pPr>
    </w:p>
    <w:p w14:paraId="70A5BE9E" w14:textId="77777777" w:rsidR="00C83731" w:rsidRDefault="00C83731" w:rsidP="00D62C47">
      <w:pPr>
        <w:spacing w:after="0" w:line="246" w:lineRule="auto"/>
        <w:ind w:left="-425" w:right="-28"/>
        <w:jc w:val="both"/>
        <w:rPr>
          <w:rFonts w:eastAsia="Calibri" w:cs="Arial"/>
          <w:b/>
          <w:szCs w:val="28"/>
        </w:rPr>
      </w:pPr>
    </w:p>
    <w:p w14:paraId="430676C0" w14:textId="2C4BE0F1" w:rsidR="006E593D" w:rsidRPr="00375D5F" w:rsidRDefault="00C83731" w:rsidP="006E593D">
      <w:pPr>
        <w:spacing w:after="0" w:line="240" w:lineRule="auto"/>
        <w:ind w:left="-426"/>
        <w:jc w:val="both"/>
        <w:rPr>
          <w:rFonts w:eastAsia="Arial" w:cs="Arial"/>
          <w:szCs w:val="24"/>
        </w:rPr>
      </w:pPr>
      <w:r w:rsidRPr="00375D5F">
        <w:rPr>
          <w:rFonts w:eastAsia="Arial" w:cs="Arial"/>
          <w:szCs w:val="24"/>
        </w:rPr>
        <w:t>Los resultados de los balances de apertura y c</w:t>
      </w:r>
      <w:r w:rsidR="00D62C47" w:rsidRPr="00375D5F">
        <w:rPr>
          <w:rFonts w:eastAsia="Arial" w:cs="Arial"/>
          <w:szCs w:val="24"/>
        </w:rPr>
        <w:t>ierre muestran el valor neto</w:t>
      </w:r>
      <w:r w:rsidR="00D62C47" w:rsidRPr="00D9450A">
        <w:rPr>
          <w:rFonts w:eastAsia="Arial" w:cs="Arial"/>
          <w:szCs w:val="24"/>
          <w:vertAlign w:val="superscript"/>
        </w:rPr>
        <w:footnoteReference w:id="9"/>
      </w:r>
      <w:r w:rsidR="00D62C47" w:rsidRPr="00375D5F">
        <w:rPr>
          <w:rFonts w:eastAsia="Arial" w:cs="Arial"/>
          <w:szCs w:val="24"/>
        </w:rPr>
        <w:t xml:space="preserve"> </w:t>
      </w:r>
      <w:r w:rsidR="006E593D" w:rsidRPr="00375D5F">
        <w:rPr>
          <w:rFonts w:eastAsia="Arial" w:cs="Arial"/>
          <w:szCs w:val="24"/>
        </w:rPr>
        <w:t xml:space="preserve">total de los activos, es decir, los </w:t>
      </w:r>
      <w:r w:rsidR="006E593D" w:rsidRPr="00375D5F">
        <w:rPr>
          <w:rFonts w:eastAsia="Arial" w:cs="Arial"/>
          <w:i/>
          <w:szCs w:val="24"/>
        </w:rPr>
        <w:t>stocks</w:t>
      </w:r>
      <w:r w:rsidR="006E593D" w:rsidRPr="00375D5F">
        <w:rPr>
          <w:rFonts w:eastAsia="Arial" w:cs="Arial"/>
          <w:szCs w:val="24"/>
        </w:rPr>
        <w:t xml:space="preserve"> de los activos financieros y no financieros que posee cada sector institucional</w:t>
      </w:r>
      <w:r w:rsidR="009B1454" w:rsidRPr="00375D5F">
        <w:rPr>
          <w:rFonts w:eastAsia="Arial" w:cs="Arial"/>
          <w:szCs w:val="24"/>
        </w:rPr>
        <w:t xml:space="preserve">. El resultado de estos balances es </w:t>
      </w:r>
      <w:r w:rsidR="006E593D" w:rsidRPr="00375D5F">
        <w:rPr>
          <w:rFonts w:eastAsia="Arial" w:cs="Arial"/>
          <w:szCs w:val="24"/>
        </w:rPr>
        <w:t>una medida cercana al concepto de riqueza</w:t>
      </w:r>
      <w:r w:rsidR="00375D5F">
        <w:rPr>
          <w:rFonts w:eastAsia="Arial" w:cs="Arial"/>
          <w:szCs w:val="24"/>
        </w:rPr>
        <w:t>.</w:t>
      </w:r>
      <w:r w:rsidR="009B1454" w:rsidRPr="00375D5F">
        <w:rPr>
          <w:rStyle w:val="Refdenotaalpie"/>
          <w:rFonts w:eastAsia="Arial" w:cs="Arial"/>
          <w:szCs w:val="24"/>
        </w:rPr>
        <w:footnoteReference w:id="10"/>
      </w:r>
      <w:r w:rsidR="006E593D" w:rsidRPr="00375D5F">
        <w:rPr>
          <w:rFonts w:eastAsia="Arial" w:cs="Arial"/>
          <w:szCs w:val="24"/>
        </w:rPr>
        <w:t xml:space="preserve"> </w:t>
      </w:r>
    </w:p>
    <w:p w14:paraId="02ACFB07" w14:textId="2C57E55A" w:rsidR="00D62C47" w:rsidRPr="00895206" w:rsidRDefault="00D62C47" w:rsidP="00D62C47">
      <w:pPr>
        <w:spacing w:after="0" w:line="246" w:lineRule="auto"/>
        <w:ind w:left="-425" w:right="-28"/>
        <w:jc w:val="both"/>
        <w:rPr>
          <w:rFonts w:eastAsia="Arial" w:cs="Arial"/>
          <w:szCs w:val="24"/>
        </w:rPr>
      </w:pPr>
    </w:p>
    <w:p w14:paraId="4126F084" w14:textId="6427E9D0" w:rsidR="00D62C47" w:rsidRDefault="006E593D" w:rsidP="00D62C47">
      <w:pPr>
        <w:spacing w:after="0" w:line="246" w:lineRule="auto"/>
        <w:ind w:left="-425" w:right="-28"/>
        <w:jc w:val="both"/>
        <w:rPr>
          <w:rFonts w:eastAsia="Arial" w:cs="Arial"/>
          <w:szCs w:val="24"/>
        </w:rPr>
      </w:pPr>
      <w:r>
        <w:rPr>
          <w:rFonts w:eastAsia="Arial" w:cs="Arial"/>
          <w:szCs w:val="24"/>
        </w:rPr>
        <w:t xml:space="preserve">Al inicio de </w:t>
      </w:r>
      <w:r w:rsidR="009B76AB">
        <w:t>2021</w:t>
      </w:r>
      <w:r w:rsidR="009B1454">
        <w:t>,</w:t>
      </w:r>
      <w:r w:rsidR="00D62C47" w:rsidRPr="00895206">
        <w:rPr>
          <w:rFonts w:eastAsia="Arial" w:cs="Arial"/>
          <w:szCs w:val="24"/>
        </w:rPr>
        <w:t xml:space="preserve"> el valor neto de los activos en posesión de los disti</w:t>
      </w:r>
      <w:r>
        <w:rPr>
          <w:rFonts w:eastAsia="Arial" w:cs="Arial"/>
          <w:szCs w:val="24"/>
        </w:rPr>
        <w:t xml:space="preserve">ntos sectores fue de </w:t>
      </w:r>
      <w:r w:rsidR="009B1454">
        <w:rPr>
          <w:rFonts w:eastAsia="Arial" w:cs="Arial"/>
          <w:szCs w:val="24"/>
        </w:rPr>
        <w:t xml:space="preserve">     </w:t>
      </w:r>
      <w:r w:rsidR="009B76AB">
        <w:t>158</w:t>
      </w:r>
      <w:r w:rsidR="009B1454">
        <w:t xml:space="preserve"> </w:t>
      </w:r>
      <w:r w:rsidR="009B76AB">
        <w:t>431</w:t>
      </w:r>
      <w:r w:rsidR="009B1454">
        <w:t xml:space="preserve"> </w:t>
      </w:r>
      <w:r w:rsidR="009B76AB">
        <w:t>010</w:t>
      </w:r>
      <w:r w:rsidR="00D62C47" w:rsidRPr="00895206">
        <w:rPr>
          <w:rFonts w:eastAsia="Arial" w:cs="Arial"/>
          <w:szCs w:val="24"/>
        </w:rPr>
        <w:t xml:space="preserve"> millones de pesos</w:t>
      </w:r>
      <w:r w:rsidR="009B1454">
        <w:rPr>
          <w:rFonts w:eastAsia="Arial" w:cs="Arial"/>
          <w:szCs w:val="24"/>
        </w:rPr>
        <w:t>. A</w:t>
      </w:r>
      <w:r w:rsidR="00D62C47" w:rsidRPr="00895206">
        <w:rPr>
          <w:rFonts w:eastAsia="Arial" w:cs="Arial"/>
          <w:szCs w:val="24"/>
        </w:rPr>
        <w:t>l finalizar el año</w:t>
      </w:r>
      <w:r w:rsidR="009B1454">
        <w:rPr>
          <w:rFonts w:eastAsia="Arial" w:cs="Arial"/>
          <w:szCs w:val="24"/>
        </w:rPr>
        <w:t>,</w:t>
      </w:r>
      <w:r w:rsidR="00D62C47" w:rsidRPr="00895206">
        <w:rPr>
          <w:rFonts w:eastAsia="Arial" w:cs="Arial"/>
          <w:szCs w:val="24"/>
        </w:rPr>
        <w:t xml:space="preserve"> el </w:t>
      </w:r>
      <w:r w:rsidR="009B1454">
        <w:rPr>
          <w:rFonts w:eastAsia="Arial" w:cs="Arial"/>
          <w:szCs w:val="24"/>
        </w:rPr>
        <w:t>b</w:t>
      </w:r>
      <w:r w:rsidR="00D62C47" w:rsidRPr="00895206">
        <w:rPr>
          <w:rFonts w:eastAsia="Arial" w:cs="Arial"/>
          <w:szCs w:val="24"/>
        </w:rPr>
        <w:t xml:space="preserve">alance de </w:t>
      </w:r>
      <w:r w:rsidR="009B1454">
        <w:rPr>
          <w:rFonts w:eastAsia="Arial" w:cs="Arial"/>
          <w:szCs w:val="24"/>
        </w:rPr>
        <w:t>c</w:t>
      </w:r>
      <w:r w:rsidR="00D62C47" w:rsidRPr="00895206">
        <w:rPr>
          <w:rFonts w:eastAsia="Arial" w:cs="Arial"/>
          <w:szCs w:val="24"/>
        </w:rPr>
        <w:t>ierr</w:t>
      </w:r>
      <w:r w:rsidR="00080B34">
        <w:rPr>
          <w:rFonts w:eastAsia="Arial" w:cs="Arial"/>
          <w:szCs w:val="24"/>
        </w:rPr>
        <w:t xml:space="preserve">e </w:t>
      </w:r>
      <w:r w:rsidR="009B1454">
        <w:rPr>
          <w:rFonts w:eastAsia="Arial" w:cs="Arial"/>
          <w:szCs w:val="24"/>
        </w:rPr>
        <w:t>regist</w:t>
      </w:r>
      <w:r w:rsidR="00080B34">
        <w:rPr>
          <w:rFonts w:eastAsia="Arial" w:cs="Arial"/>
          <w:szCs w:val="24"/>
        </w:rPr>
        <w:t xml:space="preserve">ró un valor de </w:t>
      </w:r>
      <w:r w:rsidR="009B1454">
        <w:rPr>
          <w:rFonts w:eastAsia="Arial" w:cs="Arial"/>
          <w:szCs w:val="24"/>
        </w:rPr>
        <w:t xml:space="preserve">    </w:t>
      </w:r>
      <w:r w:rsidR="00D2699D">
        <w:t>172</w:t>
      </w:r>
      <w:r w:rsidR="009B1454">
        <w:t xml:space="preserve"> </w:t>
      </w:r>
      <w:r w:rsidR="00D2699D">
        <w:t>588</w:t>
      </w:r>
      <w:r w:rsidR="009B1454">
        <w:t xml:space="preserve"> </w:t>
      </w:r>
      <w:r w:rsidR="00D2699D">
        <w:t>723</w:t>
      </w:r>
      <w:r w:rsidR="00D62C47" w:rsidRPr="00895206">
        <w:rPr>
          <w:rFonts w:eastAsia="Arial" w:cs="Arial"/>
          <w:szCs w:val="24"/>
        </w:rPr>
        <w:t xml:space="preserve"> millones de pesos. Este valor </w:t>
      </w:r>
      <w:r w:rsidR="00375D5F">
        <w:rPr>
          <w:rFonts w:eastAsia="Arial" w:cs="Arial"/>
          <w:szCs w:val="24"/>
        </w:rPr>
        <w:t xml:space="preserve">equivalió </w:t>
      </w:r>
      <w:r w:rsidR="00D62C47" w:rsidRPr="00895206">
        <w:rPr>
          <w:rFonts w:eastAsia="Arial" w:cs="Arial"/>
          <w:szCs w:val="24"/>
        </w:rPr>
        <w:t xml:space="preserve">a </w:t>
      </w:r>
      <w:r w:rsidR="009B76AB">
        <w:t>siete</w:t>
      </w:r>
      <w:r w:rsidR="005051D6">
        <w:rPr>
          <w:rFonts w:eastAsia="Arial" w:cs="Arial"/>
          <w:szCs w:val="24"/>
        </w:rPr>
        <w:t xml:space="preserve"> veces el PIB (esto es</w:t>
      </w:r>
      <w:r w:rsidR="009B1454">
        <w:rPr>
          <w:rFonts w:eastAsia="Arial" w:cs="Arial"/>
          <w:szCs w:val="24"/>
        </w:rPr>
        <w:t>,</w:t>
      </w:r>
      <w:r w:rsidR="005051D6">
        <w:rPr>
          <w:rFonts w:eastAsia="Arial" w:cs="Arial"/>
          <w:szCs w:val="24"/>
        </w:rPr>
        <w:t xml:space="preserve"> </w:t>
      </w:r>
      <w:r w:rsidR="009B76AB">
        <w:t>668.9</w:t>
      </w:r>
      <w:r w:rsidR="005051D6">
        <w:rPr>
          <w:rFonts w:eastAsia="Arial" w:cs="Arial"/>
          <w:szCs w:val="24"/>
        </w:rPr>
        <w:t xml:space="preserve"> </w:t>
      </w:r>
      <w:r w:rsidR="00D62C47" w:rsidRPr="00895206">
        <w:rPr>
          <w:rFonts w:eastAsia="Arial" w:cs="Arial"/>
          <w:szCs w:val="24"/>
        </w:rPr>
        <w:t>% respecto a esta variab</w:t>
      </w:r>
      <w:r w:rsidR="005666ED">
        <w:rPr>
          <w:rFonts w:eastAsia="Arial" w:cs="Arial"/>
          <w:szCs w:val="24"/>
        </w:rPr>
        <w:t xml:space="preserve">le) y mostró un incremento de </w:t>
      </w:r>
      <w:r w:rsidR="009B76AB">
        <w:t>55</w:t>
      </w:r>
      <w:r w:rsidR="00D62C47" w:rsidRPr="00895206">
        <w:rPr>
          <w:rFonts w:eastAsia="Arial" w:cs="Arial"/>
          <w:szCs w:val="24"/>
        </w:rPr>
        <w:t xml:space="preserve"> puntos porcentuales (con relación al PIB) en comparación con lo observado a principio del añ</w:t>
      </w:r>
      <w:r w:rsidR="009B1454">
        <w:rPr>
          <w:rFonts w:eastAsia="Arial" w:cs="Arial"/>
          <w:szCs w:val="24"/>
        </w:rPr>
        <w:t>o</w:t>
      </w:r>
      <w:r w:rsidR="00D62C47" w:rsidRPr="00895206">
        <w:rPr>
          <w:rFonts w:eastAsia="Arial" w:cs="Arial"/>
          <w:szCs w:val="24"/>
        </w:rPr>
        <w:t>.</w:t>
      </w:r>
    </w:p>
    <w:p w14:paraId="31726A35" w14:textId="77777777" w:rsidR="00713D53" w:rsidRPr="00895206" w:rsidRDefault="00713D53" w:rsidP="00D62C47">
      <w:pPr>
        <w:spacing w:after="0" w:line="246" w:lineRule="auto"/>
        <w:ind w:left="-425" w:right="-28"/>
        <w:jc w:val="both"/>
        <w:rPr>
          <w:rFonts w:eastAsia="Arial" w:cs="Arial"/>
          <w:szCs w:val="24"/>
        </w:rPr>
      </w:pPr>
    </w:p>
    <w:p w14:paraId="0DE5E1E8" w14:textId="77777777" w:rsidR="00D62C47" w:rsidRPr="00713D53" w:rsidRDefault="00D62C47" w:rsidP="00D62C47">
      <w:pPr>
        <w:spacing w:after="0" w:line="247" w:lineRule="auto"/>
        <w:ind w:left="-425" w:right="-28"/>
        <w:jc w:val="center"/>
        <w:rPr>
          <w:rFonts w:eastAsia="Times New Roman" w:cs="Arial"/>
          <w:b/>
          <w:bCs/>
          <w:sz w:val="20"/>
          <w:szCs w:val="20"/>
          <w:lang w:eastAsia="es-MX"/>
        </w:rPr>
      </w:pPr>
      <w:r w:rsidRPr="00713D53">
        <w:rPr>
          <w:rFonts w:eastAsia="Arial" w:cs="Arial"/>
          <w:spacing w:val="-2"/>
          <w:sz w:val="20"/>
          <w:szCs w:val="20"/>
        </w:rPr>
        <w:t>Cuadro 5</w:t>
      </w:r>
    </w:p>
    <w:p w14:paraId="4718459E" w14:textId="33FC121A" w:rsidR="00D62C47" w:rsidRPr="00713D53" w:rsidRDefault="00D62C47" w:rsidP="00D62C47">
      <w:pPr>
        <w:pStyle w:val="p0"/>
        <w:spacing w:before="0"/>
        <w:ind w:left="-425" w:right="-28" w:firstLine="0"/>
        <w:jc w:val="center"/>
        <w:rPr>
          <w:rFonts w:cs="Arial"/>
          <w:b/>
          <w:smallCaps/>
          <w:color w:val="auto"/>
          <w:sz w:val="22"/>
          <w:szCs w:val="22"/>
        </w:rPr>
      </w:pPr>
      <w:r w:rsidRPr="00D9450A">
        <w:rPr>
          <w:rFonts w:cs="Arial"/>
          <w:b/>
          <w:i/>
          <w:iCs/>
          <w:smallCaps/>
          <w:color w:val="auto"/>
          <w:sz w:val="22"/>
          <w:szCs w:val="22"/>
        </w:rPr>
        <w:t>Stock</w:t>
      </w:r>
      <w:r w:rsidRPr="00713D53">
        <w:rPr>
          <w:rFonts w:cs="Arial"/>
          <w:b/>
          <w:smallCaps/>
          <w:color w:val="auto"/>
          <w:sz w:val="22"/>
          <w:szCs w:val="22"/>
        </w:rPr>
        <w:t xml:space="preserve"> y variaciones de activos fi</w:t>
      </w:r>
      <w:r w:rsidR="00713D53" w:rsidRPr="00713D53">
        <w:rPr>
          <w:rFonts w:cs="Arial"/>
          <w:b/>
          <w:smallCaps/>
          <w:color w:val="auto"/>
          <w:sz w:val="22"/>
          <w:szCs w:val="22"/>
        </w:rPr>
        <w:t xml:space="preserve">nancieros y no financieros, </w:t>
      </w:r>
      <w:r w:rsidR="009B76AB" w:rsidRPr="009B76AB">
        <w:rPr>
          <w:rFonts w:cs="Arial"/>
          <w:b/>
          <w:smallCaps/>
          <w:color w:val="auto"/>
          <w:sz w:val="22"/>
          <w:szCs w:val="22"/>
        </w:rPr>
        <w:t>2021</w:t>
      </w:r>
    </w:p>
    <w:p w14:paraId="20885660" w14:textId="151BB819" w:rsidR="00D2699D" w:rsidRDefault="00D62C47" w:rsidP="00D2699D">
      <w:pPr>
        <w:spacing w:after="0"/>
        <w:ind w:left="-425" w:right="-28"/>
        <w:jc w:val="center"/>
        <w:rPr>
          <w:rFonts w:asciiTheme="minorHAnsi" w:hAnsiTheme="minorHAnsi"/>
          <w:sz w:val="22"/>
        </w:rPr>
      </w:pPr>
      <w:r w:rsidRPr="00895206">
        <w:rPr>
          <w:rFonts w:eastAsia="Times New Roman" w:cs="Arial"/>
          <w:sz w:val="18"/>
          <w:szCs w:val="18"/>
          <w:lang w:eastAsia="es-MX"/>
        </w:rPr>
        <w:t>(Participación porcentual respecto al PIB)</w:t>
      </w:r>
    </w:p>
    <w:tbl>
      <w:tblPr>
        <w:tblW w:w="11429" w:type="dxa"/>
        <w:jc w:val="center"/>
        <w:tblCellMar>
          <w:left w:w="70" w:type="dxa"/>
          <w:right w:w="70" w:type="dxa"/>
        </w:tblCellMar>
        <w:tblLook w:val="04A0" w:firstRow="1" w:lastRow="0" w:firstColumn="1" w:lastColumn="0" w:noHBand="0" w:noVBand="1"/>
      </w:tblPr>
      <w:tblGrid>
        <w:gridCol w:w="398"/>
        <w:gridCol w:w="2126"/>
        <w:gridCol w:w="1336"/>
        <w:gridCol w:w="1336"/>
        <w:gridCol w:w="1029"/>
        <w:gridCol w:w="1090"/>
        <w:gridCol w:w="1029"/>
        <w:gridCol w:w="1096"/>
        <w:gridCol w:w="995"/>
        <w:gridCol w:w="994"/>
      </w:tblGrid>
      <w:tr w:rsidR="00AC2671" w:rsidRPr="00D2699D" w14:paraId="616D5C3C" w14:textId="77777777" w:rsidTr="00AC2671">
        <w:trPr>
          <w:divId w:val="1231891367"/>
          <w:trHeight w:val="211"/>
          <w:jc w:val="center"/>
        </w:trPr>
        <w:tc>
          <w:tcPr>
            <w:tcW w:w="398" w:type="dxa"/>
            <w:vMerge w:val="restart"/>
            <w:tcBorders>
              <w:top w:val="single" w:sz="4" w:space="0" w:color="auto"/>
              <w:left w:val="single" w:sz="4" w:space="0" w:color="auto"/>
              <w:bottom w:val="single" w:sz="4" w:space="0" w:color="000000"/>
              <w:right w:val="single" w:sz="4" w:space="0" w:color="000000"/>
            </w:tcBorders>
            <w:shd w:val="clear" w:color="000000" w:fill="1F4E79"/>
            <w:vAlign w:val="center"/>
            <w:hideMark/>
          </w:tcPr>
          <w:p w14:paraId="3A8AA16E" w14:textId="64DA29F4" w:rsidR="00D2699D" w:rsidRPr="00D2699D" w:rsidRDefault="00D2699D" w:rsidP="00D2699D">
            <w:pPr>
              <w:spacing w:after="0"/>
              <w:jc w:val="center"/>
              <w:rPr>
                <w:rFonts w:ascii="Calibri" w:eastAsia="Times New Roman" w:hAnsi="Calibri" w:cs="Calibri"/>
                <w:color w:val="000000"/>
                <w:sz w:val="20"/>
                <w:szCs w:val="20"/>
                <w:lang w:eastAsia="es-MX"/>
              </w:rPr>
            </w:pPr>
            <w:r w:rsidRPr="00D2699D">
              <w:rPr>
                <w:rFonts w:ascii="Calibri" w:eastAsia="Times New Roman" w:hAnsi="Calibri" w:cs="Calibri"/>
                <w:color w:val="000000"/>
                <w:sz w:val="20"/>
                <w:szCs w:val="20"/>
                <w:lang w:eastAsia="es-MX"/>
              </w:rPr>
              <w:t> </w:t>
            </w:r>
          </w:p>
        </w:tc>
        <w:tc>
          <w:tcPr>
            <w:tcW w:w="2126" w:type="dxa"/>
            <w:vMerge w:val="restart"/>
            <w:tcBorders>
              <w:top w:val="single" w:sz="4" w:space="0" w:color="auto"/>
              <w:left w:val="single" w:sz="4" w:space="0" w:color="000000"/>
              <w:bottom w:val="single" w:sz="4" w:space="0" w:color="000000"/>
              <w:right w:val="nil"/>
            </w:tcBorders>
            <w:shd w:val="clear" w:color="000000" w:fill="1F4E79"/>
            <w:vAlign w:val="center"/>
            <w:hideMark/>
          </w:tcPr>
          <w:p w14:paraId="735FCC94" w14:textId="77777777"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Concepto</w:t>
            </w:r>
          </w:p>
        </w:tc>
        <w:tc>
          <w:tcPr>
            <w:tcW w:w="1336" w:type="dxa"/>
            <w:tcBorders>
              <w:top w:val="single" w:sz="4" w:space="0" w:color="auto"/>
              <w:left w:val="single" w:sz="4" w:space="0" w:color="000000"/>
              <w:bottom w:val="nil"/>
              <w:right w:val="single" w:sz="4" w:space="0" w:color="000000"/>
            </w:tcBorders>
            <w:shd w:val="clear" w:color="000000" w:fill="1F4E79"/>
            <w:vAlign w:val="center"/>
            <w:hideMark/>
          </w:tcPr>
          <w:p w14:paraId="3D383EE1" w14:textId="728E4C42"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S</w:t>
            </w:r>
            <w:r w:rsidR="009B1454">
              <w:rPr>
                <w:rFonts w:eastAsia="Times New Roman" w:cs="Arial"/>
                <w:b/>
                <w:bCs/>
                <w:color w:val="FFFFFF"/>
                <w:sz w:val="20"/>
                <w:szCs w:val="20"/>
                <w:lang w:eastAsia="es-MX"/>
              </w:rPr>
              <w:t xml:space="preserve">ector </w:t>
            </w:r>
            <w:r w:rsidRPr="00D2699D">
              <w:rPr>
                <w:rFonts w:eastAsia="Times New Roman" w:cs="Arial"/>
                <w:b/>
                <w:bCs/>
                <w:color w:val="FFFFFF"/>
                <w:sz w:val="20"/>
                <w:szCs w:val="20"/>
                <w:lang w:eastAsia="es-MX"/>
              </w:rPr>
              <w:t>11</w:t>
            </w:r>
          </w:p>
        </w:tc>
        <w:tc>
          <w:tcPr>
            <w:tcW w:w="1336" w:type="dxa"/>
            <w:tcBorders>
              <w:top w:val="single" w:sz="4" w:space="0" w:color="auto"/>
              <w:left w:val="nil"/>
              <w:bottom w:val="nil"/>
              <w:right w:val="single" w:sz="4" w:space="0" w:color="000000"/>
            </w:tcBorders>
            <w:shd w:val="clear" w:color="000000" w:fill="1F4E79"/>
            <w:vAlign w:val="center"/>
            <w:hideMark/>
          </w:tcPr>
          <w:p w14:paraId="31D113FB" w14:textId="58107430"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S</w:t>
            </w:r>
            <w:r w:rsidR="009B1454">
              <w:rPr>
                <w:rFonts w:eastAsia="Times New Roman" w:cs="Arial"/>
                <w:b/>
                <w:bCs/>
                <w:color w:val="FFFFFF"/>
                <w:sz w:val="20"/>
                <w:szCs w:val="20"/>
                <w:lang w:eastAsia="es-MX"/>
              </w:rPr>
              <w:t xml:space="preserve">ector </w:t>
            </w:r>
            <w:r w:rsidRPr="00D2699D">
              <w:rPr>
                <w:rFonts w:eastAsia="Times New Roman" w:cs="Arial"/>
                <w:b/>
                <w:bCs/>
                <w:color w:val="FFFFFF"/>
                <w:sz w:val="20"/>
                <w:szCs w:val="20"/>
                <w:lang w:eastAsia="es-MX"/>
              </w:rPr>
              <w:t>12</w:t>
            </w:r>
          </w:p>
        </w:tc>
        <w:tc>
          <w:tcPr>
            <w:tcW w:w="1029" w:type="dxa"/>
            <w:tcBorders>
              <w:top w:val="single" w:sz="4" w:space="0" w:color="auto"/>
              <w:left w:val="nil"/>
              <w:bottom w:val="nil"/>
              <w:right w:val="single" w:sz="4" w:space="0" w:color="000000"/>
            </w:tcBorders>
            <w:shd w:val="clear" w:color="000000" w:fill="1F4E79"/>
            <w:vAlign w:val="center"/>
            <w:hideMark/>
          </w:tcPr>
          <w:p w14:paraId="3CF860A5" w14:textId="0A464B27"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S</w:t>
            </w:r>
            <w:r w:rsidR="009B1454">
              <w:rPr>
                <w:rFonts w:eastAsia="Times New Roman" w:cs="Arial"/>
                <w:b/>
                <w:bCs/>
                <w:color w:val="FFFFFF"/>
                <w:sz w:val="20"/>
                <w:szCs w:val="20"/>
                <w:lang w:eastAsia="es-MX"/>
              </w:rPr>
              <w:t xml:space="preserve">ector </w:t>
            </w:r>
            <w:r w:rsidRPr="00D2699D">
              <w:rPr>
                <w:rFonts w:eastAsia="Times New Roman" w:cs="Arial"/>
                <w:b/>
                <w:bCs/>
                <w:color w:val="FFFFFF"/>
                <w:sz w:val="20"/>
                <w:szCs w:val="20"/>
                <w:lang w:eastAsia="es-MX"/>
              </w:rPr>
              <w:t>13</w:t>
            </w:r>
          </w:p>
        </w:tc>
        <w:tc>
          <w:tcPr>
            <w:tcW w:w="1090" w:type="dxa"/>
            <w:tcBorders>
              <w:top w:val="single" w:sz="4" w:space="0" w:color="auto"/>
              <w:left w:val="nil"/>
              <w:bottom w:val="nil"/>
              <w:right w:val="single" w:sz="4" w:space="0" w:color="000000"/>
            </w:tcBorders>
            <w:shd w:val="clear" w:color="000000" w:fill="1F4E79"/>
            <w:vAlign w:val="center"/>
            <w:hideMark/>
          </w:tcPr>
          <w:p w14:paraId="1FA07954" w14:textId="45BDD85B"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S</w:t>
            </w:r>
            <w:r w:rsidR="009B1454">
              <w:rPr>
                <w:rFonts w:eastAsia="Times New Roman" w:cs="Arial"/>
                <w:b/>
                <w:bCs/>
                <w:color w:val="FFFFFF"/>
                <w:sz w:val="20"/>
                <w:szCs w:val="20"/>
                <w:lang w:eastAsia="es-MX"/>
              </w:rPr>
              <w:t xml:space="preserve">ector </w:t>
            </w:r>
            <w:r w:rsidRPr="00D2699D">
              <w:rPr>
                <w:rFonts w:eastAsia="Times New Roman" w:cs="Arial"/>
                <w:b/>
                <w:bCs/>
                <w:color w:val="FFFFFF"/>
                <w:sz w:val="20"/>
                <w:szCs w:val="20"/>
                <w:lang w:eastAsia="es-MX"/>
              </w:rPr>
              <w:t>14</w:t>
            </w:r>
          </w:p>
        </w:tc>
        <w:tc>
          <w:tcPr>
            <w:tcW w:w="1029" w:type="dxa"/>
            <w:tcBorders>
              <w:top w:val="single" w:sz="4" w:space="0" w:color="auto"/>
              <w:left w:val="nil"/>
              <w:bottom w:val="nil"/>
              <w:right w:val="single" w:sz="4" w:space="0" w:color="000000"/>
            </w:tcBorders>
            <w:shd w:val="clear" w:color="000000" w:fill="1F4E79"/>
            <w:vAlign w:val="center"/>
            <w:hideMark/>
          </w:tcPr>
          <w:p w14:paraId="6A5B47C1" w14:textId="1F21F5F3"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S</w:t>
            </w:r>
            <w:r w:rsidR="009B1454">
              <w:rPr>
                <w:rFonts w:eastAsia="Times New Roman" w:cs="Arial"/>
                <w:b/>
                <w:bCs/>
                <w:color w:val="FFFFFF"/>
                <w:sz w:val="20"/>
                <w:szCs w:val="20"/>
                <w:lang w:eastAsia="es-MX"/>
              </w:rPr>
              <w:t xml:space="preserve">ector </w:t>
            </w:r>
            <w:r w:rsidRPr="00D2699D">
              <w:rPr>
                <w:rFonts w:eastAsia="Times New Roman" w:cs="Arial"/>
                <w:b/>
                <w:bCs/>
                <w:color w:val="FFFFFF"/>
                <w:sz w:val="20"/>
                <w:szCs w:val="20"/>
                <w:lang w:eastAsia="es-MX"/>
              </w:rPr>
              <w:t>15</w:t>
            </w:r>
          </w:p>
        </w:tc>
        <w:tc>
          <w:tcPr>
            <w:tcW w:w="1096" w:type="dxa"/>
            <w:tcBorders>
              <w:top w:val="single" w:sz="4" w:space="0" w:color="auto"/>
              <w:left w:val="nil"/>
              <w:bottom w:val="nil"/>
              <w:right w:val="single" w:sz="4" w:space="0" w:color="000000"/>
            </w:tcBorders>
            <w:shd w:val="clear" w:color="000000" w:fill="1F4E79"/>
            <w:vAlign w:val="center"/>
            <w:hideMark/>
          </w:tcPr>
          <w:p w14:paraId="4ADCB8D0" w14:textId="74E52B6A"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S</w:t>
            </w:r>
            <w:r w:rsidR="009B1454">
              <w:rPr>
                <w:rFonts w:eastAsia="Times New Roman" w:cs="Arial"/>
                <w:b/>
                <w:bCs/>
                <w:color w:val="FFFFFF"/>
                <w:sz w:val="20"/>
                <w:szCs w:val="20"/>
                <w:lang w:eastAsia="es-MX"/>
              </w:rPr>
              <w:t xml:space="preserve">ector </w:t>
            </w:r>
            <w:r w:rsidRPr="00D2699D">
              <w:rPr>
                <w:rFonts w:eastAsia="Times New Roman" w:cs="Arial"/>
                <w:b/>
                <w:bCs/>
                <w:color w:val="FFFFFF"/>
                <w:sz w:val="20"/>
                <w:szCs w:val="20"/>
                <w:lang w:eastAsia="es-MX"/>
              </w:rPr>
              <w:t>1</w:t>
            </w:r>
          </w:p>
        </w:tc>
        <w:tc>
          <w:tcPr>
            <w:tcW w:w="995" w:type="dxa"/>
            <w:tcBorders>
              <w:top w:val="single" w:sz="4" w:space="0" w:color="auto"/>
              <w:left w:val="nil"/>
              <w:bottom w:val="nil"/>
              <w:right w:val="single" w:sz="4" w:space="0" w:color="000000"/>
            </w:tcBorders>
            <w:shd w:val="clear" w:color="000000" w:fill="1F4E79"/>
            <w:vAlign w:val="center"/>
            <w:hideMark/>
          </w:tcPr>
          <w:p w14:paraId="10AAED84" w14:textId="16BF6DEF"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S</w:t>
            </w:r>
            <w:r w:rsidR="009B1454">
              <w:rPr>
                <w:rFonts w:eastAsia="Times New Roman" w:cs="Arial"/>
                <w:b/>
                <w:bCs/>
                <w:color w:val="FFFFFF"/>
                <w:sz w:val="20"/>
                <w:szCs w:val="20"/>
                <w:lang w:eastAsia="es-MX"/>
              </w:rPr>
              <w:t xml:space="preserve">ector </w:t>
            </w:r>
            <w:r w:rsidRPr="00D2699D">
              <w:rPr>
                <w:rFonts w:eastAsia="Times New Roman" w:cs="Arial"/>
                <w:b/>
                <w:bCs/>
                <w:color w:val="FFFFFF"/>
                <w:sz w:val="20"/>
                <w:szCs w:val="20"/>
                <w:lang w:eastAsia="es-MX"/>
              </w:rPr>
              <w:t>2</w:t>
            </w:r>
          </w:p>
        </w:tc>
        <w:tc>
          <w:tcPr>
            <w:tcW w:w="994" w:type="dxa"/>
            <w:vMerge w:val="restart"/>
            <w:tcBorders>
              <w:top w:val="single" w:sz="4" w:space="0" w:color="auto"/>
              <w:left w:val="nil"/>
              <w:bottom w:val="single" w:sz="4" w:space="0" w:color="000000"/>
              <w:right w:val="single" w:sz="4" w:space="0" w:color="auto"/>
            </w:tcBorders>
            <w:shd w:val="clear" w:color="000000" w:fill="1F4E79"/>
            <w:vAlign w:val="center"/>
            <w:hideMark/>
          </w:tcPr>
          <w:p w14:paraId="08668E4A" w14:textId="77777777"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Total</w:t>
            </w:r>
          </w:p>
        </w:tc>
      </w:tr>
      <w:tr w:rsidR="00AC2671" w:rsidRPr="00D2699D" w14:paraId="1414EC67" w14:textId="77777777" w:rsidTr="00AC2671">
        <w:trPr>
          <w:divId w:val="1231891367"/>
          <w:trHeight w:val="596"/>
          <w:jc w:val="center"/>
        </w:trPr>
        <w:tc>
          <w:tcPr>
            <w:tcW w:w="398" w:type="dxa"/>
            <w:vMerge/>
            <w:tcBorders>
              <w:top w:val="single" w:sz="4" w:space="0" w:color="auto"/>
              <w:left w:val="single" w:sz="4" w:space="0" w:color="auto"/>
              <w:bottom w:val="single" w:sz="4" w:space="0" w:color="000000"/>
              <w:right w:val="single" w:sz="4" w:space="0" w:color="000000"/>
            </w:tcBorders>
            <w:vAlign w:val="center"/>
            <w:hideMark/>
          </w:tcPr>
          <w:p w14:paraId="3B786235" w14:textId="77777777" w:rsidR="00D2699D" w:rsidRPr="00D2699D" w:rsidRDefault="00D2699D" w:rsidP="00D2699D">
            <w:pPr>
              <w:widowControl/>
              <w:spacing w:after="0" w:line="240" w:lineRule="auto"/>
              <w:rPr>
                <w:rFonts w:ascii="Calibri" w:eastAsia="Times New Roman" w:hAnsi="Calibri" w:cs="Calibri"/>
                <w:color w:val="000000"/>
                <w:sz w:val="20"/>
                <w:szCs w:val="20"/>
                <w:lang w:eastAsia="es-MX"/>
              </w:rPr>
            </w:pPr>
          </w:p>
        </w:tc>
        <w:tc>
          <w:tcPr>
            <w:tcW w:w="2126" w:type="dxa"/>
            <w:vMerge/>
            <w:tcBorders>
              <w:top w:val="single" w:sz="4" w:space="0" w:color="auto"/>
              <w:left w:val="single" w:sz="4" w:space="0" w:color="000000"/>
              <w:bottom w:val="single" w:sz="4" w:space="0" w:color="000000"/>
              <w:right w:val="nil"/>
            </w:tcBorders>
            <w:vAlign w:val="center"/>
            <w:hideMark/>
          </w:tcPr>
          <w:p w14:paraId="145C6120" w14:textId="77777777" w:rsidR="00D2699D" w:rsidRPr="00D2699D" w:rsidRDefault="00D2699D" w:rsidP="00D2699D">
            <w:pPr>
              <w:widowControl/>
              <w:spacing w:after="0" w:line="240" w:lineRule="auto"/>
              <w:rPr>
                <w:rFonts w:eastAsia="Times New Roman" w:cs="Arial"/>
                <w:b/>
                <w:bCs/>
                <w:color w:val="FFFFFF"/>
                <w:sz w:val="20"/>
                <w:szCs w:val="20"/>
                <w:lang w:eastAsia="es-MX"/>
              </w:rPr>
            </w:pPr>
          </w:p>
        </w:tc>
        <w:tc>
          <w:tcPr>
            <w:tcW w:w="1336" w:type="dxa"/>
            <w:tcBorders>
              <w:top w:val="nil"/>
              <w:left w:val="single" w:sz="4" w:space="0" w:color="000000"/>
              <w:bottom w:val="single" w:sz="4" w:space="0" w:color="000000"/>
              <w:right w:val="single" w:sz="4" w:space="0" w:color="000000"/>
            </w:tcBorders>
            <w:shd w:val="clear" w:color="000000" w:fill="1F4E79"/>
            <w:vAlign w:val="center"/>
            <w:hideMark/>
          </w:tcPr>
          <w:p w14:paraId="3706C23F" w14:textId="48E91701"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 xml:space="preserve">Sociedades no </w:t>
            </w:r>
            <w:r w:rsidR="009B1454">
              <w:rPr>
                <w:rFonts w:eastAsia="Times New Roman" w:cs="Arial"/>
                <w:b/>
                <w:bCs/>
                <w:color w:val="FFFFFF"/>
                <w:sz w:val="20"/>
                <w:szCs w:val="20"/>
                <w:lang w:eastAsia="es-MX"/>
              </w:rPr>
              <w:t>f</w:t>
            </w:r>
            <w:r w:rsidRPr="00D2699D">
              <w:rPr>
                <w:rFonts w:eastAsia="Times New Roman" w:cs="Arial"/>
                <w:b/>
                <w:bCs/>
                <w:color w:val="FFFFFF"/>
                <w:sz w:val="20"/>
                <w:szCs w:val="20"/>
                <w:lang w:eastAsia="es-MX"/>
              </w:rPr>
              <w:t>inancieras</w:t>
            </w:r>
          </w:p>
        </w:tc>
        <w:tc>
          <w:tcPr>
            <w:tcW w:w="1336" w:type="dxa"/>
            <w:tcBorders>
              <w:top w:val="nil"/>
              <w:left w:val="nil"/>
              <w:bottom w:val="single" w:sz="4" w:space="0" w:color="000000"/>
              <w:right w:val="single" w:sz="4" w:space="0" w:color="000000"/>
            </w:tcBorders>
            <w:shd w:val="clear" w:color="000000" w:fill="1F4E79"/>
            <w:vAlign w:val="center"/>
            <w:hideMark/>
          </w:tcPr>
          <w:p w14:paraId="1956B884" w14:textId="31246F82"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 xml:space="preserve">Sociedades </w:t>
            </w:r>
            <w:r w:rsidR="009B1454">
              <w:rPr>
                <w:rFonts w:eastAsia="Times New Roman" w:cs="Arial"/>
                <w:b/>
                <w:bCs/>
                <w:color w:val="FFFFFF"/>
                <w:sz w:val="20"/>
                <w:szCs w:val="20"/>
                <w:lang w:eastAsia="es-MX"/>
              </w:rPr>
              <w:t>f</w:t>
            </w:r>
            <w:r w:rsidRPr="00D2699D">
              <w:rPr>
                <w:rFonts w:eastAsia="Times New Roman" w:cs="Arial"/>
                <w:b/>
                <w:bCs/>
                <w:color w:val="FFFFFF"/>
                <w:sz w:val="20"/>
                <w:szCs w:val="20"/>
                <w:lang w:eastAsia="es-MX"/>
              </w:rPr>
              <w:t>inancieras</w:t>
            </w:r>
          </w:p>
        </w:tc>
        <w:tc>
          <w:tcPr>
            <w:tcW w:w="1029" w:type="dxa"/>
            <w:tcBorders>
              <w:top w:val="nil"/>
              <w:left w:val="nil"/>
              <w:bottom w:val="single" w:sz="4" w:space="0" w:color="000000"/>
              <w:right w:val="single" w:sz="4" w:space="0" w:color="000000"/>
            </w:tcBorders>
            <w:shd w:val="clear" w:color="000000" w:fill="1F4E79"/>
            <w:vAlign w:val="center"/>
            <w:hideMark/>
          </w:tcPr>
          <w:p w14:paraId="2EF15A53" w14:textId="5DD6A883"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 xml:space="preserve">Gobierno </w:t>
            </w:r>
            <w:r w:rsidR="009B1454">
              <w:rPr>
                <w:rFonts w:eastAsia="Times New Roman" w:cs="Arial"/>
                <w:b/>
                <w:bCs/>
                <w:color w:val="FFFFFF"/>
                <w:sz w:val="20"/>
                <w:szCs w:val="20"/>
                <w:lang w:eastAsia="es-MX"/>
              </w:rPr>
              <w:t>g</w:t>
            </w:r>
            <w:r w:rsidRPr="00D2699D">
              <w:rPr>
                <w:rFonts w:eastAsia="Times New Roman" w:cs="Arial"/>
                <w:b/>
                <w:bCs/>
                <w:color w:val="FFFFFF"/>
                <w:sz w:val="20"/>
                <w:szCs w:val="20"/>
                <w:lang w:eastAsia="es-MX"/>
              </w:rPr>
              <w:t>eneral</w:t>
            </w:r>
          </w:p>
        </w:tc>
        <w:tc>
          <w:tcPr>
            <w:tcW w:w="1090" w:type="dxa"/>
            <w:tcBorders>
              <w:top w:val="nil"/>
              <w:left w:val="nil"/>
              <w:bottom w:val="single" w:sz="4" w:space="0" w:color="000000"/>
              <w:right w:val="single" w:sz="4" w:space="0" w:color="000000"/>
            </w:tcBorders>
            <w:shd w:val="clear" w:color="000000" w:fill="1F4E79"/>
            <w:vAlign w:val="center"/>
            <w:hideMark/>
          </w:tcPr>
          <w:p w14:paraId="7C22E8BB" w14:textId="77777777"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Hogares</w:t>
            </w:r>
          </w:p>
        </w:tc>
        <w:tc>
          <w:tcPr>
            <w:tcW w:w="1029" w:type="dxa"/>
            <w:tcBorders>
              <w:top w:val="nil"/>
              <w:left w:val="nil"/>
              <w:bottom w:val="single" w:sz="4" w:space="0" w:color="000000"/>
              <w:right w:val="single" w:sz="4" w:space="0" w:color="000000"/>
            </w:tcBorders>
            <w:shd w:val="clear" w:color="000000" w:fill="1F4E79"/>
            <w:vAlign w:val="center"/>
            <w:hideMark/>
          </w:tcPr>
          <w:p w14:paraId="6247522E" w14:textId="77777777"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ISFLSH</w:t>
            </w:r>
          </w:p>
        </w:tc>
        <w:tc>
          <w:tcPr>
            <w:tcW w:w="1096" w:type="dxa"/>
            <w:tcBorders>
              <w:top w:val="nil"/>
              <w:left w:val="nil"/>
              <w:bottom w:val="single" w:sz="4" w:space="0" w:color="000000"/>
              <w:right w:val="single" w:sz="4" w:space="0" w:color="000000"/>
            </w:tcBorders>
            <w:shd w:val="clear" w:color="000000" w:fill="1F4E79"/>
            <w:vAlign w:val="center"/>
            <w:hideMark/>
          </w:tcPr>
          <w:p w14:paraId="65289F7A" w14:textId="0F0BA513"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 xml:space="preserve">Economía </w:t>
            </w:r>
            <w:r w:rsidR="009B1454">
              <w:rPr>
                <w:rFonts w:eastAsia="Times New Roman" w:cs="Arial"/>
                <w:b/>
                <w:bCs/>
                <w:color w:val="FFFFFF"/>
                <w:sz w:val="20"/>
                <w:szCs w:val="20"/>
                <w:lang w:eastAsia="es-MX"/>
              </w:rPr>
              <w:t>i</w:t>
            </w:r>
            <w:r w:rsidRPr="00D2699D">
              <w:rPr>
                <w:rFonts w:eastAsia="Times New Roman" w:cs="Arial"/>
                <w:b/>
                <w:bCs/>
                <w:color w:val="FFFFFF"/>
                <w:sz w:val="20"/>
                <w:szCs w:val="20"/>
                <w:lang w:eastAsia="es-MX"/>
              </w:rPr>
              <w:t>nterna</w:t>
            </w:r>
          </w:p>
        </w:tc>
        <w:tc>
          <w:tcPr>
            <w:tcW w:w="995" w:type="dxa"/>
            <w:tcBorders>
              <w:top w:val="nil"/>
              <w:left w:val="nil"/>
              <w:bottom w:val="single" w:sz="4" w:space="0" w:color="000000"/>
              <w:right w:val="single" w:sz="4" w:space="0" w:color="000000"/>
            </w:tcBorders>
            <w:shd w:val="clear" w:color="000000" w:fill="1F4E79"/>
            <w:vAlign w:val="center"/>
            <w:hideMark/>
          </w:tcPr>
          <w:p w14:paraId="627AF352" w14:textId="4CC88A91" w:rsidR="00D2699D" w:rsidRPr="00D2699D" w:rsidRDefault="00D2699D" w:rsidP="00D2699D">
            <w:pPr>
              <w:widowControl/>
              <w:spacing w:after="0" w:line="240" w:lineRule="auto"/>
              <w:jc w:val="center"/>
              <w:rPr>
                <w:rFonts w:eastAsia="Times New Roman" w:cs="Arial"/>
                <w:b/>
                <w:bCs/>
                <w:color w:val="FFFFFF"/>
                <w:sz w:val="20"/>
                <w:szCs w:val="20"/>
                <w:lang w:eastAsia="es-MX"/>
              </w:rPr>
            </w:pPr>
            <w:r w:rsidRPr="00D2699D">
              <w:rPr>
                <w:rFonts w:eastAsia="Times New Roman" w:cs="Arial"/>
                <w:b/>
                <w:bCs/>
                <w:color w:val="FFFFFF"/>
                <w:sz w:val="20"/>
                <w:szCs w:val="20"/>
                <w:lang w:eastAsia="es-MX"/>
              </w:rPr>
              <w:t xml:space="preserve">Resto del </w:t>
            </w:r>
            <w:r w:rsidR="009B1454">
              <w:rPr>
                <w:rFonts w:eastAsia="Times New Roman" w:cs="Arial"/>
                <w:b/>
                <w:bCs/>
                <w:color w:val="FFFFFF"/>
                <w:sz w:val="20"/>
                <w:szCs w:val="20"/>
                <w:lang w:eastAsia="es-MX"/>
              </w:rPr>
              <w:t>m</w:t>
            </w:r>
            <w:r w:rsidRPr="00D2699D">
              <w:rPr>
                <w:rFonts w:eastAsia="Times New Roman" w:cs="Arial"/>
                <w:b/>
                <w:bCs/>
                <w:color w:val="FFFFFF"/>
                <w:sz w:val="20"/>
                <w:szCs w:val="20"/>
                <w:lang w:eastAsia="es-MX"/>
              </w:rPr>
              <w:t>undo</w:t>
            </w:r>
          </w:p>
        </w:tc>
        <w:tc>
          <w:tcPr>
            <w:tcW w:w="994" w:type="dxa"/>
            <w:vMerge/>
            <w:tcBorders>
              <w:top w:val="single" w:sz="4" w:space="0" w:color="auto"/>
              <w:left w:val="nil"/>
              <w:bottom w:val="single" w:sz="4" w:space="0" w:color="000000"/>
              <w:right w:val="single" w:sz="4" w:space="0" w:color="auto"/>
            </w:tcBorders>
            <w:vAlign w:val="center"/>
            <w:hideMark/>
          </w:tcPr>
          <w:p w14:paraId="21D56F20" w14:textId="77777777" w:rsidR="00D2699D" w:rsidRPr="00D2699D" w:rsidRDefault="00D2699D" w:rsidP="00D2699D">
            <w:pPr>
              <w:widowControl/>
              <w:spacing w:after="0" w:line="240" w:lineRule="auto"/>
              <w:rPr>
                <w:rFonts w:eastAsia="Times New Roman" w:cs="Arial"/>
                <w:b/>
                <w:bCs/>
                <w:color w:val="FFFFFF"/>
                <w:sz w:val="20"/>
                <w:szCs w:val="20"/>
                <w:lang w:eastAsia="es-MX"/>
              </w:rPr>
            </w:pPr>
          </w:p>
        </w:tc>
      </w:tr>
      <w:tr w:rsidR="00AC2671" w:rsidRPr="00D2699D" w14:paraId="7BFDBCBA"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hideMark/>
          </w:tcPr>
          <w:p w14:paraId="01BDF3BA" w14:textId="77777777" w:rsidR="00D2699D" w:rsidRPr="00D2699D" w:rsidRDefault="00D2699D" w:rsidP="00D2699D">
            <w:pPr>
              <w:widowControl/>
              <w:spacing w:after="0" w:line="240" w:lineRule="auto"/>
              <w:rPr>
                <w:rFonts w:ascii="Calibri" w:eastAsia="Times New Roman" w:hAnsi="Calibri" w:cs="Calibri"/>
                <w:color w:val="000000"/>
                <w:sz w:val="14"/>
                <w:lang w:eastAsia="es-MX"/>
              </w:rPr>
            </w:pPr>
            <w:r w:rsidRPr="00D2699D">
              <w:rPr>
                <w:rFonts w:ascii="Calibri" w:eastAsia="Times New Roman" w:hAnsi="Calibri" w:cs="Calibri"/>
                <w:color w:val="000000"/>
                <w:sz w:val="14"/>
                <w:lang w:eastAsia="es-MX"/>
              </w:rPr>
              <w:t> </w:t>
            </w:r>
          </w:p>
        </w:tc>
        <w:tc>
          <w:tcPr>
            <w:tcW w:w="2126" w:type="dxa"/>
            <w:tcBorders>
              <w:top w:val="nil"/>
              <w:left w:val="nil"/>
              <w:bottom w:val="nil"/>
              <w:right w:val="nil"/>
            </w:tcBorders>
            <w:shd w:val="clear" w:color="auto" w:fill="auto"/>
            <w:vAlign w:val="center"/>
            <w:hideMark/>
          </w:tcPr>
          <w:p w14:paraId="6F3BE4E8" w14:textId="77777777" w:rsidR="00D2699D" w:rsidRPr="00D2699D" w:rsidRDefault="00D2699D" w:rsidP="00D2699D">
            <w:pPr>
              <w:widowControl/>
              <w:spacing w:after="0" w:line="240" w:lineRule="auto"/>
              <w:jc w:val="center"/>
              <w:rPr>
                <w:rFonts w:eastAsia="Times New Roman" w:cs="Arial"/>
                <w:b/>
                <w:bCs/>
                <w:color w:val="000000"/>
                <w:sz w:val="18"/>
                <w:szCs w:val="18"/>
                <w:lang w:eastAsia="es-MX"/>
              </w:rPr>
            </w:pPr>
            <w:r w:rsidRPr="00D2699D">
              <w:rPr>
                <w:rFonts w:eastAsia="Times New Roman" w:cs="Arial"/>
                <w:b/>
                <w:bCs/>
                <w:color w:val="000000"/>
                <w:sz w:val="18"/>
                <w:szCs w:val="18"/>
                <w:lang w:eastAsia="es-MX"/>
              </w:rPr>
              <w:t> </w:t>
            </w:r>
          </w:p>
        </w:tc>
        <w:tc>
          <w:tcPr>
            <w:tcW w:w="1336" w:type="dxa"/>
            <w:tcBorders>
              <w:top w:val="nil"/>
              <w:left w:val="single" w:sz="4" w:space="0" w:color="000000"/>
              <w:bottom w:val="nil"/>
              <w:right w:val="single" w:sz="4" w:space="0" w:color="000000"/>
            </w:tcBorders>
            <w:shd w:val="clear" w:color="auto" w:fill="auto"/>
            <w:vAlign w:val="center"/>
            <w:hideMark/>
          </w:tcPr>
          <w:p w14:paraId="67C99D47" w14:textId="77777777" w:rsidR="00D2699D" w:rsidRPr="00D2699D" w:rsidRDefault="00D2699D" w:rsidP="00D2699D">
            <w:pPr>
              <w:widowControl/>
              <w:spacing w:after="0" w:line="240" w:lineRule="auto"/>
              <w:jc w:val="center"/>
              <w:rPr>
                <w:rFonts w:eastAsia="Times New Roman" w:cs="Arial"/>
                <w:color w:val="000000"/>
                <w:sz w:val="14"/>
                <w:szCs w:val="12"/>
                <w:lang w:eastAsia="es-MX"/>
              </w:rPr>
            </w:pPr>
            <w:r w:rsidRPr="00D2699D">
              <w:rPr>
                <w:rFonts w:eastAsia="Times New Roman" w:cs="Arial"/>
                <w:color w:val="000000"/>
                <w:sz w:val="14"/>
                <w:szCs w:val="12"/>
                <w:lang w:eastAsia="es-MX"/>
              </w:rPr>
              <w:t> </w:t>
            </w:r>
          </w:p>
        </w:tc>
        <w:tc>
          <w:tcPr>
            <w:tcW w:w="1336" w:type="dxa"/>
            <w:tcBorders>
              <w:top w:val="nil"/>
              <w:left w:val="nil"/>
              <w:bottom w:val="nil"/>
              <w:right w:val="single" w:sz="4" w:space="0" w:color="000000"/>
            </w:tcBorders>
            <w:shd w:val="clear" w:color="auto" w:fill="auto"/>
            <w:vAlign w:val="center"/>
            <w:hideMark/>
          </w:tcPr>
          <w:p w14:paraId="3CA3AD72" w14:textId="77777777" w:rsidR="00D2699D" w:rsidRPr="00D2699D" w:rsidRDefault="00D2699D" w:rsidP="00D2699D">
            <w:pPr>
              <w:widowControl/>
              <w:spacing w:after="0" w:line="240" w:lineRule="auto"/>
              <w:jc w:val="center"/>
              <w:rPr>
                <w:rFonts w:eastAsia="Times New Roman" w:cs="Arial"/>
                <w:color w:val="000000"/>
                <w:sz w:val="14"/>
                <w:szCs w:val="12"/>
                <w:lang w:eastAsia="es-MX"/>
              </w:rPr>
            </w:pPr>
            <w:r w:rsidRPr="00D2699D">
              <w:rPr>
                <w:rFonts w:eastAsia="Times New Roman" w:cs="Arial"/>
                <w:color w:val="000000"/>
                <w:sz w:val="14"/>
                <w:szCs w:val="12"/>
                <w:lang w:eastAsia="es-MX"/>
              </w:rPr>
              <w:t> </w:t>
            </w:r>
          </w:p>
        </w:tc>
        <w:tc>
          <w:tcPr>
            <w:tcW w:w="1029" w:type="dxa"/>
            <w:tcBorders>
              <w:top w:val="nil"/>
              <w:left w:val="nil"/>
              <w:bottom w:val="nil"/>
              <w:right w:val="single" w:sz="4" w:space="0" w:color="000000"/>
            </w:tcBorders>
            <w:shd w:val="clear" w:color="auto" w:fill="auto"/>
            <w:vAlign w:val="center"/>
            <w:hideMark/>
          </w:tcPr>
          <w:p w14:paraId="6E41C388" w14:textId="77777777" w:rsidR="00D2699D" w:rsidRPr="00D2699D" w:rsidRDefault="00D2699D" w:rsidP="00D2699D">
            <w:pPr>
              <w:widowControl/>
              <w:spacing w:after="0" w:line="240" w:lineRule="auto"/>
              <w:jc w:val="center"/>
              <w:rPr>
                <w:rFonts w:eastAsia="Times New Roman" w:cs="Arial"/>
                <w:color w:val="000000"/>
                <w:sz w:val="14"/>
                <w:szCs w:val="12"/>
                <w:lang w:eastAsia="es-MX"/>
              </w:rPr>
            </w:pPr>
            <w:r w:rsidRPr="00D2699D">
              <w:rPr>
                <w:rFonts w:eastAsia="Times New Roman" w:cs="Arial"/>
                <w:color w:val="000000"/>
                <w:sz w:val="14"/>
                <w:szCs w:val="12"/>
                <w:lang w:eastAsia="es-MX"/>
              </w:rPr>
              <w:t> </w:t>
            </w:r>
          </w:p>
        </w:tc>
        <w:tc>
          <w:tcPr>
            <w:tcW w:w="1090" w:type="dxa"/>
            <w:tcBorders>
              <w:top w:val="nil"/>
              <w:left w:val="nil"/>
              <w:bottom w:val="nil"/>
              <w:right w:val="single" w:sz="4" w:space="0" w:color="000000"/>
            </w:tcBorders>
            <w:shd w:val="clear" w:color="auto" w:fill="auto"/>
            <w:vAlign w:val="center"/>
            <w:hideMark/>
          </w:tcPr>
          <w:p w14:paraId="6BF71F6E" w14:textId="77777777" w:rsidR="00D2699D" w:rsidRPr="00D2699D" w:rsidRDefault="00D2699D" w:rsidP="00D2699D">
            <w:pPr>
              <w:widowControl/>
              <w:spacing w:after="0" w:line="240" w:lineRule="auto"/>
              <w:jc w:val="center"/>
              <w:rPr>
                <w:rFonts w:eastAsia="Times New Roman" w:cs="Arial"/>
                <w:color w:val="000000"/>
                <w:sz w:val="14"/>
                <w:szCs w:val="12"/>
                <w:lang w:eastAsia="es-MX"/>
              </w:rPr>
            </w:pPr>
            <w:r w:rsidRPr="00D2699D">
              <w:rPr>
                <w:rFonts w:eastAsia="Times New Roman" w:cs="Arial"/>
                <w:color w:val="000000"/>
                <w:sz w:val="14"/>
                <w:szCs w:val="12"/>
                <w:lang w:eastAsia="es-MX"/>
              </w:rPr>
              <w:t> </w:t>
            </w:r>
          </w:p>
        </w:tc>
        <w:tc>
          <w:tcPr>
            <w:tcW w:w="1029" w:type="dxa"/>
            <w:tcBorders>
              <w:top w:val="nil"/>
              <w:left w:val="nil"/>
              <w:bottom w:val="nil"/>
              <w:right w:val="single" w:sz="4" w:space="0" w:color="000000"/>
            </w:tcBorders>
            <w:shd w:val="clear" w:color="auto" w:fill="auto"/>
            <w:vAlign w:val="center"/>
            <w:hideMark/>
          </w:tcPr>
          <w:p w14:paraId="027DB5E0" w14:textId="77777777" w:rsidR="00D2699D" w:rsidRPr="00D2699D" w:rsidRDefault="00D2699D" w:rsidP="00D2699D">
            <w:pPr>
              <w:widowControl/>
              <w:spacing w:after="0" w:line="240" w:lineRule="auto"/>
              <w:jc w:val="center"/>
              <w:rPr>
                <w:rFonts w:eastAsia="Times New Roman" w:cs="Arial"/>
                <w:color w:val="000000"/>
                <w:sz w:val="14"/>
                <w:szCs w:val="12"/>
                <w:lang w:eastAsia="es-MX"/>
              </w:rPr>
            </w:pPr>
            <w:r w:rsidRPr="00D2699D">
              <w:rPr>
                <w:rFonts w:eastAsia="Times New Roman" w:cs="Arial"/>
                <w:color w:val="000000"/>
                <w:sz w:val="14"/>
                <w:szCs w:val="12"/>
                <w:lang w:eastAsia="es-MX"/>
              </w:rPr>
              <w:t> </w:t>
            </w:r>
          </w:p>
        </w:tc>
        <w:tc>
          <w:tcPr>
            <w:tcW w:w="1096" w:type="dxa"/>
            <w:tcBorders>
              <w:top w:val="nil"/>
              <w:left w:val="nil"/>
              <w:bottom w:val="nil"/>
              <w:right w:val="single" w:sz="4" w:space="0" w:color="000000"/>
            </w:tcBorders>
            <w:shd w:val="clear" w:color="auto" w:fill="auto"/>
            <w:vAlign w:val="center"/>
            <w:hideMark/>
          </w:tcPr>
          <w:p w14:paraId="2BB7100B" w14:textId="77777777" w:rsidR="00D2699D" w:rsidRPr="00D2699D" w:rsidRDefault="00D2699D" w:rsidP="00D2699D">
            <w:pPr>
              <w:widowControl/>
              <w:spacing w:after="0" w:line="240" w:lineRule="auto"/>
              <w:jc w:val="center"/>
              <w:rPr>
                <w:rFonts w:eastAsia="Times New Roman" w:cs="Arial"/>
                <w:color w:val="000000"/>
                <w:sz w:val="14"/>
                <w:szCs w:val="12"/>
                <w:lang w:eastAsia="es-MX"/>
              </w:rPr>
            </w:pPr>
            <w:r w:rsidRPr="00D2699D">
              <w:rPr>
                <w:rFonts w:eastAsia="Times New Roman" w:cs="Arial"/>
                <w:color w:val="000000"/>
                <w:sz w:val="14"/>
                <w:szCs w:val="12"/>
                <w:lang w:eastAsia="es-MX"/>
              </w:rPr>
              <w:t> </w:t>
            </w:r>
          </w:p>
        </w:tc>
        <w:tc>
          <w:tcPr>
            <w:tcW w:w="995" w:type="dxa"/>
            <w:tcBorders>
              <w:top w:val="nil"/>
              <w:left w:val="nil"/>
              <w:bottom w:val="nil"/>
              <w:right w:val="single" w:sz="4" w:space="0" w:color="000000"/>
            </w:tcBorders>
            <w:shd w:val="clear" w:color="auto" w:fill="auto"/>
            <w:vAlign w:val="center"/>
            <w:hideMark/>
          </w:tcPr>
          <w:p w14:paraId="28EF3C48" w14:textId="77777777" w:rsidR="00D2699D" w:rsidRPr="00D2699D" w:rsidRDefault="00D2699D" w:rsidP="00D2699D">
            <w:pPr>
              <w:widowControl/>
              <w:spacing w:after="0" w:line="240" w:lineRule="auto"/>
              <w:jc w:val="center"/>
              <w:rPr>
                <w:rFonts w:eastAsia="Times New Roman" w:cs="Arial"/>
                <w:color w:val="000000"/>
                <w:sz w:val="14"/>
                <w:szCs w:val="12"/>
                <w:lang w:eastAsia="es-MX"/>
              </w:rPr>
            </w:pPr>
            <w:r w:rsidRPr="00D2699D">
              <w:rPr>
                <w:rFonts w:eastAsia="Times New Roman" w:cs="Arial"/>
                <w:color w:val="000000"/>
                <w:sz w:val="14"/>
                <w:szCs w:val="12"/>
                <w:lang w:eastAsia="es-MX"/>
              </w:rPr>
              <w:t> </w:t>
            </w:r>
          </w:p>
        </w:tc>
        <w:tc>
          <w:tcPr>
            <w:tcW w:w="994" w:type="dxa"/>
            <w:tcBorders>
              <w:top w:val="nil"/>
              <w:left w:val="nil"/>
              <w:bottom w:val="nil"/>
              <w:right w:val="single" w:sz="4" w:space="0" w:color="auto"/>
            </w:tcBorders>
            <w:shd w:val="clear" w:color="auto" w:fill="auto"/>
            <w:vAlign w:val="center"/>
            <w:hideMark/>
          </w:tcPr>
          <w:p w14:paraId="7CE86F2B" w14:textId="77777777" w:rsidR="00D2699D" w:rsidRPr="00D2699D" w:rsidRDefault="00D2699D" w:rsidP="00D2699D">
            <w:pPr>
              <w:widowControl/>
              <w:spacing w:after="0" w:line="240" w:lineRule="auto"/>
              <w:jc w:val="center"/>
              <w:rPr>
                <w:rFonts w:eastAsia="Times New Roman" w:cs="Arial"/>
                <w:color w:val="000000"/>
                <w:sz w:val="14"/>
                <w:szCs w:val="12"/>
                <w:lang w:eastAsia="es-MX"/>
              </w:rPr>
            </w:pPr>
            <w:r w:rsidRPr="00D2699D">
              <w:rPr>
                <w:rFonts w:eastAsia="Times New Roman" w:cs="Arial"/>
                <w:color w:val="000000"/>
                <w:sz w:val="14"/>
                <w:szCs w:val="12"/>
                <w:lang w:eastAsia="es-MX"/>
              </w:rPr>
              <w:t> </w:t>
            </w:r>
          </w:p>
        </w:tc>
      </w:tr>
      <w:tr w:rsidR="00AC2671" w:rsidRPr="00D2699D" w14:paraId="04E1EFEA"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hideMark/>
          </w:tcPr>
          <w:p w14:paraId="503E325E" w14:textId="77777777" w:rsidR="00D2699D" w:rsidRPr="00D2699D" w:rsidRDefault="00D2699D" w:rsidP="00D2699D">
            <w:pPr>
              <w:widowControl/>
              <w:spacing w:after="0" w:line="240" w:lineRule="auto"/>
              <w:rPr>
                <w:rFonts w:ascii="Calibri" w:eastAsia="Times New Roman" w:hAnsi="Calibri" w:cs="Calibri"/>
                <w:color w:val="000000"/>
                <w:sz w:val="14"/>
                <w:lang w:eastAsia="es-MX"/>
              </w:rPr>
            </w:pPr>
            <w:r w:rsidRPr="00D2699D">
              <w:rPr>
                <w:rFonts w:ascii="Calibri" w:eastAsia="Times New Roman" w:hAnsi="Calibri" w:cs="Calibri"/>
                <w:color w:val="000000"/>
                <w:sz w:val="14"/>
                <w:lang w:eastAsia="es-MX"/>
              </w:rPr>
              <w:t> </w:t>
            </w:r>
          </w:p>
        </w:tc>
        <w:tc>
          <w:tcPr>
            <w:tcW w:w="2126" w:type="dxa"/>
            <w:tcBorders>
              <w:top w:val="nil"/>
              <w:left w:val="nil"/>
              <w:bottom w:val="nil"/>
              <w:right w:val="nil"/>
            </w:tcBorders>
            <w:shd w:val="clear" w:color="auto" w:fill="auto"/>
            <w:vAlign w:val="center"/>
            <w:hideMark/>
          </w:tcPr>
          <w:p w14:paraId="7D1F114B" w14:textId="77777777" w:rsidR="00D2699D" w:rsidRPr="00D2699D" w:rsidRDefault="00D2699D" w:rsidP="00D2699D">
            <w:pPr>
              <w:widowControl/>
              <w:spacing w:after="0" w:line="240" w:lineRule="auto"/>
              <w:rPr>
                <w:rFonts w:eastAsia="Times New Roman" w:cs="Arial"/>
                <w:b/>
                <w:bCs/>
                <w:color w:val="000000"/>
                <w:sz w:val="18"/>
                <w:szCs w:val="18"/>
                <w:lang w:eastAsia="es-MX"/>
              </w:rPr>
            </w:pPr>
            <w:r w:rsidRPr="00D2699D">
              <w:rPr>
                <w:rFonts w:eastAsia="Times New Roman" w:cs="Arial"/>
                <w:b/>
                <w:bCs/>
                <w:color w:val="000000"/>
                <w:sz w:val="18"/>
                <w:szCs w:val="18"/>
                <w:lang w:eastAsia="es-MX"/>
              </w:rPr>
              <w:t>Balance de Apertura</w:t>
            </w:r>
          </w:p>
        </w:tc>
        <w:tc>
          <w:tcPr>
            <w:tcW w:w="1336" w:type="dxa"/>
            <w:tcBorders>
              <w:top w:val="nil"/>
              <w:left w:val="single" w:sz="4" w:space="0" w:color="000000"/>
              <w:bottom w:val="nil"/>
              <w:right w:val="single" w:sz="4" w:space="0" w:color="000000"/>
            </w:tcBorders>
            <w:shd w:val="clear" w:color="auto" w:fill="auto"/>
            <w:vAlign w:val="center"/>
            <w:hideMark/>
          </w:tcPr>
          <w:p w14:paraId="2BE75F96" w14:textId="77777777" w:rsidR="00D2699D" w:rsidRPr="00D2699D" w:rsidRDefault="00D2699D" w:rsidP="00D2699D">
            <w:pPr>
              <w:widowControl/>
              <w:spacing w:after="0" w:line="240" w:lineRule="auto"/>
              <w:jc w:val="center"/>
              <w:rPr>
                <w:rFonts w:eastAsia="Times New Roman" w:cs="Arial"/>
                <w:color w:val="000000"/>
                <w:sz w:val="14"/>
                <w:szCs w:val="18"/>
                <w:lang w:eastAsia="es-MX"/>
              </w:rPr>
            </w:pPr>
            <w:r w:rsidRPr="00D2699D">
              <w:rPr>
                <w:rFonts w:eastAsia="Times New Roman" w:cs="Arial"/>
                <w:color w:val="000000"/>
                <w:sz w:val="14"/>
                <w:szCs w:val="18"/>
                <w:lang w:eastAsia="es-MX"/>
              </w:rPr>
              <w:t> </w:t>
            </w:r>
          </w:p>
        </w:tc>
        <w:tc>
          <w:tcPr>
            <w:tcW w:w="1336" w:type="dxa"/>
            <w:tcBorders>
              <w:top w:val="nil"/>
              <w:left w:val="nil"/>
              <w:bottom w:val="nil"/>
              <w:right w:val="single" w:sz="4" w:space="0" w:color="000000"/>
            </w:tcBorders>
            <w:shd w:val="clear" w:color="auto" w:fill="auto"/>
            <w:vAlign w:val="center"/>
            <w:hideMark/>
          </w:tcPr>
          <w:p w14:paraId="664AC259" w14:textId="77777777" w:rsidR="00D2699D" w:rsidRPr="00D2699D" w:rsidRDefault="00D2699D" w:rsidP="00D2699D">
            <w:pPr>
              <w:widowControl/>
              <w:spacing w:after="0" w:line="240" w:lineRule="auto"/>
              <w:jc w:val="center"/>
              <w:rPr>
                <w:rFonts w:eastAsia="Times New Roman" w:cs="Arial"/>
                <w:color w:val="000000"/>
                <w:sz w:val="14"/>
                <w:szCs w:val="18"/>
                <w:lang w:eastAsia="es-MX"/>
              </w:rPr>
            </w:pPr>
            <w:r w:rsidRPr="00D2699D">
              <w:rPr>
                <w:rFonts w:eastAsia="Times New Roman" w:cs="Arial"/>
                <w:color w:val="000000"/>
                <w:sz w:val="14"/>
                <w:szCs w:val="18"/>
                <w:lang w:eastAsia="es-MX"/>
              </w:rPr>
              <w:t> </w:t>
            </w:r>
          </w:p>
        </w:tc>
        <w:tc>
          <w:tcPr>
            <w:tcW w:w="1029" w:type="dxa"/>
            <w:tcBorders>
              <w:top w:val="nil"/>
              <w:left w:val="nil"/>
              <w:bottom w:val="nil"/>
              <w:right w:val="single" w:sz="4" w:space="0" w:color="000000"/>
            </w:tcBorders>
            <w:shd w:val="clear" w:color="auto" w:fill="auto"/>
            <w:vAlign w:val="center"/>
            <w:hideMark/>
          </w:tcPr>
          <w:p w14:paraId="5D0ECDC3" w14:textId="77777777" w:rsidR="00D2699D" w:rsidRPr="00D2699D" w:rsidRDefault="00D2699D" w:rsidP="00D2699D">
            <w:pPr>
              <w:widowControl/>
              <w:spacing w:after="0" w:line="240" w:lineRule="auto"/>
              <w:jc w:val="center"/>
              <w:rPr>
                <w:rFonts w:eastAsia="Times New Roman" w:cs="Arial"/>
                <w:color w:val="000000"/>
                <w:sz w:val="14"/>
                <w:szCs w:val="18"/>
                <w:lang w:eastAsia="es-MX"/>
              </w:rPr>
            </w:pPr>
            <w:r w:rsidRPr="00D2699D">
              <w:rPr>
                <w:rFonts w:eastAsia="Times New Roman" w:cs="Arial"/>
                <w:color w:val="000000"/>
                <w:sz w:val="14"/>
                <w:szCs w:val="18"/>
                <w:lang w:eastAsia="es-MX"/>
              </w:rPr>
              <w:t> </w:t>
            </w:r>
          </w:p>
        </w:tc>
        <w:tc>
          <w:tcPr>
            <w:tcW w:w="1090" w:type="dxa"/>
            <w:tcBorders>
              <w:top w:val="nil"/>
              <w:left w:val="nil"/>
              <w:bottom w:val="nil"/>
              <w:right w:val="single" w:sz="4" w:space="0" w:color="000000"/>
            </w:tcBorders>
            <w:shd w:val="clear" w:color="auto" w:fill="auto"/>
            <w:vAlign w:val="center"/>
            <w:hideMark/>
          </w:tcPr>
          <w:p w14:paraId="1BF88E3B" w14:textId="77777777" w:rsidR="00D2699D" w:rsidRPr="00D2699D" w:rsidRDefault="00D2699D" w:rsidP="00D2699D">
            <w:pPr>
              <w:widowControl/>
              <w:spacing w:after="0" w:line="240" w:lineRule="auto"/>
              <w:jc w:val="center"/>
              <w:rPr>
                <w:rFonts w:eastAsia="Times New Roman" w:cs="Arial"/>
                <w:color w:val="000000"/>
                <w:sz w:val="14"/>
                <w:szCs w:val="18"/>
                <w:lang w:eastAsia="es-MX"/>
              </w:rPr>
            </w:pPr>
            <w:r w:rsidRPr="00D2699D">
              <w:rPr>
                <w:rFonts w:eastAsia="Times New Roman" w:cs="Arial"/>
                <w:color w:val="000000"/>
                <w:sz w:val="14"/>
                <w:szCs w:val="18"/>
                <w:lang w:eastAsia="es-MX"/>
              </w:rPr>
              <w:t> </w:t>
            </w:r>
          </w:p>
        </w:tc>
        <w:tc>
          <w:tcPr>
            <w:tcW w:w="1029" w:type="dxa"/>
            <w:tcBorders>
              <w:top w:val="nil"/>
              <w:left w:val="nil"/>
              <w:bottom w:val="nil"/>
              <w:right w:val="single" w:sz="4" w:space="0" w:color="000000"/>
            </w:tcBorders>
            <w:shd w:val="clear" w:color="auto" w:fill="auto"/>
            <w:vAlign w:val="center"/>
            <w:hideMark/>
          </w:tcPr>
          <w:p w14:paraId="29751F7D" w14:textId="77777777" w:rsidR="00D2699D" w:rsidRPr="00D2699D" w:rsidRDefault="00D2699D" w:rsidP="00D2699D">
            <w:pPr>
              <w:widowControl/>
              <w:spacing w:after="0" w:line="240" w:lineRule="auto"/>
              <w:jc w:val="center"/>
              <w:rPr>
                <w:rFonts w:eastAsia="Times New Roman" w:cs="Arial"/>
                <w:color w:val="000000"/>
                <w:sz w:val="14"/>
                <w:szCs w:val="18"/>
                <w:lang w:eastAsia="es-MX"/>
              </w:rPr>
            </w:pPr>
            <w:r w:rsidRPr="00D2699D">
              <w:rPr>
                <w:rFonts w:eastAsia="Times New Roman" w:cs="Arial"/>
                <w:color w:val="000000"/>
                <w:sz w:val="14"/>
                <w:szCs w:val="18"/>
                <w:lang w:eastAsia="es-MX"/>
              </w:rPr>
              <w:t> </w:t>
            </w:r>
          </w:p>
        </w:tc>
        <w:tc>
          <w:tcPr>
            <w:tcW w:w="1096" w:type="dxa"/>
            <w:tcBorders>
              <w:top w:val="nil"/>
              <w:left w:val="nil"/>
              <w:bottom w:val="nil"/>
              <w:right w:val="single" w:sz="4" w:space="0" w:color="000000"/>
            </w:tcBorders>
            <w:shd w:val="clear" w:color="auto" w:fill="auto"/>
            <w:vAlign w:val="center"/>
            <w:hideMark/>
          </w:tcPr>
          <w:p w14:paraId="0D45BEC7" w14:textId="77777777" w:rsidR="00D2699D" w:rsidRPr="00D2699D" w:rsidRDefault="00D2699D" w:rsidP="00D2699D">
            <w:pPr>
              <w:widowControl/>
              <w:spacing w:after="0" w:line="240" w:lineRule="auto"/>
              <w:jc w:val="center"/>
              <w:rPr>
                <w:rFonts w:eastAsia="Times New Roman" w:cs="Arial"/>
                <w:color w:val="000000"/>
                <w:sz w:val="14"/>
                <w:szCs w:val="18"/>
                <w:lang w:eastAsia="es-MX"/>
              </w:rPr>
            </w:pPr>
            <w:r w:rsidRPr="00D2699D">
              <w:rPr>
                <w:rFonts w:eastAsia="Times New Roman" w:cs="Arial"/>
                <w:color w:val="000000"/>
                <w:sz w:val="14"/>
                <w:szCs w:val="18"/>
                <w:lang w:eastAsia="es-MX"/>
              </w:rPr>
              <w:t> </w:t>
            </w:r>
          </w:p>
        </w:tc>
        <w:tc>
          <w:tcPr>
            <w:tcW w:w="995" w:type="dxa"/>
            <w:tcBorders>
              <w:top w:val="nil"/>
              <w:left w:val="nil"/>
              <w:bottom w:val="nil"/>
              <w:right w:val="single" w:sz="4" w:space="0" w:color="000000"/>
            </w:tcBorders>
            <w:shd w:val="clear" w:color="auto" w:fill="auto"/>
            <w:vAlign w:val="center"/>
            <w:hideMark/>
          </w:tcPr>
          <w:p w14:paraId="47B48CE4" w14:textId="77777777" w:rsidR="00D2699D" w:rsidRPr="00D2699D" w:rsidRDefault="00D2699D" w:rsidP="00D2699D">
            <w:pPr>
              <w:widowControl/>
              <w:spacing w:after="0" w:line="240" w:lineRule="auto"/>
              <w:jc w:val="center"/>
              <w:rPr>
                <w:rFonts w:eastAsia="Times New Roman" w:cs="Arial"/>
                <w:color w:val="000000"/>
                <w:sz w:val="14"/>
                <w:szCs w:val="18"/>
                <w:lang w:eastAsia="es-MX"/>
              </w:rPr>
            </w:pPr>
            <w:r w:rsidRPr="00D2699D">
              <w:rPr>
                <w:rFonts w:eastAsia="Times New Roman" w:cs="Arial"/>
                <w:color w:val="000000"/>
                <w:sz w:val="14"/>
                <w:szCs w:val="18"/>
                <w:lang w:eastAsia="es-MX"/>
              </w:rPr>
              <w:t> </w:t>
            </w:r>
          </w:p>
        </w:tc>
        <w:tc>
          <w:tcPr>
            <w:tcW w:w="994" w:type="dxa"/>
            <w:tcBorders>
              <w:top w:val="nil"/>
              <w:left w:val="nil"/>
              <w:bottom w:val="nil"/>
              <w:right w:val="single" w:sz="4" w:space="0" w:color="auto"/>
            </w:tcBorders>
            <w:shd w:val="clear" w:color="auto" w:fill="auto"/>
            <w:vAlign w:val="center"/>
            <w:hideMark/>
          </w:tcPr>
          <w:p w14:paraId="748DF44C" w14:textId="77777777" w:rsidR="00D2699D" w:rsidRPr="00D2699D" w:rsidRDefault="00D2699D" w:rsidP="00D2699D">
            <w:pPr>
              <w:widowControl/>
              <w:spacing w:after="0" w:line="240" w:lineRule="auto"/>
              <w:jc w:val="center"/>
              <w:rPr>
                <w:rFonts w:eastAsia="Times New Roman" w:cs="Arial"/>
                <w:color w:val="000000"/>
                <w:sz w:val="14"/>
                <w:szCs w:val="18"/>
                <w:lang w:eastAsia="es-MX"/>
              </w:rPr>
            </w:pPr>
            <w:r w:rsidRPr="00D2699D">
              <w:rPr>
                <w:rFonts w:eastAsia="Times New Roman" w:cs="Arial"/>
                <w:color w:val="000000"/>
                <w:sz w:val="14"/>
                <w:szCs w:val="18"/>
                <w:lang w:eastAsia="es-MX"/>
              </w:rPr>
              <w:t> </w:t>
            </w:r>
          </w:p>
        </w:tc>
      </w:tr>
      <w:tr w:rsidR="00AC2671" w:rsidRPr="00D2699D" w14:paraId="70C55034" w14:textId="77777777" w:rsidTr="00AC2671">
        <w:trPr>
          <w:divId w:val="1231891367"/>
          <w:trHeight w:val="381"/>
          <w:jc w:val="center"/>
        </w:trPr>
        <w:tc>
          <w:tcPr>
            <w:tcW w:w="398" w:type="dxa"/>
            <w:tcBorders>
              <w:top w:val="nil"/>
              <w:left w:val="single" w:sz="4" w:space="0" w:color="auto"/>
              <w:bottom w:val="nil"/>
              <w:right w:val="single" w:sz="4" w:space="0" w:color="000000"/>
            </w:tcBorders>
            <w:shd w:val="clear" w:color="auto" w:fill="auto"/>
            <w:vAlign w:val="center"/>
            <w:hideMark/>
          </w:tcPr>
          <w:p w14:paraId="6ABD917D"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AN</w:t>
            </w:r>
          </w:p>
        </w:tc>
        <w:tc>
          <w:tcPr>
            <w:tcW w:w="2126" w:type="dxa"/>
            <w:tcBorders>
              <w:top w:val="nil"/>
              <w:left w:val="nil"/>
              <w:bottom w:val="nil"/>
              <w:right w:val="nil"/>
            </w:tcBorders>
            <w:shd w:val="clear" w:color="auto" w:fill="auto"/>
            <w:vAlign w:val="center"/>
            <w:hideMark/>
          </w:tcPr>
          <w:p w14:paraId="05834C12" w14:textId="649767CA"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xml:space="preserve">Activos </w:t>
            </w:r>
            <w:r w:rsidR="00AC2671">
              <w:rPr>
                <w:rFonts w:eastAsia="Times New Roman" w:cs="Arial"/>
                <w:color w:val="000000"/>
                <w:sz w:val="18"/>
                <w:szCs w:val="18"/>
                <w:lang w:eastAsia="es-MX"/>
              </w:rPr>
              <w:t>n</w:t>
            </w:r>
            <w:r w:rsidRPr="00D2699D">
              <w:rPr>
                <w:rFonts w:eastAsia="Times New Roman" w:cs="Arial"/>
                <w:color w:val="000000"/>
                <w:sz w:val="18"/>
                <w:szCs w:val="18"/>
                <w:lang w:eastAsia="es-MX"/>
              </w:rPr>
              <w:t xml:space="preserve">o </w:t>
            </w:r>
            <w:r w:rsidR="00AC2671">
              <w:rPr>
                <w:rFonts w:eastAsia="Times New Roman" w:cs="Arial"/>
                <w:color w:val="000000"/>
                <w:sz w:val="18"/>
                <w:szCs w:val="18"/>
                <w:lang w:eastAsia="es-MX"/>
              </w:rPr>
              <w:t>f</w:t>
            </w:r>
            <w:r w:rsidRPr="00D2699D">
              <w:rPr>
                <w:rFonts w:eastAsia="Times New Roman" w:cs="Arial"/>
                <w:color w:val="000000"/>
                <w:sz w:val="18"/>
                <w:szCs w:val="18"/>
                <w:lang w:eastAsia="es-MX"/>
              </w:rPr>
              <w:t>inancieros</w:t>
            </w:r>
          </w:p>
        </w:tc>
        <w:tc>
          <w:tcPr>
            <w:tcW w:w="1336" w:type="dxa"/>
            <w:tcBorders>
              <w:top w:val="nil"/>
              <w:left w:val="single" w:sz="4" w:space="0" w:color="000000"/>
              <w:bottom w:val="nil"/>
              <w:right w:val="single" w:sz="4" w:space="0" w:color="000000"/>
            </w:tcBorders>
            <w:shd w:val="clear" w:color="auto" w:fill="auto"/>
            <w:vAlign w:val="center"/>
            <w:hideMark/>
          </w:tcPr>
          <w:p w14:paraId="1909F1FC"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316.0</w:t>
            </w:r>
          </w:p>
        </w:tc>
        <w:tc>
          <w:tcPr>
            <w:tcW w:w="1336" w:type="dxa"/>
            <w:tcBorders>
              <w:top w:val="nil"/>
              <w:left w:val="nil"/>
              <w:bottom w:val="nil"/>
              <w:right w:val="single" w:sz="4" w:space="0" w:color="000000"/>
            </w:tcBorders>
            <w:shd w:val="clear" w:color="auto" w:fill="auto"/>
            <w:vAlign w:val="center"/>
            <w:hideMark/>
          </w:tcPr>
          <w:p w14:paraId="2D9500CD"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5.0</w:t>
            </w:r>
          </w:p>
        </w:tc>
        <w:tc>
          <w:tcPr>
            <w:tcW w:w="1029" w:type="dxa"/>
            <w:tcBorders>
              <w:top w:val="nil"/>
              <w:left w:val="nil"/>
              <w:bottom w:val="nil"/>
              <w:right w:val="single" w:sz="4" w:space="0" w:color="000000"/>
            </w:tcBorders>
            <w:shd w:val="clear" w:color="auto" w:fill="auto"/>
            <w:vAlign w:val="center"/>
            <w:hideMark/>
          </w:tcPr>
          <w:p w14:paraId="484C916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105.5</w:t>
            </w:r>
          </w:p>
        </w:tc>
        <w:tc>
          <w:tcPr>
            <w:tcW w:w="1090" w:type="dxa"/>
            <w:tcBorders>
              <w:top w:val="nil"/>
              <w:left w:val="nil"/>
              <w:bottom w:val="nil"/>
              <w:right w:val="single" w:sz="4" w:space="0" w:color="000000"/>
            </w:tcBorders>
            <w:shd w:val="clear" w:color="auto" w:fill="auto"/>
            <w:vAlign w:val="center"/>
            <w:hideMark/>
          </w:tcPr>
          <w:p w14:paraId="3C735A4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184.1</w:t>
            </w:r>
          </w:p>
        </w:tc>
        <w:tc>
          <w:tcPr>
            <w:tcW w:w="1029" w:type="dxa"/>
            <w:tcBorders>
              <w:top w:val="nil"/>
              <w:left w:val="nil"/>
              <w:bottom w:val="nil"/>
              <w:right w:val="single" w:sz="4" w:space="0" w:color="000000"/>
            </w:tcBorders>
            <w:shd w:val="clear" w:color="auto" w:fill="auto"/>
            <w:vAlign w:val="center"/>
            <w:hideMark/>
          </w:tcPr>
          <w:p w14:paraId="305B8700"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3.4</w:t>
            </w:r>
          </w:p>
        </w:tc>
        <w:tc>
          <w:tcPr>
            <w:tcW w:w="1096" w:type="dxa"/>
            <w:tcBorders>
              <w:top w:val="nil"/>
              <w:left w:val="nil"/>
              <w:bottom w:val="nil"/>
              <w:right w:val="single" w:sz="4" w:space="0" w:color="000000"/>
            </w:tcBorders>
            <w:shd w:val="clear" w:color="auto" w:fill="auto"/>
            <w:vAlign w:val="center"/>
            <w:hideMark/>
          </w:tcPr>
          <w:p w14:paraId="4256D4B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614.0</w:t>
            </w:r>
          </w:p>
        </w:tc>
        <w:tc>
          <w:tcPr>
            <w:tcW w:w="995" w:type="dxa"/>
            <w:tcBorders>
              <w:top w:val="nil"/>
              <w:left w:val="nil"/>
              <w:bottom w:val="nil"/>
              <w:right w:val="single" w:sz="4" w:space="0" w:color="000000"/>
            </w:tcBorders>
            <w:shd w:val="clear" w:color="auto" w:fill="auto"/>
            <w:vAlign w:val="center"/>
            <w:hideMark/>
          </w:tcPr>
          <w:p w14:paraId="182BD996"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0.0</w:t>
            </w:r>
          </w:p>
        </w:tc>
        <w:tc>
          <w:tcPr>
            <w:tcW w:w="994" w:type="dxa"/>
            <w:tcBorders>
              <w:top w:val="nil"/>
              <w:left w:val="nil"/>
              <w:bottom w:val="nil"/>
              <w:right w:val="single" w:sz="4" w:space="0" w:color="auto"/>
            </w:tcBorders>
            <w:shd w:val="clear" w:color="auto" w:fill="auto"/>
            <w:vAlign w:val="center"/>
            <w:hideMark/>
          </w:tcPr>
          <w:p w14:paraId="65470630"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614.0</w:t>
            </w:r>
          </w:p>
        </w:tc>
      </w:tr>
      <w:tr w:rsidR="00AC2671" w:rsidRPr="00D2699D" w14:paraId="60C9825B"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5CA2C2E4"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AF</w:t>
            </w:r>
          </w:p>
        </w:tc>
        <w:tc>
          <w:tcPr>
            <w:tcW w:w="2126" w:type="dxa"/>
            <w:tcBorders>
              <w:top w:val="nil"/>
              <w:left w:val="nil"/>
              <w:bottom w:val="nil"/>
              <w:right w:val="nil"/>
            </w:tcBorders>
            <w:shd w:val="clear" w:color="auto" w:fill="auto"/>
            <w:vAlign w:val="center"/>
            <w:hideMark/>
          </w:tcPr>
          <w:p w14:paraId="6B1B8329" w14:textId="1F759A2F"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xml:space="preserve">Activos </w:t>
            </w:r>
            <w:r w:rsidR="00AC2671">
              <w:rPr>
                <w:rFonts w:eastAsia="Times New Roman" w:cs="Arial"/>
                <w:color w:val="000000"/>
                <w:sz w:val="18"/>
                <w:szCs w:val="18"/>
                <w:lang w:eastAsia="es-MX"/>
              </w:rPr>
              <w:t>f</w:t>
            </w:r>
            <w:r w:rsidRPr="00D2699D">
              <w:rPr>
                <w:rFonts w:eastAsia="Times New Roman" w:cs="Arial"/>
                <w:color w:val="000000"/>
                <w:sz w:val="18"/>
                <w:szCs w:val="18"/>
                <w:lang w:eastAsia="es-MX"/>
              </w:rPr>
              <w:t>inancieros</w:t>
            </w:r>
          </w:p>
        </w:tc>
        <w:tc>
          <w:tcPr>
            <w:tcW w:w="1336" w:type="dxa"/>
            <w:tcBorders>
              <w:top w:val="nil"/>
              <w:left w:val="single" w:sz="4" w:space="0" w:color="000000"/>
              <w:bottom w:val="nil"/>
              <w:right w:val="single" w:sz="4" w:space="0" w:color="000000"/>
            </w:tcBorders>
            <w:shd w:val="clear" w:color="auto" w:fill="auto"/>
            <w:vAlign w:val="center"/>
            <w:hideMark/>
          </w:tcPr>
          <w:p w14:paraId="1983B00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97.3</w:t>
            </w:r>
          </w:p>
        </w:tc>
        <w:tc>
          <w:tcPr>
            <w:tcW w:w="1336" w:type="dxa"/>
            <w:tcBorders>
              <w:top w:val="nil"/>
              <w:left w:val="nil"/>
              <w:bottom w:val="nil"/>
              <w:right w:val="single" w:sz="4" w:space="0" w:color="000000"/>
            </w:tcBorders>
            <w:shd w:val="clear" w:color="auto" w:fill="auto"/>
            <w:vAlign w:val="center"/>
            <w:hideMark/>
          </w:tcPr>
          <w:p w14:paraId="6C0511B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126.6</w:t>
            </w:r>
          </w:p>
        </w:tc>
        <w:tc>
          <w:tcPr>
            <w:tcW w:w="1029" w:type="dxa"/>
            <w:tcBorders>
              <w:top w:val="nil"/>
              <w:left w:val="nil"/>
              <w:bottom w:val="nil"/>
              <w:right w:val="single" w:sz="4" w:space="0" w:color="000000"/>
            </w:tcBorders>
            <w:shd w:val="clear" w:color="auto" w:fill="auto"/>
            <w:vAlign w:val="center"/>
            <w:hideMark/>
          </w:tcPr>
          <w:p w14:paraId="1985D8D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30.7</w:t>
            </w:r>
          </w:p>
        </w:tc>
        <w:tc>
          <w:tcPr>
            <w:tcW w:w="1090" w:type="dxa"/>
            <w:tcBorders>
              <w:top w:val="nil"/>
              <w:left w:val="nil"/>
              <w:bottom w:val="nil"/>
              <w:right w:val="single" w:sz="4" w:space="0" w:color="000000"/>
            </w:tcBorders>
            <w:shd w:val="clear" w:color="auto" w:fill="auto"/>
            <w:vAlign w:val="center"/>
            <w:hideMark/>
          </w:tcPr>
          <w:p w14:paraId="3EDCD360"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114.2</w:t>
            </w:r>
          </w:p>
        </w:tc>
        <w:tc>
          <w:tcPr>
            <w:tcW w:w="1029" w:type="dxa"/>
            <w:tcBorders>
              <w:top w:val="nil"/>
              <w:left w:val="nil"/>
              <w:bottom w:val="nil"/>
              <w:right w:val="single" w:sz="4" w:space="0" w:color="000000"/>
            </w:tcBorders>
            <w:shd w:val="clear" w:color="auto" w:fill="auto"/>
            <w:vAlign w:val="center"/>
            <w:hideMark/>
          </w:tcPr>
          <w:p w14:paraId="38A5DBD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0.0</w:t>
            </w:r>
          </w:p>
        </w:tc>
        <w:tc>
          <w:tcPr>
            <w:tcW w:w="1096" w:type="dxa"/>
            <w:tcBorders>
              <w:top w:val="nil"/>
              <w:left w:val="nil"/>
              <w:bottom w:val="nil"/>
              <w:right w:val="single" w:sz="4" w:space="0" w:color="000000"/>
            </w:tcBorders>
            <w:shd w:val="clear" w:color="auto" w:fill="auto"/>
            <w:vAlign w:val="center"/>
            <w:hideMark/>
          </w:tcPr>
          <w:p w14:paraId="4DEFE2B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368.8</w:t>
            </w:r>
          </w:p>
        </w:tc>
        <w:tc>
          <w:tcPr>
            <w:tcW w:w="995" w:type="dxa"/>
            <w:tcBorders>
              <w:top w:val="nil"/>
              <w:left w:val="nil"/>
              <w:bottom w:val="nil"/>
              <w:right w:val="single" w:sz="4" w:space="0" w:color="000000"/>
            </w:tcBorders>
            <w:shd w:val="clear" w:color="auto" w:fill="auto"/>
            <w:vAlign w:val="center"/>
            <w:hideMark/>
          </w:tcPr>
          <w:p w14:paraId="06DA040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101.7</w:t>
            </w:r>
          </w:p>
        </w:tc>
        <w:tc>
          <w:tcPr>
            <w:tcW w:w="994" w:type="dxa"/>
            <w:tcBorders>
              <w:top w:val="nil"/>
              <w:left w:val="nil"/>
              <w:bottom w:val="nil"/>
              <w:right w:val="single" w:sz="4" w:space="0" w:color="auto"/>
            </w:tcBorders>
            <w:shd w:val="clear" w:color="auto" w:fill="auto"/>
            <w:vAlign w:val="center"/>
            <w:hideMark/>
          </w:tcPr>
          <w:p w14:paraId="74D9C0E2"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470.5</w:t>
            </w:r>
          </w:p>
        </w:tc>
      </w:tr>
      <w:tr w:rsidR="00AC2671" w:rsidRPr="00D2699D" w14:paraId="0C8C23E8"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2D9AB866"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P</w:t>
            </w:r>
          </w:p>
        </w:tc>
        <w:tc>
          <w:tcPr>
            <w:tcW w:w="2126" w:type="dxa"/>
            <w:tcBorders>
              <w:top w:val="nil"/>
              <w:left w:val="nil"/>
              <w:bottom w:val="nil"/>
              <w:right w:val="nil"/>
            </w:tcBorders>
            <w:shd w:val="clear" w:color="auto" w:fill="auto"/>
            <w:vAlign w:val="center"/>
            <w:hideMark/>
          </w:tcPr>
          <w:p w14:paraId="23A0E4A4" w14:textId="77777777"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Pasivos</w:t>
            </w:r>
          </w:p>
        </w:tc>
        <w:tc>
          <w:tcPr>
            <w:tcW w:w="1336" w:type="dxa"/>
            <w:tcBorders>
              <w:top w:val="nil"/>
              <w:left w:val="single" w:sz="4" w:space="0" w:color="000000"/>
              <w:bottom w:val="nil"/>
              <w:right w:val="single" w:sz="4" w:space="0" w:color="000000"/>
            </w:tcBorders>
            <w:shd w:val="clear" w:color="auto" w:fill="auto"/>
            <w:vAlign w:val="center"/>
            <w:hideMark/>
          </w:tcPr>
          <w:p w14:paraId="6E703B45"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227.7</w:t>
            </w:r>
          </w:p>
        </w:tc>
        <w:tc>
          <w:tcPr>
            <w:tcW w:w="1336" w:type="dxa"/>
            <w:tcBorders>
              <w:top w:val="nil"/>
              <w:left w:val="nil"/>
              <w:bottom w:val="nil"/>
              <w:right w:val="single" w:sz="4" w:space="0" w:color="000000"/>
            </w:tcBorders>
            <w:shd w:val="clear" w:color="auto" w:fill="auto"/>
            <w:vAlign w:val="center"/>
            <w:hideMark/>
          </w:tcPr>
          <w:p w14:paraId="629EC225"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103.2</w:t>
            </w:r>
          </w:p>
        </w:tc>
        <w:tc>
          <w:tcPr>
            <w:tcW w:w="1029" w:type="dxa"/>
            <w:tcBorders>
              <w:top w:val="nil"/>
              <w:left w:val="nil"/>
              <w:bottom w:val="nil"/>
              <w:right w:val="single" w:sz="4" w:space="0" w:color="000000"/>
            </w:tcBorders>
            <w:shd w:val="clear" w:color="auto" w:fill="auto"/>
            <w:vAlign w:val="center"/>
            <w:hideMark/>
          </w:tcPr>
          <w:p w14:paraId="7F8AFDD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74.7</w:t>
            </w:r>
          </w:p>
        </w:tc>
        <w:tc>
          <w:tcPr>
            <w:tcW w:w="1090" w:type="dxa"/>
            <w:tcBorders>
              <w:top w:val="nil"/>
              <w:left w:val="nil"/>
              <w:bottom w:val="nil"/>
              <w:right w:val="single" w:sz="4" w:space="0" w:color="000000"/>
            </w:tcBorders>
            <w:shd w:val="clear" w:color="auto" w:fill="auto"/>
            <w:vAlign w:val="center"/>
            <w:hideMark/>
          </w:tcPr>
          <w:p w14:paraId="12396A11"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-8.0</w:t>
            </w:r>
          </w:p>
        </w:tc>
        <w:tc>
          <w:tcPr>
            <w:tcW w:w="1029" w:type="dxa"/>
            <w:tcBorders>
              <w:top w:val="nil"/>
              <w:left w:val="nil"/>
              <w:bottom w:val="nil"/>
              <w:right w:val="single" w:sz="4" w:space="0" w:color="000000"/>
            </w:tcBorders>
            <w:shd w:val="clear" w:color="auto" w:fill="auto"/>
            <w:vAlign w:val="center"/>
            <w:hideMark/>
          </w:tcPr>
          <w:p w14:paraId="3FA6C7F2"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-3.7</w:t>
            </w:r>
          </w:p>
        </w:tc>
        <w:tc>
          <w:tcPr>
            <w:tcW w:w="1096" w:type="dxa"/>
            <w:tcBorders>
              <w:top w:val="nil"/>
              <w:left w:val="nil"/>
              <w:bottom w:val="nil"/>
              <w:right w:val="single" w:sz="4" w:space="0" w:color="000000"/>
            </w:tcBorders>
            <w:shd w:val="clear" w:color="auto" w:fill="auto"/>
            <w:vAlign w:val="center"/>
            <w:hideMark/>
          </w:tcPr>
          <w:p w14:paraId="7C516A7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393.9</w:t>
            </w:r>
          </w:p>
        </w:tc>
        <w:tc>
          <w:tcPr>
            <w:tcW w:w="995" w:type="dxa"/>
            <w:tcBorders>
              <w:top w:val="nil"/>
              <w:left w:val="nil"/>
              <w:bottom w:val="nil"/>
              <w:right w:val="single" w:sz="4" w:space="0" w:color="000000"/>
            </w:tcBorders>
            <w:shd w:val="clear" w:color="auto" w:fill="auto"/>
            <w:vAlign w:val="center"/>
            <w:hideMark/>
          </w:tcPr>
          <w:p w14:paraId="5A6EA2CF"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60.0</w:t>
            </w:r>
          </w:p>
        </w:tc>
        <w:tc>
          <w:tcPr>
            <w:tcW w:w="994" w:type="dxa"/>
            <w:tcBorders>
              <w:top w:val="nil"/>
              <w:left w:val="nil"/>
              <w:bottom w:val="nil"/>
              <w:right w:val="single" w:sz="4" w:space="0" w:color="auto"/>
            </w:tcBorders>
            <w:shd w:val="clear" w:color="auto" w:fill="auto"/>
            <w:vAlign w:val="center"/>
            <w:hideMark/>
          </w:tcPr>
          <w:p w14:paraId="6168CCF8"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470.5</w:t>
            </w:r>
          </w:p>
        </w:tc>
      </w:tr>
      <w:tr w:rsidR="00AC2671" w:rsidRPr="00D2699D" w14:paraId="1704BBEF" w14:textId="77777777" w:rsidTr="00AC2671">
        <w:trPr>
          <w:divId w:val="1231891367"/>
          <w:trHeight w:val="403"/>
          <w:jc w:val="center"/>
        </w:trPr>
        <w:tc>
          <w:tcPr>
            <w:tcW w:w="398" w:type="dxa"/>
            <w:tcBorders>
              <w:top w:val="nil"/>
              <w:left w:val="single" w:sz="4" w:space="0" w:color="auto"/>
              <w:bottom w:val="nil"/>
              <w:right w:val="single" w:sz="4" w:space="0" w:color="000000"/>
            </w:tcBorders>
            <w:shd w:val="clear" w:color="auto" w:fill="auto"/>
            <w:vAlign w:val="center"/>
            <w:hideMark/>
          </w:tcPr>
          <w:p w14:paraId="774A3EA4"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De</w:t>
            </w:r>
          </w:p>
        </w:tc>
        <w:tc>
          <w:tcPr>
            <w:tcW w:w="2126" w:type="dxa"/>
            <w:tcBorders>
              <w:top w:val="nil"/>
              <w:left w:val="nil"/>
              <w:bottom w:val="nil"/>
              <w:right w:val="nil"/>
            </w:tcBorders>
            <w:shd w:val="clear" w:color="auto" w:fill="auto"/>
            <w:vAlign w:val="center"/>
            <w:hideMark/>
          </w:tcPr>
          <w:p w14:paraId="7651FEBA" w14:textId="77777777"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xml:space="preserve">Discrepancia estadística </w:t>
            </w:r>
          </w:p>
        </w:tc>
        <w:tc>
          <w:tcPr>
            <w:tcW w:w="1336" w:type="dxa"/>
            <w:tcBorders>
              <w:top w:val="nil"/>
              <w:left w:val="single" w:sz="4" w:space="0" w:color="000000"/>
              <w:bottom w:val="nil"/>
              <w:right w:val="single" w:sz="4" w:space="0" w:color="000000"/>
            </w:tcBorders>
            <w:shd w:val="clear" w:color="auto" w:fill="auto"/>
            <w:vAlign w:val="center"/>
            <w:hideMark/>
          </w:tcPr>
          <w:p w14:paraId="42A62E2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336" w:type="dxa"/>
            <w:tcBorders>
              <w:top w:val="nil"/>
              <w:left w:val="nil"/>
              <w:bottom w:val="nil"/>
              <w:right w:val="single" w:sz="4" w:space="0" w:color="000000"/>
            </w:tcBorders>
            <w:shd w:val="clear" w:color="auto" w:fill="auto"/>
            <w:vAlign w:val="center"/>
            <w:hideMark/>
          </w:tcPr>
          <w:p w14:paraId="7C45E030"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1FB696F6"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0" w:type="dxa"/>
            <w:tcBorders>
              <w:top w:val="nil"/>
              <w:left w:val="nil"/>
              <w:bottom w:val="nil"/>
              <w:right w:val="single" w:sz="4" w:space="0" w:color="000000"/>
            </w:tcBorders>
            <w:shd w:val="clear" w:color="auto" w:fill="auto"/>
            <w:vAlign w:val="center"/>
            <w:hideMark/>
          </w:tcPr>
          <w:p w14:paraId="3ACA2938"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789C189D"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6" w:type="dxa"/>
            <w:tcBorders>
              <w:top w:val="nil"/>
              <w:left w:val="nil"/>
              <w:bottom w:val="nil"/>
              <w:right w:val="single" w:sz="4" w:space="0" w:color="000000"/>
            </w:tcBorders>
            <w:shd w:val="clear" w:color="auto" w:fill="auto"/>
            <w:vAlign w:val="center"/>
            <w:hideMark/>
          </w:tcPr>
          <w:p w14:paraId="176945FC"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5" w:type="dxa"/>
            <w:tcBorders>
              <w:top w:val="nil"/>
              <w:left w:val="nil"/>
              <w:bottom w:val="nil"/>
              <w:right w:val="single" w:sz="4" w:space="0" w:color="000000"/>
            </w:tcBorders>
            <w:shd w:val="clear" w:color="auto" w:fill="auto"/>
            <w:vAlign w:val="center"/>
            <w:hideMark/>
          </w:tcPr>
          <w:p w14:paraId="3CAE8D45"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4" w:type="dxa"/>
            <w:tcBorders>
              <w:top w:val="nil"/>
              <w:left w:val="nil"/>
              <w:bottom w:val="nil"/>
              <w:right w:val="single" w:sz="4" w:space="0" w:color="auto"/>
            </w:tcBorders>
            <w:shd w:val="clear" w:color="auto" w:fill="auto"/>
            <w:vAlign w:val="center"/>
            <w:hideMark/>
          </w:tcPr>
          <w:p w14:paraId="0F6E56CD"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16.6</w:t>
            </w:r>
          </w:p>
        </w:tc>
      </w:tr>
      <w:tr w:rsidR="00AC2671" w:rsidRPr="00D2699D" w14:paraId="5BCA7F20" w14:textId="77777777" w:rsidTr="00AC2671">
        <w:trPr>
          <w:divId w:val="1231891367"/>
          <w:trHeight w:val="370"/>
          <w:jc w:val="center"/>
        </w:trPr>
        <w:tc>
          <w:tcPr>
            <w:tcW w:w="398" w:type="dxa"/>
            <w:tcBorders>
              <w:top w:val="nil"/>
              <w:left w:val="single" w:sz="4" w:space="0" w:color="auto"/>
              <w:bottom w:val="nil"/>
              <w:right w:val="single" w:sz="4" w:space="0" w:color="000000"/>
            </w:tcBorders>
            <w:shd w:val="clear" w:color="000000" w:fill="D9E2F3"/>
            <w:vAlign w:val="center"/>
            <w:hideMark/>
          </w:tcPr>
          <w:p w14:paraId="2BAA81EA"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VN</w:t>
            </w:r>
          </w:p>
        </w:tc>
        <w:tc>
          <w:tcPr>
            <w:tcW w:w="2126" w:type="dxa"/>
            <w:tcBorders>
              <w:top w:val="nil"/>
              <w:left w:val="nil"/>
              <w:bottom w:val="nil"/>
              <w:right w:val="nil"/>
            </w:tcBorders>
            <w:shd w:val="clear" w:color="000000" w:fill="D9E2F3"/>
            <w:vAlign w:val="center"/>
            <w:hideMark/>
          </w:tcPr>
          <w:p w14:paraId="4746A96D" w14:textId="7DA8C2D4"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xml:space="preserve">Valor </w:t>
            </w:r>
            <w:r w:rsidR="00AC2671">
              <w:rPr>
                <w:rFonts w:eastAsia="Times New Roman" w:cs="Arial"/>
                <w:color w:val="000000"/>
                <w:sz w:val="18"/>
                <w:szCs w:val="18"/>
                <w:lang w:eastAsia="es-MX"/>
              </w:rPr>
              <w:t>n</w:t>
            </w:r>
            <w:r w:rsidRPr="00D2699D">
              <w:rPr>
                <w:rFonts w:eastAsia="Times New Roman" w:cs="Arial"/>
                <w:color w:val="000000"/>
                <w:sz w:val="18"/>
                <w:szCs w:val="18"/>
                <w:lang w:eastAsia="es-MX"/>
              </w:rPr>
              <w:t>eto (ANF+AF-P)</w:t>
            </w:r>
          </w:p>
        </w:tc>
        <w:tc>
          <w:tcPr>
            <w:tcW w:w="1336" w:type="dxa"/>
            <w:tcBorders>
              <w:top w:val="nil"/>
              <w:left w:val="single" w:sz="4" w:space="0" w:color="000000"/>
              <w:bottom w:val="nil"/>
              <w:right w:val="single" w:sz="4" w:space="0" w:color="000000"/>
            </w:tcBorders>
            <w:shd w:val="clear" w:color="000000" w:fill="D9E2F3"/>
            <w:vAlign w:val="center"/>
            <w:hideMark/>
          </w:tcPr>
          <w:p w14:paraId="7CDE9602"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185.5</w:t>
            </w:r>
          </w:p>
        </w:tc>
        <w:tc>
          <w:tcPr>
            <w:tcW w:w="1336" w:type="dxa"/>
            <w:tcBorders>
              <w:top w:val="nil"/>
              <w:left w:val="nil"/>
              <w:bottom w:val="nil"/>
              <w:right w:val="single" w:sz="4" w:space="0" w:color="000000"/>
            </w:tcBorders>
            <w:shd w:val="clear" w:color="000000" w:fill="D9E2F3"/>
            <w:vAlign w:val="center"/>
            <w:hideMark/>
          </w:tcPr>
          <w:p w14:paraId="022DBBA6"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28.5</w:t>
            </w:r>
          </w:p>
        </w:tc>
        <w:tc>
          <w:tcPr>
            <w:tcW w:w="1029" w:type="dxa"/>
            <w:tcBorders>
              <w:top w:val="nil"/>
              <w:left w:val="nil"/>
              <w:bottom w:val="nil"/>
              <w:right w:val="single" w:sz="4" w:space="0" w:color="000000"/>
            </w:tcBorders>
            <w:shd w:val="clear" w:color="000000" w:fill="D9E2F3"/>
            <w:vAlign w:val="center"/>
            <w:hideMark/>
          </w:tcPr>
          <w:p w14:paraId="2F847897"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61.5</w:t>
            </w:r>
          </w:p>
        </w:tc>
        <w:tc>
          <w:tcPr>
            <w:tcW w:w="1090" w:type="dxa"/>
            <w:tcBorders>
              <w:top w:val="nil"/>
              <w:left w:val="nil"/>
              <w:bottom w:val="nil"/>
              <w:right w:val="single" w:sz="4" w:space="0" w:color="000000"/>
            </w:tcBorders>
            <w:shd w:val="clear" w:color="000000" w:fill="D9E2F3"/>
            <w:vAlign w:val="center"/>
            <w:hideMark/>
          </w:tcPr>
          <w:p w14:paraId="081315EC"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306.3</w:t>
            </w:r>
          </w:p>
        </w:tc>
        <w:tc>
          <w:tcPr>
            <w:tcW w:w="1029" w:type="dxa"/>
            <w:tcBorders>
              <w:top w:val="nil"/>
              <w:left w:val="nil"/>
              <w:bottom w:val="nil"/>
              <w:right w:val="single" w:sz="4" w:space="0" w:color="000000"/>
            </w:tcBorders>
            <w:shd w:val="clear" w:color="000000" w:fill="D9E2F3"/>
            <w:vAlign w:val="center"/>
            <w:hideMark/>
          </w:tcPr>
          <w:p w14:paraId="5F3CB9C7"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7.1</w:t>
            </w:r>
          </w:p>
        </w:tc>
        <w:tc>
          <w:tcPr>
            <w:tcW w:w="1096" w:type="dxa"/>
            <w:tcBorders>
              <w:top w:val="nil"/>
              <w:left w:val="nil"/>
              <w:bottom w:val="nil"/>
              <w:right w:val="single" w:sz="4" w:space="0" w:color="000000"/>
            </w:tcBorders>
            <w:shd w:val="clear" w:color="000000" w:fill="D9E2F3"/>
            <w:vAlign w:val="center"/>
            <w:hideMark/>
          </w:tcPr>
          <w:p w14:paraId="37AFE63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588.9</w:t>
            </w:r>
          </w:p>
        </w:tc>
        <w:tc>
          <w:tcPr>
            <w:tcW w:w="995" w:type="dxa"/>
            <w:tcBorders>
              <w:top w:val="nil"/>
              <w:left w:val="nil"/>
              <w:bottom w:val="nil"/>
              <w:right w:val="single" w:sz="4" w:space="0" w:color="000000"/>
            </w:tcBorders>
            <w:shd w:val="clear" w:color="000000" w:fill="D9E2F3"/>
            <w:vAlign w:val="center"/>
            <w:hideMark/>
          </w:tcPr>
          <w:p w14:paraId="72201E3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41.7</w:t>
            </w:r>
          </w:p>
        </w:tc>
        <w:tc>
          <w:tcPr>
            <w:tcW w:w="994" w:type="dxa"/>
            <w:tcBorders>
              <w:top w:val="nil"/>
              <w:left w:val="nil"/>
              <w:bottom w:val="nil"/>
              <w:right w:val="single" w:sz="4" w:space="0" w:color="auto"/>
            </w:tcBorders>
            <w:shd w:val="clear" w:color="000000" w:fill="D9E2F3"/>
            <w:vAlign w:val="center"/>
            <w:hideMark/>
          </w:tcPr>
          <w:p w14:paraId="55348B22"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614.0</w:t>
            </w:r>
          </w:p>
        </w:tc>
      </w:tr>
      <w:tr w:rsidR="00AC2671" w:rsidRPr="00D2699D" w14:paraId="5D099904"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027BDE6C"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 </w:t>
            </w:r>
          </w:p>
        </w:tc>
        <w:tc>
          <w:tcPr>
            <w:tcW w:w="2126" w:type="dxa"/>
            <w:tcBorders>
              <w:top w:val="nil"/>
              <w:left w:val="nil"/>
              <w:bottom w:val="nil"/>
              <w:right w:val="nil"/>
            </w:tcBorders>
            <w:shd w:val="clear" w:color="auto" w:fill="auto"/>
            <w:vAlign w:val="center"/>
            <w:hideMark/>
          </w:tcPr>
          <w:p w14:paraId="65108902" w14:textId="77777777"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336" w:type="dxa"/>
            <w:tcBorders>
              <w:top w:val="nil"/>
              <w:left w:val="single" w:sz="4" w:space="0" w:color="000000"/>
              <w:bottom w:val="nil"/>
              <w:right w:val="single" w:sz="4" w:space="0" w:color="000000"/>
            </w:tcBorders>
            <w:shd w:val="clear" w:color="auto" w:fill="auto"/>
            <w:vAlign w:val="center"/>
            <w:hideMark/>
          </w:tcPr>
          <w:p w14:paraId="4664FF46"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336" w:type="dxa"/>
            <w:tcBorders>
              <w:top w:val="nil"/>
              <w:left w:val="nil"/>
              <w:bottom w:val="nil"/>
              <w:right w:val="single" w:sz="4" w:space="0" w:color="000000"/>
            </w:tcBorders>
            <w:shd w:val="clear" w:color="auto" w:fill="auto"/>
            <w:vAlign w:val="center"/>
            <w:hideMark/>
          </w:tcPr>
          <w:p w14:paraId="2BA20057"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00F3D044"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0" w:type="dxa"/>
            <w:tcBorders>
              <w:top w:val="nil"/>
              <w:left w:val="nil"/>
              <w:bottom w:val="nil"/>
              <w:right w:val="single" w:sz="4" w:space="0" w:color="000000"/>
            </w:tcBorders>
            <w:shd w:val="clear" w:color="auto" w:fill="auto"/>
            <w:vAlign w:val="center"/>
            <w:hideMark/>
          </w:tcPr>
          <w:p w14:paraId="24897F32"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49E1675F"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6" w:type="dxa"/>
            <w:tcBorders>
              <w:top w:val="nil"/>
              <w:left w:val="nil"/>
              <w:bottom w:val="nil"/>
              <w:right w:val="single" w:sz="4" w:space="0" w:color="000000"/>
            </w:tcBorders>
            <w:shd w:val="clear" w:color="auto" w:fill="auto"/>
            <w:vAlign w:val="center"/>
            <w:hideMark/>
          </w:tcPr>
          <w:p w14:paraId="6747946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5" w:type="dxa"/>
            <w:tcBorders>
              <w:top w:val="nil"/>
              <w:left w:val="nil"/>
              <w:bottom w:val="nil"/>
              <w:right w:val="single" w:sz="4" w:space="0" w:color="000000"/>
            </w:tcBorders>
            <w:shd w:val="clear" w:color="auto" w:fill="auto"/>
            <w:vAlign w:val="center"/>
            <w:hideMark/>
          </w:tcPr>
          <w:p w14:paraId="4015BA6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4" w:type="dxa"/>
            <w:tcBorders>
              <w:top w:val="nil"/>
              <w:left w:val="nil"/>
              <w:bottom w:val="nil"/>
              <w:right w:val="single" w:sz="4" w:space="0" w:color="auto"/>
            </w:tcBorders>
            <w:shd w:val="clear" w:color="auto" w:fill="auto"/>
            <w:vAlign w:val="center"/>
            <w:hideMark/>
          </w:tcPr>
          <w:p w14:paraId="1C9D63C7"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r>
      <w:tr w:rsidR="00AC2671" w:rsidRPr="00D2699D" w14:paraId="0F952B70"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5440127B"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 </w:t>
            </w:r>
          </w:p>
        </w:tc>
        <w:tc>
          <w:tcPr>
            <w:tcW w:w="2126" w:type="dxa"/>
            <w:tcBorders>
              <w:top w:val="nil"/>
              <w:left w:val="nil"/>
              <w:bottom w:val="nil"/>
              <w:right w:val="nil"/>
            </w:tcBorders>
            <w:shd w:val="clear" w:color="auto" w:fill="auto"/>
            <w:vAlign w:val="center"/>
            <w:hideMark/>
          </w:tcPr>
          <w:p w14:paraId="3911E555" w14:textId="4E474357" w:rsidR="00D2699D" w:rsidRPr="00D2699D" w:rsidRDefault="00D2699D" w:rsidP="00D2699D">
            <w:pPr>
              <w:widowControl/>
              <w:spacing w:after="0" w:line="240" w:lineRule="auto"/>
              <w:rPr>
                <w:rFonts w:eastAsia="Times New Roman" w:cs="Arial"/>
                <w:b/>
                <w:bCs/>
                <w:color w:val="000000"/>
                <w:sz w:val="18"/>
                <w:szCs w:val="18"/>
                <w:lang w:eastAsia="es-MX"/>
              </w:rPr>
            </w:pPr>
            <w:r w:rsidRPr="00D2699D">
              <w:rPr>
                <w:rFonts w:eastAsia="Times New Roman" w:cs="Arial"/>
                <w:b/>
                <w:bCs/>
                <w:color w:val="000000"/>
                <w:sz w:val="18"/>
                <w:szCs w:val="18"/>
                <w:lang w:eastAsia="es-MX"/>
              </w:rPr>
              <w:t xml:space="preserve">Variaciones del </w:t>
            </w:r>
            <w:r w:rsidR="00AC2671">
              <w:rPr>
                <w:rFonts w:eastAsia="Times New Roman" w:cs="Arial"/>
                <w:b/>
                <w:bCs/>
                <w:color w:val="000000"/>
                <w:sz w:val="18"/>
                <w:szCs w:val="18"/>
                <w:lang w:eastAsia="es-MX"/>
              </w:rPr>
              <w:t>v</w:t>
            </w:r>
            <w:r w:rsidRPr="00D2699D">
              <w:rPr>
                <w:rFonts w:eastAsia="Times New Roman" w:cs="Arial"/>
                <w:b/>
                <w:bCs/>
                <w:color w:val="000000"/>
                <w:sz w:val="18"/>
                <w:szCs w:val="18"/>
                <w:lang w:eastAsia="es-MX"/>
              </w:rPr>
              <w:t xml:space="preserve">alor </w:t>
            </w:r>
          </w:p>
        </w:tc>
        <w:tc>
          <w:tcPr>
            <w:tcW w:w="1336" w:type="dxa"/>
            <w:tcBorders>
              <w:top w:val="nil"/>
              <w:left w:val="single" w:sz="4" w:space="0" w:color="000000"/>
              <w:bottom w:val="nil"/>
              <w:right w:val="single" w:sz="4" w:space="0" w:color="000000"/>
            </w:tcBorders>
            <w:shd w:val="clear" w:color="auto" w:fill="auto"/>
            <w:vAlign w:val="center"/>
            <w:hideMark/>
          </w:tcPr>
          <w:p w14:paraId="7E97AFE3"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336" w:type="dxa"/>
            <w:tcBorders>
              <w:top w:val="nil"/>
              <w:left w:val="nil"/>
              <w:bottom w:val="nil"/>
              <w:right w:val="single" w:sz="4" w:space="0" w:color="000000"/>
            </w:tcBorders>
            <w:shd w:val="clear" w:color="auto" w:fill="auto"/>
            <w:vAlign w:val="center"/>
            <w:hideMark/>
          </w:tcPr>
          <w:p w14:paraId="1C4398A5"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6843AB1C"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0" w:type="dxa"/>
            <w:tcBorders>
              <w:top w:val="nil"/>
              <w:left w:val="nil"/>
              <w:bottom w:val="nil"/>
              <w:right w:val="single" w:sz="4" w:space="0" w:color="000000"/>
            </w:tcBorders>
            <w:shd w:val="clear" w:color="auto" w:fill="auto"/>
            <w:vAlign w:val="center"/>
            <w:hideMark/>
          </w:tcPr>
          <w:p w14:paraId="070841B8"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62CDDC93"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6" w:type="dxa"/>
            <w:tcBorders>
              <w:top w:val="nil"/>
              <w:left w:val="nil"/>
              <w:bottom w:val="nil"/>
              <w:right w:val="single" w:sz="4" w:space="0" w:color="000000"/>
            </w:tcBorders>
            <w:shd w:val="clear" w:color="auto" w:fill="auto"/>
            <w:vAlign w:val="center"/>
            <w:hideMark/>
          </w:tcPr>
          <w:p w14:paraId="0E93DE1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5" w:type="dxa"/>
            <w:tcBorders>
              <w:top w:val="nil"/>
              <w:left w:val="nil"/>
              <w:bottom w:val="nil"/>
              <w:right w:val="single" w:sz="4" w:space="0" w:color="000000"/>
            </w:tcBorders>
            <w:shd w:val="clear" w:color="auto" w:fill="auto"/>
            <w:vAlign w:val="center"/>
            <w:hideMark/>
          </w:tcPr>
          <w:p w14:paraId="59BC581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4" w:type="dxa"/>
            <w:tcBorders>
              <w:top w:val="nil"/>
              <w:left w:val="nil"/>
              <w:bottom w:val="nil"/>
              <w:right w:val="single" w:sz="4" w:space="0" w:color="auto"/>
            </w:tcBorders>
            <w:shd w:val="clear" w:color="auto" w:fill="auto"/>
            <w:vAlign w:val="center"/>
            <w:hideMark/>
          </w:tcPr>
          <w:p w14:paraId="298C89F4"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r>
      <w:tr w:rsidR="00AC2671" w:rsidRPr="00D2699D" w14:paraId="6E6279FE"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68B01A56"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AN</w:t>
            </w:r>
          </w:p>
        </w:tc>
        <w:tc>
          <w:tcPr>
            <w:tcW w:w="2126" w:type="dxa"/>
            <w:tcBorders>
              <w:top w:val="nil"/>
              <w:left w:val="nil"/>
              <w:bottom w:val="nil"/>
              <w:right w:val="nil"/>
            </w:tcBorders>
            <w:shd w:val="clear" w:color="auto" w:fill="auto"/>
            <w:vAlign w:val="center"/>
            <w:hideMark/>
          </w:tcPr>
          <w:p w14:paraId="46EF4D5A" w14:textId="59600792"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xml:space="preserve">Activos </w:t>
            </w:r>
            <w:r w:rsidR="00AC2671">
              <w:rPr>
                <w:rFonts w:eastAsia="Times New Roman" w:cs="Arial"/>
                <w:color w:val="000000"/>
                <w:sz w:val="18"/>
                <w:szCs w:val="18"/>
                <w:lang w:eastAsia="es-MX"/>
              </w:rPr>
              <w:t>n</w:t>
            </w:r>
            <w:r w:rsidRPr="00D2699D">
              <w:rPr>
                <w:rFonts w:eastAsia="Times New Roman" w:cs="Arial"/>
                <w:color w:val="000000"/>
                <w:sz w:val="18"/>
                <w:szCs w:val="18"/>
                <w:lang w:eastAsia="es-MX"/>
              </w:rPr>
              <w:t xml:space="preserve">o </w:t>
            </w:r>
            <w:r w:rsidR="00AC2671">
              <w:rPr>
                <w:rFonts w:eastAsia="Times New Roman" w:cs="Arial"/>
                <w:color w:val="000000"/>
                <w:sz w:val="18"/>
                <w:szCs w:val="18"/>
                <w:lang w:eastAsia="es-MX"/>
              </w:rPr>
              <w:t>f</w:t>
            </w:r>
            <w:r w:rsidRPr="00D2699D">
              <w:rPr>
                <w:rFonts w:eastAsia="Times New Roman" w:cs="Arial"/>
                <w:color w:val="000000"/>
                <w:sz w:val="18"/>
                <w:szCs w:val="18"/>
                <w:lang w:eastAsia="es-MX"/>
              </w:rPr>
              <w:t>inancieros</w:t>
            </w:r>
          </w:p>
        </w:tc>
        <w:tc>
          <w:tcPr>
            <w:tcW w:w="1336" w:type="dxa"/>
            <w:tcBorders>
              <w:top w:val="nil"/>
              <w:left w:val="single" w:sz="4" w:space="0" w:color="000000"/>
              <w:bottom w:val="nil"/>
              <w:right w:val="single" w:sz="4" w:space="0" w:color="000000"/>
            </w:tcBorders>
            <w:shd w:val="clear" w:color="auto" w:fill="auto"/>
            <w:vAlign w:val="center"/>
            <w:hideMark/>
          </w:tcPr>
          <w:p w14:paraId="6577560D"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21.6</w:t>
            </w:r>
          </w:p>
        </w:tc>
        <w:tc>
          <w:tcPr>
            <w:tcW w:w="1336" w:type="dxa"/>
            <w:tcBorders>
              <w:top w:val="nil"/>
              <w:left w:val="nil"/>
              <w:bottom w:val="nil"/>
              <w:right w:val="single" w:sz="4" w:space="0" w:color="000000"/>
            </w:tcBorders>
            <w:shd w:val="clear" w:color="auto" w:fill="auto"/>
            <w:vAlign w:val="center"/>
            <w:hideMark/>
          </w:tcPr>
          <w:p w14:paraId="2E2D2131"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0.1</w:t>
            </w:r>
          </w:p>
        </w:tc>
        <w:tc>
          <w:tcPr>
            <w:tcW w:w="1029" w:type="dxa"/>
            <w:tcBorders>
              <w:top w:val="nil"/>
              <w:left w:val="nil"/>
              <w:bottom w:val="nil"/>
              <w:right w:val="single" w:sz="4" w:space="0" w:color="000000"/>
            </w:tcBorders>
            <w:shd w:val="clear" w:color="auto" w:fill="auto"/>
            <w:vAlign w:val="center"/>
            <w:hideMark/>
          </w:tcPr>
          <w:p w14:paraId="145F20EE"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23.9</w:t>
            </w:r>
          </w:p>
        </w:tc>
        <w:tc>
          <w:tcPr>
            <w:tcW w:w="1090" w:type="dxa"/>
            <w:tcBorders>
              <w:top w:val="nil"/>
              <w:left w:val="nil"/>
              <w:bottom w:val="nil"/>
              <w:right w:val="single" w:sz="4" w:space="0" w:color="000000"/>
            </w:tcBorders>
            <w:shd w:val="clear" w:color="auto" w:fill="auto"/>
            <w:vAlign w:val="center"/>
            <w:hideMark/>
          </w:tcPr>
          <w:p w14:paraId="207F12E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9.3</w:t>
            </w:r>
          </w:p>
        </w:tc>
        <w:tc>
          <w:tcPr>
            <w:tcW w:w="1029" w:type="dxa"/>
            <w:tcBorders>
              <w:top w:val="nil"/>
              <w:left w:val="nil"/>
              <w:bottom w:val="nil"/>
              <w:right w:val="single" w:sz="4" w:space="0" w:color="000000"/>
            </w:tcBorders>
            <w:shd w:val="clear" w:color="auto" w:fill="auto"/>
            <w:vAlign w:val="center"/>
            <w:hideMark/>
          </w:tcPr>
          <w:p w14:paraId="46058DA6"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0.0</w:t>
            </w:r>
          </w:p>
        </w:tc>
        <w:tc>
          <w:tcPr>
            <w:tcW w:w="1096" w:type="dxa"/>
            <w:tcBorders>
              <w:top w:val="nil"/>
              <w:left w:val="nil"/>
              <w:bottom w:val="nil"/>
              <w:right w:val="single" w:sz="4" w:space="0" w:color="000000"/>
            </w:tcBorders>
            <w:shd w:val="clear" w:color="auto" w:fill="auto"/>
            <w:vAlign w:val="center"/>
            <w:hideMark/>
          </w:tcPr>
          <w:p w14:paraId="5E17EFB2"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54.9</w:t>
            </w:r>
          </w:p>
        </w:tc>
        <w:tc>
          <w:tcPr>
            <w:tcW w:w="995" w:type="dxa"/>
            <w:tcBorders>
              <w:top w:val="nil"/>
              <w:left w:val="nil"/>
              <w:bottom w:val="nil"/>
              <w:right w:val="single" w:sz="4" w:space="0" w:color="000000"/>
            </w:tcBorders>
            <w:shd w:val="clear" w:color="auto" w:fill="auto"/>
            <w:vAlign w:val="center"/>
            <w:hideMark/>
          </w:tcPr>
          <w:p w14:paraId="57536A10"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0.0</w:t>
            </w:r>
          </w:p>
        </w:tc>
        <w:tc>
          <w:tcPr>
            <w:tcW w:w="994" w:type="dxa"/>
            <w:tcBorders>
              <w:top w:val="nil"/>
              <w:left w:val="nil"/>
              <w:bottom w:val="nil"/>
              <w:right w:val="single" w:sz="4" w:space="0" w:color="auto"/>
            </w:tcBorders>
            <w:shd w:val="clear" w:color="auto" w:fill="auto"/>
            <w:vAlign w:val="center"/>
            <w:hideMark/>
          </w:tcPr>
          <w:p w14:paraId="3618BEF4"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54.9</w:t>
            </w:r>
          </w:p>
        </w:tc>
      </w:tr>
      <w:tr w:rsidR="00AC2671" w:rsidRPr="00D2699D" w14:paraId="5E41F660"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52EEFFEE"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AF</w:t>
            </w:r>
          </w:p>
        </w:tc>
        <w:tc>
          <w:tcPr>
            <w:tcW w:w="2126" w:type="dxa"/>
            <w:tcBorders>
              <w:top w:val="nil"/>
              <w:left w:val="nil"/>
              <w:bottom w:val="nil"/>
              <w:right w:val="nil"/>
            </w:tcBorders>
            <w:shd w:val="clear" w:color="auto" w:fill="auto"/>
            <w:vAlign w:val="center"/>
            <w:hideMark/>
          </w:tcPr>
          <w:p w14:paraId="35DD34A3" w14:textId="540F46A0"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xml:space="preserve">Activos </w:t>
            </w:r>
            <w:r w:rsidR="00AC2671">
              <w:rPr>
                <w:rFonts w:eastAsia="Times New Roman" w:cs="Arial"/>
                <w:color w:val="000000"/>
                <w:sz w:val="18"/>
                <w:szCs w:val="18"/>
                <w:lang w:eastAsia="es-MX"/>
              </w:rPr>
              <w:t>f</w:t>
            </w:r>
            <w:r w:rsidRPr="00D2699D">
              <w:rPr>
                <w:rFonts w:eastAsia="Times New Roman" w:cs="Arial"/>
                <w:color w:val="000000"/>
                <w:sz w:val="18"/>
                <w:szCs w:val="18"/>
                <w:lang w:eastAsia="es-MX"/>
              </w:rPr>
              <w:t>inancieros</w:t>
            </w:r>
          </w:p>
        </w:tc>
        <w:tc>
          <w:tcPr>
            <w:tcW w:w="1336" w:type="dxa"/>
            <w:tcBorders>
              <w:top w:val="nil"/>
              <w:left w:val="single" w:sz="4" w:space="0" w:color="000000"/>
              <w:bottom w:val="nil"/>
              <w:right w:val="single" w:sz="4" w:space="0" w:color="000000"/>
            </w:tcBorders>
            <w:shd w:val="clear" w:color="auto" w:fill="auto"/>
            <w:vAlign w:val="center"/>
            <w:hideMark/>
          </w:tcPr>
          <w:p w14:paraId="02392FA1"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2.9</w:t>
            </w:r>
          </w:p>
        </w:tc>
        <w:tc>
          <w:tcPr>
            <w:tcW w:w="1336" w:type="dxa"/>
            <w:tcBorders>
              <w:top w:val="nil"/>
              <w:left w:val="nil"/>
              <w:bottom w:val="nil"/>
              <w:right w:val="single" w:sz="4" w:space="0" w:color="000000"/>
            </w:tcBorders>
            <w:shd w:val="clear" w:color="auto" w:fill="auto"/>
            <w:vAlign w:val="center"/>
            <w:hideMark/>
          </w:tcPr>
          <w:p w14:paraId="66E4E1DE"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9.3</w:t>
            </w:r>
          </w:p>
        </w:tc>
        <w:tc>
          <w:tcPr>
            <w:tcW w:w="1029" w:type="dxa"/>
            <w:tcBorders>
              <w:top w:val="nil"/>
              <w:left w:val="nil"/>
              <w:bottom w:val="nil"/>
              <w:right w:val="single" w:sz="4" w:space="0" w:color="000000"/>
            </w:tcBorders>
            <w:shd w:val="clear" w:color="auto" w:fill="auto"/>
            <w:vAlign w:val="center"/>
            <w:hideMark/>
          </w:tcPr>
          <w:p w14:paraId="75B9EC32"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-1.3</w:t>
            </w:r>
          </w:p>
        </w:tc>
        <w:tc>
          <w:tcPr>
            <w:tcW w:w="1090" w:type="dxa"/>
            <w:tcBorders>
              <w:top w:val="nil"/>
              <w:left w:val="nil"/>
              <w:bottom w:val="nil"/>
              <w:right w:val="single" w:sz="4" w:space="0" w:color="000000"/>
            </w:tcBorders>
            <w:shd w:val="clear" w:color="auto" w:fill="auto"/>
            <w:vAlign w:val="center"/>
            <w:hideMark/>
          </w:tcPr>
          <w:p w14:paraId="78A7363E"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18.4</w:t>
            </w:r>
          </w:p>
        </w:tc>
        <w:tc>
          <w:tcPr>
            <w:tcW w:w="1029" w:type="dxa"/>
            <w:tcBorders>
              <w:top w:val="nil"/>
              <w:left w:val="nil"/>
              <w:bottom w:val="nil"/>
              <w:right w:val="single" w:sz="4" w:space="0" w:color="000000"/>
            </w:tcBorders>
            <w:shd w:val="clear" w:color="auto" w:fill="auto"/>
            <w:vAlign w:val="center"/>
            <w:hideMark/>
          </w:tcPr>
          <w:p w14:paraId="41D8E0EF"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0.0</w:t>
            </w:r>
          </w:p>
        </w:tc>
        <w:tc>
          <w:tcPr>
            <w:tcW w:w="1096" w:type="dxa"/>
            <w:tcBorders>
              <w:top w:val="nil"/>
              <w:left w:val="nil"/>
              <w:bottom w:val="nil"/>
              <w:right w:val="single" w:sz="4" w:space="0" w:color="000000"/>
            </w:tcBorders>
            <w:shd w:val="clear" w:color="auto" w:fill="auto"/>
            <w:vAlign w:val="center"/>
            <w:hideMark/>
          </w:tcPr>
          <w:p w14:paraId="383A06C5"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29.4</w:t>
            </w:r>
          </w:p>
        </w:tc>
        <w:tc>
          <w:tcPr>
            <w:tcW w:w="995" w:type="dxa"/>
            <w:tcBorders>
              <w:top w:val="nil"/>
              <w:left w:val="nil"/>
              <w:bottom w:val="nil"/>
              <w:right w:val="single" w:sz="4" w:space="0" w:color="000000"/>
            </w:tcBorders>
            <w:shd w:val="clear" w:color="auto" w:fill="auto"/>
            <w:vAlign w:val="center"/>
            <w:hideMark/>
          </w:tcPr>
          <w:p w14:paraId="25227428"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4.4</w:t>
            </w:r>
          </w:p>
        </w:tc>
        <w:tc>
          <w:tcPr>
            <w:tcW w:w="994" w:type="dxa"/>
            <w:tcBorders>
              <w:top w:val="nil"/>
              <w:left w:val="nil"/>
              <w:bottom w:val="nil"/>
              <w:right w:val="single" w:sz="4" w:space="0" w:color="auto"/>
            </w:tcBorders>
            <w:shd w:val="clear" w:color="auto" w:fill="auto"/>
            <w:vAlign w:val="center"/>
            <w:hideMark/>
          </w:tcPr>
          <w:p w14:paraId="35CEEC0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33.8</w:t>
            </w:r>
          </w:p>
        </w:tc>
      </w:tr>
      <w:tr w:rsidR="00AC2671" w:rsidRPr="00D2699D" w14:paraId="7E3BC62B"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2395AA4D"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P</w:t>
            </w:r>
          </w:p>
        </w:tc>
        <w:tc>
          <w:tcPr>
            <w:tcW w:w="2126" w:type="dxa"/>
            <w:tcBorders>
              <w:top w:val="nil"/>
              <w:left w:val="nil"/>
              <w:bottom w:val="nil"/>
              <w:right w:val="nil"/>
            </w:tcBorders>
            <w:shd w:val="clear" w:color="auto" w:fill="auto"/>
            <w:vAlign w:val="center"/>
            <w:hideMark/>
          </w:tcPr>
          <w:p w14:paraId="3FB31541" w14:textId="77777777"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Pasivos</w:t>
            </w:r>
          </w:p>
        </w:tc>
        <w:tc>
          <w:tcPr>
            <w:tcW w:w="1336" w:type="dxa"/>
            <w:tcBorders>
              <w:top w:val="nil"/>
              <w:left w:val="single" w:sz="4" w:space="0" w:color="000000"/>
              <w:bottom w:val="nil"/>
              <w:right w:val="single" w:sz="4" w:space="0" w:color="000000"/>
            </w:tcBorders>
            <w:shd w:val="clear" w:color="auto" w:fill="auto"/>
            <w:vAlign w:val="center"/>
            <w:hideMark/>
          </w:tcPr>
          <w:p w14:paraId="54432AD0"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22.8</w:t>
            </w:r>
          </w:p>
        </w:tc>
        <w:tc>
          <w:tcPr>
            <w:tcW w:w="1336" w:type="dxa"/>
            <w:tcBorders>
              <w:top w:val="nil"/>
              <w:left w:val="nil"/>
              <w:bottom w:val="nil"/>
              <w:right w:val="single" w:sz="4" w:space="0" w:color="000000"/>
            </w:tcBorders>
            <w:shd w:val="clear" w:color="auto" w:fill="auto"/>
            <w:vAlign w:val="center"/>
            <w:hideMark/>
          </w:tcPr>
          <w:p w14:paraId="2FCE635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7.0</w:t>
            </w:r>
          </w:p>
        </w:tc>
        <w:tc>
          <w:tcPr>
            <w:tcW w:w="1029" w:type="dxa"/>
            <w:tcBorders>
              <w:top w:val="nil"/>
              <w:left w:val="nil"/>
              <w:bottom w:val="nil"/>
              <w:right w:val="single" w:sz="4" w:space="0" w:color="000000"/>
            </w:tcBorders>
            <w:shd w:val="clear" w:color="auto" w:fill="auto"/>
            <w:vAlign w:val="center"/>
            <w:hideMark/>
          </w:tcPr>
          <w:p w14:paraId="1BC63BD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3.8</w:t>
            </w:r>
          </w:p>
        </w:tc>
        <w:tc>
          <w:tcPr>
            <w:tcW w:w="1090" w:type="dxa"/>
            <w:tcBorders>
              <w:top w:val="nil"/>
              <w:left w:val="nil"/>
              <w:bottom w:val="nil"/>
              <w:right w:val="single" w:sz="4" w:space="0" w:color="000000"/>
            </w:tcBorders>
            <w:shd w:val="clear" w:color="auto" w:fill="auto"/>
            <w:vAlign w:val="center"/>
            <w:hideMark/>
          </w:tcPr>
          <w:p w14:paraId="1EF2F0F7"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-2.2</w:t>
            </w:r>
          </w:p>
        </w:tc>
        <w:tc>
          <w:tcPr>
            <w:tcW w:w="1029" w:type="dxa"/>
            <w:tcBorders>
              <w:top w:val="nil"/>
              <w:left w:val="nil"/>
              <w:bottom w:val="nil"/>
              <w:right w:val="single" w:sz="4" w:space="0" w:color="000000"/>
            </w:tcBorders>
            <w:shd w:val="clear" w:color="auto" w:fill="auto"/>
            <w:vAlign w:val="center"/>
            <w:hideMark/>
          </w:tcPr>
          <w:p w14:paraId="6912F43E"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-0.4</w:t>
            </w:r>
          </w:p>
        </w:tc>
        <w:tc>
          <w:tcPr>
            <w:tcW w:w="1096" w:type="dxa"/>
            <w:tcBorders>
              <w:top w:val="nil"/>
              <w:left w:val="nil"/>
              <w:bottom w:val="nil"/>
              <w:right w:val="single" w:sz="4" w:space="0" w:color="000000"/>
            </w:tcBorders>
            <w:shd w:val="clear" w:color="auto" w:fill="auto"/>
            <w:vAlign w:val="center"/>
            <w:hideMark/>
          </w:tcPr>
          <w:p w14:paraId="1730D76D"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31.1</w:t>
            </w:r>
          </w:p>
        </w:tc>
        <w:tc>
          <w:tcPr>
            <w:tcW w:w="995" w:type="dxa"/>
            <w:tcBorders>
              <w:top w:val="nil"/>
              <w:left w:val="nil"/>
              <w:bottom w:val="nil"/>
              <w:right w:val="single" w:sz="4" w:space="0" w:color="000000"/>
            </w:tcBorders>
            <w:shd w:val="clear" w:color="auto" w:fill="auto"/>
            <w:vAlign w:val="center"/>
            <w:hideMark/>
          </w:tcPr>
          <w:p w14:paraId="47C52F76"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-1.1</w:t>
            </w:r>
          </w:p>
        </w:tc>
        <w:tc>
          <w:tcPr>
            <w:tcW w:w="994" w:type="dxa"/>
            <w:tcBorders>
              <w:top w:val="nil"/>
              <w:left w:val="nil"/>
              <w:bottom w:val="nil"/>
              <w:right w:val="single" w:sz="4" w:space="0" w:color="auto"/>
            </w:tcBorders>
            <w:shd w:val="clear" w:color="auto" w:fill="auto"/>
            <w:vAlign w:val="center"/>
            <w:hideMark/>
          </w:tcPr>
          <w:p w14:paraId="72BAAAE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33.8</w:t>
            </w:r>
          </w:p>
        </w:tc>
      </w:tr>
      <w:tr w:rsidR="00AC2671" w:rsidRPr="00D2699D" w14:paraId="7DA21C2C"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562E66DE"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De</w:t>
            </w:r>
          </w:p>
        </w:tc>
        <w:tc>
          <w:tcPr>
            <w:tcW w:w="2126" w:type="dxa"/>
            <w:tcBorders>
              <w:top w:val="nil"/>
              <w:left w:val="nil"/>
              <w:bottom w:val="nil"/>
              <w:right w:val="nil"/>
            </w:tcBorders>
            <w:shd w:val="clear" w:color="auto" w:fill="auto"/>
            <w:vAlign w:val="center"/>
            <w:hideMark/>
          </w:tcPr>
          <w:p w14:paraId="4D2D273E" w14:textId="77777777"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xml:space="preserve">Discrepancia estadística </w:t>
            </w:r>
          </w:p>
        </w:tc>
        <w:tc>
          <w:tcPr>
            <w:tcW w:w="1336" w:type="dxa"/>
            <w:tcBorders>
              <w:top w:val="nil"/>
              <w:left w:val="single" w:sz="4" w:space="0" w:color="000000"/>
              <w:bottom w:val="nil"/>
              <w:right w:val="single" w:sz="4" w:space="0" w:color="000000"/>
            </w:tcBorders>
            <w:shd w:val="clear" w:color="auto" w:fill="auto"/>
            <w:vAlign w:val="center"/>
            <w:hideMark/>
          </w:tcPr>
          <w:p w14:paraId="58475222"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336" w:type="dxa"/>
            <w:tcBorders>
              <w:top w:val="nil"/>
              <w:left w:val="nil"/>
              <w:bottom w:val="nil"/>
              <w:right w:val="single" w:sz="4" w:space="0" w:color="000000"/>
            </w:tcBorders>
            <w:shd w:val="clear" w:color="auto" w:fill="auto"/>
            <w:vAlign w:val="center"/>
            <w:hideMark/>
          </w:tcPr>
          <w:p w14:paraId="4326CFAC"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42F9D3D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0" w:type="dxa"/>
            <w:tcBorders>
              <w:top w:val="nil"/>
              <w:left w:val="nil"/>
              <w:bottom w:val="nil"/>
              <w:right w:val="single" w:sz="4" w:space="0" w:color="000000"/>
            </w:tcBorders>
            <w:shd w:val="clear" w:color="auto" w:fill="auto"/>
            <w:vAlign w:val="center"/>
            <w:hideMark/>
          </w:tcPr>
          <w:p w14:paraId="054107EC"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2AD9A547"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6" w:type="dxa"/>
            <w:tcBorders>
              <w:top w:val="nil"/>
              <w:left w:val="nil"/>
              <w:bottom w:val="nil"/>
              <w:right w:val="single" w:sz="4" w:space="0" w:color="000000"/>
            </w:tcBorders>
            <w:shd w:val="clear" w:color="auto" w:fill="auto"/>
            <w:vAlign w:val="center"/>
            <w:hideMark/>
          </w:tcPr>
          <w:p w14:paraId="7AA665A3"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5" w:type="dxa"/>
            <w:tcBorders>
              <w:top w:val="nil"/>
              <w:left w:val="nil"/>
              <w:bottom w:val="nil"/>
              <w:right w:val="single" w:sz="4" w:space="0" w:color="000000"/>
            </w:tcBorders>
            <w:shd w:val="clear" w:color="auto" w:fill="auto"/>
            <w:vAlign w:val="center"/>
            <w:hideMark/>
          </w:tcPr>
          <w:p w14:paraId="5C961E0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4" w:type="dxa"/>
            <w:tcBorders>
              <w:top w:val="nil"/>
              <w:left w:val="nil"/>
              <w:bottom w:val="nil"/>
              <w:right w:val="single" w:sz="4" w:space="0" w:color="auto"/>
            </w:tcBorders>
            <w:shd w:val="clear" w:color="auto" w:fill="auto"/>
            <w:vAlign w:val="center"/>
            <w:hideMark/>
          </w:tcPr>
          <w:p w14:paraId="060B6158"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3.9</w:t>
            </w:r>
          </w:p>
        </w:tc>
      </w:tr>
      <w:tr w:rsidR="00AC2671" w:rsidRPr="00D2699D" w14:paraId="00154B39" w14:textId="77777777" w:rsidTr="00AC2671">
        <w:trPr>
          <w:divId w:val="1231891367"/>
          <w:trHeight w:val="317"/>
          <w:jc w:val="center"/>
        </w:trPr>
        <w:tc>
          <w:tcPr>
            <w:tcW w:w="398" w:type="dxa"/>
            <w:tcBorders>
              <w:top w:val="nil"/>
              <w:left w:val="single" w:sz="4" w:space="0" w:color="auto"/>
              <w:bottom w:val="nil"/>
              <w:right w:val="single" w:sz="4" w:space="0" w:color="000000"/>
            </w:tcBorders>
            <w:shd w:val="clear" w:color="000000" w:fill="FFF2CC"/>
            <w:vAlign w:val="center"/>
            <w:hideMark/>
          </w:tcPr>
          <w:p w14:paraId="4F1FAE75"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VN</w:t>
            </w:r>
          </w:p>
        </w:tc>
        <w:tc>
          <w:tcPr>
            <w:tcW w:w="2126" w:type="dxa"/>
            <w:tcBorders>
              <w:top w:val="nil"/>
              <w:left w:val="nil"/>
              <w:bottom w:val="nil"/>
              <w:right w:val="nil"/>
            </w:tcBorders>
            <w:shd w:val="clear" w:color="000000" w:fill="FFF2CC"/>
            <w:vAlign w:val="center"/>
            <w:hideMark/>
          </w:tcPr>
          <w:p w14:paraId="0D749CB1" w14:textId="6915591D"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xml:space="preserve">Variaciones del </w:t>
            </w:r>
            <w:r w:rsidR="00AC2671">
              <w:rPr>
                <w:rFonts w:eastAsia="Times New Roman" w:cs="Arial"/>
                <w:color w:val="000000"/>
                <w:sz w:val="18"/>
                <w:szCs w:val="18"/>
                <w:lang w:eastAsia="es-MX"/>
              </w:rPr>
              <w:t>v</w:t>
            </w:r>
            <w:r w:rsidRPr="00D2699D">
              <w:rPr>
                <w:rFonts w:eastAsia="Times New Roman" w:cs="Arial"/>
                <w:color w:val="000000"/>
                <w:sz w:val="18"/>
                <w:szCs w:val="18"/>
                <w:lang w:eastAsia="es-MX"/>
              </w:rPr>
              <w:t>alor Neto</w:t>
            </w:r>
          </w:p>
        </w:tc>
        <w:tc>
          <w:tcPr>
            <w:tcW w:w="1336" w:type="dxa"/>
            <w:tcBorders>
              <w:top w:val="nil"/>
              <w:left w:val="single" w:sz="4" w:space="0" w:color="000000"/>
              <w:bottom w:val="nil"/>
              <w:right w:val="single" w:sz="4" w:space="0" w:color="000000"/>
            </w:tcBorders>
            <w:shd w:val="clear" w:color="000000" w:fill="FFF2CC"/>
            <w:vAlign w:val="center"/>
            <w:hideMark/>
          </w:tcPr>
          <w:p w14:paraId="4DABF224"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1.7</w:t>
            </w:r>
          </w:p>
        </w:tc>
        <w:tc>
          <w:tcPr>
            <w:tcW w:w="1336" w:type="dxa"/>
            <w:tcBorders>
              <w:top w:val="nil"/>
              <w:left w:val="nil"/>
              <w:bottom w:val="nil"/>
              <w:right w:val="single" w:sz="4" w:space="0" w:color="000000"/>
            </w:tcBorders>
            <w:shd w:val="clear" w:color="000000" w:fill="FFF2CC"/>
            <w:vAlign w:val="center"/>
            <w:hideMark/>
          </w:tcPr>
          <w:p w14:paraId="58751FA0"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2.4</w:t>
            </w:r>
          </w:p>
        </w:tc>
        <w:tc>
          <w:tcPr>
            <w:tcW w:w="1029" w:type="dxa"/>
            <w:tcBorders>
              <w:top w:val="nil"/>
              <w:left w:val="nil"/>
              <w:bottom w:val="nil"/>
              <w:right w:val="single" w:sz="4" w:space="0" w:color="000000"/>
            </w:tcBorders>
            <w:shd w:val="clear" w:color="000000" w:fill="FFF2CC"/>
            <w:vAlign w:val="center"/>
            <w:hideMark/>
          </w:tcPr>
          <w:p w14:paraId="204B2115"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18.8</w:t>
            </w:r>
          </w:p>
        </w:tc>
        <w:tc>
          <w:tcPr>
            <w:tcW w:w="1090" w:type="dxa"/>
            <w:tcBorders>
              <w:top w:val="nil"/>
              <w:left w:val="nil"/>
              <w:bottom w:val="nil"/>
              <w:right w:val="single" w:sz="4" w:space="0" w:color="000000"/>
            </w:tcBorders>
            <w:shd w:val="clear" w:color="000000" w:fill="FFF2CC"/>
            <w:vAlign w:val="center"/>
            <w:hideMark/>
          </w:tcPr>
          <w:p w14:paraId="7D40E1F1"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29.9</w:t>
            </w:r>
          </w:p>
        </w:tc>
        <w:tc>
          <w:tcPr>
            <w:tcW w:w="1029" w:type="dxa"/>
            <w:tcBorders>
              <w:top w:val="nil"/>
              <w:left w:val="nil"/>
              <w:bottom w:val="nil"/>
              <w:right w:val="single" w:sz="4" w:space="0" w:color="000000"/>
            </w:tcBorders>
            <w:shd w:val="clear" w:color="000000" w:fill="FFF2CC"/>
            <w:vAlign w:val="center"/>
            <w:hideMark/>
          </w:tcPr>
          <w:p w14:paraId="3D28C70C"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0.5</w:t>
            </w:r>
          </w:p>
        </w:tc>
        <w:tc>
          <w:tcPr>
            <w:tcW w:w="1096" w:type="dxa"/>
            <w:tcBorders>
              <w:top w:val="nil"/>
              <w:left w:val="nil"/>
              <w:bottom w:val="nil"/>
              <w:right w:val="single" w:sz="4" w:space="0" w:color="000000"/>
            </w:tcBorders>
            <w:shd w:val="clear" w:color="000000" w:fill="FFF2CC"/>
            <w:vAlign w:val="center"/>
            <w:hideMark/>
          </w:tcPr>
          <w:p w14:paraId="6068F1CC"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53.2</w:t>
            </w:r>
          </w:p>
        </w:tc>
        <w:tc>
          <w:tcPr>
            <w:tcW w:w="995" w:type="dxa"/>
            <w:tcBorders>
              <w:top w:val="nil"/>
              <w:left w:val="nil"/>
              <w:bottom w:val="nil"/>
              <w:right w:val="single" w:sz="4" w:space="0" w:color="000000"/>
            </w:tcBorders>
            <w:shd w:val="clear" w:color="000000" w:fill="FFF2CC"/>
            <w:vAlign w:val="center"/>
            <w:hideMark/>
          </w:tcPr>
          <w:p w14:paraId="3511022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5.6</w:t>
            </w:r>
          </w:p>
        </w:tc>
        <w:tc>
          <w:tcPr>
            <w:tcW w:w="994" w:type="dxa"/>
            <w:tcBorders>
              <w:top w:val="nil"/>
              <w:left w:val="nil"/>
              <w:bottom w:val="nil"/>
              <w:right w:val="single" w:sz="4" w:space="0" w:color="auto"/>
            </w:tcBorders>
            <w:shd w:val="clear" w:color="000000" w:fill="FFF2CC"/>
            <w:vAlign w:val="center"/>
            <w:hideMark/>
          </w:tcPr>
          <w:p w14:paraId="688CE40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54.9</w:t>
            </w:r>
          </w:p>
        </w:tc>
      </w:tr>
      <w:tr w:rsidR="00AC2671" w:rsidRPr="00D2699D" w14:paraId="6BDA8AFF"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4BF37949"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 </w:t>
            </w:r>
          </w:p>
        </w:tc>
        <w:tc>
          <w:tcPr>
            <w:tcW w:w="2126" w:type="dxa"/>
            <w:tcBorders>
              <w:top w:val="nil"/>
              <w:left w:val="nil"/>
              <w:bottom w:val="nil"/>
              <w:right w:val="nil"/>
            </w:tcBorders>
            <w:shd w:val="clear" w:color="auto" w:fill="auto"/>
            <w:vAlign w:val="center"/>
            <w:hideMark/>
          </w:tcPr>
          <w:p w14:paraId="5680CC79" w14:textId="77777777"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336" w:type="dxa"/>
            <w:tcBorders>
              <w:top w:val="nil"/>
              <w:left w:val="single" w:sz="4" w:space="0" w:color="000000"/>
              <w:bottom w:val="nil"/>
              <w:right w:val="single" w:sz="4" w:space="0" w:color="000000"/>
            </w:tcBorders>
            <w:shd w:val="clear" w:color="auto" w:fill="auto"/>
            <w:vAlign w:val="center"/>
            <w:hideMark/>
          </w:tcPr>
          <w:p w14:paraId="2631151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336" w:type="dxa"/>
            <w:tcBorders>
              <w:top w:val="nil"/>
              <w:left w:val="nil"/>
              <w:bottom w:val="nil"/>
              <w:right w:val="single" w:sz="4" w:space="0" w:color="000000"/>
            </w:tcBorders>
            <w:shd w:val="clear" w:color="auto" w:fill="auto"/>
            <w:vAlign w:val="center"/>
            <w:hideMark/>
          </w:tcPr>
          <w:p w14:paraId="44034370"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4C3EF3F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0" w:type="dxa"/>
            <w:tcBorders>
              <w:top w:val="nil"/>
              <w:left w:val="nil"/>
              <w:bottom w:val="nil"/>
              <w:right w:val="single" w:sz="4" w:space="0" w:color="000000"/>
            </w:tcBorders>
            <w:shd w:val="clear" w:color="auto" w:fill="auto"/>
            <w:vAlign w:val="center"/>
            <w:hideMark/>
          </w:tcPr>
          <w:p w14:paraId="2622CB4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1FDD86F7"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6" w:type="dxa"/>
            <w:tcBorders>
              <w:top w:val="nil"/>
              <w:left w:val="nil"/>
              <w:bottom w:val="nil"/>
              <w:right w:val="single" w:sz="4" w:space="0" w:color="000000"/>
            </w:tcBorders>
            <w:shd w:val="clear" w:color="auto" w:fill="auto"/>
            <w:vAlign w:val="center"/>
            <w:hideMark/>
          </w:tcPr>
          <w:p w14:paraId="108F643C"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5" w:type="dxa"/>
            <w:tcBorders>
              <w:top w:val="nil"/>
              <w:left w:val="nil"/>
              <w:bottom w:val="nil"/>
              <w:right w:val="single" w:sz="4" w:space="0" w:color="000000"/>
            </w:tcBorders>
            <w:shd w:val="clear" w:color="auto" w:fill="auto"/>
            <w:vAlign w:val="center"/>
            <w:hideMark/>
          </w:tcPr>
          <w:p w14:paraId="6805159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4" w:type="dxa"/>
            <w:tcBorders>
              <w:top w:val="nil"/>
              <w:left w:val="nil"/>
              <w:bottom w:val="nil"/>
              <w:right w:val="single" w:sz="4" w:space="0" w:color="auto"/>
            </w:tcBorders>
            <w:shd w:val="clear" w:color="auto" w:fill="auto"/>
            <w:vAlign w:val="center"/>
            <w:hideMark/>
          </w:tcPr>
          <w:p w14:paraId="261AC3E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r>
      <w:tr w:rsidR="00AC2671" w:rsidRPr="00D2699D" w14:paraId="236C776D"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3A13522C"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 </w:t>
            </w:r>
          </w:p>
        </w:tc>
        <w:tc>
          <w:tcPr>
            <w:tcW w:w="2126" w:type="dxa"/>
            <w:tcBorders>
              <w:top w:val="nil"/>
              <w:left w:val="nil"/>
              <w:bottom w:val="nil"/>
              <w:right w:val="nil"/>
            </w:tcBorders>
            <w:shd w:val="clear" w:color="auto" w:fill="auto"/>
            <w:vAlign w:val="center"/>
            <w:hideMark/>
          </w:tcPr>
          <w:p w14:paraId="12442D71" w14:textId="7308AA70" w:rsidR="00D2699D" w:rsidRPr="00D2699D" w:rsidRDefault="00D2699D" w:rsidP="00D2699D">
            <w:pPr>
              <w:widowControl/>
              <w:spacing w:after="0" w:line="240" w:lineRule="auto"/>
              <w:rPr>
                <w:rFonts w:eastAsia="Times New Roman" w:cs="Arial"/>
                <w:b/>
                <w:bCs/>
                <w:color w:val="000000"/>
                <w:sz w:val="18"/>
                <w:szCs w:val="18"/>
                <w:lang w:eastAsia="es-MX"/>
              </w:rPr>
            </w:pPr>
            <w:r w:rsidRPr="00D2699D">
              <w:rPr>
                <w:rFonts w:eastAsia="Times New Roman" w:cs="Arial"/>
                <w:b/>
                <w:bCs/>
                <w:color w:val="000000"/>
                <w:sz w:val="18"/>
                <w:szCs w:val="18"/>
                <w:lang w:eastAsia="es-MX"/>
              </w:rPr>
              <w:t xml:space="preserve">Balance de </w:t>
            </w:r>
            <w:r w:rsidR="00AC2671">
              <w:rPr>
                <w:rFonts w:eastAsia="Times New Roman" w:cs="Arial"/>
                <w:b/>
                <w:bCs/>
                <w:color w:val="000000"/>
                <w:sz w:val="18"/>
                <w:szCs w:val="18"/>
                <w:lang w:eastAsia="es-MX"/>
              </w:rPr>
              <w:t>c</w:t>
            </w:r>
            <w:r w:rsidRPr="00D2699D">
              <w:rPr>
                <w:rFonts w:eastAsia="Times New Roman" w:cs="Arial"/>
                <w:b/>
                <w:bCs/>
                <w:color w:val="000000"/>
                <w:sz w:val="18"/>
                <w:szCs w:val="18"/>
                <w:lang w:eastAsia="es-MX"/>
              </w:rPr>
              <w:t>ierre</w:t>
            </w:r>
          </w:p>
        </w:tc>
        <w:tc>
          <w:tcPr>
            <w:tcW w:w="1336" w:type="dxa"/>
            <w:tcBorders>
              <w:top w:val="nil"/>
              <w:left w:val="single" w:sz="4" w:space="0" w:color="000000"/>
              <w:bottom w:val="nil"/>
              <w:right w:val="single" w:sz="4" w:space="0" w:color="000000"/>
            </w:tcBorders>
            <w:shd w:val="clear" w:color="auto" w:fill="auto"/>
            <w:vAlign w:val="center"/>
            <w:hideMark/>
          </w:tcPr>
          <w:p w14:paraId="5C8FF827"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336" w:type="dxa"/>
            <w:tcBorders>
              <w:top w:val="nil"/>
              <w:left w:val="nil"/>
              <w:bottom w:val="nil"/>
              <w:right w:val="single" w:sz="4" w:space="0" w:color="000000"/>
            </w:tcBorders>
            <w:shd w:val="clear" w:color="auto" w:fill="auto"/>
            <w:vAlign w:val="center"/>
            <w:hideMark/>
          </w:tcPr>
          <w:p w14:paraId="1A2FE18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39EC17C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0" w:type="dxa"/>
            <w:tcBorders>
              <w:top w:val="nil"/>
              <w:left w:val="nil"/>
              <w:bottom w:val="nil"/>
              <w:right w:val="single" w:sz="4" w:space="0" w:color="000000"/>
            </w:tcBorders>
            <w:shd w:val="clear" w:color="auto" w:fill="auto"/>
            <w:vAlign w:val="center"/>
            <w:hideMark/>
          </w:tcPr>
          <w:p w14:paraId="3159841D"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522E1D4F"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6" w:type="dxa"/>
            <w:tcBorders>
              <w:top w:val="nil"/>
              <w:left w:val="nil"/>
              <w:bottom w:val="nil"/>
              <w:right w:val="single" w:sz="4" w:space="0" w:color="000000"/>
            </w:tcBorders>
            <w:shd w:val="clear" w:color="auto" w:fill="auto"/>
            <w:vAlign w:val="center"/>
            <w:hideMark/>
          </w:tcPr>
          <w:p w14:paraId="4E273232"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5" w:type="dxa"/>
            <w:tcBorders>
              <w:top w:val="nil"/>
              <w:left w:val="nil"/>
              <w:bottom w:val="nil"/>
              <w:right w:val="single" w:sz="4" w:space="0" w:color="000000"/>
            </w:tcBorders>
            <w:shd w:val="clear" w:color="auto" w:fill="auto"/>
            <w:vAlign w:val="center"/>
            <w:hideMark/>
          </w:tcPr>
          <w:p w14:paraId="50BD817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4" w:type="dxa"/>
            <w:tcBorders>
              <w:top w:val="nil"/>
              <w:left w:val="nil"/>
              <w:bottom w:val="nil"/>
              <w:right w:val="single" w:sz="4" w:space="0" w:color="auto"/>
            </w:tcBorders>
            <w:shd w:val="clear" w:color="auto" w:fill="auto"/>
            <w:vAlign w:val="center"/>
            <w:hideMark/>
          </w:tcPr>
          <w:p w14:paraId="111D12F2"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r>
      <w:tr w:rsidR="00AC2671" w:rsidRPr="00D2699D" w14:paraId="7C8B8EE0"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132E5C34"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AN</w:t>
            </w:r>
          </w:p>
        </w:tc>
        <w:tc>
          <w:tcPr>
            <w:tcW w:w="2126" w:type="dxa"/>
            <w:tcBorders>
              <w:top w:val="nil"/>
              <w:left w:val="nil"/>
              <w:bottom w:val="nil"/>
              <w:right w:val="nil"/>
            </w:tcBorders>
            <w:shd w:val="clear" w:color="auto" w:fill="auto"/>
            <w:vAlign w:val="center"/>
            <w:hideMark/>
          </w:tcPr>
          <w:p w14:paraId="7493F4EE" w14:textId="6CD24C3A"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xml:space="preserve">Activos </w:t>
            </w:r>
            <w:r w:rsidR="00AC2671">
              <w:rPr>
                <w:rFonts w:eastAsia="Times New Roman" w:cs="Arial"/>
                <w:color w:val="000000"/>
                <w:sz w:val="18"/>
                <w:szCs w:val="18"/>
                <w:lang w:eastAsia="es-MX"/>
              </w:rPr>
              <w:t>n</w:t>
            </w:r>
            <w:r w:rsidRPr="00D2699D">
              <w:rPr>
                <w:rFonts w:eastAsia="Times New Roman" w:cs="Arial"/>
                <w:color w:val="000000"/>
                <w:sz w:val="18"/>
                <w:szCs w:val="18"/>
                <w:lang w:eastAsia="es-MX"/>
              </w:rPr>
              <w:t xml:space="preserve">o </w:t>
            </w:r>
            <w:r w:rsidR="00AC2671">
              <w:rPr>
                <w:rFonts w:eastAsia="Times New Roman" w:cs="Arial"/>
                <w:color w:val="000000"/>
                <w:sz w:val="18"/>
                <w:szCs w:val="18"/>
                <w:lang w:eastAsia="es-MX"/>
              </w:rPr>
              <w:t>f</w:t>
            </w:r>
            <w:r w:rsidRPr="00D2699D">
              <w:rPr>
                <w:rFonts w:eastAsia="Times New Roman" w:cs="Arial"/>
                <w:color w:val="000000"/>
                <w:sz w:val="18"/>
                <w:szCs w:val="18"/>
                <w:lang w:eastAsia="es-MX"/>
              </w:rPr>
              <w:t>inancieros</w:t>
            </w:r>
          </w:p>
        </w:tc>
        <w:tc>
          <w:tcPr>
            <w:tcW w:w="1336" w:type="dxa"/>
            <w:tcBorders>
              <w:top w:val="nil"/>
              <w:left w:val="single" w:sz="4" w:space="0" w:color="000000"/>
              <w:bottom w:val="nil"/>
              <w:right w:val="single" w:sz="4" w:space="0" w:color="000000"/>
            </w:tcBorders>
            <w:shd w:val="clear" w:color="auto" w:fill="auto"/>
            <w:vAlign w:val="center"/>
            <w:hideMark/>
          </w:tcPr>
          <w:p w14:paraId="6B283795"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337.5</w:t>
            </w:r>
          </w:p>
        </w:tc>
        <w:tc>
          <w:tcPr>
            <w:tcW w:w="1336" w:type="dxa"/>
            <w:tcBorders>
              <w:top w:val="nil"/>
              <w:left w:val="nil"/>
              <w:bottom w:val="nil"/>
              <w:right w:val="single" w:sz="4" w:space="0" w:color="000000"/>
            </w:tcBorders>
            <w:shd w:val="clear" w:color="auto" w:fill="auto"/>
            <w:vAlign w:val="center"/>
            <w:hideMark/>
          </w:tcPr>
          <w:p w14:paraId="00E94957"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5.2</w:t>
            </w:r>
          </w:p>
        </w:tc>
        <w:tc>
          <w:tcPr>
            <w:tcW w:w="1029" w:type="dxa"/>
            <w:tcBorders>
              <w:top w:val="nil"/>
              <w:left w:val="nil"/>
              <w:bottom w:val="nil"/>
              <w:right w:val="single" w:sz="4" w:space="0" w:color="000000"/>
            </w:tcBorders>
            <w:shd w:val="clear" w:color="auto" w:fill="auto"/>
            <w:vAlign w:val="center"/>
            <w:hideMark/>
          </w:tcPr>
          <w:p w14:paraId="10AF4BF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129.4</w:t>
            </w:r>
          </w:p>
        </w:tc>
        <w:tc>
          <w:tcPr>
            <w:tcW w:w="1090" w:type="dxa"/>
            <w:tcBorders>
              <w:top w:val="nil"/>
              <w:left w:val="nil"/>
              <w:bottom w:val="nil"/>
              <w:right w:val="single" w:sz="4" w:space="0" w:color="000000"/>
            </w:tcBorders>
            <w:shd w:val="clear" w:color="auto" w:fill="auto"/>
            <w:vAlign w:val="center"/>
            <w:hideMark/>
          </w:tcPr>
          <w:p w14:paraId="3002603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193.4</w:t>
            </w:r>
          </w:p>
        </w:tc>
        <w:tc>
          <w:tcPr>
            <w:tcW w:w="1029" w:type="dxa"/>
            <w:tcBorders>
              <w:top w:val="nil"/>
              <w:left w:val="nil"/>
              <w:bottom w:val="nil"/>
              <w:right w:val="single" w:sz="4" w:space="0" w:color="000000"/>
            </w:tcBorders>
            <w:shd w:val="clear" w:color="auto" w:fill="auto"/>
            <w:vAlign w:val="center"/>
            <w:hideMark/>
          </w:tcPr>
          <w:p w14:paraId="6632956E"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3.4</w:t>
            </w:r>
          </w:p>
        </w:tc>
        <w:tc>
          <w:tcPr>
            <w:tcW w:w="1096" w:type="dxa"/>
            <w:tcBorders>
              <w:top w:val="nil"/>
              <w:left w:val="nil"/>
              <w:bottom w:val="nil"/>
              <w:right w:val="single" w:sz="4" w:space="0" w:color="000000"/>
            </w:tcBorders>
            <w:shd w:val="clear" w:color="auto" w:fill="auto"/>
            <w:vAlign w:val="center"/>
            <w:hideMark/>
          </w:tcPr>
          <w:p w14:paraId="3D9B84ED"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668.9</w:t>
            </w:r>
          </w:p>
        </w:tc>
        <w:tc>
          <w:tcPr>
            <w:tcW w:w="995" w:type="dxa"/>
            <w:tcBorders>
              <w:top w:val="nil"/>
              <w:left w:val="nil"/>
              <w:bottom w:val="nil"/>
              <w:right w:val="single" w:sz="4" w:space="0" w:color="000000"/>
            </w:tcBorders>
            <w:shd w:val="clear" w:color="auto" w:fill="auto"/>
            <w:vAlign w:val="center"/>
            <w:hideMark/>
          </w:tcPr>
          <w:p w14:paraId="12473FB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0.0</w:t>
            </w:r>
          </w:p>
        </w:tc>
        <w:tc>
          <w:tcPr>
            <w:tcW w:w="994" w:type="dxa"/>
            <w:tcBorders>
              <w:top w:val="nil"/>
              <w:left w:val="nil"/>
              <w:bottom w:val="nil"/>
              <w:right w:val="single" w:sz="4" w:space="0" w:color="auto"/>
            </w:tcBorders>
            <w:shd w:val="clear" w:color="auto" w:fill="auto"/>
            <w:vAlign w:val="center"/>
            <w:hideMark/>
          </w:tcPr>
          <w:p w14:paraId="5264B54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668.9</w:t>
            </w:r>
          </w:p>
        </w:tc>
      </w:tr>
      <w:tr w:rsidR="00AC2671" w:rsidRPr="00D2699D" w14:paraId="60C98608"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10F53405"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AF</w:t>
            </w:r>
          </w:p>
        </w:tc>
        <w:tc>
          <w:tcPr>
            <w:tcW w:w="2126" w:type="dxa"/>
            <w:tcBorders>
              <w:top w:val="nil"/>
              <w:left w:val="nil"/>
              <w:bottom w:val="nil"/>
              <w:right w:val="nil"/>
            </w:tcBorders>
            <w:shd w:val="clear" w:color="auto" w:fill="auto"/>
            <w:vAlign w:val="center"/>
            <w:hideMark/>
          </w:tcPr>
          <w:p w14:paraId="29D9550C" w14:textId="5AC33F1C"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xml:space="preserve">Activos </w:t>
            </w:r>
            <w:r w:rsidR="00AC2671">
              <w:rPr>
                <w:rFonts w:eastAsia="Times New Roman" w:cs="Arial"/>
                <w:color w:val="000000"/>
                <w:sz w:val="18"/>
                <w:szCs w:val="18"/>
                <w:lang w:eastAsia="es-MX"/>
              </w:rPr>
              <w:t>f</w:t>
            </w:r>
            <w:r w:rsidRPr="00D2699D">
              <w:rPr>
                <w:rFonts w:eastAsia="Times New Roman" w:cs="Arial"/>
                <w:color w:val="000000"/>
                <w:sz w:val="18"/>
                <w:szCs w:val="18"/>
                <w:lang w:eastAsia="es-MX"/>
              </w:rPr>
              <w:t>inancieros</w:t>
            </w:r>
          </w:p>
        </w:tc>
        <w:tc>
          <w:tcPr>
            <w:tcW w:w="1336" w:type="dxa"/>
            <w:tcBorders>
              <w:top w:val="nil"/>
              <w:left w:val="single" w:sz="4" w:space="0" w:color="000000"/>
              <w:bottom w:val="nil"/>
              <w:right w:val="single" w:sz="4" w:space="0" w:color="000000"/>
            </w:tcBorders>
            <w:shd w:val="clear" w:color="auto" w:fill="auto"/>
            <w:vAlign w:val="center"/>
            <w:hideMark/>
          </w:tcPr>
          <w:p w14:paraId="11A06DCD"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100.2</w:t>
            </w:r>
          </w:p>
        </w:tc>
        <w:tc>
          <w:tcPr>
            <w:tcW w:w="1336" w:type="dxa"/>
            <w:tcBorders>
              <w:top w:val="nil"/>
              <w:left w:val="nil"/>
              <w:bottom w:val="nil"/>
              <w:right w:val="single" w:sz="4" w:space="0" w:color="000000"/>
            </w:tcBorders>
            <w:shd w:val="clear" w:color="auto" w:fill="auto"/>
            <w:vAlign w:val="center"/>
            <w:hideMark/>
          </w:tcPr>
          <w:p w14:paraId="52A10D0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135.9</w:t>
            </w:r>
          </w:p>
        </w:tc>
        <w:tc>
          <w:tcPr>
            <w:tcW w:w="1029" w:type="dxa"/>
            <w:tcBorders>
              <w:top w:val="nil"/>
              <w:left w:val="nil"/>
              <w:bottom w:val="nil"/>
              <w:right w:val="single" w:sz="4" w:space="0" w:color="000000"/>
            </w:tcBorders>
            <w:shd w:val="clear" w:color="auto" w:fill="auto"/>
            <w:vAlign w:val="center"/>
            <w:hideMark/>
          </w:tcPr>
          <w:p w14:paraId="077E21FC"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29.4</w:t>
            </w:r>
          </w:p>
        </w:tc>
        <w:tc>
          <w:tcPr>
            <w:tcW w:w="1090" w:type="dxa"/>
            <w:tcBorders>
              <w:top w:val="nil"/>
              <w:left w:val="nil"/>
              <w:bottom w:val="nil"/>
              <w:right w:val="single" w:sz="4" w:space="0" w:color="000000"/>
            </w:tcBorders>
            <w:shd w:val="clear" w:color="auto" w:fill="auto"/>
            <w:vAlign w:val="center"/>
            <w:hideMark/>
          </w:tcPr>
          <w:p w14:paraId="0CEA82DD"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132.6</w:t>
            </w:r>
          </w:p>
        </w:tc>
        <w:tc>
          <w:tcPr>
            <w:tcW w:w="1029" w:type="dxa"/>
            <w:tcBorders>
              <w:top w:val="nil"/>
              <w:left w:val="nil"/>
              <w:bottom w:val="nil"/>
              <w:right w:val="single" w:sz="4" w:space="0" w:color="000000"/>
            </w:tcBorders>
            <w:shd w:val="clear" w:color="auto" w:fill="auto"/>
            <w:vAlign w:val="center"/>
            <w:hideMark/>
          </w:tcPr>
          <w:p w14:paraId="1BAB023F"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0.0</w:t>
            </w:r>
          </w:p>
        </w:tc>
        <w:tc>
          <w:tcPr>
            <w:tcW w:w="1096" w:type="dxa"/>
            <w:tcBorders>
              <w:top w:val="nil"/>
              <w:left w:val="nil"/>
              <w:bottom w:val="nil"/>
              <w:right w:val="single" w:sz="4" w:space="0" w:color="000000"/>
            </w:tcBorders>
            <w:shd w:val="clear" w:color="auto" w:fill="auto"/>
            <w:vAlign w:val="center"/>
            <w:hideMark/>
          </w:tcPr>
          <w:p w14:paraId="0A81F9F1"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398.2</w:t>
            </w:r>
          </w:p>
        </w:tc>
        <w:tc>
          <w:tcPr>
            <w:tcW w:w="995" w:type="dxa"/>
            <w:tcBorders>
              <w:top w:val="nil"/>
              <w:left w:val="nil"/>
              <w:bottom w:val="nil"/>
              <w:right w:val="single" w:sz="4" w:space="0" w:color="000000"/>
            </w:tcBorders>
            <w:shd w:val="clear" w:color="auto" w:fill="auto"/>
            <w:vAlign w:val="center"/>
            <w:hideMark/>
          </w:tcPr>
          <w:p w14:paraId="375E37DE"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106.1</w:t>
            </w:r>
          </w:p>
        </w:tc>
        <w:tc>
          <w:tcPr>
            <w:tcW w:w="994" w:type="dxa"/>
            <w:tcBorders>
              <w:top w:val="nil"/>
              <w:left w:val="nil"/>
              <w:bottom w:val="nil"/>
              <w:right w:val="single" w:sz="4" w:space="0" w:color="auto"/>
            </w:tcBorders>
            <w:shd w:val="clear" w:color="auto" w:fill="auto"/>
            <w:vAlign w:val="center"/>
            <w:hideMark/>
          </w:tcPr>
          <w:p w14:paraId="349204A9"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504.3</w:t>
            </w:r>
          </w:p>
        </w:tc>
      </w:tr>
      <w:tr w:rsidR="00AC2671" w:rsidRPr="00D2699D" w14:paraId="63DD31DC"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2E27DB6A"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P</w:t>
            </w:r>
          </w:p>
        </w:tc>
        <w:tc>
          <w:tcPr>
            <w:tcW w:w="2126" w:type="dxa"/>
            <w:tcBorders>
              <w:top w:val="nil"/>
              <w:left w:val="nil"/>
              <w:bottom w:val="nil"/>
              <w:right w:val="nil"/>
            </w:tcBorders>
            <w:shd w:val="clear" w:color="auto" w:fill="auto"/>
            <w:vAlign w:val="center"/>
            <w:hideMark/>
          </w:tcPr>
          <w:p w14:paraId="4A194AAC" w14:textId="77777777"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Pasivos</w:t>
            </w:r>
          </w:p>
        </w:tc>
        <w:tc>
          <w:tcPr>
            <w:tcW w:w="1336" w:type="dxa"/>
            <w:tcBorders>
              <w:top w:val="nil"/>
              <w:left w:val="single" w:sz="4" w:space="0" w:color="000000"/>
              <w:bottom w:val="nil"/>
              <w:right w:val="single" w:sz="4" w:space="0" w:color="000000"/>
            </w:tcBorders>
            <w:shd w:val="clear" w:color="auto" w:fill="auto"/>
            <w:vAlign w:val="center"/>
            <w:hideMark/>
          </w:tcPr>
          <w:p w14:paraId="4752882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250.6</w:t>
            </w:r>
          </w:p>
        </w:tc>
        <w:tc>
          <w:tcPr>
            <w:tcW w:w="1336" w:type="dxa"/>
            <w:tcBorders>
              <w:top w:val="nil"/>
              <w:left w:val="nil"/>
              <w:bottom w:val="nil"/>
              <w:right w:val="single" w:sz="4" w:space="0" w:color="000000"/>
            </w:tcBorders>
            <w:shd w:val="clear" w:color="auto" w:fill="auto"/>
            <w:vAlign w:val="center"/>
            <w:hideMark/>
          </w:tcPr>
          <w:p w14:paraId="443EB1BD"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110.2</w:t>
            </w:r>
          </w:p>
        </w:tc>
        <w:tc>
          <w:tcPr>
            <w:tcW w:w="1029" w:type="dxa"/>
            <w:tcBorders>
              <w:top w:val="nil"/>
              <w:left w:val="nil"/>
              <w:bottom w:val="nil"/>
              <w:right w:val="single" w:sz="4" w:space="0" w:color="000000"/>
            </w:tcBorders>
            <w:shd w:val="clear" w:color="auto" w:fill="auto"/>
            <w:vAlign w:val="center"/>
            <w:hideMark/>
          </w:tcPr>
          <w:p w14:paraId="34356A84"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78.5</w:t>
            </w:r>
          </w:p>
        </w:tc>
        <w:tc>
          <w:tcPr>
            <w:tcW w:w="1090" w:type="dxa"/>
            <w:tcBorders>
              <w:top w:val="nil"/>
              <w:left w:val="nil"/>
              <w:bottom w:val="nil"/>
              <w:right w:val="single" w:sz="4" w:space="0" w:color="000000"/>
            </w:tcBorders>
            <w:shd w:val="clear" w:color="auto" w:fill="auto"/>
            <w:vAlign w:val="center"/>
            <w:hideMark/>
          </w:tcPr>
          <w:p w14:paraId="00440F0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-10.2</w:t>
            </w:r>
          </w:p>
        </w:tc>
        <w:tc>
          <w:tcPr>
            <w:tcW w:w="1029" w:type="dxa"/>
            <w:tcBorders>
              <w:top w:val="nil"/>
              <w:left w:val="nil"/>
              <w:bottom w:val="nil"/>
              <w:right w:val="single" w:sz="4" w:space="0" w:color="000000"/>
            </w:tcBorders>
            <w:shd w:val="clear" w:color="auto" w:fill="auto"/>
            <w:vAlign w:val="center"/>
            <w:hideMark/>
          </w:tcPr>
          <w:p w14:paraId="4E01B83E"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-4.2</w:t>
            </w:r>
          </w:p>
        </w:tc>
        <w:tc>
          <w:tcPr>
            <w:tcW w:w="1096" w:type="dxa"/>
            <w:tcBorders>
              <w:top w:val="nil"/>
              <w:left w:val="nil"/>
              <w:bottom w:val="nil"/>
              <w:right w:val="single" w:sz="4" w:space="0" w:color="000000"/>
            </w:tcBorders>
            <w:shd w:val="clear" w:color="auto" w:fill="auto"/>
            <w:vAlign w:val="center"/>
            <w:hideMark/>
          </w:tcPr>
          <w:p w14:paraId="3305F28D"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424.9</w:t>
            </w:r>
          </w:p>
        </w:tc>
        <w:tc>
          <w:tcPr>
            <w:tcW w:w="995" w:type="dxa"/>
            <w:tcBorders>
              <w:top w:val="nil"/>
              <w:left w:val="nil"/>
              <w:bottom w:val="nil"/>
              <w:right w:val="single" w:sz="4" w:space="0" w:color="000000"/>
            </w:tcBorders>
            <w:shd w:val="clear" w:color="auto" w:fill="auto"/>
            <w:vAlign w:val="center"/>
            <w:hideMark/>
          </w:tcPr>
          <w:p w14:paraId="0636CCC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58.9</w:t>
            </w:r>
          </w:p>
        </w:tc>
        <w:tc>
          <w:tcPr>
            <w:tcW w:w="994" w:type="dxa"/>
            <w:tcBorders>
              <w:top w:val="nil"/>
              <w:left w:val="nil"/>
              <w:bottom w:val="nil"/>
              <w:right w:val="single" w:sz="4" w:space="0" w:color="auto"/>
            </w:tcBorders>
            <w:shd w:val="clear" w:color="auto" w:fill="auto"/>
            <w:vAlign w:val="center"/>
            <w:hideMark/>
          </w:tcPr>
          <w:p w14:paraId="7F5B1262"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504.3</w:t>
            </w:r>
          </w:p>
        </w:tc>
      </w:tr>
      <w:tr w:rsidR="00AC2671" w:rsidRPr="00D2699D" w14:paraId="5ECAC854" w14:textId="77777777" w:rsidTr="00AC2671">
        <w:trPr>
          <w:divId w:val="1231891367"/>
          <w:trHeight w:val="211"/>
          <w:jc w:val="center"/>
        </w:trPr>
        <w:tc>
          <w:tcPr>
            <w:tcW w:w="398" w:type="dxa"/>
            <w:tcBorders>
              <w:top w:val="nil"/>
              <w:left w:val="single" w:sz="4" w:space="0" w:color="auto"/>
              <w:bottom w:val="nil"/>
              <w:right w:val="single" w:sz="4" w:space="0" w:color="000000"/>
            </w:tcBorders>
            <w:shd w:val="clear" w:color="auto" w:fill="auto"/>
            <w:vAlign w:val="center"/>
            <w:hideMark/>
          </w:tcPr>
          <w:p w14:paraId="37CEB34B"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De</w:t>
            </w:r>
          </w:p>
        </w:tc>
        <w:tc>
          <w:tcPr>
            <w:tcW w:w="2126" w:type="dxa"/>
            <w:tcBorders>
              <w:top w:val="nil"/>
              <w:left w:val="nil"/>
              <w:bottom w:val="nil"/>
              <w:right w:val="nil"/>
            </w:tcBorders>
            <w:shd w:val="clear" w:color="auto" w:fill="auto"/>
            <w:vAlign w:val="center"/>
            <w:hideMark/>
          </w:tcPr>
          <w:p w14:paraId="0FC10D14" w14:textId="77777777"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xml:space="preserve">Discrepancia estadística </w:t>
            </w:r>
          </w:p>
        </w:tc>
        <w:tc>
          <w:tcPr>
            <w:tcW w:w="1336" w:type="dxa"/>
            <w:tcBorders>
              <w:top w:val="nil"/>
              <w:left w:val="single" w:sz="4" w:space="0" w:color="000000"/>
              <w:bottom w:val="nil"/>
              <w:right w:val="single" w:sz="4" w:space="0" w:color="000000"/>
            </w:tcBorders>
            <w:shd w:val="clear" w:color="auto" w:fill="auto"/>
            <w:vAlign w:val="center"/>
            <w:hideMark/>
          </w:tcPr>
          <w:p w14:paraId="7C1F8105"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336" w:type="dxa"/>
            <w:tcBorders>
              <w:top w:val="nil"/>
              <w:left w:val="nil"/>
              <w:bottom w:val="nil"/>
              <w:right w:val="single" w:sz="4" w:space="0" w:color="000000"/>
            </w:tcBorders>
            <w:shd w:val="clear" w:color="auto" w:fill="auto"/>
            <w:vAlign w:val="center"/>
            <w:hideMark/>
          </w:tcPr>
          <w:p w14:paraId="5FA584F7"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6BEAE426"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0" w:type="dxa"/>
            <w:tcBorders>
              <w:top w:val="nil"/>
              <w:left w:val="nil"/>
              <w:bottom w:val="nil"/>
              <w:right w:val="single" w:sz="4" w:space="0" w:color="000000"/>
            </w:tcBorders>
            <w:shd w:val="clear" w:color="auto" w:fill="auto"/>
            <w:vAlign w:val="center"/>
            <w:hideMark/>
          </w:tcPr>
          <w:p w14:paraId="2D3F7FA4"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29" w:type="dxa"/>
            <w:tcBorders>
              <w:top w:val="nil"/>
              <w:left w:val="nil"/>
              <w:bottom w:val="nil"/>
              <w:right w:val="single" w:sz="4" w:space="0" w:color="000000"/>
            </w:tcBorders>
            <w:shd w:val="clear" w:color="auto" w:fill="auto"/>
            <w:vAlign w:val="center"/>
            <w:hideMark/>
          </w:tcPr>
          <w:p w14:paraId="7810778A"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1096" w:type="dxa"/>
            <w:tcBorders>
              <w:top w:val="nil"/>
              <w:left w:val="nil"/>
              <w:bottom w:val="nil"/>
              <w:right w:val="single" w:sz="4" w:space="0" w:color="000000"/>
            </w:tcBorders>
            <w:shd w:val="clear" w:color="auto" w:fill="auto"/>
            <w:vAlign w:val="center"/>
            <w:hideMark/>
          </w:tcPr>
          <w:p w14:paraId="2AC6D57B"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5" w:type="dxa"/>
            <w:tcBorders>
              <w:top w:val="nil"/>
              <w:left w:val="nil"/>
              <w:bottom w:val="nil"/>
              <w:right w:val="single" w:sz="4" w:space="0" w:color="000000"/>
            </w:tcBorders>
            <w:shd w:val="clear" w:color="auto" w:fill="auto"/>
            <w:vAlign w:val="center"/>
            <w:hideMark/>
          </w:tcPr>
          <w:p w14:paraId="28F89C56"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 </w:t>
            </w:r>
          </w:p>
        </w:tc>
        <w:tc>
          <w:tcPr>
            <w:tcW w:w="994" w:type="dxa"/>
            <w:tcBorders>
              <w:top w:val="nil"/>
              <w:left w:val="nil"/>
              <w:bottom w:val="nil"/>
              <w:right w:val="single" w:sz="4" w:space="0" w:color="auto"/>
            </w:tcBorders>
            <w:shd w:val="clear" w:color="auto" w:fill="auto"/>
            <w:vAlign w:val="center"/>
            <w:hideMark/>
          </w:tcPr>
          <w:p w14:paraId="6492621C"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20.5</w:t>
            </w:r>
          </w:p>
        </w:tc>
      </w:tr>
      <w:tr w:rsidR="00AC2671" w:rsidRPr="00D2699D" w14:paraId="4C11E064" w14:textId="77777777" w:rsidTr="00AC2671">
        <w:trPr>
          <w:divId w:val="1231891367"/>
          <w:trHeight w:val="211"/>
          <w:jc w:val="center"/>
        </w:trPr>
        <w:tc>
          <w:tcPr>
            <w:tcW w:w="398" w:type="dxa"/>
            <w:tcBorders>
              <w:top w:val="nil"/>
              <w:left w:val="single" w:sz="4" w:space="0" w:color="auto"/>
              <w:bottom w:val="single" w:sz="4" w:space="0" w:color="auto"/>
              <w:right w:val="single" w:sz="4" w:space="0" w:color="000000"/>
            </w:tcBorders>
            <w:shd w:val="clear" w:color="000000" w:fill="D9E2F3"/>
            <w:vAlign w:val="center"/>
            <w:hideMark/>
          </w:tcPr>
          <w:p w14:paraId="24741788" w14:textId="77777777" w:rsidR="00D2699D" w:rsidRPr="00D2699D" w:rsidRDefault="00D2699D" w:rsidP="00D2699D">
            <w:pPr>
              <w:widowControl/>
              <w:spacing w:after="0" w:line="240" w:lineRule="auto"/>
              <w:rPr>
                <w:rFonts w:eastAsia="Times New Roman" w:cs="Arial"/>
                <w:color w:val="000000"/>
                <w:sz w:val="14"/>
                <w:szCs w:val="18"/>
                <w:lang w:eastAsia="es-MX"/>
              </w:rPr>
            </w:pPr>
            <w:r w:rsidRPr="00D2699D">
              <w:rPr>
                <w:rFonts w:eastAsia="Times New Roman" w:cs="Arial"/>
                <w:color w:val="000000"/>
                <w:sz w:val="14"/>
                <w:szCs w:val="18"/>
                <w:lang w:eastAsia="es-MX"/>
              </w:rPr>
              <w:t>VN</w:t>
            </w:r>
          </w:p>
        </w:tc>
        <w:tc>
          <w:tcPr>
            <w:tcW w:w="2126" w:type="dxa"/>
            <w:tcBorders>
              <w:top w:val="nil"/>
              <w:left w:val="nil"/>
              <w:bottom w:val="single" w:sz="4" w:space="0" w:color="auto"/>
              <w:right w:val="nil"/>
            </w:tcBorders>
            <w:shd w:val="clear" w:color="000000" w:fill="D9E2F3"/>
            <w:vAlign w:val="center"/>
            <w:hideMark/>
          </w:tcPr>
          <w:p w14:paraId="14B78E28" w14:textId="0F5900B3" w:rsidR="00D2699D" w:rsidRPr="00D2699D" w:rsidRDefault="00D2699D" w:rsidP="00D2699D">
            <w:pPr>
              <w:widowControl/>
              <w:spacing w:after="0" w:line="240" w:lineRule="auto"/>
              <w:rPr>
                <w:rFonts w:eastAsia="Times New Roman" w:cs="Arial"/>
                <w:color w:val="000000"/>
                <w:sz w:val="18"/>
                <w:szCs w:val="18"/>
                <w:lang w:eastAsia="es-MX"/>
              </w:rPr>
            </w:pPr>
            <w:r w:rsidRPr="00D2699D">
              <w:rPr>
                <w:rFonts w:eastAsia="Times New Roman" w:cs="Arial"/>
                <w:color w:val="000000"/>
                <w:sz w:val="18"/>
                <w:szCs w:val="18"/>
                <w:lang w:eastAsia="es-MX"/>
              </w:rPr>
              <w:t xml:space="preserve">Valor </w:t>
            </w:r>
            <w:r w:rsidR="00AC2671">
              <w:rPr>
                <w:rFonts w:eastAsia="Times New Roman" w:cs="Arial"/>
                <w:color w:val="000000"/>
                <w:sz w:val="18"/>
                <w:szCs w:val="18"/>
                <w:lang w:eastAsia="es-MX"/>
              </w:rPr>
              <w:t>n</w:t>
            </w:r>
            <w:r w:rsidRPr="00D2699D">
              <w:rPr>
                <w:rFonts w:eastAsia="Times New Roman" w:cs="Arial"/>
                <w:color w:val="000000"/>
                <w:sz w:val="18"/>
                <w:szCs w:val="18"/>
                <w:lang w:eastAsia="es-MX"/>
              </w:rPr>
              <w:t>eto (ANF+AF-P)</w:t>
            </w:r>
          </w:p>
        </w:tc>
        <w:tc>
          <w:tcPr>
            <w:tcW w:w="1336" w:type="dxa"/>
            <w:tcBorders>
              <w:top w:val="nil"/>
              <w:left w:val="single" w:sz="4" w:space="0" w:color="000000"/>
              <w:bottom w:val="single" w:sz="4" w:space="0" w:color="auto"/>
              <w:right w:val="single" w:sz="4" w:space="0" w:color="000000"/>
            </w:tcBorders>
            <w:shd w:val="clear" w:color="000000" w:fill="D9E2F3"/>
            <w:vAlign w:val="center"/>
            <w:hideMark/>
          </w:tcPr>
          <w:p w14:paraId="60D54E86"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187.2</w:t>
            </w:r>
          </w:p>
        </w:tc>
        <w:tc>
          <w:tcPr>
            <w:tcW w:w="1336" w:type="dxa"/>
            <w:tcBorders>
              <w:top w:val="nil"/>
              <w:left w:val="nil"/>
              <w:bottom w:val="single" w:sz="4" w:space="0" w:color="auto"/>
              <w:right w:val="single" w:sz="4" w:space="0" w:color="000000"/>
            </w:tcBorders>
            <w:shd w:val="clear" w:color="000000" w:fill="D9E2F3"/>
            <w:vAlign w:val="center"/>
            <w:hideMark/>
          </w:tcPr>
          <w:p w14:paraId="72325B25"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30.9</w:t>
            </w:r>
          </w:p>
        </w:tc>
        <w:tc>
          <w:tcPr>
            <w:tcW w:w="1029" w:type="dxa"/>
            <w:tcBorders>
              <w:top w:val="nil"/>
              <w:left w:val="nil"/>
              <w:bottom w:val="single" w:sz="4" w:space="0" w:color="auto"/>
              <w:right w:val="single" w:sz="4" w:space="0" w:color="000000"/>
            </w:tcBorders>
            <w:shd w:val="clear" w:color="000000" w:fill="D9E2F3"/>
            <w:vAlign w:val="center"/>
            <w:hideMark/>
          </w:tcPr>
          <w:p w14:paraId="10DF8CEF"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80.3</w:t>
            </w:r>
          </w:p>
        </w:tc>
        <w:tc>
          <w:tcPr>
            <w:tcW w:w="1090" w:type="dxa"/>
            <w:tcBorders>
              <w:top w:val="nil"/>
              <w:left w:val="nil"/>
              <w:bottom w:val="single" w:sz="4" w:space="0" w:color="auto"/>
              <w:right w:val="single" w:sz="4" w:space="0" w:color="000000"/>
            </w:tcBorders>
            <w:shd w:val="clear" w:color="000000" w:fill="D9E2F3"/>
            <w:vAlign w:val="center"/>
            <w:hideMark/>
          </w:tcPr>
          <w:p w14:paraId="6B2E7547"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336.2</w:t>
            </w:r>
          </w:p>
        </w:tc>
        <w:tc>
          <w:tcPr>
            <w:tcW w:w="1029" w:type="dxa"/>
            <w:tcBorders>
              <w:top w:val="nil"/>
              <w:left w:val="nil"/>
              <w:bottom w:val="single" w:sz="4" w:space="0" w:color="auto"/>
              <w:right w:val="single" w:sz="4" w:space="0" w:color="000000"/>
            </w:tcBorders>
            <w:shd w:val="clear" w:color="000000" w:fill="D9E2F3"/>
            <w:vAlign w:val="center"/>
            <w:hideMark/>
          </w:tcPr>
          <w:p w14:paraId="7056176E"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7.6</w:t>
            </w:r>
          </w:p>
        </w:tc>
        <w:tc>
          <w:tcPr>
            <w:tcW w:w="1096" w:type="dxa"/>
            <w:tcBorders>
              <w:top w:val="nil"/>
              <w:left w:val="nil"/>
              <w:bottom w:val="single" w:sz="4" w:space="0" w:color="auto"/>
              <w:right w:val="single" w:sz="4" w:space="0" w:color="000000"/>
            </w:tcBorders>
            <w:shd w:val="clear" w:color="000000" w:fill="D9E2F3"/>
            <w:vAlign w:val="center"/>
            <w:hideMark/>
          </w:tcPr>
          <w:p w14:paraId="31CDD3DE"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642.1</w:t>
            </w:r>
          </w:p>
        </w:tc>
        <w:tc>
          <w:tcPr>
            <w:tcW w:w="995" w:type="dxa"/>
            <w:tcBorders>
              <w:top w:val="nil"/>
              <w:left w:val="nil"/>
              <w:bottom w:val="single" w:sz="4" w:space="0" w:color="auto"/>
              <w:right w:val="single" w:sz="4" w:space="0" w:color="000000"/>
            </w:tcBorders>
            <w:shd w:val="clear" w:color="000000" w:fill="D9E2F3"/>
            <w:vAlign w:val="center"/>
            <w:hideMark/>
          </w:tcPr>
          <w:p w14:paraId="4045BDB2"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47.3</w:t>
            </w:r>
          </w:p>
        </w:tc>
        <w:tc>
          <w:tcPr>
            <w:tcW w:w="994" w:type="dxa"/>
            <w:tcBorders>
              <w:top w:val="nil"/>
              <w:left w:val="nil"/>
              <w:bottom w:val="single" w:sz="4" w:space="0" w:color="auto"/>
              <w:right w:val="single" w:sz="4" w:space="0" w:color="auto"/>
            </w:tcBorders>
            <w:shd w:val="clear" w:color="000000" w:fill="D9E2F3"/>
            <w:vAlign w:val="center"/>
            <w:hideMark/>
          </w:tcPr>
          <w:p w14:paraId="4E8B2B88" w14:textId="77777777" w:rsidR="00D2699D" w:rsidRPr="00D2699D" w:rsidRDefault="00D2699D" w:rsidP="00D2699D">
            <w:pPr>
              <w:widowControl/>
              <w:spacing w:after="0" w:line="240" w:lineRule="auto"/>
              <w:ind w:firstLineChars="200" w:firstLine="360"/>
              <w:jc w:val="right"/>
              <w:rPr>
                <w:rFonts w:eastAsia="Times New Roman" w:cs="Arial"/>
                <w:color w:val="000000"/>
                <w:sz w:val="18"/>
                <w:szCs w:val="18"/>
                <w:lang w:eastAsia="es-MX"/>
              </w:rPr>
            </w:pPr>
            <w:r w:rsidRPr="00D2699D">
              <w:rPr>
                <w:rFonts w:eastAsia="Times New Roman" w:cs="Arial"/>
                <w:color w:val="000000"/>
                <w:sz w:val="18"/>
                <w:szCs w:val="18"/>
                <w:lang w:eastAsia="es-MX"/>
              </w:rPr>
              <w:t>668.9</w:t>
            </w:r>
          </w:p>
        </w:tc>
      </w:tr>
    </w:tbl>
    <w:p w14:paraId="6D6AC01D" w14:textId="04BE56FC" w:rsidR="00D62C47" w:rsidRPr="00895206" w:rsidRDefault="007E623F" w:rsidP="00BD406D">
      <w:pPr>
        <w:spacing w:after="0"/>
        <w:ind w:left="-993" w:right="-28"/>
        <w:rPr>
          <w:rFonts w:cs="Arial"/>
          <w:sz w:val="16"/>
        </w:rPr>
      </w:pPr>
      <w:r>
        <w:rPr>
          <w:rFonts w:eastAsia="Times New Roman" w:cs="Arial"/>
          <w:sz w:val="18"/>
          <w:szCs w:val="18"/>
          <w:lang w:eastAsia="es-MX"/>
        </w:rPr>
        <w:t>N</w:t>
      </w:r>
      <w:r w:rsidR="00D62C47" w:rsidRPr="00895206">
        <w:rPr>
          <w:rFonts w:cs="Arial"/>
          <w:sz w:val="16"/>
        </w:rPr>
        <w:t>ota: La suma o resta de los parciales puede no coincidir con los totales debido al redondeo.</w:t>
      </w:r>
    </w:p>
    <w:p w14:paraId="335907A8" w14:textId="647C793D" w:rsidR="00D62C47" w:rsidRPr="00895206" w:rsidRDefault="00D62C47" w:rsidP="00BD406D">
      <w:pPr>
        <w:spacing w:after="0"/>
        <w:ind w:left="-993" w:right="-28"/>
        <w:rPr>
          <w:rFonts w:eastAsia="Times New Roman" w:cs="Arial"/>
          <w:sz w:val="18"/>
          <w:szCs w:val="18"/>
          <w:lang w:eastAsia="es-MX"/>
        </w:rPr>
      </w:pPr>
      <w:r w:rsidRPr="00895206">
        <w:rPr>
          <w:rFonts w:cs="Arial"/>
          <w:sz w:val="16"/>
        </w:rPr>
        <w:t>Fuente: INEGI</w:t>
      </w:r>
    </w:p>
    <w:p w14:paraId="68287B62" w14:textId="7D890C6C" w:rsidR="007E623F" w:rsidRDefault="007E623F">
      <w:pPr>
        <w:widowControl/>
        <w:spacing w:after="160" w:line="259" w:lineRule="auto"/>
        <w:rPr>
          <w:rFonts w:eastAsia="Arial" w:cs="Arial"/>
          <w:szCs w:val="24"/>
        </w:rPr>
      </w:pPr>
    </w:p>
    <w:p w14:paraId="0DAE9302" w14:textId="77777777" w:rsidR="00BD406D" w:rsidRDefault="00BD406D">
      <w:pPr>
        <w:widowControl/>
        <w:spacing w:after="160" w:line="259" w:lineRule="auto"/>
        <w:rPr>
          <w:rFonts w:eastAsia="Arial" w:cs="Arial"/>
          <w:szCs w:val="24"/>
        </w:rPr>
      </w:pPr>
    </w:p>
    <w:p w14:paraId="798779E4" w14:textId="3B4CFFC8" w:rsidR="00D62C47" w:rsidRDefault="000A3052" w:rsidP="00D62C47">
      <w:pPr>
        <w:spacing w:after="0" w:line="246" w:lineRule="auto"/>
        <w:ind w:left="-425" w:right="-28"/>
        <w:jc w:val="both"/>
        <w:rPr>
          <w:rFonts w:eastAsia="Arial" w:cs="Arial"/>
          <w:szCs w:val="24"/>
        </w:rPr>
      </w:pPr>
      <w:r>
        <w:rPr>
          <w:rFonts w:eastAsia="Arial" w:cs="Arial"/>
          <w:szCs w:val="24"/>
        </w:rPr>
        <w:t xml:space="preserve">Al </w:t>
      </w:r>
      <w:r w:rsidR="00AC2671">
        <w:rPr>
          <w:rFonts w:eastAsia="Arial" w:cs="Arial"/>
          <w:szCs w:val="24"/>
        </w:rPr>
        <w:t>cierre de</w:t>
      </w:r>
      <w:r>
        <w:rPr>
          <w:rFonts w:eastAsia="Arial" w:cs="Arial"/>
          <w:szCs w:val="24"/>
        </w:rPr>
        <w:t xml:space="preserve"> </w:t>
      </w:r>
      <w:r w:rsidR="009B76AB">
        <w:t>2021</w:t>
      </w:r>
      <w:r w:rsidR="00AC2671">
        <w:t>,</w:t>
      </w:r>
      <w:r w:rsidR="00412673">
        <w:rPr>
          <w:rFonts w:eastAsia="Arial" w:cs="Arial"/>
          <w:szCs w:val="24"/>
        </w:rPr>
        <w:t xml:space="preserve"> los hogares y las s</w:t>
      </w:r>
      <w:r w:rsidR="00D62C47" w:rsidRPr="00895206">
        <w:rPr>
          <w:rFonts w:eastAsia="Arial" w:cs="Arial"/>
          <w:szCs w:val="24"/>
        </w:rPr>
        <w:t xml:space="preserve">ociedades no financieras </w:t>
      </w:r>
      <w:r w:rsidR="00AC2671">
        <w:rPr>
          <w:rFonts w:eastAsia="Arial" w:cs="Arial"/>
          <w:szCs w:val="24"/>
        </w:rPr>
        <w:t>fueron</w:t>
      </w:r>
      <w:r w:rsidR="00AC2671" w:rsidRPr="00895206">
        <w:rPr>
          <w:rFonts w:eastAsia="Arial" w:cs="Arial"/>
          <w:szCs w:val="24"/>
        </w:rPr>
        <w:t xml:space="preserve"> </w:t>
      </w:r>
      <w:r w:rsidR="00D62C47" w:rsidRPr="00895206">
        <w:rPr>
          <w:rFonts w:eastAsia="Arial" w:cs="Arial"/>
          <w:szCs w:val="24"/>
        </w:rPr>
        <w:t xml:space="preserve">los sectores con mayor </w:t>
      </w:r>
      <w:r w:rsidR="00412673">
        <w:rPr>
          <w:rFonts w:eastAsia="Arial" w:cs="Arial"/>
          <w:szCs w:val="24"/>
        </w:rPr>
        <w:t>posesión de activos netos. Los h</w:t>
      </w:r>
      <w:r w:rsidR="00D62C47" w:rsidRPr="00895206">
        <w:rPr>
          <w:rFonts w:eastAsia="Arial" w:cs="Arial"/>
          <w:szCs w:val="24"/>
        </w:rPr>
        <w:t>ogares concluyeron el año con un</w:t>
      </w:r>
      <w:r>
        <w:rPr>
          <w:rFonts w:eastAsia="Arial" w:cs="Arial"/>
          <w:szCs w:val="24"/>
        </w:rPr>
        <w:t xml:space="preserve"> valor neto equivalente a </w:t>
      </w:r>
      <w:r w:rsidR="009B76AB">
        <w:t>336.2</w:t>
      </w:r>
      <w:r>
        <w:rPr>
          <w:rFonts w:eastAsia="Arial" w:cs="Arial"/>
          <w:szCs w:val="24"/>
        </w:rPr>
        <w:t xml:space="preserve"> % del PIB (</w:t>
      </w:r>
      <w:r w:rsidR="00DD0A8B">
        <w:t>86</w:t>
      </w:r>
      <w:r w:rsidR="00AC2671">
        <w:t xml:space="preserve"> </w:t>
      </w:r>
      <w:r w:rsidR="00DD0A8B">
        <w:t>751</w:t>
      </w:r>
      <w:r w:rsidR="00AC2671">
        <w:t xml:space="preserve"> </w:t>
      </w:r>
      <w:r w:rsidR="00DD0A8B">
        <w:t>753</w:t>
      </w:r>
      <w:r w:rsidR="00D62C47" w:rsidRPr="00895206">
        <w:rPr>
          <w:rFonts w:eastAsia="Arial" w:cs="Arial"/>
          <w:szCs w:val="24"/>
        </w:rPr>
        <w:t xml:space="preserve"> millon</w:t>
      </w:r>
      <w:r w:rsidR="00412673">
        <w:rPr>
          <w:rFonts w:eastAsia="Arial" w:cs="Arial"/>
          <w:szCs w:val="24"/>
        </w:rPr>
        <w:t>es de pesos)</w:t>
      </w:r>
      <w:r w:rsidR="00AC2671">
        <w:rPr>
          <w:rFonts w:eastAsia="Arial" w:cs="Arial"/>
          <w:szCs w:val="24"/>
        </w:rPr>
        <w:t>. L</w:t>
      </w:r>
      <w:r w:rsidR="00412673">
        <w:rPr>
          <w:rFonts w:eastAsia="Arial" w:cs="Arial"/>
          <w:szCs w:val="24"/>
        </w:rPr>
        <w:t>as s</w:t>
      </w:r>
      <w:r w:rsidR="00D62C47" w:rsidRPr="00895206">
        <w:rPr>
          <w:rFonts w:eastAsia="Arial" w:cs="Arial"/>
          <w:szCs w:val="24"/>
        </w:rPr>
        <w:t xml:space="preserve">ociedades no financieras </w:t>
      </w:r>
      <w:r w:rsidR="00AC2671">
        <w:rPr>
          <w:rFonts w:eastAsia="Arial" w:cs="Arial"/>
          <w:szCs w:val="24"/>
        </w:rPr>
        <w:t>terminaron el año</w:t>
      </w:r>
      <w:r>
        <w:rPr>
          <w:rFonts w:eastAsia="Arial" w:cs="Arial"/>
          <w:szCs w:val="24"/>
        </w:rPr>
        <w:t xml:space="preserve"> con activos netos por </w:t>
      </w:r>
      <w:r w:rsidR="009B76AB">
        <w:t>187.2</w:t>
      </w:r>
      <w:r>
        <w:rPr>
          <w:rFonts w:eastAsia="Arial" w:cs="Arial"/>
          <w:szCs w:val="24"/>
        </w:rPr>
        <w:t xml:space="preserve"> % del PIB (</w:t>
      </w:r>
      <w:r w:rsidR="009B76AB">
        <w:t>48</w:t>
      </w:r>
      <w:r w:rsidR="00AC2671">
        <w:t xml:space="preserve"> </w:t>
      </w:r>
      <w:r w:rsidR="009B76AB">
        <w:t>295</w:t>
      </w:r>
      <w:r w:rsidR="00AC2671">
        <w:t xml:space="preserve"> </w:t>
      </w:r>
      <w:r w:rsidR="009B76AB">
        <w:t>875</w:t>
      </w:r>
      <w:r w:rsidR="00D62C47" w:rsidRPr="00895206">
        <w:rPr>
          <w:rFonts w:eastAsia="Arial" w:cs="Arial"/>
          <w:szCs w:val="24"/>
        </w:rPr>
        <w:t xml:space="preserve"> millones de pesos). En el año de estudio</w:t>
      </w:r>
      <w:r w:rsidR="00AC2671">
        <w:rPr>
          <w:rFonts w:eastAsia="Arial" w:cs="Arial"/>
          <w:szCs w:val="24"/>
        </w:rPr>
        <w:t>,</w:t>
      </w:r>
      <w:r w:rsidR="00D62C47" w:rsidRPr="00895206">
        <w:rPr>
          <w:rFonts w:eastAsia="Arial" w:cs="Arial"/>
          <w:szCs w:val="24"/>
        </w:rPr>
        <w:t xml:space="preserve"> amb</w:t>
      </w:r>
      <w:r>
        <w:rPr>
          <w:rFonts w:eastAsia="Arial" w:cs="Arial"/>
          <w:szCs w:val="24"/>
        </w:rPr>
        <w:t xml:space="preserve">os sectores concentraron </w:t>
      </w:r>
      <w:r w:rsidR="009B76AB">
        <w:t>78.2</w:t>
      </w:r>
      <w:r>
        <w:rPr>
          <w:rFonts w:eastAsia="Arial" w:cs="Arial"/>
          <w:szCs w:val="24"/>
        </w:rPr>
        <w:t xml:space="preserve"> </w:t>
      </w:r>
      <w:r w:rsidR="00D62C47" w:rsidRPr="00895206">
        <w:rPr>
          <w:rFonts w:eastAsia="Arial" w:cs="Arial"/>
          <w:szCs w:val="24"/>
        </w:rPr>
        <w:t>% del valor neto total de los activos del país.</w:t>
      </w:r>
    </w:p>
    <w:p w14:paraId="69C1770F" w14:textId="2986F1DD" w:rsidR="009F74B7" w:rsidRDefault="009F74B7" w:rsidP="00D62C47">
      <w:pPr>
        <w:spacing w:after="0" w:line="246" w:lineRule="auto"/>
        <w:ind w:left="-425" w:right="-28"/>
        <w:jc w:val="both"/>
        <w:rPr>
          <w:rFonts w:eastAsia="Arial" w:cs="Arial"/>
          <w:szCs w:val="24"/>
        </w:rPr>
      </w:pPr>
    </w:p>
    <w:p w14:paraId="5264889F" w14:textId="22ECB847" w:rsidR="009F74B7" w:rsidRDefault="009F74B7" w:rsidP="00F71AD7">
      <w:pPr>
        <w:spacing w:after="0" w:line="240" w:lineRule="auto"/>
        <w:ind w:left="-426" w:right="-518"/>
        <w:jc w:val="both"/>
        <w:rPr>
          <w:rFonts w:eastAsia="Arial" w:cs="Arial"/>
          <w:spacing w:val="-2"/>
          <w:szCs w:val="24"/>
        </w:rPr>
      </w:pPr>
      <w:r w:rsidRPr="00557C6D">
        <w:rPr>
          <w:rFonts w:eastAsia="Arial" w:cs="Arial"/>
          <w:spacing w:val="-2"/>
          <w:szCs w:val="24"/>
        </w:rPr>
        <w:t>Las C</w:t>
      </w:r>
      <w:r>
        <w:rPr>
          <w:rFonts w:eastAsia="Arial" w:cs="Arial"/>
          <w:spacing w:val="-2"/>
          <w:szCs w:val="24"/>
        </w:rPr>
        <w:t>SI</w:t>
      </w:r>
      <w:r w:rsidRPr="00557C6D">
        <w:rPr>
          <w:rFonts w:eastAsia="Arial" w:cs="Arial"/>
          <w:spacing w:val="-2"/>
          <w:szCs w:val="24"/>
        </w:rPr>
        <w:t xml:space="preserve"> pueden </w:t>
      </w:r>
      <w:r w:rsidR="00EC129A">
        <w:rPr>
          <w:rFonts w:eastAsia="Arial" w:cs="Arial"/>
          <w:spacing w:val="-2"/>
          <w:szCs w:val="24"/>
        </w:rPr>
        <w:t xml:space="preserve">consultarse </w:t>
      </w:r>
      <w:r w:rsidRPr="00557C6D">
        <w:rPr>
          <w:rFonts w:eastAsia="Arial" w:cs="Arial"/>
          <w:spacing w:val="-2"/>
          <w:szCs w:val="24"/>
        </w:rPr>
        <w:t>en la página del Instituto</w:t>
      </w:r>
      <w:r>
        <w:rPr>
          <w:rFonts w:eastAsia="Arial" w:cs="Arial"/>
          <w:spacing w:val="-2"/>
          <w:szCs w:val="24"/>
        </w:rPr>
        <w:t>:</w:t>
      </w:r>
    </w:p>
    <w:p w14:paraId="75DA264F" w14:textId="77777777" w:rsidR="009F74B7" w:rsidRPr="000610A0" w:rsidRDefault="009F74B7" w:rsidP="00F71AD7">
      <w:pPr>
        <w:spacing w:after="0" w:line="240" w:lineRule="auto"/>
        <w:ind w:left="-426" w:right="-518"/>
        <w:jc w:val="both"/>
        <w:rPr>
          <w:rFonts w:cs="Arial"/>
          <w:color w:val="0000FF"/>
        </w:rPr>
      </w:pPr>
      <w:r w:rsidRPr="002C25E1">
        <w:rPr>
          <w:rFonts w:cs="Arial"/>
        </w:rPr>
        <w:t>https://www.inegi.org.mx/temas/si/</w:t>
      </w:r>
    </w:p>
    <w:p w14:paraId="4CFC89C7" w14:textId="77777777" w:rsidR="009F74B7" w:rsidRPr="000610A0" w:rsidRDefault="009F74B7" w:rsidP="00F71AD7">
      <w:pPr>
        <w:spacing w:after="0" w:line="240" w:lineRule="auto"/>
        <w:ind w:left="-426" w:right="-518"/>
        <w:jc w:val="both"/>
        <w:rPr>
          <w:rFonts w:eastAsia="Arial" w:cs="Arial"/>
          <w:sz w:val="28"/>
          <w:szCs w:val="24"/>
        </w:rPr>
      </w:pPr>
      <w:r w:rsidRPr="002C25E1">
        <w:rPr>
          <w:rFonts w:cs="Arial"/>
        </w:rPr>
        <w:t>https://www.inegi.org.mx/programas/si/2013/</w:t>
      </w:r>
    </w:p>
    <w:p w14:paraId="38F96355" w14:textId="77777777" w:rsidR="009F74B7" w:rsidRPr="00895206" w:rsidRDefault="009F74B7" w:rsidP="00D62C47">
      <w:pPr>
        <w:spacing w:after="0" w:line="246" w:lineRule="auto"/>
        <w:ind w:left="-425" w:right="-28"/>
        <w:jc w:val="both"/>
        <w:rPr>
          <w:rFonts w:eastAsia="Arial" w:cs="Arial"/>
          <w:szCs w:val="24"/>
        </w:rPr>
      </w:pPr>
    </w:p>
    <w:p w14:paraId="68A54FA6" w14:textId="5868A73B" w:rsidR="00BB6F11" w:rsidRDefault="00BB6F11" w:rsidP="00AD162B">
      <w:pPr>
        <w:widowControl/>
        <w:spacing w:after="0" w:line="240" w:lineRule="auto"/>
        <w:ind w:left="-425" w:right="-28"/>
        <w:jc w:val="both"/>
        <w:rPr>
          <w:rFonts w:eastAsia="Times New Roman" w:cs="Arial"/>
          <w:bCs/>
          <w:szCs w:val="24"/>
          <w:lang w:eastAsia="es-MX"/>
        </w:rPr>
      </w:pPr>
    </w:p>
    <w:p w14:paraId="41E4651D" w14:textId="219971A5" w:rsidR="000A3052" w:rsidRDefault="000A3052" w:rsidP="00AD162B">
      <w:pPr>
        <w:widowControl/>
        <w:spacing w:after="0" w:line="240" w:lineRule="auto"/>
        <w:ind w:left="-425" w:right="-28"/>
        <w:jc w:val="both"/>
        <w:rPr>
          <w:rFonts w:eastAsia="Times New Roman" w:cs="Arial"/>
          <w:bCs/>
          <w:szCs w:val="24"/>
          <w:lang w:eastAsia="es-MX"/>
        </w:rPr>
      </w:pPr>
    </w:p>
    <w:p w14:paraId="16A97840" w14:textId="362D4609" w:rsidR="000A3052" w:rsidRDefault="000A3052" w:rsidP="00AD162B">
      <w:pPr>
        <w:widowControl/>
        <w:spacing w:after="0" w:line="240" w:lineRule="auto"/>
        <w:ind w:left="-425" w:right="-28"/>
        <w:jc w:val="both"/>
        <w:rPr>
          <w:rFonts w:eastAsia="Times New Roman" w:cs="Arial"/>
          <w:bCs/>
          <w:szCs w:val="24"/>
          <w:lang w:eastAsia="es-MX"/>
        </w:rPr>
      </w:pPr>
    </w:p>
    <w:p w14:paraId="01E499EB" w14:textId="4BA3CBB8" w:rsidR="000A3052" w:rsidRDefault="000A3052" w:rsidP="00AD162B">
      <w:pPr>
        <w:widowControl/>
        <w:spacing w:after="0" w:line="240" w:lineRule="auto"/>
        <w:ind w:left="-425" w:right="-28"/>
        <w:jc w:val="both"/>
        <w:rPr>
          <w:rFonts w:eastAsia="Times New Roman" w:cs="Arial"/>
          <w:bCs/>
          <w:szCs w:val="24"/>
          <w:lang w:eastAsia="es-MX"/>
        </w:rPr>
      </w:pPr>
    </w:p>
    <w:p w14:paraId="65CB2217" w14:textId="01512D2B" w:rsidR="000A3052" w:rsidRDefault="000A3052" w:rsidP="00AD162B">
      <w:pPr>
        <w:widowControl/>
        <w:spacing w:after="0" w:line="240" w:lineRule="auto"/>
        <w:ind w:left="-425" w:right="-28"/>
        <w:jc w:val="both"/>
        <w:rPr>
          <w:rFonts w:eastAsia="Times New Roman" w:cs="Arial"/>
          <w:bCs/>
          <w:szCs w:val="24"/>
          <w:lang w:eastAsia="es-MX"/>
        </w:rPr>
      </w:pPr>
    </w:p>
    <w:p w14:paraId="223E8165" w14:textId="27CAD7D2" w:rsidR="000A3052" w:rsidRDefault="000A3052" w:rsidP="00AD162B">
      <w:pPr>
        <w:widowControl/>
        <w:spacing w:after="0" w:line="240" w:lineRule="auto"/>
        <w:ind w:left="-425" w:right="-28"/>
        <w:jc w:val="both"/>
        <w:rPr>
          <w:rFonts w:eastAsia="Times New Roman" w:cs="Arial"/>
          <w:bCs/>
          <w:szCs w:val="24"/>
          <w:lang w:eastAsia="es-MX"/>
        </w:rPr>
      </w:pPr>
    </w:p>
    <w:p w14:paraId="2BC66D21" w14:textId="41F91108" w:rsidR="000A3052" w:rsidRDefault="000A3052" w:rsidP="00AD162B">
      <w:pPr>
        <w:widowControl/>
        <w:spacing w:after="0" w:line="240" w:lineRule="auto"/>
        <w:ind w:left="-425" w:right="-28"/>
        <w:jc w:val="both"/>
        <w:rPr>
          <w:rFonts w:eastAsia="Times New Roman" w:cs="Arial"/>
          <w:bCs/>
          <w:szCs w:val="24"/>
          <w:lang w:eastAsia="es-MX"/>
        </w:rPr>
      </w:pPr>
    </w:p>
    <w:p w14:paraId="0B0F2E0F" w14:textId="5D90B8F2" w:rsidR="000A3052" w:rsidRDefault="000A3052" w:rsidP="00AD162B">
      <w:pPr>
        <w:widowControl/>
        <w:spacing w:after="0" w:line="240" w:lineRule="auto"/>
        <w:ind w:left="-425" w:right="-28"/>
        <w:jc w:val="both"/>
        <w:rPr>
          <w:rFonts w:eastAsia="Times New Roman" w:cs="Arial"/>
          <w:bCs/>
          <w:szCs w:val="24"/>
          <w:lang w:eastAsia="es-MX"/>
        </w:rPr>
      </w:pPr>
    </w:p>
    <w:p w14:paraId="141402B8" w14:textId="77777777" w:rsidR="000A3052" w:rsidRDefault="000A3052" w:rsidP="00AD162B">
      <w:pPr>
        <w:widowControl/>
        <w:spacing w:after="0" w:line="240" w:lineRule="auto"/>
        <w:ind w:left="-425" w:right="-28"/>
        <w:jc w:val="both"/>
        <w:rPr>
          <w:rFonts w:eastAsia="Times New Roman" w:cs="Arial"/>
          <w:bCs/>
          <w:szCs w:val="24"/>
          <w:lang w:eastAsia="es-MX"/>
        </w:rPr>
      </w:pPr>
    </w:p>
    <w:p w14:paraId="11294BF8" w14:textId="3B0ABEC5" w:rsidR="000A3052" w:rsidRDefault="000A3052" w:rsidP="00AD162B">
      <w:pPr>
        <w:widowControl/>
        <w:spacing w:after="0" w:line="240" w:lineRule="auto"/>
        <w:ind w:left="-425" w:right="-28"/>
        <w:jc w:val="both"/>
        <w:rPr>
          <w:rFonts w:eastAsia="Times New Roman" w:cs="Arial"/>
          <w:bCs/>
          <w:szCs w:val="24"/>
          <w:lang w:eastAsia="es-MX"/>
        </w:rPr>
      </w:pPr>
    </w:p>
    <w:p w14:paraId="264565B5" w14:textId="2A9E429C" w:rsidR="000A3052" w:rsidRDefault="000A3052" w:rsidP="00AD162B">
      <w:pPr>
        <w:widowControl/>
        <w:spacing w:after="0" w:line="240" w:lineRule="auto"/>
        <w:ind w:left="-425" w:right="-28"/>
        <w:jc w:val="both"/>
        <w:rPr>
          <w:rFonts w:eastAsia="Times New Roman" w:cs="Arial"/>
          <w:bCs/>
          <w:szCs w:val="24"/>
          <w:lang w:eastAsia="es-MX"/>
        </w:rPr>
      </w:pPr>
    </w:p>
    <w:p w14:paraId="146E1AD0" w14:textId="77777777" w:rsidR="000A3052" w:rsidRDefault="000A3052" w:rsidP="00AD162B">
      <w:pPr>
        <w:widowControl/>
        <w:spacing w:after="0" w:line="240" w:lineRule="auto"/>
        <w:ind w:left="-425" w:right="-28"/>
        <w:jc w:val="both"/>
        <w:rPr>
          <w:rFonts w:eastAsia="Times New Roman" w:cs="Arial"/>
          <w:bCs/>
          <w:szCs w:val="24"/>
          <w:lang w:eastAsia="es-MX"/>
        </w:rPr>
      </w:pPr>
    </w:p>
    <w:p w14:paraId="7FCFC837" w14:textId="670E65A9" w:rsidR="001B71A1" w:rsidRDefault="001B71A1" w:rsidP="00AD162B">
      <w:pPr>
        <w:widowControl/>
        <w:spacing w:after="0" w:line="240" w:lineRule="auto"/>
        <w:ind w:left="-425" w:right="-28"/>
        <w:jc w:val="both"/>
        <w:rPr>
          <w:rFonts w:eastAsia="Times New Roman" w:cs="Arial"/>
          <w:bCs/>
          <w:szCs w:val="24"/>
          <w:lang w:eastAsia="es-MX"/>
        </w:rPr>
      </w:pPr>
    </w:p>
    <w:p w14:paraId="2E5EFC48" w14:textId="32308BE3" w:rsidR="000A3052" w:rsidRDefault="000A3052" w:rsidP="00AD162B">
      <w:pPr>
        <w:widowControl/>
        <w:spacing w:after="0" w:line="240" w:lineRule="auto"/>
        <w:ind w:left="-425" w:right="-28"/>
        <w:jc w:val="both"/>
        <w:rPr>
          <w:rFonts w:eastAsia="Times New Roman" w:cs="Arial"/>
          <w:bCs/>
          <w:szCs w:val="24"/>
          <w:lang w:eastAsia="es-MX"/>
        </w:rPr>
      </w:pPr>
    </w:p>
    <w:p w14:paraId="0B734DB9" w14:textId="78BE95C7" w:rsidR="000A3052" w:rsidRDefault="000A3052" w:rsidP="00AD162B">
      <w:pPr>
        <w:widowControl/>
        <w:spacing w:after="0" w:line="240" w:lineRule="auto"/>
        <w:ind w:left="-425" w:right="-28"/>
        <w:jc w:val="both"/>
        <w:rPr>
          <w:rFonts w:eastAsia="Times New Roman" w:cs="Arial"/>
          <w:bCs/>
          <w:szCs w:val="24"/>
          <w:lang w:eastAsia="es-MX"/>
        </w:rPr>
      </w:pPr>
    </w:p>
    <w:p w14:paraId="4284ECAD" w14:textId="40BEE4F9" w:rsidR="000A3052" w:rsidRDefault="000A3052" w:rsidP="00AD162B">
      <w:pPr>
        <w:widowControl/>
        <w:spacing w:after="0" w:line="240" w:lineRule="auto"/>
        <w:ind w:left="-425" w:right="-28"/>
        <w:jc w:val="both"/>
        <w:rPr>
          <w:rFonts w:eastAsia="Times New Roman" w:cs="Arial"/>
          <w:bCs/>
          <w:szCs w:val="24"/>
          <w:lang w:eastAsia="es-MX"/>
        </w:rPr>
      </w:pPr>
    </w:p>
    <w:p w14:paraId="76630D5B" w14:textId="77777777" w:rsidR="000A3052" w:rsidRPr="00895206" w:rsidRDefault="000A3052" w:rsidP="00AD162B">
      <w:pPr>
        <w:widowControl/>
        <w:spacing w:after="0" w:line="240" w:lineRule="auto"/>
        <w:ind w:left="-425" w:right="-28"/>
        <w:jc w:val="both"/>
        <w:rPr>
          <w:rFonts w:eastAsia="Times New Roman" w:cs="Arial"/>
          <w:bCs/>
          <w:szCs w:val="24"/>
          <w:lang w:eastAsia="es-MX"/>
        </w:rPr>
      </w:pPr>
    </w:p>
    <w:p w14:paraId="482964BD" w14:textId="77777777" w:rsidR="00AC2671" w:rsidRPr="00331D7C" w:rsidRDefault="00AC2671" w:rsidP="00AC2671">
      <w:pPr>
        <w:ind w:left="-567" w:right="-516"/>
        <w:jc w:val="both"/>
        <w:rPr>
          <w:rFonts w:cs="Arial"/>
          <w:szCs w:val="24"/>
        </w:rPr>
      </w:pPr>
    </w:p>
    <w:p w14:paraId="770A7C73" w14:textId="77777777" w:rsidR="00AC2671" w:rsidRPr="00331D7C" w:rsidRDefault="00AC2671" w:rsidP="00F71AD7">
      <w:pPr>
        <w:pStyle w:val="NormalWeb"/>
        <w:spacing w:before="0" w:beforeAutospacing="0" w:after="0" w:afterAutospacing="0"/>
        <w:ind w:left="-426" w:right="-31"/>
        <w:contextualSpacing/>
        <w:jc w:val="center"/>
        <w:rPr>
          <w:rFonts w:ascii="Arial" w:hAnsi="Arial" w:cs="Arial"/>
        </w:rPr>
      </w:pPr>
      <w:r w:rsidRPr="00331D7C">
        <w:rPr>
          <w:rFonts w:ascii="Arial" w:hAnsi="Arial" w:cs="Arial"/>
        </w:rPr>
        <w:t xml:space="preserve">Para consultas de medios y periodistas, escribir a: </w:t>
      </w:r>
      <w:hyperlink r:id="rId11" w:history="1">
        <w:r w:rsidRPr="00331D7C">
          <w:rPr>
            <w:rStyle w:val="Hipervnculo"/>
            <w:rFonts w:ascii="Arial" w:hAnsi="Arial" w:cs="Arial"/>
          </w:rPr>
          <w:t>comunicacionsocial@inegi.org.mx</w:t>
        </w:r>
      </w:hyperlink>
      <w:r w:rsidRPr="00331D7C">
        <w:rPr>
          <w:rFonts w:ascii="Arial" w:hAnsi="Arial" w:cs="Arial"/>
        </w:rPr>
        <w:t xml:space="preserve"> </w:t>
      </w:r>
    </w:p>
    <w:p w14:paraId="68554727" w14:textId="77777777" w:rsidR="00AC2671" w:rsidRPr="00331D7C" w:rsidRDefault="00AC2671" w:rsidP="00F71AD7">
      <w:pPr>
        <w:pStyle w:val="NormalWeb"/>
        <w:spacing w:before="0" w:beforeAutospacing="0" w:after="0" w:afterAutospacing="0"/>
        <w:ind w:left="-426" w:right="-31"/>
        <w:contextualSpacing/>
        <w:jc w:val="center"/>
        <w:rPr>
          <w:rFonts w:ascii="Arial" w:hAnsi="Arial" w:cs="Arial"/>
        </w:rPr>
      </w:pPr>
      <w:r w:rsidRPr="00331D7C">
        <w:rPr>
          <w:rFonts w:ascii="Arial" w:hAnsi="Arial" w:cs="Arial"/>
        </w:rPr>
        <w:t xml:space="preserve">o llamar al teléfono (55) 52-78-10-00, </w:t>
      </w:r>
      <w:proofErr w:type="spellStart"/>
      <w:r w:rsidRPr="00331D7C">
        <w:rPr>
          <w:rFonts w:ascii="Arial" w:hAnsi="Arial" w:cs="Arial"/>
        </w:rPr>
        <w:t>exts</w:t>
      </w:r>
      <w:proofErr w:type="spellEnd"/>
      <w:r w:rsidRPr="00331D7C">
        <w:rPr>
          <w:rFonts w:ascii="Arial" w:hAnsi="Arial" w:cs="Arial"/>
        </w:rPr>
        <w:t>. 1134, 1260 y 1241.</w:t>
      </w:r>
    </w:p>
    <w:p w14:paraId="2A979B48" w14:textId="77777777" w:rsidR="00AC2671" w:rsidRPr="00331D7C" w:rsidRDefault="00AC2671" w:rsidP="00F71AD7">
      <w:pPr>
        <w:ind w:left="-426" w:right="-31"/>
        <w:contextualSpacing/>
        <w:jc w:val="center"/>
        <w:rPr>
          <w:rFonts w:cs="Arial"/>
          <w:szCs w:val="24"/>
        </w:rPr>
      </w:pPr>
    </w:p>
    <w:p w14:paraId="152CD327" w14:textId="77777777" w:rsidR="00AC2671" w:rsidRPr="00331D7C" w:rsidRDefault="00AC2671" w:rsidP="00F71AD7">
      <w:pPr>
        <w:ind w:left="-426" w:right="-31"/>
        <w:contextualSpacing/>
        <w:jc w:val="center"/>
        <w:rPr>
          <w:rFonts w:cs="Arial"/>
          <w:szCs w:val="24"/>
        </w:rPr>
      </w:pPr>
      <w:r w:rsidRPr="00331D7C">
        <w:rPr>
          <w:rFonts w:cs="Arial"/>
          <w:szCs w:val="24"/>
        </w:rPr>
        <w:t>Dirección de Atención a Medios / Dirección General Adjunta de Comunicación</w:t>
      </w:r>
    </w:p>
    <w:p w14:paraId="4625BE0F" w14:textId="77777777" w:rsidR="00AC2671" w:rsidRDefault="00AC2671" w:rsidP="00F71AD7">
      <w:pPr>
        <w:ind w:right="-516"/>
        <w:contextualSpacing/>
        <w:rPr>
          <w:noProof/>
        </w:rPr>
      </w:pPr>
    </w:p>
    <w:p w14:paraId="68FAEB39" w14:textId="617D7171" w:rsidR="001B71A1" w:rsidRPr="00895206" w:rsidRDefault="001B71A1" w:rsidP="000A3052">
      <w:pPr>
        <w:spacing w:after="0"/>
        <w:ind w:right="-28"/>
        <w:contextualSpacing/>
        <w:rPr>
          <w:rFonts w:cs="Arial"/>
          <w:sz w:val="20"/>
          <w:szCs w:val="20"/>
        </w:rPr>
      </w:pPr>
    </w:p>
    <w:p w14:paraId="7D1EE5A3" w14:textId="77777777" w:rsidR="001B71A1" w:rsidRPr="00895206" w:rsidRDefault="001B71A1" w:rsidP="00AD162B">
      <w:pPr>
        <w:spacing w:after="0"/>
        <w:ind w:left="-425" w:right="-28"/>
        <w:contextualSpacing/>
        <w:jc w:val="center"/>
        <w:rPr>
          <w:rFonts w:cs="Arial"/>
        </w:rPr>
      </w:pPr>
    </w:p>
    <w:p w14:paraId="255C88B1" w14:textId="77777777" w:rsidR="001B71A1" w:rsidRPr="00895206" w:rsidRDefault="001B71A1" w:rsidP="00AD162B">
      <w:pPr>
        <w:spacing w:after="0"/>
        <w:ind w:left="-425" w:right="-28"/>
        <w:contextualSpacing/>
        <w:jc w:val="center"/>
        <w:rPr>
          <w:rFonts w:cs="Arial"/>
          <w:noProof/>
          <w:lang w:eastAsia="es-MX"/>
        </w:rPr>
      </w:pPr>
      <w:r w:rsidRPr="00895206">
        <w:rPr>
          <w:rFonts w:cs="Arial"/>
          <w:noProof/>
          <w:lang w:eastAsia="es-MX"/>
        </w:rPr>
        <w:drawing>
          <wp:inline distT="0" distB="0" distL="0" distR="0" wp14:anchorId="52F43E90" wp14:editId="3937C871">
            <wp:extent cx="369570" cy="365760"/>
            <wp:effectExtent l="0" t="0" r="0" b="0"/>
            <wp:docPr id="4" name="Imagen 4"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 cy="365760"/>
                    </a:xfrm>
                    <a:prstGeom prst="rect">
                      <a:avLst/>
                    </a:prstGeom>
                    <a:noFill/>
                    <a:ln>
                      <a:noFill/>
                    </a:ln>
                  </pic:spPr>
                </pic:pic>
              </a:graphicData>
            </a:graphic>
          </wp:inline>
        </w:drawing>
      </w:r>
      <w:r w:rsidRPr="00895206">
        <w:rPr>
          <w:rFonts w:cs="Arial"/>
          <w:noProof/>
          <w:lang w:eastAsia="es-MX"/>
        </w:rPr>
        <w:t xml:space="preserve"> </w:t>
      </w:r>
      <w:r w:rsidRPr="00895206">
        <w:rPr>
          <w:rFonts w:cs="Arial"/>
          <w:noProof/>
          <w:lang w:eastAsia="es-MX"/>
        </w:rPr>
        <w:drawing>
          <wp:inline distT="0" distB="0" distL="0" distR="0" wp14:anchorId="4B41ED82" wp14:editId="3B417329">
            <wp:extent cx="365760" cy="365760"/>
            <wp:effectExtent l="0" t="0" r="0" b="0"/>
            <wp:docPr id="14" name="Imagen 14"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895206">
        <w:rPr>
          <w:rFonts w:cs="Arial"/>
          <w:noProof/>
          <w:lang w:eastAsia="es-MX"/>
        </w:rPr>
        <w:t xml:space="preserve"> </w:t>
      </w:r>
      <w:r w:rsidRPr="00895206">
        <w:rPr>
          <w:rFonts w:cs="Arial"/>
          <w:noProof/>
          <w:lang w:eastAsia="es-MX"/>
        </w:rPr>
        <w:drawing>
          <wp:inline distT="0" distB="0" distL="0" distR="0" wp14:anchorId="58EBCB0D" wp14:editId="68D9A5C9">
            <wp:extent cx="365760" cy="365760"/>
            <wp:effectExtent l="0" t="0" r="0" b="0"/>
            <wp:docPr id="16" name="Imagen 16"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895206">
        <w:rPr>
          <w:rFonts w:cs="Arial"/>
          <w:noProof/>
          <w:lang w:eastAsia="es-MX"/>
        </w:rPr>
        <w:t xml:space="preserve"> </w:t>
      </w:r>
      <w:r w:rsidRPr="00895206">
        <w:rPr>
          <w:rFonts w:cs="Arial"/>
          <w:noProof/>
          <w:lang w:eastAsia="es-MX"/>
        </w:rPr>
        <w:drawing>
          <wp:inline distT="0" distB="0" distL="0" distR="0" wp14:anchorId="00B9F7B9" wp14:editId="796136AA">
            <wp:extent cx="365760" cy="365760"/>
            <wp:effectExtent l="0" t="0" r="0" b="0"/>
            <wp:docPr id="17" name="Imagen 17"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895206">
        <w:rPr>
          <w:rFonts w:cs="Arial"/>
          <w:noProof/>
          <w:lang w:eastAsia="es-MX"/>
        </w:rPr>
        <w:t xml:space="preserve">  </w:t>
      </w:r>
      <w:r w:rsidRPr="00895206">
        <w:rPr>
          <w:rFonts w:cs="Arial"/>
          <w:noProof/>
          <w:sz w:val="14"/>
          <w:szCs w:val="18"/>
          <w:lang w:eastAsia="es-MX"/>
        </w:rPr>
        <w:drawing>
          <wp:inline distT="0" distB="0" distL="0" distR="0" wp14:anchorId="217B1C62" wp14:editId="0AFCADF4">
            <wp:extent cx="2286000" cy="274320"/>
            <wp:effectExtent l="0" t="0" r="0" b="0"/>
            <wp:docPr id="10" name="Imagen 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9F4A61F" w14:textId="77777777" w:rsidR="001B71A1" w:rsidRPr="00895206" w:rsidRDefault="001B71A1" w:rsidP="00AD162B">
      <w:pPr>
        <w:pStyle w:val="bullet"/>
        <w:tabs>
          <w:tab w:val="left" w:pos="8789"/>
        </w:tabs>
        <w:spacing w:before="0"/>
        <w:ind w:left="-425" w:right="-28" w:firstLine="0"/>
        <w:jc w:val="center"/>
        <w:rPr>
          <w:rFonts w:ascii="Arial" w:hAnsi="Arial" w:cs="Arial"/>
          <w:szCs w:val="24"/>
        </w:rPr>
        <w:sectPr w:rsidR="001B71A1" w:rsidRPr="00895206" w:rsidSect="00F71AD7">
          <w:headerReference w:type="default" r:id="rId22"/>
          <w:footerReference w:type="default" r:id="rId23"/>
          <w:pgSz w:w="12240" w:h="15840" w:code="1"/>
          <w:pgMar w:top="0" w:right="1185" w:bottom="0" w:left="1588" w:header="510" w:footer="521" w:gutter="0"/>
          <w:cols w:space="720"/>
          <w:docGrid w:linePitch="272"/>
        </w:sectPr>
      </w:pPr>
    </w:p>
    <w:p w14:paraId="724DC311" w14:textId="2A638940" w:rsidR="000A3052" w:rsidRPr="00412673" w:rsidRDefault="000A3052" w:rsidP="00AD162B">
      <w:pPr>
        <w:tabs>
          <w:tab w:val="left" w:pos="8789"/>
        </w:tabs>
        <w:spacing w:after="0"/>
        <w:ind w:left="-425" w:right="-28"/>
        <w:contextualSpacing/>
        <w:jc w:val="center"/>
        <w:rPr>
          <w:rStyle w:val="Hipervnculo"/>
          <w:rFonts w:cs="Arial"/>
          <w:b/>
          <w:color w:val="000000" w:themeColor="text1"/>
          <w:szCs w:val="24"/>
          <w:u w:val="none"/>
        </w:rPr>
      </w:pPr>
      <w:r w:rsidRPr="00412673">
        <w:rPr>
          <w:rStyle w:val="Hipervnculo"/>
          <w:rFonts w:cs="Arial"/>
          <w:b/>
          <w:color w:val="000000" w:themeColor="text1"/>
          <w:szCs w:val="24"/>
          <w:u w:val="none"/>
        </w:rPr>
        <w:lastRenderedPageBreak/>
        <w:t>ANEXO</w:t>
      </w:r>
    </w:p>
    <w:p w14:paraId="47952FB8" w14:textId="77777777" w:rsidR="00412673" w:rsidRPr="00412673" w:rsidRDefault="00412673" w:rsidP="00AD162B">
      <w:pPr>
        <w:tabs>
          <w:tab w:val="left" w:pos="8789"/>
        </w:tabs>
        <w:spacing w:after="0"/>
        <w:ind w:left="-425" w:right="-28"/>
        <w:contextualSpacing/>
        <w:jc w:val="center"/>
        <w:rPr>
          <w:rStyle w:val="Hipervnculo"/>
          <w:rFonts w:cs="Arial"/>
          <w:b/>
          <w:color w:val="000000" w:themeColor="text1"/>
          <w:szCs w:val="24"/>
          <w:u w:val="none"/>
        </w:rPr>
      </w:pPr>
    </w:p>
    <w:p w14:paraId="6995D976" w14:textId="5563147E" w:rsidR="001B71A1" w:rsidRDefault="001B71A1" w:rsidP="00AD162B">
      <w:pPr>
        <w:tabs>
          <w:tab w:val="left" w:pos="8789"/>
        </w:tabs>
        <w:spacing w:after="0"/>
        <w:ind w:left="-425" w:right="-28"/>
        <w:contextualSpacing/>
        <w:jc w:val="center"/>
        <w:rPr>
          <w:rStyle w:val="Hipervnculo"/>
          <w:rFonts w:cs="Arial"/>
          <w:b/>
          <w:color w:val="000000" w:themeColor="text1"/>
          <w:szCs w:val="24"/>
          <w:u w:val="none"/>
        </w:rPr>
      </w:pPr>
      <w:r w:rsidRPr="00412673">
        <w:rPr>
          <w:rStyle w:val="Hipervnculo"/>
          <w:rFonts w:cs="Arial"/>
          <w:b/>
          <w:color w:val="000000" w:themeColor="text1"/>
          <w:szCs w:val="24"/>
          <w:u w:val="none"/>
        </w:rPr>
        <w:t xml:space="preserve">NOTA TÉCNICA </w:t>
      </w:r>
    </w:p>
    <w:p w14:paraId="55160694" w14:textId="77777777" w:rsidR="00AC2671" w:rsidRPr="00412673" w:rsidRDefault="00AC2671" w:rsidP="00AD162B">
      <w:pPr>
        <w:tabs>
          <w:tab w:val="left" w:pos="8789"/>
        </w:tabs>
        <w:spacing w:after="0"/>
        <w:ind w:left="-425" w:right="-28"/>
        <w:contextualSpacing/>
        <w:jc w:val="center"/>
        <w:rPr>
          <w:rStyle w:val="Hipervnculo"/>
          <w:rFonts w:cs="Arial"/>
          <w:b/>
          <w:color w:val="000000" w:themeColor="text1"/>
          <w:szCs w:val="24"/>
          <w:u w:val="none"/>
        </w:rPr>
      </w:pPr>
    </w:p>
    <w:p w14:paraId="2BF10FBE" w14:textId="382BD425" w:rsidR="000A3052" w:rsidRPr="00A458A0" w:rsidRDefault="000A3052" w:rsidP="00F71AD7">
      <w:pPr>
        <w:pStyle w:val="consang"/>
        <w:spacing w:after="0" w:line="240" w:lineRule="auto"/>
        <w:ind w:left="-567" w:right="-518" w:firstLine="0"/>
        <w:rPr>
          <w:rFonts w:ascii="Arial" w:hAnsi="Arial" w:cs="Arial"/>
        </w:rPr>
      </w:pPr>
      <w:bookmarkStart w:id="1" w:name="_Hlk57014966"/>
      <w:r>
        <w:rPr>
          <w:rFonts w:ascii="Arial" w:hAnsi="Arial" w:cs="Arial"/>
        </w:rPr>
        <w:t>Las CSI proporcionan un panorama sistematizado y detallado de las transacciones</w:t>
      </w:r>
      <w:r w:rsidR="006E05E1">
        <w:rPr>
          <w:rFonts w:ascii="Arial" w:hAnsi="Arial" w:cs="Arial"/>
        </w:rPr>
        <w:t xml:space="preserve"> que se</w:t>
      </w:r>
      <w:r>
        <w:rPr>
          <w:rFonts w:ascii="Arial" w:hAnsi="Arial" w:cs="Arial"/>
        </w:rPr>
        <w:t xml:space="preserve"> realiza</w:t>
      </w:r>
      <w:r w:rsidR="006E05E1">
        <w:rPr>
          <w:rFonts w:ascii="Arial" w:hAnsi="Arial" w:cs="Arial"/>
        </w:rPr>
        <w:t>n</w:t>
      </w:r>
      <w:r>
        <w:rPr>
          <w:rFonts w:ascii="Arial" w:hAnsi="Arial" w:cs="Arial"/>
        </w:rPr>
        <w:t xml:space="preserve"> entre los distintos sectores institucionales (o agentes económicos)</w:t>
      </w:r>
      <w:r w:rsidR="006E05E1">
        <w:rPr>
          <w:rFonts w:ascii="Arial" w:hAnsi="Arial" w:cs="Arial"/>
        </w:rPr>
        <w:t xml:space="preserve">. También se consideran las </w:t>
      </w:r>
      <w:r w:rsidR="006E05E1" w:rsidRPr="0051299C">
        <w:rPr>
          <w:rFonts w:ascii="Arial" w:hAnsi="Arial" w:cs="Arial"/>
          <w:szCs w:val="24"/>
        </w:rPr>
        <w:t>transacciones de e</w:t>
      </w:r>
      <w:r w:rsidRPr="0051299C">
        <w:rPr>
          <w:rFonts w:ascii="Arial" w:hAnsi="Arial" w:cs="Arial"/>
          <w:szCs w:val="24"/>
        </w:rPr>
        <w:t xml:space="preserve">stos con el resto del mundo. La secuencia de cuentas permite observar la forma en que el producto (que </w:t>
      </w:r>
      <w:r w:rsidR="006E05E1" w:rsidRPr="0051299C">
        <w:rPr>
          <w:rFonts w:ascii="Arial" w:hAnsi="Arial" w:cs="Arial"/>
          <w:szCs w:val="24"/>
        </w:rPr>
        <w:t>se</w:t>
      </w:r>
      <w:r w:rsidRPr="0051299C">
        <w:rPr>
          <w:rFonts w:ascii="Arial" w:hAnsi="Arial" w:cs="Arial"/>
          <w:szCs w:val="24"/>
        </w:rPr>
        <w:t xml:space="preserve"> genera en la esfera de la producción de bienes y servicios)</w:t>
      </w:r>
      <w:r w:rsidR="0051299C" w:rsidRPr="00D9450A">
        <w:rPr>
          <w:rStyle w:val="Refdenotaalpie"/>
          <w:rFonts w:ascii="Arial" w:hAnsi="Arial" w:cs="Arial"/>
          <w:szCs w:val="24"/>
        </w:rPr>
        <w:footnoteReference w:id="11"/>
      </w:r>
      <w:r w:rsidRPr="0051299C">
        <w:rPr>
          <w:rFonts w:ascii="Arial" w:hAnsi="Arial" w:cs="Arial"/>
          <w:szCs w:val="24"/>
        </w:rPr>
        <w:t xml:space="preserve"> se distribuye en su forma de ingreso disponible entre los sectores institucionales</w:t>
      </w:r>
      <w:r w:rsidR="0051299C">
        <w:rPr>
          <w:rFonts w:ascii="Arial" w:hAnsi="Arial" w:cs="Arial"/>
          <w:szCs w:val="24"/>
        </w:rPr>
        <w:t xml:space="preserve">. Lo anterior, al </w:t>
      </w:r>
      <w:r w:rsidRPr="0051299C">
        <w:rPr>
          <w:rFonts w:ascii="Arial" w:hAnsi="Arial" w:cs="Arial"/>
          <w:szCs w:val="24"/>
        </w:rPr>
        <w:t>considerar las distintas transacciones que se llevan a cabo entre sectores</w:t>
      </w:r>
      <w:r w:rsidRPr="00D9450A">
        <w:rPr>
          <w:rStyle w:val="Refdenotaalpie"/>
          <w:rFonts w:ascii="Arial" w:hAnsi="Arial" w:cs="Arial"/>
          <w:szCs w:val="24"/>
        </w:rPr>
        <w:footnoteReference w:id="12"/>
      </w:r>
      <w:r w:rsidRPr="0051299C">
        <w:rPr>
          <w:rFonts w:ascii="Arial" w:hAnsi="Arial" w:cs="Arial"/>
          <w:szCs w:val="24"/>
        </w:rPr>
        <w:t xml:space="preserve"> para que</w:t>
      </w:r>
      <w:r w:rsidR="0051299C">
        <w:rPr>
          <w:rFonts w:ascii="Arial" w:hAnsi="Arial" w:cs="Arial"/>
          <w:szCs w:val="24"/>
        </w:rPr>
        <w:t xml:space="preserve"> estos </w:t>
      </w:r>
      <w:r w:rsidRPr="0051299C">
        <w:rPr>
          <w:rFonts w:ascii="Arial" w:hAnsi="Arial" w:cs="Arial"/>
          <w:szCs w:val="24"/>
        </w:rPr>
        <w:t>(agentes) tomen</w:t>
      </w:r>
      <w:r w:rsidRPr="00A458A0">
        <w:rPr>
          <w:rFonts w:ascii="Arial" w:hAnsi="Arial" w:cs="Arial"/>
        </w:rPr>
        <w:t xml:space="preserve"> decisiones respecto a su asignación en consumo, ahorro, inversión y</w:t>
      </w:r>
      <w:r w:rsidR="00130DC1">
        <w:rPr>
          <w:rFonts w:ascii="Arial" w:hAnsi="Arial" w:cs="Arial"/>
        </w:rPr>
        <w:t>,</w:t>
      </w:r>
      <w:r w:rsidRPr="00A458A0">
        <w:rPr>
          <w:rFonts w:ascii="Arial" w:hAnsi="Arial" w:cs="Arial"/>
        </w:rPr>
        <w:t xml:space="preserve"> finalmente</w:t>
      </w:r>
      <w:r w:rsidR="00130DC1">
        <w:rPr>
          <w:rFonts w:ascii="Arial" w:hAnsi="Arial" w:cs="Arial"/>
        </w:rPr>
        <w:t>,</w:t>
      </w:r>
      <w:r w:rsidRPr="00A458A0">
        <w:rPr>
          <w:rFonts w:ascii="Arial" w:hAnsi="Arial" w:cs="Arial"/>
        </w:rPr>
        <w:t xml:space="preserve"> en la acumulación de riqueza.</w:t>
      </w:r>
    </w:p>
    <w:p w14:paraId="59F5BCF2" w14:textId="77777777" w:rsidR="000A3052" w:rsidRDefault="000A3052" w:rsidP="00F71AD7">
      <w:pPr>
        <w:widowControl/>
        <w:spacing w:after="0" w:line="240" w:lineRule="auto"/>
        <w:ind w:left="-567" w:right="-518"/>
        <w:jc w:val="both"/>
        <w:rPr>
          <w:rFonts w:eastAsia="Times New Roman" w:cs="Arial"/>
          <w:bCs/>
          <w:sz w:val="23"/>
          <w:szCs w:val="23"/>
          <w:lang w:eastAsia="es-MX"/>
        </w:rPr>
      </w:pPr>
    </w:p>
    <w:p w14:paraId="435E7059" w14:textId="77777777" w:rsidR="000A3052" w:rsidRPr="00967568" w:rsidRDefault="000A3052" w:rsidP="00F71AD7">
      <w:pPr>
        <w:spacing w:after="0" w:line="240" w:lineRule="auto"/>
        <w:ind w:left="-567" w:right="-518"/>
        <w:jc w:val="both"/>
        <w:rPr>
          <w:rFonts w:cs="Arial"/>
          <w:szCs w:val="24"/>
        </w:rPr>
      </w:pPr>
      <w:r>
        <w:rPr>
          <w:rFonts w:cs="Arial"/>
          <w:b/>
          <w:smallCaps/>
        </w:rPr>
        <w:t>A</w:t>
      </w:r>
      <w:r w:rsidRPr="00967568">
        <w:rPr>
          <w:rFonts w:cs="Arial"/>
          <w:b/>
          <w:smallCaps/>
        </w:rPr>
        <w:t xml:space="preserve">spectos </w:t>
      </w:r>
      <w:r>
        <w:rPr>
          <w:rFonts w:cs="Arial"/>
          <w:b/>
          <w:smallCaps/>
        </w:rPr>
        <w:t>generale</w:t>
      </w:r>
      <w:r w:rsidRPr="00967568">
        <w:rPr>
          <w:rFonts w:cs="Arial"/>
          <w:b/>
          <w:smallCaps/>
        </w:rPr>
        <w:t>s</w:t>
      </w:r>
    </w:p>
    <w:p w14:paraId="1908D768" w14:textId="77777777" w:rsidR="000A3052" w:rsidRPr="00F96171" w:rsidRDefault="000A3052" w:rsidP="00F71AD7">
      <w:pPr>
        <w:widowControl/>
        <w:spacing w:after="0" w:line="240" w:lineRule="auto"/>
        <w:ind w:left="-567" w:right="-518"/>
        <w:jc w:val="both"/>
        <w:rPr>
          <w:rFonts w:eastAsia="Calibri" w:cs="Arial"/>
          <w:b/>
          <w:szCs w:val="28"/>
        </w:rPr>
      </w:pPr>
    </w:p>
    <w:bookmarkEnd w:id="1"/>
    <w:p w14:paraId="033C78CB" w14:textId="557B73F9" w:rsidR="000A3052" w:rsidRDefault="000A3052" w:rsidP="00F71AD7">
      <w:pPr>
        <w:widowControl/>
        <w:tabs>
          <w:tab w:val="num" w:pos="720"/>
        </w:tabs>
        <w:spacing w:after="0" w:line="240" w:lineRule="auto"/>
        <w:ind w:left="-567" w:right="-518"/>
        <w:jc w:val="both"/>
        <w:rPr>
          <w:rFonts w:eastAsia="Calibri" w:cs="Arial"/>
        </w:rPr>
      </w:pPr>
      <w:r w:rsidRPr="00FE42E0">
        <w:rPr>
          <w:rFonts w:eastAsia="Calibri" w:cs="Arial"/>
        </w:rPr>
        <w:t>Los resultados por sector institucional forman parte de un complemento informativo indispensable de las Cuentas de Bienes y Servicios por sector económico de origen que anualmente publica el Instituto. Así, se dispone de información de manera conjunta sobre el comportamiento real por actividad económica de origen y por sector institucional, en el que se incorpora la corriente financiera de la economía del país.</w:t>
      </w:r>
    </w:p>
    <w:p w14:paraId="41F2A637" w14:textId="77777777" w:rsidR="000A3052" w:rsidRPr="00FE42E0" w:rsidRDefault="000A3052" w:rsidP="00F71AD7">
      <w:pPr>
        <w:widowControl/>
        <w:tabs>
          <w:tab w:val="num" w:pos="720"/>
        </w:tabs>
        <w:spacing w:after="0" w:line="240" w:lineRule="auto"/>
        <w:ind w:left="-567" w:right="-518"/>
        <w:jc w:val="both"/>
        <w:rPr>
          <w:rFonts w:eastAsia="Calibri" w:cs="Arial"/>
        </w:rPr>
      </w:pPr>
    </w:p>
    <w:p w14:paraId="14DF54BE" w14:textId="7C1CEE72" w:rsidR="000A3052" w:rsidRDefault="00412673" w:rsidP="00F71AD7">
      <w:pPr>
        <w:widowControl/>
        <w:tabs>
          <w:tab w:val="num" w:pos="720"/>
        </w:tabs>
        <w:spacing w:after="0" w:line="240" w:lineRule="auto"/>
        <w:ind w:left="-567" w:right="-518"/>
        <w:jc w:val="both"/>
        <w:rPr>
          <w:rFonts w:eastAsia="Calibri" w:cs="Arial"/>
        </w:rPr>
      </w:pPr>
      <w:r w:rsidRPr="00FE42E0">
        <w:rPr>
          <w:rFonts w:eastAsia="Calibri" w:cs="Arial"/>
        </w:rPr>
        <w:t>Debido a la amplitud de la información del Sistema de Cuentas por Sectores Institucionales</w:t>
      </w:r>
      <w:r w:rsidR="0040317F">
        <w:rPr>
          <w:rFonts w:eastAsia="Calibri" w:cs="Arial"/>
        </w:rPr>
        <w:t>,</w:t>
      </w:r>
      <w:r w:rsidRPr="00FE42E0">
        <w:rPr>
          <w:rFonts w:eastAsia="Calibri" w:cs="Arial"/>
        </w:rPr>
        <w:t xml:space="preserve"> las sucesiones contables se presentan en cuadros económicos por sectores (</w:t>
      </w:r>
      <w:r w:rsidR="006E05E1">
        <w:rPr>
          <w:rFonts w:eastAsia="Calibri" w:cs="Arial"/>
        </w:rPr>
        <w:t>seis</w:t>
      </w:r>
      <w:r w:rsidRPr="00FE42E0">
        <w:rPr>
          <w:rFonts w:eastAsia="Calibri" w:cs="Arial"/>
        </w:rPr>
        <w:t>) y subsectores institucional</w:t>
      </w:r>
      <w:r>
        <w:rPr>
          <w:rFonts w:eastAsia="Calibri" w:cs="Arial"/>
        </w:rPr>
        <w:t>es</w:t>
      </w:r>
      <w:r w:rsidRPr="00FE42E0">
        <w:rPr>
          <w:rFonts w:eastAsia="Calibri" w:cs="Arial"/>
        </w:rPr>
        <w:t xml:space="preserve"> en formato matricial</w:t>
      </w:r>
      <w:r w:rsidR="00130DC1">
        <w:rPr>
          <w:rFonts w:eastAsia="Calibri" w:cs="Arial"/>
        </w:rPr>
        <w:t xml:space="preserve"> </w:t>
      </w:r>
      <w:r w:rsidR="00130DC1" w:rsidRPr="00FE42E0">
        <w:rPr>
          <w:rFonts w:eastAsia="Calibri" w:cs="Arial"/>
        </w:rPr>
        <w:t>(15)</w:t>
      </w:r>
      <w:r>
        <w:rPr>
          <w:rFonts w:eastAsia="Calibri" w:cs="Arial"/>
        </w:rPr>
        <w:t xml:space="preserve">. Estos inician </w:t>
      </w:r>
      <w:r w:rsidRPr="00FE42E0">
        <w:rPr>
          <w:rFonts w:eastAsia="Calibri" w:cs="Arial"/>
        </w:rPr>
        <w:t>en la cuenta de producción</w:t>
      </w:r>
      <w:r>
        <w:rPr>
          <w:rFonts w:eastAsia="Calibri" w:cs="Arial"/>
        </w:rPr>
        <w:t xml:space="preserve"> y pasan </w:t>
      </w:r>
      <w:r w:rsidRPr="00FE42E0">
        <w:rPr>
          <w:rFonts w:eastAsia="Calibri" w:cs="Arial"/>
        </w:rPr>
        <w:t xml:space="preserve">por la distribución, redistribución, acumulación, financiamiento, otras variaciones de activos y </w:t>
      </w:r>
      <w:r w:rsidRPr="00D9450A">
        <w:rPr>
          <w:rFonts w:eastAsia="Calibri" w:cs="Arial"/>
          <w:i/>
          <w:iCs/>
        </w:rPr>
        <w:t>stocks</w:t>
      </w:r>
      <w:r w:rsidRPr="00FE42E0">
        <w:rPr>
          <w:rFonts w:eastAsia="Calibri" w:cs="Arial"/>
        </w:rPr>
        <w:t xml:space="preserve"> de activos financieros y no financieros, con el conjunto de saldos contables que propone el </w:t>
      </w:r>
      <w:r w:rsidR="006E05E1">
        <w:rPr>
          <w:rFonts w:eastAsia="Calibri" w:cs="Arial"/>
        </w:rPr>
        <w:t>Sistema de Cuentas Nacionales (</w:t>
      </w:r>
      <w:r w:rsidRPr="00FE42E0">
        <w:rPr>
          <w:rFonts w:eastAsia="Calibri" w:cs="Arial"/>
        </w:rPr>
        <w:t>SCN</w:t>
      </w:r>
      <w:r w:rsidR="006E05E1">
        <w:rPr>
          <w:rFonts w:eastAsia="Calibri" w:cs="Arial"/>
        </w:rPr>
        <w:t>)</w:t>
      </w:r>
      <w:r w:rsidRPr="00FE42E0">
        <w:rPr>
          <w:rFonts w:eastAsia="Calibri" w:cs="Arial"/>
        </w:rPr>
        <w:t xml:space="preserve"> 2008, desde el PIB hasta el </w:t>
      </w:r>
      <w:r>
        <w:rPr>
          <w:rFonts w:eastAsia="Calibri" w:cs="Arial"/>
        </w:rPr>
        <w:t>v</w:t>
      </w:r>
      <w:r w:rsidRPr="00FE42E0">
        <w:rPr>
          <w:rFonts w:eastAsia="Calibri" w:cs="Arial"/>
        </w:rPr>
        <w:t>alor net</w:t>
      </w:r>
      <w:r w:rsidR="006E05E1">
        <w:rPr>
          <w:rFonts w:eastAsia="Calibri" w:cs="Arial"/>
        </w:rPr>
        <w:t>o.</w:t>
      </w:r>
    </w:p>
    <w:p w14:paraId="56C2AF73" w14:textId="77777777" w:rsidR="000A3052" w:rsidRDefault="000A3052" w:rsidP="00F71AD7">
      <w:pPr>
        <w:widowControl/>
        <w:tabs>
          <w:tab w:val="num" w:pos="720"/>
        </w:tabs>
        <w:spacing w:after="0" w:line="240" w:lineRule="auto"/>
        <w:ind w:left="-567" w:right="-518"/>
        <w:jc w:val="both"/>
        <w:rPr>
          <w:rFonts w:eastAsia="Calibri" w:cs="Arial"/>
        </w:rPr>
      </w:pPr>
    </w:p>
    <w:p w14:paraId="05D1B1FC" w14:textId="7CF48731" w:rsidR="000A3052" w:rsidRDefault="000A3052" w:rsidP="00F71AD7">
      <w:pPr>
        <w:widowControl/>
        <w:tabs>
          <w:tab w:val="num" w:pos="720"/>
        </w:tabs>
        <w:spacing w:after="0" w:line="240" w:lineRule="auto"/>
        <w:ind w:left="-567" w:right="-518"/>
        <w:jc w:val="both"/>
        <w:rPr>
          <w:rFonts w:eastAsia="Calibri" w:cs="Arial"/>
        </w:rPr>
      </w:pPr>
      <w:r w:rsidRPr="00FE42E0">
        <w:rPr>
          <w:rFonts w:eastAsia="Calibri" w:cs="Arial"/>
        </w:rPr>
        <w:t>Las CSI se desarrollan con base en los lineamientos internacionales en materia de cuentas nacionales</w:t>
      </w:r>
      <w:r w:rsidR="006E05E1">
        <w:rPr>
          <w:rFonts w:eastAsia="Calibri" w:cs="Arial"/>
        </w:rPr>
        <w:t xml:space="preserve"> y </w:t>
      </w:r>
      <w:r w:rsidR="0040317F">
        <w:rPr>
          <w:rFonts w:eastAsia="Calibri" w:cs="Arial"/>
        </w:rPr>
        <w:t>en apego a las</w:t>
      </w:r>
      <w:r w:rsidRPr="00FE42E0">
        <w:rPr>
          <w:rFonts w:eastAsia="Calibri" w:cs="Arial"/>
        </w:rPr>
        <w:t xml:space="preserve"> versiones actuales del SCN 2008</w:t>
      </w:r>
      <w:r w:rsidR="00B93496">
        <w:rPr>
          <w:rFonts w:eastAsia="Calibri" w:cs="Arial"/>
        </w:rPr>
        <w:t xml:space="preserve">. La elaboración está al cargo de </w:t>
      </w:r>
      <w:r w:rsidRPr="00FE42E0">
        <w:rPr>
          <w:rFonts w:eastAsia="Calibri" w:cs="Arial"/>
        </w:rPr>
        <w:t xml:space="preserve">la Organización de las Naciones Unidas (ONU), </w:t>
      </w:r>
      <w:r w:rsidR="00B93496">
        <w:rPr>
          <w:rFonts w:eastAsia="Calibri" w:cs="Arial"/>
        </w:rPr>
        <w:t>d</w:t>
      </w:r>
      <w:r w:rsidR="006E05E1">
        <w:rPr>
          <w:rFonts w:eastAsia="Calibri" w:cs="Arial"/>
        </w:rPr>
        <w:t xml:space="preserve">el </w:t>
      </w:r>
      <w:r w:rsidRPr="00FE42E0">
        <w:rPr>
          <w:rFonts w:eastAsia="Calibri" w:cs="Arial"/>
        </w:rPr>
        <w:t xml:space="preserve">Fondo Monetario Internacional (FMI), </w:t>
      </w:r>
      <w:r w:rsidR="00B93496">
        <w:rPr>
          <w:rFonts w:eastAsia="Calibri" w:cs="Arial"/>
        </w:rPr>
        <w:t>d</w:t>
      </w:r>
      <w:r w:rsidR="006E05E1">
        <w:rPr>
          <w:rFonts w:eastAsia="Calibri" w:cs="Arial"/>
        </w:rPr>
        <w:t xml:space="preserve">el </w:t>
      </w:r>
      <w:r w:rsidRPr="00FE42E0">
        <w:rPr>
          <w:rFonts w:eastAsia="Calibri" w:cs="Arial"/>
        </w:rPr>
        <w:t>Banco Mundial</w:t>
      </w:r>
      <w:r>
        <w:rPr>
          <w:rFonts w:eastAsia="Calibri" w:cs="Arial"/>
        </w:rPr>
        <w:t xml:space="preserve"> (BM)</w:t>
      </w:r>
      <w:r w:rsidRPr="00FE42E0">
        <w:rPr>
          <w:rFonts w:eastAsia="Calibri" w:cs="Arial"/>
        </w:rPr>
        <w:t xml:space="preserve">, </w:t>
      </w:r>
      <w:r w:rsidR="00B93496">
        <w:rPr>
          <w:rFonts w:eastAsia="Calibri" w:cs="Arial"/>
        </w:rPr>
        <w:t xml:space="preserve">de </w:t>
      </w:r>
      <w:r>
        <w:rPr>
          <w:rFonts w:eastAsia="Calibri" w:cs="Arial"/>
        </w:rPr>
        <w:t xml:space="preserve">la </w:t>
      </w:r>
      <w:r w:rsidRPr="00FE42E0">
        <w:rPr>
          <w:rFonts w:eastAsia="Calibri" w:cs="Arial"/>
        </w:rPr>
        <w:t>Oficina de Estadística</w:t>
      </w:r>
      <w:r>
        <w:rPr>
          <w:rFonts w:eastAsia="Calibri" w:cs="Arial"/>
        </w:rPr>
        <w:t xml:space="preserve"> de la Comisión Europea</w:t>
      </w:r>
      <w:r w:rsidRPr="00FE42E0">
        <w:rPr>
          <w:rFonts w:eastAsia="Calibri" w:cs="Arial"/>
        </w:rPr>
        <w:t xml:space="preserve"> (Eurostat) y </w:t>
      </w:r>
      <w:r w:rsidR="00B93496">
        <w:rPr>
          <w:rFonts w:eastAsia="Calibri" w:cs="Arial"/>
        </w:rPr>
        <w:t xml:space="preserve">de </w:t>
      </w:r>
      <w:r w:rsidRPr="00FE42E0">
        <w:rPr>
          <w:rFonts w:eastAsia="Calibri" w:cs="Arial"/>
        </w:rPr>
        <w:t>la Organización para la Cooperación y el Desarrollo Económico</w:t>
      </w:r>
      <w:r>
        <w:rPr>
          <w:rFonts w:eastAsia="Calibri" w:cs="Arial"/>
        </w:rPr>
        <w:t>s</w:t>
      </w:r>
      <w:r w:rsidRPr="00FE42E0">
        <w:rPr>
          <w:rFonts w:eastAsia="Calibri" w:cs="Arial"/>
        </w:rPr>
        <w:t xml:space="preserve"> (OCDE)</w:t>
      </w:r>
      <w:r>
        <w:rPr>
          <w:rFonts w:eastAsia="Calibri" w:cs="Arial"/>
        </w:rPr>
        <w:t>.</w:t>
      </w:r>
    </w:p>
    <w:p w14:paraId="16BC5AFE" w14:textId="19B40353" w:rsidR="000A3052" w:rsidRDefault="000A3052" w:rsidP="00F71AD7">
      <w:pPr>
        <w:spacing w:after="0" w:line="240" w:lineRule="auto"/>
        <w:ind w:left="-567" w:right="-518"/>
        <w:jc w:val="both"/>
        <w:rPr>
          <w:rFonts w:eastAsia="Calibri" w:cs="Arial"/>
        </w:rPr>
      </w:pPr>
      <w:bookmarkStart w:id="2" w:name="_Hlk57014935"/>
    </w:p>
    <w:p w14:paraId="515F1EB9" w14:textId="77777777" w:rsidR="006E05E1" w:rsidRDefault="006E05E1" w:rsidP="00AC2671">
      <w:pPr>
        <w:spacing w:after="0" w:line="240" w:lineRule="auto"/>
        <w:ind w:left="-567" w:right="-518"/>
        <w:jc w:val="both"/>
        <w:rPr>
          <w:rFonts w:cs="Arial"/>
          <w:b/>
          <w:smallCaps/>
        </w:rPr>
      </w:pPr>
    </w:p>
    <w:p w14:paraId="7C8C9D60" w14:textId="77777777" w:rsidR="006E05E1" w:rsidRDefault="006E05E1" w:rsidP="00AC2671">
      <w:pPr>
        <w:spacing w:after="0" w:line="240" w:lineRule="auto"/>
        <w:ind w:left="-567" w:right="-518"/>
        <w:jc w:val="both"/>
        <w:rPr>
          <w:rFonts w:cs="Arial"/>
          <w:b/>
          <w:smallCaps/>
        </w:rPr>
      </w:pPr>
    </w:p>
    <w:p w14:paraId="3F9DE8B0" w14:textId="77777777" w:rsidR="006E05E1" w:rsidRDefault="006E05E1" w:rsidP="00AC2671">
      <w:pPr>
        <w:spacing w:after="0" w:line="240" w:lineRule="auto"/>
        <w:ind w:left="-567" w:right="-518"/>
        <w:jc w:val="both"/>
        <w:rPr>
          <w:rFonts w:cs="Arial"/>
          <w:b/>
          <w:smallCaps/>
        </w:rPr>
      </w:pPr>
    </w:p>
    <w:p w14:paraId="533F6234" w14:textId="57DCA2E6" w:rsidR="00EF2553" w:rsidRDefault="00EF2553" w:rsidP="00F71AD7">
      <w:pPr>
        <w:spacing w:after="0" w:line="240" w:lineRule="auto"/>
        <w:ind w:left="-567" w:right="-518"/>
        <w:jc w:val="both"/>
        <w:rPr>
          <w:rFonts w:cs="Arial"/>
          <w:b/>
          <w:smallCaps/>
        </w:rPr>
      </w:pPr>
      <w:r>
        <w:rPr>
          <w:rFonts w:cs="Arial"/>
          <w:b/>
          <w:smallCaps/>
        </w:rPr>
        <w:lastRenderedPageBreak/>
        <w:t>A</w:t>
      </w:r>
      <w:r w:rsidRPr="00967568">
        <w:rPr>
          <w:rFonts w:cs="Arial"/>
          <w:b/>
          <w:smallCaps/>
        </w:rPr>
        <w:t xml:space="preserve">spectos </w:t>
      </w:r>
      <w:r w:rsidR="00A75854">
        <w:rPr>
          <w:rFonts w:cs="Arial"/>
          <w:b/>
          <w:smallCaps/>
        </w:rPr>
        <w:t>m</w:t>
      </w:r>
      <w:r w:rsidRPr="00967568">
        <w:rPr>
          <w:rFonts w:cs="Arial"/>
          <w:b/>
          <w:smallCaps/>
        </w:rPr>
        <w:t>etodológicos</w:t>
      </w:r>
    </w:p>
    <w:p w14:paraId="41A73AD5" w14:textId="77777777" w:rsidR="00EF2553" w:rsidRPr="00967568" w:rsidRDefault="00EF2553" w:rsidP="00F71AD7">
      <w:pPr>
        <w:spacing w:after="0" w:line="240" w:lineRule="auto"/>
        <w:ind w:left="-567" w:right="-518"/>
        <w:jc w:val="both"/>
        <w:rPr>
          <w:rFonts w:cs="Arial"/>
          <w:szCs w:val="24"/>
        </w:rPr>
      </w:pPr>
    </w:p>
    <w:p w14:paraId="4788E455" w14:textId="3FD12BBC" w:rsidR="00EF2553" w:rsidRDefault="00EF2553" w:rsidP="00F71AD7">
      <w:pPr>
        <w:spacing w:after="0" w:line="240" w:lineRule="auto"/>
        <w:ind w:left="-567" w:right="-518"/>
        <w:jc w:val="both"/>
        <w:rPr>
          <w:rFonts w:eastAsia="Arial" w:cs="Arial"/>
          <w:spacing w:val="-2"/>
          <w:szCs w:val="24"/>
        </w:rPr>
      </w:pPr>
      <w:r w:rsidRPr="00557C6D">
        <w:rPr>
          <w:rFonts w:eastAsia="Arial" w:cs="Arial"/>
          <w:spacing w:val="-2"/>
          <w:szCs w:val="24"/>
        </w:rPr>
        <w:t xml:space="preserve">Los resultados por sector institucional forman parte de un complemento informativo de las Cuentas de </w:t>
      </w:r>
      <w:r>
        <w:rPr>
          <w:rFonts w:eastAsia="Arial" w:cs="Arial"/>
          <w:spacing w:val="-2"/>
          <w:szCs w:val="24"/>
        </w:rPr>
        <w:t>B</w:t>
      </w:r>
      <w:r w:rsidRPr="00557C6D">
        <w:rPr>
          <w:rFonts w:eastAsia="Arial" w:cs="Arial"/>
          <w:spacing w:val="-2"/>
          <w:szCs w:val="24"/>
        </w:rPr>
        <w:t xml:space="preserve">ienes y </w:t>
      </w:r>
      <w:r>
        <w:rPr>
          <w:rFonts w:eastAsia="Arial" w:cs="Arial"/>
          <w:spacing w:val="-2"/>
          <w:szCs w:val="24"/>
        </w:rPr>
        <w:t>S</w:t>
      </w:r>
      <w:r w:rsidRPr="00557C6D">
        <w:rPr>
          <w:rFonts w:eastAsia="Arial" w:cs="Arial"/>
          <w:spacing w:val="-2"/>
          <w:szCs w:val="24"/>
        </w:rPr>
        <w:t>ervicios por sector económico de origen que difunde el Instituto. Estos dos enfoques de la economía permiten disponer de información</w:t>
      </w:r>
      <w:r w:rsidR="0040317F">
        <w:rPr>
          <w:rFonts w:eastAsia="Arial" w:cs="Arial"/>
          <w:spacing w:val="-2"/>
          <w:szCs w:val="24"/>
        </w:rPr>
        <w:t xml:space="preserve"> sobre el </w:t>
      </w:r>
      <w:r w:rsidRPr="00557C6D">
        <w:rPr>
          <w:rFonts w:eastAsia="Arial" w:cs="Arial"/>
          <w:spacing w:val="-2"/>
          <w:szCs w:val="24"/>
        </w:rPr>
        <w:t>comportamiento real y, en la perspectiva de sectores institucionales, la vinculación de la corriente real con la financiera dentro del circuito de la economía.</w:t>
      </w:r>
    </w:p>
    <w:p w14:paraId="69AC5A62" w14:textId="77777777" w:rsidR="00EF2553" w:rsidRPr="00557C6D" w:rsidRDefault="00EF2553" w:rsidP="00F71AD7">
      <w:pPr>
        <w:spacing w:after="0" w:line="240" w:lineRule="auto"/>
        <w:ind w:left="-567" w:right="-518"/>
        <w:jc w:val="both"/>
        <w:rPr>
          <w:rFonts w:eastAsia="Arial" w:cs="Arial"/>
          <w:spacing w:val="-2"/>
          <w:szCs w:val="24"/>
        </w:rPr>
      </w:pPr>
    </w:p>
    <w:p w14:paraId="141442B6" w14:textId="2AD4788A" w:rsidR="00EF2553" w:rsidRDefault="00EF2553" w:rsidP="00F71AD7">
      <w:pPr>
        <w:spacing w:after="0" w:line="240" w:lineRule="auto"/>
        <w:ind w:left="-567" w:right="-518"/>
        <w:jc w:val="both"/>
        <w:rPr>
          <w:rFonts w:eastAsia="Arial" w:cs="Arial"/>
          <w:spacing w:val="-2"/>
          <w:szCs w:val="24"/>
        </w:rPr>
      </w:pPr>
      <w:r w:rsidRPr="00557C6D">
        <w:rPr>
          <w:rFonts w:eastAsia="Arial" w:cs="Arial"/>
          <w:spacing w:val="-2"/>
          <w:szCs w:val="24"/>
        </w:rPr>
        <w:t>Las unidades institucionales son entidades económicas con capacidad para realizar actividades económicas y efectuar transacciones con otras, poseer activos y contraer pasivos</w:t>
      </w:r>
      <w:r w:rsidR="0040317F">
        <w:rPr>
          <w:rFonts w:eastAsia="Arial" w:cs="Arial"/>
          <w:spacing w:val="-2"/>
          <w:szCs w:val="24"/>
        </w:rPr>
        <w:t>. S</w:t>
      </w:r>
      <w:r w:rsidRPr="00557C6D">
        <w:rPr>
          <w:rFonts w:eastAsia="Arial" w:cs="Arial"/>
          <w:spacing w:val="-2"/>
          <w:szCs w:val="24"/>
        </w:rPr>
        <w:t>e agrupan en sectores institucionales en función de su naturaleza. La sectorización definida para México guarda correspondencia con la recomendada en el SCN 2008, en tanto que la subsectorización aplicada responde a la importancia económica y a la disponibilidad de información adecuada para el sistema.</w:t>
      </w:r>
    </w:p>
    <w:p w14:paraId="6850032D" w14:textId="77777777" w:rsidR="00EF2553" w:rsidRPr="00557C6D" w:rsidRDefault="00EF2553" w:rsidP="00F71AD7">
      <w:pPr>
        <w:spacing w:after="0" w:line="240" w:lineRule="auto"/>
        <w:ind w:left="-567" w:right="-518"/>
        <w:jc w:val="both"/>
        <w:rPr>
          <w:rFonts w:eastAsia="Arial" w:cs="Arial"/>
          <w:spacing w:val="-2"/>
          <w:szCs w:val="24"/>
        </w:rPr>
      </w:pPr>
    </w:p>
    <w:p w14:paraId="2B4FDFE9" w14:textId="796822FF" w:rsidR="00B93496" w:rsidRPr="003F2A99" w:rsidRDefault="00EF2553" w:rsidP="00D9450A">
      <w:pPr>
        <w:pStyle w:val="Prrafodelista"/>
        <w:numPr>
          <w:ilvl w:val="0"/>
          <w:numId w:val="7"/>
        </w:numPr>
        <w:ind w:right="-518"/>
        <w:jc w:val="both"/>
        <w:rPr>
          <w:rFonts w:cs="Arial"/>
          <w:szCs w:val="24"/>
        </w:rPr>
      </w:pPr>
      <w:r w:rsidRPr="003F2A99">
        <w:rPr>
          <w:rFonts w:eastAsia="Arial" w:cs="Arial"/>
          <w:spacing w:val="-2"/>
          <w:szCs w:val="24"/>
        </w:rPr>
        <w:t>Sociedades no financieras</w:t>
      </w:r>
      <w:r w:rsidR="006C03FD">
        <w:rPr>
          <w:rFonts w:eastAsia="Arial" w:cs="Arial"/>
          <w:spacing w:val="-2"/>
          <w:szCs w:val="24"/>
        </w:rPr>
        <w:t>.</w:t>
      </w:r>
      <w:r w:rsidRPr="003F2A99">
        <w:rPr>
          <w:rFonts w:eastAsia="Arial" w:cs="Arial"/>
          <w:spacing w:val="-2"/>
          <w:szCs w:val="24"/>
        </w:rPr>
        <w:t xml:space="preserve"> </w:t>
      </w:r>
      <w:r w:rsidR="00B93496">
        <w:rPr>
          <w:rFonts w:eastAsia="Arial" w:cs="Arial"/>
          <w:spacing w:val="-2"/>
          <w:szCs w:val="24"/>
        </w:rPr>
        <w:t xml:space="preserve">Se conforman </w:t>
      </w:r>
      <w:r w:rsidRPr="003F2A99">
        <w:rPr>
          <w:rFonts w:eastAsia="Arial" w:cs="Arial"/>
          <w:spacing w:val="-2"/>
          <w:szCs w:val="24"/>
        </w:rPr>
        <w:t>por las sociedades o empresas no financieras residentes en el país</w:t>
      </w:r>
      <w:r w:rsidR="0040317F">
        <w:rPr>
          <w:rFonts w:eastAsia="Arial" w:cs="Arial"/>
          <w:spacing w:val="-2"/>
          <w:szCs w:val="24"/>
        </w:rPr>
        <w:t>. Se incluye a</w:t>
      </w:r>
      <w:r w:rsidRPr="003F2A99">
        <w:rPr>
          <w:rFonts w:eastAsia="Arial" w:cs="Arial"/>
          <w:spacing w:val="-2"/>
          <w:szCs w:val="24"/>
        </w:rPr>
        <w:t xml:space="preserve"> las denominadas </w:t>
      </w:r>
      <w:r w:rsidR="00B52E61" w:rsidRPr="00F71AD7">
        <w:rPr>
          <w:rFonts w:cs="Arial"/>
          <w:szCs w:val="24"/>
        </w:rPr>
        <w:t>«</w:t>
      </w:r>
      <w:r w:rsidRPr="00B52E61">
        <w:rPr>
          <w:rFonts w:eastAsia="Arial" w:cs="Arial"/>
          <w:spacing w:val="-2"/>
          <w:szCs w:val="24"/>
        </w:rPr>
        <w:t>cuasisociedades</w:t>
      </w:r>
      <w:r w:rsidR="00B52E61" w:rsidRPr="00F71AD7">
        <w:rPr>
          <w:rFonts w:cs="Arial"/>
          <w:szCs w:val="24"/>
        </w:rPr>
        <w:t>»</w:t>
      </w:r>
      <w:r w:rsidR="00B52E61">
        <w:rPr>
          <w:rFonts w:cs="Arial"/>
          <w:szCs w:val="24"/>
        </w:rPr>
        <w:t>,</w:t>
      </w:r>
      <w:r w:rsidRPr="003F2A99">
        <w:rPr>
          <w:rFonts w:eastAsia="Arial" w:cs="Arial"/>
          <w:spacing w:val="-2"/>
          <w:szCs w:val="24"/>
        </w:rPr>
        <w:t xml:space="preserve"> que son empresas que no están constituidas en sociedad pero que funcionan como tal, es decir, su operación es autónoma</w:t>
      </w:r>
      <w:r w:rsidR="00B93496">
        <w:rPr>
          <w:rFonts w:eastAsia="Arial" w:cs="Arial"/>
          <w:spacing w:val="-2"/>
          <w:szCs w:val="24"/>
        </w:rPr>
        <w:t xml:space="preserve"> y no depende de las o los </w:t>
      </w:r>
      <w:r w:rsidRPr="003F2A99">
        <w:rPr>
          <w:rFonts w:eastAsia="Arial" w:cs="Arial"/>
          <w:spacing w:val="-2"/>
          <w:szCs w:val="24"/>
        </w:rPr>
        <w:t>propietarios.</w:t>
      </w:r>
      <w:r>
        <w:rPr>
          <w:rFonts w:eastAsia="Arial" w:cs="Arial"/>
          <w:spacing w:val="-2"/>
          <w:szCs w:val="24"/>
        </w:rPr>
        <w:t xml:space="preserve"> </w:t>
      </w:r>
      <w:r w:rsidR="00B93496" w:rsidRPr="003F2A99">
        <w:rPr>
          <w:rFonts w:cs="Arial"/>
          <w:szCs w:val="24"/>
        </w:rPr>
        <w:t xml:space="preserve">La función principal de este sector es la de producir bienes y servicios no financieros para su venta en el mercado. </w:t>
      </w:r>
      <w:r w:rsidR="00B93496">
        <w:rPr>
          <w:rFonts w:cs="Arial"/>
          <w:szCs w:val="24"/>
        </w:rPr>
        <w:t>Además, l</w:t>
      </w:r>
      <w:r w:rsidR="00B93496" w:rsidRPr="003F2A99">
        <w:rPr>
          <w:rFonts w:cs="Arial"/>
          <w:szCs w:val="24"/>
        </w:rPr>
        <w:t>as sociedades públicas pueden recibir transferencias, aportaciones y/</w:t>
      </w:r>
      <w:r w:rsidR="00B93496">
        <w:rPr>
          <w:rFonts w:cs="Arial"/>
          <w:szCs w:val="24"/>
        </w:rPr>
        <w:t xml:space="preserve"> </w:t>
      </w:r>
      <w:r w:rsidR="00B93496" w:rsidRPr="003F2A99">
        <w:rPr>
          <w:rFonts w:cs="Arial"/>
          <w:szCs w:val="24"/>
        </w:rPr>
        <w:t>o subsidios del gobierno general.</w:t>
      </w:r>
    </w:p>
    <w:p w14:paraId="6096C4FD" w14:textId="324DB9D9" w:rsidR="00EF2553" w:rsidRPr="00006D16" w:rsidRDefault="00EF2553" w:rsidP="00D9450A">
      <w:pPr>
        <w:pStyle w:val="Prrafodelista"/>
        <w:ind w:left="-567" w:right="-518"/>
        <w:jc w:val="both"/>
        <w:rPr>
          <w:rFonts w:eastAsia="Arial" w:cs="Arial"/>
          <w:spacing w:val="-2"/>
          <w:szCs w:val="24"/>
        </w:rPr>
      </w:pPr>
    </w:p>
    <w:p w14:paraId="1CC78152" w14:textId="29DEE2D1" w:rsidR="006C03FD" w:rsidRPr="003F2A99" w:rsidRDefault="00EF2553" w:rsidP="00B16DEB">
      <w:pPr>
        <w:pStyle w:val="Prrafodelista"/>
        <w:numPr>
          <w:ilvl w:val="0"/>
          <w:numId w:val="7"/>
        </w:numPr>
        <w:ind w:right="-518"/>
        <w:jc w:val="both"/>
        <w:rPr>
          <w:rFonts w:cs="Arial"/>
          <w:szCs w:val="24"/>
        </w:rPr>
      </w:pPr>
      <w:r w:rsidRPr="003F2A99">
        <w:rPr>
          <w:rFonts w:cs="Arial"/>
          <w:szCs w:val="24"/>
        </w:rPr>
        <w:t>Sociedades financieras</w:t>
      </w:r>
      <w:r w:rsidR="006C03FD">
        <w:rPr>
          <w:rFonts w:cs="Arial"/>
          <w:szCs w:val="24"/>
        </w:rPr>
        <w:t>.</w:t>
      </w:r>
      <w:r w:rsidRPr="003F2A99">
        <w:rPr>
          <w:rFonts w:cs="Arial"/>
          <w:szCs w:val="24"/>
        </w:rPr>
        <w:t xml:space="preserve"> Se conforman por las sociedades y cuasisociedades financieras, tanto de capital privado como público. Como su nombre lo indica, realizan actividades de intermediación financiera, facilitan su realización y administran carteras de riesgo. </w:t>
      </w:r>
      <w:r w:rsidR="006C03FD" w:rsidRPr="003F2A99">
        <w:rPr>
          <w:rFonts w:cs="Arial"/>
          <w:szCs w:val="24"/>
        </w:rPr>
        <w:t>Asimismo, se incluye</w:t>
      </w:r>
      <w:r w:rsidR="006C03FD">
        <w:rPr>
          <w:rFonts w:cs="Arial"/>
          <w:szCs w:val="24"/>
        </w:rPr>
        <w:t xml:space="preserve"> a</w:t>
      </w:r>
      <w:r w:rsidR="006C03FD" w:rsidRPr="003F2A99">
        <w:rPr>
          <w:rFonts w:cs="Arial"/>
          <w:szCs w:val="24"/>
        </w:rPr>
        <w:t xml:space="preserve"> las sociedades cuya función principal es asegurar y afianzar</w:t>
      </w:r>
      <w:r w:rsidR="006C03FD">
        <w:rPr>
          <w:rFonts w:cs="Arial"/>
          <w:szCs w:val="24"/>
        </w:rPr>
        <w:t xml:space="preserve">, por lo que </w:t>
      </w:r>
      <w:r w:rsidR="006C03FD" w:rsidRPr="003F2A99">
        <w:rPr>
          <w:rFonts w:cs="Arial"/>
          <w:szCs w:val="24"/>
        </w:rPr>
        <w:t>transforman riesgos individuales en colectivos mediante la constitución de reservas técnicas de seguros</w:t>
      </w:r>
      <w:r w:rsidR="006C03FD">
        <w:rPr>
          <w:rFonts w:cs="Arial"/>
          <w:szCs w:val="24"/>
        </w:rPr>
        <w:t>. Sus</w:t>
      </w:r>
      <w:r w:rsidR="006C03FD" w:rsidRPr="003F2A99">
        <w:rPr>
          <w:rFonts w:cs="Arial"/>
          <w:szCs w:val="24"/>
        </w:rPr>
        <w:t xml:space="preserve"> recursos principales provienen de primas contractuales.</w:t>
      </w:r>
    </w:p>
    <w:p w14:paraId="1155B805" w14:textId="77777777" w:rsidR="00130DC1" w:rsidRDefault="00130DC1" w:rsidP="00B16DEB">
      <w:pPr>
        <w:pStyle w:val="Prrafodelista"/>
        <w:ind w:left="-207" w:right="-518"/>
        <w:jc w:val="both"/>
        <w:rPr>
          <w:rFonts w:cs="Arial"/>
          <w:szCs w:val="24"/>
        </w:rPr>
      </w:pPr>
    </w:p>
    <w:p w14:paraId="7AF58DE6" w14:textId="0E8EDA23" w:rsidR="006C03FD" w:rsidRPr="00D9450A" w:rsidRDefault="00EF2553" w:rsidP="00B16DEB">
      <w:pPr>
        <w:pStyle w:val="Prrafodelista"/>
        <w:numPr>
          <w:ilvl w:val="0"/>
          <w:numId w:val="7"/>
        </w:numPr>
        <w:ind w:right="-518"/>
        <w:jc w:val="both"/>
        <w:rPr>
          <w:rFonts w:eastAsia="Arial"/>
          <w:spacing w:val="-2"/>
        </w:rPr>
      </w:pPr>
      <w:r w:rsidRPr="00D9450A">
        <w:rPr>
          <w:rFonts w:eastAsia="Arial"/>
          <w:spacing w:val="-2"/>
        </w:rPr>
        <w:t>Gobierno general</w:t>
      </w:r>
      <w:r w:rsidR="006C03FD" w:rsidRPr="00D9450A">
        <w:rPr>
          <w:rFonts w:eastAsia="Arial"/>
          <w:spacing w:val="-2"/>
        </w:rPr>
        <w:t>.</w:t>
      </w:r>
      <w:r w:rsidRPr="00D9450A">
        <w:rPr>
          <w:rFonts w:eastAsia="Arial"/>
          <w:spacing w:val="-2"/>
        </w:rPr>
        <w:t xml:space="preserve"> Su función principal es suministrar bienes y servicios no de mercado</w:t>
      </w:r>
      <w:r w:rsidR="00B52E61" w:rsidRPr="00D9450A">
        <w:rPr>
          <w:rFonts w:eastAsia="Arial"/>
          <w:spacing w:val="-2"/>
        </w:rPr>
        <w:t>,</w:t>
      </w:r>
      <w:r w:rsidRPr="00D9450A">
        <w:rPr>
          <w:rFonts w:eastAsia="Arial"/>
          <w:spacing w:val="-2"/>
        </w:rPr>
        <w:t xml:space="preserve"> tanto para los individuos como para la comunidad en su conjunto</w:t>
      </w:r>
      <w:r w:rsidR="00B52E61" w:rsidRPr="00D9450A">
        <w:rPr>
          <w:rFonts w:eastAsia="Arial"/>
          <w:spacing w:val="-2"/>
        </w:rPr>
        <w:t>. E</w:t>
      </w:r>
      <w:r w:rsidRPr="00D9450A">
        <w:rPr>
          <w:rFonts w:eastAsia="Arial"/>
          <w:spacing w:val="-2"/>
        </w:rPr>
        <w:t>jemplo</w:t>
      </w:r>
      <w:r w:rsidR="006C03FD" w:rsidRPr="00D9450A">
        <w:rPr>
          <w:rFonts w:eastAsia="Arial"/>
          <w:spacing w:val="-2"/>
        </w:rPr>
        <w:t>s</w:t>
      </w:r>
      <w:r w:rsidRPr="00D9450A">
        <w:rPr>
          <w:rFonts w:eastAsia="Arial"/>
          <w:spacing w:val="-2"/>
        </w:rPr>
        <w:t xml:space="preserve"> de ello son: seguridad pública, administración de justicia, educación, salud, esparcimiento e investigación, entre otros.</w:t>
      </w:r>
      <w:r w:rsidR="006C03FD" w:rsidRPr="00D9450A">
        <w:rPr>
          <w:rFonts w:eastAsia="Arial"/>
          <w:spacing w:val="-2"/>
        </w:rPr>
        <w:t xml:space="preserve"> El </w:t>
      </w:r>
      <w:r w:rsidR="00562869">
        <w:rPr>
          <w:rFonts w:eastAsia="Arial"/>
          <w:spacing w:val="-2"/>
        </w:rPr>
        <w:t>g</w:t>
      </w:r>
      <w:r w:rsidR="006C03FD" w:rsidRPr="00D9450A">
        <w:rPr>
          <w:rFonts w:eastAsia="Arial"/>
          <w:spacing w:val="-2"/>
        </w:rPr>
        <w:t>obierno general se subdivide en cuatro subsectores: gobierno central, gobierno estatal, gobierno local y fondos de seguridad social. Cada uno de estos subsectores se presenta desagregado para los niveles de gobierno que lo componen.</w:t>
      </w:r>
    </w:p>
    <w:p w14:paraId="39E8B72B" w14:textId="3951A91D" w:rsidR="00EF2553" w:rsidRPr="003F2A99" w:rsidRDefault="00EF2553" w:rsidP="00D9450A">
      <w:pPr>
        <w:pStyle w:val="Prrafodelista"/>
        <w:ind w:left="-207" w:right="-518"/>
        <w:jc w:val="both"/>
        <w:rPr>
          <w:rFonts w:eastAsia="Arial" w:cs="Arial"/>
          <w:spacing w:val="-2"/>
          <w:szCs w:val="24"/>
        </w:rPr>
      </w:pPr>
    </w:p>
    <w:p w14:paraId="2FC7B4A1" w14:textId="7878B3BA" w:rsidR="00EF2553" w:rsidRDefault="00EF2553" w:rsidP="00F71AD7">
      <w:pPr>
        <w:pStyle w:val="Prrafodelista"/>
        <w:ind w:left="-567" w:right="-518"/>
        <w:jc w:val="both"/>
        <w:rPr>
          <w:rFonts w:eastAsia="Arial" w:cs="Arial"/>
          <w:spacing w:val="-2"/>
          <w:szCs w:val="24"/>
        </w:rPr>
      </w:pPr>
    </w:p>
    <w:p w14:paraId="4993DF5B" w14:textId="77777777" w:rsidR="00B16DEB" w:rsidRDefault="00B16DEB" w:rsidP="00F71AD7">
      <w:pPr>
        <w:pStyle w:val="Prrafodelista"/>
        <w:ind w:left="-567" w:right="-518"/>
        <w:jc w:val="both"/>
        <w:rPr>
          <w:rFonts w:eastAsia="Arial" w:cs="Arial"/>
          <w:spacing w:val="-2"/>
          <w:szCs w:val="24"/>
        </w:rPr>
      </w:pPr>
    </w:p>
    <w:p w14:paraId="64295CD1" w14:textId="387E526E" w:rsidR="006C03FD" w:rsidRPr="00006D16" w:rsidRDefault="00EF2553" w:rsidP="00D9450A">
      <w:pPr>
        <w:pStyle w:val="Prrafodelista"/>
        <w:numPr>
          <w:ilvl w:val="0"/>
          <w:numId w:val="7"/>
        </w:numPr>
        <w:ind w:right="-518"/>
        <w:jc w:val="both"/>
        <w:rPr>
          <w:rFonts w:eastAsia="Arial" w:cs="Arial"/>
          <w:spacing w:val="-2"/>
          <w:szCs w:val="24"/>
        </w:rPr>
      </w:pPr>
      <w:r w:rsidRPr="003F2A99">
        <w:rPr>
          <w:rFonts w:eastAsia="Arial" w:cs="Arial"/>
          <w:spacing w:val="-2"/>
          <w:szCs w:val="24"/>
        </w:rPr>
        <w:lastRenderedPageBreak/>
        <w:t>Hogares</w:t>
      </w:r>
      <w:r w:rsidR="006F02C4">
        <w:rPr>
          <w:rFonts w:eastAsia="Arial" w:cs="Arial"/>
          <w:spacing w:val="-2"/>
          <w:szCs w:val="24"/>
        </w:rPr>
        <w:t>.</w:t>
      </w:r>
      <w:r w:rsidRPr="003F2A99">
        <w:rPr>
          <w:rFonts w:eastAsia="Arial" w:cs="Arial"/>
          <w:spacing w:val="-2"/>
          <w:szCs w:val="24"/>
        </w:rPr>
        <w:t xml:space="preserve"> En el SCN 2008 se </w:t>
      </w:r>
      <w:r w:rsidR="00B52E61">
        <w:rPr>
          <w:rFonts w:eastAsia="Arial" w:cs="Arial"/>
          <w:spacing w:val="-2"/>
          <w:szCs w:val="24"/>
        </w:rPr>
        <w:t xml:space="preserve">los </w:t>
      </w:r>
      <w:r w:rsidRPr="003F2A99">
        <w:rPr>
          <w:rFonts w:eastAsia="Arial" w:cs="Arial"/>
          <w:spacing w:val="-2"/>
          <w:szCs w:val="24"/>
        </w:rPr>
        <w:t>define como una unidad institucional cuando se trata de un pequeño</w:t>
      </w:r>
      <w:r w:rsidRPr="003F2A99">
        <w:rPr>
          <w:rFonts w:eastAsia="Arial" w:cs="Arial"/>
          <w:spacing w:val="5"/>
          <w:szCs w:val="24"/>
        </w:rPr>
        <w:t xml:space="preserve"> </w:t>
      </w:r>
      <w:r w:rsidRPr="003F2A99">
        <w:rPr>
          <w:rFonts w:eastAsia="Arial" w:cs="Arial"/>
          <w:spacing w:val="1"/>
          <w:szCs w:val="24"/>
        </w:rPr>
        <w:t>grup</w:t>
      </w:r>
      <w:r w:rsidRPr="003F2A99">
        <w:rPr>
          <w:rFonts w:eastAsia="Arial" w:cs="Arial"/>
          <w:szCs w:val="24"/>
        </w:rPr>
        <w:t xml:space="preserve">o </w:t>
      </w:r>
      <w:r w:rsidRPr="003F2A99">
        <w:rPr>
          <w:rFonts w:eastAsia="Arial" w:cs="Arial"/>
          <w:spacing w:val="1"/>
          <w:szCs w:val="24"/>
        </w:rPr>
        <w:t>d</w:t>
      </w:r>
      <w:r w:rsidRPr="003F2A99">
        <w:rPr>
          <w:rFonts w:eastAsia="Arial" w:cs="Arial"/>
          <w:szCs w:val="24"/>
        </w:rPr>
        <w:t xml:space="preserve">e </w:t>
      </w:r>
      <w:r w:rsidRPr="003F2A99">
        <w:rPr>
          <w:rFonts w:eastAsia="Arial" w:cs="Arial"/>
          <w:spacing w:val="1"/>
          <w:szCs w:val="24"/>
        </w:rPr>
        <w:t>per</w:t>
      </w:r>
      <w:r w:rsidRPr="003F2A99">
        <w:rPr>
          <w:rFonts w:eastAsia="Arial" w:cs="Arial"/>
          <w:szCs w:val="24"/>
        </w:rPr>
        <w:t>s</w:t>
      </w:r>
      <w:r w:rsidRPr="003F2A99">
        <w:rPr>
          <w:rFonts w:eastAsia="Arial" w:cs="Arial"/>
          <w:spacing w:val="1"/>
          <w:szCs w:val="24"/>
        </w:rPr>
        <w:t>ona</w:t>
      </w:r>
      <w:r w:rsidRPr="003F2A99">
        <w:rPr>
          <w:rFonts w:eastAsia="Arial" w:cs="Arial"/>
          <w:szCs w:val="24"/>
        </w:rPr>
        <w:t xml:space="preserve">s </w:t>
      </w:r>
      <w:r w:rsidRPr="003F2A99">
        <w:rPr>
          <w:rFonts w:eastAsia="Arial" w:cs="Arial"/>
          <w:spacing w:val="1"/>
          <w:szCs w:val="24"/>
        </w:rPr>
        <w:t>qu</w:t>
      </w:r>
      <w:r w:rsidRPr="003F2A99">
        <w:rPr>
          <w:rFonts w:eastAsia="Arial" w:cs="Arial"/>
          <w:szCs w:val="24"/>
        </w:rPr>
        <w:t>e c</w:t>
      </w:r>
      <w:r w:rsidRPr="003F2A99">
        <w:rPr>
          <w:rFonts w:eastAsia="Arial" w:cs="Arial"/>
          <w:spacing w:val="1"/>
          <w:szCs w:val="24"/>
        </w:rPr>
        <w:t>o</w:t>
      </w:r>
      <w:r w:rsidRPr="003F2A99">
        <w:rPr>
          <w:rFonts w:eastAsia="Arial" w:cs="Arial"/>
          <w:spacing w:val="-8"/>
          <w:szCs w:val="24"/>
        </w:rPr>
        <w:t>m</w:t>
      </w:r>
      <w:r w:rsidRPr="003F2A99">
        <w:rPr>
          <w:rFonts w:eastAsia="Arial" w:cs="Arial"/>
          <w:spacing w:val="1"/>
          <w:szCs w:val="24"/>
        </w:rPr>
        <w:t>par</w:t>
      </w:r>
      <w:r w:rsidRPr="003F2A99">
        <w:rPr>
          <w:rFonts w:eastAsia="Arial" w:cs="Arial"/>
          <w:szCs w:val="24"/>
        </w:rPr>
        <w:t>t</w:t>
      </w:r>
      <w:r w:rsidRPr="003F2A99">
        <w:rPr>
          <w:rFonts w:eastAsia="Arial" w:cs="Arial"/>
          <w:spacing w:val="1"/>
          <w:szCs w:val="24"/>
        </w:rPr>
        <w:t>e</w:t>
      </w:r>
      <w:r w:rsidRPr="003F2A99">
        <w:rPr>
          <w:rFonts w:eastAsia="Arial" w:cs="Arial"/>
          <w:szCs w:val="24"/>
        </w:rPr>
        <w:t xml:space="preserve">n </w:t>
      </w:r>
      <w:r w:rsidRPr="003F2A99">
        <w:rPr>
          <w:rFonts w:eastAsia="Arial" w:cs="Arial"/>
          <w:spacing w:val="4"/>
          <w:szCs w:val="24"/>
        </w:rPr>
        <w:t>l</w:t>
      </w:r>
      <w:r w:rsidRPr="003F2A99">
        <w:rPr>
          <w:rFonts w:eastAsia="Arial" w:cs="Arial"/>
          <w:szCs w:val="24"/>
        </w:rPr>
        <w:t xml:space="preserve">a </w:t>
      </w:r>
      <w:r w:rsidRPr="003F2A99">
        <w:rPr>
          <w:rFonts w:eastAsia="Arial" w:cs="Arial"/>
          <w:spacing w:val="-8"/>
          <w:szCs w:val="24"/>
        </w:rPr>
        <w:t>m</w:t>
      </w:r>
      <w:r w:rsidRPr="003F2A99">
        <w:rPr>
          <w:rFonts w:eastAsia="Arial" w:cs="Arial"/>
          <w:spacing w:val="4"/>
          <w:szCs w:val="24"/>
        </w:rPr>
        <w:t>i</w:t>
      </w:r>
      <w:r w:rsidRPr="003F2A99">
        <w:rPr>
          <w:rFonts w:eastAsia="Arial" w:cs="Arial"/>
          <w:szCs w:val="24"/>
        </w:rPr>
        <w:t>s</w:t>
      </w:r>
      <w:r w:rsidRPr="003F2A99">
        <w:rPr>
          <w:rFonts w:eastAsia="Arial" w:cs="Arial"/>
          <w:spacing w:val="-8"/>
          <w:szCs w:val="24"/>
        </w:rPr>
        <w:t>m</w:t>
      </w:r>
      <w:r w:rsidRPr="003F2A99">
        <w:rPr>
          <w:rFonts w:eastAsia="Arial" w:cs="Arial"/>
          <w:szCs w:val="24"/>
        </w:rPr>
        <w:t>a v</w:t>
      </w:r>
      <w:r w:rsidRPr="003F2A99">
        <w:rPr>
          <w:rFonts w:eastAsia="Arial" w:cs="Arial"/>
          <w:spacing w:val="4"/>
          <w:szCs w:val="24"/>
        </w:rPr>
        <w:t>i</w:t>
      </w:r>
      <w:r w:rsidRPr="003F2A99">
        <w:rPr>
          <w:rFonts w:eastAsia="Arial" w:cs="Arial"/>
          <w:szCs w:val="24"/>
        </w:rPr>
        <w:t>v</w:t>
      </w:r>
      <w:r w:rsidRPr="003F2A99">
        <w:rPr>
          <w:rFonts w:eastAsia="Arial" w:cs="Arial"/>
          <w:spacing w:val="4"/>
          <w:szCs w:val="24"/>
        </w:rPr>
        <w:t>i</w:t>
      </w:r>
      <w:r w:rsidRPr="003F2A99">
        <w:rPr>
          <w:rFonts w:eastAsia="Arial" w:cs="Arial"/>
          <w:spacing w:val="1"/>
          <w:szCs w:val="24"/>
        </w:rPr>
        <w:t>end</w:t>
      </w:r>
      <w:r w:rsidRPr="003F2A99">
        <w:rPr>
          <w:rFonts w:eastAsia="Arial" w:cs="Arial"/>
          <w:szCs w:val="24"/>
        </w:rPr>
        <w:t>a</w:t>
      </w:r>
      <w:r w:rsidRPr="003F2A99">
        <w:rPr>
          <w:rFonts w:eastAsia="Arial" w:cs="Arial"/>
          <w:spacing w:val="6"/>
          <w:szCs w:val="24"/>
        </w:rPr>
        <w:t xml:space="preserve"> </w:t>
      </w:r>
      <w:r w:rsidRPr="003F2A99">
        <w:rPr>
          <w:rFonts w:eastAsia="Arial" w:cs="Arial"/>
          <w:szCs w:val="24"/>
        </w:rPr>
        <w:t>y</w:t>
      </w:r>
      <w:r w:rsidRPr="003F2A99">
        <w:rPr>
          <w:rFonts w:eastAsia="Arial" w:cs="Arial"/>
          <w:spacing w:val="5"/>
          <w:szCs w:val="24"/>
        </w:rPr>
        <w:t xml:space="preserve"> </w:t>
      </w:r>
      <w:r w:rsidRPr="003F2A99">
        <w:rPr>
          <w:rFonts w:eastAsia="Arial" w:cs="Arial"/>
          <w:spacing w:val="-5"/>
          <w:szCs w:val="24"/>
        </w:rPr>
        <w:t>j</w:t>
      </w:r>
      <w:r w:rsidRPr="003F2A99">
        <w:rPr>
          <w:rFonts w:eastAsia="Arial" w:cs="Arial"/>
          <w:spacing w:val="1"/>
          <w:szCs w:val="24"/>
        </w:rPr>
        <w:t>un</w:t>
      </w:r>
      <w:r w:rsidRPr="003F2A99">
        <w:rPr>
          <w:rFonts w:eastAsia="Arial" w:cs="Arial"/>
          <w:szCs w:val="24"/>
        </w:rPr>
        <w:t>t</w:t>
      </w:r>
      <w:r w:rsidRPr="003F2A99">
        <w:rPr>
          <w:rFonts w:eastAsia="Arial" w:cs="Arial"/>
          <w:spacing w:val="1"/>
          <w:szCs w:val="24"/>
        </w:rPr>
        <w:t>a</w:t>
      </w:r>
      <w:r w:rsidRPr="003F2A99">
        <w:rPr>
          <w:rFonts w:eastAsia="Arial" w:cs="Arial"/>
          <w:szCs w:val="24"/>
        </w:rPr>
        <w:t>n</w:t>
      </w:r>
      <w:r w:rsidR="00B52E61">
        <w:rPr>
          <w:rFonts w:eastAsia="Arial" w:cs="Arial"/>
          <w:szCs w:val="24"/>
        </w:rPr>
        <w:t>,</w:t>
      </w:r>
      <w:r w:rsidRPr="003F2A99">
        <w:rPr>
          <w:rFonts w:eastAsia="Arial" w:cs="Arial"/>
          <w:spacing w:val="6"/>
          <w:szCs w:val="24"/>
        </w:rPr>
        <w:t xml:space="preserve"> </w:t>
      </w:r>
      <w:r w:rsidR="006F02C4">
        <w:rPr>
          <w:rFonts w:eastAsia="Arial" w:cs="Arial"/>
          <w:spacing w:val="6"/>
          <w:szCs w:val="24"/>
        </w:rPr>
        <w:t xml:space="preserve">de manera </w:t>
      </w:r>
      <w:r w:rsidRPr="003F2A99">
        <w:rPr>
          <w:rFonts w:eastAsia="Arial" w:cs="Arial"/>
          <w:szCs w:val="24"/>
        </w:rPr>
        <w:t>t</w:t>
      </w:r>
      <w:r w:rsidRPr="003F2A99">
        <w:rPr>
          <w:rFonts w:eastAsia="Arial" w:cs="Arial"/>
          <w:spacing w:val="1"/>
          <w:szCs w:val="24"/>
        </w:rPr>
        <w:t>o</w:t>
      </w:r>
      <w:r w:rsidRPr="003F2A99">
        <w:rPr>
          <w:rFonts w:eastAsia="Arial" w:cs="Arial"/>
          <w:szCs w:val="24"/>
        </w:rPr>
        <w:t>t</w:t>
      </w:r>
      <w:r w:rsidRPr="003F2A99">
        <w:rPr>
          <w:rFonts w:eastAsia="Arial" w:cs="Arial"/>
          <w:spacing w:val="1"/>
          <w:szCs w:val="24"/>
        </w:rPr>
        <w:t>a</w:t>
      </w:r>
      <w:r w:rsidRPr="003F2A99">
        <w:rPr>
          <w:rFonts w:eastAsia="Arial" w:cs="Arial"/>
          <w:szCs w:val="24"/>
        </w:rPr>
        <w:t>l</w:t>
      </w:r>
      <w:r w:rsidRPr="003F2A99">
        <w:rPr>
          <w:rFonts w:eastAsia="Arial" w:cs="Arial"/>
          <w:spacing w:val="4"/>
          <w:szCs w:val="24"/>
        </w:rPr>
        <w:t xml:space="preserve"> </w:t>
      </w:r>
      <w:r w:rsidRPr="003F2A99">
        <w:rPr>
          <w:rFonts w:eastAsia="Arial" w:cs="Arial"/>
          <w:szCs w:val="24"/>
        </w:rPr>
        <w:t>o</w:t>
      </w:r>
      <w:r w:rsidRPr="003F2A99">
        <w:rPr>
          <w:rFonts w:eastAsia="Arial" w:cs="Arial"/>
          <w:spacing w:val="1"/>
          <w:szCs w:val="24"/>
        </w:rPr>
        <w:t xml:space="preserve"> par</w:t>
      </w:r>
      <w:r w:rsidRPr="003F2A99">
        <w:rPr>
          <w:rFonts w:eastAsia="Arial" w:cs="Arial"/>
          <w:szCs w:val="24"/>
        </w:rPr>
        <w:t>c</w:t>
      </w:r>
      <w:r w:rsidRPr="003F2A99">
        <w:rPr>
          <w:rFonts w:eastAsia="Arial" w:cs="Arial"/>
          <w:spacing w:val="4"/>
          <w:szCs w:val="24"/>
        </w:rPr>
        <w:t>i</w:t>
      </w:r>
      <w:r w:rsidRPr="003F2A99">
        <w:rPr>
          <w:rFonts w:eastAsia="Arial" w:cs="Arial"/>
          <w:spacing w:val="1"/>
          <w:szCs w:val="24"/>
        </w:rPr>
        <w:t>a</w:t>
      </w:r>
      <w:r w:rsidR="006F02C4">
        <w:rPr>
          <w:rFonts w:eastAsia="Arial" w:cs="Arial"/>
          <w:szCs w:val="24"/>
        </w:rPr>
        <w:t>l</w:t>
      </w:r>
      <w:r w:rsidR="00B52E61">
        <w:rPr>
          <w:rFonts w:eastAsia="Arial" w:cs="Arial"/>
          <w:szCs w:val="24"/>
        </w:rPr>
        <w:t>,</w:t>
      </w:r>
      <w:r w:rsidRPr="003F2A99">
        <w:rPr>
          <w:rFonts w:eastAsia="Arial" w:cs="Arial"/>
          <w:spacing w:val="1"/>
          <w:szCs w:val="24"/>
        </w:rPr>
        <w:t xml:space="preserve"> </w:t>
      </w:r>
      <w:r w:rsidRPr="003F2A99">
        <w:rPr>
          <w:rFonts w:eastAsia="Arial" w:cs="Arial"/>
          <w:szCs w:val="24"/>
        </w:rPr>
        <w:t>s</w:t>
      </w:r>
      <w:r w:rsidRPr="003F2A99">
        <w:rPr>
          <w:rFonts w:eastAsia="Arial" w:cs="Arial"/>
          <w:spacing w:val="1"/>
          <w:szCs w:val="24"/>
        </w:rPr>
        <w:t>u</w:t>
      </w:r>
      <w:r w:rsidRPr="003F2A99">
        <w:rPr>
          <w:rFonts w:eastAsia="Arial" w:cs="Arial"/>
          <w:szCs w:val="24"/>
        </w:rPr>
        <w:t xml:space="preserve">s </w:t>
      </w:r>
      <w:r w:rsidRPr="003F2A99">
        <w:rPr>
          <w:rFonts w:eastAsia="Arial" w:cs="Arial"/>
          <w:spacing w:val="4"/>
          <w:szCs w:val="24"/>
        </w:rPr>
        <w:t>i</w:t>
      </w:r>
      <w:r w:rsidRPr="003F2A99">
        <w:rPr>
          <w:rFonts w:eastAsia="Arial" w:cs="Arial"/>
          <w:spacing w:val="1"/>
          <w:szCs w:val="24"/>
        </w:rPr>
        <w:t>ngre</w:t>
      </w:r>
      <w:r w:rsidRPr="003F2A99">
        <w:rPr>
          <w:rFonts w:eastAsia="Arial" w:cs="Arial"/>
          <w:szCs w:val="24"/>
        </w:rPr>
        <w:t>s</w:t>
      </w:r>
      <w:r w:rsidRPr="003F2A99">
        <w:rPr>
          <w:rFonts w:eastAsia="Arial" w:cs="Arial"/>
          <w:spacing w:val="1"/>
          <w:szCs w:val="24"/>
        </w:rPr>
        <w:t>o</w:t>
      </w:r>
      <w:r w:rsidRPr="003F2A99">
        <w:rPr>
          <w:rFonts w:eastAsia="Arial" w:cs="Arial"/>
          <w:szCs w:val="24"/>
        </w:rPr>
        <w:t>s y su</w:t>
      </w:r>
      <w:r w:rsidRPr="003F2A99">
        <w:rPr>
          <w:rFonts w:eastAsia="Arial" w:cs="Arial"/>
          <w:spacing w:val="1"/>
          <w:szCs w:val="24"/>
        </w:rPr>
        <w:t xml:space="preserve"> r</w:t>
      </w:r>
      <w:r w:rsidRPr="003F2A99">
        <w:rPr>
          <w:rFonts w:eastAsia="Arial" w:cs="Arial"/>
          <w:spacing w:val="4"/>
          <w:szCs w:val="24"/>
        </w:rPr>
        <w:t>i</w:t>
      </w:r>
      <w:r w:rsidRPr="003F2A99">
        <w:rPr>
          <w:rFonts w:eastAsia="Arial" w:cs="Arial"/>
          <w:spacing w:val="1"/>
          <w:szCs w:val="24"/>
        </w:rPr>
        <w:t>que</w:t>
      </w:r>
      <w:r w:rsidRPr="003F2A99">
        <w:rPr>
          <w:rFonts w:eastAsia="Arial" w:cs="Arial"/>
          <w:szCs w:val="24"/>
        </w:rPr>
        <w:t>z</w:t>
      </w:r>
      <w:r w:rsidRPr="003F2A99">
        <w:rPr>
          <w:rFonts w:eastAsia="Arial" w:cs="Arial"/>
          <w:spacing w:val="1"/>
          <w:szCs w:val="24"/>
        </w:rPr>
        <w:t>a</w:t>
      </w:r>
      <w:r w:rsidR="006C03FD">
        <w:rPr>
          <w:rFonts w:eastAsia="Arial" w:cs="Arial"/>
          <w:spacing w:val="1"/>
          <w:szCs w:val="24"/>
        </w:rPr>
        <w:t xml:space="preserve"> y </w:t>
      </w:r>
      <w:r w:rsidRPr="003F2A99">
        <w:rPr>
          <w:rFonts w:eastAsia="Arial" w:cs="Arial"/>
          <w:szCs w:val="24"/>
        </w:rPr>
        <w:t>c</w:t>
      </w:r>
      <w:r w:rsidRPr="003F2A99">
        <w:rPr>
          <w:rFonts w:eastAsia="Arial" w:cs="Arial"/>
          <w:spacing w:val="1"/>
          <w:szCs w:val="24"/>
        </w:rPr>
        <w:t>on</w:t>
      </w:r>
      <w:r w:rsidRPr="003F2A99">
        <w:rPr>
          <w:rFonts w:eastAsia="Arial" w:cs="Arial"/>
          <w:szCs w:val="24"/>
        </w:rPr>
        <w:t>s</w:t>
      </w:r>
      <w:r w:rsidRPr="003F2A99">
        <w:rPr>
          <w:rFonts w:eastAsia="Arial" w:cs="Arial"/>
          <w:spacing w:val="1"/>
          <w:szCs w:val="24"/>
        </w:rPr>
        <w:t>u</w:t>
      </w:r>
      <w:r w:rsidRPr="003F2A99">
        <w:rPr>
          <w:rFonts w:eastAsia="Arial" w:cs="Arial"/>
          <w:spacing w:val="-8"/>
          <w:szCs w:val="24"/>
        </w:rPr>
        <w:t>m</w:t>
      </w:r>
      <w:r w:rsidR="00B52E61">
        <w:rPr>
          <w:rFonts w:eastAsia="Arial" w:cs="Arial"/>
          <w:szCs w:val="24"/>
        </w:rPr>
        <w:t>en</w:t>
      </w:r>
      <w:r w:rsidRPr="003F2A99">
        <w:rPr>
          <w:rFonts w:eastAsia="Arial" w:cs="Arial"/>
          <w:szCs w:val="24"/>
        </w:rPr>
        <w:t xml:space="preserve"> c</w:t>
      </w:r>
      <w:r w:rsidRPr="003F2A99">
        <w:rPr>
          <w:rFonts w:eastAsia="Arial" w:cs="Arial"/>
          <w:spacing w:val="1"/>
          <w:szCs w:val="24"/>
        </w:rPr>
        <w:t>o</w:t>
      </w:r>
      <w:r w:rsidRPr="003F2A99">
        <w:rPr>
          <w:rFonts w:eastAsia="Arial" w:cs="Arial"/>
          <w:spacing w:val="4"/>
          <w:szCs w:val="24"/>
        </w:rPr>
        <w:t>l</w:t>
      </w:r>
      <w:r w:rsidRPr="003F2A99">
        <w:rPr>
          <w:rFonts w:eastAsia="Arial" w:cs="Arial"/>
          <w:spacing w:val="1"/>
          <w:szCs w:val="24"/>
        </w:rPr>
        <w:t>e</w:t>
      </w:r>
      <w:r w:rsidRPr="003F2A99">
        <w:rPr>
          <w:rFonts w:eastAsia="Arial" w:cs="Arial"/>
          <w:szCs w:val="24"/>
        </w:rPr>
        <w:t>ct</w:t>
      </w:r>
      <w:r w:rsidRPr="003F2A99">
        <w:rPr>
          <w:rFonts w:eastAsia="Arial" w:cs="Arial"/>
          <w:spacing w:val="5"/>
          <w:szCs w:val="24"/>
        </w:rPr>
        <w:t>i</w:t>
      </w:r>
      <w:r w:rsidRPr="003F2A99">
        <w:rPr>
          <w:rFonts w:eastAsia="Arial" w:cs="Arial"/>
          <w:szCs w:val="24"/>
        </w:rPr>
        <w:t>v</w:t>
      </w:r>
      <w:r w:rsidRPr="003F2A99">
        <w:rPr>
          <w:rFonts w:eastAsia="Arial" w:cs="Arial"/>
          <w:spacing w:val="1"/>
          <w:szCs w:val="24"/>
        </w:rPr>
        <w:t>a</w:t>
      </w:r>
      <w:r w:rsidRPr="003F2A99">
        <w:rPr>
          <w:rFonts w:eastAsia="Arial" w:cs="Arial"/>
          <w:spacing w:val="-8"/>
          <w:szCs w:val="24"/>
        </w:rPr>
        <w:t>m</w:t>
      </w:r>
      <w:r w:rsidRPr="003F2A99">
        <w:rPr>
          <w:rFonts w:eastAsia="Arial" w:cs="Arial"/>
          <w:spacing w:val="1"/>
          <w:szCs w:val="24"/>
        </w:rPr>
        <w:t>en</w:t>
      </w:r>
      <w:r w:rsidRPr="003F2A99">
        <w:rPr>
          <w:rFonts w:eastAsia="Arial" w:cs="Arial"/>
          <w:szCs w:val="24"/>
        </w:rPr>
        <w:t>te</w:t>
      </w:r>
      <w:r w:rsidRPr="003F2A99">
        <w:rPr>
          <w:rFonts w:eastAsia="Arial" w:cs="Arial"/>
          <w:spacing w:val="5"/>
          <w:szCs w:val="24"/>
        </w:rPr>
        <w:t xml:space="preserve"> </w:t>
      </w:r>
      <w:r w:rsidRPr="003F2A99">
        <w:rPr>
          <w:rFonts w:eastAsia="Arial" w:cs="Arial"/>
          <w:spacing w:val="1"/>
          <w:szCs w:val="24"/>
        </w:rPr>
        <w:t>b</w:t>
      </w:r>
      <w:r w:rsidRPr="003F2A99">
        <w:rPr>
          <w:rFonts w:eastAsia="Arial" w:cs="Arial"/>
          <w:spacing w:val="4"/>
          <w:szCs w:val="24"/>
        </w:rPr>
        <w:t>i</w:t>
      </w:r>
      <w:r w:rsidRPr="003F2A99">
        <w:rPr>
          <w:rFonts w:eastAsia="Arial" w:cs="Arial"/>
          <w:spacing w:val="1"/>
          <w:szCs w:val="24"/>
        </w:rPr>
        <w:t>ene</w:t>
      </w:r>
      <w:r w:rsidRPr="003F2A99">
        <w:rPr>
          <w:rFonts w:eastAsia="Arial" w:cs="Arial"/>
          <w:szCs w:val="24"/>
        </w:rPr>
        <w:t>s</w:t>
      </w:r>
      <w:r w:rsidRPr="003F2A99">
        <w:rPr>
          <w:rFonts w:eastAsia="Arial" w:cs="Arial"/>
          <w:spacing w:val="5"/>
          <w:szCs w:val="24"/>
        </w:rPr>
        <w:t xml:space="preserve"> </w:t>
      </w:r>
      <w:r w:rsidRPr="003F2A99">
        <w:rPr>
          <w:rFonts w:eastAsia="Arial" w:cs="Arial"/>
          <w:szCs w:val="24"/>
        </w:rPr>
        <w:t>y s</w:t>
      </w:r>
      <w:r w:rsidRPr="003F2A99">
        <w:rPr>
          <w:rFonts w:eastAsia="Arial" w:cs="Arial"/>
          <w:spacing w:val="1"/>
          <w:szCs w:val="24"/>
        </w:rPr>
        <w:t>er</w:t>
      </w:r>
      <w:r w:rsidRPr="003F2A99">
        <w:rPr>
          <w:rFonts w:eastAsia="Arial" w:cs="Arial"/>
          <w:szCs w:val="24"/>
        </w:rPr>
        <w:t>v</w:t>
      </w:r>
      <w:r w:rsidRPr="003F2A99">
        <w:rPr>
          <w:rFonts w:eastAsia="Arial" w:cs="Arial"/>
          <w:spacing w:val="4"/>
          <w:szCs w:val="24"/>
        </w:rPr>
        <w:t>i</w:t>
      </w:r>
      <w:r w:rsidRPr="003F2A99">
        <w:rPr>
          <w:rFonts w:eastAsia="Arial" w:cs="Arial"/>
          <w:szCs w:val="24"/>
        </w:rPr>
        <w:t>c</w:t>
      </w:r>
      <w:r w:rsidRPr="003F2A99">
        <w:rPr>
          <w:rFonts w:eastAsia="Arial" w:cs="Arial"/>
          <w:spacing w:val="4"/>
          <w:szCs w:val="24"/>
        </w:rPr>
        <w:t>i</w:t>
      </w:r>
      <w:r w:rsidRPr="003F2A99">
        <w:rPr>
          <w:rFonts w:eastAsia="Arial" w:cs="Arial"/>
          <w:spacing w:val="1"/>
          <w:szCs w:val="24"/>
        </w:rPr>
        <w:t>o</w:t>
      </w:r>
      <w:r w:rsidRPr="003F2A99">
        <w:rPr>
          <w:rFonts w:eastAsia="Arial" w:cs="Arial"/>
          <w:szCs w:val="24"/>
        </w:rPr>
        <w:t>s, t</w:t>
      </w:r>
      <w:r w:rsidRPr="003F2A99">
        <w:rPr>
          <w:rFonts w:eastAsia="Arial" w:cs="Arial"/>
          <w:spacing w:val="1"/>
          <w:szCs w:val="24"/>
        </w:rPr>
        <w:t>a</w:t>
      </w:r>
      <w:r w:rsidRPr="003F2A99">
        <w:rPr>
          <w:rFonts w:eastAsia="Arial" w:cs="Arial"/>
          <w:spacing w:val="4"/>
          <w:szCs w:val="24"/>
        </w:rPr>
        <w:t>l</w:t>
      </w:r>
      <w:r w:rsidRPr="003F2A99">
        <w:rPr>
          <w:rFonts w:eastAsia="Arial" w:cs="Arial"/>
          <w:spacing w:val="1"/>
          <w:szCs w:val="24"/>
        </w:rPr>
        <w:t>e</w:t>
      </w:r>
      <w:r w:rsidRPr="003F2A99">
        <w:rPr>
          <w:rFonts w:eastAsia="Arial" w:cs="Arial"/>
          <w:szCs w:val="24"/>
        </w:rPr>
        <w:t>s c</w:t>
      </w:r>
      <w:r w:rsidRPr="003F2A99">
        <w:rPr>
          <w:rFonts w:eastAsia="Arial" w:cs="Arial"/>
          <w:spacing w:val="1"/>
          <w:szCs w:val="24"/>
        </w:rPr>
        <w:t>o</w:t>
      </w:r>
      <w:r w:rsidRPr="003F2A99">
        <w:rPr>
          <w:rFonts w:eastAsia="Arial" w:cs="Arial"/>
          <w:spacing w:val="-8"/>
          <w:szCs w:val="24"/>
        </w:rPr>
        <w:t>m</w:t>
      </w:r>
      <w:r w:rsidRPr="003F2A99">
        <w:rPr>
          <w:rFonts w:eastAsia="Arial" w:cs="Arial"/>
          <w:szCs w:val="24"/>
        </w:rPr>
        <w:t xml:space="preserve">o </w:t>
      </w:r>
      <w:r w:rsidRPr="003F2A99">
        <w:rPr>
          <w:rFonts w:eastAsia="Arial" w:cs="Arial"/>
          <w:spacing w:val="4"/>
          <w:szCs w:val="24"/>
        </w:rPr>
        <w:t>l</w:t>
      </w:r>
      <w:r w:rsidRPr="003F2A99">
        <w:rPr>
          <w:rFonts w:eastAsia="Arial" w:cs="Arial"/>
          <w:szCs w:val="24"/>
        </w:rPr>
        <w:t xml:space="preserve">a </w:t>
      </w:r>
      <w:r w:rsidRPr="003F2A99">
        <w:rPr>
          <w:rFonts w:eastAsia="Arial" w:cs="Arial"/>
          <w:spacing w:val="1"/>
          <w:szCs w:val="24"/>
        </w:rPr>
        <w:t>a</w:t>
      </w:r>
      <w:r w:rsidRPr="003F2A99">
        <w:rPr>
          <w:rFonts w:eastAsia="Arial" w:cs="Arial"/>
          <w:spacing w:val="4"/>
          <w:szCs w:val="24"/>
        </w:rPr>
        <w:t>li</w:t>
      </w:r>
      <w:r w:rsidRPr="003F2A99">
        <w:rPr>
          <w:rFonts w:eastAsia="Arial" w:cs="Arial"/>
          <w:spacing w:val="-8"/>
          <w:szCs w:val="24"/>
        </w:rPr>
        <w:t>m</w:t>
      </w:r>
      <w:r w:rsidRPr="003F2A99">
        <w:rPr>
          <w:rFonts w:eastAsia="Arial" w:cs="Arial"/>
          <w:spacing w:val="1"/>
          <w:szCs w:val="24"/>
        </w:rPr>
        <w:t>en</w:t>
      </w:r>
      <w:r w:rsidRPr="003F2A99">
        <w:rPr>
          <w:rFonts w:eastAsia="Arial" w:cs="Arial"/>
          <w:szCs w:val="24"/>
        </w:rPr>
        <w:t>t</w:t>
      </w:r>
      <w:r w:rsidRPr="003F2A99">
        <w:rPr>
          <w:rFonts w:eastAsia="Arial" w:cs="Arial"/>
          <w:spacing w:val="1"/>
          <w:szCs w:val="24"/>
        </w:rPr>
        <w:t>a</w:t>
      </w:r>
      <w:r w:rsidRPr="003F2A99">
        <w:rPr>
          <w:rFonts w:eastAsia="Arial" w:cs="Arial"/>
          <w:szCs w:val="24"/>
        </w:rPr>
        <w:t>c</w:t>
      </w:r>
      <w:r w:rsidRPr="003F2A99">
        <w:rPr>
          <w:rFonts w:eastAsia="Arial" w:cs="Arial"/>
          <w:spacing w:val="4"/>
          <w:szCs w:val="24"/>
        </w:rPr>
        <w:t>i</w:t>
      </w:r>
      <w:r w:rsidRPr="003F2A99">
        <w:rPr>
          <w:rFonts w:eastAsia="Arial" w:cs="Arial"/>
          <w:spacing w:val="1"/>
          <w:szCs w:val="24"/>
        </w:rPr>
        <w:t>ó</w:t>
      </w:r>
      <w:r w:rsidRPr="003F2A99">
        <w:rPr>
          <w:rFonts w:eastAsia="Arial" w:cs="Arial"/>
          <w:szCs w:val="24"/>
        </w:rPr>
        <w:t xml:space="preserve">n y </w:t>
      </w:r>
      <w:r w:rsidRPr="003F2A99">
        <w:rPr>
          <w:rFonts w:eastAsia="Arial" w:cs="Arial"/>
          <w:spacing w:val="1"/>
          <w:szCs w:val="24"/>
        </w:rPr>
        <w:t>e</w:t>
      </w:r>
      <w:r w:rsidRPr="003F2A99">
        <w:rPr>
          <w:rFonts w:eastAsia="Arial" w:cs="Arial"/>
          <w:szCs w:val="24"/>
        </w:rPr>
        <w:t xml:space="preserve">l </w:t>
      </w:r>
      <w:r w:rsidRPr="003F2A99">
        <w:rPr>
          <w:rFonts w:eastAsia="Arial" w:cs="Arial"/>
          <w:spacing w:val="1"/>
          <w:szCs w:val="24"/>
        </w:rPr>
        <w:t>a</w:t>
      </w:r>
      <w:r w:rsidRPr="003F2A99">
        <w:rPr>
          <w:rFonts w:eastAsia="Arial" w:cs="Arial"/>
          <w:spacing w:val="4"/>
          <w:szCs w:val="24"/>
        </w:rPr>
        <w:t>l</w:t>
      </w:r>
      <w:r w:rsidRPr="003F2A99">
        <w:rPr>
          <w:rFonts w:eastAsia="Arial" w:cs="Arial"/>
          <w:spacing w:val="1"/>
          <w:szCs w:val="24"/>
        </w:rPr>
        <w:t>o</w:t>
      </w:r>
      <w:r w:rsidRPr="003F2A99">
        <w:rPr>
          <w:rFonts w:eastAsia="Arial" w:cs="Arial"/>
          <w:spacing w:val="-5"/>
          <w:szCs w:val="24"/>
        </w:rPr>
        <w:t>j</w:t>
      </w:r>
      <w:r w:rsidRPr="003F2A99">
        <w:rPr>
          <w:rFonts w:eastAsia="Arial" w:cs="Arial"/>
          <w:spacing w:val="1"/>
          <w:szCs w:val="24"/>
        </w:rPr>
        <w:t>a</w:t>
      </w:r>
      <w:r w:rsidRPr="003F2A99">
        <w:rPr>
          <w:rFonts w:eastAsia="Arial" w:cs="Arial"/>
          <w:spacing w:val="-8"/>
          <w:szCs w:val="24"/>
        </w:rPr>
        <w:t>m</w:t>
      </w:r>
      <w:r w:rsidRPr="003F2A99">
        <w:rPr>
          <w:rFonts w:eastAsia="Arial" w:cs="Arial"/>
          <w:spacing w:val="4"/>
          <w:szCs w:val="24"/>
        </w:rPr>
        <w:t>i</w:t>
      </w:r>
      <w:r w:rsidRPr="003F2A99">
        <w:rPr>
          <w:rFonts w:eastAsia="Arial" w:cs="Arial"/>
          <w:spacing w:val="1"/>
          <w:szCs w:val="24"/>
        </w:rPr>
        <w:t>en</w:t>
      </w:r>
      <w:r w:rsidRPr="003F2A99">
        <w:rPr>
          <w:rFonts w:eastAsia="Arial" w:cs="Arial"/>
          <w:szCs w:val="24"/>
        </w:rPr>
        <w:t>t</w:t>
      </w:r>
      <w:r w:rsidRPr="003F2A99">
        <w:rPr>
          <w:rFonts w:eastAsia="Arial" w:cs="Arial"/>
          <w:spacing w:val="1"/>
          <w:szCs w:val="24"/>
        </w:rPr>
        <w:t>o</w:t>
      </w:r>
      <w:r w:rsidRPr="003F2A99">
        <w:rPr>
          <w:rFonts w:eastAsia="Arial" w:cs="Arial"/>
          <w:szCs w:val="24"/>
        </w:rPr>
        <w:t>.</w:t>
      </w:r>
      <w:r w:rsidRPr="003F2A99">
        <w:rPr>
          <w:rFonts w:eastAsia="Arial" w:cs="Arial"/>
          <w:spacing w:val="5"/>
          <w:szCs w:val="24"/>
        </w:rPr>
        <w:t xml:space="preserve"> </w:t>
      </w:r>
      <w:r w:rsidRPr="003F2A99">
        <w:rPr>
          <w:rFonts w:eastAsia="Arial" w:cs="Arial"/>
          <w:spacing w:val="-2"/>
          <w:szCs w:val="24"/>
        </w:rPr>
        <w:t>A</w:t>
      </w:r>
      <w:r w:rsidRPr="003F2A99">
        <w:rPr>
          <w:rFonts w:eastAsia="Arial" w:cs="Arial"/>
          <w:spacing w:val="1"/>
          <w:szCs w:val="24"/>
        </w:rPr>
        <w:t>de</w:t>
      </w:r>
      <w:r w:rsidRPr="003F2A99">
        <w:rPr>
          <w:rFonts w:eastAsia="Arial" w:cs="Arial"/>
          <w:spacing w:val="-8"/>
          <w:szCs w:val="24"/>
        </w:rPr>
        <w:t>m</w:t>
      </w:r>
      <w:r w:rsidRPr="003F2A99">
        <w:rPr>
          <w:rFonts w:eastAsia="Arial" w:cs="Arial"/>
          <w:spacing w:val="1"/>
          <w:szCs w:val="24"/>
        </w:rPr>
        <w:t>á</w:t>
      </w:r>
      <w:r w:rsidRPr="003F2A99">
        <w:rPr>
          <w:rFonts w:eastAsia="Arial" w:cs="Arial"/>
          <w:szCs w:val="24"/>
        </w:rPr>
        <w:t>s</w:t>
      </w:r>
      <w:r w:rsidRPr="003F2A99">
        <w:rPr>
          <w:rFonts w:eastAsia="Arial" w:cs="Arial"/>
          <w:spacing w:val="5"/>
          <w:szCs w:val="24"/>
        </w:rPr>
        <w:t xml:space="preserve"> </w:t>
      </w:r>
      <w:r w:rsidRPr="003F2A99">
        <w:rPr>
          <w:rFonts w:eastAsia="Arial" w:cs="Arial"/>
          <w:spacing w:val="1"/>
          <w:szCs w:val="24"/>
        </w:rPr>
        <w:t>d</w:t>
      </w:r>
      <w:r w:rsidRPr="003F2A99">
        <w:rPr>
          <w:rFonts w:eastAsia="Arial" w:cs="Arial"/>
          <w:szCs w:val="24"/>
        </w:rPr>
        <w:t>e</w:t>
      </w:r>
      <w:r w:rsidRPr="003F2A99">
        <w:rPr>
          <w:rFonts w:eastAsia="Arial" w:cs="Arial"/>
          <w:spacing w:val="6"/>
          <w:szCs w:val="24"/>
        </w:rPr>
        <w:t xml:space="preserve"> </w:t>
      </w:r>
      <w:r w:rsidRPr="003F2A99">
        <w:rPr>
          <w:rFonts w:eastAsia="Arial" w:cs="Arial"/>
          <w:szCs w:val="24"/>
        </w:rPr>
        <w:t>c</w:t>
      </w:r>
      <w:r w:rsidRPr="003F2A99">
        <w:rPr>
          <w:rFonts w:eastAsia="Arial" w:cs="Arial"/>
          <w:spacing w:val="1"/>
          <w:szCs w:val="24"/>
        </w:rPr>
        <w:t>on</w:t>
      </w:r>
      <w:r w:rsidRPr="003F2A99">
        <w:rPr>
          <w:rFonts w:eastAsia="Arial" w:cs="Arial"/>
          <w:szCs w:val="24"/>
        </w:rPr>
        <w:t>s</w:t>
      </w:r>
      <w:r w:rsidRPr="003F2A99">
        <w:rPr>
          <w:rFonts w:eastAsia="Arial" w:cs="Arial"/>
          <w:spacing w:val="1"/>
          <w:szCs w:val="24"/>
        </w:rPr>
        <w:t>u</w:t>
      </w:r>
      <w:r w:rsidRPr="003F2A99">
        <w:rPr>
          <w:rFonts w:eastAsia="Arial" w:cs="Arial"/>
          <w:spacing w:val="-8"/>
          <w:szCs w:val="24"/>
        </w:rPr>
        <w:t>m</w:t>
      </w:r>
      <w:r w:rsidRPr="003F2A99">
        <w:rPr>
          <w:rFonts w:eastAsia="Arial" w:cs="Arial"/>
          <w:spacing w:val="4"/>
          <w:szCs w:val="24"/>
        </w:rPr>
        <w:t>i</w:t>
      </w:r>
      <w:r w:rsidRPr="003F2A99">
        <w:rPr>
          <w:rFonts w:eastAsia="Arial" w:cs="Arial"/>
          <w:spacing w:val="1"/>
          <w:szCs w:val="24"/>
        </w:rPr>
        <w:t>dore</w:t>
      </w:r>
      <w:r w:rsidRPr="003F2A99">
        <w:rPr>
          <w:rFonts w:eastAsia="Arial" w:cs="Arial"/>
          <w:szCs w:val="24"/>
        </w:rPr>
        <w:t>s,</w:t>
      </w:r>
      <w:r w:rsidRPr="003F2A99">
        <w:rPr>
          <w:rFonts w:eastAsia="Arial" w:cs="Arial"/>
          <w:spacing w:val="1"/>
          <w:szCs w:val="24"/>
        </w:rPr>
        <w:t xml:space="preserve"> </w:t>
      </w:r>
      <w:r w:rsidRPr="003F2A99">
        <w:rPr>
          <w:rFonts w:eastAsia="Arial" w:cs="Arial"/>
          <w:spacing w:val="4"/>
          <w:szCs w:val="24"/>
        </w:rPr>
        <w:t>l</w:t>
      </w:r>
      <w:r w:rsidRPr="003F2A99">
        <w:rPr>
          <w:rFonts w:eastAsia="Arial" w:cs="Arial"/>
          <w:spacing w:val="1"/>
          <w:szCs w:val="24"/>
        </w:rPr>
        <w:t>o</w:t>
      </w:r>
      <w:r w:rsidRPr="003F2A99">
        <w:rPr>
          <w:rFonts w:eastAsia="Arial" w:cs="Arial"/>
          <w:szCs w:val="24"/>
        </w:rPr>
        <w:t xml:space="preserve">s </w:t>
      </w:r>
      <w:r w:rsidRPr="003F2A99">
        <w:rPr>
          <w:rFonts w:eastAsia="Arial" w:cs="Arial"/>
          <w:spacing w:val="1"/>
          <w:szCs w:val="24"/>
        </w:rPr>
        <w:t>hogare</w:t>
      </w:r>
      <w:r w:rsidRPr="003F2A99">
        <w:rPr>
          <w:rFonts w:eastAsia="Arial" w:cs="Arial"/>
          <w:szCs w:val="24"/>
        </w:rPr>
        <w:t>s</w:t>
      </w:r>
      <w:r w:rsidRPr="003F2A99">
        <w:rPr>
          <w:rFonts w:eastAsia="Arial" w:cs="Arial"/>
          <w:spacing w:val="10"/>
          <w:szCs w:val="24"/>
        </w:rPr>
        <w:t xml:space="preserve"> </w:t>
      </w:r>
      <w:r w:rsidRPr="003F2A99">
        <w:rPr>
          <w:rFonts w:eastAsia="Arial" w:cs="Arial"/>
          <w:spacing w:val="1"/>
          <w:szCs w:val="24"/>
        </w:rPr>
        <w:t>puede</w:t>
      </w:r>
      <w:r w:rsidRPr="003F2A99">
        <w:rPr>
          <w:rFonts w:eastAsia="Arial" w:cs="Arial"/>
          <w:szCs w:val="24"/>
        </w:rPr>
        <w:t>n</w:t>
      </w:r>
      <w:r w:rsidRPr="003F2A99">
        <w:rPr>
          <w:rFonts w:eastAsia="Arial" w:cs="Arial"/>
          <w:spacing w:val="1"/>
          <w:szCs w:val="24"/>
        </w:rPr>
        <w:t xml:space="preserve"> de</w:t>
      </w:r>
      <w:r w:rsidRPr="003F2A99">
        <w:rPr>
          <w:rFonts w:eastAsia="Arial" w:cs="Arial"/>
          <w:szCs w:val="24"/>
        </w:rPr>
        <w:t>s</w:t>
      </w:r>
      <w:r w:rsidRPr="003F2A99">
        <w:rPr>
          <w:rFonts w:eastAsia="Arial" w:cs="Arial"/>
          <w:spacing w:val="1"/>
          <w:szCs w:val="24"/>
        </w:rPr>
        <w:t>arro</w:t>
      </w:r>
      <w:r w:rsidRPr="003F2A99">
        <w:rPr>
          <w:rFonts w:eastAsia="Arial" w:cs="Arial"/>
          <w:spacing w:val="4"/>
          <w:szCs w:val="24"/>
        </w:rPr>
        <w:t>ll</w:t>
      </w:r>
      <w:r w:rsidRPr="003F2A99">
        <w:rPr>
          <w:rFonts w:eastAsia="Arial" w:cs="Arial"/>
          <w:spacing w:val="1"/>
          <w:szCs w:val="24"/>
        </w:rPr>
        <w:t>a</w:t>
      </w:r>
      <w:r w:rsidRPr="003F2A99">
        <w:rPr>
          <w:rFonts w:eastAsia="Arial" w:cs="Arial"/>
          <w:szCs w:val="24"/>
        </w:rPr>
        <w:t>r</w:t>
      </w:r>
      <w:r w:rsidRPr="003F2A99">
        <w:rPr>
          <w:rFonts w:eastAsia="Arial" w:cs="Arial"/>
          <w:spacing w:val="1"/>
          <w:szCs w:val="24"/>
        </w:rPr>
        <w:t xml:space="preserve"> </w:t>
      </w:r>
      <w:r w:rsidRPr="003F2A99">
        <w:rPr>
          <w:rFonts w:eastAsia="Arial" w:cs="Arial"/>
          <w:szCs w:val="24"/>
        </w:rPr>
        <w:t>c</w:t>
      </w:r>
      <w:r w:rsidRPr="003F2A99">
        <w:rPr>
          <w:rFonts w:eastAsia="Arial" w:cs="Arial"/>
          <w:spacing w:val="1"/>
          <w:szCs w:val="24"/>
        </w:rPr>
        <w:t>ua</w:t>
      </w:r>
      <w:r w:rsidRPr="003F2A99">
        <w:rPr>
          <w:rFonts w:eastAsia="Arial" w:cs="Arial"/>
          <w:spacing w:val="4"/>
          <w:szCs w:val="24"/>
        </w:rPr>
        <w:t>l</w:t>
      </w:r>
      <w:r w:rsidRPr="003F2A99">
        <w:rPr>
          <w:rFonts w:eastAsia="Arial" w:cs="Arial"/>
          <w:spacing w:val="1"/>
          <w:szCs w:val="24"/>
        </w:rPr>
        <w:t>qu</w:t>
      </w:r>
      <w:r w:rsidRPr="003F2A99">
        <w:rPr>
          <w:rFonts w:eastAsia="Arial" w:cs="Arial"/>
          <w:spacing w:val="4"/>
          <w:szCs w:val="24"/>
        </w:rPr>
        <w:t>i</w:t>
      </w:r>
      <w:r w:rsidRPr="003F2A99">
        <w:rPr>
          <w:rFonts w:eastAsia="Arial" w:cs="Arial"/>
          <w:spacing w:val="1"/>
          <w:szCs w:val="24"/>
        </w:rPr>
        <w:t>e</w:t>
      </w:r>
      <w:r w:rsidRPr="003F2A99">
        <w:rPr>
          <w:rFonts w:eastAsia="Arial" w:cs="Arial"/>
          <w:szCs w:val="24"/>
        </w:rPr>
        <w:t>r c</w:t>
      </w:r>
      <w:r w:rsidRPr="003F2A99">
        <w:rPr>
          <w:rFonts w:eastAsia="Arial" w:cs="Arial"/>
          <w:spacing w:val="4"/>
          <w:szCs w:val="24"/>
        </w:rPr>
        <w:t>l</w:t>
      </w:r>
      <w:r w:rsidRPr="003F2A99">
        <w:rPr>
          <w:rFonts w:eastAsia="Arial" w:cs="Arial"/>
          <w:spacing w:val="1"/>
          <w:szCs w:val="24"/>
        </w:rPr>
        <w:t>a</w:t>
      </w:r>
      <w:r w:rsidRPr="003F2A99">
        <w:rPr>
          <w:rFonts w:eastAsia="Arial" w:cs="Arial"/>
          <w:szCs w:val="24"/>
        </w:rPr>
        <w:t xml:space="preserve">se </w:t>
      </w:r>
      <w:r w:rsidRPr="003F2A99">
        <w:rPr>
          <w:rFonts w:eastAsia="Arial" w:cs="Arial"/>
          <w:spacing w:val="1"/>
          <w:szCs w:val="24"/>
        </w:rPr>
        <w:t>d</w:t>
      </w:r>
      <w:r w:rsidRPr="003F2A99">
        <w:rPr>
          <w:rFonts w:eastAsia="Arial" w:cs="Arial"/>
          <w:szCs w:val="24"/>
        </w:rPr>
        <w:t xml:space="preserve">e </w:t>
      </w:r>
      <w:r w:rsidRPr="003F2A99">
        <w:rPr>
          <w:rFonts w:eastAsia="Arial" w:cs="Arial"/>
          <w:spacing w:val="1"/>
          <w:szCs w:val="24"/>
        </w:rPr>
        <w:t>a</w:t>
      </w:r>
      <w:r w:rsidRPr="003F2A99">
        <w:rPr>
          <w:rFonts w:eastAsia="Arial" w:cs="Arial"/>
          <w:szCs w:val="24"/>
        </w:rPr>
        <w:t>ct</w:t>
      </w:r>
      <w:r w:rsidRPr="003F2A99">
        <w:rPr>
          <w:rFonts w:eastAsia="Arial" w:cs="Arial"/>
          <w:spacing w:val="5"/>
          <w:szCs w:val="24"/>
        </w:rPr>
        <w:t>i</w:t>
      </w:r>
      <w:r w:rsidRPr="003F2A99">
        <w:rPr>
          <w:rFonts w:eastAsia="Arial" w:cs="Arial"/>
          <w:szCs w:val="24"/>
        </w:rPr>
        <w:t>v</w:t>
      </w:r>
      <w:r w:rsidRPr="003F2A99">
        <w:rPr>
          <w:rFonts w:eastAsia="Arial" w:cs="Arial"/>
          <w:spacing w:val="4"/>
          <w:szCs w:val="24"/>
        </w:rPr>
        <w:t>i</w:t>
      </w:r>
      <w:r w:rsidRPr="003F2A99">
        <w:rPr>
          <w:rFonts w:eastAsia="Arial" w:cs="Arial"/>
          <w:spacing w:val="1"/>
          <w:szCs w:val="24"/>
        </w:rPr>
        <w:t>da</w:t>
      </w:r>
      <w:r w:rsidRPr="003F2A99">
        <w:rPr>
          <w:rFonts w:eastAsia="Arial" w:cs="Arial"/>
          <w:szCs w:val="24"/>
        </w:rPr>
        <w:t xml:space="preserve">d </w:t>
      </w:r>
      <w:r w:rsidRPr="003F2A99">
        <w:rPr>
          <w:rFonts w:eastAsia="Arial" w:cs="Arial"/>
          <w:spacing w:val="1"/>
          <w:szCs w:val="24"/>
        </w:rPr>
        <w:t>e</w:t>
      </w:r>
      <w:r w:rsidRPr="003F2A99">
        <w:rPr>
          <w:rFonts w:eastAsia="Arial" w:cs="Arial"/>
          <w:szCs w:val="24"/>
        </w:rPr>
        <w:t>c</w:t>
      </w:r>
      <w:r w:rsidRPr="003F2A99">
        <w:rPr>
          <w:rFonts w:eastAsia="Arial" w:cs="Arial"/>
          <w:spacing w:val="1"/>
          <w:szCs w:val="24"/>
        </w:rPr>
        <w:t>onó</w:t>
      </w:r>
      <w:r w:rsidRPr="003F2A99">
        <w:rPr>
          <w:rFonts w:eastAsia="Arial" w:cs="Arial"/>
          <w:spacing w:val="-8"/>
          <w:szCs w:val="24"/>
        </w:rPr>
        <w:t>m</w:t>
      </w:r>
      <w:r w:rsidRPr="003F2A99">
        <w:rPr>
          <w:rFonts w:eastAsia="Arial" w:cs="Arial"/>
          <w:spacing w:val="4"/>
          <w:szCs w:val="24"/>
        </w:rPr>
        <w:t>i</w:t>
      </w:r>
      <w:r w:rsidRPr="003F2A99">
        <w:rPr>
          <w:rFonts w:eastAsia="Arial" w:cs="Arial"/>
          <w:szCs w:val="24"/>
        </w:rPr>
        <w:t>ca</w:t>
      </w:r>
      <w:r w:rsidR="00B52E61">
        <w:rPr>
          <w:rFonts w:eastAsia="Arial" w:cs="Arial"/>
          <w:szCs w:val="24"/>
        </w:rPr>
        <w:t>:</w:t>
      </w:r>
      <w:r w:rsidRPr="003F2A99">
        <w:rPr>
          <w:rFonts w:eastAsia="Arial" w:cs="Arial"/>
          <w:szCs w:val="24"/>
        </w:rPr>
        <w:t xml:space="preserve"> </w:t>
      </w:r>
      <w:r w:rsidRPr="003F2A99">
        <w:rPr>
          <w:rFonts w:eastAsia="Arial" w:cs="Arial"/>
          <w:spacing w:val="1"/>
          <w:szCs w:val="24"/>
        </w:rPr>
        <w:t>o</w:t>
      </w:r>
      <w:r w:rsidRPr="003F2A99">
        <w:rPr>
          <w:rFonts w:eastAsia="Arial" w:cs="Arial"/>
          <w:szCs w:val="24"/>
        </w:rPr>
        <w:t>f</w:t>
      </w:r>
      <w:r w:rsidRPr="003F2A99">
        <w:rPr>
          <w:rFonts w:eastAsia="Arial" w:cs="Arial"/>
          <w:spacing w:val="1"/>
          <w:szCs w:val="24"/>
        </w:rPr>
        <w:t>er</w:t>
      </w:r>
      <w:r w:rsidRPr="003F2A99">
        <w:rPr>
          <w:rFonts w:eastAsia="Arial" w:cs="Arial"/>
          <w:szCs w:val="24"/>
        </w:rPr>
        <w:t>t</w:t>
      </w:r>
      <w:r w:rsidRPr="003F2A99">
        <w:rPr>
          <w:rFonts w:eastAsia="Arial" w:cs="Arial"/>
          <w:spacing w:val="1"/>
          <w:szCs w:val="24"/>
        </w:rPr>
        <w:t>an</w:t>
      </w:r>
      <w:r w:rsidRPr="003F2A99">
        <w:rPr>
          <w:rFonts w:eastAsia="Arial" w:cs="Arial"/>
          <w:szCs w:val="24"/>
        </w:rPr>
        <w:t xml:space="preserve"> su </w:t>
      </w:r>
      <w:r w:rsidRPr="003F2A99">
        <w:rPr>
          <w:rFonts w:eastAsia="Arial" w:cs="Arial"/>
          <w:spacing w:val="-8"/>
          <w:szCs w:val="24"/>
        </w:rPr>
        <w:t>m</w:t>
      </w:r>
      <w:r w:rsidRPr="003F2A99">
        <w:rPr>
          <w:rFonts w:eastAsia="Arial" w:cs="Arial"/>
          <w:spacing w:val="1"/>
          <w:szCs w:val="24"/>
        </w:rPr>
        <w:t>an</w:t>
      </w:r>
      <w:r w:rsidRPr="003F2A99">
        <w:rPr>
          <w:rFonts w:eastAsia="Arial" w:cs="Arial"/>
          <w:szCs w:val="24"/>
        </w:rPr>
        <w:t xml:space="preserve">o </w:t>
      </w:r>
      <w:r w:rsidRPr="003F2A99">
        <w:rPr>
          <w:rFonts w:eastAsia="Arial" w:cs="Arial"/>
          <w:spacing w:val="1"/>
          <w:szCs w:val="24"/>
        </w:rPr>
        <w:t>d</w:t>
      </w:r>
      <w:r w:rsidRPr="003F2A99">
        <w:rPr>
          <w:rFonts w:eastAsia="Arial" w:cs="Arial"/>
          <w:szCs w:val="24"/>
        </w:rPr>
        <w:t xml:space="preserve">e </w:t>
      </w:r>
      <w:r w:rsidRPr="003F2A99">
        <w:rPr>
          <w:rFonts w:eastAsia="Arial" w:cs="Arial"/>
          <w:spacing w:val="1"/>
          <w:szCs w:val="24"/>
        </w:rPr>
        <w:t>obra</w:t>
      </w:r>
      <w:r w:rsidRPr="003F2A99">
        <w:rPr>
          <w:rFonts w:eastAsia="Arial" w:cs="Arial"/>
          <w:szCs w:val="24"/>
        </w:rPr>
        <w:t xml:space="preserve">, </w:t>
      </w:r>
      <w:r w:rsidRPr="003F2A99">
        <w:rPr>
          <w:rFonts w:eastAsia="Arial" w:cs="Arial"/>
          <w:spacing w:val="1"/>
          <w:szCs w:val="24"/>
        </w:rPr>
        <w:t>produ</w:t>
      </w:r>
      <w:r w:rsidRPr="003F2A99">
        <w:rPr>
          <w:rFonts w:eastAsia="Arial" w:cs="Arial"/>
          <w:szCs w:val="24"/>
        </w:rPr>
        <w:t>c</w:t>
      </w:r>
      <w:r w:rsidR="00B52E61">
        <w:rPr>
          <w:rFonts w:eastAsia="Arial" w:cs="Arial"/>
          <w:szCs w:val="24"/>
        </w:rPr>
        <w:t>en</w:t>
      </w:r>
      <w:r w:rsidRPr="003F2A99">
        <w:rPr>
          <w:rFonts w:eastAsia="Arial" w:cs="Arial"/>
          <w:szCs w:val="24"/>
        </w:rPr>
        <w:t xml:space="preserve"> a t</w:t>
      </w:r>
      <w:r w:rsidRPr="003F2A99">
        <w:rPr>
          <w:rFonts w:eastAsia="Arial" w:cs="Arial"/>
          <w:spacing w:val="2"/>
          <w:szCs w:val="24"/>
        </w:rPr>
        <w:t>r</w:t>
      </w:r>
      <w:r w:rsidRPr="003F2A99">
        <w:rPr>
          <w:rFonts w:eastAsia="Arial" w:cs="Arial"/>
          <w:spacing w:val="1"/>
          <w:szCs w:val="24"/>
        </w:rPr>
        <w:t>a</w:t>
      </w:r>
      <w:r w:rsidRPr="003F2A99">
        <w:rPr>
          <w:rFonts w:eastAsia="Arial" w:cs="Arial"/>
          <w:szCs w:val="24"/>
        </w:rPr>
        <w:t>v</w:t>
      </w:r>
      <w:r w:rsidRPr="003F2A99">
        <w:rPr>
          <w:rFonts w:eastAsia="Arial" w:cs="Arial"/>
          <w:spacing w:val="1"/>
          <w:szCs w:val="24"/>
        </w:rPr>
        <w:t>é</w:t>
      </w:r>
      <w:r w:rsidRPr="003F2A99">
        <w:rPr>
          <w:rFonts w:eastAsia="Arial" w:cs="Arial"/>
          <w:szCs w:val="24"/>
        </w:rPr>
        <w:t xml:space="preserve">s </w:t>
      </w:r>
      <w:r w:rsidRPr="003F2A99">
        <w:rPr>
          <w:rFonts w:eastAsia="Arial" w:cs="Arial"/>
          <w:spacing w:val="1"/>
          <w:szCs w:val="24"/>
        </w:rPr>
        <w:t>d</w:t>
      </w:r>
      <w:r w:rsidRPr="003F2A99">
        <w:rPr>
          <w:rFonts w:eastAsia="Arial" w:cs="Arial"/>
          <w:szCs w:val="24"/>
        </w:rPr>
        <w:t>e</w:t>
      </w:r>
      <w:r w:rsidRPr="003F2A99">
        <w:rPr>
          <w:rFonts w:eastAsia="Arial" w:cs="Arial"/>
          <w:spacing w:val="6"/>
          <w:szCs w:val="24"/>
        </w:rPr>
        <w:t xml:space="preserve"> </w:t>
      </w:r>
      <w:r w:rsidRPr="003F2A99">
        <w:rPr>
          <w:rFonts w:eastAsia="Arial" w:cs="Arial"/>
          <w:spacing w:val="1"/>
          <w:szCs w:val="24"/>
        </w:rPr>
        <w:t>e</w:t>
      </w:r>
      <w:r w:rsidRPr="003F2A99">
        <w:rPr>
          <w:rFonts w:eastAsia="Arial" w:cs="Arial"/>
          <w:spacing w:val="-8"/>
          <w:szCs w:val="24"/>
        </w:rPr>
        <w:t>m</w:t>
      </w:r>
      <w:r w:rsidRPr="003F2A99">
        <w:rPr>
          <w:rFonts w:eastAsia="Arial" w:cs="Arial"/>
          <w:spacing w:val="1"/>
          <w:szCs w:val="24"/>
        </w:rPr>
        <w:t>pre</w:t>
      </w:r>
      <w:r w:rsidRPr="003F2A99">
        <w:rPr>
          <w:rFonts w:eastAsia="Arial" w:cs="Arial"/>
          <w:szCs w:val="24"/>
        </w:rPr>
        <w:t>s</w:t>
      </w:r>
      <w:r w:rsidRPr="003F2A99">
        <w:rPr>
          <w:rFonts w:eastAsia="Arial" w:cs="Arial"/>
          <w:spacing w:val="1"/>
          <w:szCs w:val="24"/>
        </w:rPr>
        <w:t>a</w:t>
      </w:r>
      <w:r w:rsidRPr="003F2A99">
        <w:rPr>
          <w:rFonts w:eastAsia="Arial" w:cs="Arial"/>
          <w:szCs w:val="24"/>
        </w:rPr>
        <w:t>s</w:t>
      </w:r>
      <w:r w:rsidRPr="003F2A99">
        <w:rPr>
          <w:rFonts w:eastAsia="Arial" w:cs="Arial"/>
          <w:spacing w:val="5"/>
          <w:szCs w:val="24"/>
        </w:rPr>
        <w:t xml:space="preserve"> </w:t>
      </w:r>
      <w:r w:rsidRPr="003F2A99">
        <w:rPr>
          <w:rFonts w:eastAsia="Arial" w:cs="Arial"/>
          <w:spacing w:val="1"/>
          <w:szCs w:val="24"/>
        </w:rPr>
        <w:t>prop</w:t>
      </w:r>
      <w:r w:rsidRPr="003F2A99">
        <w:rPr>
          <w:rFonts w:eastAsia="Arial" w:cs="Arial"/>
          <w:spacing w:val="4"/>
          <w:szCs w:val="24"/>
        </w:rPr>
        <w:t>i</w:t>
      </w:r>
      <w:r w:rsidRPr="003F2A99">
        <w:rPr>
          <w:rFonts w:eastAsia="Arial" w:cs="Arial"/>
          <w:spacing w:val="1"/>
          <w:szCs w:val="24"/>
        </w:rPr>
        <w:t>a</w:t>
      </w:r>
      <w:r w:rsidRPr="003F2A99">
        <w:rPr>
          <w:rFonts w:eastAsia="Arial" w:cs="Arial"/>
          <w:szCs w:val="24"/>
        </w:rPr>
        <w:t>s</w:t>
      </w:r>
      <w:r w:rsidRPr="003F2A99">
        <w:rPr>
          <w:rFonts w:eastAsia="Arial" w:cs="Arial"/>
          <w:spacing w:val="5"/>
          <w:szCs w:val="24"/>
        </w:rPr>
        <w:t xml:space="preserve"> </w:t>
      </w:r>
      <w:r w:rsidRPr="003F2A99">
        <w:rPr>
          <w:rFonts w:eastAsia="Arial" w:cs="Arial"/>
          <w:spacing w:val="1"/>
          <w:szCs w:val="24"/>
        </w:rPr>
        <w:t>qu</w:t>
      </w:r>
      <w:r w:rsidRPr="003F2A99">
        <w:rPr>
          <w:rFonts w:eastAsia="Arial" w:cs="Arial"/>
          <w:szCs w:val="24"/>
        </w:rPr>
        <w:t>e</w:t>
      </w:r>
      <w:r w:rsidRPr="003F2A99">
        <w:rPr>
          <w:rFonts w:eastAsia="Arial" w:cs="Arial"/>
          <w:spacing w:val="6"/>
          <w:szCs w:val="24"/>
        </w:rPr>
        <w:t xml:space="preserve"> </w:t>
      </w:r>
      <w:r w:rsidRPr="003F2A99">
        <w:rPr>
          <w:rFonts w:eastAsia="Arial" w:cs="Arial"/>
          <w:spacing w:val="1"/>
          <w:szCs w:val="24"/>
        </w:rPr>
        <w:t>n</w:t>
      </w:r>
      <w:r w:rsidRPr="003F2A99">
        <w:rPr>
          <w:rFonts w:eastAsia="Arial" w:cs="Arial"/>
          <w:szCs w:val="24"/>
        </w:rPr>
        <w:t>o</w:t>
      </w:r>
      <w:r w:rsidRPr="003F2A99">
        <w:rPr>
          <w:rFonts w:eastAsia="Arial" w:cs="Arial"/>
          <w:spacing w:val="6"/>
          <w:szCs w:val="24"/>
        </w:rPr>
        <w:t xml:space="preserve"> </w:t>
      </w:r>
      <w:r w:rsidRPr="003F2A99">
        <w:rPr>
          <w:rFonts w:eastAsia="Arial" w:cs="Arial"/>
          <w:spacing w:val="1"/>
          <w:szCs w:val="24"/>
        </w:rPr>
        <w:t>e</w:t>
      </w:r>
      <w:r w:rsidRPr="003F2A99">
        <w:rPr>
          <w:rFonts w:eastAsia="Arial" w:cs="Arial"/>
          <w:szCs w:val="24"/>
        </w:rPr>
        <w:t>st</w:t>
      </w:r>
      <w:r w:rsidRPr="003F2A99">
        <w:rPr>
          <w:rFonts w:eastAsia="Arial" w:cs="Arial"/>
          <w:spacing w:val="1"/>
          <w:szCs w:val="24"/>
        </w:rPr>
        <w:t>é</w:t>
      </w:r>
      <w:r w:rsidRPr="003F2A99">
        <w:rPr>
          <w:rFonts w:eastAsia="Arial" w:cs="Arial"/>
          <w:szCs w:val="24"/>
        </w:rPr>
        <w:t>n</w:t>
      </w:r>
      <w:r w:rsidRPr="003F2A99">
        <w:rPr>
          <w:rFonts w:eastAsia="Arial" w:cs="Arial"/>
          <w:spacing w:val="1"/>
          <w:szCs w:val="24"/>
        </w:rPr>
        <w:t xml:space="preserve"> </w:t>
      </w:r>
      <w:r w:rsidRPr="003F2A99">
        <w:rPr>
          <w:rFonts w:eastAsia="Arial" w:cs="Arial"/>
          <w:szCs w:val="24"/>
        </w:rPr>
        <w:t>c</w:t>
      </w:r>
      <w:r w:rsidRPr="003F2A99">
        <w:rPr>
          <w:rFonts w:eastAsia="Arial" w:cs="Arial"/>
          <w:spacing w:val="1"/>
          <w:szCs w:val="24"/>
        </w:rPr>
        <w:t>on</w:t>
      </w:r>
      <w:r w:rsidRPr="003F2A99">
        <w:rPr>
          <w:rFonts w:eastAsia="Arial" w:cs="Arial"/>
          <w:szCs w:val="24"/>
        </w:rPr>
        <w:t>st</w:t>
      </w:r>
      <w:r w:rsidRPr="003F2A99">
        <w:rPr>
          <w:rFonts w:eastAsia="Arial" w:cs="Arial"/>
          <w:spacing w:val="5"/>
          <w:szCs w:val="24"/>
        </w:rPr>
        <w:t>i</w:t>
      </w:r>
      <w:r w:rsidRPr="003F2A99">
        <w:rPr>
          <w:rFonts w:eastAsia="Arial" w:cs="Arial"/>
          <w:szCs w:val="24"/>
        </w:rPr>
        <w:t>t</w:t>
      </w:r>
      <w:r w:rsidRPr="003F2A99">
        <w:rPr>
          <w:rFonts w:eastAsia="Arial" w:cs="Arial"/>
          <w:spacing w:val="1"/>
          <w:szCs w:val="24"/>
        </w:rPr>
        <w:t>u</w:t>
      </w:r>
      <w:r w:rsidRPr="003F2A99">
        <w:rPr>
          <w:rFonts w:eastAsia="Arial" w:cs="Arial"/>
          <w:spacing w:val="4"/>
          <w:szCs w:val="24"/>
        </w:rPr>
        <w:t>i</w:t>
      </w:r>
      <w:r w:rsidRPr="003F2A99">
        <w:rPr>
          <w:rFonts w:eastAsia="Arial" w:cs="Arial"/>
          <w:spacing w:val="1"/>
          <w:szCs w:val="24"/>
        </w:rPr>
        <w:t>da</w:t>
      </w:r>
      <w:r w:rsidRPr="003F2A99">
        <w:rPr>
          <w:rFonts w:eastAsia="Arial" w:cs="Arial"/>
          <w:szCs w:val="24"/>
        </w:rPr>
        <w:t xml:space="preserve">s </w:t>
      </w:r>
      <w:r w:rsidRPr="003F2A99">
        <w:rPr>
          <w:rFonts w:eastAsia="Arial" w:cs="Arial"/>
          <w:spacing w:val="1"/>
          <w:szCs w:val="24"/>
        </w:rPr>
        <w:t>e</w:t>
      </w:r>
      <w:r w:rsidRPr="003F2A99">
        <w:rPr>
          <w:rFonts w:eastAsia="Arial" w:cs="Arial"/>
          <w:szCs w:val="24"/>
        </w:rPr>
        <w:t>n</w:t>
      </w:r>
      <w:r w:rsidRPr="003F2A99">
        <w:rPr>
          <w:rFonts w:eastAsia="Arial" w:cs="Arial"/>
          <w:spacing w:val="1"/>
          <w:szCs w:val="24"/>
        </w:rPr>
        <w:t xml:space="preserve"> </w:t>
      </w:r>
      <w:r w:rsidRPr="003F2A99">
        <w:rPr>
          <w:rFonts w:eastAsia="Arial" w:cs="Arial"/>
          <w:szCs w:val="24"/>
        </w:rPr>
        <w:t>s</w:t>
      </w:r>
      <w:r w:rsidRPr="003F2A99">
        <w:rPr>
          <w:rFonts w:eastAsia="Arial" w:cs="Arial"/>
          <w:spacing w:val="1"/>
          <w:szCs w:val="24"/>
        </w:rPr>
        <w:t>o</w:t>
      </w:r>
      <w:r w:rsidRPr="003F2A99">
        <w:rPr>
          <w:rFonts w:eastAsia="Arial" w:cs="Arial"/>
          <w:szCs w:val="24"/>
        </w:rPr>
        <w:t>c</w:t>
      </w:r>
      <w:r w:rsidRPr="003F2A99">
        <w:rPr>
          <w:rFonts w:eastAsia="Arial" w:cs="Arial"/>
          <w:spacing w:val="4"/>
          <w:szCs w:val="24"/>
        </w:rPr>
        <w:t>i</w:t>
      </w:r>
      <w:r w:rsidRPr="003F2A99">
        <w:rPr>
          <w:rFonts w:eastAsia="Arial" w:cs="Arial"/>
          <w:spacing w:val="1"/>
          <w:szCs w:val="24"/>
        </w:rPr>
        <w:t>eda</w:t>
      </w:r>
      <w:r w:rsidRPr="003F2A99">
        <w:rPr>
          <w:rFonts w:eastAsia="Arial" w:cs="Arial"/>
          <w:szCs w:val="24"/>
        </w:rPr>
        <w:t>d</w:t>
      </w:r>
      <w:r w:rsidRPr="003F2A99">
        <w:rPr>
          <w:rFonts w:eastAsia="Arial" w:cs="Arial"/>
          <w:spacing w:val="1"/>
          <w:szCs w:val="24"/>
        </w:rPr>
        <w:t xml:space="preserve"> </w:t>
      </w:r>
      <w:r w:rsidRPr="003F2A99">
        <w:rPr>
          <w:rFonts w:eastAsia="Arial" w:cs="Arial"/>
          <w:szCs w:val="24"/>
        </w:rPr>
        <w:t>o</w:t>
      </w:r>
      <w:r w:rsidRPr="003F2A99">
        <w:rPr>
          <w:rFonts w:eastAsia="Arial" w:cs="Arial"/>
          <w:spacing w:val="1"/>
          <w:szCs w:val="24"/>
        </w:rPr>
        <w:t xml:space="preserve"> per</w:t>
      </w:r>
      <w:r w:rsidRPr="003F2A99">
        <w:rPr>
          <w:rFonts w:eastAsia="Arial" w:cs="Arial"/>
          <w:szCs w:val="24"/>
        </w:rPr>
        <w:t>c</w:t>
      </w:r>
      <w:r w:rsidRPr="003F2A99">
        <w:rPr>
          <w:rFonts w:eastAsia="Arial" w:cs="Arial"/>
          <w:spacing w:val="4"/>
          <w:szCs w:val="24"/>
        </w:rPr>
        <w:t>i</w:t>
      </w:r>
      <w:r w:rsidRPr="003F2A99">
        <w:rPr>
          <w:rFonts w:eastAsia="Arial" w:cs="Arial"/>
          <w:spacing w:val="1"/>
          <w:szCs w:val="24"/>
        </w:rPr>
        <w:t>b</w:t>
      </w:r>
      <w:r w:rsidR="00B52E61">
        <w:rPr>
          <w:rFonts w:eastAsia="Arial" w:cs="Arial"/>
          <w:szCs w:val="24"/>
        </w:rPr>
        <w:t>en</w:t>
      </w:r>
      <w:r w:rsidRPr="003F2A99">
        <w:rPr>
          <w:rFonts w:eastAsia="Arial" w:cs="Arial"/>
          <w:szCs w:val="24"/>
        </w:rPr>
        <w:t xml:space="preserve"> </w:t>
      </w:r>
      <w:r w:rsidRPr="003F2A99">
        <w:rPr>
          <w:rFonts w:eastAsia="Arial" w:cs="Arial"/>
          <w:spacing w:val="1"/>
          <w:szCs w:val="24"/>
        </w:rPr>
        <w:t>ren</w:t>
      </w:r>
      <w:r w:rsidRPr="003F2A99">
        <w:rPr>
          <w:rFonts w:eastAsia="Arial" w:cs="Arial"/>
          <w:szCs w:val="24"/>
        </w:rPr>
        <w:t>t</w:t>
      </w:r>
      <w:r w:rsidRPr="003F2A99">
        <w:rPr>
          <w:rFonts w:eastAsia="Arial" w:cs="Arial"/>
          <w:spacing w:val="1"/>
          <w:szCs w:val="24"/>
        </w:rPr>
        <w:t>a</w:t>
      </w:r>
      <w:r w:rsidRPr="003F2A99">
        <w:rPr>
          <w:rFonts w:eastAsia="Arial" w:cs="Arial"/>
          <w:szCs w:val="24"/>
        </w:rPr>
        <w:t xml:space="preserve">s </w:t>
      </w:r>
      <w:r w:rsidRPr="003F2A99">
        <w:rPr>
          <w:rFonts w:eastAsia="Arial" w:cs="Arial"/>
          <w:spacing w:val="1"/>
          <w:szCs w:val="24"/>
        </w:rPr>
        <w:t>d</w:t>
      </w:r>
      <w:r w:rsidRPr="003F2A99">
        <w:rPr>
          <w:rFonts w:eastAsia="Arial" w:cs="Arial"/>
          <w:spacing w:val="4"/>
          <w:szCs w:val="24"/>
        </w:rPr>
        <w:t>i</w:t>
      </w:r>
      <w:r w:rsidRPr="003F2A99">
        <w:rPr>
          <w:rFonts w:eastAsia="Arial" w:cs="Arial"/>
          <w:szCs w:val="24"/>
        </w:rPr>
        <w:t>v</w:t>
      </w:r>
      <w:r w:rsidRPr="003F2A99">
        <w:rPr>
          <w:rFonts w:eastAsia="Arial" w:cs="Arial"/>
          <w:spacing w:val="1"/>
          <w:szCs w:val="24"/>
        </w:rPr>
        <w:t>er</w:t>
      </w:r>
      <w:r w:rsidRPr="003F2A99">
        <w:rPr>
          <w:rFonts w:eastAsia="Arial" w:cs="Arial"/>
          <w:szCs w:val="24"/>
        </w:rPr>
        <w:t>s</w:t>
      </w:r>
      <w:r w:rsidRPr="003F2A99">
        <w:rPr>
          <w:rFonts w:eastAsia="Arial" w:cs="Arial"/>
          <w:spacing w:val="1"/>
          <w:szCs w:val="24"/>
        </w:rPr>
        <w:t>a</w:t>
      </w:r>
      <w:r w:rsidRPr="003F2A99">
        <w:rPr>
          <w:rFonts w:eastAsia="Arial" w:cs="Arial"/>
          <w:szCs w:val="24"/>
        </w:rPr>
        <w:t>s.</w:t>
      </w:r>
      <w:r w:rsidRPr="00006D16">
        <w:rPr>
          <w:rFonts w:eastAsia="Arial" w:cs="Arial"/>
          <w:szCs w:val="24"/>
        </w:rPr>
        <w:t xml:space="preserve"> </w:t>
      </w:r>
      <w:r w:rsidR="006C03FD" w:rsidRPr="003F2A99">
        <w:rPr>
          <w:rFonts w:eastAsia="Arial" w:cs="Arial"/>
          <w:spacing w:val="-2"/>
          <w:szCs w:val="24"/>
        </w:rPr>
        <w:t xml:space="preserve">Se contabilizan como hogares productores a </w:t>
      </w:r>
      <w:r w:rsidR="006C03FD">
        <w:rPr>
          <w:rFonts w:eastAsia="Arial" w:cs="Arial"/>
          <w:spacing w:val="-2"/>
          <w:szCs w:val="24"/>
        </w:rPr>
        <w:t xml:space="preserve">las y </w:t>
      </w:r>
      <w:r w:rsidR="006C03FD" w:rsidRPr="003F2A99">
        <w:rPr>
          <w:rFonts w:eastAsia="Arial" w:cs="Arial"/>
          <w:spacing w:val="-2"/>
          <w:szCs w:val="24"/>
        </w:rPr>
        <w:t>los trabajadores por cuenta propia, profesionistas independientes, ejidatari</w:t>
      </w:r>
      <w:r w:rsidR="006C03FD">
        <w:rPr>
          <w:rFonts w:eastAsia="Arial" w:cs="Arial"/>
          <w:spacing w:val="-2"/>
          <w:szCs w:val="24"/>
        </w:rPr>
        <w:t>as y ejidatario</w:t>
      </w:r>
      <w:r w:rsidR="006C03FD" w:rsidRPr="003F2A99">
        <w:rPr>
          <w:rFonts w:eastAsia="Arial" w:cs="Arial"/>
          <w:spacing w:val="-2"/>
          <w:szCs w:val="24"/>
        </w:rPr>
        <w:t xml:space="preserve">s, </w:t>
      </w:r>
      <w:r w:rsidR="006C03FD">
        <w:rPr>
          <w:rFonts w:eastAsia="Arial" w:cs="Arial"/>
          <w:spacing w:val="-2"/>
          <w:szCs w:val="24"/>
        </w:rPr>
        <w:t xml:space="preserve">jornaleras y </w:t>
      </w:r>
      <w:r w:rsidR="006C03FD" w:rsidRPr="003F2A99">
        <w:rPr>
          <w:rFonts w:eastAsia="Arial" w:cs="Arial"/>
          <w:spacing w:val="-2"/>
          <w:szCs w:val="24"/>
        </w:rPr>
        <w:t>jornaleros, artesan</w:t>
      </w:r>
      <w:r w:rsidR="006F02C4">
        <w:rPr>
          <w:rFonts w:eastAsia="Arial" w:cs="Arial"/>
          <w:spacing w:val="-2"/>
          <w:szCs w:val="24"/>
        </w:rPr>
        <w:t>a</w:t>
      </w:r>
      <w:r w:rsidR="006C03FD" w:rsidRPr="003F2A99">
        <w:rPr>
          <w:rFonts w:eastAsia="Arial" w:cs="Arial"/>
          <w:spacing w:val="-2"/>
          <w:szCs w:val="24"/>
        </w:rPr>
        <w:t>s</w:t>
      </w:r>
      <w:r w:rsidR="006C03FD">
        <w:rPr>
          <w:rFonts w:eastAsia="Arial" w:cs="Arial"/>
          <w:spacing w:val="-2"/>
          <w:szCs w:val="24"/>
        </w:rPr>
        <w:t xml:space="preserve"> y artesanos</w:t>
      </w:r>
      <w:r w:rsidR="006C03FD" w:rsidRPr="003F2A99">
        <w:rPr>
          <w:rFonts w:eastAsia="Arial" w:cs="Arial"/>
          <w:spacing w:val="-2"/>
          <w:szCs w:val="24"/>
        </w:rPr>
        <w:t>, vendedor</w:t>
      </w:r>
      <w:r w:rsidR="006C03FD">
        <w:rPr>
          <w:rFonts w:eastAsia="Arial" w:cs="Arial"/>
          <w:spacing w:val="-2"/>
          <w:szCs w:val="24"/>
        </w:rPr>
        <w:t>as y vendedore</w:t>
      </w:r>
      <w:r w:rsidR="006C03FD" w:rsidRPr="003F2A99">
        <w:rPr>
          <w:rFonts w:eastAsia="Arial" w:cs="Arial"/>
          <w:spacing w:val="-2"/>
          <w:szCs w:val="24"/>
        </w:rPr>
        <w:t>s ambulantes, etc. Los hogares productores pueden realizar sus actividades en la vivienda o fuera de e</w:t>
      </w:r>
      <w:r w:rsidR="006C03FD">
        <w:rPr>
          <w:rFonts w:eastAsia="Arial" w:cs="Arial"/>
          <w:spacing w:val="-2"/>
          <w:szCs w:val="24"/>
        </w:rPr>
        <w:t>st</w:t>
      </w:r>
      <w:r w:rsidR="006C03FD" w:rsidRPr="003F2A99">
        <w:rPr>
          <w:rFonts w:eastAsia="Arial" w:cs="Arial"/>
          <w:spacing w:val="-2"/>
          <w:szCs w:val="24"/>
        </w:rPr>
        <w:t>a. También</w:t>
      </w:r>
      <w:r w:rsidR="006C03FD">
        <w:rPr>
          <w:rFonts w:eastAsia="Arial" w:cs="Arial"/>
          <w:spacing w:val="-2"/>
          <w:szCs w:val="24"/>
        </w:rPr>
        <w:t>, y</w:t>
      </w:r>
      <w:r w:rsidR="006C03FD" w:rsidRPr="003F2A99">
        <w:rPr>
          <w:rFonts w:eastAsia="Arial" w:cs="Arial"/>
          <w:spacing w:val="-2"/>
          <w:szCs w:val="24"/>
        </w:rPr>
        <w:t xml:space="preserve"> conforme a las recomendaciones internacionales</w:t>
      </w:r>
      <w:r w:rsidR="006C03FD">
        <w:rPr>
          <w:rFonts w:eastAsia="Arial" w:cs="Arial"/>
          <w:spacing w:val="-2"/>
          <w:szCs w:val="24"/>
        </w:rPr>
        <w:t>,</w:t>
      </w:r>
      <w:r w:rsidR="006C03FD" w:rsidRPr="003F2A99">
        <w:rPr>
          <w:rFonts w:eastAsia="Arial" w:cs="Arial"/>
          <w:spacing w:val="-2"/>
          <w:szCs w:val="24"/>
        </w:rPr>
        <w:t xml:space="preserve"> se registra el valor agregado de las viviendas habitadas por sus dueñ</w:t>
      </w:r>
      <w:r w:rsidR="006C03FD">
        <w:rPr>
          <w:rFonts w:eastAsia="Arial" w:cs="Arial"/>
          <w:spacing w:val="-2"/>
          <w:szCs w:val="24"/>
        </w:rPr>
        <w:t>as y dueño</w:t>
      </w:r>
      <w:r w:rsidR="006C03FD" w:rsidRPr="003F2A99">
        <w:rPr>
          <w:rFonts w:eastAsia="Arial" w:cs="Arial"/>
          <w:spacing w:val="-2"/>
          <w:szCs w:val="24"/>
        </w:rPr>
        <w:t xml:space="preserve">s, ya que </w:t>
      </w:r>
      <w:r w:rsidR="006C03FD">
        <w:rPr>
          <w:rFonts w:eastAsia="Arial" w:cs="Arial"/>
          <w:spacing w:val="-2"/>
          <w:szCs w:val="24"/>
        </w:rPr>
        <w:t>e</w:t>
      </w:r>
      <w:r w:rsidR="006C03FD" w:rsidRPr="003F2A99">
        <w:rPr>
          <w:rFonts w:eastAsia="Arial" w:cs="Arial"/>
          <w:spacing w:val="-2"/>
          <w:szCs w:val="24"/>
        </w:rPr>
        <w:t>stas</w:t>
      </w:r>
      <w:r w:rsidR="006C03FD">
        <w:rPr>
          <w:rFonts w:eastAsia="Arial" w:cs="Arial"/>
          <w:spacing w:val="-2"/>
          <w:szCs w:val="24"/>
        </w:rPr>
        <w:t>,</w:t>
      </w:r>
      <w:r w:rsidR="006C03FD" w:rsidRPr="003F2A99">
        <w:rPr>
          <w:rFonts w:eastAsia="Arial" w:cs="Arial"/>
          <w:spacing w:val="-2"/>
          <w:szCs w:val="24"/>
        </w:rPr>
        <w:t xml:space="preserve"> efectivamente</w:t>
      </w:r>
      <w:r w:rsidR="006C03FD">
        <w:rPr>
          <w:rFonts w:eastAsia="Arial" w:cs="Arial"/>
          <w:spacing w:val="-2"/>
          <w:szCs w:val="24"/>
        </w:rPr>
        <w:t>,</w:t>
      </w:r>
      <w:r w:rsidR="006C03FD" w:rsidRPr="003F2A99">
        <w:rPr>
          <w:rFonts w:eastAsia="Arial" w:cs="Arial"/>
          <w:spacing w:val="-2"/>
          <w:szCs w:val="24"/>
        </w:rPr>
        <w:t xml:space="preserve"> les proporcionan un servicio. Asimismo, se incluyen hogares colectivos</w:t>
      </w:r>
      <w:r w:rsidR="006C03FD">
        <w:rPr>
          <w:rFonts w:eastAsia="Arial" w:cs="Arial"/>
          <w:spacing w:val="-2"/>
          <w:szCs w:val="24"/>
        </w:rPr>
        <w:t>,</w:t>
      </w:r>
      <w:r w:rsidR="006C03FD" w:rsidRPr="003F2A99">
        <w:rPr>
          <w:rFonts w:eastAsia="Arial" w:cs="Arial"/>
          <w:spacing w:val="-2"/>
          <w:szCs w:val="24"/>
        </w:rPr>
        <w:t xml:space="preserve"> como asilos, hospitales, conventos y prisiones.</w:t>
      </w:r>
    </w:p>
    <w:p w14:paraId="5D98A502" w14:textId="77777777" w:rsidR="00EF2553" w:rsidRPr="003F2A99" w:rsidRDefault="00EF2553" w:rsidP="00F71AD7">
      <w:pPr>
        <w:pStyle w:val="Prrafodelista"/>
        <w:ind w:left="-567" w:right="-518"/>
        <w:jc w:val="both"/>
        <w:rPr>
          <w:rFonts w:eastAsia="Arial" w:cs="Arial"/>
          <w:spacing w:val="-2"/>
          <w:szCs w:val="24"/>
        </w:rPr>
      </w:pPr>
    </w:p>
    <w:p w14:paraId="7A536260" w14:textId="537CA0A4" w:rsidR="006B7B49" w:rsidRPr="00006D16" w:rsidRDefault="00EF2553" w:rsidP="00D9450A">
      <w:pPr>
        <w:pStyle w:val="Prrafodelista"/>
        <w:numPr>
          <w:ilvl w:val="0"/>
          <w:numId w:val="7"/>
        </w:numPr>
        <w:ind w:right="-518"/>
        <w:jc w:val="both"/>
        <w:rPr>
          <w:rFonts w:eastAsia="Arial" w:cs="Arial"/>
          <w:spacing w:val="-2"/>
          <w:szCs w:val="24"/>
        </w:rPr>
      </w:pPr>
      <w:r w:rsidRPr="003F2A99">
        <w:rPr>
          <w:rFonts w:eastAsia="Arial" w:cs="Arial"/>
          <w:spacing w:val="-4"/>
          <w:szCs w:val="24"/>
        </w:rPr>
        <w:t>Instituciones sin fines de lucro que sirven a los hogares (ISFLSH)</w:t>
      </w:r>
      <w:r w:rsidR="006C03FD">
        <w:rPr>
          <w:rFonts w:eastAsia="Arial" w:cs="Arial"/>
          <w:spacing w:val="-4"/>
          <w:szCs w:val="24"/>
        </w:rPr>
        <w:t>.</w:t>
      </w:r>
      <w:r w:rsidRPr="003F2A99">
        <w:rPr>
          <w:rFonts w:eastAsia="Arial" w:cs="Arial"/>
          <w:spacing w:val="-4"/>
          <w:szCs w:val="24"/>
        </w:rPr>
        <w:t xml:space="preserve"> Está</w:t>
      </w:r>
      <w:r w:rsidR="00B52E61">
        <w:rPr>
          <w:rFonts w:eastAsia="Arial" w:cs="Arial"/>
          <w:spacing w:val="-4"/>
          <w:szCs w:val="24"/>
        </w:rPr>
        <w:t>n</w:t>
      </w:r>
      <w:r w:rsidRPr="003F2A99">
        <w:rPr>
          <w:rFonts w:eastAsia="Arial" w:cs="Arial"/>
          <w:spacing w:val="-4"/>
          <w:szCs w:val="24"/>
        </w:rPr>
        <w:t xml:space="preserve"> constituid</w:t>
      </w:r>
      <w:r w:rsidR="006B7B49">
        <w:rPr>
          <w:rFonts w:eastAsia="Arial" w:cs="Arial"/>
          <w:spacing w:val="-4"/>
          <w:szCs w:val="24"/>
        </w:rPr>
        <w:t>a</w:t>
      </w:r>
      <w:r w:rsidR="00B52E61">
        <w:rPr>
          <w:rFonts w:eastAsia="Arial" w:cs="Arial"/>
          <w:spacing w:val="-4"/>
          <w:szCs w:val="24"/>
        </w:rPr>
        <w:t>s</w:t>
      </w:r>
      <w:r w:rsidRPr="003F2A99">
        <w:rPr>
          <w:rFonts w:eastAsia="Arial" w:cs="Arial"/>
          <w:spacing w:val="-4"/>
          <w:szCs w:val="24"/>
        </w:rPr>
        <w:t xml:space="preserve"> por entidades jurídicas o sociales creadas para producir bienes y servicios a los hogares gratuitamente o a precios no significativos</w:t>
      </w:r>
      <w:r w:rsidR="00B52E61">
        <w:rPr>
          <w:rFonts w:eastAsia="Arial" w:cs="Arial"/>
          <w:spacing w:val="-4"/>
          <w:szCs w:val="24"/>
        </w:rPr>
        <w:t>. Su</w:t>
      </w:r>
      <w:r w:rsidRPr="003F2A99">
        <w:rPr>
          <w:rFonts w:eastAsia="Arial" w:cs="Arial"/>
          <w:spacing w:val="-4"/>
          <w:szCs w:val="24"/>
        </w:rPr>
        <w:t xml:space="preserve"> estatuto legal no permite </w:t>
      </w:r>
      <w:r w:rsidR="006F02C4">
        <w:rPr>
          <w:rFonts w:eastAsia="Arial" w:cs="Arial"/>
          <w:spacing w:val="-4"/>
          <w:szCs w:val="24"/>
        </w:rPr>
        <w:t xml:space="preserve">que sean </w:t>
      </w:r>
      <w:r w:rsidRPr="003F2A99">
        <w:rPr>
          <w:rFonts w:eastAsia="Arial" w:cs="Arial"/>
          <w:spacing w:val="-4"/>
          <w:szCs w:val="24"/>
        </w:rPr>
        <w:t>fuente de ingreso, beneficio u otra ganancia financiera para las unidades que las establecen, controlan o financian. Sus actividades productivas pueden generar excedentes, pero no pueden traspasarse a otras unidades institucionales</w:t>
      </w:r>
      <w:r w:rsidR="00B52E61">
        <w:rPr>
          <w:rFonts w:eastAsia="Arial" w:cs="Arial"/>
          <w:spacing w:val="-4"/>
          <w:szCs w:val="24"/>
        </w:rPr>
        <w:t>. P</w:t>
      </w:r>
      <w:r w:rsidRPr="003F2A99">
        <w:rPr>
          <w:rFonts w:eastAsia="Arial" w:cs="Arial"/>
          <w:spacing w:val="-4"/>
          <w:szCs w:val="24"/>
        </w:rPr>
        <w:t>or este motivo es posible que se l</w:t>
      </w:r>
      <w:r w:rsidR="006B7B49">
        <w:rPr>
          <w:rFonts w:eastAsia="Arial" w:cs="Arial"/>
          <w:spacing w:val="-4"/>
          <w:szCs w:val="24"/>
        </w:rPr>
        <w:t>a</w:t>
      </w:r>
      <w:r w:rsidRPr="003F2A99">
        <w:rPr>
          <w:rFonts w:eastAsia="Arial" w:cs="Arial"/>
          <w:spacing w:val="-4"/>
          <w:szCs w:val="24"/>
        </w:rPr>
        <w:t>s declare exentas de diversos impuestos. Existen otras instituciones sin fines de lucro que sirven a las empresas o al gobierno</w:t>
      </w:r>
      <w:r w:rsidR="00B52E61">
        <w:rPr>
          <w:rFonts w:eastAsia="Arial" w:cs="Arial"/>
          <w:spacing w:val="-4"/>
          <w:szCs w:val="24"/>
        </w:rPr>
        <w:t xml:space="preserve"> y</w:t>
      </w:r>
      <w:r w:rsidRPr="003F2A99">
        <w:rPr>
          <w:rFonts w:eastAsia="Arial" w:cs="Arial"/>
          <w:spacing w:val="-4"/>
          <w:szCs w:val="24"/>
        </w:rPr>
        <w:t xml:space="preserve"> se incluyen en sus respectivos sectores institucionales.</w:t>
      </w:r>
      <w:r w:rsidR="006B7B49" w:rsidRPr="006B7B49">
        <w:rPr>
          <w:rFonts w:eastAsia="Arial" w:cs="Arial"/>
          <w:spacing w:val="-2"/>
          <w:szCs w:val="24"/>
        </w:rPr>
        <w:t xml:space="preserve"> </w:t>
      </w:r>
      <w:r w:rsidR="006B7B49" w:rsidRPr="003F2A99">
        <w:rPr>
          <w:rFonts w:eastAsia="Arial" w:cs="Arial"/>
          <w:spacing w:val="-2"/>
          <w:szCs w:val="24"/>
        </w:rPr>
        <w:t>En el sector de ISFLSH se</w:t>
      </w:r>
      <w:r w:rsidR="006B7B49">
        <w:rPr>
          <w:rFonts w:eastAsia="Arial" w:cs="Arial"/>
          <w:spacing w:val="-2"/>
          <w:szCs w:val="24"/>
        </w:rPr>
        <w:t xml:space="preserve"> consideran</w:t>
      </w:r>
      <w:r w:rsidR="006B7B49" w:rsidRPr="003F2A99">
        <w:rPr>
          <w:rFonts w:eastAsia="Arial" w:cs="Arial"/>
          <w:spacing w:val="-2"/>
          <w:szCs w:val="24"/>
        </w:rPr>
        <w:t xml:space="preserve"> las iglesias o asociaciones religiosas</w:t>
      </w:r>
      <w:r w:rsidR="006B7B49">
        <w:rPr>
          <w:rFonts w:eastAsia="Arial" w:cs="Arial"/>
          <w:spacing w:val="-2"/>
          <w:szCs w:val="24"/>
        </w:rPr>
        <w:t>,</w:t>
      </w:r>
      <w:r w:rsidR="006B7B49" w:rsidRPr="003F2A99">
        <w:rPr>
          <w:rFonts w:eastAsia="Arial" w:cs="Arial"/>
          <w:spacing w:val="-2"/>
          <w:szCs w:val="24"/>
        </w:rPr>
        <w:t xml:space="preserve"> los clubes sociales, deportivos, culturales y recreativos</w:t>
      </w:r>
      <w:r w:rsidR="006B7B49">
        <w:rPr>
          <w:rFonts w:eastAsia="Arial" w:cs="Arial"/>
          <w:spacing w:val="-2"/>
          <w:szCs w:val="24"/>
        </w:rPr>
        <w:t>,</w:t>
      </w:r>
      <w:r w:rsidR="006B7B49" w:rsidRPr="003F2A99">
        <w:rPr>
          <w:rFonts w:eastAsia="Arial" w:cs="Arial"/>
          <w:spacing w:val="-2"/>
          <w:szCs w:val="24"/>
        </w:rPr>
        <w:t xml:space="preserve"> los sindicatos, partidos políticos, organizaciones no gubernamentales y otros organismos de beneficencia y asistencia social, asociaciones profesionales, etcétera.</w:t>
      </w:r>
    </w:p>
    <w:p w14:paraId="43FF1B63" w14:textId="6BF1ED0A" w:rsidR="00EF2553" w:rsidRPr="003F2A99" w:rsidRDefault="00EF2553" w:rsidP="00D9450A">
      <w:pPr>
        <w:pStyle w:val="Prrafodelista"/>
        <w:ind w:left="-207" w:right="-518"/>
        <w:jc w:val="both"/>
        <w:rPr>
          <w:rFonts w:eastAsia="Arial" w:cs="Arial"/>
          <w:spacing w:val="-4"/>
          <w:szCs w:val="24"/>
        </w:rPr>
      </w:pPr>
    </w:p>
    <w:p w14:paraId="6ABCCAF8" w14:textId="77D9B124" w:rsidR="00EF2553" w:rsidRDefault="00EF2553" w:rsidP="00D9450A">
      <w:pPr>
        <w:pStyle w:val="Prrafodelista"/>
        <w:numPr>
          <w:ilvl w:val="0"/>
          <w:numId w:val="7"/>
        </w:numPr>
        <w:ind w:right="-518"/>
        <w:jc w:val="both"/>
        <w:rPr>
          <w:rFonts w:eastAsia="Arial" w:cs="Arial"/>
          <w:spacing w:val="-2"/>
          <w:szCs w:val="24"/>
        </w:rPr>
      </w:pPr>
      <w:r w:rsidRPr="003F2A99">
        <w:rPr>
          <w:rFonts w:eastAsia="Arial" w:cs="Arial"/>
          <w:spacing w:val="-2"/>
          <w:szCs w:val="24"/>
        </w:rPr>
        <w:t>Resto del mundo</w:t>
      </w:r>
      <w:r w:rsidR="006B7B49">
        <w:rPr>
          <w:rFonts w:eastAsia="Arial" w:cs="Arial"/>
          <w:spacing w:val="-2"/>
          <w:szCs w:val="24"/>
        </w:rPr>
        <w:t xml:space="preserve">. En sentido estricto, no </w:t>
      </w:r>
      <w:r w:rsidRPr="003F2A99">
        <w:rPr>
          <w:rFonts w:eastAsia="Arial" w:cs="Arial"/>
          <w:spacing w:val="-2"/>
          <w:szCs w:val="24"/>
        </w:rPr>
        <w:t xml:space="preserve">es un sector institucional más de la economía del país, pero su integración proporciona una visión del conjunto de transacciones que ligan la economía interna con el exterior. El resto del mundo se caracteriza por agrupar las operaciones </w:t>
      </w:r>
      <w:r w:rsidR="001E318E">
        <w:rPr>
          <w:rFonts w:eastAsia="Arial" w:cs="Arial"/>
          <w:spacing w:val="-2"/>
          <w:szCs w:val="24"/>
        </w:rPr>
        <w:t xml:space="preserve">que realizan </w:t>
      </w:r>
      <w:r w:rsidRPr="003F2A99">
        <w:rPr>
          <w:rFonts w:eastAsia="Arial" w:cs="Arial"/>
          <w:spacing w:val="-2"/>
          <w:szCs w:val="24"/>
        </w:rPr>
        <w:t>las unidades institucionales residentes</w:t>
      </w:r>
      <w:r w:rsidR="001E318E">
        <w:rPr>
          <w:rFonts w:eastAsia="Arial" w:cs="Arial"/>
          <w:spacing w:val="-2"/>
          <w:szCs w:val="24"/>
        </w:rPr>
        <w:t xml:space="preserve"> </w:t>
      </w:r>
      <w:r w:rsidRPr="003F2A99">
        <w:rPr>
          <w:rFonts w:eastAsia="Arial" w:cs="Arial"/>
          <w:spacing w:val="-2"/>
          <w:szCs w:val="24"/>
        </w:rPr>
        <w:t>con las no residentes. La fuente de información utilizada es la Balanza de pagos de México.</w:t>
      </w:r>
    </w:p>
    <w:p w14:paraId="347AEB78" w14:textId="77777777" w:rsidR="009C4E45" w:rsidRDefault="009C4E45" w:rsidP="00F71AD7">
      <w:pPr>
        <w:spacing w:after="0" w:line="240" w:lineRule="auto"/>
        <w:ind w:left="-567" w:right="-518"/>
        <w:jc w:val="both"/>
        <w:rPr>
          <w:rFonts w:eastAsia="Arial" w:cs="Arial"/>
          <w:spacing w:val="-2"/>
          <w:szCs w:val="24"/>
        </w:rPr>
      </w:pPr>
      <w:bookmarkStart w:id="3" w:name="_Hlk88483585"/>
    </w:p>
    <w:p w14:paraId="520756F6" w14:textId="77777777" w:rsidR="009C4E45" w:rsidRDefault="009C4E45" w:rsidP="00F71AD7">
      <w:pPr>
        <w:spacing w:after="0" w:line="240" w:lineRule="auto"/>
        <w:ind w:left="-567" w:right="-518"/>
        <w:jc w:val="both"/>
        <w:rPr>
          <w:rFonts w:eastAsia="Arial" w:cs="Arial"/>
          <w:spacing w:val="-2"/>
          <w:szCs w:val="24"/>
        </w:rPr>
      </w:pPr>
    </w:p>
    <w:p w14:paraId="5A4C7B64" w14:textId="77777777" w:rsidR="009C4E45" w:rsidRDefault="009C4E45" w:rsidP="00F71AD7">
      <w:pPr>
        <w:spacing w:after="0" w:line="240" w:lineRule="auto"/>
        <w:ind w:left="-567" w:right="-518"/>
        <w:jc w:val="both"/>
        <w:rPr>
          <w:rFonts w:eastAsia="Arial" w:cs="Arial"/>
          <w:spacing w:val="-2"/>
          <w:szCs w:val="24"/>
        </w:rPr>
      </w:pPr>
    </w:p>
    <w:p w14:paraId="373A1B05" w14:textId="77777777" w:rsidR="009C4E45" w:rsidRDefault="009C4E45" w:rsidP="00F71AD7">
      <w:pPr>
        <w:spacing w:after="0" w:line="240" w:lineRule="auto"/>
        <w:ind w:left="-567" w:right="-518"/>
        <w:jc w:val="both"/>
        <w:rPr>
          <w:rFonts w:eastAsia="Arial" w:cs="Arial"/>
          <w:spacing w:val="-2"/>
          <w:szCs w:val="24"/>
        </w:rPr>
      </w:pPr>
    </w:p>
    <w:p w14:paraId="58E822E5" w14:textId="77777777" w:rsidR="009C4E45" w:rsidRDefault="009C4E45" w:rsidP="00F71AD7">
      <w:pPr>
        <w:spacing w:after="0" w:line="240" w:lineRule="auto"/>
        <w:ind w:left="-567" w:right="-518"/>
        <w:jc w:val="both"/>
        <w:rPr>
          <w:rFonts w:eastAsia="Arial" w:cs="Arial"/>
          <w:spacing w:val="-2"/>
          <w:szCs w:val="24"/>
        </w:rPr>
      </w:pPr>
    </w:p>
    <w:p w14:paraId="67C37657" w14:textId="4B2B5852" w:rsidR="00EF2553" w:rsidRDefault="00EF2553" w:rsidP="00F71AD7">
      <w:pPr>
        <w:spacing w:after="0" w:line="240" w:lineRule="auto"/>
        <w:ind w:left="-567" w:right="-518"/>
        <w:jc w:val="both"/>
        <w:rPr>
          <w:rFonts w:eastAsia="Arial" w:cs="Arial"/>
          <w:spacing w:val="-2"/>
          <w:szCs w:val="24"/>
        </w:rPr>
      </w:pPr>
      <w:r w:rsidRPr="000416FA">
        <w:rPr>
          <w:rFonts w:eastAsia="Arial" w:cs="Arial"/>
          <w:spacing w:val="-2"/>
          <w:szCs w:val="24"/>
        </w:rPr>
        <w:lastRenderedPageBreak/>
        <w:t>Las Cuentas por Sectores Institucionales Trimestrales de México,</w:t>
      </w:r>
      <w:r w:rsidR="001E318E">
        <w:rPr>
          <w:rFonts w:eastAsia="Arial" w:cs="Arial"/>
          <w:spacing w:val="-2"/>
          <w:szCs w:val="24"/>
        </w:rPr>
        <w:t xml:space="preserve"> que se</w:t>
      </w:r>
      <w:r w:rsidRPr="000416FA">
        <w:rPr>
          <w:rFonts w:eastAsia="Arial" w:cs="Arial"/>
          <w:spacing w:val="-2"/>
          <w:szCs w:val="24"/>
        </w:rPr>
        <w:t xml:space="preserve"> publica</w:t>
      </w:r>
      <w:r w:rsidR="001E318E">
        <w:rPr>
          <w:rFonts w:eastAsia="Arial" w:cs="Arial"/>
          <w:spacing w:val="-2"/>
          <w:szCs w:val="24"/>
        </w:rPr>
        <w:t>ron</w:t>
      </w:r>
      <w:r w:rsidRPr="000416FA">
        <w:rPr>
          <w:rFonts w:eastAsia="Arial" w:cs="Arial"/>
          <w:spacing w:val="-2"/>
          <w:szCs w:val="24"/>
        </w:rPr>
        <w:t xml:space="preserve"> por primera vez el 2 de septiembre de 2020, dan cumplimiento a la </w:t>
      </w:r>
      <w:r w:rsidR="001E318E">
        <w:rPr>
          <w:rFonts w:eastAsia="Arial" w:cs="Arial"/>
          <w:spacing w:val="-2"/>
          <w:szCs w:val="24"/>
        </w:rPr>
        <w:t>r</w:t>
      </w:r>
      <w:r w:rsidRPr="000416FA">
        <w:rPr>
          <w:rFonts w:eastAsia="Arial" w:cs="Arial"/>
          <w:spacing w:val="-2"/>
          <w:szCs w:val="24"/>
        </w:rPr>
        <w:t>ecomendación II.8 Cuentas Sectoriales de la segunda fase del</w:t>
      </w:r>
      <w:r w:rsidR="001E318E">
        <w:rPr>
          <w:rFonts w:eastAsia="Arial" w:cs="Arial"/>
          <w:spacing w:val="-2"/>
          <w:szCs w:val="24"/>
        </w:rPr>
        <w:t xml:space="preserve"> </w:t>
      </w:r>
      <w:r w:rsidR="001E318E" w:rsidRPr="001E318E">
        <w:rPr>
          <w:rFonts w:cs="Arial"/>
          <w:szCs w:val="24"/>
        </w:rPr>
        <w:t>«</w:t>
      </w:r>
      <w:r w:rsidRPr="00F71AD7">
        <w:rPr>
          <w:rFonts w:eastAsia="Arial" w:cs="Arial"/>
          <w:iCs/>
          <w:spacing w:val="-2"/>
          <w:szCs w:val="24"/>
        </w:rPr>
        <w:t xml:space="preserve">Data Gaps </w:t>
      </w:r>
      <w:proofErr w:type="spellStart"/>
      <w:r w:rsidRPr="00F71AD7">
        <w:rPr>
          <w:rFonts w:eastAsia="Arial" w:cs="Arial"/>
          <w:iCs/>
          <w:spacing w:val="-2"/>
          <w:szCs w:val="24"/>
        </w:rPr>
        <w:t>Initiative</w:t>
      </w:r>
      <w:proofErr w:type="spellEnd"/>
      <w:r w:rsidRPr="001E318E">
        <w:rPr>
          <w:rFonts w:eastAsia="Arial" w:cs="Arial"/>
          <w:spacing w:val="-2"/>
          <w:szCs w:val="24"/>
        </w:rPr>
        <w:t xml:space="preserve"> (DGI)</w:t>
      </w:r>
      <w:r w:rsidR="001E318E" w:rsidRPr="001E318E">
        <w:rPr>
          <w:rFonts w:cs="Arial"/>
          <w:szCs w:val="24"/>
        </w:rPr>
        <w:t>»</w:t>
      </w:r>
      <w:r>
        <w:rPr>
          <w:rFonts w:eastAsia="Arial" w:cs="Arial"/>
          <w:spacing w:val="-2"/>
          <w:szCs w:val="24"/>
        </w:rPr>
        <w:t xml:space="preserve"> </w:t>
      </w:r>
      <w:r w:rsidRPr="000416FA">
        <w:rPr>
          <w:rFonts w:eastAsia="Arial" w:cs="Arial"/>
          <w:spacing w:val="-2"/>
          <w:szCs w:val="24"/>
        </w:rPr>
        <w:t>del G-20</w:t>
      </w:r>
      <w:r w:rsidR="006B7B49">
        <w:rPr>
          <w:rFonts w:eastAsia="Arial" w:cs="Arial"/>
          <w:spacing w:val="-2"/>
          <w:szCs w:val="24"/>
        </w:rPr>
        <w:t>.</w:t>
      </w:r>
      <w:r w:rsidRPr="000416FA">
        <w:rPr>
          <w:rStyle w:val="Refdenotaalpie"/>
          <w:rFonts w:eastAsia="Arial" w:cs="Arial"/>
          <w:spacing w:val="-2"/>
          <w:szCs w:val="24"/>
        </w:rPr>
        <w:footnoteReference w:id="13"/>
      </w:r>
      <w:r w:rsidRPr="000416FA">
        <w:rPr>
          <w:rFonts w:eastAsia="Arial" w:cs="Arial"/>
          <w:spacing w:val="-2"/>
          <w:szCs w:val="24"/>
        </w:rPr>
        <w:t xml:space="preserve"> De igual manera, el INEGI refrenda su compromiso para </w:t>
      </w:r>
      <w:r w:rsidR="006B7B49">
        <w:rPr>
          <w:rFonts w:eastAsia="Arial" w:cs="Arial"/>
          <w:spacing w:val="-2"/>
          <w:szCs w:val="24"/>
        </w:rPr>
        <w:t xml:space="preserve">impulsar </w:t>
      </w:r>
      <w:r w:rsidRPr="000416FA">
        <w:rPr>
          <w:rFonts w:eastAsia="Arial" w:cs="Arial"/>
          <w:spacing w:val="-2"/>
          <w:szCs w:val="24"/>
        </w:rPr>
        <w:t>las recomendaciones acordadas por la DGI-2 y</w:t>
      </w:r>
      <w:r w:rsidR="001E318E">
        <w:rPr>
          <w:rFonts w:eastAsia="Arial" w:cs="Arial"/>
          <w:spacing w:val="-2"/>
          <w:szCs w:val="24"/>
        </w:rPr>
        <w:t xml:space="preserve"> para</w:t>
      </w:r>
      <w:r w:rsidRPr="000416FA">
        <w:rPr>
          <w:rFonts w:eastAsia="Arial" w:cs="Arial"/>
          <w:spacing w:val="-2"/>
          <w:szCs w:val="24"/>
        </w:rPr>
        <w:t xml:space="preserve"> colabora</w:t>
      </w:r>
      <w:r w:rsidR="001E318E">
        <w:rPr>
          <w:rFonts w:eastAsia="Arial" w:cs="Arial"/>
          <w:spacing w:val="-2"/>
          <w:szCs w:val="24"/>
        </w:rPr>
        <w:t>r</w:t>
      </w:r>
      <w:r w:rsidR="006B7B49">
        <w:rPr>
          <w:rFonts w:eastAsia="Arial" w:cs="Arial"/>
          <w:spacing w:val="-2"/>
          <w:szCs w:val="24"/>
        </w:rPr>
        <w:t>,</w:t>
      </w:r>
      <w:r w:rsidR="001E318E">
        <w:rPr>
          <w:rFonts w:eastAsia="Arial" w:cs="Arial"/>
          <w:spacing w:val="-2"/>
          <w:szCs w:val="24"/>
        </w:rPr>
        <w:t xml:space="preserve"> a nivel</w:t>
      </w:r>
      <w:r w:rsidRPr="000416FA">
        <w:rPr>
          <w:rFonts w:eastAsia="Arial" w:cs="Arial"/>
          <w:spacing w:val="-2"/>
          <w:szCs w:val="24"/>
        </w:rPr>
        <w:t xml:space="preserve"> internacional</w:t>
      </w:r>
      <w:r w:rsidR="006B7B49">
        <w:rPr>
          <w:rFonts w:eastAsia="Arial" w:cs="Arial"/>
          <w:spacing w:val="-2"/>
          <w:szCs w:val="24"/>
        </w:rPr>
        <w:t>,</w:t>
      </w:r>
      <w:r w:rsidRPr="000416FA">
        <w:rPr>
          <w:rFonts w:eastAsia="Arial" w:cs="Arial"/>
          <w:spacing w:val="-2"/>
          <w:szCs w:val="24"/>
        </w:rPr>
        <w:t xml:space="preserve"> </w:t>
      </w:r>
      <w:r w:rsidR="001E318E">
        <w:rPr>
          <w:rFonts w:eastAsia="Arial" w:cs="Arial"/>
          <w:spacing w:val="-2"/>
          <w:szCs w:val="24"/>
        </w:rPr>
        <w:t xml:space="preserve">con el objetivo de </w:t>
      </w:r>
      <w:r w:rsidRPr="000416FA">
        <w:rPr>
          <w:rFonts w:eastAsia="Arial" w:cs="Arial"/>
          <w:spacing w:val="-2"/>
          <w:szCs w:val="24"/>
        </w:rPr>
        <w:t>cubrir los requerimientos de una posible nueva DGI.</w:t>
      </w:r>
      <w:r w:rsidR="001E318E">
        <w:rPr>
          <w:rFonts w:eastAsia="Arial" w:cs="Arial"/>
          <w:spacing w:val="-2"/>
          <w:szCs w:val="24"/>
        </w:rPr>
        <w:t xml:space="preserve"> </w:t>
      </w:r>
    </w:p>
    <w:p w14:paraId="1F0E9E95" w14:textId="77777777" w:rsidR="00EF2553" w:rsidRPr="00557C6D" w:rsidRDefault="00EF2553" w:rsidP="00F71AD7">
      <w:pPr>
        <w:spacing w:after="0" w:line="240" w:lineRule="auto"/>
        <w:ind w:left="-567" w:right="-518"/>
        <w:jc w:val="both"/>
        <w:rPr>
          <w:rFonts w:eastAsia="Arial" w:cs="Arial"/>
          <w:spacing w:val="-2"/>
          <w:szCs w:val="24"/>
        </w:rPr>
      </w:pPr>
    </w:p>
    <w:bookmarkEnd w:id="3"/>
    <w:p w14:paraId="5D32F3FE" w14:textId="49DDA14D" w:rsidR="00DD45FB" w:rsidRDefault="00EF2553" w:rsidP="00DD45FB">
      <w:pPr>
        <w:spacing w:after="0" w:line="240" w:lineRule="auto"/>
        <w:ind w:left="-567" w:right="-518"/>
        <w:jc w:val="both"/>
        <w:rPr>
          <w:rFonts w:eastAsia="Arial" w:cs="Arial"/>
          <w:spacing w:val="-2"/>
          <w:szCs w:val="24"/>
        </w:rPr>
      </w:pPr>
      <w:r w:rsidRPr="00557C6D">
        <w:rPr>
          <w:rFonts w:eastAsia="Arial" w:cs="Arial"/>
          <w:spacing w:val="-2"/>
          <w:szCs w:val="24"/>
        </w:rPr>
        <w:t>En el SCN</w:t>
      </w:r>
      <w:r w:rsidR="001E318E">
        <w:rPr>
          <w:rFonts w:eastAsia="Arial" w:cs="Arial"/>
          <w:spacing w:val="-2"/>
          <w:szCs w:val="24"/>
        </w:rPr>
        <w:t>,</w:t>
      </w:r>
      <w:r w:rsidRPr="00557C6D">
        <w:rPr>
          <w:rFonts w:eastAsia="Arial" w:cs="Arial"/>
          <w:spacing w:val="-2"/>
          <w:szCs w:val="24"/>
        </w:rPr>
        <w:t xml:space="preserve"> los </w:t>
      </w:r>
      <w:r w:rsidRPr="00D9450A">
        <w:rPr>
          <w:rFonts w:eastAsia="Arial" w:cs="Arial"/>
          <w:i/>
          <w:iCs/>
          <w:spacing w:val="-2"/>
          <w:szCs w:val="24"/>
        </w:rPr>
        <w:t>stocks</w:t>
      </w:r>
      <w:r w:rsidRPr="00557C6D">
        <w:rPr>
          <w:rFonts w:eastAsia="Arial" w:cs="Arial"/>
          <w:spacing w:val="-2"/>
          <w:szCs w:val="24"/>
        </w:rPr>
        <w:t xml:space="preserve"> se registran en las cuentas denominadas </w:t>
      </w:r>
      <w:r w:rsidR="006B7B49">
        <w:rPr>
          <w:rFonts w:eastAsia="Arial" w:cs="Arial"/>
          <w:spacing w:val="-2"/>
          <w:szCs w:val="24"/>
        </w:rPr>
        <w:t>«</w:t>
      </w:r>
      <w:r w:rsidR="006B7B49" w:rsidRPr="00557C6D">
        <w:rPr>
          <w:rFonts w:eastAsia="Arial" w:cs="Arial"/>
          <w:spacing w:val="-2"/>
          <w:szCs w:val="24"/>
        </w:rPr>
        <w:t>balances</w:t>
      </w:r>
      <w:r w:rsidR="006B7B49">
        <w:rPr>
          <w:rFonts w:eastAsia="Arial" w:cs="Arial"/>
          <w:spacing w:val="-2"/>
          <w:szCs w:val="24"/>
        </w:rPr>
        <w:t>»</w:t>
      </w:r>
      <w:r w:rsidR="001E318E">
        <w:rPr>
          <w:rFonts w:eastAsia="Arial" w:cs="Arial"/>
          <w:spacing w:val="-2"/>
          <w:szCs w:val="24"/>
        </w:rPr>
        <w:t>. E</w:t>
      </w:r>
      <w:r w:rsidRPr="00557C6D">
        <w:rPr>
          <w:rFonts w:eastAsia="Arial" w:cs="Arial"/>
          <w:spacing w:val="-2"/>
          <w:szCs w:val="24"/>
        </w:rPr>
        <w:t>stas se elaboran con referencia al comienzo y al final del</w:t>
      </w:r>
      <w:r w:rsidR="001E318E">
        <w:rPr>
          <w:rFonts w:eastAsia="Arial" w:cs="Arial"/>
          <w:spacing w:val="-2"/>
          <w:szCs w:val="24"/>
        </w:rPr>
        <w:t xml:space="preserve"> </w:t>
      </w:r>
      <w:r w:rsidRPr="00557C6D">
        <w:rPr>
          <w:rFonts w:eastAsia="Arial" w:cs="Arial"/>
          <w:spacing w:val="-2"/>
          <w:szCs w:val="24"/>
        </w:rPr>
        <w:t>per</w:t>
      </w:r>
      <w:r w:rsidR="001E318E">
        <w:rPr>
          <w:rFonts w:eastAsia="Arial" w:cs="Arial"/>
          <w:spacing w:val="-2"/>
          <w:szCs w:val="24"/>
        </w:rPr>
        <w:t>i</w:t>
      </w:r>
      <w:r w:rsidRPr="00557C6D">
        <w:rPr>
          <w:rFonts w:eastAsia="Arial" w:cs="Arial"/>
          <w:spacing w:val="-2"/>
          <w:szCs w:val="24"/>
        </w:rPr>
        <w:t xml:space="preserve">odo contable. Los </w:t>
      </w:r>
      <w:r w:rsidRPr="00D9450A">
        <w:rPr>
          <w:rFonts w:eastAsia="Arial" w:cs="Arial"/>
          <w:i/>
          <w:iCs/>
          <w:spacing w:val="-2"/>
          <w:szCs w:val="24"/>
        </w:rPr>
        <w:t>stocks</w:t>
      </w:r>
      <w:r w:rsidRPr="00557C6D">
        <w:rPr>
          <w:rFonts w:eastAsia="Arial" w:cs="Arial"/>
          <w:spacing w:val="-2"/>
          <w:szCs w:val="24"/>
        </w:rPr>
        <w:t xml:space="preserve"> relacionados con los flujos </w:t>
      </w:r>
      <w:r w:rsidR="00DD45FB">
        <w:rPr>
          <w:rFonts w:eastAsia="Arial" w:cs="Arial"/>
          <w:spacing w:val="-2"/>
          <w:szCs w:val="24"/>
        </w:rPr>
        <w:t xml:space="preserve">resultan </w:t>
      </w:r>
      <w:r w:rsidRPr="00557C6D">
        <w:rPr>
          <w:rFonts w:eastAsia="Arial" w:cs="Arial"/>
          <w:spacing w:val="-2"/>
          <w:szCs w:val="24"/>
        </w:rPr>
        <w:t>de la acumulación de transacciones y otros flujos anteriores y se modifican por transacciones y otros flujos durante el</w:t>
      </w:r>
      <w:r w:rsidR="001E318E">
        <w:rPr>
          <w:rFonts w:eastAsia="Arial" w:cs="Arial"/>
          <w:spacing w:val="-2"/>
          <w:szCs w:val="24"/>
        </w:rPr>
        <w:t xml:space="preserve"> </w:t>
      </w:r>
      <w:r w:rsidRPr="00557C6D">
        <w:rPr>
          <w:rFonts w:eastAsia="Arial" w:cs="Arial"/>
          <w:spacing w:val="-2"/>
          <w:szCs w:val="24"/>
        </w:rPr>
        <w:t>per</w:t>
      </w:r>
      <w:r w:rsidR="001E318E">
        <w:rPr>
          <w:rFonts w:eastAsia="Arial" w:cs="Arial"/>
          <w:spacing w:val="-2"/>
          <w:szCs w:val="24"/>
        </w:rPr>
        <w:t>i</w:t>
      </w:r>
      <w:r w:rsidRPr="00557C6D">
        <w:rPr>
          <w:rFonts w:eastAsia="Arial" w:cs="Arial"/>
          <w:spacing w:val="-2"/>
          <w:szCs w:val="24"/>
        </w:rPr>
        <w:t xml:space="preserve">odo. </w:t>
      </w:r>
      <w:r w:rsidR="00DD45FB" w:rsidRPr="00557C6D">
        <w:rPr>
          <w:rFonts w:eastAsia="Arial" w:cs="Arial"/>
          <w:spacing w:val="-2"/>
          <w:szCs w:val="24"/>
        </w:rPr>
        <w:t xml:space="preserve">Los </w:t>
      </w:r>
      <w:r w:rsidR="00DD45FB" w:rsidRPr="00D9450A">
        <w:rPr>
          <w:rFonts w:eastAsia="Arial" w:cs="Arial"/>
          <w:i/>
          <w:iCs/>
          <w:spacing w:val="-2"/>
          <w:szCs w:val="24"/>
        </w:rPr>
        <w:t>stocks</w:t>
      </w:r>
      <w:r w:rsidR="00DD45FB" w:rsidRPr="00557C6D">
        <w:rPr>
          <w:rFonts w:eastAsia="Arial" w:cs="Arial"/>
          <w:spacing w:val="-2"/>
          <w:szCs w:val="24"/>
        </w:rPr>
        <w:t xml:space="preserve"> son el resultado de un proceso continuo de entradas y salidas, con algunas variaciones de volumen o de valor producidas durante el tiempo de tenencia de un activo o pasivo dado.</w:t>
      </w:r>
    </w:p>
    <w:p w14:paraId="0EE68DAD" w14:textId="06C7493E" w:rsidR="00EF2553" w:rsidRDefault="00EF2553" w:rsidP="00F71AD7">
      <w:pPr>
        <w:spacing w:after="0" w:line="240" w:lineRule="auto"/>
        <w:ind w:left="-567" w:right="-518"/>
        <w:jc w:val="both"/>
        <w:rPr>
          <w:rFonts w:eastAsia="Arial" w:cs="Arial"/>
          <w:spacing w:val="-2"/>
          <w:szCs w:val="24"/>
        </w:rPr>
      </w:pPr>
    </w:p>
    <w:p w14:paraId="1E55392C" w14:textId="4F106371" w:rsidR="00EF2553" w:rsidRDefault="00EF2553" w:rsidP="00DD45FB">
      <w:pPr>
        <w:spacing w:after="0" w:line="240" w:lineRule="auto"/>
        <w:ind w:left="-567" w:right="-518"/>
        <w:jc w:val="both"/>
        <w:rPr>
          <w:rFonts w:eastAsia="Arial" w:cs="Arial"/>
          <w:spacing w:val="-2"/>
          <w:szCs w:val="24"/>
        </w:rPr>
      </w:pPr>
      <w:r w:rsidRPr="00557C6D">
        <w:rPr>
          <w:rFonts w:eastAsia="Arial" w:cs="Arial"/>
          <w:spacing w:val="-2"/>
          <w:szCs w:val="24"/>
        </w:rPr>
        <w:t xml:space="preserve">Los </w:t>
      </w:r>
      <w:r w:rsidRPr="00D9450A">
        <w:rPr>
          <w:rFonts w:eastAsia="Arial" w:cs="Arial"/>
          <w:i/>
          <w:iCs/>
          <w:spacing w:val="-2"/>
          <w:szCs w:val="24"/>
        </w:rPr>
        <w:t>stocks</w:t>
      </w:r>
      <w:r w:rsidRPr="00557C6D">
        <w:rPr>
          <w:rFonts w:eastAsia="Arial" w:cs="Arial"/>
          <w:spacing w:val="-2"/>
          <w:szCs w:val="24"/>
        </w:rPr>
        <w:t xml:space="preserve"> se refieren al nivel total de activos o pasivos de una economía en un momento dado (</w:t>
      </w:r>
      <w:r w:rsidR="001E318E">
        <w:rPr>
          <w:rFonts w:eastAsia="Arial" w:cs="Arial"/>
          <w:spacing w:val="-2"/>
          <w:szCs w:val="24"/>
        </w:rPr>
        <w:t>e</w:t>
      </w:r>
      <w:r w:rsidRPr="00557C6D">
        <w:rPr>
          <w:rFonts w:eastAsia="Arial" w:cs="Arial"/>
          <w:spacing w:val="-2"/>
          <w:szCs w:val="24"/>
        </w:rPr>
        <w:t xml:space="preserve">n la metodología de la </w:t>
      </w:r>
      <w:r>
        <w:rPr>
          <w:rFonts w:eastAsia="Arial" w:cs="Arial"/>
          <w:spacing w:val="-2"/>
          <w:szCs w:val="24"/>
        </w:rPr>
        <w:t>B</w:t>
      </w:r>
      <w:r w:rsidRPr="00557C6D">
        <w:rPr>
          <w:rFonts w:eastAsia="Arial" w:cs="Arial"/>
          <w:spacing w:val="-2"/>
          <w:szCs w:val="24"/>
        </w:rPr>
        <w:t xml:space="preserve">alanza de pagos, los niveles de los </w:t>
      </w:r>
      <w:r w:rsidRPr="00D9450A">
        <w:rPr>
          <w:rFonts w:eastAsia="Arial" w:cs="Arial"/>
          <w:i/>
          <w:iCs/>
          <w:spacing w:val="-2"/>
          <w:szCs w:val="24"/>
        </w:rPr>
        <w:t>stocks</w:t>
      </w:r>
      <w:r w:rsidRPr="00557C6D">
        <w:rPr>
          <w:rFonts w:eastAsia="Arial" w:cs="Arial"/>
          <w:spacing w:val="-2"/>
          <w:szCs w:val="24"/>
        </w:rPr>
        <w:t xml:space="preserve"> suelen denominarse </w:t>
      </w:r>
      <w:r w:rsidR="006F02C4">
        <w:rPr>
          <w:rFonts w:eastAsia="Arial" w:cs="Arial"/>
          <w:spacing w:val="-2"/>
          <w:szCs w:val="24"/>
        </w:rPr>
        <w:t>«</w:t>
      </w:r>
      <w:r w:rsidR="006F02C4" w:rsidRPr="00557C6D">
        <w:rPr>
          <w:rFonts w:eastAsia="Arial" w:cs="Arial"/>
          <w:spacing w:val="-2"/>
          <w:szCs w:val="24"/>
        </w:rPr>
        <w:t>posiciones</w:t>
      </w:r>
      <w:r w:rsidR="006F02C4">
        <w:rPr>
          <w:rFonts w:eastAsia="Arial" w:cs="Arial"/>
          <w:spacing w:val="-2"/>
          <w:szCs w:val="24"/>
        </w:rPr>
        <w:t>»</w:t>
      </w:r>
      <w:r w:rsidRPr="00557C6D">
        <w:rPr>
          <w:rFonts w:eastAsia="Arial" w:cs="Arial"/>
          <w:spacing w:val="-2"/>
          <w:szCs w:val="24"/>
        </w:rPr>
        <w:t xml:space="preserve">). Para poder estudiar los </w:t>
      </w:r>
      <w:r w:rsidRPr="00D9450A">
        <w:rPr>
          <w:rFonts w:eastAsia="Arial" w:cs="Arial"/>
          <w:i/>
          <w:iCs/>
          <w:spacing w:val="-2"/>
          <w:szCs w:val="24"/>
        </w:rPr>
        <w:t>stocks</w:t>
      </w:r>
      <w:r w:rsidR="00DD45FB">
        <w:rPr>
          <w:rFonts w:eastAsia="Arial" w:cs="Arial"/>
          <w:spacing w:val="-2"/>
          <w:szCs w:val="24"/>
        </w:rPr>
        <w:t>,</w:t>
      </w:r>
      <w:r w:rsidRPr="00557C6D">
        <w:rPr>
          <w:rFonts w:eastAsia="Arial" w:cs="Arial"/>
          <w:spacing w:val="-2"/>
          <w:szCs w:val="24"/>
        </w:rPr>
        <w:t xml:space="preserve"> es necesario definir los activos y pasivos que dependen</w:t>
      </w:r>
      <w:r w:rsidR="00DD45FB">
        <w:rPr>
          <w:rFonts w:eastAsia="Arial" w:cs="Arial"/>
          <w:spacing w:val="-2"/>
          <w:szCs w:val="24"/>
        </w:rPr>
        <w:t>,</w:t>
      </w:r>
      <w:r w:rsidRPr="00557C6D">
        <w:rPr>
          <w:rFonts w:eastAsia="Arial" w:cs="Arial"/>
          <w:spacing w:val="-2"/>
          <w:szCs w:val="24"/>
        </w:rPr>
        <w:t xml:space="preserve"> fundamentalmente</w:t>
      </w:r>
      <w:r w:rsidR="00DD45FB">
        <w:rPr>
          <w:rFonts w:eastAsia="Arial" w:cs="Arial"/>
          <w:spacing w:val="-2"/>
          <w:szCs w:val="24"/>
        </w:rPr>
        <w:t>,</w:t>
      </w:r>
      <w:r w:rsidRPr="00557C6D">
        <w:rPr>
          <w:rFonts w:eastAsia="Arial" w:cs="Arial"/>
          <w:spacing w:val="-2"/>
          <w:szCs w:val="24"/>
        </w:rPr>
        <w:t xml:space="preserve"> de los conceptos de beneficios y de propiedad.</w:t>
      </w:r>
    </w:p>
    <w:p w14:paraId="467F1D75" w14:textId="77777777" w:rsidR="00EF2553" w:rsidRPr="00557C6D" w:rsidRDefault="00EF2553" w:rsidP="00F71AD7">
      <w:pPr>
        <w:spacing w:after="0" w:line="240" w:lineRule="auto"/>
        <w:ind w:left="-567" w:right="-518"/>
        <w:jc w:val="both"/>
        <w:rPr>
          <w:rFonts w:eastAsia="Arial" w:cs="Arial"/>
          <w:spacing w:val="-2"/>
          <w:szCs w:val="24"/>
        </w:rPr>
      </w:pPr>
    </w:p>
    <w:p w14:paraId="1599EE7E" w14:textId="45A826CC" w:rsidR="00EF2553" w:rsidRDefault="00EF2553" w:rsidP="00F71AD7">
      <w:pPr>
        <w:spacing w:after="0" w:line="240" w:lineRule="auto"/>
        <w:ind w:left="-567" w:right="-518"/>
        <w:jc w:val="both"/>
        <w:rPr>
          <w:rFonts w:eastAsia="Arial" w:cs="Arial"/>
          <w:spacing w:val="-2"/>
          <w:szCs w:val="24"/>
        </w:rPr>
      </w:pPr>
      <w:r w:rsidRPr="00557C6D">
        <w:rPr>
          <w:rFonts w:eastAsia="Arial" w:cs="Arial"/>
          <w:spacing w:val="-2"/>
          <w:szCs w:val="24"/>
        </w:rPr>
        <w:t>Se pueden distinguir dos tipos de activos</w:t>
      </w:r>
      <w:r w:rsidR="001E318E">
        <w:rPr>
          <w:rFonts w:eastAsia="Arial" w:cs="Arial"/>
          <w:spacing w:val="-2"/>
          <w:szCs w:val="24"/>
        </w:rPr>
        <w:t xml:space="preserve">: </w:t>
      </w:r>
      <w:r w:rsidRPr="00557C6D">
        <w:rPr>
          <w:rFonts w:eastAsia="Arial" w:cs="Arial"/>
          <w:spacing w:val="-2"/>
          <w:szCs w:val="24"/>
        </w:rPr>
        <w:t>los financieros y los no financieros. Los activos financieros son todos los derechos financieros, acciones u otras participaciones de capital en sociedades más el oro en lingotes en poder de las autoridades monetarias como activo de reserva. Los activos no financieros pueden ser producidos y no producidos</w:t>
      </w:r>
      <w:r w:rsidR="001E318E">
        <w:rPr>
          <w:rFonts w:eastAsia="Arial" w:cs="Arial"/>
          <w:spacing w:val="-2"/>
          <w:szCs w:val="24"/>
        </w:rPr>
        <w:t>. L</w:t>
      </w:r>
      <w:r w:rsidRPr="00557C6D">
        <w:rPr>
          <w:rFonts w:eastAsia="Arial" w:cs="Arial"/>
          <w:spacing w:val="-2"/>
          <w:szCs w:val="24"/>
        </w:rPr>
        <w:t>os producidos aparecen vía el proceso de producción o de importación y se pueden diferenciar en activos fijos, existencias y objetos valiosos. Los activos no producidos comprenden tres categorías, tales como recursos naturales</w:t>
      </w:r>
      <w:r w:rsidR="00DD45FB">
        <w:rPr>
          <w:rFonts w:eastAsia="Arial" w:cs="Arial"/>
          <w:spacing w:val="-2"/>
          <w:szCs w:val="24"/>
        </w:rPr>
        <w:t>,</w:t>
      </w:r>
      <w:r w:rsidRPr="00557C6D">
        <w:rPr>
          <w:rFonts w:eastAsia="Arial" w:cs="Arial"/>
          <w:spacing w:val="-2"/>
          <w:szCs w:val="24"/>
        </w:rPr>
        <w:t xml:space="preserve"> contratos, arrendamientos y licencias</w:t>
      </w:r>
      <w:r w:rsidR="006F02C4">
        <w:rPr>
          <w:rFonts w:eastAsia="Arial" w:cs="Arial"/>
          <w:spacing w:val="-2"/>
          <w:szCs w:val="24"/>
        </w:rPr>
        <w:t>,</w:t>
      </w:r>
      <w:r w:rsidRPr="00557C6D">
        <w:rPr>
          <w:rFonts w:eastAsia="Arial" w:cs="Arial"/>
          <w:spacing w:val="-2"/>
          <w:szCs w:val="24"/>
        </w:rPr>
        <w:t xml:space="preserve"> fondos de comercio y activos de comercialización.</w:t>
      </w:r>
    </w:p>
    <w:p w14:paraId="4D5F1B35" w14:textId="77777777" w:rsidR="00EF2553" w:rsidRPr="00557C6D" w:rsidRDefault="00EF2553" w:rsidP="00F71AD7">
      <w:pPr>
        <w:spacing w:after="0" w:line="240" w:lineRule="auto"/>
        <w:ind w:left="-567" w:right="-518"/>
        <w:jc w:val="both"/>
        <w:rPr>
          <w:rFonts w:eastAsia="Arial" w:cs="Arial"/>
          <w:spacing w:val="-2"/>
          <w:szCs w:val="24"/>
        </w:rPr>
      </w:pPr>
    </w:p>
    <w:p w14:paraId="54A3AC60" w14:textId="3A9382C3" w:rsidR="00EF2553" w:rsidRDefault="00EF2553" w:rsidP="00F71AD7">
      <w:pPr>
        <w:spacing w:after="0" w:line="240" w:lineRule="auto"/>
        <w:ind w:left="-567" w:right="-518"/>
        <w:jc w:val="both"/>
        <w:rPr>
          <w:rFonts w:eastAsia="Arial" w:cs="Arial"/>
          <w:spacing w:val="-2"/>
          <w:szCs w:val="24"/>
        </w:rPr>
      </w:pPr>
      <w:r w:rsidRPr="00557C6D">
        <w:rPr>
          <w:rFonts w:eastAsia="Arial" w:cs="Arial"/>
          <w:spacing w:val="-2"/>
          <w:szCs w:val="24"/>
        </w:rPr>
        <w:t>Un balance es un estado contable</w:t>
      </w:r>
      <w:r w:rsidR="00DD45FB">
        <w:rPr>
          <w:rFonts w:eastAsia="Arial" w:cs="Arial"/>
          <w:spacing w:val="-2"/>
          <w:szCs w:val="24"/>
        </w:rPr>
        <w:t xml:space="preserve">. Se elabora </w:t>
      </w:r>
      <w:r w:rsidRPr="00557C6D">
        <w:rPr>
          <w:rFonts w:eastAsia="Arial" w:cs="Arial"/>
          <w:spacing w:val="-2"/>
          <w:szCs w:val="24"/>
        </w:rPr>
        <w:t>en un momento concreto en el tiempo</w:t>
      </w:r>
      <w:r w:rsidR="00DD45FB">
        <w:rPr>
          <w:rFonts w:eastAsia="Arial" w:cs="Arial"/>
          <w:spacing w:val="-2"/>
          <w:szCs w:val="24"/>
        </w:rPr>
        <w:t xml:space="preserve"> y considera l</w:t>
      </w:r>
      <w:r w:rsidRPr="00557C6D">
        <w:rPr>
          <w:rFonts w:eastAsia="Arial" w:cs="Arial"/>
          <w:spacing w:val="-2"/>
          <w:szCs w:val="24"/>
        </w:rPr>
        <w:t xml:space="preserve">os valores de activos que se poseen y los pasivos adeudados por una unidad o sector institucional. El balance completa la secuencia de cuentas y muestra el resultado final de los asientos registrados en las cuentas de producción, distribución y utilización del ingreso y acumulación. El saldo contable del balance es el </w:t>
      </w:r>
      <w:r w:rsidR="001E318E">
        <w:rPr>
          <w:rFonts w:eastAsia="Arial" w:cs="Arial"/>
          <w:spacing w:val="-2"/>
          <w:szCs w:val="24"/>
        </w:rPr>
        <w:t>v</w:t>
      </w:r>
      <w:r w:rsidRPr="00557C6D">
        <w:rPr>
          <w:rFonts w:eastAsia="Arial" w:cs="Arial"/>
          <w:spacing w:val="-2"/>
          <w:szCs w:val="24"/>
        </w:rPr>
        <w:t>alor neto.</w:t>
      </w:r>
    </w:p>
    <w:p w14:paraId="2618BCD6" w14:textId="77777777" w:rsidR="00EF2553" w:rsidRPr="00557C6D" w:rsidRDefault="00EF2553" w:rsidP="00F71AD7">
      <w:pPr>
        <w:spacing w:after="0" w:line="240" w:lineRule="auto"/>
        <w:ind w:left="-567" w:right="-518"/>
        <w:jc w:val="both"/>
        <w:rPr>
          <w:rFonts w:eastAsia="Arial" w:cs="Arial"/>
          <w:spacing w:val="-2"/>
          <w:szCs w:val="24"/>
        </w:rPr>
      </w:pPr>
    </w:p>
    <w:p w14:paraId="0B453AAF" w14:textId="77777777" w:rsidR="009C4E45" w:rsidRDefault="00EF2553" w:rsidP="00F56EC5">
      <w:pPr>
        <w:spacing w:after="0" w:line="240" w:lineRule="auto"/>
        <w:ind w:left="-567" w:right="-518"/>
        <w:jc w:val="both"/>
        <w:rPr>
          <w:rFonts w:eastAsia="Arial" w:cs="Arial"/>
          <w:spacing w:val="-2"/>
          <w:szCs w:val="24"/>
        </w:rPr>
      </w:pPr>
      <w:r w:rsidRPr="00557C6D">
        <w:rPr>
          <w:rFonts w:eastAsia="Arial" w:cs="Arial"/>
          <w:spacing w:val="-2"/>
          <w:szCs w:val="24"/>
        </w:rPr>
        <w:t xml:space="preserve">El </w:t>
      </w:r>
      <w:r>
        <w:rPr>
          <w:rFonts w:eastAsia="Arial" w:cs="Arial"/>
          <w:spacing w:val="-2"/>
          <w:szCs w:val="24"/>
        </w:rPr>
        <w:t>v</w:t>
      </w:r>
      <w:r w:rsidRPr="00557C6D">
        <w:rPr>
          <w:rFonts w:eastAsia="Arial" w:cs="Arial"/>
          <w:spacing w:val="-2"/>
          <w:szCs w:val="24"/>
        </w:rPr>
        <w:t xml:space="preserve">alor neto se define como el valor de todos los activos que posee una unidad o sector institucional menos el valor de todos sus pasivos pendientes. Como saldo contable, el </w:t>
      </w:r>
      <w:r>
        <w:rPr>
          <w:rFonts w:eastAsia="Arial" w:cs="Arial"/>
          <w:spacing w:val="-2"/>
          <w:szCs w:val="24"/>
        </w:rPr>
        <w:t>v</w:t>
      </w:r>
      <w:r w:rsidRPr="00557C6D">
        <w:rPr>
          <w:rFonts w:eastAsia="Arial" w:cs="Arial"/>
          <w:spacing w:val="-2"/>
          <w:szCs w:val="24"/>
        </w:rPr>
        <w:t>alor neto se calcula para las unidades y sectores institucionales y para la economía total.</w:t>
      </w:r>
      <w:r w:rsidR="00F56EC5" w:rsidRPr="00F56EC5">
        <w:rPr>
          <w:rFonts w:eastAsia="Arial" w:cs="Arial"/>
          <w:spacing w:val="-2"/>
          <w:szCs w:val="24"/>
        </w:rPr>
        <w:t xml:space="preserve"> </w:t>
      </w:r>
    </w:p>
    <w:p w14:paraId="78823EEE" w14:textId="77777777" w:rsidR="009C4E45" w:rsidRDefault="009C4E45" w:rsidP="00F56EC5">
      <w:pPr>
        <w:spacing w:after="0" w:line="240" w:lineRule="auto"/>
        <w:ind w:left="-567" w:right="-518"/>
        <w:jc w:val="both"/>
        <w:rPr>
          <w:rFonts w:eastAsia="Arial" w:cs="Arial"/>
          <w:spacing w:val="-2"/>
          <w:szCs w:val="24"/>
        </w:rPr>
      </w:pPr>
    </w:p>
    <w:p w14:paraId="3A725A07" w14:textId="77777777" w:rsidR="009C4E45" w:rsidRDefault="009C4E45" w:rsidP="00F56EC5">
      <w:pPr>
        <w:spacing w:after="0" w:line="240" w:lineRule="auto"/>
        <w:ind w:left="-567" w:right="-518"/>
        <w:jc w:val="both"/>
        <w:rPr>
          <w:rFonts w:eastAsia="Arial" w:cs="Arial"/>
          <w:spacing w:val="-2"/>
          <w:szCs w:val="24"/>
        </w:rPr>
      </w:pPr>
    </w:p>
    <w:p w14:paraId="143D02B7" w14:textId="37B51EFB" w:rsidR="00F56EC5" w:rsidRDefault="00F56EC5" w:rsidP="00F56EC5">
      <w:pPr>
        <w:spacing w:after="0" w:line="240" w:lineRule="auto"/>
        <w:ind w:left="-567" w:right="-518"/>
        <w:jc w:val="both"/>
        <w:rPr>
          <w:rFonts w:eastAsia="Arial" w:cs="Arial"/>
          <w:spacing w:val="-2"/>
          <w:szCs w:val="24"/>
        </w:rPr>
      </w:pPr>
      <w:r w:rsidRPr="00557C6D">
        <w:rPr>
          <w:rFonts w:eastAsia="Arial" w:cs="Arial"/>
          <w:spacing w:val="-2"/>
          <w:szCs w:val="24"/>
        </w:rPr>
        <w:lastRenderedPageBreak/>
        <w:t xml:space="preserve">La existencia de un conjunto de balances integrados con las cuentas de flujos permite a </w:t>
      </w:r>
      <w:r w:rsidR="006F02C4">
        <w:rPr>
          <w:rFonts w:eastAsia="Arial" w:cs="Arial"/>
          <w:spacing w:val="-2"/>
          <w:szCs w:val="24"/>
        </w:rPr>
        <w:t xml:space="preserve">las y </w:t>
      </w:r>
      <w:r w:rsidRPr="00557C6D">
        <w:rPr>
          <w:rFonts w:eastAsia="Arial" w:cs="Arial"/>
          <w:spacing w:val="-2"/>
          <w:szCs w:val="24"/>
        </w:rPr>
        <w:t>los analistas formarse una visión más amplia respecto al seguimiento y evaluación de las condiciones y los comportamientos económicos y financieros.</w:t>
      </w:r>
    </w:p>
    <w:p w14:paraId="1E112F0B" w14:textId="039DE87F" w:rsidR="00EF2553" w:rsidRDefault="00EF2553" w:rsidP="00F71AD7">
      <w:pPr>
        <w:spacing w:after="0" w:line="240" w:lineRule="auto"/>
        <w:ind w:left="-567" w:right="-518"/>
        <w:jc w:val="both"/>
        <w:rPr>
          <w:rFonts w:eastAsia="Arial" w:cs="Arial"/>
          <w:spacing w:val="-2"/>
          <w:szCs w:val="24"/>
        </w:rPr>
      </w:pPr>
    </w:p>
    <w:p w14:paraId="5B3FBA6D" w14:textId="1C868093" w:rsidR="00EF2553" w:rsidRDefault="00EF2553" w:rsidP="00F56EC5">
      <w:pPr>
        <w:spacing w:after="0" w:line="240" w:lineRule="auto"/>
        <w:ind w:left="-567" w:right="-518"/>
        <w:jc w:val="both"/>
        <w:rPr>
          <w:rFonts w:eastAsia="Arial" w:cs="Arial"/>
          <w:spacing w:val="-2"/>
          <w:szCs w:val="24"/>
        </w:rPr>
      </w:pPr>
      <w:r w:rsidRPr="00557C6D">
        <w:rPr>
          <w:rFonts w:eastAsia="Arial" w:cs="Arial"/>
          <w:spacing w:val="-2"/>
          <w:szCs w:val="24"/>
        </w:rPr>
        <w:t xml:space="preserve">Un aspecto </w:t>
      </w:r>
      <w:r w:rsidR="00F56EC5">
        <w:rPr>
          <w:rFonts w:eastAsia="Arial" w:cs="Arial"/>
          <w:spacing w:val="-2"/>
          <w:szCs w:val="24"/>
        </w:rPr>
        <w:t xml:space="preserve">relevante </w:t>
      </w:r>
      <w:r w:rsidRPr="00557C6D">
        <w:rPr>
          <w:rFonts w:eastAsia="Arial" w:cs="Arial"/>
          <w:spacing w:val="-2"/>
          <w:szCs w:val="24"/>
        </w:rPr>
        <w:t xml:space="preserve">en la compilación de balances es la elaboración de las cuentas de otras variaciones en el volumen. Estas cuentas son de seis tipos y un conjunto de tres más que </w:t>
      </w:r>
      <w:r w:rsidR="00F56EC5">
        <w:rPr>
          <w:rFonts w:eastAsia="Arial" w:cs="Arial"/>
          <w:spacing w:val="-2"/>
          <w:szCs w:val="24"/>
        </w:rPr>
        <w:t xml:space="preserve">muestran </w:t>
      </w:r>
      <w:r w:rsidRPr="00557C6D">
        <w:rPr>
          <w:rFonts w:eastAsia="Arial" w:cs="Arial"/>
          <w:spacing w:val="-2"/>
          <w:szCs w:val="24"/>
        </w:rPr>
        <w:t xml:space="preserve">las revalorizaciones. Su función principal es permitir que ciertos activos entren y salgan del </w:t>
      </w:r>
      <w:r w:rsidR="0073623E">
        <w:rPr>
          <w:rFonts w:eastAsia="Arial" w:cs="Arial"/>
          <w:spacing w:val="-2"/>
          <w:szCs w:val="24"/>
        </w:rPr>
        <w:t>SCN</w:t>
      </w:r>
      <w:r w:rsidRPr="00557C6D">
        <w:rPr>
          <w:rFonts w:eastAsia="Arial" w:cs="Arial"/>
          <w:spacing w:val="-2"/>
          <w:szCs w:val="24"/>
        </w:rPr>
        <w:t xml:space="preserve"> por vías diferentes a las transacciones, registrar los efectos de acontecimientos excepcionales e imprevistos que afectan los beneficios económicos que pueden obtenerse de los activos (y los pasivos correspondientes)</w:t>
      </w:r>
      <w:r w:rsidR="00F56EC5">
        <w:rPr>
          <w:rFonts w:eastAsia="Arial" w:cs="Arial"/>
          <w:spacing w:val="-2"/>
          <w:szCs w:val="24"/>
        </w:rPr>
        <w:t xml:space="preserve"> y registrar </w:t>
      </w:r>
      <w:r w:rsidRPr="00557C6D">
        <w:rPr>
          <w:rFonts w:eastAsia="Arial" w:cs="Arial"/>
          <w:spacing w:val="-2"/>
          <w:szCs w:val="24"/>
        </w:rPr>
        <w:t xml:space="preserve">los cambios en la clasificación de las unidades económicas, de los activos y </w:t>
      </w:r>
      <w:r w:rsidR="00F56EC5">
        <w:rPr>
          <w:rFonts w:eastAsia="Arial" w:cs="Arial"/>
          <w:spacing w:val="-2"/>
          <w:szCs w:val="24"/>
        </w:rPr>
        <w:t>de</w:t>
      </w:r>
      <w:r w:rsidRPr="00557C6D">
        <w:rPr>
          <w:rFonts w:eastAsia="Arial" w:cs="Arial"/>
          <w:spacing w:val="-2"/>
          <w:szCs w:val="24"/>
        </w:rPr>
        <w:t xml:space="preserve"> la estructura de las unidades institucionales.</w:t>
      </w:r>
    </w:p>
    <w:p w14:paraId="325EF8E0" w14:textId="77777777" w:rsidR="0073623E" w:rsidRPr="00557C6D" w:rsidRDefault="0073623E" w:rsidP="00F71AD7">
      <w:pPr>
        <w:spacing w:after="0" w:line="240" w:lineRule="auto"/>
        <w:ind w:left="-567" w:right="-518"/>
        <w:jc w:val="both"/>
        <w:rPr>
          <w:rFonts w:eastAsia="Arial" w:cs="Arial"/>
          <w:spacing w:val="-2"/>
          <w:szCs w:val="24"/>
        </w:rPr>
      </w:pPr>
    </w:p>
    <w:p w14:paraId="36DFCA5B" w14:textId="7EF9B6B9" w:rsidR="00EF2553" w:rsidRDefault="00EF2553" w:rsidP="00F71AD7">
      <w:pPr>
        <w:pStyle w:val="Textodebloque1"/>
        <w:spacing w:before="0"/>
        <w:ind w:left="-567" w:right="-518" w:firstLine="0"/>
        <w:rPr>
          <w:rFonts w:eastAsia="Arial" w:cs="Arial"/>
          <w:b w:val="0"/>
          <w:spacing w:val="-2"/>
          <w:szCs w:val="24"/>
          <w:lang w:val="es-MX" w:eastAsia="en-US"/>
        </w:rPr>
      </w:pPr>
      <w:r w:rsidRPr="00557C6D">
        <w:rPr>
          <w:rFonts w:eastAsia="Arial" w:cs="Arial"/>
          <w:b w:val="0"/>
          <w:spacing w:val="-2"/>
          <w:szCs w:val="24"/>
          <w:lang w:val="es-MX" w:eastAsia="en-US"/>
        </w:rPr>
        <w:t>Esta información se ofrec</w:t>
      </w:r>
      <w:r w:rsidR="0073623E">
        <w:rPr>
          <w:rFonts w:eastAsia="Arial" w:cs="Arial"/>
          <w:b w:val="0"/>
          <w:spacing w:val="-2"/>
          <w:szCs w:val="24"/>
          <w:lang w:val="es-MX" w:eastAsia="en-US"/>
        </w:rPr>
        <w:t>e</w:t>
      </w:r>
      <w:r w:rsidRPr="00557C6D">
        <w:rPr>
          <w:rFonts w:eastAsia="Arial" w:cs="Arial"/>
          <w:b w:val="0"/>
          <w:spacing w:val="-2"/>
          <w:szCs w:val="24"/>
          <w:lang w:val="es-MX" w:eastAsia="en-US"/>
        </w:rPr>
        <w:t xml:space="preserve"> mediante menús interactivos con los que se pueden realizar las descargas de información</w:t>
      </w:r>
      <w:r w:rsidR="0073623E">
        <w:rPr>
          <w:rFonts w:eastAsia="Arial" w:cs="Arial"/>
          <w:b w:val="0"/>
          <w:spacing w:val="-2"/>
          <w:szCs w:val="24"/>
          <w:lang w:val="es-MX" w:eastAsia="en-US"/>
        </w:rPr>
        <w:t>. Con ello se</w:t>
      </w:r>
      <w:r w:rsidRPr="00557C6D">
        <w:rPr>
          <w:rFonts w:eastAsia="Arial" w:cs="Arial"/>
          <w:b w:val="0"/>
          <w:spacing w:val="-2"/>
          <w:szCs w:val="24"/>
          <w:lang w:val="es-MX" w:eastAsia="en-US"/>
        </w:rPr>
        <w:t xml:space="preserve"> busca</w:t>
      </w:r>
      <w:r w:rsidR="0073623E">
        <w:rPr>
          <w:rFonts w:eastAsia="Arial" w:cs="Arial"/>
          <w:b w:val="0"/>
          <w:spacing w:val="-2"/>
          <w:szCs w:val="24"/>
          <w:lang w:val="es-MX" w:eastAsia="en-US"/>
        </w:rPr>
        <w:t xml:space="preserve"> </w:t>
      </w:r>
      <w:r w:rsidRPr="00557C6D">
        <w:rPr>
          <w:rFonts w:eastAsia="Arial" w:cs="Arial"/>
          <w:b w:val="0"/>
          <w:spacing w:val="-2"/>
          <w:szCs w:val="24"/>
          <w:lang w:val="es-MX" w:eastAsia="en-US"/>
        </w:rPr>
        <w:t>resolver</w:t>
      </w:r>
      <w:r w:rsidR="0073623E">
        <w:rPr>
          <w:rFonts w:eastAsia="Arial" w:cs="Arial"/>
          <w:b w:val="0"/>
          <w:spacing w:val="-2"/>
          <w:szCs w:val="24"/>
          <w:lang w:val="es-MX" w:eastAsia="en-US"/>
        </w:rPr>
        <w:t>,</w:t>
      </w:r>
      <w:r w:rsidRPr="00557C6D">
        <w:rPr>
          <w:rFonts w:eastAsia="Arial" w:cs="Arial"/>
          <w:b w:val="0"/>
          <w:spacing w:val="-2"/>
          <w:szCs w:val="24"/>
          <w:lang w:val="es-MX" w:eastAsia="en-US"/>
        </w:rPr>
        <w:t xml:space="preserve"> con posibilidades más dinámicas</w:t>
      </w:r>
      <w:r w:rsidR="009F74B7">
        <w:rPr>
          <w:rFonts w:eastAsia="Arial" w:cs="Arial"/>
          <w:b w:val="0"/>
          <w:spacing w:val="-2"/>
          <w:szCs w:val="24"/>
          <w:lang w:val="es-MX" w:eastAsia="en-US"/>
        </w:rPr>
        <w:t>,</w:t>
      </w:r>
      <w:r w:rsidRPr="00557C6D">
        <w:rPr>
          <w:rFonts w:eastAsia="Arial" w:cs="Arial"/>
          <w:b w:val="0"/>
          <w:spacing w:val="-2"/>
          <w:szCs w:val="24"/>
          <w:lang w:val="es-MX" w:eastAsia="en-US"/>
        </w:rPr>
        <w:t xml:space="preserve"> las distintas necesidades de uso de esta información.</w:t>
      </w:r>
    </w:p>
    <w:p w14:paraId="4262C7F8" w14:textId="77777777" w:rsidR="00EF2553" w:rsidRPr="00557C6D" w:rsidRDefault="00EF2553" w:rsidP="00F71AD7">
      <w:pPr>
        <w:pStyle w:val="Textodebloque1"/>
        <w:spacing w:before="0"/>
        <w:ind w:left="-567" w:right="-518" w:firstLine="0"/>
        <w:rPr>
          <w:rFonts w:eastAsia="Arial" w:cs="Arial"/>
          <w:b w:val="0"/>
          <w:spacing w:val="-2"/>
          <w:szCs w:val="24"/>
          <w:lang w:val="es-MX" w:eastAsia="en-US"/>
        </w:rPr>
      </w:pPr>
    </w:p>
    <w:p w14:paraId="629E56CC" w14:textId="5C21E799" w:rsidR="00EF2553" w:rsidRDefault="00EF2553" w:rsidP="00F71AD7">
      <w:pPr>
        <w:pStyle w:val="Textodebloque1"/>
        <w:spacing w:before="0"/>
        <w:ind w:left="-567" w:right="-518" w:firstLine="0"/>
        <w:rPr>
          <w:rFonts w:eastAsia="Arial" w:cs="Arial"/>
          <w:b w:val="0"/>
          <w:spacing w:val="-2"/>
          <w:szCs w:val="24"/>
          <w:lang w:val="es-MX" w:eastAsia="en-US"/>
        </w:rPr>
      </w:pPr>
      <w:r w:rsidRPr="00557C6D">
        <w:rPr>
          <w:rFonts w:eastAsia="Arial" w:cs="Arial"/>
          <w:b w:val="0"/>
          <w:spacing w:val="-2"/>
          <w:szCs w:val="24"/>
          <w:lang w:val="es-MX" w:eastAsia="en-US"/>
        </w:rPr>
        <w:t xml:space="preserve">El conjunto de tabulados que </w:t>
      </w:r>
      <w:r>
        <w:rPr>
          <w:rFonts w:eastAsia="Arial" w:cs="Arial"/>
          <w:b w:val="0"/>
          <w:spacing w:val="-2"/>
          <w:szCs w:val="24"/>
          <w:lang w:val="es-MX" w:eastAsia="en-US"/>
        </w:rPr>
        <w:t xml:space="preserve">se </w:t>
      </w:r>
      <w:r w:rsidRPr="00557C6D">
        <w:rPr>
          <w:rFonts w:eastAsia="Arial" w:cs="Arial"/>
          <w:b w:val="0"/>
          <w:spacing w:val="-2"/>
          <w:szCs w:val="24"/>
          <w:lang w:val="es-MX" w:eastAsia="en-US"/>
        </w:rPr>
        <w:t>integran</w:t>
      </w:r>
      <w:r>
        <w:rPr>
          <w:rFonts w:eastAsia="Arial" w:cs="Arial"/>
          <w:b w:val="0"/>
          <w:spacing w:val="-2"/>
          <w:szCs w:val="24"/>
          <w:lang w:val="es-MX" w:eastAsia="en-US"/>
        </w:rPr>
        <w:t xml:space="preserve"> en</w:t>
      </w:r>
      <w:r w:rsidRPr="00557C6D">
        <w:rPr>
          <w:rFonts w:eastAsia="Arial" w:cs="Arial"/>
          <w:b w:val="0"/>
          <w:spacing w:val="-2"/>
          <w:szCs w:val="24"/>
          <w:lang w:val="es-MX" w:eastAsia="en-US"/>
        </w:rPr>
        <w:t xml:space="preserve"> este producto proporcionan datos sobre las transacciones reales y financieras que realizan los distintos sectores entre sí y con el resto del mundo. </w:t>
      </w:r>
      <w:r w:rsidR="00F56EC5">
        <w:rPr>
          <w:rFonts w:eastAsia="Arial" w:cs="Arial"/>
          <w:b w:val="0"/>
          <w:spacing w:val="-2"/>
          <w:szCs w:val="24"/>
          <w:lang w:val="es-MX" w:eastAsia="en-US"/>
        </w:rPr>
        <w:t xml:space="preserve">También se ofrecen </w:t>
      </w:r>
      <w:r w:rsidRPr="00557C6D">
        <w:rPr>
          <w:rFonts w:eastAsia="Arial" w:cs="Arial"/>
          <w:b w:val="0"/>
          <w:spacing w:val="-2"/>
          <w:szCs w:val="24"/>
          <w:lang w:val="es-MX" w:eastAsia="en-US"/>
        </w:rPr>
        <w:t xml:space="preserve">las posiciones de </w:t>
      </w:r>
      <w:r w:rsidRPr="00D9450A">
        <w:rPr>
          <w:rFonts w:eastAsia="Arial" w:cs="Arial"/>
          <w:b w:val="0"/>
          <w:i/>
          <w:iCs/>
          <w:spacing w:val="-2"/>
          <w:szCs w:val="24"/>
          <w:lang w:val="es-MX" w:eastAsia="en-US"/>
        </w:rPr>
        <w:t>stocks</w:t>
      </w:r>
      <w:r w:rsidRPr="00557C6D">
        <w:rPr>
          <w:rFonts w:eastAsia="Arial" w:cs="Arial"/>
          <w:b w:val="0"/>
          <w:spacing w:val="-2"/>
          <w:szCs w:val="24"/>
          <w:lang w:val="es-MX" w:eastAsia="en-US"/>
        </w:rPr>
        <w:t xml:space="preserve"> de activos y pasivos</w:t>
      </w:r>
      <w:r w:rsidR="006F02C4">
        <w:rPr>
          <w:rFonts w:eastAsia="Arial" w:cs="Arial"/>
          <w:b w:val="0"/>
          <w:spacing w:val="-2"/>
          <w:szCs w:val="24"/>
          <w:lang w:val="es-MX" w:eastAsia="en-US"/>
        </w:rPr>
        <w:t>; lo anterior</w:t>
      </w:r>
      <w:r w:rsidRPr="00557C6D">
        <w:rPr>
          <w:rFonts w:eastAsia="Arial" w:cs="Arial"/>
          <w:b w:val="0"/>
          <w:spacing w:val="-2"/>
          <w:szCs w:val="24"/>
          <w:lang w:val="es-MX" w:eastAsia="en-US"/>
        </w:rPr>
        <w:t xml:space="preserve"> para cerrar el marco contable propuesto con los datos sobre riqueza por sector institucional y del país.</w:t>
      </w:r>
    </w:p>
    <w:p w14:paraId="6F74CAEA" w14:textId="77777777" w:rsidR="00EF2553" w:rsidRPr="00557C6D" w:rsidRDefault="00EF2553" w:rsidP="00F71AD7">
      <w:pPr>
        <w:pStyle w:val="Textodebloque1"/>
        <w:spacing w:before="0"/>
        <w:ind w:left="-567" w:right="-518" w:firstLine="0"/>
        <w:rPr>
          <w:rFonts w:eastAsia="Arial" w:cs="Arial"/>
          <w:b w:val="0"/>
          <w:spacing w:val="-2"/>
          <w:szCs w:val="24"/>
          <w:lang w:val="es-MX" w:eastAsia="en-US"/>
        </w:rPr>
      </w:pPr>
    </w:p>
    <w:p w14:paraId="4AB2FE61" w14:textId="2F02FA70" w:rsidR="00EF2553" w:rsidRPr="000610A0" w:rsidRDefault="00EF2553" w:rsidP="00F71AD7">
      <w:pPr>
        <w:spacing w:after="0" w:line="240" w:lineRule="auto"/>
        <w:ind w:left="-567" w:right="-518"/>
        <w:jc w:val="both"/>
        <w:rPr>
          <w:rFonts w:eastAsia="Arial" w:cs="Arial"/>
          <w:sz w:val="28"/>
          <w:szCs w:val="24"/>
        </w:rPr>
      </w:pPr>
      <w:r w:rsidRPr="00557C6D">
        <w:rPr>
          <w:rFonts w:eastAsia="Arial" w:cs="Arial"/>
          <w:spacing w:val="-2"/>
          <w:szCs w:val="24"/>
        </w:rPr>
        <w:t>La información referida es s</w:t>
      </w:r>
      <w:r w:rsidR="009F74B7">
        <w:rPr>
          <w:rFonts w:eastAsia="Arial" w:cs="Arial"/>
          <w:spacing w:val="-2"/>
          <w:szCs w:val="24"/>
        </w:rPr>
        <w:t>o</w:t>
      </w:r>
      <w:r w:rsidRPr="00557C6D">
        <w:rPr>
          <w:rFonts w:eastAsia="Arial" w:cs="Arial"/>
          <w:spacing w:val="-2"/>
          <w:szCs w:val="24"/>
        </w:rPr>
        <w:t>lo una parte del acervo que proporciona este proyecto, ya que las posibilidades de análisis pueden ser múltiples</w:t>
      </w:r>
      <w:r w:rsidR="006F02C4">
        <w:rPr>
          <w:rFonts w:eastAsia="Arial" w:cs="Arial"/>
          <w:spacing w:val="-2"/>
          <w:szCs w:val="24"/>
        </w:rPr>
        <w:t>.</w:t>
      </w:r>
    </w:p>
    <w:bookmarkEnd w:id="2"/>
    <w:p w14:paraId="29F04F4F" w14:textId="77777777" w:rsidR="00EF2553" w:rsidRDefault="00EF2553" w:rsidP="000A3052">
      <w:pPr>
        <w:spacing w:after="0" w:line="240" w:lineRule="auto"/>
        <w:ind w:left="-426" w:right="-28"/>
        <w:jc w:val="both"/>
        <w:rPr>
          <w:rFonts w:eastAsia="Calibri" w:cs="Arial"/>
        </w:rPr>
      </w:pPr>
    </w:p>
    <w:sectPr w:rsidR="00EF2553" w:rsidSect="00B661D8">
      <w:headerReference w:type="default" r:id="rId24"/>
      <w:pgSz w:w="12240" w:h="15840"/>
      <w:pgMar w:top="2552" w:right="1701" w:bottom="992" w:left="1701"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7529" w16cex:dateUtc="2022-11-28T23:58:00Z"/>
  <w16cex:commentExtensible w16cex:durableId="272F7517" w16cex:dateUtc="2022-11-28T23:57:00Z"/>
  <w16cex:commentExtensible w16cex:durableId="272A1726" w16cex:dateUtc="2022-11-24T22:15:00Z"/>
  <w16cex:commentExtensible w16cex:durableId="2729D36D" w16cex:dateUtc="2022-11-24T17:26:00Z"/>
  <w16cex:commentExtensible w16cex:durableId="2729D414" w16cex:dateUtc="2022-11-24T17:29:00Z"/>
  <w16cex:commentExtensible w16cex:durableId="272F77DB" w16cex:dateUtc="2022-11-29T00:09:00Z"/>
  <w16cex:commentExtensible w16cex:durableId="2729DBC6" w16cex:dateUtc="2022-11-24T18:02:00Z"/>
  <w16cex:commentExtensible w16cex:durableId="272F7854" w16cex:dateUtc="2022-11-29T00:11:00Z"/>
  <w16cex:commentExtensible w16cex:durableId="2729E339" w16cex:dateUtc="2022-11-24T18:34:00Z"/>
  <w16cex:commentExtensible w16cex:durableId="2729E207" w16cex:dateUtc="2022-11-24T18:28:00Z"/>
  <w16cex:commentExtensible w16cex:durableId="272A0670" w16cex:dateUtc="2022-11-24T2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61B37" w14:textId="77777777" w:rsidR="00364635" w:rsidRDefault="00364635" w:rsidP="00B661D8">
      <w:pPr>
        <w:spacing w:after="0" w:line="240" w:lineRule="auto"/>
      </w:pPr>
      <w:r>
        <w:separator/>
      </w:r>
    </w:p>
  </w:endnote>
  <w:endnote w:type="continuationSeparator" w:id="0">
    <w:p w14:paraId="5B00C21F" w14:textId="77777777" w:rsidR="00364635" w:rsidRDefault="00364635" w:rsidP="00B661D8">
      <w:pPr>
        <w:spacing w:after="0" w:line="240" w:lineRule="auto"/>
      </w:pPr>
      <w:r>
        <w:continuationSeparator/>
      </w:r>
    </w:p>
  </w:endnote>
  <w:endnote w:type="continuationNotice" w:id="1">
    <w:p w14:paraId="4A23AB99" w14:textId="77777777" w:rsidR="00364635" w:rsidRDefault="00364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749F" w14:textId="77777777" w:rsidR="000C6BA3" w:rsidRDefault="000C6BA3" w:rsidP="001B71A1">
    <w:pPr>
      <w:pStyle w:val="Piedepgina"/>
      <w:contextualSpacing/>
      <w:jc w:val="center"/>
      <w:rPr>
        <w:rFonts w:cs="Arial"/>
        <w:b/>
        <w:color w:val="002060"/>
        <w:sz w:val="18"/>
        <w:szCs w:val="18"/>
      </w:rPr>
    </w:pPr>
  </w:p>
  <w:p w14:paraId="2D9846E0" w14:textId="04278A68" w:rsidR="000C6BA3" w:rsidRPr="001F648F" w:rsidRDefault="000C6BA3" w:rsidP="001B71A1">
    <w:pPr>
      <w:pStyle w:val="Piedepgina"/>
      <w:contextualSpacing/>
      <w:jc w:val="center"/>
      <w:rPr>
        <w:rFonts w:cs="Arial"/>
        <w:color w:val="002060"/>
        <w:sz w:val="18"/>
        <w:szCs w:val="18"/>
      </w:rPr>
    </w:pPr>
    <w:r w:rsidRPr="001F648F">
      <w:rPr>
        <w:rFonts w:cs="Arial"/>
        <w:b/>
        <w:color w:val="002060"/>
        <w:sz w:val="18"/>
        <w:szCs w:val="18"/>
      </w:rPr>
      <w:t xml:space="preserve">COMUNICACIÓN </w:t>
    </w:r>
    <w:r w:rsidRPr="00F71AD7">
      <w:rPr>
        <w:rFonts w:cs="Arial"/>
        <w:b/>
        <w:color w:val="002060"/>
        <w:sz w:val="20"/>
        <w:szCs w:val="20"/>
      </w:rPr>
      <w:t>SOCIAL</w:t>
    </w:r>
  </w:p>
  <w:p w14:paraId="45E3C5F5" w14:textId="77777777" w:rsidR="000C6BA3" w:rsidRPr="001F648F" w:rsidRDefault="000C6BA3" w:rsidP="001B71A1">
    <w:pPr>
      <w:pStyle w:val="Piedepgina"/>
      <w:contextualSpacing/>
      <w:jc w:val="center"/>
      <w:rPr>
        <w:rFonts w:cs="Arial"/>
        <w:b/>
        <w:color w:val="0020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B15EA" w14:textId="77777777" w:rsidR="00364635" w:rsidRDefault="00364635" w:rsidP="00B661D8">
      <w:pPr>
        <w:spacing w:after="0" w:line="240" w:lineRule="auto"/>
      </w:pPr>
      <w:r>
        <w:separator/>
      </w:r>
    </w:p>
  </w:footnote>
  <w:footnote w:type="continuationSeparator" w:id="0">
    <w:p w14:paraId="0CB27F69" w14:textId="77777777" w:rsidR="00364635" w:rsidRDefault="00364635" w:rsidP="00B661D8">
      <w:pPr>
        <w:spacing w:after="0" w:line="240" w:lineRule="auto"/>
      </w:pPr>
      <w:r>
        <w:continuationSeparator/>
      </w:r>
    </w:p>
  </w:footnote>
  <w:footnote w:type="continuationNotice" w:id="1">
    <w:p w14:paraId="2CAAFD25" w14:textId="77777777" w:rsidR="00364635" w:rsidRDefault="00364635">
      <w:pPr>
        <w:spacing w:after="0" w:line="240" w:lineRule="auto"/>
      </w:pPr>
    </w:p>
  </w:footnote>
  <w:footnote w:id="2">
    <w:p w14:paraId="14A7F487" w14:textId="2314C6E9" w:rsidR="000C6BA3" w:rsidRPr="00B07FFD" w:rsidRDefault="000C6BA3" w:rsidP="00F71AD7">
      <w:pPr>
        <w:pStyle w:val="Textonotapie"/>
        <w:ind w:left="-284" w:right="-31" w:hanging="142"/>
        <w:jc w:val="both"/>
        <w:rPr>
          <w:rFonts w:cs="Arial"/>
        </w:rPr>
      </w:pPr>
      <w:r w:rsidRPr="000610A0">
        <w:rPr>
          <w:rStyle w:val="Refdenotaalpie"/>
          <w:rFonts w:cs="Arial"/>
        </w:rPr>
        <w:footnoteRef/>
      </w:r>
      <w:r>
        <w:rPr>
          <w:rFonts w:cs="Arial"/>
          <w:sz w:val="16"/>
          <w:szCs w:val="16"/>
        </w:rPr>
        <w:tab/>
      </w:r>
      <w:r w:rsidRPr="00576351">
        <w:rPr>
          <w:rFonts w:cs="Arial"/>
          <w:sz w:val="16"/>
          <w:szCs w:val="16"/>
        </w:rPr>
        <w:t xml:space="preserve">Los </w:t>
      </w:r>
      <w:r>
        <w:rPr>
          <w:rFonts w:cs="Arial"/>
          <w:sz w:val="16"/>
          <w:szCs w:val="16"/>
        </w:rPr>
        <w:t>s</w:t>
      </w:r>
      <w:r w:rsidRPr="00576351">
        <w:rPr>
          <w:rFonts w:cs="Arial"/>
          <w:sz w:val="16"/>
          <w:szCs w:val="16"/>
        </w:rPr>
        <w:t xml:space="preserve">ectores </w:t>
      </w:r>
      <w:r>
        <w:rPr>
          <w:rFonts w:cs="Arial"/>
          <w:sz w:val="16"/>
          <w:szCs w:val="16"/>
        </w:rPr>
        <w:t>i</w:t>
      </w:r>
      <w:r w:rsidRPr="00576351">
        <w:rPr>
          <w:rFonts w:cs="Arial"/>
          <w:sz w:val="16"/>
          <w:szCs w:val="16"/>
        </w:rPr>
        <w:t xml:space="preserve">nstitucionales se conforman por las </w:t>
      </w:r>
      <w:r>
        <w:rPr>
          <w:rFonts w:cs="Arial"/>
          <w:sz w:val="16"/>
          <w:szCs w:val="16"/>
        </w:rPr>
        <w:t>s</w:t>
      </w:r>
      <w:r w:rsidRPr="00576351">
        <w:rPr>
          <w:rFonts w:cs="Arial"/>
          <w:sz w:val="16"/>
          <w:szCs w:val="16"/>
        </w:rPr>
        <w:t xml:space="preserve">ociedades no financieras, las </w:t>
      </w:r>
      <w:r>
        <w:rPr>
          <w:rFonts w:cs="Arial"/>
          <w:sz w:val="16"/>
          <w:szCs w:val="16"/>
        </w:rPr>
        <w:t>s</w:t>
      </w:r>
      <w:r w:rsidRPr="00576351">
        <w:rPr>
          <w:rFonts w:cs="Arial"/>
          <w:sz w:val="16"/>
          <w:szCs w:val="16"/>
        </w:rPr>
        <w:t xml:space="preserve">ociedades financieras, el </w:t>
      </w:r>
      <w:r>
        <w:rPr>
          <w:rFonts w:cs="Arial"/>
          <w:sz w:val="16"/>
          <w:szCs w:val="16"/>
        </w:rPr>
        <w:t>g</w:t>
      </w:r>
      <w:r w:rsidRPr="00576351">
        <w:rPr>
          <w:rFonts w:cs="Arial"/>
          <w:sz w:val="16"/>
          <w:szCs w:val="16"/>
        </w:rPr>
        <w:t xml:space="preserve">obierno general, los </w:t>
      </w:r>
      <w:r>
        <w:rPr>
          <w:rFonts w:cs="Arial"/>
          <w:sz w:val="16"/>
          <w:szCs w:val="16"/>
        </w:rPr>
        <w:t>h</w:t>
      </w:r>
      <w:r w:rsidRPr="00576351">
        <w:rPr>
          <w:rFonts w:cs="Arial"/>
          <w:sz w:val="16"/>
          <w:szCs w:val="16"/>
        </w:rPr>
        <w:t>ogares y las</w:t>
      </w:r>
      <w:r>
        <w:rPr>
          <w:rFonts w:cs="Arial"/>
          <w:sz w:val="16"/>
          <w:szCs w:val="16"/>
        </w:rPr>
        <w:t xml:space="preserve"> i</w:t>
      </w:r>
      <w:r w:rsidRPr="00576351">
        <w:rPr>
          <w:rFonts w:cs="Arial"/>
          <w:sz w:val="16"/>
          <w:szCs w:val="16"/>
        </w:rPr>
        <w:t xml:space="preserve">nstituciones </w:t>
      </w:r>
      <w:r>
        <w:rPr>
          <w:rFonts w:cs="Arial"/>
          <w:sz w:val="16"/>
          <w:szCs w:val="16"/>
        </w:rPr>
        <w:t>s</w:t>
      </w:r>
      <w:r w:rsidRPr="00576351">
        <w:rPr>
          <w:rFonts w:cs="Arial"/>
          <w:sz w:val="16"/>
          <w:szCs w:val="16"/>
        </w:rPr>
        <w:t xml:space="preserve">in </w:t>
      </w:r>
      <w:r>
        <w:rPr>
          <w:rFonts w:cs="Arial"/>
          <w:sz w:val="16"/>
          <w:szCs w:val="16"/>
        </w:rPr>
        <w:t>f</w:t>
      </w:r>
      <w:r w:rsidRPr="00576351">
        <w:rPr>
          <w:rFonts w:cs="Arial"/>
          <w:sz w:val="16"/>
          <w:szCs w:val="16"/>
        </w:rPr>
        <w:t xml:space="preserve">ines de </w:t>
      </w:r>
      <w:r>
        <w:rPr>
          <w:rFonts w:cs="Arial"/>
          <w:sz w:val="16"/>
          <w:szCs w:val="16"/>
        </w:rPr>
        <w:t>l</w:t>
      </w:r>
      <w:r w:rsidRPr="00576351">
        <w:rPr>
          <w:rFonts w:cs="Arial"/>
          <w:sz w:val="16"/>
          <w:szCs w:val="16"/>
        </w:rPr>
        <w:t xml:space="preserve">ucro que sirven a los </w:t>
      </w:r>
      <w:r>
        <w:rPr>
          <w:rFonts w:cs="Arial"/>
          <w:sz w:val="16"/>
          <w:szCs w:val="16"/>
        </w:rPr>
        <w:t>h</w:t>
      </w:r>
      <w:r w:rsidRPr="00576351">
        <w:rPr>
          <w:rFonts w:cs="Arial"/>
          <w:sz w:val="16"/>
          <w:szCs w:val="16"/>
        </w:rPr>
        <w:t>ogares (ISFLSH)</w:t>
      </w:r>
      <w:r>
        <w:rPr>
          <w:rFonts w:cs="Arial"/>
          <w:sz w:val="16"/>
          <w:szCs w:val="16"/>
        </w:rPr>
        <w:t xml:space="preserve">. A los </w:t>
      </w:r>
      <w:r w:rsidRPr="00576351">
        <w:rPr>
          <w:rFonts w:cs="Arial"/>
          <w:sz w:val="16"/>
          <w:szCs w:val="16"/>
        </w:rPr>
        <w:t>no residentes</w:t>
      </w:r>
      <w:r>
        <w:rPr>
          <w:rFonts w:cs="Arial"/>
          <w:sz w:val="16"/>
          <w:szCs w:val="16"/>
        </w:rPr>
        <w:t xml:space="preserve"> se los considera dentro del </w:t>
      </w:r>
      <w:r w:rsidRPr="00576351">
        <w:rPr>
          <w:rFonts w:cs="Arial"/>
          <w:sz w:val="16"/>
          <w:szCs w:val="16"/>
        </w:rPr>
        <w:t xml:space="preserve">rubro </w:t>
      </w:r>
      <w:r w:rsidRPr="005363E5">
        <w:rPr>
          <w:rFonts w:cs="Arial"/>
          <w:sz w:val="16"/>
          <w:szCs w:val="16"/>
        </w:rPr>
        <w:t>«</w:t>
      </w:r>
      <w:r>
        <w:rPr>
          <w:rFonts w:cs="Arial"/>
          <w:sz w:val="16"/>
          <w:szCs w:val="16"/>
        </w:rPr>
        <w:t>r</w:t>
      </w:r>
      <w:r w:rsidRPr="00576351">
        <w:rPr>
          <w:rFonts w:cs="Arial"/>
          <w:sz w:val="16"/>
          <w:szCs w:val="16"/>
        </w:rPr>
        <w:t xml:space="preserve">esto del </w:t>
      </w:r>
      <w:r>
        <w:rPr>
          <w:rFonts w:cs="Arial"/>
          <w:sz w:val="16"/>
          <w:szCs w:val="16"/>
        </w:rPr>
        <w:t>m</w:t>
      </w:r>
      <w:r w:rsidRPr="00576351">
        <w:rPr>
          <w:rFonts w:cs="Arial"/>
          <w:sz w:val="16"/>
          <w:szCs w:val="16"/>
        </w:rPr>
        <w:t>undo</w:t>
      </w:r>
      <w:r w:rsidRPr="00F71AD7">
        <w:rPr>
          <w:rFonts w:cs="Arial"/>
          <w:sz w:val="16"/>
          <w:szCs w:val="16"/>
        </w:rPr>
        <w:t>».</w:t>
      </w:r>
    </w:p>
  </w:footnote>
  <w:footnote w:id="3">
    <w:p w14:paraId="1F61B130" w14:textId="66F94FE3" w:rsidR="000C6BA3" w:rsidRPr="00F71AD7" w:rsidRDefault="000C6BA3" w:rsidP="00F71AD7">
      <w:pPr>
        <w:pStyle w:val="Textonotapie"/>
        <w:ind w:left="-284" w:right="-31" w:hanging="142"/>
        <w:jc w:val="both"/>
        <w:rPr>
          <w:rFonts w:cs="Arial"/>
          <w:sz w:val="16"/>
          <w:szCs w:val="16"/>
        </w:rPr>
      </w:pPr>
      <w:r>
        <w:rPr>
          <w:rStyle w:val="Refdenotaalpie"/>
        </w:rPr>
        <w:footnoteRef/>
      </w:r>
      <w:r>
        <w:t xml:space="preserve"> </w:t>
      </w:r>
      <w:r w:rsidRPr="00FD1D2F">
        <w:rPr>
          <w:rFonts w:cs="Arial"/>
          <w:sz w:val="16"/>
          <w:szCs w:val="16"/>
        </w:rPr>
        <w:t>El Ingreso Disponible Bruto (IDB) es el valor de los ingresos percibidos efectivamente por los distintos sectores institucionales</w:t>
      </w:r>
      <w:r>
        <w:rPr>
          <w:rFonts w:cs="Arial"/>
          <w:sz w:val="16"/>
          <w:szCs w:val="16"/>
        </w:rPr>
        <w:t>.</w:t>
      </w:r>
    </w:p>
  </w:footnote>
  <w:footnote w:id="4">
    <w:p w14:paraId="2A47EFA6" w14:textId="458AFF75" w:rsidR="000C6BA3" w:rsidRPr="00F71AD7" w:rsidRDefault="000C6BA3" w:rsidP="00F71AD7">
      <w:pPr>
        <w:pStyle w:val="Textonotapie"/>
        <w:ind w:left="-284" w:right="-31" w:hanging="142"/>
        <w:jc w:val="both"/>
        <w:rPr>
          <w:sz w:val="16"/>
          <w:szCs w:val="16"/>
        </w:rPr>
      </w:pPr>
      <w:r w:rsidRPr="00F71AD7">
        <w:rPr>
          <w:rStyle w:val="Refdenotaalpie"/>
          <w:sz w:val="16"/>
          <w:szCs w:val="16"/>
        </w:rPr>
        <w:footnoteRef/>
      </w:r>
      <w:r w:rsidRPr="00F71AD7">
        <w:rPr>
          <w:sz w:val="16"/>
          <w:szCs w:val="16"/>
        </w:rPr>
        <w:t xml:space="preserve"> La </w:t>
      </w:r>
      <w:r>
        <w:rPr>
          <w:sz w:val="16"/>
          <w:szCs w:val="16"/>
        </w:rPr>
        <w:t>F</w:t>
      </w:r>
      <w:r w:rsidRPr="00F71AD7">
        <w:rPr>
          <w:sz w:val="16"/>
          <w:szCs w:val="16"/>
        </w:rPr>
        <w:t xml:space="preserve">ormación </w:t>
      </w:r>
      <w:r>
        <w:rPr>
          <w:sz w:val="16"/>
          <w:szCs w:val="16"/>
        </w:rPr>
        <w:t>B</w:t>
      </w:r>
      <w:r w:rsidRPr="00F71AD7">
        <w:rPr>
          <w:sz w:val="16"/>
          <w:szCs w:val="16"/>
        </w:rPr>
        <w:t xml:space="preserve">ruta de </w:t>
      </w:r>
      <w:r>
        <w:rPr>
          <w:sz w:val="16"/>
          <w:szCs w:val="16"/>
        </w:rPr>
        <w:t>C</w:t>
      </w:r>
      <w:r w:rsidRPr="00F71AD7">
        <w:rPr>
          <w:sz w:val="16"/>
          <w:szCs w:val="16"/>
        </w:rPr>
        <w:t xml:space="preserve">apital </w:t>
      </w:r>
      <w:r>
        <w:rPr>
          <w:sz w:val="16"/>
          <w:szCs w:val="16"/>
        </w:rPr>
        <w:t>F</w:t>
      </w:r>
      <w:r w:rsidRPr="00F71AD7">
        <w:rPr>
          <w:sz w:val="16"/>
          <w:szCs w:val="16"/>
        </w:rPr>
        <w:t>ijo se mide por el valor total de las adquisiciones menos las disposiciones de activos fijos</w:t>
      </w:r>
      <w:r>
        <w:rPr>
          <w:sz w:val="16"/>
          <w:szCs w:val="16"/>
        </w:rPr>
        <w:t>. A esta ecuación se le suma e</w:t>
      </w:r>
      <w:r w:rsidRPr="00F71AD7">
        <w:rPr>
          <w:sz w:val="16"/>
          <w:szCs w:val="16"/>
        </w:rPr>
        <w:t>l valor de los activos no producidos.</w:t>
      </w:r>
    </w:p>
  </w:footnote>
  <w:footnote w:id="5">
    <w:p w14:paraId="75C8DC49" w14:textId="20947B1E" w:rsidR="000C6BA3" w:rsidRDefault="000C6BA3" w:rsidP="000C6BA3">
      <w:pPr>
        <w:pStyle w:val="Textonotapie"/>
        <w:ind w:left="-426"/>
        <w:jc w:val="both"/>
      </w:pPr>
      <w:r>
        <w:rPr>
          <w:rStyle w:val="Refdenotaalpie"/>
        </w:rPr>
        <w:footnoteRef/>
      </w:r>
      <w:r>
        <w:t xml:space="preserve"> </w:t>
      </w:r>
      <w:r w:rsidRPr="002F6EE1">
        <w:rPr>
          <w:sz w:val="16"/>
          <w:szCs w:val="16"/>
        </w:rPr>
        <w:t xml:space="preserve">Es el conjunto de saldos de ingresos y gastos corrientes de los diferentes sectores institucionales residentes. Se obtiene </w:t>
      </w:r>
      <w:r>
        <w:rPr>
          <w:sz w:val="16"/>
          <w:szCs w:val="16"/>
        </w:rPr>
        <w:t xml:space="preserve">al </w:t>
      </w:r>
      <w:r w:rsidRPr="002F6EE1">
        <w:rPr>
          <w:sz w:val="16"/>
          <w:szCs w:val="16"/>
        </w:rPr>
        <w:t>resta</w:t>
      </w:r>
      <w:r>
        <w:rPr>
          <w:sz w:val="16"/>
          <w:szCs w:val="16"/>
        </w:rPr>
        <w:t>r</w:t>
      </w:r>
      <w:r w:rsidRPr="002F6EE1">
        <w:rPr>
          <w:sz w:val="16"/>
          <w:szCs w:val="16"/>
        </w:rPr>
        <w:t xml:space="preserve"> el consumo final efectivo del ingreso disponible ajustado.</w:t>
      </w:r>
    </w:p>
  </w:footnote>
  <w:footnote w:id="6">
    <w:p w14:paraId="5299DC07" w14:textId="164B7CF1" w:rsidR="000C6BA3" w:rsidRPr="00B95009" w:rsidRDefault="000C6BA3" w:rsidP="00F71AD7">
      <w:pPr>
        <w:pStyle w:val="Textonotapie"/>
        <w:ind w:hanging="567"/>
        <w:rPr>
          <w:sz w:val="16"/>
          <w:szCs w:val="16"/>
        </w:rPr>
      </w:pPr>
      <w:r>
        <w:rPr>
          <w:rStyle w:val="Refdenotaalpie"/>
        </w:rPr>
        <w:footnoteRef/>
      </w:r>
      <w:r>
        <w:t xml:space="preserve"> </w:t>
      </w:r>
      <w:r>
        <w:rPr>
          <w:sz w:val="16"/>
          <w:szCs w:val="16"/>
        </w:rPr>
        <w:t>L</w:t>
      </w:r>
      <w:r w:rsidRPr="00B95009">
        <w:rPr>
          <w:sz w:val="16"/>
          <w:szCs w:val="16"/>
        </w:rPr>
        <w:t xml:space="preserve">os impuestos a los productos netos de subsidios </w:t>
      </w:r>
      <w:r>
        <w:rPr>
          <w:sz w:val="16"/>
          <w:szCs w:val="16"/>
        </w:rPr>
        <w:t xml:space="preserve">aportaron el restante </w:t>
      </w:r>
      <w:r w:rsidRPr="00B95009">
        <w:rPr>
          <w:sz w:val="16"/>
          <w:szCs w:val="16"/>
        </w:rPr>
        <w:t>6.1</w:t>
      </w:r>
      <w:r>
        <w:rPr>
          <w:sz w:val="16"/>
          <w:szCs w:val="16"/>
        </w:rPr>
        <w:t xml:space="preserve"> por ciento.</w:t>
      </w:r>
    </w:p>
  </w:footnote>
  <w:footnote w:id="7">
    <w:p w14:paraId="7773D78C" w14:textId="3A7F84D0" w:rsidR="000C6BA3" w:rsidRPr="00F71AD7" w:rsidRDefault="000C6BA3" w:rsidP="00F71AD7">
      <w:pPr>
        <w:pStyle w:val="Textonotapie"/>
        <w:ind w:left="-426" w:hanging="141"/>
        <w:jc w:val="both"/>
        <w:rPr>
          <w:sz w:val="16"/>
          <w:szCs w:val="16"/>
        </w:rPr>
      </w:pPr>
      <w:r w:rsidRPr="00F71AD7">
        <w:rPr>
          <w:rStyle w:val="Refdenotaalpie"/>
          <w:sz w:val="16"/>
          <w:szCs w:val="16"/>
        </w:rPr>
        <w:footnoteRef/>
      </w:r>
      <w:r w:rsidRPr="00F71AD7">
        <w:rPr>
          <w:sz w:val="16"/>
          <w:szCs w:val="16"/>
        </w:rPr>
        <w:t xml:space="preserve"> </w:t>
      </w:r>
      <w:r w:rsidRPr="00586CB9">
        <w:rPr>
          <w:rFonts w:cs="Arial"/>
          <w:sz w:val="16"/>
          <w:szCs w:val="16"/>
        </w:rPr>
        <w:t xml:space="preserve">El Ingreso Nacional Disponible Bruto está conformado por la remuneración que perciben los sectores institucionales por el excedente de operación (ganancias empresariales asociadas </w:t>
      </w:r>
      <w:r w:rsidRPr="000C6BA3">
        <w:rPr>
          <w:rFonts w:cs="Arial"/>
          <w:sz w:val="16"/>
          <w:szCs w:val="16"/>
        </w:rPr>
        <w:t>a su actividad), el ingreso mixto de los hogares, las rentas de la propiedad, la renta de la tierra, los impuestos sobre la producción y las importaciones, netos de subsidios que cobra el gobierno y las denominadas «</w:t>
      </w:r>
      <w:r w:rsidRPr="00586CB9">
        <w:rPr>
          <w:rFonts w:cs="Arial"/>
          <w:sz w:val="16"/>
          <w:szCs w:val="16"/>
        </w:rPr>
        <w:t>otras transferencias corrientes netas que se reciben</w:t>
      </w:r>
      <w:r w:rsidRPr="000C6BA3">
        <w:rPr>
          <w:rFonts w:cs="Arial"/>
          <w:sz w:val="16"/>
          <w:szCs w:val="16"/>
        </w:rPr>
        <w:t xml:space="preserve"> del exterior»</w:t>
      </w:r>
      <w:r w:rsidRPr="00586CB9">
        <w:rPr>
          <w:rFonts w:cs="Arial"/>
          <w:sz w:val="16"/>
          <w:szCs w:val="16"/>
        </w:rPr>
        <w:t>.</w:t>
      </w:r>
      <w:r w:rsidRPr="00586CB9">
        <w:rPr>
          <w:rFonts w:cs="Arial"/>
        </w:rPr>
        <w:t xml:space="preserve"> </w:t>
      </w:r>
    </w:p>
  </w:footnote>
  <w:footnote w:id="8">
    <w:p w14:paraId="7C02243E" w14:textId="534FE922" w:rsidR="000C6BA3" w:rsidRPr="00C83731" w:rsidRDefault="000C6BA3" w:rsidP="00C30CB5">
      <w:pPr>
        <w:pStyle w:val="Textonotapie"/>
        <w:ind w:hanging="426"/>
        <w:rPr>
          <w:sz w:val="16"/>
          <w:szCs w:val="16"/>
        </w:rPr>
      </w:pPr>
      <w:r w:rsidRPr="00C83731">
        <w:rPr>
          <w:rStyle w:val="Refdenotaalpie"/>
          <w:sz w:val="16"/>
          <w:szCs w:val="16"/>
        </w:rPr>
        <w:footnoteRef/>
      </w:r>
      <w:r w:rsidRPr="00C83731">
        <w:rPr>
          <w:sz w:val="16"/>
          <w:szCs w:val="16"/>
        </w:rPr>
        <w:t xml:space="preserve"> </w:t>
      </w:r>
      <w:r>
        <w:rPr>
          <w:sz w:val="16"/>
          <w:szCs w:val="16"/>
        </w:rPr>
        <w:t>La economía interna tu</w:t>
      </w:r>
      <w:r w:rsidRPr="00C83731">
        <w:rPr>
          <w:sz w:val="16"/>
          <w:szCs w:val="16"/>
        </w:rPr>
        <w:t xml:space="preserve">vo un </w:t>
      </w:r>
      <w:r>
        <w:rPr>
          <w:sz w:val="16"/>
          <w:szCs w:val="16"/>
        </w:rPr>
        <w:t xml:space="preserve">endeudamiento neto del </w:t>
      </w:r>
      <w:r w:rsidRPr="00C83731">
        <w:rPr>
          <w:sz w:val="16"/>
          <w:szCs w:val="16"/>
        </w:rPr>
        <w:t xml:space="preserve">0.4 </w:t>
      </w:r>
      <w:r>
        <w:rPr>
          <w:sz w:val="16"/>
          <w:szCs w:val="16"/>
        </w:rPr>
        <w:t xml:space="preserve">% que se cubrió </w:t>
      </w:r>
      <w:r w:rsidRPr="00C83731">
        <w:rPr>
          <w:sz w:val="16"/>
          <w:szCs w:val="16"/>
        </w:rPr>
        <w:t>por el préstamo neto de</w:t>
      </w:r>
      <w:r>
        <w:rPr>
          <w:sz w:val="16"/>
          <w:szCs w:val="16"/>
        </w:rPr>
        <w:t>l resto del mundo.</w:t>
      </w:r>
    </w:p>
  </w:footnote>
  <w:footnote w:id="9">
    <w:p w14:paraId="30545B1A" w14:textId="2E726529" w:rsidR="000C6BA3" w:rsidRPr="00D9450A" w:rsidRDefault="000C6BA3" w:rsidP="00F71AD7">
      <w:pPr>
        <w:pStyle w:val="Textonotapie"/>
        <w:ind w:left="-284" w:hanging="142"/>
        <w:jc w:val="both"/>
        <w:rPr>
          <w:sz w:val="16"/>
          <w:szCs w:val="16"/>
        </w:rPr>
      </w:pPr>
      <w:r w:rsidRPr="00D9450A">
        <w:rPr>
          <w:rStyle w:val="Refdenotaalpie"/>
          <w:rFonts w:cs="Arial"/>
          <w:sz w:val="16"/>
          <w:szCs w:val="16"/>
        </w:rPr>
        <w:footnoteRef/>
      </w:r>
      <w:r w:rsidRPr="00D9450A">
        <w:rPr>
          <w:rFonts w:cs="Arial"/>
          <w:sz w:val="16"/>
          <w:szCs w:val="16"/>
        </w:rPr>
        <w:t xml:space="preserve"> </w:t>
      </w:r>
      <w:r w:rsidRPr="00EC129A">
        <w:rPr>
          <w:rFonts w:cs="Arial"/>
          <w:sz w:val="16"/>
          <w:szCs w:val="16"/>
        </w:rPr>
        <w:t>Valor neto: Valor de todas las posesiones o activos que cada sector institucional tiene a lo largo del año. Incluye los activos no financieros producidos (inmuebles, maquinaria, equipo, existencias, etc.), activos no financieros no producidos (terrenos, recursos naturales</w:t>
      </w:r>
      <w:r>
        <w:rPr>
          <w:rFonts w:cs="Arial"/>
          <w:sz w:val="16"/>
          <w:szCs w:val="16"/>
        </w:rPr>
        <w:t xml:space="preserve"> —árboles, </w:t>
      </w:r>
      <w:r w:rsidRPr="00EC129A">
        <w:rPr>
          <w:rFonts w:cs="Arial"/>
          <w:sz w:val="16"/>
          <w:szCs w:val="16"/>
        </w:rPr>
        <w:t>minas, petróleo, etc.—, contratos, arrendamientos y licencias, fondos y activos comerciales) y los activos financieros (títulos de deuda y opciones accionarias de empleados, el oro monetario y los derechos especiales de giro (DEG), acciones y participaciones en fondos de inversión, los seguros y sistemas de pensiones).</w:t>
      </w:r>
    </w:p>
  </w:footnote>
  <w:footnote w:id="10">
    <w:p w14:paraId="33316FC3" w14:textId="6CB7DC0E" w:rsidR="000C6BA3" w:rsidRPr="00EC129A" w:rsidRDefault="000C6BA3" w:rsidP="00F71AD7">
      <w:pPr>
        <w:pStyle w:val="Textonotapie"/>
        <w:ind w:left="-284" w:hanging="142"/>
        <w:jc w:val="both"/>
        <w:rPr>
          <w:sz w:val="16"/>
          <w:szCs w:val="16"/>
        </w:rPr>
      </w:pPr>
      <w:r w:rsidRPr="00EC129A">
        <w:rPr>
          <w:rStyle w:val="Refdenotaalpie"/>
          <w:sz w:val="16"/>
          <w:szCs w:val="16"/>
        </w:rPr>
        <w:footnoteRef/>
      </w:r>
      <w:r w:rsidRPr="00EC129A">
        <w:rPr>
          <w:sz w:val="16"/>
          <w:szCs w:val="16"/>
        </w:rPr>
        <w:t xml:space="preserve"> </w:t>
      </w:r>
      <w:r w:rsidRPr="00EC129A">
        <w:rPr>
          <w:rFonts w:eastAsia="Arial" w:cs="Arial"/>
          <w:sz w:val="16"/>
          <w:szCs w:val="16"/>
        </w:rPr>
        <w:t>A lo largo del año se adquieren activos (financieros y no financieros) y también se emiten pasivos (deudas). Estos registros constituyen transacciones que, adicionadas al balance de apertura, definen el valor neto de las posesiones que cada uno de los sectores tiene al final del año.</w:t>
      </w:r>
    </w:p>
  </w:footnote>
  <w:footnote w:id="11">
    <w:p w14:paraId="7E157245" w14:textId="6CE71460" w:rsidR="000C6BA3" w:rsidRPr="00FD1D2F" w:rsidRDefault="000C6BA3" w:rsidP="0051299C">
      <w:pPr>
        <w:pStyle w:val="Textonotapie"/>
        <w:ind w:left="-426" w:right="-518" w:hanging="141"/>
        <w:jc w:val="both"/>
        <w:rPr>
          <w:rFonts w:cs="Arial"/>
          <w:sz w:val="16"/>
          <w:szCs w:val="16"/>
        </w:rPr>
      </w:pPr>
      <w:r w:rsidRPr="00FD1D2F">
        <w:rPr>
          <w:rStyle w:val="Refdenotaalpie"/>
          <w:rFonts w:cs="Arial"/>
          <w:sz w:val="16"/>
          <w:szCs w:val="16"/>
        </w:rPr>
        <w:footnoteRef/>
      </w:r>
      <w:r w:rsidRPr="00FD1D2F">
        <w:rPr>
          <w:rFonts w:cs="Arial"/>
          <w:sz w:val="16"/>
          <w:szCs w:val="16"/>
        </w:rPr>
        <w:t xml:space="preserve"> El Producto Interno Bruto (PIB) a precios de mercado es el valor final de los bienes y servicios producidos durante un año para su venta en el mercado. </w:t>
      </w:r>
      <w:r>
        <w:rPr>
          <w:rFonts w:cs="Arial"/>
          <w:sz w:val="16"/>
          <w:szCs w:val="16"/>
        </w:rPr>
        <w:t>E</w:t>
      </w:r>
      <w:r w:rsidRPr="00FD1D2F">
        <w:rPr>
          <w:rFonts w:cs="Arial"/>
          <w:sz w:val="16"/>
          <w:szCs w:val="16"/>
        </w:rPr>
        <w:t>ste se compone</w:t>
      </w:r>
      <w:r>
        <w:rPr>
          <w:rFonts w:cs="Arial"/>
          <w:sz w:val="16"/>
          <w:szCs w:val="16"/>
        </w:rPr>
        <w:t xml:space="preserve">, </w:t>
      </w:r>
      <w:r w:rsidRPr="00FD1D2F">
        <w:rPr>
          <w:rFonts w:cs="Arial"/>
          <w:sz w:val="16"/>
          <w:szCs w:val="16"/>
        </w:rPr>
        <w:t>por el lado de los ingresos (pago a los factores de producción)</w:t>
      </w:r>
      <w:r>
        <w:rPr>
          <w:rFonts w:cs="Arial"/>
          <w:sz w:val="16"/>
          <w:szCs w:val="16"/>
        </w:rPr>
        <w:t>,</w:t>
      </w:r>
      <w:r w:rsidRPr="00FD1D2F">
        <w:rPr>
          <w:rFonts w:cs="Arial"/>
          <w:sz w:val="16"/>
          <w:szCs w:val="16"/>
        </w:rPr>
        <w:t xml:space="preserve"> de las remuneraciones, el excedente bruto de operación, el ingreso mixto de los hogares y los impuestos a los productos netos de subsidios.</w:t>
      </w:r>
    </w:p>
  </w:footnote>
  <w:footnote w:id="12">
    <w:p w14:paraId="3D7E2008" w14:textId="08A67A1D" w:rsidR="000C6BA3" w:rsidRDefault="000C6BA3" w:rsidP="00F71AD7">
      <w:pPr>
        <w:pStyle w:val="Textonotapie"/>
        <w:ind w:left="-426" w:right="-518" w:hanging="141"/>
        <w:jc w:val="both"/>
      </w:pPr>
      <w:r w:rsidRPr="00FD1D2F">
        <w:rPr>
          <w:rStyle w:val="Refdenotaalpie"/>
          <w:rFonts w:cs="Arial"/>
          <w:sz w:val="16"/>
          <w:szCs w:val="16"/>
        </w:rPr>
        <w:footnoteRef/>
      </w:r>
      <w:r w:rsidRPr="00FD1D2F">
        <w:rPr>
          <w:sz w:val="16"/>
          <w:szCs w:val="16"/>
        </w:rPr>
        <w:t xml:space="preserve"> </w:t>
      </w:r>
      <w:r w:rsidRPr="00FD1D2F">
        <w:rPr>
          <w:rFonts w:cs="Arial"/>
          <w:sz w:val="16"/>
          <w:szCs w:val="16"/>
        </w:rPr>
        <w:t>El Ingreso Disponible Bruto es el valor de los ingresos percibidos efectivamente por los distintos sectores institucionales</w:t>
      </w:r>
      <w:r>
        <w:rPr>
          <w:rFonts w:cs="Arial"/>
          <w:sz w:val="16"/>
          <w:szCs w:val="16"/>
        </w:rPr>
        <w:t xml:space="preserve"> (agentes). Los sectores institucionales perciben ingresos por su participación en el proceso productivo, por las transacciones entre los sectores, así como por las transferencias netas corrientes con el exterior.</w:t>
      </w:r>
    </w:p>
  </w:footnote>
  <w:footnote w:id="13">
    <w:p w14:paraId="4FD5B118" w14:textId="0992F067" w:rsidR="000C6BA3" w:rsidRPr="001F7598" w:rsidRDefault="000C6BA3" w:rsidP="00F71AD7">
      <w:pPr>
        <w:pStyle w:val="Textonotapie"/>
        <w:ind w:left="-426" w:right="-518" w:hanging="141"/>
        <w:jc w:val="both"/>
        <w:rPr>
          <w:rFonts w:cs="Arial"/>
          <w:sz w:val="16"/>
          <w:szCs w:val="16"/>
        </w:rPr>
      </w:pPr>
      <w:r w:rsidRPr="001F7598">
        <w:rPr>
          <w:rStyle w:val="Refdenotaalpie"/>
          <w:rFonts w:cs="Arial"/>
          <w:sz w:val="16"/>
          <w:szCs w:val="16"/>
        </w:rPr>
        <w:footnoteRef/>
      </w:r>
      <w:r w:rsidRPr="001F7598">
        <w:rPr>
          <w:rFonts w:cs="Arial"/>
          <w:sz w:val="16"/>
          <w:szCs w:val="16"/>
        </w:rPr>
        <w:t xml:space="preserve"> </w:t>
      </w:r>
      <w:r>
        <w:rPr>
          <w:rFonts w:cs="Arial"/>
          <w:sz w:val="16"/>
          <w:szCs w:val="16"/>
        </w:rPr>
        <w:t xml:space="preserve">El año </w:t>
      </w:r>
      <w:r w:rsidRPr="001F7598">
        <w:rPr>
          <w:rFonts w:cs="Arial"/>
          <w:sz w:val="16"/>
          <w:szCs w:val="16"/>
        </w:rPr>
        <w:t>2021</w:t>
      </w:r>
      <w:r>
        <w:rPr>
          <w:rFonts w:cs="Arial"/>
          <w:sz w:val="16"/>
          <w:szCs w:val="16"/>
        </w:rPr>
        <w:t xml:space="preserve"> es el </w:t>
      </w:r>
      <w:r w:rsidRPr="001F7598">
        <w:rPr>
          <w:rFonts w:cs="Arial"/>
          <w:sz w:val="16"/>
          <w:szCs w:val="16"/>
        </w:rPr>
        <w:t xml:space="preserve">último en la implementación de la segunda fase de la Iniciativa sobre vacíos en los datos (DGI-2) y el duodécimo desde que los ministros de </w:t>
      </w:r>
      <w:r>
        <w:rPr>
          <w:rFonts w:cs="Arial"/>
          <w:sz w:val="16"/>
          <w:szCs w:val="16"/>
        </w:rPr>
        <w:t>f</w:t>
      </w:r>
      <w:r w:rsidRPr="001F7598">
        <w:rPr>
          <w:rFonts w:cs="Arial"/>
          <w:sz w:val="16"/>
          <w:szCs w:val="16"/>
        </w:rPr>
        <w:t>inanzas y los gobernadores de los bancos centrales del G-20 aprobaron las</w:t>
      </w:r>
      <w:r>
        <w:rPr>
          <w:rFonts w:cs="Arial"/>
          <w:sz w:val="16"/>
          <w:szCs w:val="16"/>
        </w:rPr>
        <w:t xml:space="preserve"> 20</w:t>
      </w:r>
      <w:r w:rsidRPr="001F7598">
        <w:rPr>
          <w:rFonts w:cs="Arial"/>
          <w:sz w:val="16"/>
          <w:szCs w:val="16"/>
        </w:rPr>
        <w:t xml:space="preserve"> recomendaciones formuladas por el personal del </w:t>
      </w:r>
      <w:r>
        <w:rPr>
          <w:rFonts w:cs="Arial"/>
          <w:sz w:val="16"/>
          <w:szCs w:val="16"/>
        </w:rPr>
        <w:t>Fondo Monetario Internacional (</w:t>
      </w:r>
      <w:r w:rsidRPr="001F7598">
        <w:rPr>
          <w:rFonts w:cs="Arial"/>
          <w:sz w:val="16"/>
          <w:szCs w:val="16"/>
        </w:rPr>
        <w:t>FMI</w:t>
      </w:r>
      <w:r>
        <w:rPr>
          <w:rFonts w:cs="Arial"/>
          <w:sz w:val="16"/>
          <w:szCs w:val="16"/>
        </w:rPr>
        <w:t>)</w:t>
      </w:r>
      <w:r w:rsidRPr="001F7598">
        <w:rPr>
          <w:rFonts w:cs="Arial"/>
          <w:sz w:val="16"/>
          <w:szCs w:val="16"/>
        </w:rPr>
        <w:t xml:space="preserve"> y la Secretaría del </w:t>
      </w:r>
      <w:r>
        <w:rPr>
          <w:rFonts w:cs="Arial"/>
          <w:sz w:val="16"/>
          <w:szCs w:val="16"/>
        </w:rPr>
        <w:t>Consejo de Estabilidad Financiera (</w:t>
      </w:r>
      <w:r w:rsidRPr="001F7598">
        <w:rPr>
          <w:rFonts w:cs="Arial"/>
          <w:sz w:val="16"/>
          <w:szCs w:val="16"/>
        </w:rPr>
        <w:t>FSB</w:t>
      </w:r>
      <w:r>
        <w:rPr>
          <w:rFonts w:cs="Arial"/>
          <w:sz w:val="16"/>
          <w:szCs w:val="16"/>
        </w:rPr>
        <w:t xml:space="preserve"> por sus siglas en inglés)</w:t>
      </w:r>
      <w:r w:rsidRPr="001F7598">
        <w:rPr>
          <w:rFonts w:cs="Arial"/>
          <w:sz w:val="16"/>
          <w:szCs w:val="16"/>
        </w:rPr>
        <w:t xml:space="preserve"> para abordar las deficiencias en los datos identificadas durante la crisis financiera mundial de 2007-2008.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74B5" w14:textId="6A41BEB4" w:rsidR="000C6BA3" w:rsidRPr="005C2ACA" w:rsidRDefault="000C6BA3" w:rsidP="00954E2E">
    <w:pPr>
      <w:pStyle w:val="Encabezado"/>
      <w:framePr w:w="5391" w:hSpace="141" w:wrap="auto" w:vAnchor="text" w:hAnchor="page" w:x="5708" w:y="42"/>
      <w:ind w:left="567" w:hanging="11"/>
      <w:jc w:val="right"/>
      <w:rPr>
        <w:rFonts w:cs="Arial"/>
        <w:b/>
        <w:color w:val="002060"/>
        <w:szCs w:val="24"/>
      </w:rPr>
    </w:pPr>
    <w:r w:rsidRPr="005C2ACA">
      <w:rPr>
        <w:rFonts w:cs="Arial"/>
        <w:b/>
        <w:color w:val="002060"/>
        <w:szCs w:val="24"/>
      </w:rPr>
      <w:t xml:space="preserve">COMUNICADO DE PRENSA NÚM. </w:t>
    </w:r>
    <w:r>
      <w:rPr>
        <w:rFonts w:cs="Arial"/>
        <w:b/>
        <w:color w:val="002060"/>
        <w:szCs w:val="24"/>
      </w:rPr>
      <w:t>711</w:t>
    </w:r>
    <w:r w:rsidRPr="005C2ACA">
      <w:rPr>
        <w:rFonts w:cs="Arial"/>
        <w:b/>
        <w:color w:val="002060"/>
        <w:szCs w:val="24"/>
      </w:rPr>
      <w:t>/</w:t>
    </w:r>
    <w:r>
      <w:rPr>
        <w:rFonts w:cs="Arial"/>
        <w:b/>
        <w:color w:val="002060"/>
        <w:szCs w:val="24"/>
      </w:rPr>
      <w:t>22</w:t>
    </w:r>
  </w:p>
  <w:p w14:paraId="1EFD2550" w14:textId="6B6DAF05" w:rsidR="000C6BA3" w:rsidRPr="005C2ACA" w:rsidRDefault="000C6BA3" w:rsidP="00954E2E">
    <w:pPr>
      <w:pStyle w:val="Encabezado"/>
      <w:framePr w:w="5391" w:hSpace="141" w:wrap="auto" w:vAnchor="text" w:hAnchor="page" w:x="5708" w:y="42"/>
      <w:ind w:left="567" w:hanging="11"/>
      <w:jc w:val="right"/>
      <w:rPr>
        <w:rFonts w:cs="Arial"/>
        <w:b/>
        <w:color w:val="002060"/>
        <w:szCs w:val="24"/>
        <w:lang w:val="pt-BR"/>
      </w:rPr>
    </w:pPr>
    <w:r>
      <w:rPr>
        <w:rFonts w:cs="Arial"/>
        <w:b/>
        <w:color w:val="002060"/>
        <w:szCs w:val="24"/>
        <w:lang w:val="pt-BR"/>
      </w:rPr>
      <w:t xml:space="preserve"> 30 </w:t>
    </w:r>
    <w:r w:rsidRPr="005C2ACA">
      <w:rPr>
        <w:rFonts w:cs="Arial"/>
        <w:b/>
        <w:color w:val="002060"/>
        <w:szCs w:val="24"/>
        <w:lang w:val="pt-BR"/>
      </w:rPr>
      <w:t xml:space="preserve">DE </w:t>
    </w:r>
    <w:r>
      <w:rPr>
        <w:rFonts w:cs="Arial"/>
        <w:b/>
        <w:color w:val="002060"/>
        <w:szCs w:val="24"/>
        <w:lang w:val="pt-BR"/>
      </w:rPr>
      <w:t xml:space="preserve">NOVIEMBRE </w:t>
    </w:r>
    <w:r w:rsidRPr="005C2ACA">
      <w:rPr>
        <w:rFonts w:cs="Arial"/>
        <w:b/>
        <w:color w:val="002060"/>
        <w:szCs w:val="24"/>
        <w:lang w:val="pt-BR"/>
      </w:rPr>
      <w:t>DE 20</w:t>
    </w:r>
    <w:r>
      <w:rPr>
        <w:rFonts w:cs="Arial"/>
        <w:b/>
        <w:color w:val="002060"/>
        <w:szCs w:val="24"/>
        <w:lang w:val="pt-BR"/>
      </w:rPr>
      <w:t>22</w:t>
    </w:r>
  </w:p>
  <w:p w14:paraId="708D3491" w14:textId="773E000A" w:rsidR="000C6BA3" w:rsidRPr="005C2ACA" w:rsidRDefault="000C6BA3" w:rsidP="00954E2E">
    <w:pPr>
      <w:pStyle w:val="Encabezado"/>
      <w:framePr w:w="5391" w:hSpace="141" w:wrap="auto" w:vAnchor="text" w:hAnchor="page" w:x="5708" w:y="42"/>
      <w:ind w:left="567" w:hanging="11"/>
      <w:jc w:val="right"/>
      <w:rPr>
        <w:rFonts w:cs="Arial"/>
        <w:b/>
        <w:color w:val="002060"/>
        <w:szCs w:val="24"/>
        <w:lang w:val="pt-BR"/>
      </w:rPr>
    </w:pPr>
    <w:r w:rsidRPr="005C2ACA">
      <w:rPr>
        <w:rFonts w:cs="Arial"/>
        <w:b/>
        <w:color w:val="002060"/>
        <w:szCs w:val="24"/>
        <w:lang w:val="pt-BR"/>
      </w:rPr>
      <w:t xml:space="preserve">PÁGINA </w:t>
    </w:r>
    <w:r w:rsidRPr="005C2ACA">
      <w:rPr>
        <w:rFonts w:cs="Arial"/>
        <w:b/>
        <w:color w:val="002060"/>
        <w:szCs w:val="24"/>
      </w:rPr>
      <w:fldChar w:fldCharType="begin"/>
    </w:r>
    <w:r w:rsidRPr="005C2ACA">
      <w:rPr>
        <w:rFonts w:cs="Arial"/>
        <w:b/>
        <w:color w:val="002060"/>
        <w:szCs w:val="24"/>
        <w:lang w:val="pt-BR"/>
      </w:rPr>
      <w:instrText xml:space="preserve">\PAGE </w:instrText>
    </w:r>
    <w:r w:rsidRPr="005C2ACA">
      <w:rPr>
        <w:rFonts w:cs="Arial"/>
        <w:color w:val="002060"/>
        <w:szCs w:val="24"/>
      </w:rPr>
      <w:fldChar w:fldCharType="separate"/>
    </w:r>
    <w:r>
      <w:rPr>
        <w:rFonts w:cs="Arial"/>
        <w:b/>
        <w:noProof/>
        <w:color w:val="002060"/>
        <w:szCs w:val="24"/>
        <w:lang w:val="pt-BR"/>
      </w:rPr>
      <w:t>8</w:t>
    </w:r>
    <w:r w:rsidRPr="005C2ACA">
      <w:rPr>
        <w:rFonts w:cs="Arial"/>
        <w:color w:val="002060"/>
        <w:szCs w:val="24"/>
      </w:rPr>
      <w:fldChar w:fldCharType="end"/>
    </w:r>
    <w:r w:rsidRPr="005C2ACA">
      <w:rPr>
        <w:rFonts w:cs="Arial"/>
        <w:b/>
        <w:color w:val="002060"/>
        <w:szCs w:val="24"/>
        <w:lang w:val="pt-BR"/>
      </w:rPr>
      <w:t>/</w:t>
    </w:r>
    <w:r>
      <w:rPr>
        <w:rFonts w:cs="Arial"/>
        <w:b/>
        <w:color w:val="002060"/>
        <w:szCs w:val="24"/>
        <w:lang w:val="pt-BR"/>
      </w:rPr>
      <w:t>13</w:t>
    </w:r>
  </w:p>
  <w:p w14:paraId="74269BF4" w14:textId="77777777" w:rsidR="000C6BA3" w:rsidRDefault="000C6BA3" w:rsidP="00F71AD7">
    <w:pPr>
      <w:pStyle w:val="Encabezado"/>
      <w:ind w:left="-426"/>
    </w:pPr>
    <w:r>
      <w:rPr>
        <w:noProof/>
        <w:lang w:eastAsia="es-MX"/>
      </w:rPr>
      <w:drawing>
        <wp:inline distT="0" distB="0" distL="0" distR="0" wp14:anchorId="5B706628" wp14:editId="1C9DF743">
          <wp:extent cx="752070" cy="7812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70" cy="781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5CC0" w14:textId="024323D5" w:rsidR="000C6BA3" w:rsidRDefault="000C6BA3" w:rsidP="001B71A1">
    <w:pPr>
      <w:pStyle w:val="Encabezado"/>
      <w:ind w:left="-284"/>
      <w:jc w:val="center"/>
    </w:pPr>
    <w:r w:rsidRPr="00F418AF">
      <w:rPr>
        <w:noProof/>
        <w:lang w:eastAsia="es-MX"/>
      </w:rPr>
      <w:drawing>
        <wp:inline distT="0" distB="0" distL="0" distR="0" wp14:anchorId="64C24E6F" wp14:editId="6DCE0F5B">
          <wp:extent cx="923925" cy="962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21F09"/>
    <w:multiLevelType w:val="hybridMultilevel"/>
    <w:tmpl w:val="A8728A52"/>
    <w:lvl w:ilvl="0" w:tplc="080A0001">
      <w:start w:val="1"/>
      <w:numFmt w:val="bullet"/>
      <w:lvlText w:val=""/>
      <w:lvlJc w:val="left"/>
      <w:pPr>
        <w:ind w:left="4897" w:hanging="360"/>
      </w:pPr>
      <w:rPr>
        <w:rFonts w:ascii="Symbol" w:hAnsi="Symbol" w:hint="default"/>
      </w:rPr>
    </w:lvl>
    <w:lvl w:ilvl="1" w:tplc="080A0003" w:tentative="1">
      <w:start w:val="1"/>
      <w:numFmt w:val="bullet"/>
      <w:lvlText w:val="o"/>
      <w:lvlJc w:val="left"/>
      <w:pPr>
        <w:ind w:left="5617" w:hanging="360"/>
      </w:pPr>
      <w:rPr>
        <w:rFonts w:ascii="Courier New" w:hAnsi="Courier New" w:cs="Courier New" w:hint="default"/>
      </w:rPr>
    </w:lvl>
    <w:lvl w:ilvl="2" w:tplc="080A0005" w:tentative="1">
      <w:start w:val="1"/>
      <w:numFmt w:val="bullet"/>
      <w:lvlText w:val=""/>
      <w:lvlJc w:val="left"/>
      <w:pPr>
        <w:ind w:left="6337" w:hanging="360"/>
      </w:pPr>
      <w:rPr>
        <w:rFonts w:ascii="Wingdings" w:hAnsi="Wingdings" w:hint="default"/>
      </w:rPr>
    </w:lvl>
    <w:lvl w:ilvl="3" w:tplc="080A0001" w:tentative="1">
      <w:start w:val="1"/>
      <w:numFmt w:val="bullet"/>
      <w:lvlText w:val=""/>
      <w:lvlJc w:val="left"/>
      <w:pPr>
        <w:ind w:left="7057" w:hanging="360"/>
      </w:pPr>
      <w:rPr>
        <w:rFonts w:ascii="Symbol" w:hAnsi="Symbol" w:hint="default"/>
      </w:rPr>
    </w:lvl>
    <w:lvl w:ilvl="4" w:tplc="080A0003" w:tentative="1">
      <w:start w:val="1"/>
      <w:numFmt w:val="bullet"/>
      <w:lvlText w:val="o"/>
      <w:lvlJc w:val="left"/>
      <w:pPr>
        <w:ind w:left="7777" w:hanging="360"/>
      </w:pPr>
      <w:rPr>
        <w:rFonts w:ascii="Courier New" w:hAnsi="Courier New" w:cs="Courier New" w:hint="default"/>
      </w:rPr>
    </w:lvl>
    <w:lvl w:ilvl="5" w:tplc="080A0005" w:tentative="1">
      <w:start w:val="1"/>
      <w:numFmt w:val="bullet"/>
      <w:lvlText w:val=""/>
      <w:lvlJc w:val="left"/>
      <w:pPr>
        <w:ind w:left="8497" w:hanging="360"/>
      </w:pPr>
      <w:rPr>
        <w:rFonts w:ascii="Wingdings" w:hAnsi="Wingdings" w:hint="default"/>
      </w:rPr>
    </w:lvl>
    <w:lvl w:ilvl="6" w:tplc="080A0001" w:tentative="1">
      <w:start w:val="1"/>
      <w:numFmt w:val="bullet"/>
      <w:lvlText w:val=""/>
      <w:lvlJc w:val="left"/>
      <w:pPr>
        <w:ind w:left="9217" w:hanging="360"/>
      </w:pPr>
      <w:rPr>
        <w:rFonts w:ascii="Symbol" w:hAnsi="Symbol" w:hint="default"/>
      </w:rPr>
    </w:lvl>
    <w:lvl w:ilvl="7" w:tplc="080A0003" w:tentative="1">
      <w:start w:val="1"/>
      <w:numFmt w:val="bullet"/>
      <w:lvlText w:val="o"/>
      <w:lvlJc w:val="left"/>
      <w:pPr>
        <w:ind w:left="9937" w:hanging="360"/>
      </w:pPr>
      <w:rPr>
        <w:rFonts w:ascii="Courier New" w:hAnsi="Courier New" w:cs="Courier New" w:hint="default"/>
      </w:rPr>
    </w:lvl>
    <w:lvl w:ilvl="8" w:tplc="080A0005" w:tentative="1">
      <w:start w:val="1"/>
      <w:numFmt w:val="bullet"/>
      <w:lvlText w:val=""/>
      <w:lvlJc w:val="left"/>
      <w:pPr>
        <w:ind w:left="10657" w:hanging="360"/>
      </w:pPr>
      <w:rPr>
        <w:rFonts w:ascii="Wingdings" w:hAnsi="Wingdings" w:hint="default"/>
      </w:rPr>
    </w:lvl>
  </w:abstractNum>
  <w:abstractNum w:abstractNumId="1" w15:restartNumberingAfterBreak="0">
    <w:nsid w:val="5B9F1AE4"/>
    <w:multiLevelType w:val="hybridMultilevel"/>
    <w:tmpl w:val="B7C822DE"/>
    <w:lvl w:ilvl="0" w:tplc="080A0001">
      <w:start w:val="1"/>
      <w:numFmt w:val="bullet"/>
      <w:lvlText w:val=""/>
      <w:lvlJc w:val="left"/>
      <w:pPr>
        <w:ind w:left="294" w:hanging="360"/>
      </w:pPr>
      <w:rPr>
        <w:rFonts w:ascii="Symbol" w:hAnsi="Symbol" w:hint="default"/>
      </w:rPr>
    </w:lvl>
    <w:lvl w:ilvl="1" w:tplc="080A0003">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 w15:restartNumberingAfterBreak="0">
    <w:nsid w:val="5E5B1C05"/>
    <w:multiLevelType w:val="hybridMultilevel"/>
    <w:tmpl w:val="1B84E278"/>
    <w:lvl w:ilvl="0" w:tplc="97AE9344">
      <w:numFmt w:val="bullet"/>
      <w:lvlText w:val=""/>
      <w:lvlJc w:val="left"/>
      <w:pPr>
        <w:ind w:left="1078" w:hanging="360"/>
      </w:pPr>
      <w:rPr>
        <w:rFonts w:ascii="Symbol" w:eastAsia="Symbol" w:hAnsi="Symbol" w:cs="Symbol" w:hint="default"/>
      </w:rPr>
    </w:lvl>
    <w:lvl w:ilvl="1" w:tplc="080A0003" w:tentative="1">
      <w:start w:val="1"/>
      <w:numFmt w:val="bullet"/>
      <w:lvlText w:val="o"/>
      <w:lvlJc w:val="left"/>
      <w:pPr>
        <w:ind w:left="1798" w:hanging="360"/>
      </w:pPr>
      <w:rPr>
        <w:rFonts w:ascii="Courier New" w:hAnsi="Courier New" w:cs="Courier New" w:hint="default"/>
      </w:rPr>
    </w:lvl>
    <w:lvl w:ilvl="2" w:tplc="080A0005" w:tentative="1">
      <w:start w:val="1"/>
      <w:numFmt w:val="bullet"/>
      <w:lvlText w:val=""/>
      <w:lvlJc w:val="left"/>
      <w:pPr>
        <w:ind w:left="2518" w:hanging="360"/>
      </w:pPr>
      <w:rPr>
        <w:rFonts w:ascii="Wingdings" w:hAnsi="Wingdings" w:hint="default"/>
      </w:rPr>
    </w:lvl>
    <w:lvl w:ilvl="3" w:tplc="080A0001" w:tentative="1">
      <w:start w:val="1"/>
      <w:numFmt w:val="bullet"/>
      <w:lvlText w:val=""/>
      <w:lvlJc w:val="left"/>
      <w:pPr>
        <w:ind w:left="3238" w:hanging="360"/>
      </w:pPr>
      <w:rPr>
        <w:rFonts w:ascii="Symbol" w:hAnsi="Symbol" w:hint="default"/>
      </w:rPr>
    </w:lvl>
    <w:lvl w:ilvl="4" w:tplc="080A0003" w:tentative="1">
      <w:start w:val="1"/>
      <w:numFmt w:val="bullet"/>
      <w:lvlText w:val="o"/>
      <w:lvlJc w:val="left"/>
      <w:pPr>
        <w:ind w:left="3958" w:hanging="360"/>
      </w:pPr>
      <w:rPr>
        <w:rFonts w:ascii="Courier New" w:hAnsi="Courier New" w:cs="Courier New" w:hint="default"/>
      </w:rPr>
    </w:lvl>
    <w:lvl w:ilvl="5" w:tplc="080A0005" w:tentative="1">
      <w:start w:val="1"/>
      <w:numFmt w:val="bullet"/>
      <w:lvlText w:val=""/>
      <w:lvlJc w:val="left"/>
      <w:pPr>
        <w:ind w:left="4678" w:hanging="360"/>
      </w:pPr>
      <w:rPr>
        <w:rFonts w:ascii="Wingdings" w:hAnsi="Wingdings" w:hint="default"/>
      </w:rPr>
    </w:lvl>
    <w:lvl w:ilvl="6" w:tplc="080A0001" w:tentative="1">
      <w:start w:val="1"/>
      <w:numFmt w:val="bullet"/>
      <w:lvlText w:val=""/>
      <w:lvlJc w:val="left"/>
      <w:pPr>
        <w:ind w:left="5398" w:hanging="360"/>
      </w:pPr>
      <w:rPr>
        <w:rFonts w:ascii="Symbol" w:hAnsi="Symbol" w:hint="default"/>
      </w:rPr>
    </w:lvl>
    <w:lvl w:ilvl="7" w:tplc="080A0003" w:tentative="1">
      <w:start w:val="1"/>
      <w:numFmt w:val="bullet"/>
      <w:lvlText w:val="o"/>
      <w:lvlJc w:val="left"/>
      <w:pPr>
        <w:ind w:left="6118" w:hanging="360"/>
      </w:pPr>
      <w:rPr>
        <w:rFonts w:ascii="Courier New" w:hAnsi="Courier New" w:cs="Courier New" w:hint="default"/>
      </w:rPr>
    </w:lvl>
    <w:lvl w:ilvl="8" w:tplc="080A0005" w:tentative="1">
      <w:start w:val="1"/>
      <w:numFmt w:val="bullet"/>
      <w:lvlText w:val=""/>
      <w:lvlJc w:val="left"/>
      <w:pPr>
        <w:ind w:left="6838" w:hanging="360"/>
      </w:pPr>
      <w:rPr>
        <w:rFonts w:ascii="Wingdings" w:hAnsi="Wingdings" w:hint="default"/>
      </w:rPr>
    </w:lvl>
  </w:abstractNum>
  <w:abstractNum w:abstractNumId="3" w15:restartNumberingAfterBreak="0">
    <w:nsid w:val="68FA1B30"/>
    <w:multiLevelType w:val="hybridMultilevel"/>
    <w:tmpl w:val="CE68F92C"/>
    <w:lvl w:ilvl="0" w:tplc="E5F45D32">
      <w:start w:val="1"/>
      <w:numFmt w:val="decimal"/>
      <w:lvlText w:val="%1."/>
      <w:lvlJc w:val="left"/>
      <w:pPr>
        <w:ind w:left="-207" w:hanging="360"/>
      </w:pPr>
      <w:rPr>
        <w:rFonts w:eastAsia="Arial"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7655738F"/>
    <w:multiLevelType w:val="hybridMultilevel"/>
    <w:tmpl w:val="FCFE2ABC"/>
    <w:lvl w:ilvl="0" w:tplc="0AB2A82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BFE24FA"/>
    <w:multiLevelType w:val="hybridMultilevel"/>
    <w:tmpl w:val="E0D4BFCA"/>
    <w:lvl w:ilvl="0" w:tplc="4B2C2420">
      <w:start w:val="1"/>
      <w:numFmt w:val="decimal"/>
      <w:lvlText w:val="%1."/>
      <w:lvlJc w:val="left"/>
      <w:pPr>
        <w:ind w:left="-65" w:hanging="360"/>
      </w:pPr>
      <w:rPr>
        <w:rFonts w:hint="default"/>
      </w:rPr>
    </w:lvl>
    <w:lvl w:ilvl="1" w:tplc="080A0019" w:tentative="1">
      <w:start w:val="1"/>
      <w:numFmt w:val="lowerLetter"/>
      <w:lvlText w:val="%2."/>
      <w:lvlJc w:val="left"/>
      <w:pPr>
        <w:ind w:left="655" w:hanging="360"/>
      </w:pPr>
    </w:lvl>
    <w:lvl w:ilvl="2" w:tplc="080A001B" w:tentative="1">
      <w:start w:val="1"/>
      <w:numFmt w:val="lowerRoman"/>
      <w:lvlText w:val="%3."/>
      <w:lvlJc w:val="right"/>
      <w:pPr>
        <w:ind w:left="1375" w:hanging="180"/>
      </w:pPr>
    </w:lvl>
    <w:lvl w:ilvl="3" w:tplc="080A000F" w:tentative="1">
      <w:start w:val="1"/>
      <w:numFmt w:val="decimal"/>
      <w:lvlText w:val="%4."/>
      <w:lvlJc w:val="left"/>
      <w:pPr>
        <w:ind w:left="2095" w:hanging="360"/>
      </w:pPr>
    </w:lvl>
    <w:lvl w:ilvl="4" w:tplc="080A0019" w:tentative="1">
      <w:start w:val="1"/>
      <w:numFmt w:val="lowerLetter"/>
      <w:lvlText w:val="%5."/>
      <w:lvlJc w:val="left"/>
      <w:pPr>
        <w:ind w:left="2815" w:hanging="360"/>
      </w:pPr>
    </w:lvl>
    <w:lvl w:ilvl="5" w:tplc="080A001B" w:tentative="1">
      <w:start w:val="1"/>
      <w:numFmt w:val="lowerRoman"/>
      <w:lvlText w:val="%6."/>
      <w:lvlJc w:val="right"/>
      <w:pPr>
        <w:ind w:left="3535" w:hanging="180"/>
      </w:pPr>
    </w:lvl>
    <w:lvl w:ilvl="6" w:tplc="080A000F" w:tentative="1">
      <w:start w:val="1"/>
      <w:numFmt w:val="decimal"/>
      <w:lvlText w:val="%7."/>
      <w:lvlJc w:val="left"/>
      <w:pPr>
        <w:ind w:left="4255" w:hanging="360"/>
      </w:pPr>
    </w:lvl>
    <w:lvl w:ilvl="7" w:tplc="080A0019" w:tentative="1">
      <w:start w:val="1"/>
      <w:numFmt w:val="lowerLetter"/>
      <w:lvlText w:val="%8."/>
      <w:lvlJc w:val="left"/>
      <w:pPr>
        <w:ind w:left="4975" w:hanging="360"/>
      </w:pPr>
    </w:lvl>
    <w:lvl w:ilvl="8" w:tplc="080A001B" w:tentative="1">
      <w:start w:val="1"/>
      <w:numFmt w:val="lowerRoman"/>
      <w:lvlText w:val="%9."/>
      <w:lvlJc w:val="right"/>
      <w:pPr>
        <w:ind w:left="5695" w:hanging="180"/>
      </w:pPr>
    </w:lvl>
  </w:abstractNum>
  <w:abstractNum w:abstractNumId="6" w15:restartNumberingAfterBreak="0">
    <w:nsid w:val="7C676053"/>
    <w:multiLevelType w:val="hybridMultilevel"/>
    <w:tmpl w:val="DE7487F8"/>
    <w:lvl w:ilvl="0" w:tplc="080A0001">
      <w:start w:val="1"/>
      <w:numFmt w:val="bullet"/>
      <w:lvlText w:val=""/>
      <w:lvlJc w:val="left"/>
      <w:pPr>
        <w:ind w:left="450" w:hanging="360"/>
      </w:pPr>
      <w:rPr>
        <w:rFonts w:ascii="Symbol" w:hAnsi="Symbo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D46"/>
    <w:rsid w:val="00004D82"/>
    <w:rsid w:val="00013B4A"/>
    <w:rsid w:val="00016E95"/>
    <w:rsid w:val="00031646"/>
    <w:rsid w:val="00031DD6"/>
    <w:rsid w:val="0004000F"/>
    <w:rsid w:val="00045757"/>
    <w:rsid w:val="000552E9"/>
    <w:rsid w:val="00057890"/>
    <w:rsid w:val="00063289"/>
    <w:rsid w:val="0007059E"/>
    <w:rsid w:val="00080B34"/>
    <w:rsid w:val="00082938"/>
    <w:rsid w:val="000839D3"/>
    <w:rsid w:val="00087888"/>
    <w:rsid w:val="00093D04"/>
    <w:rsid w:val="000A14A8"/>
    <w:rsid w:val="000A3052"/>
    <w:rsid w:val="000B69D1"/>
    <w:rsid w:val="000C2D12"/>
    <w:rsid w:val="000C40FA"/>
    <w:rsid w:val="000C6BA3"/>
    <w:rsid w:val="000D05F3"/>
    <w:rsid w:val="000D37C7"/>
    <w:rsid w:val="000D4E40"/>
    <w:rsid w:val="000D57FF"/>
    <w:rsid w:val="000D7A69"/>
    <w:rsid w:val="000F7D88"/>
    <w:rsid w:val="00103E9C"/>
    <w:rsid w:val="00105974"/>
    <w:rsid w:val="00112BA8"/>
    <w:rsid w:val="0011379D"/>
    <w:rsid w:val="00113C0B"/>
    <w:rsid w:val="00122154"/>
    <w:rsid w:val="0012434F"/>
    <w:rsid w:val="00130DC1"/>
    <w:rsid w:val="001371F5"/>
    <w:rsid w:val="00137E80"/>
    <w:rsid w:val="00143BCA"/>
    <w:rsid w:val="001463B8"/>
    <w:rsid w:val="001465DA"/>
    <w:rsid w:val="00151E3A"/>
    <w:rsid w:val="00157275"/>
    <w:rsid w:val="00157992"/>
    <w:rsid w:val="00157E57"/>
    <w:rsid w:val="00160130"/>
    <w:rsid w:val="00163E9A"/>
    <w:rsid w:val="0018330A"/>
    <w:rsid w:val="00184A82"/>
    <w:rsid w:val="001957FC"/>
    <w:rsid w:val="001A5D75"/>
    <w:rsid w:val="001A6C10"/>
    <w:rsid w:val="001B64CF"/>
    <w:rsid w:val="001B71A1"/>
    <w:rsid w:val="001C2C9B"/>
    <w:rsid w:val="001D6B76"/>
    <w:rsid w:val="001E318E"/>
    <w:rsid w:val="001F293B"/>
    <w:rsid w:val="001F61E3"/>
    <w:rsid w:val="001F706B"/>
    <w:rsid w:val="002045AC"/>
    <w:rsid w:val="002062FC"/>
    <w:rsid w:val="00215A7E"/>
    <w:rsid w:val="00222D74"/>
    <w:rsid w:val="00234F7B"/>
    <w:rsid w:val="00240F83"/>
    <w:rsid w:val="00243D6A"/>
    <w:rsid w:val="002448F5"/>
    <w:rsid w:val="00245038"/>
    <w:rsid w:val="00245C3F"/>
    <w:rsid w:val="002616DD"/>
    <w:rsid w:val="00261D88"/>
    <w:rsid w:val="00265557"/>
    <w:rsid w:val="00265B53"/>
    <w:rsid w:val="00266018"/>
    <w:rsid w:val="00280924"/>
    <w:rsid w:val="00281A07"/>
    <w:rsid w:val="002862E2"/>
    <w:rsid w:val="002930E8"/>
    <w:rsid w:val="00295A0D"/>
    <w:rsid w:val="002A1694"/>
    <w:rsid w:val="002A6C12"/>
    <w:rsid w:val="002B376C"/>
    <w:rsid w:val="002C25E1"/>
    <w:rsid w:val="002D38EC"/>
    <w:rsid w:val="002D6789"/>
    <w:rsid w:val="002E3B07"/>
    <w:rsid w:val="002E4902"/>
    <w:rsid w:val="002F04F8"/>
    <w:rsid w:val="002F0B60"/>
    <w:rsid w:val="0030678E"/>
    <w:rsid w:val="003139A2"/>
    <w:rsid w:val="00313BD0"/>
    <w:rsid w:val="00322353"/>
    <w:rsid w:val="00323D78"/>
    <w:rsid w:val="00324783"/>
    <w:rsid w:val="00330228"/>
    <w:rsid w:val="00330CF4"/>
    <w:rsid w:val="00333C3C"/>
    <w:rsid w:val="003436EF"/>
    <w:rsid w:val="0034556C"/>
    <w:rsid w:val="00357D94"/>
    <w:rsid w:val="003603E2"/>
    <w:rsid w:val="0036453C"/>
    <w:rsid w:val="00364635"/>
    <w:rsid w:val="00370055"/>
    <w:rsid w:val="00371C54"/>
    <w:rsid w:val="003733E7"/>
    <w:rsid w:val="00375D5F"/>
    <w:rsid w:val="003768DA"/>
    <w:rsid w:val="00377D9F"/>
    <w:rsid w:val="0038507C"/>
    <w:rsid w:val="003853DB"/>
    <w:rsid w:val="003859E1"/>
    <w:rsid w:val="00397396"/>
    <w:rsid w:val="003A2D05"/>
    <w:rsid w:val="003A2E39"/>
    <w:rsid w:val="003A3A50"/>
    <w:rsid w:val="003B2E61"/>
    <w:rsid w:val="003B4978"/>
    <w:rsid w:val="003B57FF"/>
    <w:rsid w:val="003B7C7F"/>
    <w:rsid w:val="003C04B6"/>
    <w:rsid w:val="003C1800"/>
    <w:rsid w:val="003C407E"/>
    <w:rsid w:val="003D0C1F"/>
    <w:rsid w:val="003D1A41"/>
    <w:rsid w:val="003D418A"/>
    <w:rsid w:val="00401BC5"/>
    <w:rsid w:val="0040317F"/>
    <w:rsid w:val="00405E27"/>
    <w:rsid w:val="00406C67"/>
    <w:rsid w:val="00411499"/>
    <w:rsid w:val="00412673"/>
    <w:rsid w:val="004205AB"/>
    <w:rsid w:val="00424DF9"/>
    <w:rsid w:val="00427F6F"/>
    <w:rsid w:val="00441FC4"/>
    <w:rsid w:val="00446070"/>
    <w:rsid w:val="00447B6D"/>
    <w:rsid w:val="004528D1"/>
    <w:rsid w:val="0046008A"/>
    <w:rsid w:val="004636E8"/>
    <w:rsid w:val="00474AFA"/>
    <w:rsid w:val="004764AB"/>
    <w:rsid w:val="00476FCE"/>
    <w:rsid w:val="00477DBA"/>
    <w:rsid w:val="0048180A"/>
    <w:rsid w:val="00481A05"/>
    <w:rsid w:val="00482AE9"/>
    <w:rsid w:val="0049278B"/>
    <w:rsid w:val="004A07AD"/>
    <w:rsid w:val="004A1D09"/>
    <w:rsid w:val="004A7B74"/>
    <w:rsid w:val="004B1DEA"/>
    <w:rsid w:val="004C5DF4"/>
    <w:rsid w:val="004E06E5"/>
    <w:rsid w:val="004E1FA4"/>
    <w:rsid w:val="004E4ECD"/>
    <w:rsid w:val="004E4FFC"/>
    <w:rsid w:val="004F096E"/>
    <w:rsid w:val="004F34B8"/>
    <w:rsid w:val="004F7F9C"/>
    <w:rsid w:val="00502970"/>
    <w:rsid w:val="005051D6"/>
    <w:rsid w:val="0051299C"/>
    <w:rsid w:val="00513CD9"/>
    <w:rsid w:val="005246C0"/>
    <w:rsid w:val="00533CF9"/>
    <w:rsid w:val="00537CB7"/>
    <w:rsid w:val="00542BDF"/>
    <w:rsid w:val="00551CC3"/>
    <w:rsid w:val="00553185"/>
    <w:rsid w:val="00554C90"/>
    <w:rsid w:val="00562869"/>
    <w:rsid w:val="00565337"/>
    <w:rsid w:val="005666ED"/>
    <w:rsid w:val="005668C1"/>
    <w:rsid w:val="00572BC8"/>
    <w:rsid w:val="00576B24"/>
    <w:rsid w:val="005776A9"/>
    <w:rsid w:val="0058582E"/>
    <w:rsid w:val="00585D46"/>
    <w:rsid w:val="0058689B"/>
    <w:rsid w:val="00586CB9"/>
    <w:rsid w:val="00586D64"/>
    <w:rsid w:val="00587E99"/>
    <w:rsid w:val="00593C81"/>
    <w:rsid w:val="0059606A"/>
    <w:rsid w:val="005B0500"/>
    <w:rsid w:val="005C273C"/>
    <w:rsid w:val="005C6E59"/>
    <w:rsid w:val="005D4CCD"/>
    <w:rsid w:val="005F0C1D"/>
    <w:rsid w:val="005F0FB7"/>
    <w:rsid w:val="005F2B4E"/>
    <w:rsid w:val="00603703"/>
    <w:rsid w:val="006075EB"/>
    <w:rsid w:val="0061488D"/>
    <w:rsid w:val="006242AE"/>
    <w:rsid w:val="00634CD9"/>
    <w:rsid w:val="00641BB3"/>
    <w:rsid w:val="0065735C"/>
    <w:rsid w:val="006607A1"/>
    <w:rsid w:val="00664278"/>
    <w:rsid w:val="00667199"/>
    <w:rsid w:val="00671F94"/>
    <w:rsid w:val="00672543"/>
    <w:rsid w:val="00673B1F"/>
    <w:rsid w:val="006904A6"/>
    <w:rsid w:val="006910C5"/>
    <w:rsid w:val="006A2AE6"/>
    <w:rsid w:val="006A67F8"/>
    <w:rsid w:val="006B1848"/>
    <w:rsid w:val="006B7B49"/>
    <w:rsid w:val="006B7FCB"/>
    <w:rsid w:val="006C03FD"/>
    <w:rsid w:val="006C55CE"/>
    <w:rsid w:val="006D6C21"/>
    <w:rsid w:val="006E05E1"/>
    <w:rsid w:val="006E3504"/>
    <w:rsid w:val="006E593D"/>
    <w:rsid w:val="006E6298"/>
    <w:rsid w:val="006E7127"/>
    <w:rsid w:val="006F02C4"/>
    <w:rsid w:val="00704750"/>
    <w:rsid w:val="00705EE4"/>
    <w:rsid w:val="00707CE0"/>
    <w:rsid w:val="00712A47"/>
    <w:rsid w:val="00713731"/>
    <w:rsid w:val="00713D53"/>
    <w:rsid w:val="0071506E"/>
    <w:rsid w:val="007264BA"/>
    <w:rsid w:val="00732A65"/>
    <w:rsid w:val="0073318E"/>
    <w:rsid w:val="00734F3E"/>
    <w:rsid w:val="0073623E"/>
    <w:rsid w:val="0074792C"/>
    <w:rsid w:val="00751162"/>
    <w:rsid w:val="00752D2E"/>
    <w:rsid w:val="007608D5"/>
    <w:rsid w:val="00761B0E"/>
    <w:rsid w:val="00762C04"/>
    <w:rsid w:val="00763A09"/>
    <w:rsid w:val="007648A5"/>
    <w:rsid w:val="0076652E"/>
    <w:rsid w:val="007863D3"/>
    <w:rsid w:val="00792837"/>
    <w:rsid w:val="007A0467"/>
    <w:rsid w:val="007A306C"/>
    <w:rsid w:val="007A463D"/>
    <w:rsid w:val="007B36AD"/>
    <w:rsid w:val="007C105D"/>
    <w:rsid w:val="007C640D"/>
    <w:rsid w:val="007C79AC"/>
    <w:rsid w:val="007D0EA5"/>
    <w:rsid w:val="007D1C6D"/>
    <w:rsid w:val="007D4C53"/>
    <w:rsid w:val="007D5444"/>
    <w:rsid w:val="007E5688"/>
    <w:rsid w:val="007E5A46"/>
    <w:rsid w:val="007E623F"/>
    <w:rsid w:val="007F0B8D"/>
    <w:rsid w:val="008010C9"/>
    <w:rsid w:val="008043D2"/>
    <w:rsid w:val="008110AF"/>
    <w:rsid w:val="00821378"/>
    <w:rsid w:val="00833FC5"/>
    <w:rsid w:val="00835880"/>
    <w:rsid w:val="0084565B"/>
    <w:rsid w:val="008465A2"/>
    <w:rsid w:val="00851608"/>
    <w:rsid w:val="008524CD"/>
    <w:rsid w:val="00855B8C"/>
    <w:rsid w:val="00860799"/>
    <w:rsid w:val="00867580"/>
    <w:rsid w:val="00872BD1"/>
    <w:rsid w:val="008866E5"/>
    <w:rsid w:val="00895206"/>
    <w:rsid w:val="008977F3"/>
    <w:rsid w:val="008A3F89"/>
    <w:rsid w:val="008A76DA"/>
    <w:rsid w:val="008B3D37"/>
    <w:rsid w:val="008C1447"/>
    <w:rsid w:val="008C5A63"/>
    <w:rsid w:val="008C6B45"/>
    <w:rsid w:val="008E2E0B"/>
    <w:rsid w:val="008E4759"/>
    <w:rsid w:val="008F1AFF"/>
    <w:rsid w:val="008F634E"/>
    <w:rsid w:val="00901EBE"/>
    <w:rsid w:val="0093505D"/>
    <w:rsid w:val="00937105"/>
    <w:rsid w:val="00953583"/>
    <w:rsid w:val="00954E2E"/>
    <w:rsid w:val="009565E0"/>
    <w:rsid w:val="00956FD0"/>
    <w:rsid w:val="00957E7C"/>
    <w:rsid w:val="00961F21"/>
    <w:rsid w:val="00970494"/>
    <w:rsid w:val="00985D8A"/>
    <w:rsid w:val="00987578"/>
    <w:rsid w:val="00987B4E"/>
    <w:rsid w:val="009904E2"/>
    <w:rsid w:val="009942A3"/>
    <w:rsid w:val="00996BE4"/>
    <w:rsid w:val="009A4862"/>
    <w:rsid w:val="009A5368"/>
    <w:rsid w:val="009B1454"/>
    <w:rsid w:val="009B76AB"/>
    <w:rsid w:val="009C04C0"/>
    <w:rsid w:val="009C0E0E"/>
    <w:rsid w:val="009C4E45"/>
    <w:rsid w:val="009C72B2"/>
    <w:rsid w:val="009C7837"/>
    <w:rsid w:val="009D1160"/>
    <w:rsid w:val="009D26DE"/>
    <w:rsid w:val="009E3F7F"/>
    <w:rsid w:val="009F2C56"/>
    <w:rsid w:val="009F4B33"/>
    <w:rsid w:val="009F74B7"/>
    <w:rsid w:val="00A0088F"/>
    <w:rsid w:val="00A13B7C"/>
    <w:rsid w:val="00A15E35"/>
    <w:rsid w:val="00A17625"/>
    <w:rsid w:val="00A201A2"/>
    <w:rsid w:val="00A233A3"/>
    <w:rsid w:val="00A336A3"/>
    <w:rsid w:val="00A36E32"/>
    <w:rsid w:val="00A458A0"/>
    <w:rsid w:val="00A53CC2"/>
    <w:rsid w:val="00A6096F"/>
    <w:rsid w:val="00A62490"/>
    <w:rsid w:val="00A64C0F"/>
    <w:rsid w:val="00A75854"/>
    <w:rsid w:val="00A8131B"/>
    <w:rsid w:val="00A81804"/>
    <w:rsid w:val="00A83802"/>
    <w:rsid w:val="00A850AD"/>
    <w:rsid w:val="00A8797D"/>
    <w:rsid w:val="00AA2437"/>
    <w:rsid w:val="00AB2FD4"/>
    <w:rsid w:val="00AB3380"/>
    <w:rsid w:val="00AC03B1"/>
    <w:rsid w:val="00AC2671"/>
    <w:rsid w:val="00AC2CED"/>
    <w:rsid w:val="00AC7379"/>
    <w:rsid w:val="00AD162B"/>
    <w:rsid w:val="00AD1F79"/>
    <w:rsid w:val="00AD4B3E"/>
    <w:rsid w:val="00AD7BCA"/>
    <w:rsid w:val="00AE27D1"/>
    <w:rsid w:val="00AF0338"/>
    <w:rsid w:val="00AF3050"/>
    <w:rsid w:val="00B0263B"/>
    <w:rsid w:val="00B062C9"/>
    <w:rsid w:val="00B16DEB"/>
    <w:rsid w:val="00B17C15"/>
    <w:rsid w:val="00B23B0F"/>
    <w:rsid w:val="00B25E26"/>
    <w:rsid w:val="00B37AAA"/>
    <w:rsid w:val="00B421C8"/>
    <w:rsid w:val="00B43BBC"/>
    <w:rsid w:val="00B47040"/>
    <w:rsid w:val="00B47CAA"/>
    <w:rsid w:val="00B52E61"/>
    <w:rsid w:val="00B54D74"/>
    <w:rsid w:val="00B661D8"/>
    <w:rsid w:val="00B71B92"/>
    <w:rsid w:val="00B74B52"/>
    <w:rsid w:val="00B76665"/>
    <w:rsid w:val="00B85BC7"/>
    <w:rsid w:val="00B91813"/>
    <w:rsid w:val="00B923C0"/>
    <w:rsid w:val="00B93496"/>
    <w:rsid w:val="00B95009"/>
    <w:rsid w:val="00B971E4"/>
    <w:rsid w:val="00BA15B9"/>
    <w:rsid w:val="00BA6412"/>
    <w:rsid w:val="00BA6781"/>
    <w:rsid w:val="00BA7C13"/>
    <w:rsid w:val="00BA7C65"/>
    <w:rsid w:val="00BB6F11"/>
    <w:rsid w:val="00BD34FC"/>
    <w:rsid w:val="00BD406D"/>
    <w:rsid w:val="00BD5CF4"/>
    <w:rsid w:val="00BE09E1"/>
    <w:rsid w:val="00BE5FB9"/>
    <w:rsid w:val="00C038B3"/>
    <w:rsid w:val="00C0793E"/>
    <w:rsid w:val="00C30CB5"/>
    <w:rsid w:val="00C324D8"/>
    <w:rsid w:val="00C374EF"/>
    <w:rsid w:val="00C4305A"/>
    <w:rsid w:val="00C45A9B"/>
    <w:rsid w:val="00C608F7"/>
    <w:rsid w:val="00C60A44"/>
    <w:rsid w:val="00C64810"/>
    <w:rsid w:val="00C65906"/>
    <w:rsid w:val="00C67DC0"/>
    <w:rsid w:val="00C80446"/>
    <w:rsid w:val="00C83731"/>
    <w:rsid w:val="00C91A9C"/>
    <w:rsid w:val="00C93FAD"/>
    <w:rsid w:val="00C94F5A"/>
    <w:rsid w:val="00CA20D5"/>
    <w:rsid w:val="00CA555B"/>
    <w:rsid w:val="00CB0117"/>
    <w:rsid w:val="00CC6E00"/>
    <w:rsid w:val="00CC7E3C"/>
    <w:rsid w:val="00CD3C99"/>
    <w:rsid w:val="00CD7FA6"/>
    <w:rsid w:val="00CE0F0B"/>
    <w:rsid w:val="00CE3723"/>
    <w:rsid w:val="00CE40B3"/>
    <w:rsid w:val="00CE5AAF"/>
    <w:rsid w:val="00CE742D"/>
    <w:rsid w:val="00CF7ADB"/>
    <w:rsid w:val="00D042A9"/>
    <w:rsid w:val="00D051C6"/>
    <w:rsid w:val="00D05722"/>
    <w:rsid w:val="00D066F7"/>
    <w:rsid w:val="00D1326A"/>
    <w:rsid w:val="00D1558E"/>
    <w:rsid w:val="00D24262"/>
    <w:rsid w:val="00D255E5"/>
    <w:rsid w:val="00D2699D"/>
    <w:rsid w:val="00D31263"/>
    <w:rsid w:val="00D32664"/>
    <w:rsid w:val="00D4009A"/>
    <w:rsid w:val="00D60DE8"/>
    <w:rsid w:val="00D62C47"/>
    <w:rsid w:val="00D670D2"/>
    <w:rsid w:val="00D70A82"/>
    <w:rsid w:val="00D7221F"/>
    <w:rsid w:val="00D74E94"/>
    <w:rsid w:val="00D90D49"/>
    <w:rsid w:val="00D92817"/>
    <w:rsid w:val="00D9450A"/>
    <w:rsid w:val="00DA429A"/>
    <w:rsid w:val="00DB203D"/>
    <w:rsid w:val="00DC535F"/>
    <w:rsid w:val="00DC59D0"/>
    <w:rsid w:val="00DD0A8B"/>
    <w:rsid w:val="00DD0B1E"/>
    <w:rsid w:val="00DD45FB"/>
    <w:rsid w:val="00DD79B9"/>
    <w:rsid w:val="00DE4E8F"/>
    <w:rsid w:val="00DE73D6"/>
    <w:rsid w:val="00DF5E61"/>
    <w:rsid w:val="00E21B92"/>
    <w:rsid w:val="00E21CA4"/>
    <w:rsid w:val="00E21E11"/>
    <w:rsid w:val="00E2550E"/>
    <w:rsid w:val="00E41E39"/>
    <w:rsid w:val="00E56D6D"/>
    <w:rsid w:val="00E64D19"/>
    <w:rsid w:val="00E9003C"/>
    <w:rsid w:val="00E90CFD"/>
    <w:rsid w:val="00E92A99"/>
    <w:rsid w:val="00EA01B2"/>
    <w:rsid w:val="00EA578D"/>
    <w:rsid w:val="00EA6D2E"/>
    <w:rsid w:val="00EB1880"/>
    <w:rsid w:val="00EB4938"/>
    <w:rsid w:val="00EB59CC"/>
    <w:rsid w:val="00EB7212"/>
    <w:rsid w:val="00EC129A"/>
    <w:rsid w:val="00ED3641"/>
    <w:rsid w:val="00ED4296"/>
    <w:rsid w:val="00EF0A04"/>
    <w:rsid w:val="00EF2553"/>
    <w:rsid w:val="00EF2D19"/>
    <w:rsid w:val="00EF4E16"/>
    <w:rsid w:val="00F14834"/>
    <w:rsid w:val="00F3150E"/>
    <w:rsid w:val="00F31D63"/>
    <w:rsid w:val="00F43525"/>
    <w:rsid w:val="00F511A5"/>
    <w:rsid w:val="00F54994"/>
    <w:rsid w:val="00F55F5B"/>
    <w:rsid w:val="00F56EC5"/>
    <w:rsid w:val="00F60238"/>
    <w:rsid w:val="00F65055"/>
    <w:rsid w:val="00F6649F"/>
    <w:rsid w:val="00F71AD7"/>
    <w:rsid w:val="00F75D38"/>
    <w:rsid w:val="00F81201"/>
    <w:rsid w:val="00F85B97"/>
    <w:rsid w:val="00F92974"/>
    <w:rsid w:val="00F973B8"/>
    <w:rsid w:val="00FA1144"/>
    <w:rsid w:val="00FA4005"/>
    <w:rsid w:val="00FB0268"/>
    <w:rsid w:val="00FB1B0E"/>
    <w:rsid w:val="00FB42DD"/>
    <w:rsid w:val="00FC0764"/>
    <w:rsid w:val="00FC25F6"/>
    <w:rsid w:val="00FD16AF"/>
    <w:rsid w:val="00FD418F"/>
    <w:rsid w:val="00FE42E0"/>
    <w:rsid w:val="00FF2DDA"/>
    <w:rsid w:val="00FF6909"/>
    <w:rsid w:val="00FF764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E7FE8"/>
  <w15:chartTrackingRefBased/>
  <w15:docId w15:val="{303C1BDC-1DBB-8C46-B1A1-A9FFBBFC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F5A"/>
    <w:pPr>
      <w:widowControl w:val="0"/>
      <w:spacing w:after="200" w:line="276" w:lineRule="auto"/>
    </w:pPr>
    <w:rPr>
      <w:rFonts w:ascii="Arial" w:hAnsi="Arial"/>
      <w:sz w:val="24"/>
    </w:rPr>
  </w:style>
  <w:style w:type="paragraph" w:styleId="Ttulo2">
    <w:name w:val="heading 2"/>
    <w:basedOn w:val="Normal"/>
    <w:next w:val="Normal"/>
    <w:link w:val="Ttulo2Car"/>
    <w:uiPriority w:val="9"/>
    <w:unhideWhenUsed/>
    <w:qFormat/>
    <w:rsid w:val="00B661D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61D8"/>
    <w:rPr>
      <w:rFonts w:asciiTheme="majorHAnsi" w:eastAsiaTheme="majorEastAsia" w:hAnsiTheme="majorHAnsi" w:cstheme="majorBidi"/>
      <w:b/>
      <w:bCs/>
      <w:color w:val="4472C4" w:themeColor="accent1"/>
      <w:sz w:val="26"/>
      <w:szCs w:val="26"/>
    </w:rPr>
  </w:style>
  <w:style w:type="paragraph" w:styleId="Encabezado">
    <w:name w:val="header"/>
    <w:basedOn w:val="Normal"/>
    <w:link w:val="EncabezadoCar"/>
    <w:unhideWhenUsed/>
    <w:rsid w:val="00B661D8"/>
    <w:pPr>
      <w:tabs>
        <w:tab w:val="center" w:pos="4419"/>
        <w:tab w:val="right" w:pos="8838"/>
      </w:tabs>
      <w:spacing w:after="0" w:line="240" w:lineRule="auto"/>
    </w:pPr>
  </w:style>
  <w:style w:type="character" w:customStyle="1" w:styleId="EncabezadoCar">
    <w:name w:val="Encabezado Car"/>
    <w:basedOn w:val="Fuentedeprrafopredeter"/>
    <w:link w:val="Encabezado"/>
    <w:rsid w:val="00B661D8"/>
  </w:style>
  <w:style w:type="paragraph" w:styleId="Piedepgina">
    <w:name w:val="footer"/>
    <w:basedOn w:val="Normal"/>
    <w:link w:val="PiedepginaCar"/>
    <w:uiPriority w:val="99"/>
    <w:unhideWhenUsed/>
    <w:rsid w:val="00B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1D8"/>
  </w:style>
  <w:style w:type="character" w:customStyle="1" w:styleId="TextodegloboCar">
    <w:name w:val="Texto de globo Car"/>
    <w:basedOn w:val="Fuentedeprrafopredeter"/>
    <w:link w:val="Textodeglobo"/>
    <w:uiPriority w:val="99"/>
    <w:semiHidden/>
    <w:rsid w:val="00B661D8"/>
    <w:rPr>
      <w:rFonts w:ascii="Tahoma" w:hAnsi="Tahoma" w:cs="Tahoma"/>
      <w:sz w:val="16"/>
      <w:szCs w:val="16"/>
    </w:rPr>
  </w:style>
  <w:style w:type="paragraph" w:styleId="Textodeglobo">
    <w:name w:val="Balloon Text"/>
    <w:basedOn w:val="Normal"/>
    <w:link w:val="TextodegloboCar"/>
    <w:uiPriority w:val="99"/>
    <w:semiHidden/>
    <w:unhideWhenUsed/>
    <w:rsid w:val="00B661D8"/>
    <w:pPr>
      <w:spacing w:after="0" w:line="240" w:lineRule="auto"/>
    </w:pPr>
    <w:rPr>
      <w:rFonts w:ascii="Tahoma" w:hAnsi="Tahoma" w:cs="Tahoma"/>
      <w:sz w:val="16"/>
      <w:szCs w:val="16"/>
    </w:rPr>
  </w:style>
  <w:style w:type="paragraph" w:styleId="Prrafodelista">
    <w:name w:val="List Paragraph"/>
    <w:basedOn w:val="Normal"/>
    <w:uiPriority w:val="34"/>
    <w:qFormat/>
    <w:rsid w:val="00B661D8"/>
    <w:pPr>
      <w:ind w:left="720"/>
      <w:contextualSpacing/>
    </w:pPr>
  </w:style>
  <w:style w:type="character" w:customStyle="1" w:styleId="tituloproy21">
    <w:name w:val="titulo_proy21"/>
    <w:basedOn w:val="Fuentedeprrafopredeter"/>
    <w:rsid w:val="00B661D8"/>
    <w:rPr>
      <w:rFonts w:ascii="Arial" w:hAnsi="Arial" w:cs="Arial" w:hint="default"/>
      <w:b/>
      <w:bCs/>
      <w:strike w:val="0"/>
      <w:dstrike w:val="0"/>
      <w:color w:val="000000"/>
      <w:sz w:val="30"/>
      <w:szCs w:val="30"/>
      <w:u w:val="none"/>
      <w:effect w:val="none"/>
    </w:rPr>
  </w:style>
  <w:style w:type="paragraph" w:styleId="Textonotapie">
    <w:name w:val="footnote text"/>
    <w:basedOn w:val="Normal"/>
    <w:link w:val="TextonotapieCar"/>
    <w:uiPriority w:val="99"/>
    <w:unhideWhenUsed/>
    <w:rsid w:val="00B661D8"/>
    <w:pPr>
      <w:spacing w:after="0" w:line="240" w:lineRule="auto"/>
    </w:pPr>
    <w:rPr>
      <w:sz w:val="20"/>
      <w:szCs w:val="20"/>
    </w:rPr>
  </w:style>
  <w:style w:type="character" w:customStyle="1" w:styleId="TextonotapieCar">
    <w:name w:val="Texto nota pie Car"/>
    <w:basedOn w:val="Fuentedeprrafopredeter"/>
    <w:link w:val="Textonotapie"/>
    <w:uiPriority w:val="99"/>
    <w:rsid w:val="00B661D8"/>
    <w:rPr>
      <w:sz w:val="20"/>
      <w:szCs w:val="20"/>
    </w:rPr>
  </w:style>
  <w:style w:type="character" w:styleId="Refdenotaalpie">
    <w:name w:val="footnote reference"/>
    <w:basedOn w:val="Fuentedeprrafopredeter"/>
    <w:unhideWhenUsed/>
    <w:rsid w:val="00B661D8"/>
    <w:rPr>
      <w:vertAlign w:val="superscript"/>
    </w:rPr>
  </w:style>
  <w:style w:type="paragraph" w:customStyle="1" w:styleId="Textodebloque1">
    <w:name w:val="Texto de bloque1"/>
    <w:basedOn w:val="Normal"/>
    <w:rsid w:val="00B661D8"/>
    <w:pPr>
      <w:widowControl/>
      <w:spacing w:before="240" w:after="0" w:line="240" w:lineRule="auto"/>
      <w:ind w:left="1843" w:right="1361" w:hanging="273"/>
      <w:jc w:val="both"/>
    </w:pPr>
    <w:rPr>
      <w:rFonts w:eastAsia="Times New Roman" w:cs="Times New Roman"/>
      <w:b/>
      <w:szCs w:val="20"/>
      <w:lang w:val="es-ES_tradnl" w:eastAsia="es-ES"/>
    </w:rPr>
  </w:style>
  <w:style w:type="paragraph" w:customStyle="1" w:styleId="n01">
    <w:name w:val="n01"/>
    <w:basedOn w:val="Normal"/>
    <w:rsid w:val="00B661D8"/>
    <w:pPr>
      <w:keepLines/>
      <w:widowControl/>
      <w:spacing w:before="240" w:after="0" w:line="240" w:lineRule="auto"/>
      <w:ind w:left="720" w:hanging="720"/>
      <w:jc w:val="both"/>
    </w:pPr>
    <w:rPr>
      <w:rFonts w:ascii="Univers (W1)" w:eastAsia="Times New Roman" w:hAnsi="Univers (W1)" w:cs="Times New Roman"/>
      <w:color w:val="800080"/>
      <w:szCs w:val="20"/>
      <w:lang w:val="es-ES_tradnl" w:eastAsia="es-ES"/>
    </w:rPr>
  </w:style>
  <w:style w:type="character" w:customStyle="1" w:styleId="MapadeldocumentoCar">
    <w:name w:val="Mapa del documento Car"/>
    <w:basedOn w:val="Fuentedeprrafopredeter"/>
    <w:link w:val="Mapadeldocumento"/>
    <w:uiPriority w:val="99"/>
    <w:semiHidden/>
    <w:rsid w:val="00B661D8"/>
    <w:rPr>
      <w:rFonts w:ascii="Tahoma" w:hAnsi="Tahoma" w:cs="Tahoma"/>
      <w:sz w:val="16"/>
      <w:szCs w:val="16"/>
    </w:rPr>
  </w:style>
  <w:style w:type="paragraph" w:styleId="Mapadeldocumento">
    <w:name w:val="Document Map"/>
    <w:basedOn w:val="Normal"/>
    <w:link w:val="MapadeldocumentoCar"/>
    <w:uiPriority w:val="99"/>
    <w:semiHidden/>
    <w:unhideWhenUsed/>
    <w:rsid w:val="00B661D8"/>
    <w:pPr>
      <w:spacing w:after="0" w:line="240" w:lineRule="auto"/>
    </w:pPr>
    <w:rPr>
      <w:rFonts w:ascii="Tahoma" w:hAnsi="Tahoma" w:cs="Tahoma"/>
      <w:sz w:val="16"/>
      <w:szCs w:val="16"/>
    </w:rPr>
  </w:style>
  <w:style w:type="paragraph" w:customStyle="1" w:styleId="p0">
    <w:name w:val="p0"/>
    <w:basedOn w:val="Normal"/>
    <w:rsid w:val="00B661D8"/>
    <w:pPr>
      <w:widowControl/>
      <w:spacing w:before="240" w:after="0" w:line="240" w:lineRule="auto"/>
      <w:ind w:left="1417" w:right="23" w:hanging="709"/>
    </w:pPr>
    <w:rPr>
      <w:rFonts w:eastAsia="Times New Roman" w:cs="Times New Roman"/>
      <w:color w:val="0000FF"/>
      <w:szCs w:val="20"/>
      <w:lang w:val="es-ES_tradnl" w:eastAsia="es-ES"/>
    </w:rPr>
  </w:style>
  <w:style w:type="character" w:customStyle="1" w:styleId="TextocomentarioCar">
    <w:name w:val="Texto comentario Car"/>
    <w:basedOn w:val="Fuentedeprrafopredeter"/>
    <w:link w:val="Textocomentario"/>
    <w:uiPriority w:val="99"/>
    <w:rsid w:val="00B661D8"/>
    <w:rPr>
      <w:sz w:val="20"/>
      <w:szCs w:val="20"/>
    </w:rPr>
  </w:style>
  <w:style w:type="paragraph" w:styleId="Textocomentario">
    <w:name w:val="annotation text"/>
    <w:basedOn w:val="Normal"/>
    <w:link w:val="TextocomentarioCar"/>
    <w:uiPriority w:val="99"/>
    <w:unhideWhenUsed/>
    <w:rsid w:val="00B661D8"/>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B661D8"/>
    <w:rPr>
      <w:b/>
      <w:bCs/>
      <w:sz w:val="20"/>
      <w:szCs w:val="20"/>
    </w:rPr>
  </w:style>
  <w:style w:type="paragraph" w:styleId="Asuntodelcomentario">
    <w:name w:val="annotation subject"/>
    <w:basedOn w:val="Textocomentario"/>
    <w:next w:val="Textocomentario"/>
    <w:link w:val="AsuntodelcomentarioCar"/>
    <w:uiPriority w:val="99"/>
    <w:semiHidden/>
    <w:unhideWhenUsed/>
    <w:rsid w:val="00B661D8"/>
    <w:rPr>
      <w:b/>
      <w:bCs/>
    </w:rPr>
  </w:style>
  <w:style w:type="paragraph" w:customStyle="1" w:styleId="consang">
    <w:name w:val="con sang"/>
    <w:basedOn w:val="Normal"/>
    <w:link w:val="consangCar"/>
    <w:qFormat/>
    <w:rsid w:val="00B661D8"/>
    <w:pPr>
      <w:widowControl/>
      <w:ind w:firstLine="426"/>
      <w:jc w:val="both"/>
    </w:pPr>
    <w:rPr>
      <w:rFonts w:ascii="Times New Roman" w:eastAsia="Calibri" w:hAnsi="Times New Roman" w:cs="Times New Roman"/>
    </w:rPr>
  </w:style>
  <w:style w:type="character" w:customStyle="1" w:styleId="consangCar">
    <w:name w:val="con sang Car"/>
    <w:basedOn w:val="Fuentedeprrafopredeter"/>
    <w:link w:val="consang"/>
    <w:rsid w:val="00B661D8"/>
    <w:rPr>
      <w:rFonts w:ascii="Times New Roman" w:eastAsia="Calibri" w:hAnsi="Times New Roman" w:cs="Times New Roman"/>
      <w:sz w:val="24"/>
    </w:rPr>
  </w:style>
  <w:style w:type="paragraph" w:styleId="Textoindependiente2">
    <w:name w:val="Body Text 2"/>
    <w:basedOn w:val="Normal"/>
    <w:link w:val="Textoindependiente2Car"/>
    <w:rsid w:val="00B661D8"/>
    <w:pPr>
      <w:widowControl/>
      <w:spacing w:before="240" w:after="0" w:line="240" w:lineRule="auto"/>
      <w:ind w:right="80"/>
      <w:jc w:val="both"/>
    </w:pPr>
    <w:rPr>
      <w:rFonts w:eastAsia="Times New Roman" w:cs="Times New Roman"/>
      <w:szCs w:val="20"/>
      <w:lang w:val="es-ES_tradnl" w:eastAsia="es-ES"/>
    </w:rPr>
  </w:style>
  <w:style w:type="character" w:customStyle="1" w:styleId="Textoindependiente2Car">
    <w:name w:val="Texto independiente 2 Car"/>
    <w:basedOn w:val="Fuentedeprrafopredeter"/>
    <w:link w:val="Textoindependiente2"/>
    <w:rsid w:val="00B661D8"/>
    <w:rPr>
      <w:rFonts w:ascii="Arial" w:eastAsia="Times New Roman" w:hAnsi="Arial" w:cs="Times New Roman"/>
      <w:sz w:val="24"/>
      <w:szCs w:val="20"/>
      <w:lang w:val="es-ES_tradnl" w:eastAsia="es-ES"/>
    </w:rPr>
  </w:style>
  <w:style w:type="character" w:styleId="Hipervnculo">
    <w:name w:val="Hyperlink"/>
    <w:basedOn w:val="Fuentedeprrafopredeter"/>
    <w:uiPriority w:val="99"/>
    <w:unhideWhenUsed/>
    <w:rsid w:val="00B661D8"/>
    <w:rPr>
      <w:color w:val="0563C1" w:themeColor="hyperlink"/>
      <w:u w:val="single"/>
    </w:rPr>
  </w:style>
  <w:style w:type="paragraph" w:styleId="NormalWeb">
    <w:name w:val="Normal (Web)"/>
    <w:basedOn w:val="Normal"/>
    <w:uiPriority w:val="99"/>
    <w:unhideWhenUsed/>
    <w:rsid w:val="001B71A1"/>
    <w:pPr>
      <w:widowControl/>
      <w:spacing w:before="100" w:beforeAutospacing="1" w:after="100" w:afterAutospacing="1" w:line="240" w:lineRule="auto"/>
    </w:pPr>
    <w:rPr>
      <w:rFonts w:ascii="Times New Roman" w:eastAsia="Times New Roman" w:hAnsi="Times New Roman" w:cs="Times New Roman"/>
      <w:szCs w:val="24"/>
      <w:lang w:eastAsia="es-MX"/>
    </w:rPr>
  </w:style>
  <w:style w:type="paragraph" w:customStyle="1" w:styleId="bullet">
    <w:name w:val="bullet"/>
    <w:basedOn w:val="Normal"/>
    <w:rsid w:val="001B71A1"/>
    <w:pPr>
      <w:widowControl/>
      <w:spacing w:before="120" w:after="0" w:line="240" w:lineRule="auto"/>
      <w:ind w:left="2790" w:right="1440" w:hanging="274"/>
    </w:pPr>
    <w:rPr>
      <w:rFonts w:ascii="Univers (W1)" w:eastAsia="Times New Roman" w:hAnsi="Univers (W1)" w:cs="Times New Roman"/>
      <w:b/>
      <w:color w:val="000080"/>
      <w:sz w:val="20"/>
      <w:szCs w:val="20"/>
      <w:lang w:val="es-ES_tradnl" w:eastAsia="es-ES"/>
    </w:rPr>
  </w:style>
  <w:style w:type="paragraph" w:customStyle="1" w:styleId="p01">
    <w:name w:val="p01"/>
    <w:basedOn w:val="Normal"/>
    <w:next w:val="p0"/>
    <w:rsid w:val="001B71A1"/>
    <w:pPr>
      <w:keepLines/>
      <w:widowControl/>
      <w:spacing w:before="240" w:after="0" w:line="240" w:lineRule="auto"/>
      <w:jc w:val="both"/>
    </w:pPr>
    <w:rPr>
      <w:rFonts w:ascii="Univers" w:eastAsia="Times New Roman" w:hAnsi="Univers" w:cs="Times New Roman"/>
      <w:color w:val="0000FF"/>
      <w:szCs w:val="20"/>
      <w:lang w:val="es-ES_tradnl" w:eastAsia="es-ES"/>
    </w:rPr>
  </w:style>
  <w:style w:type="character" w:styleId="Refdecomentario">
    <w:name w:val="annotation reference"/>
    <w:basedOn w:val="Fuentedeprrafopredeter"/>
    <w:uiPriority w:val="99"/>
    <w:semiHidden/>
    <w:unhideWhenUsed/>
    <w:rsid w:val="00513CD9"/>
    <w:rPr>
      <w:sz w:val="16"/>
      <w:szCs w:val="16"/>
    </w:rPr>
  </w:style>
  <w:style w:type="paragraph" w:styleId="Textonotaalfinal">
    <w:name w:val="endnote text"/>
    <w:basedOn w:val="Normal"/>
    <w:link w:val="TextonotaalfinalCar"/>
    <w:uiPriority w:val="99"/>
    <w:semiHidden/>
    <w:unhideWhenUsed/>
    <w:rsid w:val="006725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72543"/>
    <w:rPr>
      <w:rFonts w:ascii="Arial" w:hAnsi="Arial"/>
      <w:sz w:val="20"/>
      <w:szCs w:val="20"/>
    </w:rPr>
  </w:style>
  <w:style w:type="character" w:styleId="Refdenotaalfinal">
    <w:name w:val="endnote reference"/>
    <w:basedOn w:val="Fuentedeprrafopredeter"/>
    <w:uiPriority w:val="99"/>
    <w:semiHidden/>
    <w:unhideWhenUsed/>
    <w:rsid w:val="00672543"/>
    <w:rPr>
      <w:vertAlign w:val="superscript"/>
    </w:rPr>
  </w:style>
  <w:style w:type="paragraph" w:styleId="Revisin">
    <w:name w:val="Revision"/>
    <w:hidden/>
    <w:uiPriority w:val="99"/>
    <w:semiHidden/>
    <w:rsid w:val="00F71AD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0876">
      <w:bodyDiv w:val="1"/>
      <w:marLeft w:val="0"/>
      <w:marRight w:val="0"/>
      <w:marTop w:val="0"/>
      <w:marBottom w:val="0"/>
      <w:divBdr>
        <w:top w:val="none" w:sz="0" w:space="0" w:color="auto"/>
        <w:left w:val="none" w:sz="0" w:space="0" w:color="auto"/>
        <w:bottom w:val="none" w:sz="0" w:space="0" w:color="auto"/>
        <w:right w:val="none" w:sz="0" w:space="0" w:color="auto"/>
      </w:divBdr>
    </w:div>
    <w:div w:id="138423886">
      <w:bodyDiv w:val="1"/>
      <w:marLeft w:val="0"/>
      <w:marRight w:val="0"/>
      <w:marTop w:val="0"/>
      <w:marBottom w:val="0"/>
      <w:divBdr>
        <w:top w:val="none" w:sz="0" w:space="0" w:color="auto"/>
        <w:left w:val="none" w:sz="0" w:space="0" w:color="auto"/>
        <w:bottom w:val="none" w:sz="0" w:space="0" w:color="auto"/>
        <w:right w:val="none" w:sz="0" w:space="0" w:color="auto"/>
      </w:divBdr>
    </w:div>
    <w:div w:id="195393756">
      <w:bodyDiv w:val="1"/>
      <w:marLeft w:val="0"/>
      <w:marRight w:val="0"/>
      <w:marTop w:val="0"/>
      <w:marBottom w:val="0"/>
      <w:divBdr>
        <w:top w:val="none" w:sz="0" w:space="0" w:color="auto"/>
        <w:left w:val="none" w:sz="0" w:space="0" w:color="auto"/>
        <w:bottom w:val="none" w:sz="0" w:space="0" w:color="auto"/>
        <w:right w:val="none" w:sz="0" w:space="0" w:color="auto"/>
      </w:divBdr>
    </w:div>
    <w:div w:id="341469420">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413666280">
      <w:bodyDiv w:val="1"/>
      <w:marLeft w:val="0"/>
      <w:marRight w:val="0"/>
      <w:marTop w:val="0"/>
      <w:marBottom w:val="0"/>
      <w:divBdr>
        <w:top w:val="none" w:sz="0" w:space="0" w:color="auto"/>
        <w:left w:val="none" w:sz="0" w:space="0" w:color="auto"/>
        <w:bottom w:val="none" w:sz="0" w:space="0" w:color="auto"/>
        <w:right w:val="none" w:sz="0" w:space="0" w:color="auto"/>
      </w:divBdr>
    </w:div>
    <w:div w:id="534118462">
      <w:bodyDiv w:val="1"/>
      <w:marLeft w:val="0"/>
      <w:marRight w:val="0"/>
      <w:marTop w:val="0"/>
      <w:marBottom w:val="0"/>
      <w:divBdr>
        <w:top w:val="none" w:sz="0" w:space="0" w:color="auto"/>
        <w:left w:val="none" w:sz="0" w:space="0" w:color="auto"/>
        <w:bottom w:val="none" w:sz="0" w:space="0" w:color="auto"/>
        <w:right w:val="none" w:sz="0" w:space="0" w:color="auto"/>
      </w:divBdr>
    </w:div>
    <w:div w:id="578053499">
      <w:bodyDiv w:val="1"/>
      <w:marLeft w:val="0"/>
      <w:marRight w:val="0"/>
      <w:marTop w:val="0"/>
      <w:marBottom w:val="0"/>
      <w:divBdr>
        <w:top w:val="none" w:sz="0" w:space="0" w:color="auto"/>
        <w:left w:val="none" w:sz="0" w:space="0" w:color="auto"/>
        <w:bottom w:val="none" w:sz="0" w:space="0" w:color="auto"/>
        <w:right w:val="none" w:sz="0" w:space="0" w:color="auto"/>
      </w:divBdr>
    </w:div>
    <w:div w:id="685981034">
      <w:bodyDiv w:val="1"/>
      <w:marLeft w:val="0"/>
      <w:marRight w:val="0"/>
      <w:marTop w:val="0"/>
      <w:marBottom w:val="0"/>
      <w:divBdr>
        <w:top w:val="none" w:sz="0" w:space="0" w:color="auto"/>
        <w:left w:val="none" w:sz="0" w:space="0" w:color="auto"/>
        <w:bottom w:val="none" w:sz="0" w:space="0" w:color="auto"/>
        <w:right w:val="none" w:sz="0" w:space="0" w:color="auto"/>
      </w:divBdr>
    </w:div>
    <w:div w:id="720402035">
      <w:bodyDiv w:val="1"/>
      <w:marLeft w:val="0"/>
      <w:marRight w:val="0"/>
      <w:marTop w:val="0"/>
      <w:marBottom w:val="0"/>
      <w:divBdr>
        <w:top w:val="none" w:sz="0" w:space="0" w:color="auto"/>
        <w:left w:val="none" w:sz="0" w:space="0" w:color="auto"/>
        <w:bottom w:val="none" w:sz="0" w:space="0" w:color="auto"/>
        <w:right w:val="none" w:sz="0" w:space="0" w:color="auto"/>
      </w:divBdr>
    </w:div>
    <w:div w:id="773284445">
      <w:bodyDiv w:val="1"/>
      <w:marLeft w:val="0"/>
      <w:marRight w:val="0"/>
      <w:marTop w:val="0"/>
      <w:marBottom w:val="0"/>
      <w:divBdr>
        <w:top w:val="none" w:sz="0" w:space="0" w:color="auto"/>
        <w:left w:val="none" w:sz="0" w:space="0" w:color="auto"/>
        <w:bottom w:val="none" w:sz="0" w:space="0" w:color="auto"/>
        <w:right w:val="none" w:sz="0" w:space="0" w:color="auto"/>
      </w:divBdr>
    </w:div>
    <w:div w:id="830214224">
      <w:bodyDiv w:val="1"/>
      <w:marLeft w:val="0"/>
      <w:marRight w:val="0"/>
      <w:marTop w:val="0"/>
      <w:marBottom w:val="0"/>
      <w:divBdr>
        <w:top w:val="none" w:sz="0" w:space="0" w:color="auto"/>
        <w:left w:val="none" w:sz="0" w:space="0" w:color="auto"/>
        <w:bottom w:val="none" w:sz="0" w:space="0" w:color="auto"/>
        <w:right w:val="none" w:sz="0" w:space="0" w:color="auto"/>
      </w:divBdr>
    </w:div>
    <w:div w:id="850488494">
      <w:bodyDiv w:val="1"/>
      <w:marLeft w:val="0"/>
      <w:marRight w:val="0"/>
      <w:marTop w:val="0"/>
      <w:marBottom w:val="0"/>
      <w:divBdr>
        <w:top w:val="none" w:sz="0" w:space="0" w:color="auto"/>
        <w:left w:val="none" w:sz="0" w:space="0" w:color="auto"/>
        <w:bottom w:val="none" w:sz="0" w:space="0" w:color="auto"/>
        <w:right w:val="none" w:sz="0" w:space="0" w:color="auto"/>
      </w:divBdr>
    </w:div>
    <w:div w:id="898829621">
      <w:bodyDiv w:val="1"/>
      <w:marLeft w:val="0"/>
      <w:marRight w:val="0"/>
      <w:marTop w:val="0"/>
      <w:marBottom w:val="0"/>
      <w:divBdr>
        <w:top w:val="none" w:sz="0" w:space="0" w:color="auto"/>
        <w:left w:val="none" w:sz="0" w:space="0" w:color="auto"/>
        <w:bottom w:val="none" w:sz="0" w:space="0" w:color="auto"/>
        <w:right w:val="none" w:sz="0" w:space="0" w:color="auto"/>
      </w:divBdr>
    </w:div>
    <w:div w:id="946232514">
      <w:bodyDiv w:val="1"/>
      <w:marLeft w:val="0"/>
      <w:marRight w:val="0"/>
      <w:marTop w:val="0"/>
      <w:marBottom w:val="0"/>
      <w:divBdr>
        <w:top w:val="none" w:sz="0" w:space="0" w:color="auto"/>
        <w:left w:val="none" w:sz="0" w:space="0" w:color="auto"/>
        <w:bottom w:val="none" w:sz="0" w:space="0" w:color="auto"/>
        <w:right w:val="none" w:sz="0" w:space="0" w:color="auto"/>
      </w:divBdr>
    </w:div>
    <w:div w:id="948121957">
      <w:bodyDiv w:val="1"/>
      <w:marLeft w:val="0"/>
      <w:marRight w:val="0"/>
      <w:marTop w:val="0"/>
      <w:marBottom w:val="0"/>
      <w:divBdr>
        <w:top w:val="none" w:sz="0" w:space="0" w:color="auto"/>
        <w:left w:val="none" w:sz="0" w:space="0" w:color="auto"/>
        <w:bottom w:val="none" w:sz="0" w:space="0" w:color="auto"/>
        <w:right w:val="none" w:sz="0" w:space="0" w:color="auto"/>
      </w:divBdr>
    </w:div>
    <w:div w:id="1007949324">
      <w:bodyDiv w:val="1"/>
      <w:marLeft w:val="0"/>
      <w:marRight w:val="0"/>
      <w:marTop w:val="0"/>
      <w:marBottom w:val="0"/>
      <w:divBdr>
        <w:top w:val="none" w:sz="0" w:space="0" w:color="auto"/>
        <w:left w:val="none" w:sz="0" w:space="0" w:color="auto"/>
        <w:bottom w:val="none" w:sz="0" w:space="0" w:color="auto"/>
        <w:right w:val="none" w:sz="0" w:space="0" w:color="auto"/>
      </w:divBdr>
    </w:div>
    <w:div w:id="1140343766">
      <w:bodyDiv w:val="1"/>
      <w:marLeft w:val="0"/>
      <w:marRight w:val="0"/>
      <w:marTop w:val="0"/>
      <w:marBottom w:val="0"/>
      <w:divBdr>
        <w:top w:val="none" w:sz="0" w:space="0" w:color="auto"/>
        <w:left w:val="none" w:sz="0" w:space="0" w:color="auto"/>
        <w:bottom w:val="none" w:sz="0" w:space="0" w:color="auto"/>
        <w:right w:val="none" w:sz="0" w:space="0" w:color="auto"/>
      </w:divBdr>
    </w:div>
    <w:div w:id="1142966692">
      <w:bodyDiv w:val="1"/>
      <w:marLeft w:val="0"/>
      <w:marRight w:val="0"/>
      <w:marTop w:val="0"/>
      <w:marBottom w:val="0"/>
      <w:divBdr>
        <w:top w:val="none" w:sz="0" w:space="0" w:color="auto"/>
        <w:left w:val="none" w:sz="0" w:space="0" w:color="auto"/>
        <w:bottom w:val="none" w:sz="0" w:space="0" w:color="auto"/>
        <w:right w:val="none" w:sz="0" w:space="0" w:color="auto"/>
      </w:divBdr>
    </w:div>
    <w:div w:id="1188371178">
      <w:bodyDiv w:val="1"/>
      <w:marLeft w:val="0"/>
      <w:marRight w:val="0"/>
      <w:marTop w:val="0"/>
      <w:marBottom w:val="0"/>
      <w:divBdr>
        <w:top w:val="none" w:sz="0" w:space="0" w:color="auto"/>
        <w:left w:val="none" w:sz="0" w:space="0" w:color="auto"/>
        <w:bottom w:val="none" w:sz="0" w:space="0" w:color="auto"/>
        <w:right w:val="none" w:sz="0" w:space="0" w:color="auto"/>
      </w:divBdr>
    </w:div>
    <w:div w:id="1231891367">
      <w:bodyDiv w:val="1"/>
      <w:marLeft w:val="0"/>
      <w:marRight w:val="0"/>
      <w:marTop w:val="0"/>
      <w:marBottom w:val="0"/>
      <w:divBdr>
        <w:top w:val="none" w:sz="0" w:space="0" w:color="auto"/>
        <w:left w:val="none" w:sz="0" w:space="0" w:color="auto"/>
        <w:bottom w:val="none" w:sz="0" w:space="0" w:color="auto"/>
        <w:right w:val="none" w:sz="0" w:space="0" w:color="auto"/>
      </w:divBdr>
    </w:div>
    <w:div w:id="1265991228">
      <w:bodyDiv w:val="1"/>
      <w:marLeft w:val="0"/>
      <w:marRight w:val="0"/>
      <w:marTop w:val="0"/>
      <w:marBottom w:val="0"/>
      <w:divBdr>
        <w:top w:val="none" w:sz="0" w:space="0" w:color="auto"/>
        <w:left w:val="none" w:sz="0" w:space="0" w:color="auto"/>
        <w:bottom w:val="none" w:sz="0" w:space="0" w:color="auto"/>
        <w:right w:val="none" w:sz="0" w:space="0" w:color="auto"/>
      </w:divBdr>
    </w:div>
    <w:div w:id="1314916670">
      <w:bodyDiv w:val="1"/>
      <w:marLeft w:val="0"/>
      <w:marRight w:val="0"/>
      <w:marTop w:val="0"/>
      <w:marBottom w:val="0"/>
      <w:divBdr>
        <w:top w:val="none" w:sz="0" w:space="0" w:color="auto"/>
        <w:left w:val="none" w:sz="0" w:space="0" w:color="auto"/>
        <w:bottom w:val="none" w:sz="0" w:space="0" w:color="auto"/>
        <w:right w:val="none" w:sz="0" w:space="0" w:color="auto"/>
      </w:divBdr>
    </w:div>
    <w:div w:id="1341928721">
      <w:bodyDiv w:val="1"/>
      <w:marLeft w:val="0"/>
      <w:marRight w:val="0"/>
      <w:marTop w:val="0"/>
      <w:marBottom w:val="0"/>
      <w:divBdr>
        <w:top w:val="none" w:sz="0" w:space="0" w:color="auto"/>
        <w:left w:val="none" w:sz="0" w:space="0" w:color="auto"/>
        <w:bottom w:val="none" w:sz="0" w:space="0" w:color="auto"/>
        <w:right w:val="none" w:sz="0" w:space="0" w:color="auto"/>
      </w:divBdr>
    </w:div>
    <w:div w:id="1551919134">
      <w:bodyDiv w:val="1"/>
      <w:marLeft w:val="0"/>
      <w:marRight w:val="0"/>
      <w:marTop w:val="0"/>
      <w:marBottom w:val="0"/>
      <w:divBdr>
        <w:top w:val="none" w:sz="0" w:space="0" w:color="auto"/>
        <w:left w:val="none" w:sz="0" w:space="0" w:color="auto"/>
        <w:bottom w:val="none" w:sz="0" w:space="0" w:color="auto"/>
        <w:right w:val="none" w:sz="0" w:space="0" w:color="auto"/>
      </w:divBdr>
    </w:div>
    <w:div w:id="1572154255">
      <w:bodyDiv w:val="1"/>
      <w:marLeft w:val="0"/>
      <w:marRight w:val="0"/>
      <w:marTop w:val="0"/>
      <w:marBottom w:val="0"/>
      <w:divBdr>
        <w:top w:val="none" w:sz="0" w:space="0" w:color="auto"/>
        <w:left w:val="none" w:sz="0" w:space="0" w:color="auto"/>
        <w:bottom w:val="none" w:sz="0" w:space="0" w:color="auto"/>
        <w:right w:val="none" w:sz="0" w:space="0" w:color="auto"/>
      </w:divBdr>
    </w:div>
    <w:div w:id="1641611311">
      <w:bodyDiv w:val="1"/>
      <w:marLeft w:val="0"/>
      <w:marRight w:val="0"/>
      <w:marTop w:val="0"/>
      <w:marBottom w:val="0"/>
      <w:divBdr>
        <w:top w:val="none" w:sz="0" w:space="0" w:color="auto"/>
        <w:left w:val="none" w:sz="0" w:space="0" w:color="auto"/>
        <w:bottom w:val="none" w:sz="0" w:space="0" w:color="auto"/>
        <w:right w:val="none" w:sz="0" w:space="0" w:color="auto"/>
      </w:divBdr>
    </w:div>
    <w:div w:id="1680228464">
      <w:bodyDiv w:val="1"/>
      <w:marLeft w:val="0"/>
      <w:marRight w:val="0"/>
      <w:marTop w:val="0"/>
      <w:marBottom w:val="0"/>
      <w:divBdr>
        <w:top w:val="none" w:sz="0" w:space="0" w:color="auto"/>
        <w:left w:val="none" w:sz="0" w:space="0" w:color="auto"/>
        <w:bottom w:val="none" w:sz="0" w:space="0" w:color="auto"/>
        <w:right w:val="none" w:sz="0" w:space="0" w:color="auto"/>
      </w:divBdr>
    </w:div>
    <w:div w:id="1732925054">
      <w:bodyDiv w:val="1"/>
      <w:marLeft w:val="0"/>
      <w:marRight w:val="0"/>
      <w:marTop w:val="0"/>
      <w:marBottom w:val="0"/>
      <w:divBdr>
        <w:top w:val="none" w:sz="0" w:space="0" w:color="auto"/>
        <w:left w:val="none" w:sz="0" w:space="0" w:color="auto"/>
        <w:bottom w:val="none" w:sz="0" w:space="0" w:color="auto"/>
        <w:right w:val="none" w:sz="0" w:space="0" w:color="auto"/>
      </w:divBdr>
    </w:div>
    <w:div w:id="1855071627">
      <w:bodyDiv w:val="1"/>
      <w:marLeft w:val="0"/>
      <w:marRight w:val="0"/>
      <w:marTop w:val="0"/>
      <w:marBottom w:val="0"/>
      <w:divBdr>
        <w:top w:val="none" w:sz="0" w:space="0" w:color="auto"/>
        <w:left w:val="none" w:sz="0" w:space="0" w:color="auto"/>
        <w:bottom w:val="none" w:sz="0" w:space="0" w:color="auto"/>
        <w:right w:val="none" w:sz="0" w:space="0" w:color="auto"/>
      </w:divBdr>
    </w:div>
    <w:div w:id="2048680375">
      <w:bodyDiv w:val="1"/>
      <w:marLeft w:val="0"/>
      <w:marRight w:val="0"/>
      <w:marTop w:val="0"/>
      <w:marBottom w:val="0"/>
      <w:divBdr>
        <w:top w:val="none" w:sz="0" w:space="0" w:color="auto"/>
        <w:left w:val="none" w:sz="0" w:space="0" w:color="auto"/>
        <w:bottom w:val="none" w:sz="0" w:space="0" w:color="auto"/>
        <w:right w:val="none" w:sz="0" w:space="0" w:color="auto"/>
      </w:divBdr>
    </w:div>
    <w:div w:id="211119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https://www.youtube.com/user/INEGIInform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social@inegi.org.mx" TargetMode="Externa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inegi_inform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647BA-5E30-4AB1-A957-B36FF3C3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3871</Words>
  <Characters>21293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Comunicado de Prensa. Sistema de Cuentas por Sectores Institucionales 2019</vt:lpstr>
    </vt:vector>
  </TitlesOfParts>
  <Manager>INEGI</Manager>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Cuentas por Sectores Institucionales 2019</dc:title>
  <dc:subject/>
  <dc:creator>INEGI</dc:creator>
  <cp:keywords/>
  <dc:description/>
  <cp:lastModifiedBy>GUILLEN MEDINA MOISES</cp:lastModifiedBy>
  <cp:revision>8</cp:revision>
  <cp:lastPrinted>2020-11-24T22:58:00Z</cp:lastPrinted>
  <dcterms:created xsi:type="dcterms:W3CDTF">2022-11-29T18:42:00Z</dcterms:created>
  <dcterms:modified xsi:type="dcterms:W3CDTF">2022-11-29T21:36:00Z</dcterms:modified>
</cp:coreProperties>
</file>