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C5ED" w14:textId="77777777" w:rsidR="0056709B" w:rsidRDefault="0056709B" w:rsidP="0056709B">
      <w:pPr>
        <w:pStyle w:val="Textoindependiente"/>
        <w:ind w:left="-567" w:right="-518"/>
        <w:jc w:val="center"/>
        <w:rPr>
          <w:rFonts w:ascii="Arial" w:hAnsi="Arial" w:cs="Arial"/>
          <w:b/>
          <w:color w:val="000000" w:themeColor="text1"/>
          <w:lang w:val="es-MX"/>
        </w:rPr>
      </w:pPr>
      <w:bookmarkStart w:id="0" w:name="_GoBack"/>
      <w:r w:rsidRPr="00142902">
        <w:rPr>
          <w:rFonts w:ascii="Arial" w:hAnsi="Arial" w:cs="Arial"/>
          <w:b/>
          <w:color w:val="000000" w:themeColor="text1"/>
          <w:lang w:val="es-MX"/>
        </w:rPr>
        <w:t>CUENTA SATÉLITE DEL TURISMO DE MÉXICO 202</w:t>
      </w:r>
      <w:r>
        <w:rPr>
          <w:rFonts w:ascii="Arial" w:hAnsi="Arial" w:cs="Arial"/>
          <w:b/>
          <w:color w:val="000000" w:themeColor="text1"/>
          <w:lang w:val="es-MX"/>
        </w:rPr>
        <w:t>1</w:t>
      </w:r>
      <w:bookmarkEnd w:id="0"/>
    </w:p>
    <w:p w14:paraId="4ADB0304" w14:textId="77777777" w:rsidR="0056709B" w:rsidRPr="00142902" w:rsidRDefault="0056709B" w:rsidP="0056709B">
      <w:pPr>
        <w:pStyle w:val="Textoindependiente"/>
        <w:ind w:left="-567" w:right="-518"/>
        <w:jc w:val="center"/>
        <w:rPr>
          <w:rFonts w:ascii="Arial" w:hAnsi="Arial" w:cs="Arial"/>
          <w:b/>
          <w:color w:val="000000" w:themeColor="text1"/>
          <w:lang w:val="es-MX"/>
        </w:rPr>
      </w:pPr>
    </w:p>
    <w:p w14:paraId="4F0F9C33" w14:textId="3AD3E8BF" w:rsidR="0056709B" w:rsidRPr="00552993" w:rsidRDefault="0056709B" w:rsidP="00552993">
      <w:pPr>
        <w:pStyle w:val="Textoindependiente"/>
        <w:numPr>
          <w:ilvl w:val="0"/>
          <w:numId w:val="1"/>
        </w:numPr>
        <w:tabs>
          <w:tab w:val="center" w:pos="3348"/>
        </w:tabs>
        <w:ind w:left="709" w:right="709" w:hanging="283"/>
        <w:rPr>
          <w:rFonts w:ascii="Arial" w:hAnsi="Arial" w:cs="Arial"/>
        </w:rPr>
      </w:pPr>
      <w:r w:rsidRPr="00552993">
        <w:rPr>
          <w:rFonts w:ascii="Arial" w:hAnsi="Arial" w:cs="Arial"/>
        </w:rPr>
        <w:t>E</w:t>
      </w:r>
      <w:r w:rsidRPr="00552993">
        <w:rPr>
          <w:rFonts w:ascii="Arial" w:hAnsi="Arial" w:cs="Arial"/>
          <w:lang w:val="es-MX"/>
        </w:rPr>
        <w:t>n 2021, e</w:t>
      </w:r>
      <w:r w:rsidRPr="00552993">
        <w:rPr>
          <w:rFonts w:ascii="Arial" w:hAnsi="Arial" w:cs="Arial"/>
        </w:rPr>
        <w:t xml:space="preserve">l Producto Interno Bruto </w:t>
      </w:r>
      <w:r w:rsidRPr="00552993">
        <w:rPr>
          <w:rFonts w:ascii="Arial" w:hAnsi="Arial" w:cs="Arial"/>
          <w:lang w:val="es-MX"/>
        </w:rPr>
        <w:t>(PIB</w:t>
      </w:r>
      <w:r w:rsidR="00DB6BE8" w:rsidRPr="00552993">
        <w:rPr>
          <w:rFonts w:ascii="Arial" w:hAnsi="Arial" w:cs="Arial"/>
          <w:lang w:val="es-MX"/>
        </w:rPr>
        <w:t>) del sector</w:t>
      </w:r>
      <w:r w:rsidRPr="00552993">
        <w:rPr>
          <w:rFonts w:ascii="Arial" w:hAnsi="Arial" w:cs="Arial"/>
          <w:lang w:val="es-MX"/>
        </w:rPr>
        <w:t xml:space="preserve"> turístico </w:t>
      </w:r>
      <w:r w:rsidR="0057034C" w:rsidRPr="00552993">
        <w:rPr>
          <w:rFonts w:ascii="Arial" w:hAnsi="Arial" w:cs="Arial"/>
          <w:lang w:val="es-MX"/>
        </w:rPr>
        <w:t>aportó</w:t>
      </w:r>
      <w:r w:rsidRPr="00552993">
        <w:rPr>
          <w:rFonts w:ascii="Arial" w:hAnsi="Arial" w:cs="Arial"/>
        </w:rPr>
        <w:t xml:space="preserve"> </w:t>
      </w:r>
      <w:r w:rsidRPr="00552993">
        <w:rPr>
          <w:rFonts w:ascii="Arial" w:hAnsi="Arial" w:cs="Arial"/>
          <w:lang w:val="es-MX"/>
        </w:rPr>
        <w:t>7.5</w:t>
      </w:r>
      <w:r w:rsidR="00E0049D" w:rsidRPr="00552993">
        <w:rPr>
          <w:rFonts w:ascii="Arial" w:hAnsi="Arial" w:cs="Arial"/>
          <w:lang w:val="es-MX"/>
        </w:rPr>
        <w:t xml:space="preserve"> </w:t>
      </w:r>
      <w:r w:rsidRPr="00552993">
        <w:rPr>
          <w:rFonts w:ascii="Arial" w:hAnsi="Arial" w:cs="Arial"/>
        </w:rPr>
        <w:t xml:space="preserve">% </w:t>
      </w:r>
      <w:r w:rsidR="0057034C" w:rsidRPr="00552993">
        <w:rPr>
          <w:rFonts w:ascii="Arial" w:hAnsi="Arial" w:cs="Arial"/>
          <w:lang w:val="es-MX"/>
        </w:rPr>
        <w:t>del</w:t>
      </w:r>
      <w:r w:rsidRPr="00552993">
        <w:rPr>
          <w:rFonts w:ascii="Arial" w:hAnsi="Arial" w:cs="Arial"/>
        </w:rPr>
        <w:t xml:space="preserve"> PIB nacional</w:t>
      </w:r>
      <w:r w:rsidRPr="00552993">
        <w:rPr>
          <w:rFonts w:ascii="Arial" w:hAnsi="Arial" w:cs="Arial"/>
          <w:lang w:val="es-MX"/>
        </w:rPr>
        <w:t xml:space="preserve">. En 2020, </w:t>
      </w:r>
      <w:r w:rsidR="001C656E">
        <w:rPr>
          <w:rFonts w:ascii="Arial" w:hAnsi="Arial" w:cs="Arial"/>
          <w:lang w:val="es-MX"/>
        </w:rPr>
        <w:t>generó</w:t>
      </w:r>
      <w:r w:rsidRPr="00552993">
        <w:rPr>
          <w:rFonts w:ascii="Arial" w:hAnsi="Arial" w:cs="Arial"/>
        </w:rPr>
        <w:t xml:space="preserve"> </w:t>
      </w:r>
      <w:r w:rsidRPr="00552993">
        <w:rPr>
          <w:rFonts w:ascii="Arial" w:hAnsi="Arial" w:cs="Arial"/>
          <w:lang w:val="es-MX"/>
        </w:rPr>
        <w:t>6.8 por ciento.</w:t>
      </w:r>
    </w:p>
    <w:p w14:paraId="24E83203" w14:textId="17165EF9" w:rsidR="0056709B" w:rsidRPr="00552993" w:rsidRDefault="0056709B" w:rsidP="00552993">
      <w:pPr>
        <w:pStyle w:val="Textoindependiente"/>
        <w:numPr>
          <w:ilvl w:val="0"/>
          <w:numId w:val="1"/>
        </w:numPr>
        <w:tabs>
          <w:tab w:val="center" w:pos="3348"/>
        </w:tabs>
        <w:ind w:left="709" w:right="709" w:hanging="283"/>
        <w:rPr>
          <w:rFonts w:ascii="Arial" w:hAnsi="Arial" w:cs="Arial"/>
        </w:rPr>
      </w:pPr>
      <w:r w:rsidRPr="00552993">
        <w:rPr>
          <w:rFonts w:ascii="Arial" w:hAnsi="Arial" w:cs="Arial"/>
        </w:rPr>
        <w:t>Medido a precios de 2013, el PIB turístico presentó un incremento de 14.9</w:t>
      </w:r>
      <w:r w:rsidR="00E0049D" w:rsidRPr="00552993">
        <w:rPr>
          <w:rFonts w:ascii="Arial" w:hAnsi="Arial" w:cs="Arial"/>
        </w:rPr>
        <w:t xml:space="preserve"> </w:t>
      </w:r>
      <w:r w:rsidRPr="00552993">
        <w:rPr>
          <w:rFonts w:ascii="Arial" w:hAnsi="Arial" w:cs="Arial"/>
        </w:rPr>
        <w:t xml:space="preserve">%, mientras que el total de la economía </w:t>
      </w:r>
      <w:r w:rsidR="0057034C" w:rsidRPr="00552993">
        <w:rPr>
          <w:rFonts w:ascii="Arial" w:hAnsi="Arial" w:cs="Arial"/>
        </w:rPr>
        <w:t xml:space="preserve">aumentó </w:t>
      </w:r>
      <w:r w:rsidRPr="00552993">
        <w:rPr>
          <w:rFonts w:ascii="Arial" w:hAnsi="Arial" w:cs="Arial"/>
        </w:rPr>
        <w:t>4.6</w:t>
      </w:r>
      <w:r w:rsidR="00E0049D" w:rsidRPr="00552993">
        <w:rPr>
          <w:rFonts w:ascii="Arial" w:hAnsi="Arial" w:cs="Arial"/>
        </w:rPr>
        <w:t xml:space="preserve"> </w:t>
      </w:r>
      <w:r w:rsidRPr="00552993">
        <w:rPr>
          <w:rFonts w:ascii="Arial" w:hAnsi="Arial" w:cs="Arial"/>
        </w:rPr>
        <w:t>% en relación con 2020</w:t>
      </w:r>
      <w:r w:rsidRPr="00552993">
        <w:rPr>
          <w:rFonts w:ascii="Arial" w:hAnsi="Arial" w:cs="Arial"/>
          <w:lang w:val="es-MX"/>
        </w:rPr>
        <w:t xml:space="preserve">. </w:t>
      </w:r>
    </w:p>
    <w:p w14:paraId="7AD35CA0" w14:textId="10EC9B83" w:rsidR="0056709B" w:rsidRPr="00552993" w:rsidRDefault="0056709B" w:rsidP="00552993">
      <w:pPr>
        <w:pStyle w:val="Textoindependiente"/>
        <w:numPr>
          <w:ilvl w:val="0"/>
          <w:numId w:val="1"/>
        </w:numPr>
        <w:tabs>
          <w:tab w:val="center" w:pos="3348"/>
        </w:tabs>
        <w:ind w:left="709" w:right="709" w:hanging="283"/>
        <w:rPr>
          <w:rFonts w:ascii="Arial" w:hAnsi="Arial" w:cs="Arial"/>
        </w:rPr>
      </w:pPr>
      <w:r w:rsidRPr="00552993">
        <w:rPr>
          <w:rFonts w:ascii="Arial" w:hAnsi="Arial" w:cs="Arial"/>
          <w:spacing w:val="-6"/>
          <w:lang w:val="es-MX"/>
        </w:rPr>
        <w:t xml:space="preserve">Las actividades turísticas </w:t>
      </w:r>
      <w:r w:rsidRPr="00552993">
        <w:rPr>
          <w:rFonts w:ascii="Arial" w:hAnsi="Arial" w:cs="Arial"/>
          <w:spacing w:val="-6"/>
        </w:rPr>
        <w:t>generaron</w:t>
      </w:r>
      <w:r w:rsidRPr="00552993">
        <w:rPr>
          <w:rFonts w:ascii="Arial" w:hAnsi="Arial" w:cs="Arial"/>
          <w:spacing w:val="-6"/>
          <w:lang w:val="es-MX"/>
        </w:rPr>
        <w:t xml:space="preserve"> 2 173 738 puestos de trabajo</w:t>
      </w:r>
      <w:r w:rsidRPr="00552993">
        <w:rPr>
          <w:rFonts w:ascii="Arial" w:hAnsi="Arial" w:cs="Arial"/>
          <w:lang w:val="es-MX"/>
        </w:rPr>
        <w:t xml:space="preserve"> </w:t>
      </w:r>
      <w:r w:rsidRPr="00552993">
        <w:rPr>
          <w:rFonts w:ascii="Arial" w:hAnsi="Arial" w:cs="Arial"/>
        </w:rPr>
        <w:t>ocupado</w:t>
      </w:r>
      <w:r w:rsidRPr="00552993">
        <w:rPr>
          <w:rFonts w:ascii="Arial" w:hAnsi="Arial" w:cs="Arial"/>
          <w:lang w:val="es-MX"/>
        </w:rPr>
        <w:t xml:space="preserve"> remunerado, </w:t>
      </w:r>
      <w:r w:rsidR="00552993">
        <w:rPr>
          <w:rFonts w:ascii="Arial" w:hAnsi="Arial" w:cs="Arial"/>
          <w:lang w:val="es-MX"/>
        </w:rPr>
        <w:t xml:space="preserve">lo que equivale a </w:t>
      </w:r>
      <w:r w:rsidRPr="00552993">
        <w:rPr>
          <w:rFonts w:ascii="Arial" w:hAnsi="Arial" w:cs="Arial"/>
          <w:lang w:val="es-MX"/>
        </w:rPr>
        <w:t>5.7</w:t>
      </w:r>
      <w:r w:rsidR="00E0049D" w:rsidRPr="00552993">
        <w:rPr>
          <w:rFonts w:ascii="Arial" w:hAnsi="Arial" w:cs="Arial"/>
          <w:lang w:val="es-MX"/>
        </w:rPr>
        <w:t xml:space="preserve"> </w:t>
      </w:r>
      <w:r w:rsidRPr="00552993">
        <w:rPr>
          <w:rFonts w:ascii="Arial" w:hAnsi="Arial" w:cs="Arial"/>
          <w:lang w:val="es-MX"/>
        </w:rPr>
        <w:t>% del total de puestos de trabajo reportados en el país.</w:t>
      </w:r>
    </w:p>
    <w:p w14:paraId="19956787" w14:textId="77777777" w:rsidR="0056709B" w:rsidRPr="00552993" w:rsidRDefault="0056709B" w:rsidP="00C516C9">
      <w:pPr>
        <w:pStyle w:val="Textoindependiente"/>
        <w:ind w:right="-518"/>
        <w:rPr>
          <w:rFonts w:ascii="Arial" w:hAnsi="Arial" w:cs="Arial"/>
        </w:rPr>
      </w:pPr>
    </w:p>
    <w:p w14:paraId="13B17432" w14:textId="535ECDF9" w:rsidR="0056709B" w:rsidRPr="00552993" w:rsidRDefault="0056709B" w:rsidP="00552993">
      <w:pPr>
        <w:tabs>
          <w:tab w:val="left" w:pos="9498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552993">
        <w:rPr>
          <w:rFonts w:ascii="Arial" w:hAnsi="Arial" w:cs="Arial"/>
        </w:rPr>
        <w:t xml:space="preserve">El Instituto Nacional de Estadística y Geografía (INEGI) presenta los resultados de la Cuenta Satélite del Turismo de México </w:t>
      </w:r>
      <w:r w:rsidR="004663AA">
        <w:rPr>
          <w:rFonts w:ascii="Arial" w:hAnsi="Arial" w:cs="Arial"/>
        </w:rPr>
        <w:t xml:space="preserve">(CSTM) </w:t>
      </w:r>
      <w:r w:rsidRPr="00552993">
        <w:rPr>
          <w:rFonts w:ascii="Arial" w:hAnsi="Arial" w:cs="Arial"/>
        </w:rPr>
        <w:t>2021</w:t>
      </w:r>
      <w:r w:rsidR="00552993">
        <w:rPr>
          <w:rFonts w:ascii="Arial" w:hAnsi="Arial" w:cs="Arial"/>
        </w:rPr>
        <w:t xml:space="preserve">. Su </w:t>
      </w:r>
      <w:r w:rsidRPr="00552993">
        <w:rPr>
          <w:rFonts w:ascii="Arial" w:hAnsi="Arial" w:cs="Arial"/>
        </w:rPr>
        <w:t>objetivo</w:t>
      </w:r>
      <w:r w:rsidR="00552993">
        <w:rPr>
          <w:rFonts w:ascii="Arial" w:hAnsi="Arial" w:cs="Arial"/>
        </w:rPr>
        <w:t xml:space="preserve"> es</w:t>
      </w:r>
      <w:r w:rsidRPr="00552993">
        <w:rPr>
          <w:rFonts w:ascii="Arial" w:hAnsi="Arial" w:cs="Arial"/>
        </w:rPr>
        <w:t xml:space="preserve"> delimitar el conjunto de actividades económicas que producen bienes y servicios para </w:t>
      </w:r>
      <w:r w:rsidR="00552993">
        <w:rPr>
          <w:rFonts w:ascii="Arial" w:hAnsi="Arial" w:cs="Arial"/>
        </w:rPr>
        <w:t xml:space="preserve">las y </w:t>
      </w:r>
      <w:r w:rsidRPr="00552993">
        <w:rPr>
          <w:rFonts w:ascii="Arial" w:hAnsi="Arial" w:cs="Arial"/>
        </w:rPr>
        <w:t xml:space="preserve">los visitantes </w:t>
      </w:r>
      <w:r w:rsidR="001C656E">
        <w:rPr>
          <w:rFonts w:ascii="Arial" w:hAnsi="Arial" w:cs="Arial"/>
        </w:rPr>
        <w:t xml:space="preserve">y, con ello, </w:t>
      </w:r>
      <w:r w:rsidRPr="00552993">
        <w:rPr>
          <w:rFonts w:ascii="Arial" w:hAnsi="Arial" w:cs="Arial"/>
        </w:rPr>
        <w:t>dar a conocer</w:t>
      </w:r>
      <w:r w:rsidR="001C656E">
        <w:rPr>
          <w:rFonts w:ascii="Arial" w:hAnsi="Arial" w:cs="Arial"/>
        </w:rPr>
        <w:t xml:space="preserve"> </w:t>
      </w:r>
      <w:r w:rsidRPr="00552993">
        <w:rPr>
          <w:rFonts w:ascii="Arial" w:hAnsi="Arial" w:cs="Arial"/>
        </w:rPr>
        <w:t>indicadores</w:t>
      </w:r>
      <w:r w:rsidR="001C656E">
        <w:rPr>
          <w:rFonts w:ascii="Arial" w:hAnsi="Arial" w:cs="Arial"/>
        </w:rPr>
        <w:t xml:space="preserve"> como</w:t>
      </w:r>
      <w:r w:rsidRPr="00552993">
        <w:rPr>
          <w:rFonts w:ascii="Arial" w:hAnsi="Arial" w:cs="Arial"/>
        </w:rPr>
        <w:t xml:space="preserve"> la participación del Producto Interno Bruto (PIB) </w:t>
      </w:r>
      <w:r w:rsidR="002A6319">
        <w:rPr>
          <w:rFonts w:ascii="Arial" w:hAnsi="Arial" w:cs="Arial"/>
        </w:rPr>
        <w:t xml:space="preserve">que </w:t>
      </w:r>
      <w:r w:rsidRPr="00552993">
        <w:rPr>
          <w:rFonts w:ascii="Arial" w:hAnsi="Arial" w:cs="Arial"/>
        </w:rPr>
        <w:t>genera</w:t>
      </w:r>
      <w:r w:rsidR="002A6319">
        <w:rPr>
          <w:rFonts w:ascii="Arial" w:hAnsi="Arial" w:cs="Arial"/>
        </w:rPr>
        <w:t>n</w:t>
      </w:r>
      <w:r w:rsidRPr="00552993">
        <w:rPr>
          <w:rFonts w:ascii="Arial" w:hAnsi="Arial" w:cs="Arial"/>
        </w:rPr>
        <w:t xml:space="preserve"> las actividades turísticas</w:t>
      </w:r>
      <w:r w:rsidR="002A6319">
        <w:rPr>
          <w:rFonts w:ascii="Arial" w:hAnsi="Arial" w:cs="Arial"/>
        </w:rPr>
        <w:t>,</w:t>
      </w:r>
      <w:r w:rsidR="00552993" w:rsidRPr="00552993">
        <w:rPr>
          <w:rStyle w:val="Refdenotaalpie"/>
          <w:rFonts w:ascii="Arial" w:hAnsi="Arial" w:cs="Arial"/>
        </w:rPr>
        <w:footnoteReference w:id="1"/>
      </w:r>
      <w:r w:rsidRPr="00552993">
        <w:rPr>
          <w:rFonts w:ascii="Arial" w:hAnsi="Arial" w:cs="Arial"/>
        </w:rPr>
        <w:t xml:space="preserve"> en relación con el total de la economía.</w:t>
      </w:r>
    </w:p>
    <w:p w14:paraId="19C366F3" w14:textId="77777777" w:rsidR="0056709B" w:rsidRPr="00552993" w:rsidRDefault="0056709B" w:rsidP="00552993">
      <w:pPr>
        <w:pStyle w:val="Textoindependiente"/>
        <w:ind w:right="-142"/>
        <w:rPr>
          <w:rFonts w:ascii="Arial" w:hAnsi="Arial" w:cs="Arial"/>
        </w:rPr>
      </w:pPr>
    </w:p>
    <w:p w14:paraId="7851485F" w14:textId="6D03DB06" w:rsidR="0056709B" w:rsidRPr="00552993" w:rsidRDefault="0056709B" w:rsidP="00552993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552993">
        <w:rPr>
          <w:rFonts w:ascii="Arial" w:hAnsi="Arial" w:cs="Arial"/>
        </w:rPr>
        <w:t>Este trabajo</w:t>
      </w:r>
      <w:r w:rsidR="00552993">
        <w:rPr>
          <w:rFonts w:ascii="Arial" w:hAnsi="Arial" w:cs="Arial"/>
        </w:rPr>
        <w:t>,</w:t>
      </w:r>
      <w:r w:rsidRPr="00552993">
        <w:rPr>
          <w:rFonts w:ascii="Arial" w:hAnsi="Arial" w:cs="Arial"/>
        </w:rPr>
        <w:t xml:space="preserve"> que forma parte del Sistema de Cuentas Nacionales de México (SCNM), enriquece la base informativa sobre la que se sustenta el conocimiento del desarrollo económico y turístico del país</w:t>
      </w:r>
      <w:r w:rsidR="00552993">
        <w:rPr>
          <w:rFonts w:ascii="Arial" w:hAnsi="Arial" w:cs="Arial"/>
        </w:rPr>
        <w:t xml:space="preserve">. Además, </w:t>
      </w:r>
      <w:r w:rsidRPr="00552993">
        <w:rPr>
          <w:rFonts w:ascii="Arial" w:hAnsi="Arial" w:cs="Arial"/>
        </w:rPr>
        <w:t>proporciona información económica para la toma de decisiones en el sector.</w:t>
      </w:r>
    </w:p>
    <w:p w14:paraId="5D3065B6" w14:textId="72C9D514" w:rsidR="00DB6BE8" w:rsidRPr="00552993" w:rsidRDefault="00DB6BE8" w:rsidP="00DB6BE8">
      <w:pPr>
        <w:pStyle w:val="Textodebloque1"/>
        <w:spacing w:before="100" w:beforeAutospacing="1"/>
        <w:ind w:left="0" w:right="-516" w:firstLine="0"/>
        <w:rPr>
          <w:rFonts w:ascii="Arial" w:hAnsi="Arial" w:cs="Arial"/>
          <w:iCs/>
          <w:smallCaps/>
          <w:sz w:val="24"/>
          <w:szCs w:val="24"/>
        </w:rPr>
      </w:pPr>
      <w:r w:rsidRPr="00552993">
        <w:rPr>
          <w:rFonts w:ascii="Arial" w:hAnsi="Arial" w:cs="Arial"/>
          <w:iCs/>
          <w:smallCaps/>
          <w:sz w:val="24"/>
          <w:szCs w:val="24"/>
        </w:rPr>
        <w:t xml:space="preserve">Principales </w:t>
      </w:r>
      <w:r w:rsidRPr="00DB6BE8">
        <w:rPr>
          <w:rFonts w:ascii="Arial" w:hAnsi="Arial" w:cs="Arial"/>
          <w:iCs/>
          <w:smallCaps/>
          <w:sz w:val="24"/>
          <w:szCs w:val="24"/>
        </w:rPr>
        <w:t>r</w:t>
      </w:r>
      <w:r w:rsidRPr="00552993">
        <w:rPr>
          <w:rFonts w:ascii="Arial" w:hAnsi="Arial" w:cs="Arial"/>
          <w:iCs/>
          <w:smallCaps/>
          <w:sz w:val="24"/>
          <w:szCs w:val="24"/>
        </w:rPr>
        <w:t>esultados</w:t>
      </w:r>
    </w:p>
    <w:p w14:paraId="24BADE5F" w14:textId="77777777" w:rsidR="00DB6BE8" w:rsidRPr="00552993" w:rsidRDefault="00DB6BE8" w:rsidP="00552993">
      <w:pPr>
        <w:pStyle w:val="n01"/>
        <w:keepLines w:val="0"/>
        <w:spacing w:before="100" w:beforeAutospacing="1"/>
        <w:ind w:left="567" w:right="-516" w:firstLine="0"/>
        <w:outlineLvl w:val="0"/>
        <w:rPr>
          <w:rFonts w:ascii="Arial" w:hAnsi="Arial" w:cs="Arial"/>
          <w:b/>
          <w:color w:val="auto"/>
          <w:szCs w:val="24"/>
          <w:lang w:val="es-MX"/>
        </w:rPr>
      </w:pPr>
      <w:r w:rsidRPr="00552993">
        <w:rPr>
          <w:rFonts w:ascii="Arial" w:hAnsi="Arial" w:cs="Arial"/>
          <w:b/>
          <w:color w:val="auto"/>
          <w:szCs w:val="24"/>
          <w:lang w:val="es-MX"/>
        </w:rPr>
        <w:t>PIB del turismo</w:t>
      </w:r>
    </w:p>
    <w:p w14:paraId="2FF1A187" w14:textId="3BFCD4AC" w:rsidR="00DB6BE8" w:rsidRPr="00DB6BE8" w:rsidRDefault="00DB6BE8" w:rsidP="00552993">
      <w:pPr>
        <w:pStyle w:val="Textoindependiente"/>
        <w:spacing w:before="100" w:beforeAutospacing="1"/>
        <w:ind w:right="-142"/>
        <w:rPr>
          <w:rFonts w:ascii="Arial" w:hAnsi="Arial" w:cs="Arial"/>
          <w:lang w:val="es-MX"/>
        </w:rPr>
      </w:pPr>
      <w:r w:rsidRPr="00DB6BE8">
        <w:rPr>
          <w:rFonts w:ascii="Arial" w:hAnsi="Arial" w:cs="Arial"/>
          <w:lang w:val="es-MX"/>
        </w:rPr>
        <w:t>En 2021, el PIB turístico alcanzó un monto de 1 805 328 millones de pesos</w:t>
      </w:r>
      <w:r w:rsidR="00552993">
        <w:rPr>
          <w:rFonts w:ascii="Arial" w:hAnsi="Arial" w:cs="Arial"/>
          <w:lang w:val="es-MX"/>
        </w:rPr>
        <w:t xml:space="preserve">, lo que </w:t>
      </w:r>
      <w:r w:rsidRPr="00DB6BE8">
        <w:rPr>
          <w:rFonts w:ascii="Arial" w:hAnsi="Arial" w:cs="Arial"/>
          <w:lang w:val="es-MX"/>
        </w:rPr>
        <w:t xml:space="preserve">significó una participación de 7.5 % </w:t>
      </w:r>
      <w:r w:rsidRPr="00B31268">
        <w:rPr>
          <w:rFonts w:ascii="Arial" w:hAnsi="Arial" w:cs="Arial"/>
          <w:spacing w:val="6"/>
          <w:lang w:val="es-MX"/>
        </w:rPr>
        <w:t>respecto al PIB nacional</w:t>
      </w:r>
      <w:r w:rsidRPr="00DB6BE8">
        <w:rPr>
          <w:rFonts w:ascii="Arial" w:hAnsi="Arial" w:cs="Arial"/>
          <w:lang w:val="es-MX"/>
        </w:rPr>
        <w:t xml:space="preserve">. </w:t>
      </w:r>
      <w:r w:rsidRPr="00B31268">
        <w:rPr>
          <w:rFonts w:ascii="Arial" w:hAnsi="Arial" w:cs="Arial"/>
          <w:spacing w:val="6"/>
          <w:lang w:val="es-MX"/>
        </w:rPr>
        <w:t xml:space="preserve">Esta participación </w:t>
      </w:r>
      <w:r w:rsidR="002A6319" w:rsidRPr="00B31268">
        <w:rPr>
          <w:rFonts w:ascii="Arial" w:hAnsi="Arial" w:cs="Arial"/>
          <w:spacing w:val="6"/>
          <w:lang w:val="es-MX"/>
        </w:rPr>
        <w:t>fue</w:t>
      </w:r>
      <w:r w:rsidRPr="00B31268">
        <w:rPr>
          <w:rFonts w:ascii="Arial" w:hAnsi="Arial" w:cs="Arial"/>
          <w:spacing w:val="6"/>
          <w:lang w:val="es-MX"/>
        </w:rPr>
        <w:t xml:space="preserve"> mayor a la </w:t>
      </w:r>
      <w:r w:rsidR="002A6319" w:rsidRPr="00B31268">
        <w:rPr>
          <w:rFonts w:ascii="Arial" w:hAnsi="Arial" w:cs="Arial"/>
          <w:spacing w:val="6"/>
          <w:lang w:val="es-MX"/>
        </w:rPr>
        <w:t>de</w:t>
      </w:r>
      <w:r w:rsidRPr="00B31268">
        <w:rPr>
          <w:rFonts w:ascii="Arial" w:hAnsi="Arial" w:cs="Arial"/>
          <w:spacing w:val="6"/>
          <w:lang w:val="es-MX"/>
        </w:rPr>
        <w:t xml:space="preserve"> 2020</w:t>
      </w:r>
      <w:r w:rsidR="00552993">
        <w:rPr>
          <w:rFonts w:ascii="Arial" w:hAnsi="Arial" w:cs="Arial"/>
          <w:lang w:val="es-MX"/>
        </w:rPr>
        <w:t xml:space="preserve"> </w:t>
      </w:r>
      <w:r w:rsidR="009D5B6D">
        <w:rPr>
          <w:rFonts w:ascii="Arial" w:hAnsi="Arial" w:cs="Arial"/>
          <w:lang w:val="es-MX"/>
        </w:rPr>
        <w:t>(</w:t>
      </w:r>
      <w:r w:rsidR="00552993">
        <w:rPr>
          <w:rFonts w:ascii="Arial" w:hAnsi="Arial" w:cs="Arial"/>
          <w:lang w:val="es-MX"/>
        </w:rPr>
        <w:t>6.8 %</w:t>
      </w:r>
      <w:r w:rsidR="009D5B6D">
        <w:rPr>
          <w:rFonts w:ascii="Arial" w:hAnsi="Arial" w:cs="Arial"/>
          <w:lang w:val="es-MX"/>
        </w:rPr>
        <w:t>)</w:t>
      </w:r>
      <w:r w:rsidR="00552993">
        <w:rPr>
          <w:rFonts w:ascii="Arial" w:hAnsi="Arial" w:cs="Arial"/>
          <w:lang w:val="es-MX"/>
        </w:rPr>
        <w:t>.</w:t>
      </w:r>
    </w:p>
    <w:p w14:paraId="63CE88AA" w14:textId="77777777" w:rsidR="00DB6BE8" w:rsidRPr="00552993" w:rsidRDefault="00DB6BE8" w:rsidP="00552993">
      <w:pPr>
        <w:tabs>
          <w:tab w:val="left" w:pos="4111"/>
          <w:tab w:val="left" w:pos="4253"/>
        </w:tabs>
        <w:spacing w:before="100" w:beforeAutospacing="1"/>
        <w:ind w:right="-142"/>
        <w:jc w:val="center"/>
        <w:rPr>
          <w:rFonts w:ascii="Arial" w:hAnsi="Arial" w:cs="Arial"/>
          <w:sz w:val="20"/>
          <w:szCs w:val="20"/>
        </w:rPr>
      </w:pPr>
      <w:r w:rsidRPr="00552993">
        <w:rPr>
          <w:rFonts w:ascii="Arial" w:hAnsi="Arial" w:cs="Arial"/>
          <w:sz w:val="20"/>
          <w:szCs w:val="20"/>
        </w:rPr>
        <w:t>Gráfica 1</w:t>
      </w:r>
    </w:p>
    <w:p w14:paraId="055DCCAF" w14:textId="541A4A57" w:rsidR="00DB6BE8" w:rsidRPr="00EE5846" w:rsidRDefault="00DB6BE8" w:rsidP="00552993">
      <w:pPr>
        <w:pStyle w:val="Textoindependiente"/>
        <w:ind w:right="-142"/>
        <w:jc w:val="center"/>
        <w:rPr>
          <w:rFonts w:ascii="Arial" w:hAnsi="Arial" w:cs="Arial"/>
          <w:b/>
          <w:iCs/>
          <w:smallCaps/>
          <w:sz w:val="22"/>
          <w:szCs w:val="22"/>
        </w:rPr>
      </w:pPr>
      <w:r w:rsidRPr="00EE5846">
        <w:rPr>
          <w:rFonts w:ascii="Arial" w:hAnsi="Arial" w:cs="Arial"/>
          <w:b/>
          <w:iCs/>
          <w:smallCaps/>
          <w:sz w:val="22"/>
          <w:szCs w:val="22"/>
        </w:rPr>
        <w:t xml:space="preserve">Producto Interno Bruto </w:t>
      </w:r>
      <w:r w:rsidR="002A6319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del sector </w:t>
      </w:r>
      <w:r w:rsidRPr="00EE5846">
        <w:rPr>
          <w:rFonts w:ascii="Arial" w:hAnsi="Arial" w:cs="Arial"/>
          <w:b/>
          <w:iCs/>
          <w:smallCaps/>
          <w:sz w:val="22"/>
          <w:szCs w:val="22"/>
        </w:rPr>
        <w:t>turístico</w:t>
      </w:r>
    </w:p>
    <w:p w14:paraId="7A8210C4" w14:textId="77777777" w:rsidR="00DB6BE8" w:rsidRPr="00EE5846" w:rsidRDefault="00DB6BE8" w:rsidP="00552993">
      <w:pPr>
        <w:pStyle w:val="Textoindependiente"/>
        <w:ind w:right="-142"/>
        <w:jc w:val="center"/>
        <w:rPr>
          <w:rFonts w:ascii="Arial" w:hAnsi="Arial" w:cs="Arial"/>
          <w:sz w:val="18"/>
          <w:szCs w:val="18"/>
        </w:rPr>
      </w:pPr>
      <w:r w:rsidRPr="00EE5846">
        <w:rPr>
          <w:rFonts w:ascii="Arial" w:hAnsi="Arial" w:cs="Arial"/>
          <w:sz w:val="18"/>
          <w:szCs w:val="18"/>
        </w:rPr>
        <w:t>(</w:t>
      </w:r>
      <w:r w:rsidRPr="00EE5846">
        <w:rPr>
          <w:rFonts w:ascii="Arial" w:hAnsi="Arial" w:cs="Arial"/>
          <w:sz w:val="18"/>
          <w:szCs w:val="18"/>
          <w:lang w:val="es-MX"/>
        </w:rPr>
        <w:t>Participación porcentual anual</w:t>
      </w:r>
      <w:r w:rsidRPr="00EE5846">
        <w:rPr>
          <w:rFonts w:ascii="Arial" w:hAnsi="Arial" w:cs="Arial"/>
          <w:sz w:val="18"/>
          <w:szCs w:val="18"/>
        </w:rPr>
        <w:t>)</w:t>
      </w:r>
    </w:p>
    <w:p w14:paraId="6ACA1C12" w14:textId="77777777" w:rsidR="00DB6BE8" w:rsidRPr="000353D6" w:rsidRDefault="00DB6BE8" w:rsidP="00552993">
      <w:pPr>
        <w:pStyle w:val="Textoindependiente"/>
        <w:spacing w:after="40"/>
        <w:ind w:left="284" w:right="-142" w:hanging="284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4624509A" wp14:editId="094DCFFC">
            <wp:extent cx="4914900" cy="20574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06067-0432-441C-99B3-F434B7F991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A3DBE4" w14:textId="77777777" w:rsidR="00DB6BE8" w:rsidRDefault="00DB6BE8" w:rsidP="00552993">
      <w:pPr>
        <w:pStyle w:val="Textoindependiente"/>
        <w:tabs>
          <w:tab w:val="left" w:pos="567"/>
        </w:tabs>
        <w:spacing w:after="240"/>
        <w:ind w:left="426" w:firstLine="850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6A10BE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</w:p>
    <w:p w14:paraId="3737B5AF" w14:textId="57965F4B" w:rsidR="00DB6BE8" w:rsidRPr="006C4C12" w:rsidRDefault="00DB6BE8" w:rsidP="00552993">
      <w:pPr>
        <w:pStyle w:val="Textoindependiente"/>
        <w:tabs>
          <w:tab w:val="center" w:pos="3348"/>
        </w:tabs>
        <w:spacing w:after="100" w:afterAutospacing="1"/>
        <w:ind w:right="-142"/>
        <w:rPr>
          <w:rFonts w:ascii="Arial" w:hAnsi="Arial" w:cs="Arial"/>
          <w:lang w:val="es-MX"/>
        </w:rPr>
      </w:pPr>
      <w:r w:rsidRPr="006C4C12">
        <w:rPr>
          <w:rFonts w:ascii="Arial" w:hAnsi="Arial" w:cs="Arial"/>
          <w:lang w:val="es-MX"/>
        </w:rPr>
        <w:lastRenderedPageBreak/>
        <w:t xml:space="preserve">Entre las principales actividades </w:t>
      </w:r>
      <w:r w:rsidR="002A6319">
        <w:rPr>
          <w:rFonts w:ascii="Arial" w:hAnsi="Arial" w:cs="Arial"/>
          <w:lang w:val="es-MX"/>
        </w:rPr>
        <w:t>del sector Turismo</w:t>
      </w:r>
      <w:r w:rsidRPr="006C4C12">
        <w:rPr>
          <w:rFonts w:ascii="Arial" w:hAnsi="Arial" w:cs="Arial"/>
          <w:lang w:val="es-MX"/>
        </w:rPr>
        <w:t xml:space="preserve"> destaca</w:t>
      </w:r>
      <w:r w:rsidR="002A6319">
        <w:rPr>
          <w:rFonts w:ascii="Arial" w:hAnsi="Arial" w:cs="Arial"/>
          <w:lang w:val="es-MX"/>
        </w:rPr>
        <w:t>ro</w:t>
      </w:r>
      <w:r w:rsidRPr="006C4C12">
        <w:rPr>
          <w:rFonts w:ascii="Arial" w:hAnsi="Arial" w:cs="Arial"/>
          <w:lang w:val="es-MX"/>
        </w:rPr>
        <w:t xml:space="preserve">n los </w:t>
      </w:r>
      <w:r w:rsidRPr="00552993">
        <w:rPr>
          <w:rFonts w:ascii="Arial" w:hAnsi="Arial" w:cs="Arial"/>
          <w:i/>
          <w:lang w:val="es-MX"/>
        </w:rPr>
        <w:t>servicios de alojamiento</w:t>
      </w:r>
      <w:r w:rsidR="002A6319">
        <w:rPr>
          <w:rFonts w:ascii="Arial" w:hAnsi="Arial" w:cs="Arial"/>
          <w:lang w:val="es-MX"/>
        </w:rPr>
        <w:t xml:space="preserve"> </w:t>
      </w:r>
      <w:r w:rsidR="002A6319" w:rsidRPr="00552993">
        <w:rPr>
          <w:rFonts w:ascii="Arial" w:hAnsi="Arial" w:cs="Arial"/>
          <w:i/>
          <w:lang w:val="es-MX"/>
        </w:rPr>
        <w:t>para visitantes</w:t>
      </w:r>
      <w:r w:rsidRPr="006C4C12">
        <w:rPr>
          <w:rFonts w:ascii="Arial" w:hAnsi="Arial" w:cs="Arial"/>
          <w:lang w:val="es-MX"/>
        </w:rPr>
        <w:t xml:space="preserve">, el </w:t>
      </w:r>
      <w:r w:rsidRPr="00552993">
        <w:rPr>
          <w:rFonts w:ascii="Arial" w:hAnsi="Arial" w:cs="Arial"/>
          <w:i/>
          <w:lang w:val="es-MX"/>
        </w:rPr>
        <w:t>transporte de pasajeros</w:t>
      </w:r>
      <w:r w:rsidRPr="006C4C12">
        <w:rPr>
          <w:rFonts w:ascii="Arial" w:hAnsi="Arial" w:cs="Arial"/>
          <w:lang w:val="es-MX"/>
        </w:rPr>
        <w:t xml:space="preserve"> y el servicio de </w:t>
      </w:r>
      <w:r w:rsidRPr="00552993">
        <w:rPr>
          <w:rFonts w:ascii="Arial" w:hAnsi="Arial" w:cs="Arial"/>
          <w:i/>
          <w:lang w:val="es-MX"/>
        </w:rPr>
        <w:t>restaurantes, bares y centros nocturnos</w:t>
      </w:r>
      <w:r w:rsidR="00B31268">
        <w:rPr>
          <w:rFonts w:ascii="Arial" w:hAnsi="Arial" w:cs="Arial"/>
          <w:iCs/>
          <w:lang w:val="es-MX"/>
        </w:rPr>
        <w:t xml:space="preserve"> </w:t>
      </w:r>
      <w:r w:rsidR="009D5B6D">
        <w:rPr>
          <w:rFonts w:ascii="Arial" w:hAnsi="Arial" w:cs="Arial"/>
          <w:iCs/>
          <w:lang w:val="es-MX"/>
        </w:rPr>
        <w:t xml:space="preserve">con </w:t>
      </w:r>
      <w:r w:rsidR="00B31268">
        <w:rPr>
          <w:rFonts w:ascii="Arial" w:hAnsi="Arial" w:cs="Arial"/>
          <w:iCs/>
          <w:lang w:val="es-MX"/>
        </w:rPr>
        <w:t>2.4</w:t>
      </w:r>
      <w:r w:rsidR="00FF349A">
        <w:rPr>
          <w:rFonts w:ascii="Arial" w:hAnsi="Arial" w:cs="Arial"/>
          <w:iCs/>
          <w:lang w:val="es-MX"/>
        </w:rPr>
        <w:t xml:space="preserve"> </w:t>
      </w:r>
      <w:r w:rsidR="00B31268">
        <w:rPr>
          <w:rFonts w:ascii="Arial" w:hAnsi="Arial" w:cs="Arial"/>
          <w:iCs/>
          <w:lang w:val="es-MX"/>
        </w:rPr>
        <w:t>%, 1.2</w:t>
      </w:r>
      <w:r w:rsidR="00FF349A">
        <w:rPr>
          <w:rFonts w:ascii="Arial" w:hAnsi="Arial" w:cs="Arial"/>
          <w:iCs/>
          <w:lang w:val="es-MX"/>
        </w:rPr>
        <w:t xml:space="preserve"> </w:t>
      </w:r>
      <w:r w:rsidR="00B31268">
        <w:rPr>
          <w:rFonts w:ascii="Arial" w:hAnsi="Arial" w:cs="Arial"/>
          <w:iCs/>
          <w:lang w:val="es-MX"/>
        </w:rPr>
        <w:t>% y 1.1</w:t>
      </w:r>
      <w:r w:rsidR="00FF349A">
        <w:rPr>
          <w:rFonts w:ascii="Arial" w:hAnsi="Arial" w:cs="Arial"/>
          <w:iCs/>
          <w:lang w:val="es-MX"/>
        </w:rPr>
        <w:t xml:space="preserve"> </w:t>
      </w:r>
      <w:r w:rsidR="00B31268">
        <w:rPr>
          <w:rFonts w:ascii="Arial" w:hAnsi="Arial" w:cs="Arial"/>
          <w:iCs/>
          <w:lang w:val="es-MX"/>
        </w:rPr>
        <w:t>%, respectivamente</w:t>
      </w:r>
      <w:r w:rsidRPr="006C4C1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</w:p>
    <w:p w14:paraId="6F41DE14" w14:textId="77777777" w:rsidR="00DB6BE8" w:rsidRPr="00552993" w:rsidRDefault="00DB6BE8" w:rsidP="00552993">
      <w:pPr>
        <w:ind w:right="-142"/>
        <w:jc w:val="center"/>
        <w:rPr>
          <w:rFonts w:ascii="Arial" w:hAnsi="Arial" w:cs="Arial"/>
          <w:sz w:val="20"/>
          <w:szCs w:val="20"/>
          <w:lang w:eastAsia="x-none"/>
        </w:rPr>
      </w:pPr>
      <w:r w:rsidRPr="00552993">
        <w:rPr>
          <w:rFonts w:ascii="Arial" w:hAnsi="Arial" w:cs="Arial"/>
          <w:sz w:val="20"/>
          <w:szCs w:val="20"/>
        </w:rPr>
        <w:t>Cuadro 1</w:t>
      </w:r>
    </w:p>
    <w:p w14:paraId="4CF1877F" w14:textId="3291520E" w:rsidR="00DB6BE8" w:rsidRPr="00102B54" w:rsidRDefault="00DB6BE8" w:rsidP="00B31268">
      <w:pPr>
        <w:spacing w:line="259" w:lineRule="auto"/>
        <w:ind w:left="851" w:right="1134"/>
        <w:jc w:val="center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iCs/>
          <w:smallCaps/>
          <w:sz w:val="22"/>
          <w:szCs w:val="22"/>
        </w:rPr>
        <w:t xml:space="preserve">Distribución del Producto Interno Bruto </w:t>
      </w:r>
      <w:r w:rsidR="002A6319">
        <w:rPr>
          <w:rFonts w:ascii="Arial" w:hAnsi="Arial" w:cs="Arial"/>
          <w:b/>
          <w:iCs/>
          <w:smallCaps/>
          <w:sz w:val="22"/>
          <w:szCs w:val="22"/>
        </w:rPr>
        <w:t xml:space="preserve">del sector </w:t>
      </w:r>
      <w:r>
        <w:rPr>
          <w:rFonts w:ascii="Arial" w:hAnsi="Arial" w:cs="Arial"/>
          <w:b/>
          <w:iCs/>
          <w:smallCaps/>
          <w:sz w:val="22"/>
          <w:szCs w:val="22"/>
        </w:rPr>
        <w:t>turístico</w:t>
      </w:r>
      <w:r w:rsidR="00B31268">
        <w:rPr>
          <w:rFonts w:ascii="Arial" w:hAnsi="Arial" w:cs="Arial"/>
          <w:b/>
          <w:iCs/>
          <w:smallCaps/>
          <w:sz w:val="22"/>
          <w:szCs w:val="22"/>
        </w:rPr>
        <w:t xml:space="preserve"> y su Contribución al PIB nacional</w:t>
      </w:r>
    </w:p>
    <w:p w14:paraId="68E7F212" w14:textId="77777777" w:rsidR="00DB6BE8" w:rsidRPr="0041288F" w:rsidRDefault="00DB6BE8" w:rsidP="00552993">
      <w:pPr>
        <w:pStyle w:val="Textoindependiente"/>
        <w:ind w:left="426" w:right="-142"/>
        <w:jc w:val="center"/>
        <w:rPr>
          <w:rFonts w:ascii="Arial" w:hAnsi="Arial" w:cs="Arial"/>
          <w:sz w:val="18"/>
          <w:szCs w:val="18"/>
        </w:rPr>
      </w:pPr>
      <w:r w:rsidRPr="0080258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  <w:lang w:val="es-MX"/>
        </w:rPr>
        <w:t>Millones de pesos corrientes y estructura</w:t>
      </w:r>
      <w:r w:rsidRPr="0080258B">
        <w:rPr>
          <w:rFonts w:ascii="Arial" w:hAnsi="Arial" w:cs="Arial"/>
          <w:sz w:val="18"/>
          <w:szCs w:val="18"/>
          <w:lang w:val="es-MX"/>
        </w:rPr>
        <w:t xml:space="preserve"> porcentual</w:t>
      </w:r>
      <w:r>
        <w:rPr>
          <w:rFonts w:ascii="Arial" w:hAnsi="Arial" w:cs="Arial"/>
          <w:sz w:val="18"/>
          <w:szCs w:val="18"/>
          <w:lang w:val="es-MX"/>
        </w:rPr>
        <w:t xml:space="preserve"> anual</w:t>
      </w:r>
      <w:r w:rsidRPr="0080258B">
        <w:rPr>
          <w:rFonts w:ascii="Arial" w:hAnsi="Arial" w:cs="Arial"/>
          <w:sz w:val="18"/>
          <w:szCs w:val="18"/>
        </w:rPr>
        <w:t>)</w:t>
      </w:r>
    </w:p>
    <w:tbl>
      <w:tblPr>
        <w:tblW w:w="9089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200"/>
        <w:gridCol w:w="1200"/>
        <w:gridCol w:w="1106"/>
        <w:gridCol w:w="1043"/>
      </w:tblGrid>
      <w:tr w:rsidR="00DB6BE8" w:rsidRPr="008B067B" w14:paraId="152FB62A" w14:textId="77777777" w:rsidTr="001C656E">
        <w:trPr>
          <w:trHeight w:val="315"/>
        </w:trPr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53E7BB3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691C4FBA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E2B7A45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2149" w:type="dxa"/>
            <w:gridSpan w:val="2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64FE91E4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Estructura porcentual</w:t>
            </w:r>
          </w:p>
        </w:tc>
      </w:tr>
      <w:tr w:rsidR="00DB6BE8" w:rsidRPr="008B067B" w14:paraId="688A5B36" w14:textId="77777777" w:rsidTr="001C656E">
        <w:trPr>
          <w:trHeight w:val="315"/>
        </w:trPr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26C3708" w14:textId="77777777" w:rsidR="00DB6BE8" w:rsidRPr="008B067B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C881C93" w14:textId="77777777" w:rsidR="00DB6BE8" w:rsidRPr="008B067B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CBD181B" w14:textId="77777777" w:rsidR="00DB6BE8" w:rsidRPr="008B067B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D52A272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62EB2B4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2021</w:t>
            </w:r>
          </w:p>
        </w:tc>
      </w:tr>
      <w:tr w:rsidR="00DB6BE8" w:rsidRPr="008B067B" w14:paraId="33F36CE3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A0CD2" w14:textId="77777777" w:rsidR="00DB6BE8" w:rsidRPr="008B067B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del país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AA4D7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21 958 565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289B3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24 225 440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95758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911B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DB6BE8" w:rsidRPr="008B067B" w14:paraId="4EDEB8D3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4FD29" w14:textId="77777777" w:rsidR="00DB6BE8" w:rsidRPr="008B067B" w:rsidRDefault="00DB6BE8" w:rsidP="001C656E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turístico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0C652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1 503 101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4E2A6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1 805 328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7D040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F34E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7.5</w:t>
            </w:r>
          </w:p>
        </w:tc>
      </w:tr>
      <w:tr w:rsidR="00DB6BE8" w:rsidRPr="008B067B" w14:paraId="30931371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5470D" w14:textId="77777777" w:rsidR="00DB6BE8" w:rsidRPr="008B067B" w:rsidRDefault="00DB6BE8" w:rsidP="001C656E">
            <w:pPr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Bienes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393BE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178 567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7A794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208 318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4C483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B713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DB6BE8" w:rsidRPr="008B067B" w14:paraId="699F6995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B117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Artesanías y otros bienes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F8D6E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178 567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19924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208 318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CCE4C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19BD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</w:t>
            </w:r>
          </w:p>
        </w:tc>
      </w:tr>
      <w:tr w:rsidR="00DB6BE8" w:rsidRPr="008B067B" w14:paraId="32428632" w14:textId="77777777" w:rsidTr="001C656E">
        <w:trPr>
          <w:trHeight w:val="259"/>
        </w:trPr>
        <w:tc>
          <w:tcPr>
            <w:tcW w:w="4540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27822" w14:textId="77777777" w:rsidR="00DB6BE8" w:rsidRPr="008B067B" w:rsidRDefault="00DB6BE8" w:rsidP="001C656E">
            <w:pPr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Servicios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7859F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1 324 535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DF35D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1 597 010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DFF04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1A2F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6.6</w:t>
            </w:r>
          </w:p>
        </w:tc>
      </w:tr>
      <w:tr w:rsidR="00DB6BE8" w:rsidRPr="008B067B" w14:paraId="0D97B39F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2EF3A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Transporte de pasajeros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04D5B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220 678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441E6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293 706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0E3FA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EABA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DB6BE8" w:rsidRPr="008B067B" w14:paraId="5108956F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28A45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Restaurantes, bares y centros nocturnos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F32B0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215 548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85790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255 411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4100C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62F2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DB6BE8" w:rsidRPr="008B067B" w14:paraId="1F8624B4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9B404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Alojamiento </w:t>
            </w: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 visitantes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BE9F2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514 068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AE9B7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592 773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4F49C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EA6D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DB6BE8" w:rsidRPr="008B067B" w14:paraId="0086CE51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ABD57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Agencias de viajes y otros servicios de reservas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EBC67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6 123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E7065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6 550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A9647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00FC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NS</w:t>
            </w:r>
          </w:p>
        </w:tc>
      </w:tr>
      <w:tr w:rsidR="00DB6BE8" w:rsidRPr="008B067B" w14:paraId="2DD1EACC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5BC30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Comercio turístico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15135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119 079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54667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141 954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AC9B0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50D5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</w:t>
            </w:r>
          </w:p>
        </w:tc>
      </w:tr>
      <w:tr w:rsidR="00DB6BE8" w:rsidRPr="008B067B" w14:paraId="7FFE8758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971C4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culturales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E6E5A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13 483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C6017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16 200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F33AF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BEE6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DB6BE8" w:rsidRPr="008B067B" w14:paraId="159BD1E4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B3CAB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deportivos y recreativos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35624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9 731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CA41A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14 350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0718F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3505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DB6BE8" w:rsidRPr="008B067B" w14:paraId="22801095" w14:textId="77777777" w:rsidTr="001C656E">
        <w:trPr>
          <w:trHeight w:val="25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FDFD6" w14:textId="77777777" w:rsidR="00DB6BE8" w:rsidRPr="008B067B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servicios*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ADD92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225 826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31929" w14:textId="77777777" w:rsidR="00DB6BE8" w:rsidRPr="008B067B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276 066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8FBAE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2E7D" w14:textId="77777777" w:rsidR="00DB6BE8" w:rsidRPr="008B067B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</w:tbl>
    <w:p w14:paraId="2608ED30" w14:textId="05DE2077" w:rsidR="00DB6BE8" w:rsidRDefault="00DB6BE8" w:rsidP="00552993">
      <w:pPr>
        <w:pStyle w:val="Textoindependiente"/>
        <w:ind w:left="426" w:right="567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5B2C37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NS</w:t>
      </w:r>
      <w:r w:rsidR="00552993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:</w:t>
      </w:r>
      <w:r w:rsidRPr="005B2C37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 No </w:t>
      </w:r>
      <w:r w:rsidR="002A6319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s</w:t>
      </w:r>
      <w:proofErr w:type="spellStart"/>
      <w:r w:rsidRPr="005B2C37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ignificativo</w:t>
      </w:r>
      <w:proofErr w:type="spellEnd"/>
    </w:p>
    <w:p w14:paraId="3F8018BD" w14:textId="33D437AF" w:rsidR="00DB6BE8" w:rsidRPr="006A10BE" w:rsidRDefault="00DB6BE8" w:rsidP="00552993">
      <w:pPr>
        <w:autoSpaceDE w:val="0"/>
        <w:autoSpaceDN w:val="0"/>
        <w:adjustRightInd w:val="0"/>
        <w:ind w:left="567" w:right="567" w:hanging="142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6A10BE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* Incluye 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apoyo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información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financieros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inmobiliarios y de alquiler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,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profesionales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salud y productos no destinados al consumo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 y 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otros</w:t>
      </w:r>
      <w:r w:rsidR="002A6319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. </w:t>
      </w:r>
    </w:p>
    <w:p w14:paraId="3041DD62" w14:textId="77777777" w:rsidR="00DB6BE8" w:rsidRPr="005B2C37" w:rsidRDefault="00DB6BE8" w:rsidP="00552993">
      <w:pPr>
        <w:pStyle w:val="Textoindependiente"/>
        <w:ind w:left="426" w:right="567"/>
        <w:rPr>
          <w:rFonts w:ascii="Arial" w:hAnsi="Arial" w:cs="Arial"/>
          <w:sz w:val="16"/>
          <w:szCs w:val="16"/>
        </w:rPr>
      </w:pPr>
      <w:r w:rsidRPr="005B2C37">
        <w:rPr>
          <w:rFonts w:ascii="Arial" w:hAnsi="Arial" w:cs="Arial"/>
          <w:sz w:val="16"/>
          <w:szCs w:val="16"/>
        </w:rPr>
        <w:t>N</w:t>
      </w:r>
      <w:r w:rsidRPr="005B2C37">
        <w:rPr>
          <w:rFonts w:ascii="Arial" w:hAnsi="Arial" w:cs="Arial"/>
          <w:sz w:val="16"/>
          <w:szCs w:val="16"/>
          <w:lang w:val="es-MX"/>
        </w:rPr>
        <w:t>ota</w:t>
      </w:r>
      <w:r w:rsidRPr="005B2C37">
        <w:rPr>
          <w:rFonts w:ascii="Arial" w:hAnsi="Arial" w:cs="Arial"/>
          <w:sz w:val="16"/>
          <w:szCs w:val="16"/>
        </w:rPr>
        <w:t xml:space="preserve">: La suma de los valores puede no coincidir con el total debido al redondeo. </w:t>
      </w:r>
    </w:p>
    <w:p w14:paraId="69D6C075" w14:textId="77777777" w:rsidR="00DB6BE8" w:rsidRPr="005B2C37" w:rsidRDefault="00DB6BE8" w:rsidP="00552993">
      <w:pPr>
        <w:pStyle w:val="Textoindependiente"/>
        <w:ind w:left="426" w:right="567"/>
        <w:jc w:val="left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5B2C37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</w:p>
    <w:p w14:paraId="6EA229C2" w14:textId="77777777" w:rsidR="00DB6BE8" w:rsidRPr="00EE5846" w:rsidRDefault="00DB6BE8" w:rsidP="00DB6BE8">
      <w:pPr>
        <w:ind w:right="-233"/>
        <w:jc w:val="both"/>
        <w:rPr>
          <w:rFonts w:ascii="Arial" w:hAnsi="Arial" w:cs="Arial"/>
          <w:lang w:val="x-none" w:eastAsia="x-none"/>
        </w:rPr>
      </w:pPr>
      <w:bookmarkStart w:id="1" w:name="_Hlk121772282"/>
    </w:p>
    <w:p w14:paraId="45021D07" w14:textId="6CF0D8E3" w:rsidR="00552993" w:rsidRPr="00712284" w:rsidRDefault="00DB6BE8" w:rsidP="00552993">
      <w:pPr>
        <w:spacing w:after="100" w:afterAutospacing="1"/>
        <w:ind w:right="-142"/>
        <w:jc w:val="both"/>
        <w:rPr>
          <w:rFonts w:ascii="Arial" w:hAnsi="Arial" w:cs="Arial"/>
          <w:lang w:val="x-none" w:eastAsia="x-none"/>
        </w:rPr>
      </w:pPr>
      <w:r w:rsidRPr="00712284">
        <w:rPr>
          <w:rFonts w:ascii="Arial" w:hAnsi="Arial" w:cs="Arial"/>
          <w:lang w:eastAsia="x-none"/>
        </w:rPr>
        <w:t>D</w:t>
      </w:r>
      <w:r>
        <w:rPr>
          <w:rFonts w:ascii="Arial" w:hAnsi="Arial" w:cs="Arial"/>
          <w:lang w:eastAsia="x-none"/>
        </w:rPr>
        <w:t>urante</w:t>
      </w:r>
      <w:r w:rsidRPr="00712284">
        <w:rPr>
          <w:rFonts w:ascii="Arial" w:hAnsi="Arial" w:cs="Arial"/>
          <w:lang w:val="x-none" w:eastAsia="x-none"/>
        </w:rPr>
        <w:t xml:space="preserve"> 202</w:t>
      </w:r>
      <w:r w:rsidRPr="00712284">
        <w:rPr>
          <w:rFonts w:ascii="Arial" w:hAnsi="Arial" w:cs="Arial"/>
          <w:lang w:eastAsia="x-none"/>
        </w:rPr>
        <w:t>1</w:t>
      </w:r>
      <w:r>
        <w:rPr>
          <w:rFonts w:ascii="Arial" w:hAnsi="Arial" w:cs="Arial"/>
          <w:lang w:eastAsia="x-none"/>
        </w:rPr>
        <w:t>,</w:t>
      </w:r>
      <w:r w:rsidRPr="00712284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medido </w:t>
      </w:r>
      <w:r w:rsidRPr="00712284">
        <w:rPr>
          <w:rFonts w:ascii="Arial" w:hAnsi="Arial" w:cs="Arial"/>
          <w:lang w:eastAsia="x-none"/>
        </w:rPr>
        <w:t>e</w:t>
      </w:r>
      <w:r w:rsidRPr="00712284">
        <w:rPr>
          <w:rFonts w:ascii="Arial" w:hAnsi="Arial" w:cs="Arial"/>
          <w:lang w:val="x-none" w:eastAsia="x-none"/>
        </w:rPr>
        <w:t>n términos reales</w:t>
      </w:r>
      <w:r>
        <w:rPr>
          <w:rFonts w:ascii="Arial" w:hAnsi="Arial" w:cs="Arial"/>
          <w:lang w:eastAsia="x-none"/>
        </w:rPr>
        <w:t xml:space="preserve"> del valor agregado</w:t>
      </w:r>
      <w:r w:rsidRPr="00712284">
        <w:rPr>
          <w:rFonts w:ascii="Arial" w:hAnsi="Arial" w:cs="Arial"/>
          <w:lang w:val="x-none" w:eastAsia="x-none"/>
        </w:rPr>
        <w:t xml:space="preserve">, el sector </w:t>
      </w:r>
      <w:r w:rsidR="002A6319">
        <w:rPr>
          <w:rFonts w:ascii="Arial" w:hAnsi="Arial" w:cs="Arial"/>
          <w:lang w:eastAsia="x-none"/>
        </w:rPr>
        <w:t>T</w:t>
      </w:r>
      <w:r w:rsidR="00B31268">
        <w:rPr>
          <w:rFonts w:ascii="Arial" w:hAnsi="Arial" w:cs="Arial"/>
          <w:lang w:eastAsia="x-none"/>
        </w:rPr>
        <w:t>urismo</w:t>
      </w:r>
      <w:r w:rsidRPr="00712284">
        <w:rPr>
          <w:rFonts w:ascii="Arial" w:hAnsi="Arial" w:cs="Arial"/>
          <w:lang w:val="x-none" w:eastAsia="x-none"/>
        </w:rPr>
        <w:t xml:space="preserve"> </w:t>
      </w:r>
      <w:r w:rsidRPr="00712284">
        <w:rPr>
          <w:rFonts w:ascii="Arial" w:hAnsi="Arial" w:cs="Arial"/>
          <w:lang w:eastAsia="x-none"/>
        </w:rPr>
        <w:t>creci</w:t>
      </w:r>
      <w:r w:rsidR="002A6319">
        <w:rPr>
          <w:rFonts w:ascii="Arial" w:hAnsi="Arial" w:cs="Arial"/>
          <w:lang w:eastAsia="x-none"/>
        </w:rPr>
        <w:t>ó</w:t>
      </w:r>
      <w:r w:rsidRPr="00712284">
        <w:rPr>
          <w:rFonts w:ascii="Arial" w:hAnsi="Arial" w:cs="Arial"/>
          <w:lang w:val="x-none" w:eastAsia="x-none"/>
        </w:rPr>
        <w:t xml:space="preserve"> </w:t>
      </w:r>
      <w:r w:rsidRPr="00712284">
        <w:rPr>
          <w:rFonts w:ascii="Arial" w:hAnsi="Arial" w:cs="Arial"/>
          <w:lang w:eastAsia="x-none"/>
        </w:rPr>
        <w:t>14.9</w:t>
      </w:r>
      <w:r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>%, mientras que el total de la economía</w:t>
      </w:r>
      <w:r>
        <w:rPr>
          <w:rFonts w:ascii="Arial" w:hAnsi="Arial" w:cs="Arial"/>
          <w:lang w:eastAsia="x-none"/>
        </w:rPr>
        <w:t xml:space="preserve"> </w:t>
      </w:r>
      <w:r w:rsidR="002A6319">
        <w:rPr>
          <w:rFonts w:ascii="Arial" w:hAnsi="Arial" w:cs="Arial"/>
          <w:lang w:eastAsia="x-none"/>
        </w:rPr>
        <w:t>lo hizo</w:t>
      </w:r>
      <w:r w:rsidRPr="00712284">
        <w:rPr>
          <w:rFonts w:ascii="Arial" w:hAnsi="Arial" w:cs="Arial"/>
          <w:lang w:val="x-none" w:eastAsia="x-none"/>
        </w:rPr>
        <w:t xml:space="preserve"> </w:t>
      </w:r>
      <w:r w:rsidRPr="00712284">
        <w:rPr>
          <w:rFonts w:ascii="Arial" w:hAnsi="Arial" w:cs="Arial"/>
          <w:lang w:eastAsia="x-none"/>
        </w:rPr>
        <w:t>4.6</w:t>
      </w:r>
      <w:r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>% para el mismo año.</w:t>
      </w:r>
      <w:r w:rsidR="00552993" w:rsidRPr="00552993">
        <w:rPr>
          <w:rFonts w:ascii="Arial" w:hAnsi="Arial" w:cs="Arial"/>
          <w:lang w:eastAsia="x-none"/>
        </w:rPr>
        <w:t xml:space="preserve"> </w:t>
      </w:r>
      <w:r w:rsidR="00552993" w:rsidRPr="00712284">
        <w:rPr>
          <w:rFonts w:ascii="Arial" w:hAnsi="Arial" w:cs="Arial"/>
          <w:lang w:eastAsia="x-none"/>
        </w:rPr>
        <w:t xml:space="preserve">El crecimiento </w:t>
      </w:r>
      <w:r w:rsidR="00552993" w:rsidRPr="00712284">
        <w:rPr>
          <w:rFonts w:ascii="Arial" w:hAnsi="Arial" w:cs="Arial"/>
          <w:lang w:val="x-none" w:eastAsia="x-none"/>
        </w:rPr>
        <w:t xml:space="preserve">se explica principalmente por </w:t>
      </w:r>
      <w:r w:rsidR="00552993" w:rsidRPr="00712284">
        <w:rPr>
          <w:rFonts w:ascii="Arial" w:hAnsi="Arial" w:cs="Arial"/>
          <w:lang w:eastAsia="x-none"/>
        </w:rPr>
        <w:t>la reapertura de</w:t>
      </w:r>
      <w:r w:rsidR="00552993" w:rsidRPr="00712284">
        <w:rPr>
          <w:rFonts w:ascii="Arial" w:hAnsi="Arial" w:cs="Arial"/>
          <w:lang w:val="x-none" w:eastAsia="x-none"/>
        </w:rPr>
        <w:t xml:space="preserve"> actividades económicas como los </w:t>
      </w:r>
      <w:r w:rsidR="00552993" w:rsidRPr="00552993">
        <w:rPr>
          <w:rFonts w:ascii="Arial" w:hAnsi="Arial" w:cs="Arial"/>
          <w:i/>
          <w:lang w:val="x-none" w:eastAsia="x-none"/>
        </w:rPr>
        <w:t>servicios de alojamiento</w:t>
      </w:r>
      <w:r w:rsidR="00552993" w:rsidRPr="00712284">
        <w:rPr>
          <w:rFonts w:ascii="Arial" w:hAnsi="Arial" w:cs="Arial"/>
          <w:lang w:val="x-none" w:eastAsia="x-none"/>
        </w:rPr>
        <w:t xml:space="preserve">, que </w:t>
      </w:r>
      <w:r w:rsidR="00552993">
        <w:rPr>
          <w:rFonts w:ascii="Arial" w:hAnsi="Arial" w:cs="Arial"/>
          <w:lang w:eastAsia="x-none"/>
        </w:rPr>
        <w:t xml:space="preserve">incrementaron </w:t>
      </w:r>
      <w:r w:rsidR="00552993" w:rsidRPr="00712284">
        <w:rPr>
          <w:rFonts w:ascii="Arial" w:hAnsi="Arial" w:cs="Arial"/>
          <w:lang w:val="x-none" w:eastAsia="x-none"/>
        </w:rPr>
        <w:t>1</w:t>
      </w:r>
      <w:r w:rsidR="00552993" w:rsidRPr="00712284">
        <w:rPr>
          <w:rFonts w:ascii="Arial" w:hAnsi="Arial" w:cs="Arial"/>
          <w:lang w:eastAsia="x-none"/>
        </w:rPr>
        <w:t>4</w:t>
      </w:r>
      <w:r w:rsidR="00552993" w:rsidRPr="00712284">
        <w:rPr>
          <w:rFonts w:ascii="Arial" w:hAnsi="Arial" w:cs="Arial"/>
          <w:lang w:val="x-none" w:eastAsia="x-none"/>
        </w:rPr>
        <w:t>.</w:t>
      </w:r>
      <w:r w:rsidR="00552993" w:rsidRPr="00712284">
        <w:rPr>
          <w:rFonts w:ascii="Arial" w:hAnsi="Arial" w:cs="Arial"/>
          <w:lang w:eastAsia="x-none"/>
        </w:rPr>
        <w:t>2</w:t>
      </w:r>
      <w:r w:rsidR="00552993">
        <w:rPr>
          <w:rFonts w:ascii="Arial" w:hAnsi="Arial" w:cs="Arial"/>
          <w:lang w:eastAsia="x-none"/>
        </w:rPr>
        <w:t xml:space="preserve"> </w:t>
      </w:r>
      <w:r w:rsidR="00552993" w:rsidRPr="00712284">
        <w:rPr>
          <w:rFonts w:ascii="Arial" w:hAnsi="Arial" w:cs="Arial"/>
          <w:lang w:val="x-none" w:eastAsia="x-none"/>
        </w:rPr>
        <w:t xml:space="preserve">% o los </w:t>
      </w:r>
      <w:r w:rsidR="00552993" w:rsidRPr="00552993">
        <w:rPr>
          <w:rFonts w:ascii="Arial" w:hAnsi="Arial" w:cs="Arial"/>
          <w:i/>
          <w:lang w:val="x-none" w:eastAsia="x-none"/>
        </w:rPr>
        <w:t>restaurantes, bares y centros nocturnos</w:t>
      </w:r>
      <w:r w:rsidR="00552993">
        <w:rPr>
          <w:rFonts w:ascii="Arial" w:hAnsi="Arial" w:cs="Arial"/>
          <w:i/>
          <w:lang w:eastAsia="x-none"/>
        </w:rPr>
        <w:t>,</w:t>
      </w:r>
      <w:r w:rsidR="00552993" w:rsidRPr="00712284">
        <w:rPr>
          <w:rFonts w:ascii="Arial" w:hAnsi="Arial" w:cs="Arial"/>
          <w:lang w:val="x-none" w:eastAsia="x-none"/>
        </w:rPr>
        <w:t xml:space="preserve"> con una variación </w:t>
      </w:r>
      <w:r w:rsidR="00552993" w:rsidRPr="00712284">
        <w:rPr>
          <w:rFonts w:ascii="Arial" w:hAnsi="Arial" w:cs="Arial"/>
          <w:lang w:eastAsia="x-none"/>
        </w:rPr>
        <w:t xml:space="preserve">positiva </w:t>
      </w:r>
      <w:r w:rsidR="00552993" w:rsidRPr="00712284">
        <w:rPr>
          <w:rFonts w:ascii="Arial" w:hAnsi="Arial" w:cs="Arial"/>
          <w:lang w:val="x-none" w:eastAsia="x-none"/>
        </w:rPr>
        <w:t xml:space="preserve">de </w:t>
      </w:r>
      <w:r w:rsidR="00552993" w:rsidRPr="00712284">
        <w:rPr>
          <w:rFonts w:ascii="Arial" w:hAnsi="Arial" w:cs="Arial"/>
          <w:lang w:eastAsia="x-none"/>
        </w:rPr>
        <w:t>15</w:t>
      </w:r>
      <w:r w:rsidR="00552993">
        <w:rPr>
          <w:rFonts w:ascii="Arial" w:hAnsi="Arial" w:cs="Arial"/>
          <w:lang w:eastAsia="x-none"/>
        </w:rPr>
        <w:t>.0</w:t>
      </w:r>
      <w:r w:rsidR="00552993" w:rsidRPr="00712284">
        <w:rPr>
          <w:rFonts w:ascii="Arial" w:hAnsi="Arial" w:cs="Arial"/>
          <w:lang w:val="x-none" w:eastAsia="x-none"/>
        </w:rPr>
        <w:t xml:space="preserve"> por ciento. </w:t>
      </w:r>
    </w:p>
    <w:p w14:paraId="5F3A8B43" w14:textId="65095738" w:rsidR="00DB6BE8" w:rsidRDefault="00991D5B" w:rsidP="00552993">
      <w:pPr>
        <w:spacing w:after="100" w:afterAutospacing="1"/>
        <w:ind w:right="-142"/>
        <w:jc w:val="both"/>
        <w:rPr>
          <w:rFonts w:ascii="Arial" w:hAnsi="Arial" w:cs="Arial"/>
        </w:rPr>
      </w:pPr>
      <w:bookmarkStart w:id="2" w:name="_Hlk121772321"/>
      <w:bookmarkEnd w:id="1"/>
      <w:r>
        <w:rPr>
          <w:rFonts w:ascii="Arial" w:hAnsi="Arial" w:cs="Arial"/>
          <w:lang w:eastAsia="x-none"/>
        </w:rPr>
        <w:t>L</w:t>
      </w:r>
      <w:r w:rsidR="00DB6BE8" w:rsidRPr="00712284">
        <w:rPr>
          <w:rFonts w:ascii="Arial" w:hAnsi="Arial" w:cs="Arial"/>
          <w:lang w:val="x-none" w:eastAsia="x-none"/>
        </w:rPr>
        <w:t xml:space="preserve">os </w:t>
      </w:r>
      <w:r w:rsidR="00DB6BE8" w:rsidRPr="00552993">
        <w:rPr>
          <w:rFonts w:ascii="Arial" w:hAnsi="Arial" w:cs="Arial"/>
          <w:i/>
          <w:lang w:val="x-none" w:eastAsia="x-none"/>
        </w:rPr>
        <w:t>servicios deportivos y recreativos</w:t>
      </w:r>
      <w:r w:rsidR="00DB6BE8" w:rsidRPr="00712284">
        <w:rPr>
          <w:rFonts w:ascii="Arial" w:hAnsi="Arial" w:cs="Arial"/>
          <w:lang w:val="x-none" w:eastAsia="x-none"/>
        </w:rPr>
        <w:t xml:space="preserve"> tuvieron una variación anual de </w:t>
      </w:r>
      <w:r w:rsidR="00DB6BE8" w:rsidRPr="00712284">
        <w:rPr>
          <w:rFonts w:ascii="Arial" w:hAnsi="Arial" w:cs="Arial"/>
          <w:lang w:eastAsia="x-none"/>
        </w:rPr>
        <w:t>48.1</w:t>
      </w:r>
      <w:r w:rsidR="00DB6BE8">
        <w:rPr>
          <w:rFonts w:ascii="Arial" w:hAnsi="Arial" w:cs="Arial"/>
          <w:lang w:eastAsia="x-none"/>
        </w:rPr>
        <w:t xml:space="preserve"> </w:t>
      </w:r>
      <w:r w:rsidR="00DB6BE8" w:rsidRPr="00712284">
        <w:rPr>
          <w:rFonts w:ascii="Arial" w:hAnsi="Arial" w:cs="Arial"/>
          <w:lang w:val="x-none" w:eastAsia="x-none"/>
        </w:rPr>
        <w:t>%</w:t>
      </w:r>
      <w:r w:rsidR="00DB6BE8">
        <w:rPr>
          <w:rFonts w:ascii="Arial" w:hAnsi="Arial" w:cs="Arial"/>
          <w:lang w:eastAsia="x-none"/>
        </w:rPr>
        <w:t>;</w:t>
      </w:r>
      <w:r w:rsidR="00DB6BE8" w:rsidRPr="00712284">
        <w:rPr>
          <w:rFonts w:ascii="Arial" w:hAnsi="Arial" w:cs="Arial"/>
          <w:lang w:val="x-none" w:eastAsia="x-none"/>
        </w:rPr>
        <w:t xml:space="preserve"> </w:t>
      </w:r>
      <w:r w:rsidR="00DB6BE8" w:rsidRPr="00712284">
        <w:rPr>
          <w:rFonts w:ascii="Arial" w:hAnsi="Arial" w:cs="Arial"/>
        </w:rPr>
        <w:t xml:space="preserve">los </w:t>
      </w:r>
      <w:r w:rsidR="00DB6BE8" w:rsidRPr="00552993">
        <w:rPr>
          <w:rFonts w:ascii="Arial" w:hAnsi="Arial" w:cs="Arial"/>
          <w:i/>
        </w:rPr>
        <w:t>servicios de transporte de pasajeros</w:t>
      </w:r>
      <w:r>
        <w:rPr>
          <w:rFonts w:ascii="Arial" w:hAnsi="Arial" w:cs="Arial"/>
        </w:rPr>
        <w:t>, de</w:t>
      </w:r>
      <w:r w:rsidR="00DB6BE8" w:rsidRPr="00712284">
        <w:rPr>
          <w:rFonts w:ascii="Arial" w:hAnsi="Arial" w:cs="Arial"/>
        </w:rPr>
        <w:t xml:space="preserve"> 23.1</w:t>
      </w:r>
      <w:r w:rsidR="00DB6BE8">
        <w:rPr>
          <w:rFonts w:ascii="Arial" w:hAnsi="Arial" w:cs="Arial"/>
        </w:rPr>
        <w:t xml:space="preserve"> </w:t>
      </w:r>
      <w:r w:rsidR="00DB6BE8" w:rsidRPr="00712284">
        <w:rPr>
          <w:rFonts w:ascii="Arial" w:hAnsi="Arial" w:cs="Arial"/>
        </w:rPr>
        <w:t>%</w:t>
      </w:r>
      <w:r w:rsidR="00DB6BE8">
        <w:rPr>
          <w:rFonts w:ascii="Arial" w:hAnsi="Arial" w:cs="Arial"/>
        </w:rPr>
        <w:t>;</w:t>
      </w:r>
      <w:r w:rsidR="00DB6BE8" w:rsidRPr="00712284">
        <w:rPr>
          <w:rFonts w:ascii="Arial" w:hAnsi="Arial" w:cs="Arial"/>
          <w:lang w:val="x-none" w:eastAsia="x-none"/>
        </w:rPr>
        <w:t xml:space="preserve"> los </w:t>
      </w:r>
      <w:r w:rsidR="00DB6BE8" w:rsidRPr="00552993">
        <w:rPr>
          <w:rFonts w:ascii="Arial" w:hAnsi="Arial" w:cs="Arial"/>
          <w:i/>
          <w:lang w:val="x-none" w:eastAsia="x-none"/>
        </w:rPr>
        <w:t>servicios culturales</w:t>
      </w:r>
      <w:r>
        <w:rPr>
          <w:rFonts w:ascii="Arial" w:hAnsi="Arial" w:cs="Arial"/>
          <w:lang w:eastAsia="x-none"/>
        </w:rPr>
        <w:t>, de</w:t>
      </w:r>
      <w:r w:rsidR="00DB6BE8" w:rsidRPr="00712284">
        <w:rPr>
          <w:rFonts w:ascii="Arial" w:hAnsi="Arial" w:cs="Arial"/>
          <w:lang w:val="x-none" w:eastAsia="x-none"/>
        </w:rPr>
        <w:t xml:space="preserve"> </w:t>
      </w:r>
      <w:r w:rsidR="00DB6BE8" w:rsidRPr="00712284">
        <w:rPr>
          <w:rFonts w:ascii="Arial" w:hAnsi="Arial" w:cs="Arial"/>
          <w:lang w:eastAsia="x-none"/>
        </w:rPr>
        <w:t>21.3</w:t>
      </w:r>
      <w:r w:rsidR="00DB6BE8">
        <w:rPr>
          <w:rFonts w:ascii="Arial" w:hAnsi="Arial" w:cs="Arial"/>
          <w:lang w:eastAsia="x-none"/>
        </w:rPr>
        <w:t xml:space="preserve"> </w:t>
      </w:r>
      <w:r w:rsidR="00DB6BE8" w:rsidRPr="00712284">
        <w:rPr>
          <w:rFonts w:ascii="Arial" w:hAnsi="Arial" w:cs="Arial"/>
          <w:lang w:val="x-none" w:eastAsia="x-none"/>
        </w:rPr>
        <w:t>%</w:t>
      </w:r>
      <w:r w:rsidR="00DB6BE8">
        <w:rPr>
          <w:rFonts w:ascii="Arial" w:hAnsi="Arial" w:cs="Arial"/>
          <w:lang w:eastAsia="x-none"/>
        </w:rPr>
        <w:t>;</w:t>
      </w:r>
      <w:r w:rsidR="00DB6BE8" w:rsidRPr="00712284">
        <w:rPr>
          <w:rFonts w:ascii="Arial" w:hAnsi="Arial" w:cs="Arial"/>
          <w:lang w:val="x-none" w:eastAsia="x-none"/>
        </w:rPr>
        <w:t xml:space="preserve"> los denominados </w:t>
      </w:r>
      <w:r w:rsidR="00DB6BE8" w:rsidRPr="00552993">
        <w:rPr>
          <w:rFonts w:ascii="Arial" w:hAnsi="Arial" w:cs="Arial"/>
          <w:i/>
          <w:lang w:val="x-none" w:eastAsia="x-none"/>
        </w:rPr>
        <w:t>otros servicios</w:t>
      </w:r>
      <w:r>
        <w:rPr>
          <w:rFonts w:ascii="Arial" w:hAnsi="Arial" w:cs="Arial"/>
        </w:rPr>
        <w:t>, de</w:t>
      </w:r>
      <w:r w:rsidR="00DB6BE8" w:rsidRPr="00712284">
        <w:rPr>
          <w:rFonts w:ascii="Arial" w:hAnsi="Arial" w:cs="Arial"/>
        </w:rPr>
        <w:t xml:space="preserve"> 15.6</w:t>
      </w:r>
      <w:r w:rsidR="00DB6BE8">
        <w:rPr>
          <w:rFonts w:ascii="Arial" w:hAnsi="Arial" w:cs="Arial"/>
        </w:rPr>
        <w:t xml:space="preserve"> </w:t>
      </w:r>
      <w:r w:rsidR="00DB6BE8" w:rsidRPr="00712284">
        <w:rPr>
          <w:rFonts w:ascii="Arial" w:hAnsi="Arial" w:cs="Arial"/>
        </w:rPr>
        <w:t>%</w:t>
      </w:r>
      <w:r w:rsidR="00DB6BE8">
        <w:rPr>
          <w:rFonts w:ascii="Arial" w:hAnsi="Arial" w:cs="Arial"/>
        </w:rPr>
        <w:t>;</w:t>
      </w:r>
      <w:r w:rsidR="00DB6BE8" w:rsidRPr="00712284">
        <w:rPr>
          <w:rFonts w:ascii="Arial" w:hAnsi="Arial" w:cs="Arial"/>
        </w:rPr>
        <w:t xml:space="preserve"> </w:t>
      </w:r>
      <w:r w:rsidR="00DB6BE8" w:rsidRPr="00712284">
        <w:rPr>
          <w:rFonts w:ascii="Arial" w:hAnsi="Arial" w:cs="Arial"/>
          <w:lang w:val="x-none" w:eastAsia="x-none"/>
        </w:rPr>
        <w:t xml:space="preserve">el </w:t>
      </w:r>
      <w:r w:rsidR="00DB6BE8" w:rsidRPr="00552993">
        <w:rPr>
          <w:rFonts w:ascii="Arial" w:hAnsi="Arial" w:cs="Arial"/>
          <w:i/>
          <w:lang w:val="x-none" w:eastAsia="x-none"/>
        </w:rPr>
        <w:t>comercio turístico</w:t>
      </w:r>
      <w:r>
        <w:rPr>
          <w:rFonts w:ascii="Arial" w:hAnsi="Arial" w:cs="Arial"/>
          <w:lang w:eastAsia="x-none"/>
        </w:rPr>
        <w:t xml:space="preserve">, de </w:t>
      </w:r>
      <w:r w:rsidR="00DB6BE8" w:rsidRPr="00712284">
        <w:rPr>
          <w:rFonts w:ascii="Arial" w:hAnsi="Arial" w:cs="Arial"/>
          <w:lang w:eastAsia="x-none"/>
        </w:rPr>
        <w:t>1</w:t>
      </w:r>
      <w:r w:rsidR="00DB6BE8" w:rsidRPr="00712284">
        <w:rPr>
          <w:rFonts w:ascii="Arial" w:hAnsi="Arial" w:cs="Arial"/>
          <w:lang w:val="x-none" w:eastAsia="x-none"/>
        </w:rPr>
        <w:t>2.</w:t>
      </w:r>
      <w:r w:rsidR="00DB6BE8" w:rsidRPr="00712284">
        <w:rPr>
          <w:rFonts w:ascii="Arial" w:hAnsi="Arial" w:cs="Arial"/>
          <w:lang w:eastAsia="x-none"/>
        </w:rPr>
        <w:t>4</w:t>
      </w:r>
      <w:r w:rsidR="00DB6BE8">
        <w:rPr>
          <w:rFonts w:ascii="Arial" w:hAnsi="Arial" w:cs="Arial"/>
          <w:lang w:eastAsia="x-none"/>
        </w:rPr>
        <w:t xml:space="preserve"> </w:t>
      </w:r>
      <w:r w:rsidR="00DB6BE8" w:rsidRPr="00712284">
        <w:rPr>
          <w:rFonts w:ascii="Arial" w:hAnsi="Arial" w:cs="Arial"/>
          <w:lang w:val="x-none" w:eastAsia="x-none"/>
        </w:rPr>
        <w:t>%</w:t>
      </w:r>
      <w:r w:rsidR="00DB6BE8">
        <w:rPr>
          <w:rFonts w:ascii="Arial" w:hAnsi="Arial" w:cs="Arial"/>
          <w:lang w:eastAsia="x-none"/>
        </w:rPr>
        <w:t>;</w:t>
      </w:r>
      <w:r w:rsidR="00DB6BE8" w:rsidRPr="00712284">
        <w:rPr>
          <w:rFonts w:ascii="Arial" w:hAnsi="Arial" w:cs="Arial"/>
          <w:lang w:eastAsia="x-none"/>
        </w:rPr>
        <w:t xml:space="preserve"> </w:t>
      </w:r>
      <w:r w:rsidR="00DB6BE8" w:rsidRPr="00712284">
        <w:rPr>
          <w:rFonts w:ascii="Arial" w:hAnsi="Arial" w:cs="Arial"/>
          <w:lang w:val="x-none" w:eastAsia="x-none"/>
        </w:rPr>
        <w:t xml:space="preserve">los </w:t>
      </w:r>
      <w:r w:rsidR="00DB6BE8" w:rsidRPr="00552993">
        <w:rPr>
          <w:rFonts w:ascii="Arial" w:hAnsi="Arial" w:cs="Arial"/>
          <w:i/>
          <w:lang w:val="x-none" w:eastAsia="x-none"/>
        </w:rPr>
        <w:t>servicios de agencias de viajes y otros servicios de reserva</w:t>
      </w:r>
      <w:r>
        <w:rPr>
          <w:rFonts w:ascii="Arial" w:hAnsi="Arial" w:cs="Arial"/>
          <w:lang w:eastAsia="x-none"/>
        </w:rPr>
        <w:t>, de</w:t>
      </w:r>
      <w:r w:rsidR="00DB6BE8" w:rsidRPr="00712284">
        <w:rPr>
          <w:rFonts w:ascii="Arial" w:hAnsi="Arial" w:cs="Arial"/>
          <w:lang w:val="x-none" w:eastAsia="x-none"/>
        </w:rPr>
        <w:t xml:space="preserve"> </w:t>
      </w:r>
      <w:r w:rsidR="00DB6BE8" w:rsidRPr="00712284">
        <w:rPr>
          <w:rFonts w:ascii="Arial" w:hAnsi="Arial" w:cs="Arial"/>
          <w:lang w:eastAsia="x-none"/>
        </w:rPr>
        <w:t>7.7</w:t>
      </w:r>
      <w:r w:rsidR="00DB6BE8">
        <w:rPr>
          <w:rFonts w:ascii="Arial" w:hAnsi="Arial" w:cs="Arial"/>
          <w:lang w:eastAsia="x-none"/>
        </w:rPr>
        <w:t xml:space="preserve"> </w:t>
      </w:r>
      <w:r w:rsidR="00DB6BE8" w:rsidRPr="00712284">
        <w:rPr>
          <w:rFonts w:ascii="Arial" w:hAnsi="Arial" w:cs="Arial"/>
          <w:lang w:val="x-none" w:eastAsia="x-none"/>
        </w:rPr>
        <w:t>%</w:t>
      </w:r>
      <w:r w:rsidR="00DB6BE8" w:rsidRPr="00712284">
        <w:rPr>
          <w:rFonts w:ascii="Arial" w:hAnsi="Arial" w:cs="Arial"/>
          <w:lang w:eastAsia="x-none"/>
        </w:rPr>
        <w:t xml:space="preserve"> y </w:t>
      </w:r>
      <w:r w:rsidR="00DB6BE8" w:rsidRPr="00991D5B">
        <w:rPr>
          <w:rFonts w:ascii="Arial" w:hAnsi="Arial" w:cs="Arial"/>
          <w:lang w:val="x-none" w:eastAsia="x-none"/>
        </w:rPr>
        <w:t>la fabricación de</w:t>
      </w:r>
      <w:r w:rsidR="00DB6BE8" w:rsidRPr="00552993">
        <w:rPr>
          <w:rFonts w:ascii="Arial" w:hAnsi="Arial" w:cs="Arial"/>
          <w:i/>
          <w:lang w:val="x-none" w:eastAsia="x-none"/>
        </w:rPr>
        <w:t xml:space="preserve"> artesanías y otros bienes turísticos</w:t>
      </w:r>
      <w:r>
        <w:rPr>
          <w:rFonts w:ascii="Arial" w:hAnsi="Arial" w:cs="Arial"/>
          <w:lang w:eastAsia="x-none"/>
        </w:rPr>
        <w:t>, de</w:t>
      </w:r>
      <w:r w:rsidR="00DB6BE8" w:rsidRPr="00712284">
        <w:rPr>
          <w:rFonts w:ascii="Arial" w:hAnsi="Arial" w:cs="Arial"/>
          <w:lang w:eastAsia="x-none"/>
        </w:rPr>
        <w:t xml:space="preserve"> 3.9 por ciento</w:t>
      </w:r>
      <w:r w:rsidR="00DB6BE8" w:rsidRPr="00712284">
        <w:rPr>
          <w:rFonts w:ascii="Arial" w:hAnsi="Arial" w:cs="Arial"/>
        </w:rPr>
        <w:t>.</w:t>
      </w:r>
    </w:p>
    <w:bookmarkEnd w:id="2"/>
    <w:p w14:paraId="63FD73F6" w14:textId="26452643" w:rsidR="00DB6BE8" w:rsidRDefault="00DB6BE8" w:rsidP="00DB6BE8">
      <w:pPr>
        <w:spacing w:after="100" w:afterAutospacing="1"/>
        <w:ind w:right="-232"/>
        <w:jc w:val="both"/>
        <w:rPr>
          <w:rFonts w:ascii="Arial" w:hAnsi="Arial" w:cs="Arial"/>
        </w:rPr>
      </w:pPr>
    </w:p>
    <w:p w14:paraId="45D9952E" w14:textId="473CF26F" w:rsidR="00991D5B" w:rsidRDefault="00991D5B" w:rsidP="00DB6BE8">
      <w:pPr>
        <w:spacing w:after="100" w:afterAutospacing="1"/>
        <w:ind w:right="-232"/>
        <w:jc w:val="both"/>
        <w:rPr>
          <w:rFonts w:ascii="Arial" w:hAnsi="Arial" w:cs="Arial"/>
        </w:rPr>
      </w:pPr>
    </w:p>
    <w:p w14:paraId="082D554F" w14:textId="4E2E6807" w:rsidR="00991D5B" w:rsidRDefault="00991D5B" w:rsidP="00DB6BE8">
      <w:pPr>
        <w:spacing w:after="100" w:afterAutospacing="1"/>
        <w:ind w:right="-232"/>
        <w:jc w:val="both"/>
        <w:rPr>
          <w:rFonts w:ascii="Arial" w:hAnsi="Arial" w:cs="Arial"/>
        </w:rPr>
      </w:pPr>
    </w:p>
    <w:p w14:paraId="6559B473" w14:textId="77777777" w:rsidR="00991D5B" w:rsidRDefault="00991D5B" w:rsidP="00DB6BE8">
      <w:pPr>
        <w:spacing w:after="100" w:afterAutospacing="1"/>
        <w:ind w:right="-232"/>
        <w:jc w:val="both"/>
        <w:rPr>
          <w:rFonts w:ascii="Arial" w:hAnsi="Arial" w:cs="Arial"/>
        </w:rPr>
      </w:pPr>
    </w:p>
    <w:p w14:paraId="0D56906B" w14:textId="77777777" w:rsidR="00DB6BE8" w:rsidRPr="00552993" w:rsidRDefault="00DB6BE8" w:rsidP="00552993">
      <w:pPr>
        <w:ind w:right="-142"/>
        <w:jc w:val="center"/>
        <w:rPr>
          <w:rFonts w:ascii="Arial" w:hAnsi="Arial" w:cs="Arial"/>
          <w:sz w:val="20"/>
          <w:szCs w:val="20"/>
        </w:rPr>
      </w:pPr>
      <w:r w:rsidRPr="00552993">
        <w:rPr>
          <w:rFonts w:ascii="Arial" w:hAnsi="Arial" w:cs="Arial"/>
          <w:sz w:val="20"/>
          <w:szCs w:val="20"/>
        </w:rPr>
        <w:lastRenderedPageBreak/>
        <w:t>Cuadro 2</w:t>
      </w:r>
    </w:p>
    <w:p w14:paraId="4CEF0980" w14:textId="0B4E9EEB" w:rsidR="00DB6BE8" w:rsidRPr="00191611" w:rsidRDefault="00DB6BE8" w:rsidP="00552993">
      <w:pPr>
        <w:ind w:left="426" w:right="-142"/>
        <w:contextualSpacing/>
        <w:jc w:val="center"/>
        <w:rPr>
          <w:rFonts w:ascii="Arial" w:hAnsi="Arial" w:cs="Arial"/>
          <w:b/>
          <w:iCs/>
          <w:smallCaps/>
          <w:sz w:val="22"/>
          <w:szCs w:val="22"/>
        </w:rPr>
      </w:pPr>
      <w:r w:rsidRPr="00191611">
        <w:rPr>
          <w:rFonts w:ascii="Arial" w:hAnsi="Arial" w:cs="Arial"/>
          <w:b/>
          <w:iCs/>
          <w:smallCaps/>
          <w:sz w:val="22"/>
          <w:szCs w:val="22"/>
        </w:rPr>
        <w:t xml:space="preserve">Producto Interno Bruto </w:t>
      </w:r>
      <w:r w:rsidR="00991D5B">
        <w:rPr>
          <w:rFonts w:ascii="Arial" w:hAnsi="Arial" w:cs="Arial"/>
          <w:b/>
          <w:iCs/>
          <w:smallCaps/>
          <w:sz w:val="22"/>
          <w:szCs w:val="22"/>
        </w:rPr>
        <w:t>nacional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 xml:space="preserve"> y</w:t>
      </w:r>
      <w:r w:rsidR="00991D5B">
        <w:rPr>
          <w:rFonts w:ascii="Arial" w:hAnsi="Arial" w:cs="Arial"/>
          <w:b/>
          <w:iCs/>
          <w:smallCaps/>
          <w:sz w:val="22"/>
          <w:szCs w:val="22"/>
        </w:rPr>
        <w:t xml:space="preserve"> del sector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mallCaps/>
          <w:sz w:val="22"/>
          <w:szCs w:val="22"/>
        </w:rPr>
        <w:t>t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>urístico</w:t>
      </w:r>
    </w:p>
    <w:p w14:paraId="094C48EC" w14:textId="77777777" w:rsidR="00DB6BE8" w:rsidRDefault="00DB6BE8" w:rsidP="00552993">
      <w:pPr>
        <w:pStyle w:val="Textoindependiente"/>
        <w:ind w:left="426" w:right="-142"/>
        <w:jc w:val="center"/>
        <w:rPr>
          <w:rFonts w:ascii="Arial" w:hAnsi="Arial" w:cs="Arial"/>
          <w:sz w:val="18"/>
          <w:szCs w:val="18"/>
        </w:rPr>
      </w:pPr>
      <w:r w:rsidRPr="00191611">
        <w:rPr>
          <w:rFonts w:ascii="Arial" w:hAnsi="Arial" w:cs="Arial"/>
          <w:sz w:val="18"/>
          <w:szCs w:val="18"/>
        </w:rPr>
        <w:t>(</w:t>
      </w:r>
      <w:r w:rsidRPr="00191611">
        <w:rPr>
          <w:rFonts w:ascii="Arial" w:hAnsi="Arial" w:cs="Arial"/>
          <w:sz w:val="18"/>
          <w:szCs w:val="18"/>
          <w:lang w:val="es-MX"/>
        </w:rPr>
        <w:t>Millones de pesos a precios de 2013</w:t>
      </w:r>
      <w:r>
        <w:rPr>
          <w:rFonts w:ascii="Arial" w:hAnsi="Arial" w:cs="Arial"/>
          <w:sz w:val="18"/>
          <w:szCs w:val="18"/>
          <w:lang w:val="es-MX"/>
        </w:rPr>
        <w:t xml:space="preserve"> y variación porcentual anual</w:t>
      </w:r>
      <w:r w:rsidRPr="00191611">
        <w:rPr>
          <w:rFonts w:ascii="Arial" w:hAnsi="Arial" w:cs="Arial"/>
          <w:sz w:val="18"/>
          <w:szCs w:val="18"/>
        </w:rPr>
        <w:t>)</w:t>
      </w:r>
    </w:p>
    <w:tbl>
      <w:tblPr>
        <w:tblW w:w="8931" w:type="dxa"/>
        <w:tblInd w:w="2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200"/>
        <w:gridCol w:w="1200"/>
        <w:gridCol w:w="999"/>
        <w:gridCol w:w="992"/>
      </w:tblGrid>
      <w:tr w:rsidR="00DB6BE8" w:rsidRPr="00292A11" w14:paraId="7A5EE6EF" w14:textId="77777777" w:rsidTr="001C656E">
        <w:trPr>
          <w:trHeight w:val="315"/>
        </w:trPr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E963BE8" w14:textId="77777777" w:rsidR="00DB6BE8" w:rsidRPr="00292A11" w:rsidRDefault="00DB6BE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48519A1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1353A56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620BD107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Variación porcentual</w:t>
            </w:r>
          </w:p>
        </w:tc>
      </w:tr>
      <w:tr w:rsidR="00DB6BE8" w:rsidRPr="00292A11" w14:paraId="7417C026" w14:textId="77777777" w:rsidTr="001C656E">
        <w:trPr>
          <w:trHeight w:val="193"/>
        </w:trPr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25CE6685" w14:textId="77777777" w:rsidR="00DB6BE8" w:rsidRPr="00292A11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A3FD45B" w14:textId="77777777" w:rsidR="00DB6BE8" w:rsidRPr="00292A11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DC2914E" w14:textId="77777777" w:rsidR="00DB6BE8" w:rsidRPr="00292A11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C4D4D0E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C91E555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2021</w:t>
            </w:r>
          </w:p>
        </w:tc>
      </w:tr>
      <w:tr w:rsidR="00DB6BE8" w:rsidRPr="00292A11" w14:paraId="2E7410FC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35C94" w14:textId="77777777" w:rsidR="00DB6BE8" w:rsidRPr="00292A11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del país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36D7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16 296 527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B1D9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17 040 694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AD58A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E500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4.6</w:t>
            </w:r>
          </w:p>
        </w:tc>
      </w:tr>
      <w:tr w:rsidR="00DB6BE8" w:rsidRPr="00292A11" w14:paraId="605233C7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C612C" w14:textId="77777777" w:rsidR="00DB6BE8" w:rsidRPr="00292A11" w:rsidRDefault="00DB6BE8" w:rsidP="001C656E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turístico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8B5B8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1 127 746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01A6C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1 296 294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2A57C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-25.1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5074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14.9</w:t>
            </w:r>
          </w:p>
        </w:tc>
      </w:tr>
      <w:tr w:rsidR="00DB6BE8" w:rsidRPr="00292A11" w14:paraId="23D0F1DF" w14:textId="77777777" w:rsidTr="001C656E">
        <w:trPr>
          <w:trHeight w:val="189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937A1" w14:textId="77777777" w:rsidR="00DB6BE8" w:rsidRPr="00292A11" w:rsidRDefault="00DB6BE8" w:rsidP="001C656E">
            <w:pPr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Bienes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7E944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119 278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BC9E02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123 935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6976F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-12.8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C3597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3.9</w:t>
            </w:r>
          </w:p>
        </w:tc>
      </w:tr>
      <w:tr w:rsidR="00DB6BE8" w:rsidRPr="00292A11" w14:paraId="4B97321D" w14:textId="77777777" w:rsidTr="001C656E">
        <w:trPr>
          <w:trHeight w:val="65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AFFC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Artesanías y otros bienes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B2454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119 278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D4C75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123 935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5B0936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D14E4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DB6BE8" w:rsidRPr="00292A11" w14:paraId="04861EE4" w14:textId="77777777" w:rsidTr="001C656E">
        <w:trPr>
          <w:trHeight w:val="65"/>
        </w:trPr>
        <w:tc>
          <w:tcPr>
            <w:tcW w:w="4540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A60B9" w14:textId="77777777" w:rsidR="00DB6BE8" w:rsidRPr="00292A11" w:rsidRDefault="00DB6BE8" w:rsidP="001C656E">
            <w:pPr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Servicios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D590C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1 008 468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DF1EA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1 172 359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64C3D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-26.3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9CC6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16.3</w:t>
            </w:r>
          </w:p>
        </w:tc>
      </w:tr>
      <w:tr w:rsidR="00DB6BE8" w:rsidRPr="00292A11" w14:paraId="5449CD8F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BC4D5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Transporte de pasajeros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AD51A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180 128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E295A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221 779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5328B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-41.5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0D7F6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23.1</w:t>
            </w:r>
          </w:p>
        </w:tc>
      </w:tr>
      <w:tr w:rsidR="00DB6BE8" w:rsidRPr="00292A11" w14:paraId="045615D9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FD4F2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Restaurantes, bares y centros nocturnos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91444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147 285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B5211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169 308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81616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47DF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</w:t>
            </w:r>
          </w:p>
        </w:tc>
      </w:tr>
      <w:tr w:rsidR="00DB6BE8" w:rsidRPr="00292A11" w14:paraId="73261117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0E585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Alojamiento de visitantes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2084A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422 046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4EB27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482 056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E2311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0C3B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14.2</w:t>
            </w:r>
          </w:p>
        </w:tc>
      </w:tr>
      <w:tr w:rsidR="00DB6BE8" w:rsidRPr="00292A11" w14:paraId="0E745355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AA182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Agencias de viajes y otros servicios de reservas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2BF5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3082E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5 603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DA08F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4B3E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DB6BE8" w:rsidRPr="00292A11" w14:paraId="7DE4AB45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D9423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Comercio turístico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8B54A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86 496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FC907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97 252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FCFAA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501F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DB6BE8" w:rsidRPr="00292A11" w14:paraId="0FA80A9A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B797E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culturales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0A154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8 587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9E317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10 416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9BF72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6D4C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21.3</w:t>
            </w:r>
          </w:p>
        </w:tc>
      </w:tr>
      <w:tr w:rsidR="00DB6BE8" w:rsidRPr="00292A11" w14:paraId="080417E3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B7184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deportivos y recreativos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E97F1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7 413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BADD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10 976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8809C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AAFB8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48.1</w:t>
            </w:r>
          </w:p>
        </w:tc>
      </w:tr>
      <w:tr w:rsidR="00DB6BE8" w:rsidRPr="00292A11" w14:paraId="59DB2809" w14:textId="77777777" w:rsidTr="001C656E">
        <w:trPr>
          <w:trHeight w:val="222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524A0" w14:textId="77777777" w:rsidR="00DB6BE8" w:rsidRPr="00292A11" w:rsidRDefault="00DB6BE8" w:rsidP="001C656E">
            <w:pPr>
              <w:ind w:firstLineChars="300" w:firstLine="5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servicios*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ADAB3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151 311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4F74C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174 969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D229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4789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15.6</w:t>
            </w:r>
          </w:p>
        </w:tc>
      </w:tr>
    </w:tbl>
    <w:p w14:paraId="479BD63C" w14:textId="1F9B9C73" w:rsidR="00DB6BE8" w:rsidRPr="00552993" w:rsidRDefault="00DB6BE8" w:rsidP="00552993">
      <w:pPr>
        <w:autoSpaceDE w:val="0"/>
        <w:autoSpaceDN w:val="0"/>
        <w:adjustRightInd w:val="0"/>
        <w:ind w:left="426" w:right="709" w:hanging="142"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* Incluye 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apoyo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,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información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financieros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inmobiliarios y de alquiler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profesionales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salud y productos no destinados al consumo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 y 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otros</w:t>
      </w:r>
      <w:r w:rsidR="00991D5B" w:rsidRPr="00552993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55299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. </w:t>
      </w:r>
    </w:p>
    <w:p w14:paraId="40768407" w14:textId="6A489820" w:rsidR="00DB6BE8" w:rsidRDefault="00DB6BE8" w:rsidP="00DB6BE8">
      <w:pPr>
        <w:pStyle w:val="Textoindependiente"/>
        <w:ind w:left="284" w:right="476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6A10BE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</w:p>
    <w:p w14:paraId="33757FC9" w14:textId="75D74B47" w:rsidR="004663AA" w:rsidRPr="00712284" w:rsidRDefault="00DB6BE8" w:rsidP="00552993">
      <w:pPr>
        <w:spacing w:before="100" w:beforeAutospacing="1" w:after="200"/>
        <w:ind w:right="-142"/>
        <w:jc w:val="both"/>
        <w:rPr>
          <w:rFonts w:ascii="Arial" w:hAnsi="Arial" w:cs="Arial"/>
          <w:lang w:eastAsia="x-none"/>
        </w:rPr>
      </w:pPr>
      <w:r w:rsidRPr="00712284">
        <w:rPr>
          <w:rFonts w:ascii="Arial" w:hAnsi="Arial" w:cs="Arial"/>
          <w:lang w:eastAsia="x-none"/>
        </w:rPr>
        <w:t xml:space="preserve">En </w:t>
      </w:r>
      <w:r w:rsidRPr="00712284">
        <w:rPr>
          <w:rFonts w:ascii="Arial" w:hAnsi="Arial" w:cs="Arial"/>
          <w:lang w:val="x-none" w:eastAsia="x-none"/>
        </w:rPr>
        <w:t>202</w:t>
      </w:r>
      <w:r w:rsidRPr="00712284">
        <w:rPr>
          <w:rFonts w:ascii="Arial" w:hAnsi="Arial" w:cs="Arial"/>
          <w:lang w:eastAsia="x-none"/>
        </w:rPr>
        <w:t xml:space="preserve">1, </w:t>
      </w:r>
      <w:r w:rsidRPr="00712284">
        <w:rPr>
          <w:rFonts w:ascii="Arial" w:hAnsi="Arial" w:cs="Arial"/>
          <w:lang w:val="x-none" w:eastAsia="x-none"/>
        </w:rPr>
        <w:t xml:space="preserve">el sector </w:t>
      </w:r>
      <w:r w:rsidR="00FF349A">
        <w:rPr>
          <w:rFonts w:ascii="Arial" w:hAnsi="Arial" w:cs="Arial"/>
          <w:lang w:eastAsia="x-none"/>
        </w:rPr>
        <w:t xml:space="preserve">Turismo </w:t>
      </w:r>
      <w:r w:rsidRPr="00712284">
        <w:rPr>
          <w:rFonts w:ascii="Arial" w:hAnsi="Arial" w:cs="Arial"/>
          <w:lang w:val="x-none" w:eastAsia="x-none"/>
        </w:rPr>
        <w:t>gener</w:t>
      </w:r>
      <w:r w:rsidRPr="00712284">
        <w:rPr>
          <w:rFonts w:ascii="Arial" w:hAnsi="Arial" w:cs="Arial"/>
          <w:lang w:eastAsia="x-none"/>
        </w:rPr>
        <w:t xml:space="preserve">ó </w:t>
      </w:r>
      <w:r w:rsidRPr="00712284">
        <w:rPr>
          <w:rFonts w:ascii="Arial" w:hAnsi="Arial" w:cs="Arial"/>
          <w:lang w:val="x-none" w:eastAsia="x-none"/>
        </w:rPr>
        <w:t>2</w:t>
      </w:r>
      <w:r w:rsidRPr="00712284">
        <w:rPr>
          <w:rFonts w:ascii="Arial" w:hAnsi="Arial" w:cs="Arial"/>
          <w:lang w:eastAsia="x-none"/>
        </w:rPr>
        <w:t>.2</w:t>
      </w:r>
      <w:r w:rsidRPr="00712284">
        <w:rPr>
          <w:rFonts w:ascii="Arial" w:hAnsi="Arial" w:cs="Arial"/>
          <w:lang w:val="x-none" w:eastAsia="x-none"/>
        </w:rPr>
        <w:t xml:space="preserve"> millones de puestos de trabajo</w:t>
      </w:r>
      <w:r w:rsidRPr="00712284">
        <w:rPr>
          <w:rFonts w:ascii="Arial" w:hAnsi="Arial" w:cs="Arial"/>
          <w:lang w:eastAsia="x-none"/>
        </w:rPr>
        <w:t>. Esta cifra reflej</w:t>
      </w:r>
      <w:r w:rsidR="00991D5B">
        <w:rPr>
          <w:rFonts w:ascii="Arial" w:hAnsi="Arial" w:cs="Arial"/>
          <w:lang w:eastAsia="x-none"/>
        </w:rPr>
        <w:t>ó</w:t>
      </w:r>
      <w:r w:rsidRPr="00712284">
        <w:rPr>
          <w:rFonts w:ascii="Arial" w:hAnsi="Arial" w:cs="Arial"/>
          <w:lang w:eastAsia="x-none"/>
        </w:rPr>
        <w:t xml:space="preserve"> un crecimiento </w:t>
      </w:r>
      <w:r w:rsidRPr="00712284">
        <w:rPr>
          <w:rFonts w:ascii="Arial" w:hAnsi="Arial" w:cs="Arial"/>
          <w:lang w:val="x-none" w:eastAsia="x-none"/>
        </w:rPr>
        <w:t>de</w:t>
      </w:r>
      <w:r w:rsidRPr="00712284">
        <w:rPr>
          <w:rFonts w:ascii="Arial" w:hAnsi="Arial" w:cs="Arial"/>
          <w:lang w:eastAsia="x-none"/>
        </w:rPr>
        <w:t xml:space="preserve"> 8.3</w:t>
      </w:r>
      <w:r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>% respecto a 20</w:t>
      </w:r>
      <w:r w:rsidRPr="00712284">
        <w:rPr>
          <w:rFonts w:ascii="Arial" w:hAnsi="Arial" w:cs="Arial"/>
          <w:lang w:eastAsia="x-none"/>
        </w:rPr>
        <w:t>20</w:t>
      </w:r>
      <w:r w:rsidRPr="00712284">
        <w:rPr>
          <w:rFonts w:ascii="Arial" w:hAnsi="Arial" w:cs="Arial"/>
          <w:lang w:val="x-none" w:eastAsia="x-none"/>
        </w:rPr>
        <w:t xml:space="preserve">. La mayor </w:t>
      </w:r>
      <w:r>
        <w:rPr>
          <w:rFonts w:ascii="Arial" w:hAnsi="Arial" w:cs="Arial"/>
          <w:lang w:eastAsia="x-none"/>
        </w:rPr>
        <w:t xml:space="preserve">aportación a la generación de empleo </w:t>
      </w:r>
      <w:r w:rsidRPr="00712284">
        <w:rPr>
          <w:rFonts w:ascii="Arial" w:hAnsi="Arial" w:cs="Arial"/>
          <w:lang w:val="x-none" w:eastAsia="x-none"/>
        </w:rPr>
        <w:t xml:space="preserve">se registró en el rubro de </w:t>
      </w:r>
      <w:r w:rsidRPr="00552993">
        <w:rPr>
          <w:rFonts w:ascii="Arial" w:hAnsi="Arial" w:cs="Arial"/>
          <w:i/>
          <w:lang w:val="x-none" w:eastAsia="x-none"/>
        </w:rPr>
        <w:t>restaurantes, bares y centros nocturnos</w:t>
      </w:r>
      <w:r w:rsidR="00552993">
        <w:rPr>
          <w:rFonts w:ascii="Arial" w:hAnsi="Arial" w:cs="Arial"/>
          <w:iCs/>
          <w:lang w:eastAsia="x-none"/>
        </w:rPr>
        <w:t>,</w:t>
      </w:r>
      <w:r w:rsidRPr="00712284">
        <w:rPr>
          <w:rFonts w:ascii="Arial" w:hAnsi="Arial" w:cs="Arial"/>
          <w:lang w:val="x-none" w:eastAsia="x-none"/>
        </w:rPr>
        <w:t xml:space="preserve"> con 2</w:t>
      </w:r>
      <w:r w:rsidRPr="00712284">
        <w:rPr>
          <w:rFonts w:ascii="Arial" w:hAnsi="Arial" w:cs="Arial"/>
          <w:lang w:eastAsia="x-none"/>
        </w:rPr>
        <w:t>8.1</w:t>
      </w:r>
      <w:r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>%</w:t>
      </w:r>
      <w:r w:rsidR="00552993">
        <w:rPr>
          <w:rFonts w:ascii="Arial" w:hAnsi="Arial" w:cs="Arial"/>
          <w:lang w:eastAsia="x-none"/>
        </w:rPr>
        <w:t>;</w:t>
      </w:r>
      <w:r w:rsidRPr="00712284">
        <w:rPr>
          <w:rFonts w:ascii="Arial" w:hAnsi="Arial" w:cs="Arial"/>
          <w:lang w:val="x-none" w:eastAsia="x-none"/>
        </w:rPr>
        <w:t xml:space="preserve"> </w:t>
      </w:r>
      <w:r w:rsidRPr="00552993">
        <w:rPr>
          <w:rFonts w:ascii="Arial" w:hAnsi="Arial" w:cs="Arial"/>
          <w:i/>
          <w:lang w:val="x-none" w:eastAsia="x-none"/>
        </w:rPr>
        <w:t>otros servicios</w:t>
      </w:r>
      <w:r w:rsidR="00552993">
        <w:rPr>
          <w:rFonts w:ascii="Arial" w:hAnsi="Arial" w:cs="Arial"/>
          <w:iCs/>
          <w:lang w:eastAsia="x-none"/>
        </w:rPr>
        <w:t>,</w:t>
      </w:r>
      <w:r w:rsidRPr="00712284">
        <w:rPr>
          <w:rFonts w:ascii="Arial" w:hAnsi="Arial" w:cs="Arial"/>
          <w:lang w:val="x-none" w:eastAsia="x-none"/>
        </w:rPr>
        <w:t xml:space="preserve"> </w:t>
      </w:r>
      <w:r w:rsidRPr="00712284">
        <w:rPr>
          <w:rFonts w:ascii="Arial" w:hAnsi="Arial" w:cs="Arial"/>
          <w:lang w:eastAsia="x-none"/>
        </w:rPr>
        <w:t xml:space="preserve">con </w:t>
      </w:r>
      <w:r w:rsidRPr="00712284">
        <w:rPr>
          <w:rFonts w:ascii="Arial" w:hAnsi="Arial" w:cs="Arial"/>
          <w:lang w:val="x-none" w:eastAsia="x-none"/>
        </w:rPr>
        <w:t>25.</w:t>
      </w:r>
      <w:r w:rsidRPr="00712284">
        <w:rPr>
          <w:rFonts w:ascii="Arial" w:hAnsi="Arial" w:cs="Arial"/>
          <w:lang w:eastAsia="x-none"/>
        </w:rPr>
        <w:t>7</w:t>
      </w:r>
      <w:r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>%</w:t>
      </w:r>
      <w:r w:rsidR="00552993">
        <w:rPr>
          <w:rFonts w:ascii="Arial" w:hAnsi="Arial" w:cs="Arial"/>
          <w:lang w:eastAsia="x-none"/>
        </w:rPr>
        <w:t>;</w:t>
      </w:r>
      <w:r w:rsidRPr="00712284">
        <w:rPr>
          <w:rFonts w:ascii="Arial" w:hAnsi="Arial" w:cs="Arial"/>
          <w:lang w:val="x-none" w:eastAsia="x-none"/>
        </w:rPr>
        <w:t xml:space="preserve"> </w:t>
      </w:r>
      <w:r w:rsidRPr="00552993">
        <w:rPr>
          <w:rFonts w:ascii="Arial" w:hAnsi="Arial" w:cs="Arial"/>
          <w:i/>
          <w:lang w:val="x-none" w:eastAsia="x-none"/>
        </w:rPr>
        <w:t>transporte de pasajeros</w:t>
      </w:r>
      <w:r w:rsidR="00552993">
        <w:rPr>
          <w:rFonts w:ascii="Arial" w:hAnsi="Arial" w:cs="Arial"/>
          <w:iCs/>
          <w:lang w:eastAsia="x-none"/>
        </w:rPr>
        <w:t>,</w:t>
      </w:r>
      <w:r w:rsidRPr="00712284">
        <w:rPr>
          <w:rFonts w:ascii="Arial" w:hAnsi="Arial" w:cs="Arial"/>
          <w:lang w:val="x-none" w:eastAsia="x-none"/>
        </w:rPr>
        <w:t xml:space="preserve"> con</w:t>
      </w:r>
      <w:r w:rsidRPr="00712284"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>2</w:t>
      </w:r>
      <w:r w:rsidRPr="00712284">
        <w:rPr>
          <w:rFonts w:ascii="Arial" w:hAnsi="Arial" w:cs="Arial"/>
          <w:lang w:eastAsia="x-none"/>
        </w:rPr>
        <w:t>4.7</w:t>
      </w:r>
      <w:r>
        <w:rPr>
          <w:rFonts w:ascii="Arial" w:hAnsi="Arial" w:cs="Arial"/>
          <w:lang w:eastAsia="x-none"/>
        </w:rPr>
        <w:t xml:space="preserve"> </w:t>
      </w:r>
      <w:r w:rsidRPr="00712284">
        <w:rPr>
          <w:rFonts w:ascii="Arial" w:hAnsi="Arial" w:cs="Arial"/>
          <w:lang w:val="x-none" w:eastAsia="x-none"/>
        </w:rPr>
        <w:t xml:space="preserve">% y </w:t>
      </w:r>
      <w:r w:rsidRPr="00552993">
        <w:rPr>
          <w:rFonts w:ascii="Arial" w:hAnsi="Arial" w:cs="Arial"/>
          <w:i/>
          <w:lang w:val="x-none" w:eastAsia="x-none"/>
        </w:rPr>
        <w:t>alojamiento para visitantes</w:t>
      </w:r>
      <w:r w:rsidR="00552993">
        <w:rPr>
          <w:rFonts w:ascii="Arial" w:hAnsi="Arial" w:cs="Arial"/>
          <w:iCs/>
          <w:lang w:eastAsia="x-none"/>
        </w:rPr>
        <w:t>,</w:t>
      </w:r>
      <w:r w:rsidRPr="00712284">
        <w:rPr>
          <w:rFonts w:ascii="Arial" w:hAnsi="Arial" w:cs="Arial"/>
          <w:lang w:val="x-none" w:eastAsia="x-none"/>
        </w:rPr>
        <w:t xml:space="preserve"> con 10.2</w:t>
      </w:r>
      <w:r w:rsidRPr="00712284">
        <w:rPr>
          <w:rFonts w:ascii="Arial" w:hAnsi="Arial" w:cs="Arial"/>
          <w:lang w:eastAsia="x-none"/>
        </w:rPr>
        <w:t xml:space="preserve"> por ciento. </w:t>
      </w:r>
    </w:p>
    <w:p w14:paraId="18632C8D" w14:textId="77777777" w:rsidR="00DB6BE8" w:rsidRPr="00552993" w:rsidRDefault="00DB6BE8" w:rsidP="00552993">
      <w:pPr>
        <w:ind w:right="-142"/>
        <w:jc w:val="center"/>
        <w:rPr>
          <w:rFonts w:ascii="Arial" w:hAnsi="Arial" w:cs="Arial"/>
          <w:sz w:val="20"/>
          <w:szCs w:val="20"/>
        </w:rPr>
      </w:pPr>
      <w:r w:rsidRPr="00552993">
        <w:rPr>
          <w:rFonts w:ascii="Arial" w:hAnsi="Arial" w:cs="Arial"/>
          <w:sz w:val="20"/>
          <w:szCs w:val="20"/>
        </w:rPr>
        <w:t>Cuadro 3</w:t>
      </w:r>
    </w:p>
    <w:p w14:paraId="2FB0E023" w14:textId="16E9C155" w:rsidR="00DB6BE8" w:rsidRDefault="00346158" w:rsidP="00552993">
      <w:pPr>
        <w:ind w:left="426" w:right="-142"/>
        <w:contextualSpacing/>
        <w:jc w:val="center"/>
        <w:rPr>
          <w:rFonts w:ascii="Arial" w:hAnsi="Arial" w:cs="Arial"/>
          <w:b/>
          <w:iCs/>
          <w:smallCaps/>
          <w:sz w:val="22"/>
          <w:szCs w:val="22"/>
        </w:rPr>
      </w:pPr>
      <w:r>
        <w:rPr>
          <w:rFonts w:ascii="Arial" w:hAnsi="Arial" w:cs="Arial"/>
          <w:b/>
          <w:iCs/>
          <w:smallCaps/>
          <w:sz w:val="22"/>
          <w:szCs w:val="22"/>
        </w:rPr>
        <w:t xml:space="preserve">Puestos de Trabajo </w:t>
      </w:r>
      <w:r w:rsidR="00DB6BE8">
        <w:rPr>
          <w:rFonts w:ascii="Arial" w:hAnsi="Arial" w:cs="Arial"/>
          <w:b/>
          <w:iCs/>
          <w:smallCaps/>
          <w:sz w:val="22"/>
          <w:szCs w:val="22"/>
        </w:rPr>
        <w:t>Ocupa</w:t>
      </w:r>
      <w:r>
        <w:rPr>
          <w:rFonts w:ascii="Arial" w:hAnsi="Arial" w:cs="Arial"/>
          <w:b/>
          <w:iCs/>
          <w:smallCaps/>
          <w:sz w:val="22"/>
          <w:szCs w:val="22"/>
        </w:rPr>
        <w:t>dos</w:t>
      </w:r>
      <w:r w:rsidR="00DB6BE8">
        <w:rPr>
          <w:rFonts w:ascii="Arial" w:hAnsi="Arial" w:cs="Arial"/>
          <w:b/>
          <w:iCs/>
          <w:smallCaps/>
          <w:sz w:val="22"/>
          <w:szCs w:val="22"/>
        </w:rPr>
        <w:t xml:space="preserve"> remunerad</w:t>
      </w:r>
      <w:r>
        <w:rPr>
          <w:rFonts w:ascii="Arial" w:hAnsi="Arial" w:cs="Arial"/>
          <w:b/>
          <w:iCs/>
          <w:smallCaps/>
          <w:sz w:val="22"/>
          <w:szCs w:val="22"/>
        </w:rPr>
        <w:t>o</w:t>
      </w:r>
      <w:r w:rsidR="00DB6BE8">
        <w:rPr>
          <w:rFonts w:ascii="Arial" w:hAnsi="Arial" w:cs="Arial"/>
          <w:b/>
          <w:iCs/>
          <w:smallCaps/>
          <w:sz w:val="22"/>
          <w:szCs w:val="22"/>
        </w:rPr>
        <w:t>s en el sector</w:t>
      </w:r>
      <w:r w:rsidR="00DB6BE8" w:rsidRPr="00191611">
        <w:rPr>
          <w:rFonts w:ascii="Arial" w:hAnsi="Arial" w:cs="Arial"/>
          <w:b/>
          <w:iCs/>
          <w:smallCaps/>
          <w:sz w:val="22"/>
          <w:szCs w:val="22"/>
        </w:rPr>
        <w:t xml:space="preserve"> </w:t>
      </w:r>
      <w:r w:rsidR="00DB6BE8">
        <w:rPr>
          <w:rFonts w:ascii="Arial" w:hAnsi="Arial" w:cs="Arial"/>
          <w:b/>
          <w:iCs/>
          <w:smallCaps/>
          <w:sz w:val="22"/>
          <w:szCs w:val="22"/>
        </w:rPr>
        <w:t>t</w:t>
      </w:r>
      <w:r w:rsidR="00DB6BE8" w:rsidRPr="00191611">
        <w:rPr>
          <w:rFonts w:ascii="Arial" w:hAnsi="Arial" w:cs="Arial"/>
          <w:b/>
          <w:iCs/>
          <w:smallCaps/>
          <w:sz w:val="22"/>
          <w:szCs w:val="22"/>
        </w:rPr>
        <w:t>urístico</w:t>
      </w:r>
    </w:p>
    <w:tbl>
      <w:tblPr>
        <w:tblW w:w="922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002"/>
        <w:gridCol w:w="856"/>
        <w:gridCol w:w="856"/>
        <w:gridCol w:w="982"/>
        <w:gridCol w:w="856"/>
        <w:gridCol w:w="856"/>
      </w:tblGrid>
      <w:tr w:rsidR="00DB6BE8" w:rsidRPr="00292A11" w14:paraId="759D478D" w14:textId="77777777" w:rsidTr="001C656E">
        <w:trPr>
          <w:trHeight w:val="48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F935A0F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CONCEPTO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2F2C5E5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69EB0DD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Variación porcentual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0F403D9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Estructura porcentual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6C447585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95D596B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Variación porcentual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D3C1924" w14:textId="77777777" w:rsidR="00DB6BE8" w:rsidRPr="00292A11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Estructura porcentual</w:t>
            </w:r>
          </w:p>
        </w:tc>
      </w:tr>
      <w:tr w:rsidR="00DB6BE8" w:rsidRPr="00292A11" w14:paraId="0DB276BC" w14:textId="77777777" w:rsidTr="001C656E">
        <w:trPr>
          <w:trHeight w:val="22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EE562" w14:textId="77777777" w:rsidR="00DB6BE8" w:rsidRPr="00292A11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Total del país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2AF80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37 465 483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3A59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-5.0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4F890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06A34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37 963 618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72815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6348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6BE8" w:rsidRPr="00292A11" w14:paraId="4EB9A44C" w14:textId="77777777" w:rsidTr="001C656E">
        <w:trPr>
          <w:trHeight w:val="22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1B8E8" w14:textId="77777777" w:rsidR="00DB6BE8" w:rsidRPr="00292A11" w:rsidRDefault="00DB6BE8" w:rsidP="001C656E">
            <w:pPr>
              <w:ind w:firstLineChars="100" w:firstLine="171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Total turístico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F4F03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2 006 717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6D872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-12.2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A4349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4385C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2 173 738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3108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665D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DB6BE8" w:rsidRPr="00292A11" w14:paraId="6B801CF1" w14:textId="77777777" w:rsidTr="001C656E">
        <w:trPr>
          <w:trHeight w:val="17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0DF63" w14:textId="77777777" w:rsidR="00DB6BE8" w:rsidRPr="00292A11" w:rsidRDefault="00DB6BE8" w:rsidP="001C656E">
            <w:pPr>
              <w:ind w:firstLineChars="200" w:firstLine="341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Bienes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6A265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72 378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0D6D4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-11.3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E7090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10D5E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67 401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AACD0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-6.9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5CFD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3.1</w:t>
            </w:r>
          </w:p>
        </w:tc>
      </w:tr>
      <w:tr w:rsidR="00DB6BE8" w:rsidRPr="00292A11" w14:paraId="23B23D3A" w14:textId="77777777" w:rsidTr="001C656E">
        <w:trPr>
          <w:trHeight w:val="175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2AE2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Artesanías y otros bienes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0F825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72 378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C6754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4CAB9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1E071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67 401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C2298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0F5E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</w:tr>
      <w:tr w:rsidR="00DB6BE8" w:rsidRPr="00292A11" w14:paraId="7AD1136E" w14:textId="77777777" w:rsidTr="001C656E">
        <w:trPr>
          <w:trHeight w:val="177"/>
        </w:trPr>
        <w:tc>
          <w:tcPr>
            <w:tcW w:w="3818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396C4" w14:textId="77777777" w:rsidR="00DB6BE8" w:rsidRPr="00292A11" w:rsidRDefault="00DB6BE8" w:rsidP="001C656E">
            <w:pPr>
              <w:ind w:firstLineChars="200" w:firstLine="341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Servicios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B95A0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1 934 339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7EC59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-12.3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2E847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5AC61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2 106 337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F51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1EDE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96.9</w:t>
            </w:r>
          </w:p>
        </w:tc>
      </w:tr>
      <w:tr w:rsidR="00DB6BE8" w:rsidRPr="00292A11" w14:paraId="65D27E4D" w14:textId="77777777" w:rsidTr="001C656E">
        <w:trPr>
          <w:trHeight w:val="6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3529B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Transporte de pasajeros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4D0A9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519 447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5C0C2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-12.0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09263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CDDD9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536 234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7874D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7B07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24.7</w:t>
            </w:r>
          </w:p>
        </w:tc>
      </w:tr>
      <w:tr w:rsidR="00DB6BE8" w:rsidRPr="00292A11" w14:paraId="22D2ED54" w14:textId="77777777" w:rsidTr="001C656E">
        <w:trPr>
          <w:trHeight w:val="1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44A1B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Restaurantes, bares y centros nocturnos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BCA7E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549 719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43811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-17.4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7940F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7B98D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611 821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60F3E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A021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28.1</w:t>
            </w:r>
          </w:p>
        </w:tc>
      </w:tr>
      <w:tr w:rsidR="00DB6BE8" w:rsidRPr="00292A11" w14:paraId="5BA1E8B5" w14:textId="77777777" w:rsidTr="001C656E">
        <w:trPr>
          <w:trHeight w:val="15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7731B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Alojamiento </w:t>
            </w: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para visitantes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78025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200 105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BBAC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9F628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5326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221 780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B530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D7443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</w:tr>
      <w:tr w:rsidR="00DB6BE8" w:rsidRPr="00292A11" w14:paraId="0674D08C" w14:textId="77777777" w:rsidTr="001C656E">
        <w:trPr>
          <w:trHeight w:val="2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954B2" w14:textId="77777777" w:rsidR="00DB6BE8" w:rsidRPr="00292A11" w:rsidRDefault="00DB6BE8" w:rsidP="001C656E">
            <w:pPr>
              <w:ind w:left="503" w:firstLineChars="4" w:firstLine="7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Agencias de viajes y otros servicios de reservas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334E9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12 323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1BF6A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90739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6D4A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13 104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8ADF6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7F0C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DB6BE8" w:rsidRPr="00292A11" w14:paraId="6459D034" w14:textId="77777777" w:rsidTr="001C656E">
        <w:trPr>
          <w:trHeight w:val="97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12E86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Comercio turístico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2B633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72 325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4B578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-23.1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288A5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109CC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87 424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1814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9FE33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</w:tr>
      <w:tr w:rsidR="00DB6BE8" w:rsidRPr="00292A11" w14:paraId="43421486" w14:textId="77777777" w:rsidTr="001C656E">
        <w:trPr>
          <w:trHeight w:val="17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54776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Servicios culturales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35B4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25 297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16B5E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-32.9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0ADF2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DEA9E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32 568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E70BD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C51F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</w:tr>
      <w:tr w:rsidR="00DB6BE8" w:rsidRPr="00292A11" w14:paraId="1310C749" w14:textId="77777777" w:rsidTr="001C656E">
        <w:trPr>
          <w:trHeight w:val="8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1F7C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Servicios deportivos y recreativos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6CAD6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42 031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05813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-22.8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F8CB2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5608E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43 711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61AE6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D84C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</w:tr>
      <w:tr w:rsidR="00DB6BE8" w:rsidRPr="00292A11" w14:paraId="2CFE8DC8" w14:textId="77777777" w:rsidTr="001C656E">
        <w:trPr>
          <w:trHeight w:val="11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EFAC" w14:textId="77777777" w:rsidR="00DB6BE8" w:rsidRPr="00292A11" w:rsidRDefault="00DB6BE8" w:rsidP="001C656E">
            <w:pPr>
              <w:ind w:firstLineChars="300" w:firstLine="51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Otros servicios*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C5D25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513 092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E2F1B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F068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09834" w14:textId="77777777" w:rsidR="00DB6BE8" w:rsidRPr="00292A11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559 695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D53C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05089" w14:textId="77777777" w:rsidR="00DB6BE8" w:rsidRPr="00292A11" w:rsidRDefault="00DB6BE8" w:rsidP="001C656E">
            <w:pPr>
              <w:ind w:right="113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A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</w:t>
            </w:r>
          </w:p>
        </w:tc>
      </w:tr>
    </w:tbl>
    <w:p w14:paraId="08A1618F" w14:textId="2FCDACCA" w:rsidR="00991D5B" w:rsidRPr="004A2131" w:rsidRDefault="00991D5B" w:rsidP="00991D5B">
      <w:pPr>
        <w:autoSpaceDE w:val="0"/>
        <w:autoSpaceDN w:val="0"/>
        <w:adjustRightInd w:val="0"/>
        <w:ind w:left="426" w:right="709" w:hanging="142"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* Incluye 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apoyo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,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información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financieros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inmobiliarios y de alquiler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profesionales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, 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servicios de salud y productos no destinados al consumo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 y 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otros</w:t>
      </w:r>
      <w:r w:rsidRPr="004A213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A2131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. </w:t>
      </w:r>
    </w:p>
    <w:p w14:paraId="4A4E531E" w14:textId="77777777" w:rsidR="00DB6BE8" w:rsidRPr="005654B8" w:rsidRDefault="00DB6BE8" w:rsidP="00DB6BE8">
      <w:pPr>
        <w:pStyle w:val="Textoindependiente"/>
        <w:ind w:left="284" w:right="334"/>
        <w:rPr>
          <w:rFonts w:ascii="Arial" w:hAnsi="Arial" w:cs="Arial"/>
          <w:sz w:val="16"/>
          <w:szCs w:val="16"/>
        </w:rPr>
      </w:pPr>
      <w:r w:rsidRPr="005654B8">
        <w:rPr>
          <w:rFonts w:ascii="Arial" w:hAnsi="Arial" w:cs="Arial"/>
          <w:sz w:val="16"/>
          <w:szCs w:val="16"/>
        </w:rPr>
        <w:t>N</w:t>
      </w:r>
      <w:r w:rsidRPr="005654B8">
        <w:rPr>
          <w:rFonts w:ascii="Arial" w:hAnsi="Arial" w:cs="Arial"/>
          <w:sz w:val="16"/>
          <w:szCs w:val="16"/>
          <w:lang w:val="es-MX"/>
        </w:rPr>
        <w:t>ota</w:t>
      </w:r>
      <w:r w:rsidRPr="005654B8">
        <w:rPr>
          <w:rFonts w:ascii="Arial" w:hAnsi="Arial" w:cs="Arial"/>
          <w:sz w:val="16"/>
          <w:szCs w:val="16"/>
        </w:rPr>
        <w:t xml:space="preserve">: La suma de los valores puede no coincidir con el total debido al redondeo. </w:t>
      </w:r>
    </w:p>
    <w:p w14:paraId="39D789C7" w14:textId="77777777" w:rsidR="00DB6BE8" w:rsidRPr="005654B8" w:rsidRDefault="00DB6BE8" w:rsidP="00552993">
      <w:pPr>
        <w:pStyle w:val="Textoindependiente"/>
        <w:spacing w:after="240"/>
        <w:ind w:left="284" w:right="-142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5654B8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</w:p>
    <w:p w14:paraId="1134CE9F" w14:textId="07F57D30" w:rsidR="00DB6BE8" w:rsidRPr="00552993" w:rsidRDefault="00DB6BE8" w:rsidP="00552993">
      <w:pPr>
        <w:spacing w:after="100" w:afterAutospacing="1"/>
        <w:ind w:right="-142"/>
        <w:jc w:val="both"/>
        <w:rPr>
          <w:rFonts w:ascii="Arial" w:hAnsi="Arial" w:cs="Arial"/>
          <w:color w:val="000000" w:themeColor="text1"/>
        </w:rPr>
      </w:pPr>
      <w:r w:rsidRPr="00552993">
        <w:rPr>
          <w:rFonts w:ascii="Arial" w:hAnsi="Arial" w:cs="Arial"/>
          <w:color w:val="000000" w:themeColor="text1"/>
        </w:rPr>
        <w:t xml:space="preserve">La CSTM permite identificar el </w:t>
      </w:r>
      <w:r w:rsidRPr="00552993">
        <w:rPr>
          <w:rFonts w:ascii="Arial" w:hAnsi="Arial" w:cs="Arial"/>
          <w:i/>
          <w:color w:val="000000" w:themeColor="text1"/>
        </w:rPr>
        <w:t>consumo turístico interior</w:t>
      </w:r>
      <w:r w:rsidR="00991D5B" w:rsidRPr="00552993">
        <w:rPr>
          <w:rFonts w:ascii="Arial" w:hAnsi="Arial" w:cs="Arial"/>
          <w:color w:val="000000" w:themeColor="text1"/>
        </w:rPr>
        <w:t>; es decir,</w:t>
      </w:r>
      <w:r w:rsidRPr="00552993">
        <w:rPr>
          <w:rFonts w:ascii="Arial" w:hAnsi="Arial" w:cs="Arial"/>
          <w:color w:val="000000" w:themeColor="text1"/>
        </w:rPr>
        <w:t xml:space="preserve"> el gasto </w:t>
      </w:r>
      <w:r w:rsidR="00971AAD" w:rsidRPr="00552993">
        <w:rPr>
          <w:rFonts w:ascii="Arial" w:hAnsi="Arial" w:cs="Arial"/>
          <w:color w:val="000000" w:themeColor="text1"/>
        </w:rPr>
        <w:t xml:space="preserve">que </w:t>
      </w:r>
      <w:r w:rsidRPr="00552993">
        <w:rPr>
          <w:rFonts w:ascii="Arial" w:hAnsi="Arial" w:cs="Arial"/>
          <w:color w:val="000000" w:themeColor="text1"/>
        </w:rPr>
        <w:t>realiza</w:t>
      </w:r>
      <w:r w:rsidR="00971AAD" w:rsidRPr="00552993">
        <w:rPr>
          <w:rFonts w:ascii="Arial" w:hAnsi="Arial" w:cs="Arial"/>
          <w:color w:val="000000" w:themeColor="text1"/>
        </w:rPr>
        <w:t>n</w:t>
      </w:r>
      <w:r w:rsidR="00552993">
        <w:rPr>
          <w:rFonts w:ascii="Arial" w:hAnsi="Arial" w:cs="Arial"/>
          <w:color w:val="000000" w:themeColor="text1"/>
        </w:rPr>
        <w:t xml:space="preserve"> las y</w:t>
      </w:r>
      <w:r w:rsidRPr="00552993">
        <w:rPr>
          <w:rFonts w:ascii="Arial" w:hAnsi="Arial" w:cs="Arial"/>
          <w:color w:val="000000" w:themeColor="text1"/>
        </w:rPr>
        <w:t xml:space="preserve"> los visitantes</w:t>
      </w:r>
      <w:r w:rsidR="00971AAD" w:rsidRPr="00552993">
        <w:rPr>
          <w:rFonts w:ascii="Arial" w:hAnsi="Arial" w:cs="Arial"/>
          <w:color w:val="000000" w:themeColor="text1"/>
        </w:rPr>
        <w:t>,</w:t>
      </w:r>
      <w:r w:rsidRPr="00552993">
        <w:rPr>
          <w:rFonts w:ascii="Arial" w:hAnsi="Arial" w:cs="Arial"/>
          <w:color w:val="000000" w:themeColor="text1"/>
        </w:rPr>
        <w:t xml:space="preserve"> tanto residentes </w:t>
      </w:r>
      <w:r w:rsidR="00971AAD" w:rsidRPr="00552993">
        <w:rPr>
          <w:rFonts w:ascii="Arial" w:hAnsi="Arial" w:cs="Arial"/>
          <w:color w:val="000000" w:themeColor="text1"/>
          <w:shd w:val="clear" w:color="auto" w:fill="FFFFFF"/>
        </w:rPr>
        <w:t>—</w:t>
      </w:r>
      <w:r w:rsidRPr="00552993">
        <w:rPr>
          <w:rFonts w:ascii="Arial" w:hAnsi="Arial" w:cs="Arial"/>
          <w:color w:val="000000" w:themeColor="text1"/>
        </w:rPr>
        <w:t>consumo interno</w:t>
      </w:r>
      <w:r w:rsidR="00971AAD" w:rsidRPr="00552993">
        <w:rPr>
          <w:rFonts w:ascii="Arial" w:hAnsi="Arial" w:cs="Arial"/>
          <w:color w:val="000000" w:themeColor="text1"/>
          <w:shd w:val="clear" w:color="auto" w:fill="FFFFFF"/>
        </w:rPr>
        <w:t>—</w:t>
      </w:r>
      <w:r w:rsidRPr="00552993">
        <w:rPr>
          <w:rFonts w:ascii="Arial" w:hAnsi="Arial" w:cs="Arial"/>
          <w:color w:val="000000" w:themeColor="text1"/>
        </w:rPr>
        <w:t xml:space="preserve"> como extranjeros </w:t>
      </w:r>
      <w:r w:rsidR="00971AAD" w:rsidRPr="00552993">
        <w:rPr>
          <w:rFonts w:ascii="Arial" w:hAnsi="Arial" w:cs="Arial"/>
          <w:color w:val="000000" w:themeColor="text1"/>
          <w:shd w:val="clear" w:color="auto" w:fill="FFFFFF"/>
        </w:rPr>
        <w:t>—</w:t>
      </w:r>
      <w:r w:rsidRPr="00552993">
        <w:rPr>
          <w:rFonts w:ascii="Arial" w:hAnsi="Arial" w:cs="Arial"/>
          <w:color w:val="000000" w:themeColor="text1"/>
        </w:rPr>
        <w:t>consumo receptivo</w:t>
      </w:r>
      <w:r w:rsidR="00971AAD" w:rsidRPr="00552993">
        <w:rPr>
          <w:rFonts w:ascii="Arial" w:hAnsi="Arial" w:cs="Arial"/>
          <w:color w:val="000000" w:themeColor="text1"/>
          <w:shd w:val="clear" w:color="auto" w:fill="FFFFFF"/>
        </w:rPr>
        <w:t>—</w:t>
      </w:r>
      <w:r w:rsidR="00971AAD" w:rsidRPr="00552993">
        <w:rPr>
          <w:rFonts w:ascii="Arial" w:hAnsi="Arial" w:cs="Arial"/>
          <w:color w:val="000000" w:themeColor="text1"/>
        </w:rPr>
        <w:t xml:space="preserve"> dentro del país</w:t>
      </w:r>
      <w:r w:rsidR="00971AAD">
        <w:rPr>
          <w:rFonts w:ascii="Arial" w:hAnsi="Arial" w:cs="Arial"/>
          <w:color w:val="000000" w:themeColor="text1"/>
        </w:rPr>
        <w:t>.</w:t>
      </w:r>
      <w:r w:rsidRPr="00552993">
        <w:rPr>
          <w:rFonts w:ascii="Arial" w:hAnsi="Arial" w:cs="Arial"/>
          <w:color w:val="000000" w:themeColor="text1"/>
        </w:rPr>
        <w:t xml:space="preserve"> Asimismo, registra el </w:t>
      </w:r>
      <w:r w:rsidRPr="00552993">
        <w:rPr>
          <w:rFonts w:ascii="Arial" w:hAnsi="Arial" w:cs="Arial"/>
          <w:i/>
          <w:color w:val="000000" w:themeColor="text1"/>
        </w:rPr>
        <w:t>consumo turístico emisor</w:t>
      </w:r>
      <w:r w:rsidRPr="00552993">
        <w:rPr>
          <w:rFonts w:ascii="Arial" w:hAnsi="Arial" w:cs="Arial"/>
          <w:color w:val="000000" w:themeColor="text1"/>
        </w:rPr>
        <w:t xml:space="preserve">, que </w:t>
      </w:r>
      <w:r w:rsidR="00552993">
        <w:rPr>
          <w:rFonts w:ascii="Arial" w:hAnsi="Arial" w:cs="Arial"/>
          <w:color w:val="000000" w:themeColor="text1"/>
        </w:rPr>
        <w:t xml:space="preserve">se refiere al </w:t>
      </w:r>
      <w:r w:rsidRPr="00552993">
        <w:rPr>
          <w:rFonts w:ascii="Arial" w:hAnsi="Arial" w:cs="Arial"/>
          <w:color w:val="000000" w:themeColor="text1"/>
        </w:rPr>
        <w:t xml:space="preserve">gasto </w:t>
      </w:r>
      <w:r w:rsidR="00971AAD">
        <w:rPr>
          <w:rFonts w:ascii="Arial" w:hAnsi="Arial" w:cs="Arial"/>
          <w:color w:val="000000" w:themeColor="text1"/>
        </w:rPr>
        <w:t xml:space="preserve">que </w:t>
      </w:r>
      <w:r w:rsidRPr="00552993">
        <w:rPr>
          <w:rFonts w:ascii="Arial" w:hAnsi="Arial" w:cs="Arial"/>
          <w:color w:val="000000" w:themeColor="text1"/>
        </w:rPr>
        <w:t>realiza</w:t>
      </w:r>
      <w:r w:rsidR="00971AAD">
        <w:rPr>
          <w:rFonts w:ascii="Arial" w:hAnsi="Arial" w:cs="Arial"/>
          <w:color w:val="000000" w:themeColor="text1"/>
        </w:rPr>
        <w:t>n</w:t>
      </w:r>
      <w:r w:rsidRPr="00552993">
        <w:rPr>
          <w:rFonts w:ascii="Arial" w:hAnsi="Arial" w:cs="Arial"/>
          <w:color w:val="000000" w:themeColor="text1"/>
        </w:rPr>
        <w:t xml:space="preserve"> </w:t>
      </w:r>
      <w:r w:rsidR="00552993">
        <w:rPr>
          <w:rFonts w:ascii="Arial" w:hAnsi="Arial" w:cs="Arial"/>
          <w:color w:val="000000" w:themeColor="text1"/>
        </w:rPr>
        <w:t xml:space="preserve">las y </w:t>
      </w:r>
      <w:r w:rsidRPr="00552993">
        <w:rPr>
          <w:rFonts w:ascii="Arial" w:hAnsi="Arial" w:cs="Arial"/>
          <w:color w:val="000000" w:themeColor="text1"/>
        </w:rPr>
        <w:t>los residentes de México en calidad de visitantes en otros países.</w:t>
      </w:r>
    </w:p>
    <w:p w14:paraId="31E75D77" w14:textId="282C1FFE" w:rsidR="00DB6BE8" w:rsidRPr="0098266E" w:rsidRDefault="00971AAD" w:rsidP="00552993">
      <w:pPr>
        <w:spacing w:after="100" w:afterAutospacing="1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</w:t>
      </w:r>
      <w:r w:rsidR="00DB6BE8" w:rsidRPr="0098266E">
        <w:rPr>
          <w:rFonts w:ascii="Arial" w:hAnsi="Arial" w:cs="Arial"/>
        </w:rPr>
        <w:t xml:space="preserve"> 2021, el gasto total del consumo turístico</w:t>
      </w:r>
      <w:r w:rsidR="00552993">
        <w:rPr>
          <w:rFonts w:ascii="Arial" w:hAnsi="Arial" w:cs="Arial"/>
        </w:rPr>
        <w:t>,</w:t>
      </w:r>
      <w:r w:rsidR="00DB6BE8" w:rsidRPr="0098266E">
        <w:rPr>
          <w:rFonts w:ascii="Arial" w:hAnsi="Arial" w:cs="Arial"/>
        </w:rPr>
        <w:t xml:space="preserve"> efectuado dentro y fuera del país</w:t>
      </w:r>
      <w:r w:rsidR="00552993">
        <w:rPr>
          <w:rFonts w:ascii="Arial" w:hAnsi="Arial" w:cs="Arial"/>
        </w:rPr>
        <w:t>,</w:t>
      </w:r>
      <w:r w:rsidR="00DB6BE8" w:rsidRPr="0098266E">
        <w:rPr>
          <w:rFonts w:ascii="Arial" w:hAnsi="Arial" w:cs="Arial"/>
        </w:rPr>
        <w:t xml:space="preserve"> alcanzó un monto de 3 121 033 millones de pesos corrientes. De este monto, el </w:t>
      </w:r>
      <w:r w:rsidR="00DB6BE8" w:rsidRPr="00552993">
        <w:rPr>
          <w:rFonts w:ascii="Arial" w:hAnsi="Arial" w:cs="Arial"/>
          <w:i/>
        </w:rPr>
        <w:t>consumo turístico interior</w:t>
      </w:r>
      <w:r w:rsidR="00DB6BE8" w:rsidRPr="0098266E">
        <w:rPr>
          <w:rFonts w:ascii="Arial" w:hAnsi="Arial" w:cs="Arial"/>
        </w:rPr>
        <w:t xml:space="preserve"> aportó 95.6</w:t>
      </w:r>
      <w:r w:rsidR="00DB6BE8">
        <w:rPr>
          <w:rFonts w:ascii="Arial" w:hAnsi="Arial" w:cs="Arial"/>
        </w:rPr>
        <w:t xml:space="preserve"> </w:t>
      </w:r>
      <w:r w:rsidR="00DB6BE8" w:rsidRPr="0098266E">
        <w:rPr>
          <w:rFonts w:ascii="Arial" w:hAnsi="Arial" w:cs="Arial"/>
        </w:rPr>
        <w:t xml:space="preserve">% del gasto total y el </w:t>
      </w:r>
      <w:r w:rsidR="00DB6BE8" w:rsidRPr="00552993">
        <w:rPr>
          <w:rFonts w:ascii="Arial" w:hAnsi="Arial" w:cs="Arial"/>
          <w:i/>
        </w:rPr>
        <w:t>consumo turístico emisor</w:t>
      </w:r>
      <w:r w:rsidR="00DB6BE8" w:rsidRPr="0098266E">
        <w:rPr>
          <w:rFonts w:ascii="Arial" w:hAnsi="Arial" w:cs="Arial"/>
        </w:rPr>
        <w:t xml:space="preserve"> representó 4.4 por ciento.</w:t>
      </w:r>
    </w:p>
    <w:p w14:paraId="334BE587" w14:textId="4A34D10E" w:rsidR="00D647CF" w:rsidRDefault="00D647CF" w:rsidP="004967C2">
      <w:pPr>
        <w:spacing w:after="100" w:afterAutospacing="1"/>
        <w:ind w:right="-142"/>
        <w:jc w:val="both"/>
        <w:rPr>
          <w:rFonts w:ascii="Arial" w:hAnsi="Arial" w:cs="Arial"/>
        </w:rPr>
      </w:pPr>
      <w:r w:rsidRPr="00D647CF">
        <w:rPr>
          <w:rFonts w:ascii="Arial" w:hAnsi="Arial" w:cs="Arial"/>
        </w:rPr>
        <w:t>De cada 100 pesos que gastaron las y los turistas internos (residentes del país) y receptivos dentro del país, los turistas internos contribuyeron con alrededor de 83 pesos.</w:t>
      </w:r>
    </w:p>
    <w:p w14:paraId="60A90870" w14:textId="77777777" w:rsidR="00DB6BE8" w:rsidRPr="00552993" w:rsidRDefault="00DB6BE8" w:rsidP="00552993">
      <w:pPr>
        <w:spacing w:after="240"/>
        <w:ind w:right="-142"/>
        <w:contextualSpacing/>
        <w:jc w:val="center"/>
        <w:rPr>
          <w:rFonts w:ascii="Arial" w:hAnsi="Arial" w:cs="Arial"/>
          <w:sz w:val="20"/>
          <w:szCs w:val="20"/>
        </w:rPr>
      </w:pPr>
      <w:r w:rsidRPr="00552993">
        <w:rPr>
          <w:rFonts w:ascii="Arial" w:hAnsi="Arial" w:cs="Arial"/>
          <w:sz w:val="20"/>
          <w:szCs w:val="20"/>
        </w:rPr>
        <w:t>Cuadro 4</w:t>
      </w:r>
    </w:p>
    <w:p w14:paraId="4FB5A666" w14:textId="77777777" w:rsidR="00DB6BE8" w:rsidRPr="00191611" w:rsidRDefault="00DB6BE8" w:rsidP="00552993">
      <w:pPr>
        <w:ind w:right="-142"/>
        <w:contextualSpacing/>
        <w:jc w:val="center"/>
        <w:rPr>
          <w:rFonts w:ascii="Arial" w:hAnsi="Arial" w:cs="Arial"/>
          <w:b/>
          <w:iCs/>
          <w:smallCaps/>
          <w:sz w:val="22"/>
          <w:szCs w:val="22"/>
        </w:rPr>
      </w:pPr>
      <w:r>
        <w:rPr>
          <w:rFonts w:ascii="Arial" w:hAnsi="Arial" w:cs="Arial"/>
          <w:b/>
          <w:iCs/>
          <w:smallCaps/>
          <w:sz w:val="22"/>
          <w:szCs w:val="22"/>
        </w:rPr>
        <w:t>Consumo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mallCaps/>
          <w:sz w:val="22"/>
          <w:szCs w:val="22"/>
        </w:rPr>
        <w:t>t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>urístico</w:t>
      </w:r>
      <w:r>
        <w:rPr>
          <w:rFonts w:ascii="Arial" w:hAnsi="Arial" w:cs="Arial"/>
          <w:b/>
          <w:iCs/>
          <w:smallCaps/>
          <w:sz w:val="22"/>
          <w:szCs w:val="22"/>
        </w:rPr>
        <w:t xml:space="preserve"> según su origen </w:t>
      </w:r>
    </w:p>
    <w:p w14:paraId="06BD7E9C" w14:textId="77777777" w:rsidR="00DB6BE8" w:rsidRPr="006C6B14" w:rsidRDefault="00DB6BE8" w:rsidP="00552993">
      <w:pPr>
        <w:pStyle w:val="Textoindependiente"/>
        <w:ind w:right="-142"/>
        <w:jc w:val="center"/>
        <w:rPr>
          <w:rFonts w:ascii="Arial" w:hAnsi="Arial" w:cs="Arial"/>
          <w:sz w:val="18"/>
          <w:szCs w:val="18"/>
        </w:rPr>
      </w:pPr>
      <w:r w:rsidRPr="006C6B14">
        <w:rPr>
          <w:rFonts w:ascii="Arial" w:hAnsi="Arial" w:cs="Arial"/>
          <w:sz w:val="18"/>
          <w:szCs w:val="18"/>
        </w:rPr>
        <w:t>(</w:t>
      </w:r>
      <w:r w:rsidRPr="006C6B14">
        <w:rPr>
          <w:rFonts w:ascii="Arial" w:hAnsi="Arial" w:cs="Arial"/>
          <w:sz w:val="18"/>
          <w:szCs w:val="18"/>
          <w:lang w:val="es-MX"/>
        </w:rPr>
        <w:t>Millones de pesos corrientes y estructura porcentual</w:t>
      </w:r>
      <w:r w:rsidRPr="006C6B14">
        <w:rPr>
          <w:rFonts w:ascii="Arial" w:hAnsi="Arial" w:cs="Arial"/>
          <w:sz w:val="18"/>
          <w:szCs w:val="18"/>
        </w:rPr>
        <w:t>)</w:t>
      </w:r>
    </w:p>
    <w:tbl>
      <w:tblPr>
        <w:tblW w:w="9639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107"/>
        <w:gridCol w:w="980"/>
        <w:gridCol w:w="1315"/>
        <w:gridCol w:w="1200"/>
        <w:gridCol w:w="980"/>
        <w:gridCol w:w="1364"/>
      </w:tblGrid>
      <w:tr w:rsidR="00DB6BE8" w:rsidRPr="005B1E6D" w14:paraId="5EDB7ADF" w14:textId="77777777" w:rsidTr="00552993">
        <w:trPr>
          <w:trHeight w:val="269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EAEDB33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Concepto 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51BF3AB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2020</w:t>
            </w:r>
          </w:p>
        </w:tc>
        <w:tc>
          <w:tcPr>
            <w:tcW w:w="2295" w:type="dxa"/>
            <w:gridSpan w:val="2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C5FAD2E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Estructura porcentual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nil"/>
            </w:tcBorders>
            <w:shd w:val="clear" w:color="000000" w:fill="002060"/>
            <w:vAlign w:val="center"/>
            <w:hideMark/>
          </w:tcPr>
          <w:p w14:paraId="1D83912F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B6578E3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Estructura porcentual </w:t>
            </w:r>
          </w:p>
        </w:tc>
      </w:tr>
      <w:tr w:rsidR="00DB6BE8" w:rsidRPr="005B1E6D" w14:paraId="31D8BF49" w14:textId="77777777" w:rsidTr="00552993">
        <w:trPr>
          <w:trHeight w:val="249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2505B81F" w14:textId="77777777" w:rsidR="00DB6BE8" w:rsidRPr="005B1E6D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7754172" w14:textId="77777777" w:rsidR="00DB6BE8" w:rsidRPr="005B1E6D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85C977F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2020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nil"/>
            </w:tcBorders>
            <w:vAlign w:val="center"/>
            <w:hideMark/>
          </w:tcPr>
          <w:p w14:paraId="332C97E3" w14:textId="77777777" w:rsidR="00DB6BE8" w:rsidRPr="005B1E6D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0CBB482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2021</w:t>
            </w:r>
          </w:p>
        </w:tc>
      </w:tr>
      <w:tr w:rsidR="00DB6BE8" w:rsidRPr="005B1E6D" w14:paraId="5DCB6B3A" w14:textId="77777777" w:rsidTr="00552993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F281D" w14:textId="77777777" w:rsidR="00DB6BE8" w:rsidRPr="005B1E6D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2BD26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2 463 873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21C4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1033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76FA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3 121 033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A37CD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8B49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6BE8" w:rsidRPr="005B1E6D" w14:paraId="19CB43E8" w14:textId="77777777" w:rsidTr="00552993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D65A3" w14:textId="77777777" w:rsidR="00DB6BE8" w:rsidRPr="005B1E6D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Consumo turístico interior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08B0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2 375 185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260D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7998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90E4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2 984 249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7380C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E732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DB6BE8" w:rsidRPr="005B1E6D" w14:paraId="361C85A1" w14:textId="77777777" w:rsidTr="00552993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CD7C" w14:textId="77777777" w:rsidR="00DB6BE8" w:rsidRPr="005B1E6D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Consumo turístico interno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FDC59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2 083 801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150E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81F1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DBCF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2 479 833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6533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61690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83.1</w:t>
            </w:r>
          </w:p>
        </w:tc>
      </w:tr>
      <w:tr w:rsidR="00DB6BE8" w:rsidRPr="005B1E6D" w14:paraId="6782271E" w14:textId="77777777" w:rsidTr="00552993">
        <w:trPr>
          <w:trHeight w:val="300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F39DE" w14:textId="77777777" w:rsidR="00DB6BE8" w:rsidRPr="005B1E6D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Consumo turístico receptivo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E552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291 384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95560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D34DE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FF31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504 416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CCC6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96D5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16.9</w:t>
            </w:r>
          </w:p>
        </w:tc>
      </w:tr>
      <w:tr w:rsidR="00DB6BE8" w:rsidRPr="005B1E6D" w14:paraId="6CB283D3" w14:textId="77777777" w:rsidTr="00552993">
        <w:trPr>
          <w:trHeight w:val="315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39D84" w14:textId="77777777" w:rsidR="00DB6BE8" w:rsidRPr="005B1E6D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Consumo turístico emisor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8ED7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88 688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ACFA8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3C1F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2DCE" w14:textId="77777777" w:rsidR="00DB6BE8" w:rsidRPr="005B1E6D" w:rsidRDefault="00DB6BE8" w:rsidP="001C65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136 784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08AF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B1E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3FB0A" w14:textId="77777777" w:rsidR="00DB6BE8" w:rsidRPr="005B1E6D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77823A6" w14:textId="78ED8044" w:rsidR="00DB6BE8" w:rsidRDefault="00DB6BE8" w:rsidP="004663AA">
      <w:pPr>
        <w:pStyle w:val="Textoindependiente"/>
        <w:ind w:left="284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6A10BE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</w:p>
    <w:p w14:paraId="4A5EB6C0" w14:textId="77777777" w:rsidR="004663AA" w:rsidRPr="00DF14EF" w:rsidRDefault="004663AA" w:rsidP="00552993">
      <w:pPr>
        <w:pStyle w:val="Textoindependiente"/>
        <w:ind w:left="284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</w:p>
    <w:p w14:paraId="76FC63A7" w14:textId="10D8DC18" w:rsidR="00DB6BE8" w:rsidRDefault="00DB6BE8" w:rsidP="00837905">
      <w:pPr>
        <w:pStyle w:val="Default"/>
        <w:spacing w:after="100" w:afterAutospacing="1"/>
        <w:ind w:right="-142"/>
        <w:jc w:val="both"/>
      </w:pPr>
      <w:bookmarkStart w:id="3" w:name="_Hlk121772965"/>
      <w:r w:rsidRPr="00552993">
        <w:t xml:space="preserve">El </w:t>
      </w:r>
      <w:r w:rsidRPr="00552993">
        <w:rPr>
          <w:i/>
        </w:rPr>
        <w:t>consumo turístico interior</w:t>
      </w:r>
      <w:r w:rsidR="00B3731B">
        <w:rPr>
          <w:i/>
        </w:rPr>
        <w:t>,</w:t>
      </w:r>
      <w:r w:rsidRPr="00552993">
        <w:t xml:space="preserve"> </w:t>
      </w:r>
      <w:r w:rsidR="00B3731B">
        <w:t>respecto a</w:t>
      </w:r>
      <w:r w:rsidR="009D5B6D">
        <w:t xml:space="preserve"> </w:t>
      </w:r>
      <w:r w:rsidR="00B3731B">
        <w:t xml:space="preserve">2020 </w:t>
      </w:r>
      <w:r w:rsidRPr="00552993">
        <w:t>creci</w:t>
      </w:r>
      <w:r w:rsidR="00971AAD">
        <w:t>ó</w:t>
      </w:r>
      <w:r w:rsidRPr="00552993">
        <w:t xml:space="preserve"> 18.0 por ciento. Por componentes, el </w:t>
      </w:r>
      <w:r w:rsidRPr="00837905">
        <w:rPr>
          <w:iCs/>
        </w:rPr>
        <w:t>consumo</w:t>
      </w:r>
      <w:r w:rsidRPr="00552993">
        <w:t xml:space="preserve"> turístico interno </w:t>
      </w:r>
      <w:r w:rsidR="00971AAD">
        <w:t>aumentó</w:t>
      </w:r>
      <w:r w:rsidRPr="00552993">
        <w:t xml:space="preserve"> 11.8 %</w:t>
      </w:r>
      <w:r w:rsidR="00971AAD">
        <w:t xml:space="preserve"> y </w:t>
      </w:r>
      <w:r w:rsidRPr="00552993">
        <w:t>el consumo turístico receptivo</w:t>
      </w:r>
      <w:r w:rsidR="005B6E40">
        <w:t>,</w:t>
      </w:r>
      <w:r w:rsidRPr="00552993">
        <w:t xml:space="preserve"> 62.5 </w:t>
      </w:r>
      <w:r w:rsidR="00971AAD">
        <w:t>por ciento</w:t>
      </w:r>
      <w:r w:rsidRPr="00552993">
        <w:t xml:space="preserve">. </w:t>
      </w:r>
    </w:p>
    <w:p w14:paraId="4B880164" w14:textId="04C756A1" w:rsidR="00DB6BE8" w:rsidRPr="00971AAD" w:rsidRDefault="00DB6BE8" w:rsidP="00552993">
      <w:pPr>
        <w:pStyle w:val="Default"/>
        <w:spacing w:after="100" w:afterAutospacing="1"/>
        <w:ind w:right="-142"/>
        <w:jc w:val="both"/>
      </w:pPr>
      <w:r w:rsidRPr="00971AAD">
        <w:t xml:space="preserve">El </w:t>
      </w:r>
      <w:r w:rsidRPr="00971AAD">
        <w:rPr>
          <w:iCs/>
        </w:rPr>
        <w:t xml:space="preserve">consumo turístico interno, </w:t>
      </w:r>
      <w:r w:rsidRPr="00971AAD">
        <w:t xml:space="preserve">según los motivos de viaje, se distribuyó en </w:t>
      </w:r>
      <w:r w:rsidRPr="00AD6778">
        <w:rPr>
          <w:i/>
          <w:iCs/>
        </w:rPr>
        <w:t>viajes de negocios</w:t>
      </w:r>
      <w:r w:rsidRPr="00971AAD">
        <w:t xml:space="preserve"> </w:t>
      </w:r>
      <w:r w:rsidR="004663AA">
        <w:t xml:space="preserve">     (</w:t>
      </w:r>
      <w:r w:rsidRPr="00971AAD">
        <w:t>5.5 %</w:t>
      </w:r>
      <w:r w:rsidR="004663AA">
        <w:t>)</w:t>
      </w:r>
      <w:r w:rsidRPr="00971AAD">
        <w:t xml:space="preserve">, </w:t>
      </w:r>
      <w:r w:rsidRPr="00AD6778">
        <w:rPr>
          <w:i/>
          <w:iCs/>
        </w:rPr>
        <w:t>vacaciones</w:t>
      </w:r>
      <w:r w:rsidRPr="00971AAD">
        <w:t xml:space="preserve"> </w:t>
      </w:r>
      <w:r w:rsidR="004663AA">
        <w:t>(</w:t>
      </w:r>
      <w:r w:rsidRPr="00971AAD">
        <w:t>32.2 %</w:t>
      </w:r>
      <w:r w:rsidR="004663AA">
        <w:t>)</w:t>
      </w:r>
      <w:r w:rsidRPr="00971AAD">
        <w:t xml:space="preserve">, </w:t>
      </w:r>
      <w:r w:rsidRPr="00AD6778">
        <w:rPr>
          <w:i/>
          <w:iCs/>
        </w:rPr>
        <w:t>otros motivos de viaje</w:t>
      </w:r>
      <w:r w:rsidRPr="00971AAD">
        <w:rPr>
          <w:rStyle w:val="Refdenotaalpie"/>
        </w:rPr>
        <w:footnoteReference w:id="2"/>
      </w:r>
      <w:r w:rsidRPr="00971AAD">
        <w:t xml:space="preserve"> </w:t>
      </w:r>
      <w:r w:rsidR="004663AA">
        <w:t>(</w:t>
      </w:r>
      <w:r w:rsidRPr="00971AAD">
        <w:t>42.0 %</w:t>
      </w:r>
      <w:r w:rsidR="004663AA">
        <w:t>)</w:t>
      </w:r>
      <w:r w:rsidRPr="00971AAD">
        <w:t xml:space="preserve">, </w:t>
      </w:r>
      <w:r w:rsidRPr="00AD6778">
        <w:rPr>
          <w:i/>
          <w:iCs/>
        </w:rPr>
        <w:t>excursion</w:t>
      </w:r>
      <w:r w:rsidR="00B3731B">
        <w:rPr>
          <w:i/>
          <w:iCs/>
        </w:rPr>
        <w:t>istas</w:t>
      </w:r>
      <w:r w:rsidRPr="00971AAD">
        <w:t xml:space="preserve"> </w:t>
      </w:r>
      <w:r w:rsidR="004663AA">
        <w:t>(</w:t>
      </w:r>
      <w:r w:rsidRPr="00971AAD">
        <w:t>11.9 %</w:t>
      </w:r>
      <w:r w:rsidR="004663AA">
        <w:t>)</w:t>
      </w:r>
      <w:r w:rsidRPr="00971AAD">
        <w:t xml:space="preserve"> y </w:t>
      </w:r>
      <w:r w:rsidRPr="00AD6778">
        <w:rPr>
          <w:i/>
          <w:iCs/>
        </w:rPr>
        <w:t>gastos previos</w:t>
      </w:r>
      <w:r w:rsidRPr="00971AAD">
        <w:t xml:space="preserve"> </w:t>
      </w:r>
      <w:r w:rsidR="004663AA">
        <w:t>(</w:t>
      </w:r>
      <w:r w:rsidRPr="00971AAD">
        <w:t xml:space="preserve">8.4 </w:t>
      </w:r>
      <w:r w:rsidR="004663AA">
        <w:t>%)</w:t>
      </w:r>
      <w:r w:rsidRPr="00971AAD">
        <w:t>.</w:t>
      </w:r>
      <w:r w:rsidR="005B6E40" w:rsidRPr="00971AAD">
        <w:rPr>
          <w:rStyle w:val="Refdenotaalpie"/>
        </w:rPr>
        <w:footnoteReference w:id="3"/>
      </w:r>
      <w:r w:rsidRPr="00971AAD">
        <w:t xml:space="preserve"> </w:t>
      </w:r>
    </w:p>
    <w:p w14:paraId="3BAA3FC1" w14:textId="4D8E0B56" w:rsidR="00DB6BE8" w:rsidRPr="0098266E" w:rsidRDefault="00DB6BE8" w:rsidP="00552993">
      <w:pPr>
        <w:pStyle w:val="Default"/>
        <w:spacing w:after="100" w:afterAutospacing="1"/>
        <w:ind w:right="-142"/>
        <w:jc w:val="both"/>
      </w:pPr>
      <w:r w:rsidRPr="00971AAD">
        <w:t xml:space="preserve">Para </w:t>
      </w:r>
      <w:r w:rsidRPr="00971AAD">
        <w:rPr>
          <w:spacing w:val="-6"/>
        </w:rPr>
        <w:t>el turismo procedente</w:t>
      </w:r>
      <w:r w:rsidRPr="00971AAD">
        <w:t xml:space="preserve"> del resto del mundo, el gasto por </w:t>
      </w:r>
      <w:r w:rsidRPr="00AD6778">
        <w:rPr>
          <w:i/>
          <w:iCs/>
        </w:rPr>
        <w:t>vacaciones</w:t>
      </w:r>
      <w:r w:rsidRPr="00971AAD">
        <w:t xml:space="preserve"> representó 77.7</w:t>
      </w:r>
      <w:r w:rsidR="004663AA">
        <w:t xml:space="preserve"> por ciento. </w:t>
      </w:r>
      <w:proofErr w:type="gramStart"/>
      <w:r w:rsidR="004663AA" w:rsidRPr="00AD6778">
        <w:rPr>
          <w:i/>
          <w:iCs/>
        </w:rPr>
        <w:t>O</w:t>
      </w:r>
      <w:r w:rsidRPr="00AD6778">
        <w:rPr>
          <w:i/>
          <w:iCs/>
        </w:rPr>
        <w:t>tros motivos de viaje</w:t>
      </w:r>
      <w:r w:rsidRPr="00971AAD">
        <w:t xml:space="preserve"> contribuy</w:t>
      </w:r>
      <w:r w:rsidR="005B6E40">
        <w:t>ó</w:t>
      </w:r>
      <w:proofErr w:type="gramEnd"/>
      <w:r w:rsidRPr="00971AAD">
        <w:t xml:space="preserve"> con 15.4 %</w:t>
      </w:r>
      <w:r w:rsidR="005B6E40">
        <w:t>;</w:t>
      </w:r>
      <w:r w:rsidRPr="00971AAD">
        <w:t xml:space="preserve"> </w:t>
      </w:r>
      <w:r w:rsidRPr="00AD6778">
        <w:rPr>
          <w:i/>
          <w:iCs/>
        </w:rPr>
        <w:t>excursi</w:t>
      </w:r>
      <w:r w:rsidR="00C3371B">
        <w:rPr>
          <w:i/>
          <w:iCs/>
        </w:rPr>
        <w:t>onistas</w:t>
      </w:r>
      <w:r w:rsidR="005B6E40">
        <w:t xml:space="preserve">, </w:t>
      </w:r>
      <w:r w:rsidR="004663AA">
        <w:t xml:space="preserve">con </w:t>
      </w:r>
      <w:r w:rsidRPr="00971AAD">
        <w:t xml:space="preserve">5.1 % y </w:t>
      </w:r>
      <w:r w:rsidRPr="00AD6778">
        <w:rPr>
          <w:i/>
          <w:iCs/>
        </w:rPr>
        <w:t>motivos de negocios</w:t>
      </w:r>
      <w:r w:rsidR="005B6E40" w:rsidRPr="00AD6778">
        <w:t>,</w:t>
      </w:r>
      <w:r w:rsidRPr="00971AAD">
        <w:t xml:space="preserve"> </w:t>
      </w:r>
      <w:r w:rsidR="004663AA">
        <w:t>con</w:t>
      </w:r>
      <w:r w:rsidRPr="00971AAD">
        <w:t xml:space="preserve"> 1.8 por ciento.</w:t>
      </w:r>
      <w:r w:rsidRPr="0098266E">
        <w:t xml:space="preserve"> </w:t>
      </w:r>
    </w:p>
    <w:bookmarkEnd w:id="3"/>
    <w:p w14:paraId="4CD6D018" w14:textId="77777777" w:rsidR="00DB6BE8" w:rsidRPr="00552993" w:rsidRDefault="00DB6BE8" w:rsidP="00552993">
      <w:pPr>
        <w:spacing w:after="240"/>
        <w:ind w:left="426" w:right="-142"/>
        <w:contextualSpacing/>
        <w:jc w:val="center"/>
        <w:rPr>
          <w:rFonts w:ascii="Arial" w:hAnsi="Arial" w:cs="Arial"/>
          <w:sz w:val="20"/>
          <w:szCs w:val="20"/>
        </w:rPr>
      </w:pPr>
      <w:r w:rsidRPr="00552993">
        <w:rPr>
          <w:rFonts w:ascii="Arial" w:hAnsi="Arial" w:cs="Arial"/>
          <w:sz w:val="20"/>
          <w:szCs w:val="20"/>
        </w:rPr>
        <w:t>Cuadro 5</w:t>
      </w:r>
    </w:p>
    <w:p w14:paraId="67FA1164" w14:textId="77777777" w:rsidR="00DB6BE8" w:rsidRPr="006C6B14" w:rsidRDefault="00DB6BE8" w:rsidP="00552993">
      <w:pPr>
        <w:ind w:left="426" w:right="-142"/>
        <w:jc w:val="center"/>
        <w:rPr>
          <w:rFonts w:ascii="Arial" w:hAnsi="Arial" w:cs="Arial"/>
          <w:sz w:val="22"/>
          <w:szCs w:val="22"/>
        </w:rPr>
      </w:pPr>
      <w:r w:rsidRPr="006C6B14">
        <w:rPr>
          <w:rFonts w:ascii="Arial" w:hAnsi="Arial" w:cs="Arial"/>
          <w:b/>
          <w:iCs/>
          <w:smallCaps/>
          <w:sz w:val="22"/>
          <w:szCs w:val="22"/>
        </w:rPr>
        <w:t>Consumo turístico interior según  motivos de viaje</w:t>
      </w:r>
    </w:p>
    <w:p w14:paraId="7F7A2003" w14:textId="77777777" w:rsidR="00DB6BE8" w:rsidRDefault="00DB6BE8" w:rsidP="00552993">
      <w:pPr>
        <w:pStyle w:val="Textoindependiente"/>
        <w:ind w:left="426" w:right="-142"/>
        <w:jc w:val="center"/>
        <w:rPr>
          <w:rFonts w:ascii="Arial" w:hAnsi="Arial" w:cs="Arial"/>
          <w:sz w:val="18"/>
          <w:szCs w:val="18"/>
        </w:rPr>
      </w:pPr>
      <w:r w:rsidRPr="004F456F">
        <w:rPr>
          <w:rFonts w:ascii="Arial" w:hAnsi="Arial" w:cs="Arial"/>
          <w:sz w:val="18"/>
          <w:szCs w:val="18"/>
        </w:rPr>
        <w:t>(</w:t>
      </w:r>
      <w:r w:rsidRPr="004F456F">
        <w:rPr>
          <w:rFonts w:ascii="Arial" w:hAnsi="Arial" w:cs="Arial"/>
          <w:sz w:val="18"/>
          <w:szCs w:val="18"/>
          <w:lang w:val="es-MX"/>
        </w:rPr>
        <w:t>Estructura porcentual</w:t>
      </w:r>
      <w:r>
        <w:rPr>
          <w:rFonts w:ascii="Arial" w:hAnsi="Arial" w:cs="Arial"/>
          <w:sz w:val="18"/>
          <w:szCs w:val="18"/>
          <w:lang w:val="es-MX"/>
        </w:rPr>
        <w:t xml:space="preserve"> anual</w:t>
      </w:r>
      <w:r w:rsidRPr="004F456F">
        <w:rPr>
          <w:rFonts w:ascii="Arial" w:hAnsi="Arial" w:cs="Arial"/>
          <w:sz w:val="18"/>
          <w:szCs w:val="18"/>
        </w:rPr>
        <w:t>)</w:t>
      </w:r>
    </w:p>
    <w:tbl>
      <w:tblPr>
        <w:tblW w:w="904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00"/>
        <w:gridCol w:w="1800"/>
        <w:gridCol w:w="1800"/>
        <w:gridCol w:w="1800"/>
      </w:tblGrid>
      <w:tr w:rsidR="00DB6BE8" w:rsidRPr="00297B82" w14:paraId="334180C2" w14:textId="77777777" w:rsidTr="00552993">
        <w:trPr>
          <w:trHeight w:val="38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B2B0882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Concepto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CF2089F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Estructura porcentual 2020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3C416160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Estructura porcentual 2021</w:t>
            </w:r>
          </w:p>
        </w:tc>
      </w:tr>
      <w:tr w:rsidR="00DB6BE8" w:rsidRPr="00297B82" w14:paraId="251A79EA" w14:textId="77777777" w:rsidTr="00552993">
        <w:trPr>
          <w:trHeight w:val="41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2F566FE" w14:textId="77777777" w:rsidR="00DB6BE8" w:rsidRPr="00297B82" w:rsidRDefault="00DB6BE8" w:rsidP="001C656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B7D1A48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Consumo turístico interno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9660750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Consumo turístico receptivo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7A3342A7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Consumo turístico interno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B910285" w14:textId="77777777" w:rsidR="00DB6BE8" w:rsidRPr="00297B82" w:rsidRDefault="00DB6BE8" w:rsidP="001C65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Consumo turístico receptivo</w:t>
            </w:r>
          </w:p>
        </w:tc>
      </w:tr>
      <w:tr w:rsidR="00DB6BE8" w:rsidRPr="00297B82" w14:paraId="7107B89F" w14:textId="77777777" w:rsidTr="001C656E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D86F" w14:textId="77777777" w:rsidR="00DB6BE8" w:rsidRPr="00297B82" w:rsidRDefault="00DB6BE8" w:rsidP="001C656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2C650" w14:textId="77777777" w:rsidR="00DB6BE8" w:rsidRPr="00297B82" w:rsidRDefault="00DB6BE8" w:rsidP="00AD6778">
            <w:pPr>
              <w:ind w:right="340"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E9015" w14:textId="77777777" w:rsidR="00DB6BE8" w:rsidRPr="00297B82" w:rsidRDefault="00DB6BE8" w:rsidP="00AD6778">
            <w:pPr>
              <w:ind w:right="340"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1EC3" w14:textId="77777777" w:rsidR="00DB6BE8" w:rsidRPr="00297B82" w:rsidRDefault="00DB6BE8" w:rsidP="00AD6778">
            <w:pPr>
              <w:ind w:right="340"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1454" w14:textId="77777777" w:rsidR="00DB6BE8" w:rsidRPr="00297B82" w:rsidRDefault="00DB6BE8" w:rsidP="00AD6778">
            <w:pPr>
              <w:ind w:right="340" w:firstLineChars="200" w:firstLine="36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DB6BE8" w:rsidRPr="00297B82" w14:paraId="1DA4354F" w14:textId="77777777" w:rsidTr="004967C2">
        <w:trPr>
          <w:trHeight w:val="142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B15C" w14:textId="77777777" w:rsidR="00DB6BE8" w:rsidRPr="00297B82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Negocios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EB2B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C94CF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87EA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F71E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DB6BE8" w:rsidRPr="00297B82" w14:paraId="6ACA0DCE" w14:textId="77777777" w:rsidTr="004967C2">
        <w:trPr>
          <w:trHeight w:val="231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D178" w14:textId="77777777" w:rsidR="00DB6BE8" w:rsidRPr="00297B82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Vacaciones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C428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0B05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EAC84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CF46E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DB6BE8" w:rsidRPr="00297B82" w14:paraId="5851BD0F" w14:textId="77777777" w:rsidTr="004967C2">
        <w:trPr>
          <w:trHeight w:val="135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93B1" w14:textId="77777777" w:rsidR="00DB6BE8" w:rsidRPr="00297B82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Otros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D0E2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30F0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41ED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F9A9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DB6BE8" w:rsidRPr="00297B82" w14:paraId="57D03745" w14:textId="77777777" w:rsidTr="004967C2">
        <w:trPr>
          <w:trHeight w:val="223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BB2B" w14:textId="77777777" w:rsidR="00DB6BE8" w:rsidRPr="00297B82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34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Excursionistas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4ED7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6F5C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13C8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C722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DB6BE8" w:rsidRPr="00297B82" w14:paraId="4BEE85D4" w14:textId="77777777" w:rsidTr="004967C2">
        <w:trPr>
          <w:trHeight w:val="14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53CB0" w14:textId="77777777" w:rsidR="00DB6BE8" w:rsidRPr="00297B82" w:rsidRDefault="00DB6BE8" w:rsidP="001C656E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previos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17FD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F589" w14:textId="1091A140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848D" w14:textId="77777777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7B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F1C2" w14:textId="3DE3C8ED" w:rsidR="00DB6BE8" w:rsidRPr="00297B82" w:rsidRDefault="00DB6BE8" w:rsidP="00AD6778">
            <w:pPr>
              <w:ind w:right="340"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890F481" w14:textId="77777777" w:rsidR="00DB6BE8" w:rsidRPr="004A3815" w:rsidRDefault="00DB6BE8" w:rsidP="00DB6BE8">
      <w:pPr>
        <w:pStyle w:val="Textoindependiente"/>
        <w:ind w:left="284"/>
        <w:rPr>
          <w:rFonts w:ascii="Arial" w:hAnsi="Arial" w:cs="Arial"/>
          <w:sz w:val="16"/>
          <w:szCs w:val="16"/>
        </w:rPr>
      </w:pPr>
      <w:r w:rsidRPr="004A3815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  <w:lang w:val="es-MX"/>
        </w:rPr>
        <w:t>ota</w:t>
      </w:r>
      <w:r w:rsidRPr="004A3815">
        <w:rPr>
          <w:rFonts w:ascii="Arial" w:hAnsi="Arial" w:cs="Arial"/>
          <w:sz w:val="16"/>
          <w:szCs w:val="16"/>
        </w:rPr>
        <w:t xml:space="preserve">: La suma de los valores puede no coincidir con el total debido al redondeo. </w:t>
      </w:r>
    </w:p>
    <w:p w14:paraId="0C00AE37" w14:textId="36FCBD63" w:rsidR="00DB6BE8" w:rsidRDefault="00DB6BE8" w:rsidP="00DB6BE8">
      <w:pPr>
        <w:pStyle w:val="Textoindependiente"/>
        <w:ind w:left="284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4A3815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  <w:bookmarkStart w:id="4" w:name="_Hlk121773455"/>
    </w:p>
    <w:p w14:paraId="18FA5BBB" w14:textId="77777777" w:rsidR="004967C2" w:rsidRPr="004A3815" w:rsidRDefault="004967C2" w:rsidP="00DB6BE8">
      <w:pPr>
        <w:pStyle w:val="Textoindependiente"/>
        <w:ind w:left="284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</w:p>
    <w:p w14:paraId="4E616F73" w14:textId="73FD2ED4" w:rsidR="00DB6BE8" w:rsidRPr="004663AA" w:rsidRDefault="00DB6BE8" w:rsidP="00A5130D">
      <w:pPr>
        <w:pStyle w:val="Default"/>
        <w:spacing w:before="240" w:after="100" w:afterAutospacing="1"/>
        <w:ind w:right="-142"/>
        <w:jc w:val="both"/>
      </w:pPr>
      <w:r w:rsidRPr="004663AA">
        <w:lastRenderedPageBreak/>
        <w:t xml:space="preserve">Respecto al </w:t>
      </w:r>
      <w:r w:rsidRPr="00552993">
        <w:rPr>
          <w:i/>
        </w:rPr>
        <w:t>consumo turístico emisor</w:t>
      </w:r>
      <w:r w:rsidRPr="004663AA">
        <w:t xml:space="preserve">, </w:t>
      </w:r>
      <w:r w:rsidR="001121F4">
        <w:t xml:space="preserve">el gasto </w:t>
      </w:r>
      <w:r w:rsidRPr="004663AA">
        <w:t>de</w:t>
      </w:r>
      <w:r w:rsidR="00A85E1A">
        <w:t xml:space="preserve"> las y</w:t>
      </w:r>
      <w:r w:rsidRPr="004663AA">
        <w:t xml:space="preserve"> los residentes que visitaron el extranjero en 2021</w:t>
      </w:r>
      <w:r w:rsidR="001121F4">
        <w:t xml:space="preserve"> se distribuyó así: </w:t>
      </w:r>
      <w:r w:rsidRPr="004663AA">
        <w:t>29.7 %</w:t>
      </w:r>
      <w:r w:rsidR="00CB4DC0">
        <w:t>,</w:t>
      </w:r>
      <w:r w:rsidR="00A85E1A">
        <w:t xml:space="preserve"> </w:t>
      </w:r>
      <w:r w:rsidRPr="00AD6778">
        <w:rPr>
          <w:i/>
          <w:iCs/>
        </w:rPr>
        <w:t>vacacion</w:t>
      </w:r>
      <w:r w:rsidR="00A85E1A">
        <w:rPr>
          <w:i/>
          <w:iCs/>
        </w:rPr>
        <w:t>es</w:t>
      </w:r>
      <w:r w:rsidR="00CB4DC0">
        <w:t>;</w:t>
      </w:r>
      <w:r w:rsidRPr="004663AA">
        <w:t xml:space="preserve"> 36.7 %</w:t>
      </w:r>
      <w:r w:rsidR="00CB4DC0">
        <w:t>,</w:t>
      </w:r>
      <w:r w:rsidR="00A85E1A">
        <w:t xml:space="preserve"> </w:t>
      </w:r>
      <w:r w:rsidRPr="00AD6778">
        <w:rPr>
          <w:i/>
          <w:iCs/>
        </w:rPr>
        <w:t>otros motivos de viaje</w:t>
      </w:r>
      <w:r w:rsidR="00CB4DC0">
        <w:t xml:space="preserve">; </w:t>
      </w:r>
      <w:r w:rsidRPr="004663AA">
        <w:t>15.9 %</w:t>
      </w:r>
      <w:r w:rsidR="00CB4DC0">
        <w:t>,</w:t>
      </w:r>
      <w:r w:rsidR="00A85E1A">
        <w:t xml:space="preserve"> </w:t>
      </w:r>
      <w:r w:rsidRPr="00AD6778">
        <w:rPr>
          <w:i/>
          <w:iCs/>
        </w:rPr>
        <w:t>excursi</w:t>
      </w:r>
      <w:r w:rsidR="00FF349A">
        <w:rPr>
          <w:i/>
          <w:iCs/>
        </w:rPr>
        <w:t>onistas</w:t>
      </w:r>
      <w:r w:rsidRPr="004663AA">
        <w:t xml:space="preserve"> y 17.7 %</w:t>
      </w:r>
      <w:r w:rsidR="00CB4DC0">
        <w:t>,</w:t>
      </w:r>
      <w:r w:rsidR="00A85E1A">
        <w:t xml:space="preserve"> </w:t>
      </w:r>
      <w:r w:rsidRPr="00AD6778">
        <w:rPr>
          <w:i/>
          <w:iCs/>
        </w:rPr>
        <w:t>negocios</w:t>
      </w:r>
      <w:r w:rsidRPr="004663AA">
        <w:t>.</w:t>
      </w:r>
    </w:p>
    <w:p w14:paraId="3CAA84A7" w14:textId="77777777" w:rsidR="00346158" w:rsidRPr="00552993" w:rsidRDefault="00346158" w:rsidP="00346158">
      <w:pPr>
        <w:spacing w:after="240"/>
        <w:ind w:right="-142"/>
        <w:contextualSpacing/>
        <w:jc w:val="center"/>
        <w:rPr>
          <w:rFonts w:ascii="Arial" w:hAnsi="Arial" w:cs="Arial"/>
          <w:sz w:val="20"/>
          <w:szCs w:val="20"/>
        </w:rPr>
      </w:pPr>
      <w:r w:rsidRPr="00552993">
        <w:rPr>
          <w:rFonts w:ascii="Arial" w:hAnsi="Arial" w:cs="Arial"/>
          <w:sz w:val="20"/>
          <w:szCs w:val="20"/>
        </w:rPr>
        <w:t xml:space="preserve">Cuadro </w:t>
      </w:r>
      <w:r>
        <w:rPr>
          <w:rFonts w:ascii="Arial" w:hAnsi="Arial" w:cs="Arial"/>
          <w:sz w:val="20"/>
          <w:szCs w:val="20"/>
        </w:rPr>
        <w:t>6</w:t>
      </w:r>
    </w:p>
    <w:p w14:paraId="74AFDDCC" w14:textId="77777777" w:rsidR="00346158" w:rsidRPr="00191611" w:rsidRDefault="00346158" w:rsidP="00346158">
      <w:pPr>
        <w:ind w:right="-142"/>
        <w:contextualSpacing/>
        <w:jc w:val="center"/>
        <w:rPr>
          <w:rFonts w:ascii="Arial" w:hAnsi="Arial" w:cs="Arial"/>
          <w:b/>
          <w:iCs/>
          <w:smallCaps/>
          <w:sz w:val="22"/>
          <w:szCs w:val="22"/>
        </w:rPr>
      </w:pPr>
      <w:r>
        <w:rPr>
          <w:rFonts w:ascii="Arial" w:hAnsi="Arial" w:cs="Arial"/>
          <w:b/>
          <w:iCs/>
          <w:smallCaps/>
          <w:sz w:val="22"/>
          <w:szCs w:val="22"/>
        </w:rPr>
        <w:t>Consumo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mallCaps/>
          <w:sz w:val="22"/>
          <w:szCs w:val="22"/>
        </w:rPr>
        <w:t>t</w:t>
      </w:r>
      <w:r w:rsidRPr="00191611">
        <w:rPr>
          <w:rFonts w:ascii="Arial" w:hAnsi="Arial" w:cs="Arial"/>
          <w:b/>
          <w:iCs/>
          <w:smallCaps/>
          <w:sz w:val="22"/>
          <w:szCs w:val="22"/>
        </w:rPr>
        <w:t>urístico</w:t>
      </w:r>
      <w:r>
        <w:rPr>
          <w:rFonts w:ascii="Arial" w:hAnsi="Arial" w:cs="Arial"/>
          <w:b/>
          <w:iCs/>
          <w:smallCaps/>
          <w:sz w:val="22"/>
          <w:szCs w:val="22"/>
        </w:rPr>
        <w:t xml:space="preserve"> emisor por motivo del viaje</w:t>
      </w:r>
    </w:p>
    <w:p w14:paraId="19DCC0DD" w14:textId="77777777" w:rsidR="00346158" w:rsidRPr="006C6B14" w:rsidRDefault="00346158" w:rsidP="00346158">
      <w:pPr>
        <w:pStyle w:val="Textoindependiente"/>
        <w:ind w:right="-142"/>
        <w:jc w:val="center"/>
        <w:rPr>
          <w:rFonts w:ascii="Arial" w:hAnsi="Arial" w:cs="Arial"/>
          <w:sz w:val="18"/>
          <w:szCs w:val="18"/>
        </w:rPr>
      </w:pPr>
      <w:r w:rsidRPr="006C6B14">
        <w:rPr>
          <w:rFonts w:ascii="Arial" w:hAnsi="Arial" w:cs="Arial"/>
          <w:sz w:val="18"/>
          <w:szCs w:val="18"/>
        </w:rPr>
        <w:t>(</w:t>
      </w:r>
      <w:r w:rsidRPr="006C6B14">
        <w:rPr>
          <w:rFonts w:ascii="Arial" w:hAnsi="Arial" w:cs="Arial"/>
          <w:sz w:val="18"/>
          <w:szCs w:val="18"/>
          <w:lang w:val="es-MX"/>
        </w:rPr>
        <w:t>Millones de pesos corrientes y estructura porcentual</w:t>
      </w:r>
      <w:r w:rsidRPr="006C6B14">
        <w:rPr>
          <w:rFonts w:ascii="Arial" w:hAnsi="Arial" w:cs="Arial"/>
          <w:sz w:val="18"/>
          <w:szCs w:val="18"/>
        </w:rPr>
        <w:t>)</w:t>
      </w:r>
    </w:p>
    <w:tbl>
      <w:tblPr>
        <w:tblW w:w="4860" w:type="dxa"/>
        <w:tblInd w:w="2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80"/>
        <w:gridCol w:w="1440"/>
      </w:tblGrid>
      <w:tr w:rsidR="00346158" w:rsidRPr="00705B56" w14:paraId="0EB0322A" w14:textId="77777777" w:rsidTr="00D647CF">
        <w:trPr>
          <w:trHeight w:val="4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4DFAB89" w14:textId="77777777" w:rsidR="00346158" w:rsidRPr="00705B56" w:rsidRDefault="00346158" w:rsidP="00D647C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05B5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53C48B06" w14:textId="77777777" w:rsidR="00346158" w:rsidRPr="00705B56" w:rsidRDefault="00346158" w:rsidP="00D647C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05B5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616405E" w14:textId="77777777" w:rsidR="00346158" w:rsidRPr="00705B56" w:rsidRDefault="00346158" w:rsidP="00D647C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05B5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Estructura porcentual</w:t>
            </w:r>
          </w:p>
        </w:tc>
      </w:tr>
      <w:tr w:rsidR="00346158" w:rsidRPr="00705B56" w14:paraId="77D2ACF2" w14:textId="77777777" w:rsidTr="00D647C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2AD6" w14:textId="77777777" w:rsidR="00346158" w:rsidRPr="00705B56" w:rsidRDefault="00346158" w:rsidP="00D647C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0259" w14:textId="5469BF45" w:rsidR="00346158" w:rsidRPr="00705B56" w:rsidRDefault="00346158" w:rsidP="00D647CF">
            <w:pPr>
              <w:ind w:firstLineChars="200" w:firstLine="36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136</w:t>
            </w:r>
            <w:r w:rsidR="00D662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05B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E96D" w14:textId="77777777" w:rsidR="00346158" w:rsidRPr="00705B56" w:rsidRDefault="00346158" w:rsidP="00D647CF">
            <w:pPr>
              <w:ind w:firstLineChars="200" w:firstLine="36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346158" w:rsidRPr="00705B56" w14:paraId="5617DC90" w14:textId="77777777" w:rsidTr="00D647C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C283" w14:textId="77777777" w:rsidR="00346158" w:rsidRPr="00705B56" w:rsidRDefault="00346158" w:rsidP="00D647CF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Negocios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0C82" w14:textId="3DBA7D79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  <w:r w:rsidR="00D662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A6CC" w14:textId="77777777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17.7</w:t>
            </w:r>
          </w:p>
        </w:tc>
      </w:tr>
      <w:tr w:rsidR="00346158" w:rsidRPr="00705B56" w14:paraId="6EF4DFD6" w14:textId="77777777" w:rsidTr="00D647C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7546" w14:textId="77777777" w:rsidR="00346158" w:rsidRPr="00705B56" w:rsidRDefault="00346158" w:rsidP="00D647CF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Vacaciones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ED05" w14:textId="7410DE0F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  <w:r w:rsidR="00D662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DCEB" w14:textId="77777777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29.7</w:t>
            </w:r>
          </w:p>
        </w:tc>
      </w:tr>
      <w:tr w:rsidR="00346158" w:rsidRPr="00705B56" w14:paraId="503ACD11" w14:textId="77777777" w:rsidTr="00D647C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04FC" w14:textId="77777777" w:rsidR="00346158" w:rsidRPr="00705B56" w:rsidRDefault="00346158" w:rsidP="00D647CF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1548" w14:textId="68F1D7A3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 w:rsidR="00D662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4DEA" w14:textId="77777777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36.7</w:t>
            </w:r>
          </w:p>
        </w:tc>
      </w:tr>
      <w:tr w:rsidR="00346158" w:rsidRPr="00705B56" w14:paraId="32B7C18E" w14:textId="77777777" w:rsidTr="00D647C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9F4D1" w14:textId="77777777" w:rsidR="00346158" w:rsidRPr="00705B56" w:rsidRDefault="00346158" w:rsidP="00D647CF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Excursionistas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1E87E" w14:textId="606C2372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  <w:r w:rsidR="00D662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F945" w14:textId="77777777" w:rsidR="00346158" w:rsidRPr="00705B56" w:rsidRDefault="00346158" w:rsidP="00D647CF">
            <w:pPr>
              <w:ind w:firstLineChars="200" w:firstLine="3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5B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15.9</w:t>
            </w:r>
          </w:p>
        </w:tc>
      </w:tr>
    </w:tbl>
    <w:p w14:paraId="4E89373B" w14:textId="77777777" w:rsidR="00346158" w:rsidRPr="004A3815" w:rsidRDefault="00346158" w:rsidP="00346158">
      <w:pPr>
        <w:pStyle w:val="Textoindependiente"/>
        <w:ind w:left="2694"/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</w:pPr>
      <w:r w:rsidRPr="004A3815">
        <w:rPr>
          <w:rFonts w:ascii="Arial" w:eastAsiaTheme="minorHAnsi" w:hAnsi="Arial" w:cs="Arial"/>
          <w:color w:val="000000"/>
          <w:sz w:val="16"/>
          <w:szCs w:val="16"/>
          <w:lang w:val="es-MX" w:eastAsia="en-US"/>
        </w:rPr>
        <w:t>Fuente: INEGI</w:t>
      </w:r>
    </w:p>
    <w:p w14:paraId="2C9853F4" w14:textId="77777777" w:rsidR="00346158" w:rsidRDefault="00346158" w:rsidP="00552993">
      <w:pPr>
        <w:spacing w:after="100" w:afterAutospacing="1"/>
        <w:ind w:right="-142"/>
        <w:jc w:val="both"/>
        <w:rPr>
          <w:rFonts w:ascii="Arial" w:eastAsiaTheme="minorHAnsi" w:hAnsi="Arial" w:cs="Arial"/>
          <w:color w:val="000000"/>
          <w:lang w:eastAsia="en-US"/>
        </w:rPr>
      </w:pPr>
    </w:p>
    <w:bookmarkEnd w:id="4"/>
    <w:p w14:paraId="6615621D" w14:textId="22ACAC3A" w:rsidR="0056709B" w:rsidRPr="00552993" w:rsidRDefault="0056709B" w:rsidP="009D33B0">
      <w:pPr>
        <w:spacing w:after="100" w:afterAutospacing="1"/>
        <w:ind w:right="-142"/>
        <w:jc w:val="both"/>
        <w:rPr>
          <w:rFonts w:ascii="Arial" w:eastAsiaTheme="minorHAnsi" w:hAnsi="Arial" w:cs="Arial"/>
          <w:color w:val="000000"/>
          <w:lang w:eastAsia="en-US"/>
        </w:rPr>
      </w:pPr>
      <w:r w:rsidRPr="00552993">
        <w:rPr>
          <w:rFonts w:ascii="Arial" w:eastAsiaTheme="minorHAnsi" w:hAnsi="Arial" w:cs="Arial"/>
          <w:color w:val="000000"/>
          <w:lang w:eastAsia="en-US"/>
        </w:rPr>
        <w:t xml:space="preserve">Los </w:t>
      </w:r>
      <w:r w:rsidRPr="009D33B0">
        <w:rPr>
          <w:rFonts w:ascii="Arial" w:hAnsi="Arial" w:cs="Arial"/>
        </w:rPr>
        <w:t>resultados</w:t>
      </w:r>
      <w:r w:rsidRPr="00552993">
        <w:rPr>
          <w:rFonts w:ascii="Arial" w:eastAsiaTheme="minorHAnsi" w:hAnsi="Arial" w:cs="Arial"/>
          <w:color w:val="000000"/>
          <w:lang w:eastAsia="en-US"/>
        </w:rPr>
        <w:t xml:space="preserve"> de la C</w:t>
      </w:r>
      <w:r w:rsidR="001121F4">
        <w:rPr>
          <w:rFonts w:ascii="Arial" w:eastAsiaTheme="minorHAnsi" w:hAnsi="Arial" w:cs="Arial"/>
          <w:color w:val="000000"/>
          <w:lang w:eastAsia="en-US"/>
        </w:rPr>
        <w:t>STM</w:t>
      </w:r>
      <w:r w:rsidRPr="00552993">
        <w:rPr>
          <w:rFonts w:ascii="Arial" w:eastAsiaTheme="minorHAnsi" w:hAnsi="Arial" w:cs="Arial"/>
          <w:color w:val="000000"/>
          <w:lang w:eastAsia="en-US"/>
        </w:rPr>
        <w:t xml:space="preserve"> 2021 </w:t>
      </w:r>
      <w:r w:rsidR="00A85E1A">
        <w:rPr>
          <w:rFonts w:ascii="Arial" w:eastAsiaTheme="minorHAnsi" w:hAnsi="Arial" w:cs="Arial"/>
          <w:color w:val="000000"/>
          <w:lang w:eastAsia="en-US"/>
        </w:rPr>
        <w:t>p</w:t>
      </w:r>
      <w:r w:rsidRPr="00552993">
        <w:rPr>
          <w:rFonts w:ascii="Arial" w:eastAsiaTheme="minorHAnsi" w:hAnsi="Arial" w:cs="Arial"/>
          <w:color w:val="000000"/>
          <w:lang w:eastAsia="en-US"/>
        </w:rPr>
        <w:t>reliminar, la serie histórica</w:t>
      </w:r>
      <w:r w:rsidR="00A85E1A">
        <w:rPr>
          <w:rFonts w:ascii="Arial" w:eastAsiaTheme="minorHAnsi" w:hAnsi="Arial" w:cs="Arial"/>
          <w:color w:val="000000"/>
          <w:lang w:eastAsia="en-US"/>
        </w:rPr>
        <w:t xml:space="preserve"> y</w:t>
      </w:r>
      <w:r w:rsidRPr="00552993">
        <w:rPr>
          <w:rFonts w:ascii="Arial" w:hAnsi="Arial" w:cs="Arial"/>
        </w:rPr>
        <w:t xml:space="preserve"> </w:t>
      </w:r>
      <w:r w:rsidR="00A85E1A">
        <w:rPr>
          <w:rFonts w:ascii="Arial" w:eastAsiaTheme="minorHAnsi" w:hAnsi="Arial" w:cs="Arial"/>
          <w:color w:val="000000"/>
          <w:lang w:eastAsia="en-US"/>
        </w:rPr>
        <w:t>l</w:t>
      </w:r>
      <w:r w:rsidRPr="00552993">
        <w:rPr>
          <w:rFonts w:ascii="Arial" w:eastAsiaTheme="minorHAnsi" w:hAnsi="Arial" w:cs="Arial"/>
          <w:color w:val="000000"/>
          <w:lang w:eastAsia="en-US"/>
        </w:rPr>
        <w:t xml:space="preserve">a metodología pueden </w:t>
      </w:r>
      <w:r w:rsidR="001121F4">
        <w:rPr>
          <w:rFonts w:ascii="Arial" w:eastAsiaTheme="minorHAnsi" w:hAnsi="Arial" w:cs="Arial"/>
          <w:color w:val="000000"/>
          <w:lang w:eastAsia="en-US"/>
        </w:rPr>
        <w:t>consultarse en:</w:t>
      </w:r>
      <w:r w:rsidRPr="00552993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5D61DAD5" w14:textId="77777777" w:rsidR="0056709B" w:rsidRPr="00552993" w:rsidRDefault="002C6288" w:rsidP="00552993">
      <w:pPr>
        <w:autoSpaceDE w:val="0"/>
        <w:autoSpaceDN w:val="0"/>
        <w:adjustRightInd w:val="0"/>
        <w:ind w:right="-142"/>
        <w:jc w:val="both"/>
        <w:rPr>
          <w:rFonts w:ascii="Arial" w:eastAsiaTheme="minorHAnsi" w:hAnsi="Arial" w:cs="Arial"/>
          <w:color w:val="000000"/>
          <w:lang w:eastAsia="en-US"/>
        </w:rPr>
      </w:pPr>
      <w:hyperlink r:id="rId9" w:history="1">
        <w:r w:rsidR="0056709B" w:rsidRPr="00552993">
          <w:rPr>
            <w:rStyle w:val="Hipervnculo"/>
            <w:rFonts w:ascii="Arial" w:eastAsiaTheme="minorHAnsi" w:hAnsi="Arial" w:cs="Arial"/>
            <w:lang w:eastAsia="en-US"/>
          </w:rPr>
          <w:t>https://www.inegi.org.mx/temas/turismosat/</w:t>
        </w:r>
      </w:hyperlink>
    </w:p>
    <w:p w14:paraId="0E151797" w14:textId="77777777" w:rsidR="0056709B" w:rsidRPr="00552993" w:rsidRDefault="002C6288" w:rsidP="00552993">
      <w:pPr>
        <w:autoSpaceDE w:val="0"/>
        <w:autoSpaceDN w:val="0"/>
        <w:adjustRightInd w:val="0"/>
        <w:ind w:right="-142"/>
        <w:jc w:val="both"/>
        <w:rPr>
          <w:rFonts w:ascii="Arial" w:eastAsiaTheme="minorHAnsi" w:hAnsi="Arial" w:cs="Arial"/>
          <w:color w:val="000000"/>
          <w:lang w:eastAsia="en-US"/>
        </w:rPr>
      </w:pPr>
      <w:hyperlink r:id="rId10" w:history="1">
        <w:r w:rsidR="0056709B" w:rsidRPr="00552993">
          <w:rPr>
            <w:rStyle w:val="Hipervnculo"/>
            <w:rFonts w:ascii="Arial" w:eastAsiaTheme="minorHAnsi" w:hAnsi="Arial" w:cs="Arial"/>
            <w:lang w:eastAsia="en-US"/>
          </w:rPr>
          <w:t>https://www.inegi.org.mx/programas/turismo/2013/</w:t>
        </w:r>
      </w:hyperlink>
      <w:r w:rsidR="0056709B" w:rsidRPr="00552993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5A36B925" w14:textId="77777777" w:rsidR="0056709B" w:rsidRPr="00552993" w:rsidRDefault="0056709B" w:rsidP="00552993">
      <w:pPr>
        <w:pStyle w:val="NormalWeb"/>
        <w:spacing w:before="0" w:beforeAutospacing="0" w:after="0" w:afterAutospacing="0"/>
        <w:ind w:left="-426" w:right="-142"/>
        <w:contextualSpacing/>
        <w:jc w:val="center"/>
        <w:rPr>
          <w:rFonts w:ascii="Arial" w:hAnsi="Arial" w:cs="Arial"/>
          <w:b/>
        </w:rPr>
      </w:pPr>
    </w:p>
    <w:p w14:paraId="71A92749" w14:textId="77777777" w:rsidR="0056709B" w:rsidRPr="00552993" w:rsidRDefault="0056709B" w:rsidP="00552993">
      <w:pPr>
        <w:pStyle w:val="Default"/>
        <w:ind w:left="-567" w:right="-142"/>
        <w:jc w:val="center"/>
        <w:rPr>
          <w:b/>
          <w:bCs/>
          <w:color w:val="auto"/>
        </w:rPr>
      </w:pPr>
    </w:p>
    <w:p w14:paraId="01551AD4" w14:textId="6C21D1B5" w:rsidR="0056709B" w:rsidRPr="00552993" w:rsidRDefault="0056709B" w:rsidP="00552993">
      <w:pPr>
        <w:pStyle w:val="NormalWeb"/>
        <w:spacing w:before="0" w:beforeAutospacing="0" w:after="0" w:afterAutospacing="0"/>
        <w:ind w:left="-567" w:right="-142"/>
        <w:contextualSpacing/>
        <w:jc w:val="center"/>
        <w:rPr>
          <w:rFonts w:ascii="Arial" w:hAnsi="Arial" w:cs="Arial"/>
        </w:rPr>
      </w:pPr>
      <w:r w:rsidRPr="00552993">
        <w:rPr>
          <w:rFonts w:ascii="Arial" w:hAnsi="Arial" w:cs="Arial"/>
        </w:rPr>
        <w:t xml:space="preserve">Para consultas de medios y periodistas, </w:t>
      </w:r>
      <w:r w:rsidR="0013703D">
        <w:rPr>
          <w:rFonts w:ascii="Arial" w:hAnsi="Arial" w:cs="Arial"/>
        </w:rPr>
        <w:t>escribi</w:t>
      </w:r>
      <w:r w:rsidRPr="00552993">
        <w:rPr>
          <w:rFonts w:ascii="Arial" w:hAnsi="Arial" w:cs="Arial"/>
        </w:rPr>
        <w:t xml:space="preserve">r a: </w:t>
      </w:r>
      <w:hyperlink r:id="rId11" w:history="1">
        <w:r w:rsidRPr="00552993">
          <w:rPr>
            <w:rStyle w:val="Hipervnculo"/>
            <w:rFonts w:ascii="Arial" w:hAnsi="Arial" w:cs="Arial"/>
          </w:rPr>
          <w:t>comunicacionsocial@inegi.org.mx</w:t>
        </w:r>
      </w:hyperlink>
      <w:r w:rsidRPr="00552993">
        <w:rPr>
          <w:rFonts w:ascii="Arial" w:hAnsi="Arial" w:cs="Arial"/>
        </w:rPr>
        <w:t xml:space="preserve"> </w:t>
      </w:r>
    </w:p>
    <w:p w14:paraId="38F2E9E5" w14:textId="77777777" w:rsidR="0056709B" w:rsidRPr="00552993" w:rsidRDefault="0056709B" w:rsidP="00552993">
      <w:pPr>
        <w:pStyle w:val="NormalWeb"/>
        <w:spacing w:before="0" w:beforeAutospacing="0" w:after="0" w:afterAutospacing="0"/>
        <w:ind w:left="-567" w:right="-142"/>
        <w:contextualSpacing/>
        <w:jc w:val="center"/>
        <w:rPr>
          <w:rFonts w:ascii="Arial" w:hAnsi="Arial" w:cs="Arial"/>
        </w:rPr>
      </w:pPr>
      <w:r w:rsidRPr="00552993">
        <w:rPr>
          <w:rFonts w:ascii="Arial" w:hAnsi="Arial" w:cs="Arial"/>
        </w:rPr>
        <w:t xml:space="preserve">o llamar al teléfono (55) 52-78-10-00, </w:t>
      </w:r>
      <w:proofErr w:type="spellStart"/>
      <w:r w:rsidRPr="00552993">
        <w:rPr>
          <w:rFonts w:ascii="Arial" w:hAnsi="Arial" w:cs="Arial"/>
        </w:rPr>
        <w:t>exts</w:t>
      </w:r>
      <w:proofErr w:type="spellEnd"/>
      <w:r w:rsidRPr="00552993">
        <w:rPr>
          <w:rFonts w:ascii="Arial" w:hAnsi="Arial" w:cs="Arial"/>
        </w:rPr>
        <w:t>. 1134, 1260 y 1241.</w:t>
      </w:r>
    </w:p>
    <w:p w14:paraId="5A03B67B" w14:textId="77777777" w:rsidR="0056709B" w:rsidRPr="00552993" w:rsidRDefault="0056709B" w:rsidP="00552993">
      <w:pPr>
        <w:pStyle w:val="NormalWeb"/>
        <w:spacing w:before="0" w:beforeAutospacing="0" w:after="0" w:afterAutospacing="0"/>
        <w:ind w:left="-567" w:right="-142"/>
        <w:contextualSpacing/>
        <w:jc w:val="center"/>
        <w:rPr>
          <w:rFonts w:ascii="Arial" w:hAnsi="Arial" w:cs="Arial"/>
        </w:rPr>
      </w:pPr>
    </w:p>
    <w:p w14:paraId="5B7C6C24" w14:textId="532B6FB4" w:rsidR="0056709B" w:rsidRDefault="0056709B" w:rsidP="004663AA">
      <w:pPr>
        <w:ind w:left="-567" w:right="-142"/>
        <w:contextualSpacing/>
        <w:jc w:val="center"/>
        <w:rPr>
          <w:rFonts w:ascii="Arial" w:hAnsi="Arial" w:cs="Arial"/>
        </w:rPr>
      </w:pPr>
      <w:r w:rsidRPr="00552993">
        <w:rPr>
          <w:rFonts w:ascii="Arial" w:hAnsi="Arial" w:cs="Arial"/>
        </w:rPr>
        <w:t xml:space="preserve">Dirección de Atención a Medios/ Dirección General Adjunta de Comunicación </w:t>
      </w:r>
    </w:p>
    <w:p w14:paraId="5658D7F8" w14:textId="77777777" w:rsidR="0013703D" w:rsidRPr="00552993" w:rsidRDefault="0013703D" w:rsidP="00552993">
      <w:pPr>
        <w:ind w:left="-567" w:right="-142"/>
        <w:contextualSpacing/>
        <w:jc w:val="center"/>
        <w:rPr>
          <w:rFonts w:ascii="Arial" w:hAnsi="Arial" w:cs="Arial"/>
        </w:rPr>
      </w:pPr>
    </w:p>
    <w:p w14:paraId="4F4D8AA7" w14:textId="77777777" w:rsidR="0056709B" w:rsidRDefault="0056709B" w:rsidP="00552993">
      <w:pPr>
        <w:ind w:left="-567" w:right="-142"/>
        <w:contextualSpacing/>
        <w:jc w:val="center"/>
        <w:rPr>
          <w:noProof/>
          <w:color w:val="FF0000"/>
        </w:rPr>
        <w:sectPr w:rsidR="0056709B" w:rsidSect="00C516C9">
          <w:headerReference w:type="default" r:id="rId12"/>
          <w:footerReference w:type="default" r:id="rId13"/>
          <w:pgSz w:w="12240" w:h="15840"/>
          <w:pgMar w:top="1560" w:right="1183" w:bottom="851" w:left="1134" w:header="426" w:footer="435" w:gutter="0"/>
          <w:cols w:space="708"/>
          <w:docGrid w:linePitch="360"/>
        </w:sectPr>
      </w:pPr>
      <w:r w:rsidRPr="00552993">
        <w:rPr>
          <w:noProof/>
          <w:color w:val="FF0000"/>
        </w:rPr>
        <w:drawing>
          <wp:inline distT="0" distB="0" distL="0" distR="0" wp14:anchorId="55DDC0E9" wp14:editId="373EA0F5">
            <wp:extent cx="318472" cy="322419"/>
            <wp:effectExtent l="0" t="0" r="5715" b="1905"/>
            <wp:docPr id="49" name="Imagen 49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3AA">
        <w:rPr>
          <w:noProof/>
          <w:color w:val="FF0000"/>
        </w:rPr>
        <w:t xml:space="preserve"> </w:t>
      </w:r>
      <w:r w:rsidRPr="00552993">
        <w:rPr>
          <w:noProof/>
          <w:color w:val="FF0000"/>
        </w:rPr>
        <w:drawing>
          <wp:inline distT="0" distB="0" distL="0" distR="0" wp14:anchorId="78B1A992" wp14:editId="52C34CAF">
            <wp:extent cx="327704" cy="325467"/>
            <wp:effectExtent l="0" t="0" r="0" b="0"/>
            <wp:docPr id="50" name="Imagen 50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3AA">
        <w:rPr>
          <w:noProof/>
          <w:color w:val="FF0000"/>
        </w:rPr>
        <w:t xml:space="preserve"> </w:t>
      </w:r>
      <w:r w:rsidRPr="00552993">
        <w:rPr>
          <w:noProof/>
          <w:color w:val="FF0000"/>
        </w:rPr>
        <w:drawing>
          <wp:inline distT="0" distB="0" distL="0" distR="0" wp14:anchorId="2961BF26" wp14:editId="25EEEC06">
            <wp:extent cx="321276" cy="324093"/>
            <wp:effectExtent l="0" t="0" r="3175" b="0"/>
            <wp:docPr id="35" name="Imagen 35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3AA">
        <w:rPr>
          <w:noProof/>
          <w:color w:val="FF0000"/>
        </w:rPr>
        <w:t xml:space="preserve"> </w:t>
      </w:r>
      <w:r w:rsidRPr="00552993">
        <w:rPr>
          <w:noProof/>
          <w:color w:val="FF0000"/>
        </w:rPr>
        <w:drawing>
          <wp:inline distT="0" distB="0" distL="0" distR="0" wp14:anchorId="59E16623" wp14:editId="37184341">
            <wp:extent cx="321276" cy="326574"/>
            <wp:effectExtent l="0" t="0" r="3175" b="0"/>
            <wp:docPr id="51" name="Imagen 51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3AA">
        <w:rPr>
          <w:noProof/>
          <w:color w:val="FF0000"/>
        </w:rPr>
        <w:t xml:space="preserve">  </w:t>
      </w:r>
      <w:r w:rsidRPr="00552993">
        <w:rPr>
          <w:noProof/>
          <w:color w:val="FF0000"/>
        </w:rPr>
        <w:drawing>
          <wp:inline distT="0" distB="0" distL="0" distR="0" wp14:anchorId="38D8D5BA" wp14:editId="718C147D">
            <wp:extent cx="2323070" cy="319707"/>
            <wp:effectExtent l="0" t="0" r="1270" b="4445"/>
            <wp:docPr id="52" name="Imagen 52" descr="Icon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2" descr="Icon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5D6F" w14:textId="77777777" w:rsidR="0056709B" w:rsidRDefault="0056709B" w:rsidP="0056709B">
      <w:pPr>
        <w:ind w:left="-567"/>
        <w:contextualSpacing/>
        <w:jc w:val="center"/>
        <w:rPr>
          <w:noProof/>
          <w:color w:val="FF0000"/>
        </w:rPr>
        <w:sectPr w:rsidR="0056709B" w:rsidSect="001C656E">
          <w:type w:val="continuous"/>
          <w:pgSz w:w="12240" w:h="15840"/>
          <w:pgMar w:top="1823" w:right="1183" w:bottom="1135" w:left="1701" w:header="708" w:footer="708" w:gutter="0"/>
          <w:cols w:space="708"/>
          <w:docGrid w:linePitch="360"/>
        </w:sectPr>
      </w:pPr>
    </w:p>
    <w:p w14:paraId="6CCCFFE2" w14:textId="77777777" w:rsidR="0056709B" w:rsidRDefault="0056709B" w:rsidP="0056709B">
      <w:pPr>
        <w:ind w:left="-567"/>
        <w:contextualSpacing/>
        <w:jc w:val="center"/>
        <w:rPr>
          <w:noProof/>
          <w:color w:val="FF0000"/>
        </w:rPr>
        <w:sectPr w:rsidR="0056709B" w:rsidSect="001C656E">
          <w:type w:val="continuous"/>
          <w:pgSz w:w="12240" w:h="15840"/>
          <w:pgMar w:top="1823" w:right="1183" w:bottom="1135" w:left="1701" w:header="708" w:footer="708" w:gutter="0"/>
          <w:cols w:space="708"/>
          <w:docGrid w:linePitch="360"/>
        </w:sectPr>
      </w:pPr>
    </w:p>
    <w:p w14:paraId="4994BA74" w14:textId="77777777" w:rsidR="0013703D" w:rsidRDefault="0013703D" w:rsidP="0056709B">
      <w:pPr>
        <w:pStyle w:val="Ttulo2"/>
        <w:tabs>
          <w:tab w:val="left" w:pos="1276"/>
        </w:tabs>
        <w:spacing w:before="0" w:after="120"/>
        <w:jc w:val="center"/>
        <w:rPr>
          <w:rFonts w:ascii="Arial" w:hAnsi="Arial" w:cs="Arial"/>
          <w:i w:val="0"/>
          <w:color w:val="000000"/>
        </w:rPr>
      </w:pPr>
      <w:r>
        <w:rPr>
          <w:rFonts w:ascii="Arial" w:hAnsi="Arial" w:cs="Arial"/>
          <w:i w:val="0"/>
          <w:color w:val="000000"/>
        </w:rPr>
        <w:lastRenderedPageBreak/>
        <w:t>ANEXO</w:t>
      </w:r>
    </w:p>
    <w:p w14:paraId="4D46CDFD" w14:textId="77777777" w:rsidR="0013703D" w:rsidRDefault="0013703D" w:rsidP="0056709B">
      <w:pPr>
        <w:pStyle w:val="Ttulo2"/>
        <w:tabs>
          <w:tab w:val="left" w:pos="1276"/>
        </w:tabs>
        <w:spacing w:before="0" w:after="120"/>
        <w:jc w:val="center"/>
        <w:rPr>
          <w:rFonts w:ascii="Arial" w:hAnsi="Arial" w:cs="Arial"/>
          <w:i w:val="0"/>
          <w:color w:val="000000"/>
        </w:rPr>
      </w:pPr>
    </w:p>
    <w:p w14:paraId="2A498231" w14:textId="69C1DCF7" w:rsidR="0056709B" w:rsidRPr="003571B2" w:rsidRDefault="0056709B" w:rsidP="0056709B">
      <w:pPr>
        <w:pStyle w:val="Ttulo2"/>
        <w:tabs>
          <w:tab w:val="left" w:pos="1276"/>
        </w:tabs>
        <w:spacing w:before="0" w:after="120"/>
        <w:jc w:val="center"/>
        <w:rPr>
          <w:rFonts w:ascii="Arial" w:hAnsi="Arial" w:cs="Arial"/>
          <w:i w:val="0"/>
          <w:color w:val="000000"/>
        </w:rPr>
      </w:pPr>
      <w:r w:rsidRPr="00470754">
        <w:rPr>
          <w:rFonts w:ascii="Arial" w:hAnsi="Arial" w:cs="Arial"/>
          <w:i w:val="0"/>
          <w:color w:val="000000"/>
        </w:rPr>
        <w:t>NOTA TÉCNICA</w:t>
      </w:r>
    </w:p>
    <w:p w14:paraId="49A5C2DA" w14:textId="2DAB9025" w:rsidR="005A33C6" w:rsidRPr="006C6B14" w:rsidRDefault="005A33C6" w:rsidP="00C516C9">
      <w:pPr>
        <w:spacing w:after="100" w:afterAutospacing="1"/>
        <w:ind w:right="-232"/>
        <w:jc w:val="both"/>
        <w:rPr>
          <w:rFonts w:ascii="Arial" w:eastAsiaTheme="minorHAnsi" w:hAnsi="Arial" w:cs="Arial"/>
          <w:color w:val="000000"/>
          <w:lang w:eastAsia="en-US"/>
        </w:rPr>
      </w:pPr>
      <w:bookmarkStart w:id="5" w:name="_Hlk120210753"/>
    </w:p>
    <w:bookmarkEnd w:id="5"/>
    <w:p w14:paraId="583482B0" w14:textId="173ACF5B" w:rsidR="005A33C6" w:rsidRPr="0063740A" w:rsidRDefault="005A33C6" w:rsidP="00552993">
      <w:pPr>
        <w:pStyle w:val="Textodebloque1"/>
        <w:tabs>
          <w:tab w:val="left" w:pos="0"/>
          <w:tab w:val="left" w:pos="8222"/>
        </w:tabs>
        <w:spacing w:before="0" w:after="100" w:afterAutospacing="1"/>
        <w:ind w:left="0" w:right="-518" w:firstLine="0"/>
        <w:rPr>
          <w:rFonts w:ascii="Arial" w:hAnsi="Arial" w:cs="Arial"/>
          <w:bCs/>
          <w:iCs/>
          <w:smallCaps/>
          <w:sz w:val="24"/>
          <w:szCs w:val="24"/>
        </w:rPr>
      </w:pPr>
      <w:r w:rsidRPr="0063740A">
        <w:rPr>
          <w:rFonts w:ascii="Arial" w:hAnsi="Arial" w:cs="Arial"/>
          <w:bCs/>
          <w:iCs/>
          <w:smallCaps/>
          <w:sz w:val="24"/>
          <w:szCs w:val="24"/>
        </w:rPr>
        <w:t xml:space="preserve">Aspectos </w:t>
      </w:r>
      <w:r w:rsidR="0013703D">
        <w:rPr>
          <w:rFonts w:ascii="Arial" w:hAnsi="Arial" w:cs="Arial"/>
          <w:bCs/>
          <w:iCs/>
          <w:smallCaps/>
          <w:sz w:val="24"/>
          <w:szCs w:val="24"/>
        </w:rPr>
        <w:t>m</w:t>
      </w:r>
      <w:r w:rsidRPr="0063740A">
        <w:rPr>
          <w:rFonts w:ascii="Arial" w:hAnsi="Arial" w:cs="Arial"/>
          <w:bCs/>
          <w:iCs/>
          <w:smallCaps/>
          <w:sz w:val="24"/>
          <w:szCs w:val="24"/>
        </w:rPr>
        <w:t>etodológicos</w:t>
      </w:r>
    </w:p>
    <w:p w14:paraId="71867EB7" w14:textId="0A06E50F" w:rsidR="005A33C6" w:rsidRPr="006C6B14" w:rsidRDefault="005A33C6" w:rsidP="00552993">
      <w:pPr>
        <w:pStyle w:val="Default"/>
        <w:spacing w:after="100" w:afterAutospacing="1"/>
        <w:ind w:right="-518"/>
        <w:jc w:val="both"/>
      </w:pPr>
      <w:r w:rsidRPr="006C6B14">
        <w:t>La actualización de la CSTM, 2021</w:t>
      </w:r>
      <w:r w:rsidR="0013703D">
        <w:t xml:space="preserve"> con a</w:t>
      </w:r>
      <w:r w:rsidRPr="006C6B14">
        <w:t xml:space="preserve">ño </w:t>
      </w:r>
      <w:r w:rsidR="0013703D">
        <w:t>b</w:t>
      </w:r>
      <w:r w:rsidRPr="006C6B14">
        <w:t>ase 2013, tom</w:t>
      </w:r>
      <w:r w:rsidR="0013703D">
        <w:t>ó</w:t>
      </w:r>
      <w:r w:rsidRPr="006C6B14">
        <w:t xml:space="preserve"> como marco de referencia los lineamientos </w:t>
      </w:r>
      <w:r w:rsidRPr="00552993">
        <w:rPr>
          <w:color w:val="000000" w:themeColor="text1"/>
        </w:rPr>
        <w:t xml:space="preserve">internacionales del </w:t>
      </w:r>
      <w:r w:rsidR="0013703D" w:rsidRPr="00552993">
        <w:rPr>
          <w:color w:val="000000" w:themeColor="text1"/>
          <w:shd w:val="clear" w:color="auto" w:fill="FFFFFF"/>
        </w:rPr>
        <w:t>«</w:t>
      </w:r>
      <w:r w:rsidRPr="00552993">
        <w:rPr>
          <w:color w:val="000000" w:themeColor="text1"/>
        </w:rPr>
        <w:t>Manual del Sistema de Cuentas Nacionales (SCN</w:t>
      </w:r>
      <w:r w:rsidR="0013703D" w:rsidRPr="00552993">
        <w:rPr>
          <w:color w:val="000000" w:themeColor="text1"/>
        </w:rPr>
        <w:t>)</w:t>
      </w:r>
      <w:r w:rsidRPr="00552993">
        <w:rPr>
          <w:color w:val="000000" w:themeColor="text1"/>
        </w:rPr>
        <w:t xml:space="preserve"> 2008</w:t>
      </w:r>
      <w:r w:rsidR="0013703D" w:rsidRPr="00552993">
        <w:rPr>
          <w:color w:val="000000" w:themeColor="text1"/>
          <w:shd w:val="clear" w:color="auto" w:fill="FFFFFF"/>
        </w:rPr>
        <w:t>»</w:t>
      </w:r>
      <w:r w:rsidRPr="00552993">
        <w:rPr>
          <w:color w:val="000000" w:themeColor="text1"/>
        </w:rPr>
        <w:t>. Este se elabor</w:t>
      </w:r>
      <w:r w:rsidR="0013703D" w:rsidRPr="00552993">
        <w:rPr>
          <w:color w:val="000000" w:themeColor="text1"/>
        </w:rPr>
        <w:t>ó</w:t>
      </w:r>
      <w:r w:rsidRPr="00552993">
        <w:rPr>
          <w:color w:val="000000" w:themeColor="text1"/>
        </w:rPr>
        <w:t xml:space="preserve"> de manera conjunta por la Organización de las Naciones Unidas (ONU), la Oficina de Estadística de la Comisión Europea (EUROSTAT), el Fondo Monetario Internacional (FMI), la Organización para la Cooperación y el Desarrollo Económicos (OCDE) y el Banco Mundial (BM). También se consider</w:t>
      </w:r>
      <w:r w:rsidR="0013703D" w:rsidRPr="00552993">
        <w:rPr>
          <w:color w:val="000000" w:themeColor="text1"/>
        </w:rPr>
        <w:t>ó</w:t>
      </w:r>
      <w:r w:rsidRPr="00552993">
        <w:rPr>
          <w:color w:val="000000" w:themeColor="text1"/>
        </w:rPr>
        <w:t xml:space="preserve"> el </w:t>
      </w:r>
      <w:r w:rsidR="0013703D" w:rsidRPr="00552993">
        <w:rPr>
          <w:color w:val="000000" w:themeColor="text1"/>
        </w:rPr>
        <w:t>m</w:t>
      </w:r>
      <w:r w:rsidRPr="00552993">
        <w:rPr>
          <w:color w:val="000000" w:themeColor="text1"/>
        </w:rPr>
        <w:t xml:space="preserve">anual </w:t>
      </w:r>
      <w:r w:rsidR="0013703D" w:rsidRPr="00552993">
        <w:rPr>
          <w:color w:val="000000" w:themeColor="text1"/>
          <w:shd w:val="clear" w:color="auto" w:fill="FFFFFF"/>
        </w:rPr>
        <w:t>«</w:t>
      </w:r>
      <w:r w:rsidRPr="00552993">
        <w:rPr>
          <w:color w:val="000000" w:themeColor="text1"/>
        </w:rPr>
        <w:t>Cuenta Satélite de Turismo: Recomendaciones sobre el Marco Conceptual 2008 (CST: RMC 2008)</w:t>
      </w:r>
      <w:r w:rsidR="0013703D" w:rsidRPr="00552993">
        <w:rPr>
          <w:color w:val="000000" w:themeColor="text1"/>
          <w:shd w:val="clear" w:color="auto" w:fill="FFFFFF"/>
        </w:rPr>
        <w:t>»</w:t>
      </w:r>
      <w:r w:rsidRPr="00552993">
        <w:rPr>
          <w:color w:val="000000" w:themeColor="text1"/>
        </w:rPr>
        <w:t xml:space="preserve"> de la Organización Mundial de Turismo (OMT). </w:t>
      </w:r>
    </w:p>
    <w:p w14:paraId="4FB81815" w14:textId="7B59A4B1" w:rsidR="005A33C6" w:rsidRPr="006C6B14" w:rsidRDefault="005A33C6" w:rsidP="00552993">
      <w:pPr>
        <w:pStyle w:val="Default"/>
        <w:spacing w:after="100" w:afterAutospacing="1"/>
        <w:ind w:right="-518"/>
        <w:jc w:val="both"/>
      </w:pPr>
      <w:r w:rsidRPr="006C6B14">
        <w:t xml:space="preserve">Para su integración, se consideró la lista de actividades características del turismo (industrias turísticas) agrupadas por categorías principales según la </w:t>
      </w:r>
      <w:r w:rsidR="009D0DB6" w:rsidRPr="00552993">
        <w:rPr>
          <w:color w:val="000000" w:themeColor="text1"/>
          <w:shd w:val="clear" w:color="auto" w:fill="FFFFFF"/>
        </w:rPr>
        <w:t>«</w:t>
      </w:r>
      <w:r w:rsidRPr="00552993">
        <w:rPr>
          <w:color w:val="000000" w:themeColor="text1"/>
        </w:rPr>
        <w:t>Clasificación Industrial Internacional Uniforme de todas las actividades económicas (CIIU Rev. 4)</w:t>
      </w:r>
      <w:r w:rsidR="009D0DB6" w:rsidRPr="00552993">
        <w:rPr>
          <w:color w:val="000000" w:themeColor="text1"/>
          <w:shd w:val="clear" w:color="auto" w:fill="FFFFFF"/>
        </w:rPr>
        <w:t>»</w:t>
      </w:r>
      <w:r w:rsidRPr="00552993">
        <w:rPr>
          <w:color w:val="000000" w:themeColor="text1"/>
        </w:rPr>
        <w:t xml:space="preserve">, </w:t>
      </w:r>
      <w:r w:rsidRPr="006C6B14">
        <w:t xml:space="preserve">integradas en el Anexo 3 de las Recomendaciones Internacionales para Estadísticas de Turismo (RIET 2008). Además, se tomó en cuenta el Sistema de Clasificación Industrial de América del Norte (SCIAN) 2013, a efecto de alinearse con el SCNM base 2013. </w:t>
      </w:r>
    </w:p>
    <w:p w14:paraId="6480C328" w14:textId="7BEAAB66" w:rsidR="005A33C6" w:rsidRPr="006C6B14" w:rsidRDefault="005A33C6" w:rsidP="00552993">
      <w:pPr>
        <w:pStyle w:val="Default"/>
        <w:spacing w:after="100" w:afterAutospacing="1"/>
        <w:ind w:right="-518"/>
        <w:jc w:val="both"/>
      </w:pPr>
      <w:r w:rsidRPr="006C6B14">
        <w:t xml:space="preserve">La CSTM, </w:t>
      </w:r>
      <w:r w:rsidR="009D0DB6">
        <w:t>b</w:t>
      </w:r>
      <w:r w:rsidRPr="006C6B14">
        <w:t>ase 2013, utiliza como parte de sus fuentes de información la Matriz de Insumo Producto 2013, el Cuadro de Oferta y Utilización (COU) 2013 y la serie de la Cuenta de Bienes y Servicios 2021, base 2013. La disponibilidad de estos insumos permitió contar con el detalle pormenorizado del origen y destino, tanto de la producción como de los insumos</w:t>
      </w:r>
      <w:r w:rsidR="009D0DB6">
        <w:t xml:space="preserve">. Esto </w:t>
      </w:r>
      <w:r w:rsidRPr="006C6B14">
        <w:t xml:space="preserve">posibilitó una caracterización detallada del quehacer de la actividad turística y su composición. </w:t>
      </w:r>
    </w:p>
    <w:p w14:paraId="3ACBB417" w14:textId="4469215C" w:rsidR="005A33C6" w:rsidRPr="006C6B14" w:rsidRDefault="005A33C6" w:rsidP="00552993">
      <w:pPr>
        <w:pStyle w:val="Default"/>
        <w:spacing w:after="100" w:afterAutospacing="1"/>
        <w:ind w:right="-518"/>
        <w:jc w:val="both"/>
      </w:pPr>
      <w:r w:rsidRPr="006C6B14">
        <w:t>A</w:t>
      </w:r>
      <w:r w:rsidR="00336D72">
        <w:t xml:space="preserve">demás, </w:t>
      </w:r>
      <w:r w:rsidRPr="006C6B14">
        <w:t>se aprovecha</w:t>
      </w:r>
      <w:r w:rsidR="009D0DB6">
        <w:t>ro</w:t>
      </w:r>
      <w:r w:rsidRPr="006C6B14">
        <w:t>n diferentes fuentes de información</w:t>
      </w:r>
      <w:r w:rsidR="00336D72">
        <w:t>,</w:t>
      </w:r>
      <w:r w:rsidRPr="006C6B14">
        <w:t xml:space="preserve"> como la Secretaría de Turismo (SECTUR), la Secretaría de Infraestructura, Comunicaciones y Transportes (SICT), gobiernos de los estados, el Instituto Mexicano del Seguro Social (IMSS), el Instituto de Seguridad y Servicios Sociales de los Trabajadores del Estado (ISSSTE), el Instituto Nacional de Migración (INM), el Banco de México (Banxico) y el propio INEGI, por mencionar algunas. </w:t>
      </w:r>
    </w:p>
    <w:p w14:paraId="1D23111D" w14:textId="4259B593" w:rsidR="005A33C6" w:rsidRPr="00712284" w:rsidRDefault="005A33C6" w:rsidP="00552993">
      <w:pPr>
        <w:autoSpaceDE w:val="0"/>
        <w:autoSpaceDN w:val="0"/>
        <w:adjustRightInd w:val="0"/>
        <w:spacing w:after="100" w:afterAutospacing="1"/>
        <w:ind w:right="-518"/>
        <w:jc w:val="both"/>
        <w:rPr>
          <w:rFonts w:ascii="Arial" w:hAnsi="Arial" w:cs="Arial"/>
        </w:rPr>
      </w:pPr>
      <w:r w:rsidRPr="006C6B14">
        <w:t xml:space="preserve">Con la información de las fuentes </w:t>
      </w:r>
      <w:r w:rsidR="00336D72">
        <w:t xml:space="preserve">anteriores </w:t>
      </w:r>
      <w:r w:rsidR="009D0DB6">
        <w:t>fue</w:t>
      </w:r>
      <w:r w:rsidRPr="006C6B14">
        <w:t xml:space="preserve"> posible integrar los cuadros de oferta y utilización de bienes y servicios turísticos; el consumo turístico interno, receptivo y emisor, por motivo de viaje, etcétera; el consumo colectivo turístico; la serie de la </w:t>
      </w:r>
      <w:r w:rsidR="009D0DB6">
        <w:t>FBCF</w:t>
      </w:r>
      <w:r w:rsidRPr="006C6B14">
        <w:t xml:space="preserve"> turístico; las cuentas de producción y las variables macroeconómicas que las constituyen (valor bruto de producción, consumo intermedio y valor agregado bruto); la remuneración de asalariados y los puestos de trabajo ocupados remunerados.</w:t>
      </w:r>
      <w:r w:rsidR="0013703D" w:rsidRPr="006C6B14" w:rsidDel="0013703D">
        <w:t xml:space="preserve"> </w:t>
      </w:r>
    </w:p>
    <w:sectPr w:rsidR="005A33C6" w:rsidRPr="00712284" w:rsidSect="00C516C9">
      <w:headerReference w:type="default" r:id="rId24"/>
      <w:footnotePr>
        <w:pos w:val="beneathText"/>
      </w:footnotePr>
      <w:pgSz w:w="12240" w:h="15840" w:code="122"/>
      <w:pgMar w:top="164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CCAC4" w14:textId="77777777" w:rsidR="002C6288" w:rsidRDefault="002C6288" w:rsidP="0056709B">
      <w:r>
        <w:separator/>
      </w:r>
    </w:p>
  </w:endnote>
  <w:endnote w:type="continuationSeparator" w:id="0">
    <w:p w14:paraId="058335AD" w14:textId="77777777" w:rsidR="002C6288" w:rsidRDefault="002C6288" w:rsidP="0056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3938" w14:textId="77777777" w:rsidR="00D647CF" w:rsidRPr="00287F4C" w:rsidRDefault="00D647CF" w:rsidP="001C656E">
    <w:pPr>
      <w:pStyle w:val="Piedepgina"/>
      <w:ind w:left="-567"/>
      <w:jc w:val="center"/>
      <w:rPr>
        <w:rFonts w:ascii="Arial" w:hAnsi="Arial" w:cs="Arial"/>
        <w:b/>
        <w:color w:val="002060"/>
        <w:sz w:val="20"/>
        <w:szCs w:val="20"/>
      </w:rPr>
    </w:pPr>
    <w:r w:rsidRPr="00287F4C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F08E" w14:textId="77777777" w:rsidR="002C6288" w:rsidRDefault="002C6288" w:rsidP="0056709B">
      <w:r>
        <w:separator/>
      </w:r>
    </w:p>
  </w:footnote>
  <w:footnote w:type="continuationSeparator" w:id="0">
    <w:p w14:paraId="73D989EC" w14:textId="77777777" w:rsidR="002C6288" w:rsidRDefault="002C6288" w:rsidP="0056709B">
      <w:r>
        <w:continuationSeparator/>
      </w:r>
    </w:p>
  </w:footnote>
  <w:footnote w:id="1">
    <w:p w14:paraId="2A853673" w14:textId="77777777" w:rsidR="00D647CF" w:rsidRPr="00AD6778" w:rsidRDefault="00D647CF" w:rsidP="0055299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D6778">
        <w:rPr>
          <w:rStyle w:val="Refdenotaalpie"/>
          <w:rFonts w:ascii="Arial" w:hAnsi="Arial" w:cs="Arial"/>
          <w:sz w:val="16"/>
          <w:szCs w:val="16"/>
        </w:rPr>
        <w:footnoteRef/>
      </w:r>
      <w:r w:rsidRPr="00AD6778">
        <w:rPr>
          <w:rFonts w:ascii="Arial" w:hAnsi="Arial" w:cs="Arial"/>
          <w:sz w:val="16"/>
          <w:szCs w:val="16"/>
        </w:rPr>
        <w:t xml:space="preserve"> </w:t>
      </w:r>
      <w:r w:rsidRPr="00552993">
        <w:rPr>
          <w:rFonts w:ascii="Arial" w:hAnsi="Arial" w:cs="Arial"/>
          <w:sz w:val="16"/>
          <w:szCs w:val="16"/>
        </w:rPr>
        <w:t>Se hace referencia al Valor Agregado Bruto (VAB) en esta y en todas las menciones sobre el PIB del sector turístico o del PIB nacional.</w:t>
      </w:r>
    </w:p>
  </w:footnote>
  <w:footnote w:id="2">
    <w:p w14:paraId="60320015" w14:textId="7FEAB0B4" w:rsidR="00D647CF" w:rsidRPr="0041288F" w:rsidRDefault="00D647CF" w:rsidP="00552993">
      <w:pPr>
        <w:pStyle w:val="Textonotapie"/>
        <w:ind w:left="142" w:right="-142" w:hanging="142"/>
        <w:jc w:val="both"/>
        <w:rPr>
          <w:sz w:val="16"/>
          <w:szCs w:val="16"/>
        </w:rPr>
      </w:pPr>
      <w:r w:rsidRPr="004324B3">
        <w:rPr>
          <w:rFonts w:ascii="Univers" w:hAnsi="Univers" w:cs="Arial"/>
          <w:sz w:val="16"/>
          <w:szCs w:val="16"/>
          <w:vertAlign w:val="superscript"/>
        </w:rPr>
        <w:footnoteRef/>
      </w:r>
      <w:r w:rsidRPr="008B6DD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</w:t>
      </w:r>
      <w:r w:rsidRPr="0041288F">
        <w:rPr>
          <w:sz w:val="16"/>
          <w:szCs w:val="16"/>
        </w:rPr>
        <w:t xml:space="preserve">Representa los gastos realizados por visitantes que se desplazan </w:t>
      </w:r>
      <w:r>
        <w:rPr>
          <w:sz w:val="16"/>
          <w:szCs w:val="16"/>
        </w:rPr>
        <w:t>para</w:t>
      </w:r>
      <w:r w:rsidRPr="0041288F">
        <w:rPr>
          <w:sz w:val="16"/>
          <w:szCs w:val="16"/>
        </w:rPr>
        <w:t xml:space="preserve"> visitar familiares y amigos</w:t>
      </w:r>
      <w:r>
        <w:rPr>
          <w:sz w:val="16"/>
          <w:szCs w:val="16"/>
        </w:rPr>
        <w:t>,</w:t>
      </w:r>
      <w:r w:rsidRPr="0041288F">
        <w:rPr>
          <w:sz w:val="16"/>
          <w:szCs w:val="16"/>
        </w:rPr>
        <w:t xml:space="preserve"> estudiar</w:t>
      </w:r>
      <w:r>
        <w:rPr>
          <w:sz w:val="16"/>
          <w:szCs w:val="16"/>
        </w:rPr>
        <w:t>,</w:t>
      </w:r>
      <w:r w:rsidRPr="0041288F">
        <w:rPr>
          <w:sz w:val="16"/>
          <w:szCs w:val="16"/>
        </w:rPr>
        <w:t xml:space="preserve"> o bien</w:t>
      </w:r>
      <w:r>
        <w:rPr>
          <w:sz w:val="16"/>
          <w:szCs w:val="16"/>
        </w:rPr>
        <w:t>,</w:t>
      </w:r>
      <w:r w:rsidRPr="0041288F">
        <w:rPr>
          <w:sz w:val="16"/>
          <w:szCs w:val="16"/>
        </w:rPr>
        <w:t xml:space="preserve"> por motivos de salud, religión, etcétera.  </w:t>
      </w:r>
    </w:p>
  </w:footnote>
  <w:footnote w:id="3">
    <w:p w14:paraId="0DCD31E9" w14:textId="5E8A4228" w:rsidR="00D647CF" w:rsidRPr="0041288F" w:rsidRDefault="00D647CF" w:rsidP="005B6E40">
      <w:pPr>
        <w:pStyle w:val="Textonotapie"/>
        <w:ind w:left="142" w:right="-142" w:hanging="142"/>
        <w:jc w:val="both"/>
        <w:rPr>
          <w:sz w:val="16"/>
          <w:szCs w:val="16"/>
        </w:rPr>
      </w:pPr>
      <w:r w:rsidRPr="004324B3">
        <w:rPr>
          <w:rFonts w:ascii="Univers" w:hAnsi="Univers" w:cs="Arial"/>
          <w:sz w:val="16"/>
          <w:szCs w:val="16"/>
          <w:vertAlign w:val="superscript"/>
        </w:rPr>
        <w:footnoteRef/>
      </w:r>
      <w:r w:rsidRPr="004324B3">
        <w:rPr>
          <w:rFonts w:ascii="Univers" w:hAnsi="Univers" w:cs="Arial"/>
          <w:sz w:val="16"/>
          <w:szCs w:val="16"/>
          <w:vertAlign w:val="superscript"/>
        </w:rPr>
        <w:t xml:space="preserve"> </w:t>
      </w:r>
      <w:r>
        <w:rPr>
          <w:rFonts w:ascii="Univers" w:hAnsi="Univers" w:cs="Arial"/>
          <w:sz w:val="16"/>
          <w:szCs w:val="16"/>
          <w:vertAlign w:val="superscript"/>
        </w:rPr>
        <w:t xml:space="preserve"> </w:t>
      </w:r>
      <w:r w:rsidRPr="0041288F">
        <w:rPr>
          <w:sz w:val="16"/>
          <w:szCs w:val="16"/>
        </w:rPr>
        <w:t>Gastos efectuados antes de un viaje internacional,</w:t>
      </w:r>
      <w:r>
        <w:rPr>
          <w:sz w:val="16"/>
          <w:szCs w:val="16"/>
        </w:rPr>
        <w:t xml:space="preserve"> </w:t>
      </w:r>
      <w:r w:rsidRPr="0041288F">
        <w:rPr>
          <w:sz w:val="16"/>
          <w:szCs w:val="16"/>
        </w:rPr>
        <w:t>como</w:t>
      </w:r>
      <w:r>
        <w:rPr>
          <w:sz w:val="16"/>
          <w:szCs w:val="16"/>
        </w:rPr>
        <w:t xml:space="preserve"> </w:t>
      </w:r>
      <w:r w:rsidRPr="0041288F">
        <w:rPr>
          <w:sz w:val="16"/>
          <w:szCs w:val="16"/>
        </w:rPr>
        <w:t>la adquisición de transporte por vía aérea y/</w:t>
      </w:r>
      <w:r>
        <w:rPr>
          <w:sz w:val="16"/>
          <w:szCs w:val="16"/>
        </w:rPr>
        <w:t xml:space="preserve"> </w:t>
      </w:r>
      <w:r w:rsidRPr="0041288F">
        <w:rPr>
          <w:sz w:val="16"/>
          <w:szCs w:val="16"/>
        </w:rPr>
        <w:t>o terrestre</w:t>
      </w:r>
      <w:r>
        <w:rPr>
          <w:sz w:val="16"/>
          <w:szCs w:val="16"/>
        </w:rPr>
        <w:t>,</w:t>
      </w:r>
      <w:r w:rsidRPr="004128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 w:rsidRPr="0041288F">
        <w:rPr>
          <w:sz w:val="16"/>
          <w:szCs w:val="16"/>
        </w:rPr>
        <w:t>contratación de paquetes turísticos en alguna agencia residente de viajes.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12108" w14:textId="77777777" w:rsidR="00D647CF" w:rsidRPr="00EC31DB" w:rsidRDefault="00D647CF" w:rsidP="001C656E">
    <w:pPr>
      <w:framePr w:w="6178" w:h="1186" w:hRule="exact" w:hSpace="141" w:vSpace="141" w:wrap="auto" w:vAnchor="page" w:hAnchor="page" w:x="5320" w:y="346"/>
      <w:ind w:right="352"/>
      <w:jc w:val="right"/>
      <w:rPr>
        <w:rFonts w:ascii="Arial" w:hAnsi="Arial" w:cs="Arial"/>
        <w:b/>
        <w:color w:val="002060"/>
      </w:rPr>
    </w:pPr>
  </w:p>
  <w:p w14:paraId="2E8CE781" w14:textId="4928BD7E" w:rsidR="00D647CF" w:rsidRPr="00EC31DB" w:rsidRDefault="00D647CF" w:rsidP="001C656E">
    <w:pPr>
      <w:framePr w:w="6178" w:h="1186" w:hRule="exact" w:hSpace="141" w:vSpace="141" w:wrap="auto" w:vAnchor="page" w:hAnchor="page" w:x="5320" w:y="346"/>
      <w:ind w:right="352"/>
      <w:jc w:val="right"/>
      <w:rPr>
        <w:rFonts w:ascii="Arial" w:eastAsia="Arial" w:hAnsi="Arial" w:cs="Arial"/>
      </w:rPr>
    </w:pPr>
    <w:r w:rsidRPr="00EC31DB">
      <w:rPr>
        <w:rFonts w:ascii="Arial" w:hAnsi="Arial" w:cs="Arial"/>
        <w:b/>
        <w:color w:val="002060"/>
      </w:rPr>
      <w:t>COMUNICADO</w:t>
    </w:r>
    <w:r w:rsidRPr="00EC31DB">
      <w:rPr>
        <w:rFonts w:ascii="Arial" w:hAnsi="Arial" w:cs="Arial"/>
        <w:b/>
        <w:color w:val="002060"/>
        <w:spacing w:val="-11"/>
      </w:rPr>
      <w:t xml:space="preserve"> </w:t>
    </w:r>
    <w:r w:rsidRPr="00EC31DB">
      <w:rPr>
        <w:rFonts w:ascii="Arial" w:hAnsi="Arial" w:cs="Arial"/>
        <w:b/>
        <w:color w:val="002060"/>
      </w:rPr>
      <w:t>DE</w:t>
    </w:r>
    <w:r w:rsidRPr="00EC31DB">
      <w:rPr>
        <w:rFonts w:ascii="Arial" w:hAnsi="Arial" w:cs="Arial"/>
        <w:b/>
        <w:color w:val="002060"/>
        <w:spacing w:val="-11"/>
      </w:rPr>
      <w:t xml:space="preserve"> P</w:t>
    </w:r>
    <w:r w:rsidRPr="00EC31DB">
      <w:rPr>
        <w:rFonts w:ascii="Arial" w:hAnsi="Arial" w:cs="Arial"/>
        <w:b/>
        <w:color w:val="002060"/>
        <w:spacing w:val="-1"/>
      </w:rPr>
      <w:t>RENSA</w:t>
    </w:r>
    <w:r w:rsidRPr="00EC31DB">
      <w:rPr>
        <w:rFonts w:ascii="Arial" w:hAnsi="Arial" w:cs="Arial"/>
        <w:b/>
        <w:color w:val="002060"/>
        <w:spacing w:val="-11"/>
      </w:rPr>
      <w:t xml:space="preserve"> </w:t>
    </w:r>
    <w:r w:rsidRPr="00EC31DB">
      <w:rPr>
        <w:rFonts w:ascii="Arial" w:hAnsi="Arial" w:cs="Arial"/>
        <w:b/>
        <w:color w:val="002060"/>
      </w:rPr>
      <w:t>NÚM</w:t>
    </w:r>
    <w:r w:rsidRPr="00B4132B">
      <w:rPr>
        <w:rFonts w:ascii="Arial" w:hAnsi="Arial" w:cs="Arial"/>
        <w:b/>
        <w:color w:val="002060"/>
      </w:rPr>
      <w:t>. 78</w:t>
    </w:r>
    <w:r w:rsidR="005F1AD4">
      <w:rPr>
        <w:rFonts w:ascii="Arial" w:hAnsi="Arial" w:cs="Arial"/>
        <w:b/>
        <w:color w:val="002060"/>
      </w:rPr>
      <w:t>5</w:t>
    </w:r>
    <w:r w:rsidRPr="00EC31DB">
      <w:rPr>
        <w:rFonts w:ascii="Arial" w:hAnsi="Arial" w:cs="Arial"/>
        <w:b/>
        <w:color w:val="002060"/>
      </w:rPr>
      <w:t>/2</w:t>
    </w:r>
    <w:r>
      <w:rPr>
        <w:rFonts w:ascii="Arial" w:hAnsi="Arial" w:cs="Arial"/>
        <w:b/>
        <w:color w:val="002060"/>
      </w:rPr>
      <w:t>2</w:t>
    </w:r>
  </w:p>
  <w:p w14:paraId="6E9A1128" w14:textId="16CAAEC3" w:rsidR="00D647CF" w:rsidRPr="00EC31DB" w:rsidRDefault="00D647CF" w:rsidP="001C656E">
    <w:pPr>
      <w:framePr w:w="6178" w:h="1186" w:hRule="exact" w:hSpace="141" w:vSpace="141" w:wrap="auto" w:vAnchor="page" w:hAnchor="page" w:x="5320" w:y="346"/>
      <w:ind w:right="352"/>
      <w:jc w:val="right"/>
      <w:rPr>
        <w:rFonts w:ascii="Arial" w:eastAsia="Arial" w:hAnsi="Arial" w:cs="Arial"/>
      </w:rPr>
    </w:pPr>
    <w:r>
      <w:rPr>
        <w:rFonts w:ascii="Arial" w:hAnsi="Arial" w:cs="Arial"/>
        <w:b/>
        <w:color w:val="002060"/>
      </w:rPr>
      <w:t>15</w:t>
    </w:r>
    <w:r w:rsidRPr="00EC31DB">
      <w:rPr>
        <w:rFonts w:ascii="Arial" w:hAnsi="Arial" w:cs="Arial"/>
        <w:b/>
        <w:color w:val="002060"/>
      </w:rPr>
      <w:t xml:space="preserve"> DE </w:t>
    </w:r>
    <w:r>
      <w:rPr>
        <w:rFonts w:ascii="Arial" w:hAnsi="Arial" w:cs="Arial"/>
        <w:b/>
        <w:color w:val="002060"/>
      </w:rPr>
      <w:t>DICIEMBRE</w:t>
    </w:r>
    <w:r w:rsidRPr="00EC31DB">
      <w:rPr>
        <w:rFonts w:ascii="Arial" w:hAnsi="Arial" w:cs="Arial"/>
        <w:b/>
        <w:color w:val="002060"/>
        <w:spacing w:val="-6"/>
      </w:rPr>
      <w:t xml:space="preserve"> </w:t>
    </w:r>
    <w:r w:rsidRPr="00EC31DB">
      <w:rPr>
        <w:rFonts w:ascii="Arial" w:hAnsi="Arial" w:cs="Arial"/>
        <w:b/>
        <w:color w:val="002060"/>
      </w:rPr>
      <w:t>DE</w:t>
    </w:r>
    <w:r w:rsidRPr="00EC31DB">
      <w:rPr>
        <w:rFonts w:ascii="Arial" w:hAnsi="Arial" w:cs="Arial"/>
        <w:b/>
        <w:color w:val="002060"/>
        <w:spacing w:val="-5"/>
      </w:rPr>
      <w:t xml:space="preserve"> </w:t>
    </w:r>
    <w:r w:rsidRPr="00EC31DB">
      <w:rPr>
        <w:rFonts w:ascii="Arial" w:hAnsi="Arial" w:cs="Arial"/>
        <w:b/>
        <w:color w:val="002060"/>
      </w:rPr>
      <w:t>202</w:t>
    </w:r>
    <w:r>
      <w:rPr>
        <w:rFonts w:ascii="Arial" w:hAnsi="Arial" w:cs="Arial"/>
        <w:b/>
        <w:color w:val="002060"/>
      </w:rPr>
      <w:t>2</w:t>
    </w:r>
  </w:p>
  <w:p w14:paraId="27912ECF" w14:textId="00F67CE7" w:rsidR="00D647CF" w:rsidRPr="00EC31DB" w:rsidRDefault="00D647CF" w:rsidP="001C656E">
    <w:pPr>
      <w:framePr w:w="6178" w:h="1186" w:hRule="exact" w:hSpace="141" w:vSpace="141" w:wrap="auto" w:vAnchor="page" w:hAnchor="page" w:x="5320" w:y="346"/>
      <w:ind w:right="352"/>
      <w:jc w:val="right"/>
      <w:rPr>
        <w:rFonts w:ascii="Arial" w:eastAsia="Arial" w:hAnsi="Arial" w:cs="Arial"/>
      </w:rPr>
    </w:pPr>
    <w:r w:rsidRPr="00EC31DB">
      <w:rPr>
        <w:rFonts w:ascii="Arial" w:hAnsi="Arial" w:cs="Arial"/>
        <w:b/>
        <w:color w:val="002060"/>
      </w:rPr>
      <w:t>PÁGINA</w:t>
    </w:r>
    <w:r w:rsidRPr="00EC31DB">
      <w:rPr>
        <w:rFonts w:ascii="Arial" w:hAnsi="Arial" w:cs="Arial"/>
        <w:b/>
        <w:color w:val="002060"/>
        <w:spacing w:val="-13"/>
      </w:rPr>
      <w:t xml:space="preserve"> </w:t>
    </w:r>
    <w:r w:rsidRPr="00EC31DB">
      <w:rPr>
        <w:rFonts w:ascii="Arial" w:hAnsi="Arial" w:cs="Arial"/>
      </w:rPr>
      <w:fldChar w:fldCharType="begin"/>
    </w:r>
    <w:r w:rsidRPr="00EC31DB">
      <w:rPr>
        <w:rFonts w:ascii="Arial" w:hAnsi="Arial" w:cs="Arial"/>
        <w:b/>
        <w:color w:val="002060"/>
      </w:rPr>
      <w:instrText xml:space="preserve"> PAGE </w:instrText>
    </w:r>
    <w:r w:rsidRPr="00EC31DB">
      <w:rPr>
        <w:rFonts w:ascii="Arial" w:hAnsi="Arial" w:cs="Arial"/>
      </w:rPr>
      <w:fldChar w:fldCharType="separate"/>
    </w:r>
    <w:r w:rsidRPr="00EC31DB">
      <w:rPr>
        <w:rFonts w:ascii="Arial" w:hAnsi="Arial" w:cs="Arial"/>
      </w:rPr>
      <w:t>1</w:t>
    </w:r>
    <w:r w:rsidRPr="00EC31DB">
      <w:rPr>
        <w:rFonts w:ascii="Arial" w:hAnsi="Arial" w:cs="Arial"/>
      </w:rPr>
      <w:fldChar w:fldCharType="end"/>
    </w:r>
    <w:r w:rsidRPr="00EC31DB">
      <w:rPr>
        <w:rFonts w:ascii="Arial" w:hAnsi="Arial" w:cs="Arial"/>
        <w:b/>
        <w:color w:val="002060"/>
      </w:rPr>
      <w:t>/</w:t>
    </w:r>
    <w:r>
      <w:rPr>
        <w:rFonts w:ascii="Arial" w:hAnsi="Arial" w:cs="Arial"/>
        <w:b/>
        <w:color w:val="002060"/>
      </w:rPr>
      <w:t>6</w:t>
    </w:r>
  </w:p>
  <w:p w14:paraId="07BD77AC" w14:textId="77777777" w:rsidR="00D647CF" w:rsidRPr="00A36C24" w:rsidRDefault="00D647CF" w:rsidP="001C656E">
    <w:pPr>
      <w:framePr w:w="6178" w:h="1186" w:hRule="exact" w:hSpace="141" w:vSpace="141" w:wrap="auto" w:vAnchor="page" w:hAnchor="page" w:x="5320" w:y="346"/>
      <w:tabs>
        <w:tab w:val="left" w:pos="6447"/>
      </w:tabs>
      <w:spacing w:line="265" w:lineRule="exact"/>
      <w:ind w:right="353"/>
      <w:rPr>
        <w:rFonts w:eastAsia="Arial" w:cs="Arial"/>
      </w:rPr>
    </w:pPr>
    <w:r w:rsidRPr="00A36C24">
      <w:rPr>
        <w:rFonts w:eastAsia="Arial" w:cs="Arial"/>
      </w:rPr>
      <w:tab/>
    </w:r>
  </w:p>
  <w:p w14:paraId="0AA4A501" w14:textId="77777777" w:rsidR="00D647CF" w:rsidRDefault="00D647CF" w:rsidP="00552993">
    <w:pPr>
      <w:pStyle w:val="Encabezado"/>
      <w:rPr>
        <w:noProof/>
      </w:rPr>
    </w:pPr>
    <w:r>
      <w:rPr>
        <w:noProof/>
      </w:rPr>
      <w:drawing>
        <wp:inline distT="0" distB="0" distL="0" distR="0" wp14:anchorId="64DA79AC" wp14:editId="126B6970">
          <wp:extent cx="733425" cy="761788"/>
          <wp:effectExtent l="0" t="0" r="0" b="63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68" cy="771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ACE95" w14:textId="77777777" w:rsidR="00D647CF" w:rsidRDefault="00D647CF" w:rsidP="001C656E">
    <w:pPr>
      <w:pStyle w:val="Encabezado"/>
      <w:tabs>
        <w:tab w:val="clear" w:pos="4419"/>
        <w:tab w:val="clear" w:pos="8838"/>
      </w:tabs>
      <w:rPr>
        <w:b/>
        <w:color w:val="000000"/>
        <w:spacing w:val="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0721" w14:textId="5265F651" w:rsidR="00D647CF" w:rsidRDefault="00D647CF" w:rsidP="0056709B">
    <w:pPr>
      <w:pStyle w:val="Encabezado"/>
      <w:jc w:val="center"/>
    </w:pPr>
    <w:r w:rsidRPr="008309F1">
      <w:rPr>
        <w:noProof/>
      </w:rPr>
      <w:drawing>
        <wp:inline distT="0" distB="0" distL="0" distR="0" wp14:anchorId="31E8F23C" wp14:editId="50A1AB9B">
          <wp:extent cx="742950" cy="769466"/>
          <wp:effectExtent l="0" t="0" r="0" b="0"/>
          <wp:docPr id="20" name="Imagen 2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" cy="77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937E2" w14:textId="77777777" w:rsidR="00D647CF" w:rsidRDefault="00D647CF" w:rsidP="0056709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1444C"/>
    <w:multiLevelType w:val="hybridMultilevel"/>
    <w:tmpl w:val="BB52B8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B"/>
    <w:rsid w:val="00056FE9"/>
    <w:rsid w:val="00070DB4"/>
    <w:rsid w:val="000C0300"/>
    <w:rsid w:val="000C6B34"/>
    <w:rsid w:val="000E34C3"/>
    <w:rsid w:val="001121F4"/>
    <w:rsid w:val="0013703D"/>
    <w:rsid w:val="001C656E"/>
    <w:rsid w:val="00216152"/>
    <w:rsid w:val="002A6319"/>
    <w:rsid w:val="002C6288"/>
    <w:rsid w:val="00336D72"/>
    <w:rsid w:val="00346158"/>
    <w:rsid w:val="003A2D5A"/>
    <w:rsid w:val="00402658"/>
    <w:rsid w:val="004663AA"/>
    <w:rsid w:val="00466FA7"/>
    <w:rsid w:val="004967C2"/>
    <w:rsid w:val="004E51EA"/>
    <w:rsid w:val="00511B02"/>
    <w:rsid w:val="00511D2F"/>
    <w:rsid w:val="0054471F"/>
    <w:rsid w:val="00552993"/>
    <w:rsid w:val="0056709B"/>
    <w:rsid w:val="0057034C"/>
    <w:rsid w:val="005A33C6"/>
    <w:rsid w:val="005B6E40"/>
    <w:rsid w:val="005E025D"/>
    <w:rsid w:val="005F1AD4"/>
    <w:rsid w:val="00617FFB"/>
    <w:rsid w:val="0063740A"/>
    <w:rsid w:val="00662684"/>
    <w:rsid w:val="006A0F9B"/>
    <w:rsid w:val="00705B56"/>
    <w:rsid w:val="007327A2"/>
    <w:rsid w:val="00801F20"/>
    <w:rsid w:val="00837905"/>
    <w:rsid w:val="00867993"/>
    <w:rsid w:val="00873361"/>
    <w:rsid w:val="008B215A"/>
    <w:rsid w:val="0095223B"/>
    <w:rsid w:val="00955520"/>
    <w:rsid w:val="00971AAD"/>
    <w:rsid w:val="00991D5B"/>
    <w:rsid w:val="00995137"/>
    <w:rsid w:val="009D0DB6"/>
    <w:rsid w:val="009D33B0"/>
    <w:rsid w:val="009D5B6D"/>
    <w:rsid w:val="009E6FD8"/>
    <w:rsid w:val="00A5130D"/>
    <w:rsid w:val="00A65147"/>
    <w:rsid w:val="00A85E1A"/>
    <w:rsid w:val="00AA71D4"/>
    <w:rsid w:val="00AD6778"/>
    <w:rsid w:val="00AF3DBD"/>
    <w:rsid w:val="00B06DEA"/>
    <w:rsid w:val="00B31268"/>
    <w:rsid w:val="00B3731B"/>
    <w:rsid w:val="00B4132B"/>
    <w:rsid w:val="00B8085D"/>
    <w:rsid w:val="00BE0B40"/>
    <w:rsid w:val="00C3371B"/>
    <w:rsid w:val="00C516C9"/>
    <w:rsid w:val="00C57D32"/>
    <w:rsid w:val="00C7492B"/>
    <w:rsid w:val="00C77115"/>
    <w:rsid w:val="00C94791"/>
    <w:rsid w:val="00CB4DC0"/>
    <w:rsid w:val="00D05C2A"/>
    <w:rsid w:val="00D647CF"/>
    <w:rsid w:val="00D662F3"/>
    <w:rsid w:val="00DB6BE8"/>
    <w:rsid w:val="00DC494F"/>
    <w:rsid w:val="00DE171A"/>
    <w:rsid w:val="00E0049D"/>
    <w:rsid w:val="00E05E9F"/>
    <w:rsid w:val="00EB221C"/>
    <w:rsid w:val="00EF3A9D"/>
    <w:rsid w:val="00FB41DD"/>
    <w:rsid w:val="00FD4DDA"/>
    <w:rsid w:val="00FE676D"/>
    <w:rsid w:val="00FF349A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4FB0"/>
  <w15:chartTrackingRefBased/>
  <w15:docId w15:val="{7D8F1D1F-3651-432C-8DCF-A5FEB6E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D5B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styleId="Ttulo2">
    <w:name w:val="heading 2"/>
    <w:basedOn w:val="Normal"/>
    <w:next w:val="Normal"/>
    <w:link w:val="Ttulo2Car"/>
    <w:qFormat/>
    <w:rsid w:val="0056709B"/>
    <w:pPr>
      <w:keepNext/>
      <w:spacing w:before="240"/>
      <w:jc w:val="both"/>
      <w:outlineLvl w:val="1"/>
    </w:pPr>
    <w:rPr>
      <w:rFonts w:ascii="MS Sans Serif" w:hAnsi="MS Sans Serif" w:cs="MS Sans Serif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70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6709B"/>
  </w:style>
  <w:style w:type="paragraph" w:styleId="Piedepgina">
    <w:name w:val="footer"/>
    <w:basedOn w:val="Normal"/>
    <w:link w:val="PiedepginaCar"/>
    <w:uiPriority w:val="99"/>
    <w:unhideWhenUsed/>
    <w:rsid w:val="005670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09B"/>
  </w:style>
  <w:style w:type="paragraph" w:styleId="Textonotapie">
    <w:name w:val="footnote text"/>
    <w:basedOn w:val="Normal"/>
    <w:link w:val="TextonotapieCar"/>
    <w:rsid w:val="005670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6709B"/>
    <w:rPr>
      <w:rFonts w:ascii="Univers (W1)" w:eastAsia="Univers (W1)" w:hAnsi="Univers (W1)" w:cs="Univers (W1)"/>
      <w:sz w:val="20"/>
      <w:szCs w:val="20"/>
      <w:lang w:eastAsia="es-MX"/>
    </w:rPr>
  </w:style>
  <w:style w:type="character" w:styleId="Refdenotaalpie">
    <w:name w:val="footnote reference"/>
    <w:rsid w:val="0056709B"/>
    <w:rPr>
      <w:vertAlign w:val="superscript"/>
    </w:rPr>
  </w:style>
  <w:style w:type="paragraph" w:styleId="Textoindependiente">
    <w:name w:val="Body Text"/>
    <w:basedOn w:val="Normal"/>
    <w:link w:val="TextoindependienteCar"/>
    <w:rsid w:val="0056709B"/>
    <w:pPr>
      <w:jc w:val="both"/>
    </w:pPr>
    <w:rPr>
      <w:rFonts w:ascii="MS Sans Serif" w:hAnsi="MS Sans Serif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56709B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Textodebloque1">
    <w:name w:val="Texto de bloque1"/>
    <w:basedOn w:val="Normal"/>
    <w:rsid w:val="0056709B"/>
    <w:pPr>
      <w:spacing w:before="240"/>
      <w:ind w:left="1843" w:right="1361" w:hanging="273"/>
      <w:jc w:val="both"/>
    </w:pPr>
    <w:rPr>
      <w:rFonts w:ascii="MS Sans Serif" w:hAnsi="MS Sans Serif"/>
      <w:b/>
      <w:sz w:val="22"/>
      <w:szCs w:val="20"/>
      <w:lang w:val="es-ES_tradnl" w:eastAsia="es-ES"/>
    </w:rPr>
  </w:style>
  <w:style w:type="character" w:styleId="Hipervnculo">
    <w:name w:val="Hyperlink"/>
    <w:rsid w:val="0056709B"/>
    <w:rPr>
      <w:color w:val="0000FF"/>
      <w:u w:val="single"/>
    </w:rPr>
  </w:style>
  <w:style w:type="paragraph" w:styleId="NormalWeb">
    <w:name w:val="Normal (Web)"/>
    <w:basedOn w:val="Normal"/>
    <w:uiPriority w:val="99"/>
    <w:rsid w:val="0056709B"/>
    <w:pPr>
      <w:spacing w:before="100" w:beforeAutospacing="1" w:after="100" w:afterAutospacing="1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6709B"/>
    <w:pPr>
      <w:spacing w:before="12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567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56709B"/>
    <w:rPr>
      <w:rFonts w:ascii="MS Sans Serif" w:eastAsia="Univers (W1)" w:hAnsi="MS Sans Serif" w:cs="MS Sans Serif"/>
      <w:b/>
      <w:i/>
      <w:sz w:val="24"/>
      <w:szCs w:val="24"/>
      <w:lang w:eastAsia="es-MX"/>
    </w:rPr>
  </w:style>
  <w:style w:type="paragraph" w:customStyle="1" w:styleId="Profesin">
    <w:name w:val="Profesión"/>
    <w:basedOn w:val="Normal"/>
    <w:rsid w:val="0056709B"/>
    <w:pPr>
      <w:jc w:val="center"/>
    </w:pPr>
    <w:rPr>
      <w:rFonts w:ascii="MS Sans Serif" w:hAnsi="MS Sans Serif"/>
      <w:b/>
      <w:caps/>
      <w:sz w:val="28"/>
      <w:szCs w:val="20"/>
      <w:lang w:val="es-ES_tradnl" w:eastAsia="es-ES"/>
    </w:rPr>
  </w:style>
  <w:style w:type="paragraph" w:customStyle="1" w:styleId="n01">
    <w:name w:val="n01"/>
    <w:basedOn w:val="Normal"/>
    <w:rsid w:val="0056709B"/>
    <w:pPr>
      <w:keepLines/>
      <w:spacing w:before="240"/>
      <w:ind w:left="720" w:hanging="720"/>
      <w:jc w:val="both"/>
    </w:pPr>
    <w:rPr>
      <w:rFonts w:ascii="MT Extra" w:hAnsi="MT Extra"/>
      <w:color w:val="80008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47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471F"/>
    <w:rPr>
      <w:rFonts w:ascii="Univers (W1)" w:eastAsia="Univers (W1)" w:hAnsi="Univers (W1)" w:cs="Univers (W1)"/>
      <w:sz w:val="20"/>
      <w:szCs w:val="20"/>
      <w:lang w:eastAsia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54471F"/>
    <w:rPr>
      <w:vertAlign w:val="superscript"/>
    </w:rPr>
  </w:style>
  <w:style w:type="paragraph" w:styleId="Revisin">
    <w:name w:val="Revision"/>
    <w:hidden/>
    <w:uiPriority w:val="99"/>
    <w:semiHidden/>
    <w:rsid w:val="0057034C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B6E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E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E40"/>
    <w:rPr>
      <w:rFonts w:ascii="Univers (W1)" w:eastAsia="Univers (W1)" w:hAnsi="Univers (W1)" w:cs="Univers (W1)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E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E40"/>
    <w:rPr>
      <w:rFonts w:ascii="Univers (W1)" w:eastAsia="Univers (W1)" w:hAnsi="Univers (W1)" w:cs="Univers (W1)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10" Type="http://schemas.openxmlformats.org/officeDocument/2006/relationships/hyperlink" Target="https://www.inegi.org.mx/programas/turismo/2013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inegi.org.mx/temas/turismosat/" TargetMode="Externa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3174730285594329E-2"/>
          <c:y val="2.0397512949334614E-2"/>
          <c:w val="0.98081483266794434"/>
          <c:h val="0.87231643897718458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'%PIBT'!$A$2</c:f>
              <c:strCache>
                <c:ptCount val="1"/>
                <c:pt idx="0">
                  <c:v>PIBT (CSTM 2021)</c:v>
                </c:pt>
              </c:strCache>
            </c:strRef>
          </c:tx>
          <c:spPr>
            <a:solidFill>
              <a:srgbClr val="002060"/>
            </a:solidFill>
            <a:ln w="76200">
              <a:noFill/>
            </a:ln>
            <a:effectLst/>
            <a:scene3d>
              <a:camera prst="orthographicFront"/>
              <a:lightRig rig="freezing" dir="t">
                <a:rot lat="0" lon="0" rev="8400000"/>
              </a:lightRig>
            </a:scene3d>
            <a:sp3d prstMaterial="flat">
              <a:bevelT w="0" h="196850" prst="riblet"/>
              <a:bevelB w="184150" h="50800" prst="softRound"/>
            </a:sp3d>
          </c:spPr>
          <c:invertIfNegative val="0"/>
          <c:dPt>
            <c:idx val="6"/>
            <c:invertIfNegative val="0"/>
            <c:bubble3D val="0"/>
            <c:spPr>
              <a:solidFill>
                <a:srgbClr val="002060"/>
              </a:solidFill>
              <a:ln w="76200">
                <a:noFill/>
              </a:ln>
              <a:effectLst/>
              <a:scene3d>
                <a:camera prst="orthographicFront"/>
                <a:lightRig rig="freezing" dir="t">
                  <a:rot lat="0" lon="0" rev="8400000"/>
                </a:lightRig>
              </a:scene3d>
              <a:sp3d prstMaterial="flat">
                <a:bevelT w="0" h="196850" prst="riblet"/>
                <a:bevelB w="184150" h="50800" prst="softRound"/>
              </a:sp3d>
            </c:spPr>
            <c:extLst>
              <c:ext xmlns:c16="http://schemas.microsoft.com/office/drawing/2014/chart" uri="{C3380CC4-5D6E-409C-BE32-E72D297353CC}">
                <c16:uniqueId val="{00000001-09A4-444B-AF88-F7D3DC69ED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'%PIBT'!$B$1:$O$1</c:f>
              <c:strCache>
                <c:ptCount val="1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2020P</c:v>
                </c:pt>
                <c:pt idx="13">
                  <c:v>2021P</c:v>
                </c:pt>
              </c:strCache>
            </c:strRef>
          </c:cat>
          <c:val>
            <c:numRef>
              <c:f>'%PIBT'!$B$2:$O$2</c:f>
              <c:numCache>
                <c:formatCode>0.0</c:formatCode>
                <c:ptCount val="14"/>
                <c:pt idx="0">
                  <c:v>8.3000000000000007</c:v>
                </c:pt>
                <c:pt idx="1">
                  <c:v>8.5</c:v>
                </c:pt>
                <c:pt idx="2">
                  <c:v>8.4</c:v>
                </c:pt>
                <c:pt idx="3">
                  <c:v>8.1999999999999993</c:v>
                </c:pt>
                <c:pt idx="4">
                  <c:v>8.1999999999999993</c:v>
                </c:pt>
                <c:pt idx="5">
                  <c:v>8.5</c:v>
                </c:pt>
                <c:pt idx="6">
                  <c:v>8.5</c:v>
                </c:pt>
                <c:pt idx="7">
                  <c:v>8.6999999999999993</c:v>
                </c:pt>
                <c:pt idx="8">
                  <c:v>8.6</c:v>
                </c:pt>
                <c:pt idx="9">
                  <c:v>8.5</c:v>
                </c:pt>
                <c:pt idx="10">
                  <c:v>8.4</c:v>
                </c:pt>
                <c:pt idx="11">
                  <c:v>8.6</c:v>
                </c:pt>
                <c:pt idx="12">
                  <c:v>6.8</c:v>
                </c:pt>
                <c:pt idx="13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A4-444B-AF88-F7D3DC69E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axId val="466856304"/>
        <c:axId val="466856720"/>
      </c:barChart>
      <c:catAx>
        <c:axId val="46685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6856720"/>
        <c:crosses val="autoZero"/>
        <c:auto val="1"/>
        <c:lblAlgn val="ctr"/>
        <c:lblOffset val="100"/>
        <c:noMultiLvlLbl val="0"/>
      </c:catAx>
      <c:valAx>
        <c:axId val="46685672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685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rgbClr val="002060"/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Título texto">
    <a:dk1>
      <a:srgbClr val="000000"/>
    </a:dk1>
    <a:lt1>
      <a:srgbClr val="FFFFFF"/>
    </a:lt1>
    <a:dk2>
      <a:srgbClr val="A7A7A7"/>
    </a:dk2>
    <a:lt2>
      <a:srgbClr val="535353"/>
    </a:lt2>
    <a:accent1>
      <a:srgbClr val="00A2FF"/>
    </a:accent1>
    <a:accent2>
      <a:srgbClr val="16E7CF"/>
    </a:accent2>
    <a:accent3>
      <a:srgbClr val="61D836"/>
    </a:accent3>
    <a:accent4>
      <a:srgbClr val="FAE232"/>
    </a:accent4>
    <a:accent5>
      <a:srgbClr val="FF644E"/>
    </a:accent5>
    <a:accent6>
      <a:srgbClr val="EF5FA7"/>
    </a:accent6>
    <a:hlink>
      <a:srgbClr val="0000FF"/>
    </a:hlink>
    <a:folHlink>
      <a:srgbClr val="FF00FF"/>
    </a:folHlink>
  </a:clrScheme>
  <a:fontScheme name="Título texto">
    <a:majorFont>
      <a:latin typeface="Helvetica Neue"/>
      <a:ea typeface="Helvetica Neue"/>
      <a:cs typeface="Helvetica Neue"/>
    </a:majorFont>
    <a:minorFont>
      <a:latin typeface="Helvetica"/>
      <a:ea typeface="Helvetica"/>
      <a:cs typeface="Helvetica"/>
    </a:minorFont>
  </a:fontScheme>
  <a:fmtScheme name="Título text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/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888A-A69D-4287-AAED-9FD90D0B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1962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Cuenta Satélite del Turismo de México 2021</vt:lpstr>
    </vt:vector>
  </TitlesOfParts>
  <Manager>INEGI</Manager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Cuenta Satélite del Turismo de México 2021</dc:title>
  <dc:subject/>
  <dc:creator>INEGI</dc:creator>
  <cp:keywords/>
  <dc:description/>
  <cp:lastModifiedBy>GUILLEN MEDINA MOISES</cp:lastModifiedBy>
  <cp:revision>6</cp:revision>
  <dcterms:created xsi:type="dcterms:W3CDTF">2022-12-14T18:01:00Z</dcterms:created>
  <dcterms:modified xsi:type="dcterms:W3CDTF">2022-12-14T21:44:00Z</dcterms:modified>
</cp:coreProperties>
</file>