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4FEE2" w14:textId="77777777" w:rsidR="00857214" w:rsidRDefault="00857214" w:rsidP="00A07F9A">
      <w:pPr>
        <w:pStyle w:val="p0"/>
        <w:spacing w:before="0"/>
        <w:ind w:left="709" w:right="425" w:hanging="709"/>
        <w:jc w:val="center"/>
        <w:rPr>
          <w:rFonts w:cs="Arial"/>
          <w:b/>
          <w:bCs/>
          <w:color w:val="auto"/>
          <w:szCs w:val="24"/>
          <w:lang w:val="es-MX"/>
        </w:rPr>
      </w:pPr>
    </w:p>
    <w:p w14:paraId="3112D435" w14:textId="371DFEC4" w:rsidR="009C09BE" w:rsidRDefault="009C09BE" w:rsidP="009C09BE">
      <w:pPr>
        <w:pStyle w:val="p0"/>
        <w:spacing w:before="0"/>
        <w:ind w:left="-567" w:right="425"/>
        <w:jc w:val="center"/>
        <w:rPr>
          <w:rFonts w:cs="Arial"/>
          <w:b/>
          <w:bCs/>
          <w:color w:val="auto"/>
          <w:szCs w:val="24"/>
          <w:lang w:val="es-MX"/>
        </w:rPr>
      </w:pPr>
      <w:bookmarkStart w:id="0" w:name="_GoBack"/>
      <w:bookmarkEnd w:id="0"/>
      <w:r w:rsidRPr="00DA3FF3">
        <w:rPr>
          <w:rFonts w:cs="Arial"/>
          <w:b/>
          <w:bCs/>
          <w:color w:val="auto"/>
          <w:szCs w:val="24"/>
          <w:lang w:val="es-MX"/>
        </w:rPr>
        <w:t>DATOS</w:t>
      </w:r>
      <w:r w:rsidRPr="00DA3FF3">
        <w:rPr>
          <w:rFonts w:cs="Arial"/>
          <w:b/>
          <w:bCs/>
          <w:color w:val="000000"/>
          <w:szCs w:val="24"/>
          <w:lang w:val="es-MX"/>
        </w:rPr>
        <w:t xml:space="preserve"> </w:t>
      </w:r>
      <w:r>
        <w:rPr>
          <w:rFonts w:cs="Arial"/>
          <w:b/>
          <w:bCs/>
          <w:color w:val="000000"/>
          <w:szCs w:val="24"/>
          <w:lang w:val="es-MX"/>
        </w:rPr>
        <w:t xml:space="preserve">PRELIMINARES </w:t>
      </w:r>
      <w:r w:rsidRPr="00DA3FF3">
        <w:rPr>
          <w:rFonts w:cs="Arial"/>
          <w:b/>
          <w:bCs/>
          <w:color w:val="auto"/>
          <w:szCs w:val="24"/>
          <w:lang w:val="es-MX"/>
        </w:rPr>
        <w:t>REVELAN QUE EN 20</w:t>
      </w:r>
      <w:r>
        <w:rPr>
          <w:rFonts w:cs="Arial"/>
          <w:b/>
          <w:bCs/>
          <w:color w:val="auto"/>
          <w:szCs w:val="24"/>
          <w:lang w:val="es-MX"/>
        </w:rPr>
        <w:t>21</w:t>
      </w:r>
      <w:r w:rsidRPr="00DA3FF3">
        <w:rPr>
          <w:rFonts w:cs="Arial"/>
          <w:b/>
          <w:bCs/>
          <w:color w:val="auto"/>
          <w:szCs w:val="24"/>
          <w:lang w:val="es-MX"/>
        </w:rPr>
        <w:t xml:space="preserve"> SE REGISTRARON</w:t>
      </w:r>
      <w:r w:rsidRPr="00DA3FF3">
        <w:rPr>
          <w:rFonts w:cs="Arial"/>
          <w:b/>
          <w:bCs/>
          <w:color w:val="auto"/>
          <w:szCs w:val="24"/>
          <w:lang w:val="es-MX"/>
        </w:rPr>
        <w:br/>
        <w:t xml:space="preserve"> </w:t>
      </w:r>
      <w:r>
        <w:rPr>
          <w:rFonts w:cs="Arial"/>
          <w:b/>
          <w:bCs/>
          <w:color w:val="auto"/>
          <w:szCs w:val="24"/>
          <w:lang w:val="es-MX"/>
        </w:rPr>
        <w:t>35 625</w:t>
      </w:r>
      <w:r w:rsidRPr="00DA3FF3">
        <w:rPr>
          <w:b/>
          <w:bCs/>
          <w:color w:val="auto"/>
          <w:szCs w:val="24"/>
          <w:lang w:val="es-MX"/>
        </w:rPr>
        <w:t xml:space="preserve"> </w:t>
      </w:r>
      <w:r w:rsidRPr="00DA3FF3">
        <w:rPr>
          <w:rFonts w:cs="Arial"/>
          <w:b/>
          <w:bCs/>
          <w:color w:val="auto"/>
          <w:szCs w:val="24"/>
          <w:lang w:val="es-MX"/>
        </w:rPr>
        <w:t>HOMICIDIOS</w:t>
      </w:r>
    </w:p>
    <w:p w14:paraId="37021672" w14:textId="77777777" w:rsidR="003043CA" w:rsidRDefault="003043CA" w:rsidP="009C09BE">
      <w:pPr>
        <w:pStyle w:val="p0"/>
        <w:spacing w:before="0"/>
        <w:ind w:left="-567" w:right="425"/>
        <w:jc w:val="center"/>
      </w:pPr>
    </w:p>
    <w:p w14:paraId="22464BB6" w14:textId="77777777" w:rsidR="003043CA" w:rsidRDefault="003043CA" w:rsidP="009C09BE">
      <w:pPr>
        <w:pStyle w:val="p0"/>
        <w:spacing w:before="0"/>
        <w:ind w:left="-567" w:right="425"/>
        <w:jc w:val="center"/>
      </w:pPr>
    </w:p>
    <w:p w14:paraId="138C3BEB" w14:textId="63667418" w:rsidR="00B671E4" w:rsidRPr="00D50FEC" w:rsidRDefault="00440F29" w:rsidP="00D50FEC">
      <w:pPr>
        <w:pStyle w:val="p0"/>
        <w:numPr>
          <w:ilvl w:val="0"/>
          <w:numId w:val="3"/>
        </w:numPr>
        <w:spacing w:before="0"/>
        <w:ind w:right="425"/>
        <w:rPr>
          <w:rFonts w:cs="Arial"/>
          <w:color w:val="auto"/>
          <w:szCs w:val="24"/>
          <w:lang w:val="es-MX"/>
        </w:rPr>
      </w:pPr>
      <w:r w:rsidRPr="00D50FEC">
        <w:rPr>
          <w:rFonts w:cs="Arial"/>
          <w:color w:val="auto"/>
          <w:szCs w:val="24"/>
          <w:lang w:val="es-MX"/>
        </w:rPr>
        <w:t>En 2021, se obtuvo</w:t>
      </w:r>
      <w:r w:rsidR="00CD451B" w:rsidRPr="00D50FEC">
        <w:rPr>
          <w:rFonts w:cs="Arial"/>
          <w:color w:val="auto"/>
          <w:szCs w:val="24"/>
          <w:lang w:val="es-MX"/>
        </w:rPr>
        <w:t xml:space="preserve">, </w:t>
      </w:r>
      <w:r w:rsidRPr="00D50FEC">
        <w:rPr>
          <w:rFonts w:cs="Arial"/>
          <w:color w:val="auto"/>
          <w:szCs w:val="24"/>
          <w:lang w:val="es-MX"/>
        </w:rPr>
        <w:t>de manera preliminar</w:t>
      </w:r>
      <w:r w:rsidR="00CD451B" w:rsidRPr="00D50FEC">
        <w:rPr>
          <w:rFonts w:cs="Arial"/>
          <w:color w:val="auto"/>
          <w:szCs w:val="24"/>
          <w:lang w:val="es-MX"/>
        </w:rPr>
        <w:t xml:space="preserve">, </w:t>
      </w:r>
      <w:r w:rsidRPr="00D50FEC">
        <w:rPr>
          <w:rFonts w:cs="Arial"/>
          <w:color w:val="auto"/>
          <w:szCs w:val="24"/>
          <w:lang w:val="es-MX"/>
        </w:rPr>
        <w:t xml:space="preserve">una </w:t>
      </w:r>
      <w:r w:rsidR="00DB47FA" w:rsidRPr="00D50FEC">
        <w:rPr>
          <w:rFonts w:cs="Arial"/>
          <w:color w:val="auto"/>
          <w:szCs w:val="24"/>
          <w:lang w:val="es-MX"/>
        </w:rPr>
        <w:t xml:space="preserve">tasa </w:t>
      </w:r>
      <w:r w:rsidRPr="00D50FEC">
        <w:rPr>
          <w:rFonts w:cs="Arial"/>
          <w:color w:val="auto"/>
          <w:szCs w:val="24"/>
          <w:lang w:val="es-MX"/>
        </w:rPr>
        <w:t>de 28 homicidios por cada</w:t>
      </w:r>
      <w:r w:rsidR="00A73A38" w:rsidRPr="00D50FEC">
        <w:rPr>
          <w:rFonts w:cs="Arial"/>
          <w:color w:val="auto"/>
          <w:szCs w:val="24"/>
          <w:lang w:val="es-MX"/>
        </w:rPr>
        <w:t xml:space="preserve"> </w:t>
      </w:r>
      <w:r w:rsidRPr="00D50FEC">
        <w:rPr>
          <w:rFonts w:cs="Arial"/>
          <w:color w:val="auto"/>
          <w:szCs w:val="24"/>
          <w:lang w:val="es-MX"/>
        </w:rPr>
        <w:t xml:space="preserve">100 000 habitantes a nivel nacional. </w:t>
      </w:r>
    </w:p>
    <w:p w14:paraId="41BCB1B6" w14:textId="1C8DB621" w:rsidR="00440F29" w:rsidRDefault="00440F29" w:rsidP="00E911C1">
      <w:pPr>
        <w:pStyle w:val="p0"/>
        <w:numPr>
          <w:ilvl w:val="0"/>
          <w:numId w:val="3"/>
        </w:numPr>
        <w:spacing w:before="0"/>
        <w:ind w:right="425"/>
        <w:rPr>
          <w:rFonts w:cs="Arial"/>
          <w:color w:val="auto"/>
          <w:szCs w:val="24"/>
          <w:lang w:val="es-MX"/>
        </w:rPr>
      </w:pPr>
      <w:r w:rsidRPr="00EA24EE">
        <w:rPr>
          <w:rFonts w:cs="Arial"/>
          <w:color w:val="auto"/>
          <w:szCs w:val="24"/>
          <w:lang w:val="es-MX"/>
        </w:rPr>
        <w:t xml:space="preserve">La principal causa de los homicidios </w:t>
      </w:r>
      <w:r w:rsidR="00EA24EE" w:rsidRPr="00EA24EE">
        <w:rPr>
          <w:rFonts w:cs="Arial"/>
          <w:color w:val="auto"/>
          <w:szCs w:val="24"/>
          <w:lang w:val="es-MX"/>
        </w:rPr>
        <w:t>durante 2021 fue agresi</w:t>
      </w:r>
      <w:r w:rsidR="00504BEF">
        <w:rPr>
          <w:rFonts w:cs="Arial"/>
          <w:color w:val="auto"/>
          <w:szCs w:val="24"/>
          <w:lang w:val="es-MX"/>
        </w:rPr>
        <w:t>ón</w:t>
      </w:r>
      <w:r w:rsidR="00EA24EE" w:rsidRPr="00EA24EE">
        <w:rPr>
          <w:rFonts w:cs="Arial"/>
          <w:color w:val="auto"/>
          <w:szCs w:val="24"/>
          <w:lang w:val="es-MX"/>
        </w:rPr>
        <w:t xml:space="preserve"> con arma de fuego</w:t>
      </w:r>
      <w:r w:rsidR="00EA24EE">
        <w:rPr>
          <w:rFonts w:cs="Arial"/>
          <w:color w:val="auto"/>
          <w:szCs w:val="24"/>
          <w:lang w:val="es-MX"/>
        </w:rPr>
        <w:t>.</w:t>
      </w:r>
    </w:p>
    <w:p w14:paraId="729D991C" w14:textId="77777777" w:rsidR="00EA24EE" w:rsidRPr="00EA24EE" w:rsidRDefault="00EA24EE" w:rsidP="00EA24EE">
      <w:pPr>
        <w:pStyle w:val="p0"/>
        <w:spacing w:before="0"/>
        <w:ind w:left="153" w:right="425"/>
        <w:rPr>
          <w:rFonts w:cs="Arial"/>
          <w:color w:val="auto"/>
          <w:szCs w:val="24"/>
          <w:lang w:val="es-MX"/>
        </w:rPr>
      </w:pPr>
    </w:p>
    <w:p w14:paraId="3A63C042" w14:textId="77777777" w:rsidR="009C09BE" w:rsidRDefault="009C09BE" w:rsidP="009C09BE">
      <w:pPr>
        <w:pStyle w:val="p0"/>
        <w:spacing w:before="0"/>
        <w:ind w:left="-567" w:right="425"/>
        <w:jc w:val="center"/>
        <w:rPr>
          <w:rFonts w:cs="Arial"/>
          <w:b/>
          <w:bCs/>
          <w:color w:val="auto"/>
          <w:szCs w:val="26"/>
          <w:lang w:val="es-MX"/>
        </w:rPr>
      </w:pPr>
    </w:p>
    <w:p w14:paraId="1FD37700" w14:textId="77777777" w:rsidR="009C09BE" w:rsidRPr="00E1768B" w:rsidRDefault="009C09BE" w:rsidP="003B3305">
      <w:pPr>
        <w:widowControl w:val="0"/>
        <w:autoSpaceDE w:val="0"/>
        <w:autoSpaceDN w:val="0"/>
        <w:adjustRightInd w:val="0"/>
        <w:spacing w:after="0" w:line="240" w:lineRule="auto"/>
        <w:jc w:val="center"/>
        <w:rPr>
          <w:rFonts w:ascii="Arial" w:hAnsi="Arial" w:cs="Arial"/>
          <w:b/>
          <w:smallCaps/>
          <w:sz w:val="24"/>
          <w:szCs w:val="24"/>
          <w:lang w:eastAsia="es-ES"/>
        </w:rPr>
      </w:pPr>
      <w:r w:rsidRPr="00E1768B">
        <w:rPr>
          <w:rFonts w:ascii="Arial" w:hAnsi="Arial" w:cs="Arial"/>
          <w:b/>
          <w:smallCaps/>
          <w:sz w:val="24"/>
          <w:szCs w:val="24"/>
          <w:lang w:eastAsia="es-ES"/>
        </w:rPr>
        <w:t>Información a nivel nacional y por entidad federativa</w:t>
      </w:r>
    </w:p>
    <w:p w14:paraId="0E88F85F" w14:textId="77777777" w:rsidR="00377B9D" w:rsidRPr="00BD7ACC" w:rsidRDefault="00377B9D" w:rsidP="00B2477D">
      <w:pPr>
        <w:pStyle w:val="p0"/>
        <w:tabs>
          <w:tab w:val="left" w:pos="5580"/>
        </w:tabs>
        <w:spacing w:before="0"/>
        <w:ind w:left="-567" w:right="425"/>
        <w:jc w:val="left"/>
        <w:rPr>
          <w:rFonts w:cs="Arial"/>
          <w:b/>
          <w:bCs/>
          <w:color w:val="auto"/>
          <w:szCs w:val="24"/>
          <w:lang w:val="es-MX"/>
        </w:rPr>
      </w:pPr>
    </w:p>
    <w:p w14:paraId="37ACFEEC" w14:textId="177CF397" w:rsidR="00287482" w:rsidRPr="00BD7ACC" w:rsidRDefault="00F750EB" w:rsidP="00BD7ACC">
      <w:pPr>
        <w:pStyle w:val="p0"/>
        <w:tabs>
          <w:tab w:val="left" w:pos="5580"/>
        </w:tabs>
        <w:spacing w:before="0"/>
        <w:ind w:left="-142" w:right="-137"/>
        <w:rPr>
          <w:rFonts w:cs="Arial"/>
          <w:bCs/>
          <w:color w:val="auto"/>
          <w:szCs w:val="24"/>
          <w:lang w:val="es-MX"/>
        </w:rPr>
      </w:pPr>
      <w:r w:rsidRPr="00BD7ACC">
        <w:rPr>
          <w:rFonts w:cs="Arial"/>
          <w:bCs/>
          <w:color w:val="auto"/>
          <w:szCs w:val="24"/>
          <w:lang w:val="es-MX"/>
        </w:rPr>
        <w:t xml:space="preserve">El Instituto Nacional de Estadística y Geografía (INEGI) da a conocer las estadísticas </w:t>
      </w:r>
      <w:r w:rsidRPr="00BD7ACC">
        <w:rPr>
          <w:rFonts w:cs="Arial"/>
          <w:bCs/>
          <w:color w:val="000000"/>
          <w:szCs w:val="24"/>
          <w:lang w:val="es-MX"/>
        </w:rPr>
        <w:t>preliminares</w:t>
      </w:r>
      <w:r w:rsidR="007F2EE3">
        <w:rPr>
          <w:rFonts w:cs="Arial"/>
          <w:bCs/>
          <w:color w:val="000000"/>
          <w:szCs w:val="24"/>
          <w:lang w:val="es-MX"/>
        </w:rPr>
        <w:t>,</w:t>
      </w:r>
      <w:r w:rsidRPr="00BD7ACC">
        <w:rPr>
          <w:rStyle w:val="Refdenotaalpie"/>
          <w:rFonts w:cs="Arial"/>
          <w:bCs/>
          <w:color w:val="000000"/>
          <w:szCs w:val="24"/>
          <w:lang w:val="es-MX"/>
        </w:rPr>
        <w:footnoteReference w:id="1"/>
      </w:r>
      <w:r w:rsidRPr="00BD7ACC">
        <w:rPr>
          <w:rFonts w:cs="Arial"/>
          <w:bCs/>
          <w:color w:val="auto"/>
          <w:szCs w:val="24"/>
          <w:lang w:val="es-MX"/>
        </w:rPr>
        <w:t xml:space="preserve"> a nivel nacional y por entidad federativa, de los homicidios registrados en el país durante 2021.</w:t>
      </w:r>
    </w:p>
    <w:p w14:paraId="02BC763C" w14:textId="666BFEC5" w:rsidR="00F750EB" w:rsidRPr="00BD7ACC" w:rsidRDefault="00842481" w:rsidP="00BD7ACC">
      <w:pPr>
        <w:pStyle w:val="p0"/>
        <w:tabs>
          <w:tab w:val="left" w:pos="6675"/>
        </w:tabs>
        <w:spacing w:before="0"/>
        <w:ind w:left="-142" w:right="-137"/>
        <w:jc w:val="left"/>
        <w:rPr>
          <w:rFonts w:cs="Arial"/>
          <w:b/>
          <w:bCs/>
          <w:color w:val="auto"/>
          <w:szCs w:val="24"/>
          <w:lang w:val="es-MX"/>
        </w:rPr>
      </w:pPr>
      <w:r>
        <w:rPr>
          <w:rFonts w:cs="Arial"/>
          <w:b/>
          <w:bCs/>
          <w:color w:val="auto"/>
          <w:szCs w:val="24"/>
          <w:lang w:val="es-MX"/>
        </w:rPr>
        <w:tab/>
      </w:r>
    </w:p>
    <w:p w14:paraId="5C534EA3" w14:textId="6D9B28D5" w:rsidR="007F2EE3" w:rsidRPr="00B7036E" w:rsidRDefault="0039524F" w:rsidP="007F2EE3">
      <w:pPr>
        <w:pStyle w:val="p0"/>
        <w:spacing w:before="0"/>
        <w:ind w:left="-142" w:right="-137"/>
        <w:rPr>
          <w:rFonts w:cs="Arial"/>
          <w:bCs/>
          <w:color w:val="auto"/>
          <w:szCs w:val="24"/>
          <w:lang w:val="es-MX"/>
        </w:rPr>
      </w:pPr>
      <w:r w:rsidRPr="00BD7ACC">
        <w:rPr>
          <w:rFonts w:cs="Arial"/>
          <w:bCs/>
          <w:color w:val="auto"/>
          <w:szCs w:val="24"/>
          <w:lang w:val="es-MX"/>
        </w:rPr>
        <w:t xml:space="preserve">Las estadísticas revelan que </w:t>
      </w:r>
      <w:r w:rsidR="00B94047" w:rsidRPr="00BD7ACC">
        <w:rPr>
          <w:rFonts w:cs="Arial"/>
          <w:bCs/>
          <w:color w:val="auto"/>
          <w:szCs w:val="24"/>
          <w:lang w:val="es-MX"/>
        </w:rPr>
        <w:t xml:space="preserve">de enero a </w:t>
      </w:r>
      <w:r w:rsidR="0007214A" w:rsidRPr="00BD7ACC">
        <w:rPr>
          <w:rFonts w:cs="Arial"/>
          <w:bCs/>
          <w:color w:val="auto"/>
          <w:szCs w:val="24"/>
          <w:lang w:val="es-MX"/>
        </w:rPr>
        <w:t>diciembre</w:t>
      </w:r>
      <w:r w:rsidRPr="00BD7ACC">
        <w:rPr>
          <w:rFonts w:cs="Arial"/>
          <w:bCs/>
          <w:color w:val="auto"/>
          <w:szCs w:val="24"/>
          <w:lang w:val="es-MX"/>
        </w:rPr>
        <w:t xml:space="preserve"> de 20</w:t>
      </w:r>
      <w:r w:rsidR="0009342E" w:rsidRPr="00BD7ACC">
        <w:rPr>
          <w:rFonts w:cs="Arial"/>
          <w:bCs/>
          <w:color w:val="auto"/>
          <w:szCs w:val="24"/>
          <w:lang w:val="es-MX"/>
        </w:rPr>
        <w:t>2</w:t>
      </w:r>
      <w:r w:rsidR="007450D6" w:rsidRPr="00BD7ACC">
        <w:rPr>
          <w:rFonts w:cs="Arial"/>
          <w:bCs/>
          <w:color w:val="auto"/>
          <w:szCs w:val="24"/>
          <w:lang w:val="es-MX"/>
        </w:rPr>
        <w:t>1</w:t>
      </w:r>
      <w:r w:rsidRPr="00BD7ACC">
        <w:rPr>
          <w:rFonts w:cs="Arial"/>
          <w:bCs/>
          <w:color w:val="auto"/>
          <w:szCs w:val="24"/>
          <w:lang w:val="es-MX"/>
        </w:rPr>
        <w:t xml:space="preserve"> se registraron </w:t>
      </w:r>
      <w:r w:rsidR="0007214A" w:rsidRPr="00BD7ACC">
        <w:rPr>
          <w:rFonts w:cs="Arial"/>
          <w:bCs/>
          <w:color w:val="auto"/>
          <w:szCs w:val="24"/>
          <w:lang w:val="es-MX"/>
        </w:rPr>
        <w:t>35</w:t>
      </w:r>
      <w:r w:rsidR="009C09BE" w:rsidRPr="00BD7ACC">
        <w:rPr>
          <w:rFonts w:cs="Arial"/>
          <w:bCs/>
          <w:color w:val="auto"/>
          <w:szCs w:val="24"/>
          <w:lang w:val="es-MX"/>
        </w:rPr>
        <w:t xml:space="preserve"> </w:t>
      </w:r>
      <w:r w:rsidR="0007214A" w:rsidRPr="00BD7ACC">
        <w:rPr>
          <w:rFonts w:cs="Arial"/>
          <w:bCs/>
          <w:color w:val="auto"/>
          <w:szCs w:val="24"/>
          <w:lang w:val="es-MX"/>
        </w:rPr>
        <w:t>625</w:t>
      </w:r>
      <w:r w:rsidR="009A0E80" w:rsidRPr="00BD7ACC">
        <w:rPr>
          <w:rFonts w:cs="Arial"/>
          <w:bCs/>
          <w:color w:val="auto"/>
          <w:szCs w:val="24"/>
          <w:lang w:val="es-MX"/>
        </w:rPr>
        <w:t xml:space="preserve"> </w:t>
      </w:r>
      <w:r w:rsidRPr="00BD7ACC">
        <w:rPr>
          <w:rFonts w:cs="Arial"/>
          <w:bCs/>
          <w:color w:val="auto"/>
          <w:szCs w:val="24"/>
          <w:lang w:val="es-MX"/>
        </w:rPr>
        <w:t>homicidios en México</w:t>
      </w:r>
      <w:r w:rsidR="007F2EE3">
        <w:rPr>
          <w:rFonts w:cs="Arial"/>
          <w:bCs/>
          <w:color w:val="auto"/>
          <w:szCs w:val="24"/>
          <w:lang w:val="es-MX"/>
        </w:rPr>
        <w:t>; es</w:t>
      </w:r>
      <w:r w:rsidRPr="00BD7ACC">
        <w:rPr>
          <w:rFonts w:cs="Arial"/>
          <w:bCs/>
          <w:color w:val="auto"/>
          <w:szCs w:val="24"/>
          <w:lang w:val="es-MX"/>
        </w:rPr>
        <w:t xml:space="preserve"> </w:t>
      </w:r>
      <w:r w:rsidR="00C334C6" w:rsidRPr="00BD7ACC">
        <w:rPr>
          <w:rFonts w:cs="Arial"/>
          <w:bCs/>
          <w:color w:val="auto"/>
          <w:szCs w:val="24"/>
          <w:lang w:val="es-MX"/>
        </w:rPr>
        <w:t>decir, una razón</w:t>
      </w:r>
      <w:r w:rsidR="00040E58">
        <w:rPr>
          <w:rFonts w:cs="Arial"/>
          <w:bCs/>
          <w:color w:val="auto"/>
          <w:szCs w:val="24"/>
          <w:lang w:val="es-MX"/>
        </w:rPr>
        <w:t xml:space="preserve"> </w:t>
      </w:r>
      <w:r w:rsidR="00040E58" w:rsidRPr="00BD7ACC">
        <w:rPr>
          <w:rFonts w:cs="Arial"/>
          <w:bCs/>
          <w:i/>
          <w:iCs/>
          <w:color w:val="auto"/>
          <w:szCs w:val="24"/>
          <w:lang w:val="es-MX"/>
        </w:rPr>
        <w:t>prelimina</w:t>
      </w:r>
      <w:r w:rsidR="00040E58">
        <w:rPr>
          <w:rFonts w:cs="Arial"/>
          <w:bCs/>
          <w:i/>
          <w:iCs/>
          <w:color w:val="auto"/>
          <w:szCs w:val="24"/>
          <w:lang w:val="es-MX"/>
        </w:rPr>
        <w:t xml:space="preserve">r </w:t>
      </w:r>
      <w:r w:rsidR="00040E58" w:rsidRPr="00BD7ACC">
        <w:rPr>
          <w:rFonts w:cs="Arial"/>
          <w:bCs/>
          <w:color w:val="auto"/>
          <w:szCs w:val="24"/>
          <w:lang w:val="es-MX"/>
        </w:rPr>
        <w:t>d</w:t>
      </w:r>
      <w:r w:rsidR="00C334C6" w:rsidRPr="00BD7ACC">
        <w:rPr>
          <w:rFonts w:cs="Arial"/>
          <w:bCs/>
          <w:color w:val="auto"/>
          <w:szCs w:val="24"/>
          <w:lang w:val="es-MX"/>
        </w:rPr>
        <w:t xml:space="preserve">e </w:t>
      </w:r>
      <w:r w:rsidR="00375E9E" w:rsidRPr="00BD7ACC">
        <w:rPr>
          <w:rFonts w:cs="Arial"/>
          <w:bCs/>
          <w:color w:val="auto"/>
          <w:szCs w:val="24"/>
          <w:lang w:val="es-MX"/>
        </w:rPr>
        <w:t>28</w:t>
      </w:r>
      <w:r w:rsidR="00C334C6" w:rsidRPr="00BD7ACC">
        <w:rPr>
          <w:rFonts w:cs="Arial"/>
          <w:bCs/>
          <w:color w:val="auto"/>
          <w:szCs w:val="24"/>
          <w:lang w:val="es-MX"/>
        </w:rPr>
        <w:t xml:space="preserve"> homicidios por cada 100 </w:t>
      </w:r>
      <w:r w:rsidR="007F2EE3">
        <w:rPr>
          <w:rFonts w:cs="Arial"/>
          <w:bCs/>
          <w:color w:val="auto"/>
          <w:szCs w:val="24"/>
          <w:lang w:val="es-MX"/>
        </w:rPr>
        <w:t>000</w:t>
      </w:r>
      <w:r w:rsidR="00C334C6" w:rsidRPr="00BD7ACC">
        <w:rPr>
          <w:rFonts w:cs="Arial"/>
          <w:bCs/>
          <w:color w:val="auto"/>
          <w:szCs w:val="24"/>
          <w:lang w:val="es-MX"/>
        </w:rPr>
        <w:t xml:space="preserve"> habitantes a nivel nacional</w:t>
      </w:r>
      <w:r w:rsidR="007F2EE3">
        <w:rPr>
          <w:rFonts w:cs="Arial"/>
          <w:bCs/>
          <w:color w:val="auto"/>
          <w:szCs w:val="24"/>
          <w:lang w:val="es-MX"/>
        </w:rPr>
        <w:t xml:space="preserve">. La tasa es </w:t>
      </w:r>
      <w:r w:rsidR="00E01E8D" w:rsidRPr="00BD7ACC">
        <w:rPr>
          <w:rFonts w:cs="Arial"/>
          <w:bCs/>
          <w:color w:val="auto"/>
          <w:szCs w:val="24"/>
          <w:lang w:val="es-MX"/>
        </w:rPr>
        <w:t>menor</w:t>
      </w:r>
      <w:r w:rsidR="00C334C6" w:rsidRPr="00BD7ACC">
        <w:rPr>
          <w:rFonts w:cs="Arial"/>
          <w:bCs/>
          <w:color w:val="auto"/>
          <w:szCs w:val="24"/>
          <w:lang w:val="es-MX"/>
        </w:rPr>
        <w:t xml:space="preserve"> a la registrada </w:t>
      </w:r>
      <w:r w:rsidR="001E0151" w:rsidRPr="00BD7ACC">
        <w:rPr>
          <w:rFonts w:cs="Arial"/>
          <w:bCs/>
          <w:color w:val="auto"/>
          <w:szCs w:val="24"/>
          <w:lang w:val="es-MX"/>
        </w:rPr>
        <w:t>para el mismo periodo</w:t>
      </w:r>
      <w:r w:rsidR="006C3DEE" w:rsidRPr="00BD7ACC">
        <w:rPr>
          <w:rFonts w:cs="Arial"/>
          <w:bCs/>
          <w:color w:val="auto"/>
          <w:szCs w:val="24"/>
          <w:lang w:val="es-MX"/>
        </w:rPr>
        <w:t xml:space="preserve"> de 2020</w:t>
      </w:r>
      <w:r w:rsidR="007F2EE3">
        <w:rPr>
          <w:rFonts w:cs="Arial"/>
          <w:bCs/>
          <w:color w:val="auto"/>
          <w:szCs w:val="24"/>
          <w:lang w:val="es-MX"/>
        </w:rPr>
        <w:t>,</w:t>
      </w:r>
      <w:r w:rsidR="00F01EEE" w:rsidRPr="00BD7ACC">
        <w:rPr>
          <w:rFonts w:cs="Arial"/>
          <w:bCs/>
          <w:color w:val="auto"/>
          <w:szCs w:val="24"/>
          <w:lang w:val="es-MX"/>
        </w:rPr>
        <w:t xml:space="preserve"> que fue de 29</w:t>
      </w:r>
      <w:r w:rsidR="00C334C6" w:rsidRPr="00BD7ACC">
        <w:rPr>
          <w:rFonts w:cs="Arial"/>
          <w:bCs/>
          <w:color w:val="auto"/>
          <w:szCs w:val="24"/>
          <w:lang w:val="es-MX"/>
        </w:rPr>
        <w:t>.</w:t>
      </w:r>
      <w:r w:rsidRPr="00BD7ACC">
        <w:rPr>
          <w:rFonts w:cs="Arial"/>
          <w:bCs/>
          <w:color w:val="auto"/>
          <w:szCs w:val="24"/>
          <w:lang w:val="es-MX"/>
        </w:rPr>
        <w:t xml:space="preserve"> </w:t>
      </w:r>
      <w:r w:rsidR="007F2EE3" w:rsidRPr="00B7036E">
        <w:rPr>
          <w:rFonts w:cs="Arial"/>
          <w:bCs/>
          <w:color w:val="auto"/>
          <w:szCs w:val="24"/>
          <w:lang w:val="es-MX"/>
        </w:rPr>
        <w:t>Con la finalidad de facilitar su comparación con la información de años anteriores, se agrega la serie histórica de la estadística definitiva de presuntos homicidios de 1990 a 2020.</w:t>
      </w:r>
    </w:p>
    <w:p w14:paraId="2F6921C0" w14:textId="77777777" w:rsidR="00E1768B" w:rsidRPr="00BD7ACC" w:rsidRDefault="00E1768B" w:rsidP="00BD7ACC">
      <w:pPr>
        <w:pStyle w:val="p0"/>
        <w:spacing w:before="0"/>
        <w:ind w:right="-137"/>
        <w:rPr>
          <w:rFonts w:cs="Arial"/>
          <w:bCs/>
          <w:color w:val="auto"/>
          <w:szCs w:val="24"/>
          <w:lang w:val="es-MX"/>
        </w:rPr>
      </w:pPr>
    </w:p>
    <w:p w14:paraId="46E8EA9A" w14:textId="5BBB5919" w:rsidR="00B2477D" w:rsidRPr="00BD7ACC" w:rsidRDefault="007F2EE3" w:rsidP="00BD7ACC">
      <w:pPr>
        <w:pStyle w:val="p0"/>
        <w:spacing w:before="0"/>
        <w:ind w:left="-142" w:right="-137"/>
        <w:rPr>
          <w:rFonts w:cs="Arial"/>
          <w:bCs/>
          <w:color w:val="auto"/>
          <w:szCs w:val="24"/>
          <w:lang w:val="es-MX"/>
        </w:rPr>
      </w:pPr>
      <w:r>
        <w:rPr>
          <w:rFonts w:cs="Arial"/>
          <w:bCs/>
          <w:color w:val="auto"/>
          <w:szCs w:val="24"/>
          <w:lang w:val="es-MX"/>
        </w:rPr>
        <w:t xml:space="preserve">Las presentes </w:t>
      </w:r>
      <w:r w:rsidR="00377B9D" w:rsidRPr="00BD7ACC">
        <w:rPr>
          <w:rFonts w:cs="Arial"/>
          <w:bCs/>
          <w:color w:val="auto"/>
          <w:szCs w:val="24"/>
          <w:lang w:val="es-MX"/>
        </w:rPr>
        <w:t>cifras</w:t>
      </w:r>
      <w:r w:rsidR="00700003" w:rsidRPr="00BD7ACC">
        <w:rPr>
          <w:rFonts w:cs="Arial"/>
          <w:bCs/>
          <w:color w:val="auto"/>
          <w:szCs w:val="24"/>
          <w:lang w:val="es-MX"/>
        </w:rPr>
        <w:t xml:space="preserve"> se derivan de las </w:t>
      </w:r>
      <w:r w:rsidR="00DB3297" w:rsidRPr="00BD7ACC">
        <w:rPr>
          <w:rFonts w:cs="Arial"/>
          <w:bCs/>
          <w:color w:val="auto"/>
          <w:szCs w:val="24"/>
          <w:lang w:val="es-MX"/>
        </w:rPr>
        <w:t>E</w:t>
      </w:r>
      <w:r w:rsidR="00700003" w:rsidRPr="00BD7ACC">
        <w:rPr>
          <w:rFonts w:cs="Arial"/>
          <w:bCs/>
          <w:color w:val="auto"/>
          <w:szCs w:val="24"/>
          <w:lang w:val="es-MX"/>
        </w:rPr>
        <w:t xml:space="preserve">stadísticas de </w:t>
      </w:r>
      <w:r w:rsidR="00A817C4" w:rsidRPr="00BD7ACC">
        <w:rPr>
          <w:rFonts w:cs="Arial"/>
          <w:bCs/>
          <w:color w:val="auto"/>
          <w:szCs w:val="24"/>
          <w:lang w:val="es-MX"/>
        </w:rPr>
        <w:t>D</w:t>
      </w:r>
      <w:r w:rsidR="00700003" w:rsidRPr="00BD7ACC">
        <w:rPr>
          <w:rFonts w:cs="Arial"/>
          <w:bCs/>
          <w:color w:val="auto"/>
          <w:szCs w:val="24"/>
          <w:lang w:val="es-MX"/>
        </w:rPr>
        <w:t xml:space="preserve">efunciones </w:t>
      </w:r>
      <w:r w:rsidR="00A817C4" w:rsidRPr="00BD7ACC">
        <w:rPr>
          <w:rFonts w:cs="Arial"/>
          <w:bCs/>
          <w:color w:val="auto"/>
          <w:szCs w:val="24"/>
          <w:lang w:val="es-MX"/>
        </w:rPr>
        <w:t>R</w:t>
      </w:r>
      <w:r w:rsidR="00700003" w:rsidRPr="00BD7ACC">
        <w:rPr>
          <w:rFonts w:cs="Arial"/>
          <w:bCs/>
          <w:color w:val="auto"/>
          <w:szCs w:val="24"/>
          <w:lang w:val="es-MX"/>
        </w:rPr>
        <w:t>egistradas</w:t>
      </w:r>
      <w:r w:rsidR="00F750EB" w:rsidRPr="00BD7ACC">
        <w:rPr>
          <w:rStyle w:val="Refdenotaalpie"/>
          <w:rFonts w:cs="Arial"/>
          <w:bCs/>
          <w:color w:val="auto"/>
          <w:szCs w:val="24"/>
          <w:lang w:val="es-MX"/>
        </w:rPr>
        <w:footnoteReference w:id="2"/>
      </w:r>
      <w:r w:rsidR="00700003" w:rsidRPr="00BD7ACC">
        <w:rPr>
          <w:rFonts w:cs="Arial"/>
          <w:bCs/>
          <w:color w:val="auto"/>
          <w:szCs w:val="24"/>
          <w:lang w:val="es-MX"/>
        </w:rPr>
        <w:t xml:space="preserve"> y</w:t>
      </w:r>
      <w:r w:rsidR="00377B9D" w:rsidRPr="00BD7ACC">
        <w:rPr>
          <w:rFonts w:cs="Arial"/>
          <w:bCs/>
          <w:color w:val="auto"/>
          <w:szCs w:val="24"/>
          <w:lang w:val="es-MX"/>
        </w:rPr>
        <w:t xml:space="preserve"> </w:t>
      </w:r>
      <w:r w:rsidR="00963621" w:rsidRPr="00BD7ACC">
        <w:rPr>
          <w:rFonts w:cs="Arial"/>
          <w:bCs/>
          <w:color w:val="auto"/>
          <w:szCs w:val="24"/>
          <w:lang w:val="es-MX"/>
        </w:rPr>
        <w:t>provienen</w:t>
      </w:r>
      <w:r w:rsidR="00377B9D" w:rsidRPr="00BD7ACC">
        <w:rPr>
          <w:rFonts w:cs="Arial"/>
          <w:bCs/>
          <w:color w:val="auto"/>
          <w:szCs w:val="24"/>
          <w:lang w:val="es-MX"/>
        </w:rPr>
        <w:t xml:space="preserve"> de los registros administrativos de defunciones accidentales y violentas</w:t>
      </w:r>
      <w:r w:rsidR="006D5CBA" w:rsidRPr="00BD7ACC">
        <w:rPr>
          <w:rFonts w:cs="Arial"/>
          <w:bCs/>
          <w:color w:val="auto"/>
          <w:szCs w:val="24"/>
          <w:lang w:val="es-MX"/>
        </w:rPr>
        <w:t xml:space="preserve"> </w:t>
      </w:r>
      <w:r>
        <w:rPr>
          <w:rFonts w:cs="Arial"/>
          <w:bCs/>
          <w:color w:val="auto"/>
          <w:szCs w:val="24"/>
          <w:lang w:val="es-MX"/>
        </w:rPr>
        <w:t>que genera</w:t>
      </w:r>
      <w:r w:rsidR="00B50244">
        <w:rPr>
          <w:rFonts w:cs="Arial"/>
          <w:bCs/>
          <w:color w:val="auto"/>
          <w:szCs w:val="24"/>
          <w:lang w:val="es-MX"/>
        </w:rPr>
        <w:t>n</w:t>
      </w:r>
      <w:r>
        <w:rPr>
          <w:rFonts w:cs="Arial"/>
          <w:bCs/>
          <w:color w:val="auto"/>
          <w:szCs w:val="24"/>
          <w:lang w:val="es-MX"/>
        </w:rPr>
        <w:t xml:space="preserve"> las </w:t>
      </w:r>
      <w:r w:rsidR="00377B9D" w:rsidRPr="00BD7ACC">
        <w:rPr>
          <w:rFonts w:cs="Arial"/>
          <w:bCs/>
          <w:color w:val="auto"/>
          <w:szCs w:val="24"/>
          <w:lang w:val="es-MX"/>
        </w:rPr>
        <w:t>entidades federativas</w:t>
      </w:r>
      <w:r w:rsidR="00771D23" w:rsidRPr="00BD7ACC">
        <w:rPr>
          <w:rFonts w:cs="Arial"/>
          <w:bCs/>
          <w:color w:val="auto"/>
          <w:szCs w:val="24"/>
          <w:lang w:val="es-MX"/>
        </w:rPr>
        <w:t xml:space="preserve"> y </w:t>
      </w:r>
      <w:r>
        <w:rPr>
          <w:rFonts w:cs="Arial"/>
          <w:bCs/>
          <w:color w:val="auto"/>
          <w:szCs w:val="24"/>
          <w:lang w:val="es-MX"/>
        </w:rPr>
        <w:t>que el INEGI r</w:t>
      </w:r>
      <w:r w:rsidR="00771D23" w:rsidRPr="00BD7ACC">
        <w:rPr>
          <w:rFonts w:cs="Arial"/>
          <w:bCs/>
          <w:color w:val="auto"/>
          <w:szCs w:val="24"/>
          <w:lang w:val="es-MX"/>
        </w:rPr>
        <w:t>ecopila</w:t>
      </w:r>
      <w:r>
        <w:rPr>
          <w:rFonts w:cs="Arial"/>
          <w:bCs/>
          <w:color w:val="auto"/>
          <w:szCs w:val="24"/>
          <w:lang w:val="es-MX"/>
        </w:rPr>
        <w:t xml:space="preserve"> </w:t>
      </w:r>
      <w:r w:rsidR="00771D23" w:rsidRPr="00BD7ACC">
        <w:rPr>
          <w:rFonts w:cs="Arial"/>
          <w:bCs/>
          <w:color w:val="auto"/>
          <w:szCs w:val="24"/>
          <w:lang w:val="es-MX"/>
        </w:rPr>
        <w:t>mensualmente</w:t>
      </w:r>
      <w:r>
        <w:rPr>
          <w:rFonts w:cs="Arial"/>
          <w:bCs/>
          <w:color w:val="auto"/>
          <w:szCs w:val="24"/>
          <w:lang w:val="es-MX"/>
        </w:rPr>
        <w:t>.</w:t>
      </w:r>
      <w:r w:rsidR="00377B9D" w:rsidRPr="00BD7ACC">
        <w:rPr>
          <w:rFonts w:cs="Arial"/>
          <w:bCs/>
          <w:color w:val="auto"/>
          <w:szCs w:val="24"/>
          <w:lang w:val="es-MX"/>
        </w:rPr>
        <w:t xml:space="preserve"> </w:t>
      </w:r>
      <w:r w:rsidR="00521548" w:rsidRPr="00BD7ACC">
        <w:rPr>
          <w:rFonts w:cs="Arial"/>
          <w:bCs/>
          <w:color w:val="auto"/>
          <w:szCs w:val="24"/>
          <w:lang w:val="es-MX"/>
        </w:rPr>
        <w:t xml:space="preserve">Como </w:t>
      </w:r>
      <w:r w:rsidR="0039524F" w:rsidRPr="00BD7ACC">
        <w:rPr>
          <w:rFonts w:cs="Arial"/>
          <w:bCs/>
          <w:color w:val="auto"/>
          <w:szCs w:val="24"/>
          <w:lang w:val="es-MX"/>
        </w:rPr>
        <w:t xml:space="preserve">fuentes informantes </w:t>
      </w:r>
      <w:r w:rsidR="00521548" w:rsidRPr="00BD7ACC">
        <w:rPr>
          <w:rFonts w:cs="Arial"/>
          <w:bCs/>
          <w:color w:val="auto"/>
          <w:szCs w:val="24"/>
          <w:lang w:val="es-MX"/>
        </w:rPr>
        <w:t>se consideran</w:t>
      </w:r>
      <w:r w:rsidR="0039524F" w:rsidRPr="00BD7ACC">
        <w:rPr>
          <w:rFonts w:cs="Arial"/>
          <w:bCs/>
          <w:color w:val="auto"/>
          <w:szCs w:val="24"/>
          <w:lang w:val="es-MX"/>
        </w:rPr>
        <w:t xml:space="preserve"> </w:t>
      </w:r>
      <w:r w:rsidR="006A1EF1" w:rsidRPr="00BD7ACC">
        <w:rPr>
          <w:rFonts w:cs="Arial"/>
          <w:bCs/>
          <w:color w:val="auto"/>
          <w:szCs w:val="24"/>
          <w:lang w:val="es-MX"/>
        </w:rPr>
        <w:t>352</w:t>
      </w:r>
      <w:r w:rsidR="0039524F" w:rsidRPr="00BD7ACC">
        <w:rPr>
          <w:rFonts w:cs="Arial"/>
          <w:bCs/>
          <w:color w:val="auto"/>
          <w:szCs w:val="24"/>
          <w:lang w:val="es-MX"/>
        </w:rPr>
        <w:t xml:space="preserve"> Oficialías del Registro </w:t>
      </w:r>
      <w:r w:rsidR="000A4D04" w:rsidRPr="00BD7ACC">
        <w:rPr>
          <w:rFonts w:cs="Arial"/>
          <w:bCs/>
          <w:color w:val="auto"/>
          <w:szCs w:val="24"/>
          <w:lang w:val="es-MX"/>
        </w:rPr>
        <w:t xml:space="preserve">Civil, </w:t>
      </w:r>
      <w:r w:rsidR="006A1EF1" w:rsidRPr="00BD7ACC">
        <w:rPr>
          <w:rFonts w:cs="Arial"/>
          <w:bCs/>
          <w:color w:val="auto"/>
          <w:szCs w:val="24"/>
          <w:lang w:val="es-MX"/>
        </w:rPr>
        <w:t>105</w:t>
      </w:r>
      <w:r w:rsidR="0039524F" w:rsidRPr="00BD7ACC">
        <w:rPr>
          <w:rFonts w:cs="Arial"/>
          <w:bCs/>
          <w:color w:val="auto"/>
          <w:szCs w:val="24"/>
          <w:lang w:val="es-MX"/>
        </w:rPr>
        <w:t xml:space="preserve"> Servicios Médicos Forenses</w:t>
      </w:r>
      <w:r w:rsidR="0072066A" w:rsidRPr="00BD7ACC">
        <w:rPr>
          <w:rFonts w:cs="Arial"/>
          <w:bCs/>
          <w:color w:val="auto"/>
          <w:szCs w:val="24"/>
          <w:lang w:val="es-MX"/>
        </w:rPr>
        <w:t xml:space="preserve"> </w:t>
      </w:r>
      <w:r w:rsidR="000A4D04" w:rsidRPr="00BD7ACC">
        <w:rPr>
          <w:rFonts w:cs="Arial"/>
          <w:bCs/>
          <w:color w:val="auto"/>
          <w:szCs w:val="24"/>
          <w:lang w:val="es-MX"/>
        </w:rPr>
        <w:t xml:space="preserve">y </w:t>
      </w:r>
      <w:r w:rsidR="006A1EF1" w:rsidRPr="00BD7ACC">
        <w:rPr>
          <w:rFonts w:cs="Arial"/>
          <w:bCs/>
          <w:color w:val="auto"/>
          <w:szCs w:val="24"/>
          <w:lang w:val="es-MX"/>
        </w:rPr>
        <w:t>260</w:t>
      </w:r>
      <w:r w:rsidR="0072066A" w:rsidRPr="00BD7ACC">
        <w:rPr>
          <w:rFonts w:cs="Arial"/>
          <w:bCs/>
          <w:color w:val="auto"/>
          <w:szCs w:val="24"/>
          <w:lang w:val="es-MX"/>
        </w:rPr>
        <w:t xml:space="preserve"> Agencias del Ministerio Público</w:t>
      </w:r>
      <w:r w:rsidR="00521548" w:rsidRPr="00BD7ACC">
        <w:rPr>
          <w:rFonts w:cs="Arial"/>
          <w:bCs/>
          <w:color w:val="auto"/>
          <w:szCs w:val="24"/>
          <w:lang w:val="es-MX"/>
        </w:rPr>
        <w:t xml:space="preserve"> que tuvieron</w:t>
      </w:r>
      <w:r>
        <w:rPr>
          <w:rFonts w:cs="Arial"/>
          <w:bCs/>
          <w:color w:val="auto"/>
          <w:szCs w:val="24"/>
          <w:lang w:val="es-MX"/>
        </w:rPr>
        <w:t>,</w:t>
      </w:r>
      <w:r w:rsidR="00521548" w:rsidRPr="00BD7ACC">
        <w:rPr>
          <w:rFonts w:cs="Arial"/>
          <w:bCs/>
          <w:color w:val="auto"/>
          <w:szCs w:val="24"/>
          <w:lang w:val="es-MX"/>
        </w:rPr>
        <w:t xml:space="preserve"> al menos</w:t>
      </w:r>
      <w:r>
        <w:rPr>
          <w:rFonts w:cs="Arial"/>
          <w:bCs/>
          <w:color w:val="auto"/>
          <w:szCs w:val="24"/>
          <w:lang w:val="es-MX"/>
        </w:rPr>
        <w:t>,</w:t>
      </w:r>
      <w:r w:rsidR="00521548" w:rsidRPr="00BD7ACC">
        <w:rPr>
          <w:rFonts w:cs="Arial"/>
          <w:bCs/>
          <w:color w:val="auto"/>
          <w:szCs w:val="24"/>
          <w:lang w:val="es-MX"/>
        </w:rPr>
        <w:t xml:space="preserve"> un registro de homicidio</w:t>
      </w:r>
      <w:r w:rsidR="0072066A" w:rsidRPr="00BD7ACC">
        <w:rPr>
          <w:rFonts w:cs="Arial"/>
          <w:bCs/>
          <w:color w:val="auto"/>
          <w:szCs w:val="24"/>
          <w:lang w:val="es-MX"/>
        </w:rPr>
        <w:t>.</w:t>
      </w:r>
      <w:r w:rsidR="006A1EF1" w:rsidRPr="00BD7ACC">
        <w:rPr>
          <w:rFonts w:cs="Arial"/>
          <w:bCs/>
          <w:color w:val="auto"/>
          <w:szCs w:val="24"/>
          <w:lang w:val="es-MX"/>
        </w:rPr>
        <w:t xml:space="preserve"> </w:t>
      </w:r>
      <w:r w:rsidR="00C7577D" w:rsidRPr="00BD7ACC">
        <w:rPr>
          <w:rFonts w:cs="Arial"/>
          <w:bCs/>
          <w:color w:val="auto"/>
          <w:szCs w:val="24"/>
          <w:lang w:val="es-MX"/>
        </w:rPr>
        <w:t>T</w:t>
      </w:r>
      <w:r w:rsidR="006A1EF1" w:rsidRPr="00BD7ACC">
        <w:rPr>
          <w:rFonts w:cs="Arial"/>
          <w:bCs/>
          <w:color w:val="auto"/>
          <w:szCs w:val="24"/>
          <w:lang w:val="es-MX"/>
        </w:rPr>
        <w:t>ambién</w:t>
      </w:r>
      <w:r>
        <w:rPr>
          <w:rFonts w:cs="Arial"/>
          <w:bCs/>
          <w:color w:val="auto"/>
          <w:szCs w:val="24"/>
          <w:lang w:val="es-MX"/>
        </w:rPr>
        <w:t xml:space="preserve"> se</w:t>
      </w:r>
      <w:r w:rsidR="006A1EF1" w:rsidRPr="00BD7ACC">
        <w:rPr>
          <w:rFonts w:cs="Arial"/>
          <w:bCs/>
          <w:color w:val="auto"/>
          <w:szCs w:val="24"/>
          <w:lang w:val="es-MX"/>
        </w:rPr>
        <w:t xml:space="preserve"> incluye la información de homicidios</w:t>
      </w:r>
      <w:r>
        <w:rPr>
          <w:rFonts w:cs="Arial"/>
          <w:bCs/>
          <w:color w:val="auto"/>
          <w:szCs w:val="24"/>
          <w:lang w:val="es-MX"/>
        </w:rPr>
        <w:t xml:space="preserve"> que resulta de</w:t>
      </w:r>
      <w:r w:rsidR="00695F31">
        <w:rPr>
          <w:rFonts w:cs="Arial"/>
          <w:bCs/>
          <w:color w:val="auto"/>
          <w:szCs w:val="24"/>
          <w:lang w:val="es-MX"/>
        </w:rPr>
        <w:t>l avance en el proceso de</w:t>
      </w:r>
      <w:r w:rsidR="006A1EF1" w:rsidRPr="00BD7ACC">
        <w:rPr>
          <w:rFonts w:cs="Arial"/>
          <w:bCs/>
          <w:color w:val="auto"/>
          <w:szCs w:val="24"/>
          <w:lang w:val="es-MX"/>
        </w:rPr>
        <w:t xml:space="preserve"> confronta entre</w:t>
      </w:r>
      <w:r>
        <w:rPr>
          <w:rFonts w:cs="Arial"/>
          <w:bCs/>
          <w:color w:val="auto"/>
          <w:szCs w:val="24"/>
          <w:lang w:val="es-MX"/>
        </w:rPr>
        <w:t xml:space="preserve"> el</w:t>
      </w:r>
      <w:r w:rsidR="006A1EF1" w:rsidRPr="00BD7ACC">
        <w:rPr>
          <w:rFonts w:cs="Arial"/>
          <w:bCs/>
          <w:color w:val="auto"/>
          <w:szCs w:val="24"/>
          <w:lang w:val="es-MX"/>
        </w:rPr>
        <w:t xml:space="preserve"> INEGI y la Secretaría de Salud.</w:t>
      </w:r>
    </w:p>
    <w:p w14:paraId="707CFEEB" w14:textId="77777777" w:rsidR="0039524F" w:rsidRPr="00BD7ACC" w:rsidRDefault="0039524F" w:rsidP="00BD7ACC">
      <w:pPr>
        <w:pStyle w:val="p0"/>
        <w:spacing w:before="0"/>
        <w:ind w:left="-142" w:right="-137"/>
        <w:rPr>
          <w:rFonts w:cs="Arial"/>
          <w:bCs/>
          <w:color w:val="000000"/>
          <w:szCs w:val="24"/>
          <w:lang w:val="es-MX"/>
        </w:rPr>
      </w:pPr>
    </w:p>
    <w:p w14:paraId="064C6992" w14:textId="57C8EE4A" w:rsidR="00B2477D" w:rsidRPr="00BD7ACC" w:rsidRDefault="007F2EE3" w:rsidP="00BD7ACC">
      <w:pPr>
        <w:pStyle w:val="p0"/>
        <w:spacing w:before="0"/>
        <w:ind w:left="-142" w:right="-137"/>
        <w:rPr>
          <w:rFonts w:cs="Arial"/>
          <w:bCs/>
          <w:color w:val="auto"/>
          <w:szCs w:val="24"/>
          <w:lang w:val="es-MX"/>
        </w:rPr>
      </w:pPr>
      <w:r>
        <w:rPr>
          <w:rFonts w:cs="Arial"/>
          <w:bCs/>
          <w:color w:val="auto"/>
          <w:szCs w:val="24"/>
          <w:lang w:val="es-MX"/>
        </w:rPr>
        <w:t xml:space="preserve">Desde </w:t>
      </w:r>
      <w:r w:rsidR="00AA1860" w:rsidRPr="00BD7ACC">
        <w:rPr>
          <w:rFonts w:cs="Arial"/>
          <w:bCs/>
          <w:color w:val="auto"/>
          <w:szCs w:val="24"/>
          <w:lang w:val="es-MX"/>
        </w:rPr>
        <w:t>2015</w:t>
      </w:r>
      <w:r w:rsidR="00B50244">
        <w:rPr>
          <w:rFonts w:cs="Arial"/>
          <w:bCs/>
          <w:color w:val="auto"/>
          <w:szCs w:val="24"/>
          <w:lang w:val="es-MX"/>
        </w:rPr>
        <w:t>,</w:t>
      </w:r>
      <w:r w:rsidR="00AA1860" w:rsidRPr="00BD7ACC">
        <w:rPr>
          <w:rFonts w:cs="Arial"/>
          <w:bCs/>
          <w:color w:val="auto"/>
          <w:szCs w:val="24"/>
          <w:lang w:val="es-MX"/>
        </w:rPr>
        <w:t xml:space="preserve"> </w:t>
      </w:r>
      <w:r w:rsidR="00E34B41" w:rsidRPr="00BD7ACC">
        <w:rPr>
          <w:rFonts w:cs="Arial"/>
          <w:bCs/>
          <w:color w:val="auto"/>
          <w:szCs w:val="24"/>
          <w:lang w:val="es-MX"/>
        </w:rPr>
        <w:t xml:space="preserve">el INEGI </w:t>
      </w:r>
      <w:r w:rsidR="00986688" w:rsidRPr="00BD7ACC">
        <w:rPr>
          <w:rFonts w:cs="Arial"/>
          <w:bCs/>
          <w:color w:val="auto"/>
          <w:szCs w:val="24"/>
          <w:lang w:val="es-MX"/>
        </w:rPr>
        <w:t xml:space="preserve">recopila </w:t>
      </w:r>
      <w:r w:rsidR="00583543" w:rsidRPr="00BD7ACC">
        <w:rPr>
          <w:rFonts w:cs="Arial"/>
          <w:bCs/>
          <w:color w:val="auto"/>
          <w:szCs w:val="24"/>
          <w:lang w:val="es-MX"/>
        </w:rPr>
        <w:t xml:space="preserve">información </w:t>
      </w:r>
      <w:r w:rsidR="00E34B41" w:rsidRPr="00BD7ACC">
        <w:rPr>
          <w:rFonts w:cs="Arial"/>
          <w:bCs/>
          <w:color w:val="auto"/>
          <w:szCs w:val="24"/>
          <w:lang w:val="es-MX"/>
        </w:rPr>
        <w:t xml:space="preserve">de </w:t>
      </w:r>
      <w:r w:rsidR="00984132" w:rsidRPr="00BD7ACC">
        <w:rPr>
          <w:rFonts w:cs="Arial"/>
          <w:bCs/>
          <w:color w:val="auto"/>
          <w:szCs w:val="24"/>
          <w:lang w:val="es-MX"/>
        </w:rPr>
        <w:t xml:space="preserve">presuntos </w:t>
      </w:r>
      <w:r w:rsidR="00AB2238" w:rsidRPr="00BD7ACC">
        <w:rPr>
          <w:rFonts w:cs="Arial"/>
          <w:bCs/>
          <w:color w:val="auto"/>
          <w:szCs w:val="24"/>
          <w:lang w:val="es-MX"/>
        </w:rPr>
        <w:t xml:space="preserve">homicidios </w:t>
      </w:r>
      <w:r w:rsidR="002D3BC0" w:rsidRPr="00BD7ACC">
        <w:rPr>
          <w:rFonts w:cs="Arial"/>
          <w:bCs/>
          <w:color w:val="auto"/>
          <w:szCs w:val="24"/>
          <w:lang w:val="es-MX"/>
        </w:rPr>
        <w:t xml:space="preserve">directamente </w:t>
      </w:r>
      <w:r w:rsidR="00AB2238" w:rsidRPr="00BD7ACC">
        <w:rPr>
          <w:rFonts w:cs="Arial"/>
          <w:bCs/>
          <w:color w:val="auto"/>
          <w:szCs w:val="24"/>
          <w:lang w:val="es-MX"/>
        </w:rPr>
        <w:t xml:space="preserve">de </w:t>
      </w:r>
      <w:r w:rsidR="00527874" w:rsidRPr="00BD7ACC">
        <w:rPr>
          <w:rFonts w:cs="Arial"/>
          <w:bCs/>
          <w:color w:val="auto"/>
          <w:szCs w:val="24"/>
          <w:lang w:val="es-MX"/>
        </w:rPr>
        <w:t xml:space="preserve">los </w:t>
      </w:r>
      <w:r w:rsidR="006E236A" w:rsidRPr="00BD7ACC">
        <w:rPr>
          <w:rFonts w:cs="Arial"/>
          <w:bCs/>
          <w:color w:val="000000"/>
          <w:szCs w:val="24"/>
          <w:lang w:val="es-MX"/>
        </w:rPr>
        <w:t>S</w:t>
      </w:r>
      <w:r w:rsidR="00527874" w:rsidRPr="00BD7ACC">
        <w:rPr>
          <w:rFonts w:cs="Arial"/>
          <w:bCs/>
          <w:color w:val="auto"/>
          <w:szCs w:val="24"/>
          <w:lang w:val="es-MX"/>
        </w:rPr>
        <w:t xml:space="preserve">ervicios </w:t>
      </w:r>
      <w:r w:rsidR="006E236A" w:rsidRPr="00BD7ACC">
        <w:rPr>
          <w:rFonts w:cs="Arial"/>
          <w:bCs/>
          <w:color w:val="000000"/>
          <w:szCs w:val="24"/>
          <w:lang w:val="es-MX"/>
        </w:rPr>
        <w:t>M</w:t>
      </w:r>
      <w:r w:rsidR="00527874" w:rsidRPr="00BD7ACC">
        <w:rPr>
          <w:rFonts w:cs="Arial"/>
          <w:bCs/>
          <w:color w:val="auto"/>
          <w:szCs w:val="24"/>
          <w:lang w:val="es-MX"/>
        </w:rPr>
        <w:t xml:space="preserve">édicos </w:t>
      </w:r>
      <w:r w:rsidR="006E236A" w:rsidRPr="00BD7ACC">
        <w:rPr>
          <w:rFonts w:cs="Arial"/>
          <w:bCs/>
          <w:color w:val="000000"/>
          <w:szCs w:val="24"/>
          <w:lang w:val="es-MX"/>
        </w:rPr>
        <w:t>F</w:t>
      </w:r>
      <w:r w:rsidR="00E34B41" w:rsidRPr="00BD7ACC">
        <w:rPr>
          <w:rFonts w:cs="Arial"/>
          <w:bCs/>
          <w:color w:val="000000"/>
          <w:szCs w:val="24"/>
          <w:lang w:val="es-MX"/>
        </w:rPr>
        <w:t>orenses</w:t>
      </w:r>
      <w:r w:rsidR="00527874" w:rsidRPr="00BD7ACC">
        <w:rPr>
          <w:rFonts w:cs="Arial"/>
          <w:bCs/>
          <w:color w:val="auto"/>
          <w:szCs w:val="24"/>
          <w:lang w:val="es-MX"/>
        </w:rPr>
        <w:t xml:space="preserve"> </w:t>
      </w:r>
      <w:r w:rsidR="00583543" w:rsidRPr="00BD7ACC">
        <w:rPr>
          <w:rFonts w:cs="Arial"/>
          <w:bCs/>
          <w:color w:val="auto"/>
          <w:szCs w:val="24"/>
          <w:lang w:val="es-MX"/>
        </w:rPr>
        <w:t>por medio de los certificados de defunción que emiten para las m</w:t>
      </w:r>
      <w:r w:rsidR="00AA1860" w:rsidRPr="00BD7ACC">
        <w:rPr>
          <w:rFonts w:cs="Arial"/>
          <w:bCs/>
          <w:color w:val="auto"/>
          <w:szCs w:val="24"/>
          <w:lang w:val="es-MX"/>
        </w:rPr>
        <w:t xml:space="preserve">uertes accidentales y violentas. Además, </w:t>
      </w:r>
      <w:r w:rsidR="00B94047" w:rsidRPr="00BD7ACC">
        <w:rPr>
          <w:rFonts w:cs="Arial"/>
          <w:bCs/>
          <w:color w:val="000000"/>
          <w:szCs w:val="24"/>
          <w:lang w:val="es-MX"/>
        </w:rPr>
        <w:t>obtiene</w:t>
      </w:r>
      <w:r w:rsidR="00AA1860" w:rsidRPr="00BD7ACC">
        <w:rPr>
          <w:rFonts w:cs="Arial"/>
          <w:bCs/>
          <w:color w:val="000000"/>
          <w:szCs w:val="24"/>
          <w:lang w:val="es-MX"/>
        </w:rPr>
        <w:t xml:space="preserve"> </w:t>
      </w:r>
      <w:r w:rsidR="00527874" w:rsidRPr="00BD7ACC">
        <w:rPr>
          <w:rFonts w:cs="Arial"/>
          <w:bCs/>
          <w:color w:val="auto"/>
          <w:szCs w:val="24"/>
          <w:lang w:val="es-MX"/>
        </w:rPr>
        <w:t xml:space="preserve">datos en las </w:t>
      </w:r>
      <w:r w:rsidR="00AA1860" w:rsidRPr="00BD7ACC">
        <w:rPr>
          <w:rFonts w:cs="Arial"/>
          <w:bCs/>
          <w:color w:val="000000"/>
          <w:szCs w:val="24"/>
          <w:lang w:val="es-MX"/>
        </w:rPr>
        <w:t>O</w:t>
      </w:r>
      <w:r w:rsidR="002D3BC0" w:rsidRPr="00BD7ACC">
        <w:rPr>
          <w:rFonts w:cs="Arial"/>
          <w:bCs/>
          <w:color w:val="auto"/>
          <w:szCs w:val="24"/>
          <w:lang w:val="es-MX"/>
        </w:rPr>
        <w:t>ficialías del Registro Civil a través de actas y certificados de defunción.</w:t>
      </w:r>
      <w:r w:rsidR="00377B9D" w:rsidRPr="00BD7ACC">
        <w:rPr>
          <w:rFonts w:cs="Arial"/>
          <w:bCs/>
          <w:color w:val="auto"/>
          <w:szCs w:val="24"/>
          <w:lang w:val="es-MX"/>
        </w:rPr>
        <w:t xml:space="preserve"> Esta información se complemen</w:t>
      </w:r>
      <w:r w:rsidR="00A153AF" w:rsidRPr="00BD7ACC">
        <w:rPr>
          <w:rFonts w:cs="Arial"/>
          <w:bCs/>
          <w:color w:val="auto"/>
          <w:szCs w:val="24"/>
          <w:lang w:val="es-MX"/>
        </w:rPr>
        <w:t xml:space="preserve">ta con la </w:t>
      </w:r>
      <w:r w:rsidR="00591497">
        <w:rPr>
          <w:rFonts w:cs="Arial"/>
          <w:bCs/>
          <w:color w:val="auto"/>
          <w:szCs w:val="24"/>
          <w:lang w:val="es-MX"/>
        </w:rPr>
        <w:t xml:space="preserve">que proporcionan </w:t>
      </w:r>
      <w:r w:rsidR="00527874" w:rsidRPr="00BD7ACC">
        <w:rPr>
          <w:rFonts w:cs="Arial"/>
          <w:bCs/>
          <w:color w:val="auto"/>
          <w:szCs w:val="24"/>
          <w:lang w:val="es-MX"/>
        </w:rPr>
        <w:t xml:space="preserve">las </w:t>
      </w:r>
      <w:r w:rsidR="00AA1860" w:rsidRPr="00BD7ACC">
        <w:rPr>
          <w:rFonts w:cs="Arial"/>
          <w:bCs/>
          <w:color w:val="000000"/>
          <w:szCs w:val="24"/>
          <w:lang w:val="es-MX"/>
        </w:rPr>
        <w:t>A</w:t>
      </w:r>
      <w:r w:rsidR="00377B9D" w:rsidRPr="00BD7ACC">
        <w:rPr>
          <w:rFonts w:cs="Arial"/>
          <w:bCs/>
          <w:color w:val="000000"/>
          <w:szCs w:val="24"/>
          <w:lang w:val="es-MX"/>
        </w:rPr>
        <w:t>gencias</w:t>
      </w:r>
      <w:r w:rsidR="00377B9D" w:rsidRPr="00BD7ACC">
        <w:rPr>
          <w:rFonts w:cs="Arial"/>
          <w:bCs/>
          <w:color w:val="auto"/>
          <w:szCs w:val="24"/>
          <w:lang w:val="es-MX"/>
        </w:rPr>
        <w:t xml:space="preserve"> del Ministerio Público mediante </w:t>
      </w:r>
      <w:r w:rsidR="00B24AEA" w:rsidRPr="00BD7ACC">
        <w:rPr>
          <w:rFonts w:cs="Arial"/>
          <w:bCs/>
          <w:color w:val="auto"/>
          <w:szCs w:val="24"/>
          <w:lang w:val="es-MX"/>
        </w:rPr>
        <w:t xml:space="preserve">los </w:t>
      </w:r>
      <w:r w:rsidR="00377B9D" w:rsidRPr="00BD7ACC">
        <w:rPr>
          <w:rFonts w:cs="Arial"/>
          <w:bCs/>
          <w:color w:val="auto"/>
          <w:szCs w:val="24"/>
          <w:lang w:val="es-MX"/>
        </w:rPr>
        <w:t>cuadernos estadísticos</w:t>
      </w:r>
      <w:r w:rsidR="00957908" w:rsidRPr="00BD7ACC">
        <w:rPr>
          <w:rFonts w:cs="Arial"/>
          <w:bCs/>
          <w:color w:val="auto"/>
          <w:szCs w:val="24"/>
          <w:lang w:val="es-MX"/>
        </w:rPr>
        <w:t xml:space="preserve"> de defunción.</w:t>
      </w:r>
    </w:p>
    <w:p w14:paraId="3C7AC49B" w14:textId="77777777" w:rsidR="00B903D5" w:rsidRPr="00BD7ACC" w:rsidRDefault="00B903D5" w:rsidP="00BD7ACC">
      <w:pPr>
        <w:pStyle w:val="p0"/>
        <w:spacing w:before="0"/>
        <w:ind w:left="-142" w:right="-137"/>
        <w:rPr>
          <w:rFonts w:cs="Arial"/>
          <w:bCs/>
          <w:color w:val="auto"/>
          <w:szCs w:val="24"/>
          <w:lang w:val="es-MX"/>
        </w:rPr>
      </w:pPr>
    </w:p>
    <w:p w14:paraId="4CD53B7C" w14:textId="15513112" w:rsidR="00B2477D" w:rsidRPr="00BD7ACC" w:rsidRDefault="00B903D5" w:rsidP="00BD7ACC">
      <w:pPr>
        <w:pStyle w:val="p0"/>
        <w:spacing w:before="0"/>
        <w:ind w:left="-142" w:right="-137"/>
        <w:rPr>
          <w:rFonts w:cs="Arial"/>
          <w:bCs/>
          <w:color w:val="auto"/>
          <w:szCs w:val="24"/>
          <w:lang w:val="es-MX"/>
        </w:rPr>
      </w:pPr>
      <w:r w:rsidRPr="00BD7ACC">
        <w:rPr>
          <w:rFonts w:cs="Arial"/>
          <w:bCs/>
          <w:color w:val="auto"/>
          <w:szCs w:val="24"/>
          <w:lang w:val="es-MX"/>
        </w:rPr>
        <w:t>Los homicidios forman parte de las defunciones accidentales y violentas</w:t>
      </w:r>
      <w:r w:rsidR="00591497">
        <w:rPr>
          <w:rFonts w:cs="Arial"/>
          <w:bCs/>
          <w:color w:val="auto"/>
          <w:szCs w:val="24"/>
          <w:lang w:val="es-MX"/>
        </w:rPr>
        <w:t xml:space="preserve">. Su </w:t>
      </w:r>
      <w:r w:rsidRPr="00BD7ACC">
        <w:rPr>
          <w:rFonts w:cs="Arial"/>
          <w:bCs/>
          <w:color w:val="auto"/>
          <w:szCs w:val="24"/>
          <w:lang w:val="es-MX"/>
        </w:rPr>
        <w:t>clasificación se determina con base en las</w:t>
      </w:r>
      <w:r w:rsidR="00A21410" w:rsidRPr="00BD7ACC">
        <w:rPr>
          <w:rFonts w:cs="Arial"/>
          <w:bCs/>
          <w:color w:val="auto"/>
          <w:szCs w:val="24"/>
          <w:lang w:val="es-MX"/>
        </w:rPr>
        <w:t xml:space="preserve"> causas</w:t>
      </w:r>
      <w:r w:rsidRPr="00BD7ACC">
        <w:rPr>
          <w:rFonts w:cs="Arial"/>
          <w:bCs/>
          <w:color w:val="auto"/>
          <w:szCs w:val="24"/>
          <w:lang w:val="es-MX"/>
        </w:rPr>
        <w:t xml:space="preserve"> </w:t>
      </w:r>
      <w:r w:rsidR="00A21410" w:rsidRPr="00BD7ACC">
        <w:rPr>
          <w:rFonts w:cs="Arial"/>
          <w:bCs/>
          <w:color w:val="auto"/>
          <w:szCs w:val="24"/>
          <w:lang w:val="es-MX"/>
        </w:rPr>
        <w:t>(</w:t>
      </w:r>
      <w:r w:rsidRPr="00BD7ACC">
        <w:rPr>
          <w:rFonts w:cs="Arial"/>
          <w:bCs/>
          <w:color w:val="auto"/>
          <w:szCs w:val="24"/>
          <w:lang w:val="es-MX"/>
        </w:rPr>
        <w:t>afecciones y lesiones</w:t>
      </w:r>
      <w:r w:rsidR="00A21410" w:rsidRPr="00BD7ACC">
        <w:rPr>
          <w:rFonts w:cs="Arial"/>
          <w:bCs/>
          <w:color w:val="auto"/>
          <w:szCs w:val="24"/>
          <w:lang w:val="es-MX"/>
        </w:rPr>
        <w:t>)</w:t>
      </w:r>
      <w:r w:rsidRPr="00BD7ACC">
        <w:rPr>
          <w:rFonts w:cs="Arial"/>
          <w:bCs/>
          <w:color w:val="auto"/>
          <w:szCs w:val="24"/>
          <w:lang w:val="es-MX"/>
        </w:rPr>
        <w:t>, la presunción del tipo de defunción y el motivo de la lesión</w:t>
      </w:r>
      <w:r w:rsidR="00591497">
        <w:rPr>
          <w:rFonts w:cs="Arial"/>
          <w:bCs/>
          <w:color w:val="auto"/>
          <w:szCs w:val="24"/>
          <w:lang w:val="es-MX"/>
        </w:rPr>
        <w:t xml:space="preserve"> que registra </w:t>
      </w:r>
      <w:r w:rsidRPr="00BD7ACC">
        <w:rPr>
          <w:rFonts w:cs="Arial"/>
          <w:bCs/>
          <w:color w:val="auto"/>
          <w:szCs w:val="24"/>
          <w:lang w:val="es-MX"/>
        </w:rPr>
        <w:t xml:space="preserve">el </w:t>
      </w:r>
      <w:r w:rsidR="00E9764E" w:rsidRPr="00BD7ACC">
        <w:rPr>
          <w:rFonts w:cs="Arial"/>
          <w:bCs/>
          <w:color w:val="auto"/>
          <w:szCs w:val="24"/>
          <w:lang w:val="es-MX"/>
        </w:rPr>
        <w:t xml:space="preserve">médico </w:t>
      </w:r>
      <w:r w:rsidRPr="00BD7ACC">
        <w:rPr>
          <w:rFonts w:cs="Arial"/>
          <w:bCs/>
          <w:color w:val="auto"/>
          <w:szCs w:val="24"/>
          <w:lang w:val="es-MX"/>
        </w:rPr>
        <w:t xml:space="preserve">certificante en el certificado de defunción. Las primeras dos son fundamentales para distinguir entre un presunto homicidio, un presunto </w:t>
      </w:r>
      <w:r w:rsidRPr="00BD7ACC">
        <w:rPr>
          <w:rFonts w:cs="Arial"/>
          <w:bCs/>
          <w:color w:val="auto"/>
          <w:szCs w:val="24"/>
          <w:lang w:val="es-MX"/>
        </w:rPr>
        <w:lastRenderedPageBreak/>
        <w:t>accidente</w:t>
      </w:r>
      <w:r w:rsidR="00986688" w:rsidRPr="00BD7ACC">
        <w:rPr>
          <w:rFonts w:cs="Arial"/>
          <w:bCs/>
          <w:color w:val="auto"/>
          <w:szCs w:val="24"/>
          <w:lang w:val="es-MX"/>
        </w:rPr>
        <w:t>,</w:t>
      </w:r>
      <w:r w:rsidRPr="00BD7ACC">
        <w:rPr>
          <w:rFonts w:cs="Arial"/>
          <w:bCs/>
          <w:color w:val="auto"/>
          <w:szCs w:val="24"/>
          <w:lang w:val="es-MX"/>
        </w:rPr>
        <w:t xml:space="preserve"> o un presunto suicidio</w:t>
      </w:r>
      <w:r w:rsidR="00986688" w:rsidRPr="00BD7ACC">
        <w:rPr>
          <w:rFonts w:cs="Arial"/>
          <w:bCs/>
          <w:color w:val="auto"/>
          <w:szCs w:val="24"/>
          <w:lang w:val="es-MX"/>
        </w:rPr>
        <w:t xml:space="preserve">. </w:t>
      </w:r>
      <w:r w:rsidR="00591497">
        <w:rPr>
          <w:rFonts w:cs="Arial"/>
          <w:bCs/>
          <w:color w:val="auto"/>
          <w:szCs w:val="24"/>
          <w:lang w:val="es-MX"/>
        </w:rPr>
        <w:t xml:space="preserve">Nótese que, </w:t>
      </w:r>
      <w:r w:rsidRPr="00BD7ACC">
        <w:rPr>
          <w:rFonts w:cs="Arial"/>
          <w:bCs/>
          <w:color w:val="auto"/>
          <w:szCs w:val="24"/>
          <w:lang w:val="es-MX"/>
        </w:rPr>
        <w:t>en algunos casos</w:t>
      </w:r>
      <w:r w:rsidR="00A56801" w:rsidRPr="00BD7ACC">
        <w:rPr>
          <w:rFonts w:cs="Arial"/>
          <w:bCs/>
          <w:color w:val="auto"/>
          <w:szCs w:val="24"/>
          <w:lang w:val="es-MX"/>
        </w:rPr>
        <w:t>,</w:t>
      </w:r>
      <w:r w:rsidR="00B50244">
        <w:rPr>
          <w:rFonts w:cs="Arial"/>
          <w:bCs/>
          <w:color w:val="auto"/>
          <w:szCs w:val="24"/>
          <w:lang w:val="es-MX"/>
        </w:rPr>
        <w:t xml:space="preserve"> la o</w:t>
      </w:r>
      <w:r w:rsidRPr="00BD7ACC">
        <w:rPr>
          <w:rFonts w:cs="Arial"/>
          <w:bCs/>
          <w:color w:val="auto"/>
          <w:szCs w:val="24"/>
          <w:lang w:val="es-MX"/>
        </w:rPr>
        <w:t xml:space="preserve"> el certificante</w:t>
      </w:r>
      <w:r w:rsidR="00591497">
        <w:rPr>
          <w:rFonts w:cs="Arial"/>
          <w:bCs/>
          <w:color w:val="auto"/>
          <w:szCs w:val="24"/>
          <w:lang w:val="es-MX"/>
        </w:rPr>
        <w:t xml:space="preserve"> no tiene </w:t>
      </w:r>
      <w:r w:rsidRPr="00BD7ACC">
        <w:rPr>
          <w:rFonts w:cs="Arial"/>
          <w:bCs/>
          <w:color w:val="auto"/>
          <w:szCs w:val="24"/>
          <w:lang w:val="es-MX"/>
        </w:rPr>
        <w:t>elementos suficientes para identificar la intencionalidad del hecho.</w:t>
      </w:r>
    </w:p>
    <w:p w14:paraId="2B57E156" w14:textId="77777777" w:rsidR="0072066A" w:rsidRPr="003D68FD" w:rsidRDefault="0072066A" w:rsidP="00F117DF">
      <w:pPr>
        <w:pStyle w:val="p0"/>
        <w:spacing w:before="0"/>
        <w:ind w:right="425"/>
        <w:rPr>
          <w:rFonts w:cs="Arial"/>
          <w:bCs/>
          <w:color w:val="auto"/>
          <w:sz w:val="22"/>
          <w:szCs w:val="22"/>
          <w:lang w:val="es-MX"/>
        </w:rPr>
      </w:pPr>
    </w:p>
    <w:p w14:paraId="720D525C" w14:textId="3D56036D" w:rsidR="007F1285" w:rsidRPr="00BD7ACC" w:rsidRDefault="007F1285" w:rsidP="00842481">
      <w:pPr>
        <w:spacing w:before="360"/>
        <w:ind w:left="-142" w:right="-137"/>
        <w:jc w:val="both"/>
        <w:rPr>
          <w:rFonts w:ascii="Arial" w:hAnsi="Arial" w:cs="Arial"/>
          <w:sz w:val="24"/>
          <w:szCs w:val="24"/>
        </w:rPr>
      </w:pPr>
      <w:r w:rsidRPr="00BD7ACC">
        <w:rPr>
          <w:rFonts w:ascii="Arial" w:hAnsi="Arial" w:cs="Arial"/>
          <w:sz w:val="24"/>
          <w:szCs w:val="24"/>
        </w:rPr>
        <w:t>A continuación, se presenta la serie histórica de los homicidios registrados d</w:t>
      </w:r>
      <w:r w:rsidR="00591497">
        <w:rPr>
          <w:rFonts w:ascii="Arial" w:hAnsi="Arial" w:cs="Arial"/>
          <w:sz w:val="24"/>
          <w:szCs w:val="24"/>
        </w:rPr>
        <w:t>e</w:t>
      </w:r>
      <w:r w:rsidRPr="00BD7ACC">
        <w:rPr>
          <w:rFonts w:ascii="Arial" w:hAnsi="Arial" w:cs="Arial"/>
          <w:sz w:val="24"/>
          <w:szCs w:val="24"/>
        </w:rPr>
        <w:t xml:space="preserve"> 1990 a 2021</w:t>
      </w:r>
      <w:r w:rsidR="0028651C" w:rsidRPr="00BD7ACC">
        <w:rPr>
          <w:rStyle w:val="Refdenotaalpie"/>
          <w:rFonts w:ascii="Arial" w:hAnsi="Arial" w:cs="Arial"/>
          <w:sz w:val="24"/>
          <w:szCs w:val="24"/>
        </w:rPr>
        <w:footnoteReference w:customMarkFollows="1" w:id="3"/>
        <w:t>P</w:t>
      </w:r>
      <w:r w:rsidR="00591497">
        <w:rPr>
          <w:rFonts w:ascii="Arial" w:hAnsi="Arial" w:cs="Arial"/>
          <w:sz w:val="24"/>
          <w:szCs w:val="24"/>
        </w:rPr>
        <w:t>,</w:t>
      </w:r>
      <w:r w:rsidR="0028651C" w:rsidRPr="00BD7ACC">
        <w:rPr>
          <w:rFonts w:ascii="Arial" w:hAnsi="Arial" w:cs="Arial"/>
          <w:sz w:val="24"/>
          <w:szCs w:val="24"/>
        </w:rPr>
        <w:t xml:space="preserve"> a</w:t>
      </w:r>
      <w:r w:rsidRPr="00BD7ACC">
        <w:rPr>
          <w:rFonts w:ascii="Arial" w:hAnsi="Arial" w:cs="Arial"/>
          <w:sz w:val="24"/>
          <w:szCs w:val="24"/>
        </w:rPr>
        <w:t xml:space="preserve">sí como sus </w:t>
      </w:r>
      <w:r w:rsidR="00591497" w:rsidRPr="00323CC3">
        <w:rPr>
          <w:rFonts w:ascii="Arial" w:hAnsi="Arial" w:cs="Arial"/>
          <w:sz w:val="24"/>
          <w:szCs w:val="24"/>
        </w:rPr>
        <w:t>correspondientes</w:t>
      </w:r>
      <w:r w:rsidR="00087871">
        <w:rPr>
          <w:rFonts w:ascii="Arial" w:hAnsi="Arial" w:cs="Arial"/>
          <w:sz w:val="24"/>
          <w:szCs w:val="24"/>
        </w:rPr>
        <w:t xml:space="preserve"> tasas</w:t>
      </w:r>
      <w:r w:rsidR="00591497" w:rsidRPr="00591497">
        <w:rPr>
          <w:rFonts w:ascii="Arial" w:hAnsi="Arial" w:cs="Arial"/>
          <w:sz w:val="24"/>
          <w:szCs w:val="24"/>
        </w:rPr>
        <w:t xml:space="preserve"> </w:t>
      </w:r>
      <w:r w:rsidR="00591497" w:rsidRPr="00B52267">
        <w:rPr>
          <w:rFonts w:ascii="Arial" w:hAnsi="Arial" w:cs="Arial"/>
          <w:sz w:val="24"/>
          <w:szCs w:val="24"/>
        </w:rPr>
        <w:t>a nivel nacional</w:t>
      </w:r>
      <w:r w:rsidR="00B00C05" w:rsidRPr="00BD7ACC">
        <w:rPr>
          <w:rFonts w:ascii="Arial" w:hAnsi="Arial" w:cs="Arial"/>
          <w:sz w:val="24"/>
          <w:szCs w:val="24"/>
        </w:rPr>
        <w:t xml:space="preserve">, desagregadas </w:t>
      </w:r>
      <w:r w:rsidRPr="00BD7ACC">
        <w:rPr>
          <w:rFonts w:ascii="Arial" w:hAnsi="Arial" w:cs="Arial"/>
          <w:sz w:val="24"/>
          <w:szCs w:val="24"/>
        </w:rPr>
        <w:t>por sexo</w:t>
      </w:r>
      <w:r w:rsidR="00B00C05" w:rsidRPr="00BD7ACC">
        <w:rPr>
          <w:rFonts w:ascii="Arial" w:hAnsi="Arial" w:cs="Arial"/>
          <w:sz w:val="24"/>
          <w:szCs w:val="24"/>
        </w:rPr>
        <w:t xml:space="preserve"> y </w:t>
      </w:r>
      <w:r w:rsidRPr="00BD7ACC">
        <w:rPr>
          <w:rFonts w:ascii="Arial" w:hAnsi="Arial" w:cs="Arial"/>
          <w:sz w:val="24"/>
          <w:szCs w:val="24"/>
        </w:rPr>
        <w:t xml:space="preserve">entidad federativa. </w:t>
      </w:r>
      <w:r w:rsidR="00591497">
        <w:rPr>
          <w:rFonts w:ascii="Arial" w:hAnsi="Arial" w:cs="Arial"/>
          <w:sz w:val="24"/>
          <w:szCs w:val="24"/>
        </w:rPr>
        <w:t>P</w:t>
      </w:r>
      <w:r w:rsidRPr="00BD7ACC">
        <w:rPr>
          <w:rFonts w:ascii="Arial" w:hAnsi="Arial" w:cs="Arial"/>
          <w:sz w:val="24"/>
          <w:szCs w:val="24"/>
        </w:rPr>
        <w:t>ara el año de referencia se presenta el desglose de causas</w:t>
      </w:r>
      <w:r w:rsidR="00591497">
        <w:rPr>
          <w:rFonts w:ascii="Arial" w:hAnsi="Arial" w:cs="Arial"/>
          <w:sz w:val="24"/>
          <w:szCs w:val="24"/>
        </w:rPr>
        <w:t xml:space="preserve">. Estas se relacionan </w:t>
      </w:r>
      <w:r w:rsidRPr="00BD7ACC">
        <w:rPr>
          <w:rFonts w:ascii="Arial" w:hAnsi="Arial" w:cs="Arial"/>
          <w:sz w:val="24"/>
          <w:szCs w:val="24"/>
        </w:rPr>
        <w:t>con el medio o mecanismo usado para provocar la lesión que condujo a la muerte</w:t>
      </w:r>
      <w:r w:rsidR="00B50244">
        <w:rPr>
          <w:rFonts w:ascii="Arial" w:hAnsi="Arial" w:cs="Arial"/>
          <w:sz w:val="24"/>
          <w:szCs w:val="24"/>
        </w:rPr>
        <w:t xml:space="preserve"> de la persona</w:t>
      </w:r>
      <w:r w:rsidRPr="00BD7ACC">
        <w:rPr>
          <w:rFonts w:ascii="Arial" w:hAnsi="Arial" w:cs="Arial"/>
          <w:sz w:val="24"/>
          <w:szCs w:val="24"/>
        </w:rPr>
        <w:t>.</w:t>
      </w:r>
    </w:p>
    <w:p w14:paraId="041D7D00" w14:textId="77777777" w:rsidR="007F1285" w:rsidRPr="00BD7ACC" w:rsidRDefault="007F1285" w:rsidP="00DC57AF">
      <w:pPr>
        <w:spacing w:after="0" w:line="240" w:lineRule="auto"/>
        <w:ind w:right="5"/>
        <w:jc w:val="center"/>
        <w:rPr>
          <w:rFonts w:ascii="Arial" w:hAnsi="Arial"/>
          <w:sz w:val="20"/>
          <w:szCs w:val="20"/>
          <w:lang w:eastAsia="es-ES"/>
        </w:rPr>
      </w:pPr>
      <w:r w:rsidRPr="00BD7ACC">
        <w:rPr>
          <w:rFonts w:ascii="Arial" w:hAnsi="Arial"/>
          <w:sz w:val="20"/>
          <w:szCs w:val="20"/>
          <w:lang w:eastAsia="es-ES"/>
        </w:rPr>
        <w:t>Gráfica 1</w:t>
      </w:r>
    </w:p>
    <w:p w14:paraId="7A5119ED" w14:textId="4DFFF538" w:rsidR="007F1285" w:rsidRPr="00BD7ACC" w:rsidRDefault="007F1285" w:rsidP="00DC57AF">
      <w:pPr>
        <w:widowControl w:val="0"/>
        <w:autoSpaceDE w:val="0"/>
        <w:autoSpaceDN w:val="0"/>
        <w:adjustRightInd w:val="0"/>
        <w:spacing w:after="0" w:line="240" w:lineRule="auto"/>
        <w:ind w:right="5"/>
        <w:jc w:val="center"/>
        <w:rPr>
          <w:rFonts w:ascii="Arial" w:hAnsi="Arial" w:cs="Arial"/>
          <w:b/>
          <w:smallCaps/>
          <w:lang w:eastAsia="es-ES"/>
        </w:rPr>
      </w:pPr>
      <w:r w:rsidRPr="00BD7ACC">
        <w:rPr>
          <w:rFonts w:ascii="Arial" w:hAnsi="Arial" w:cs="Arial"/>
          <w:b/>
          <w:smallCaps/>
          <w:lang w:eastAsia="es-ES"/>
        </w:rPr>
        <w:t>H</w:t>
      </w:r>
      <w:r w:rsidR="00274518" w:rsidRPr="00BD7ACC">
        <w:rPr>
          <w:rFonts w:ascii="Arial" w:hAnsi="Arial" w:cs="Arial"/>
          <w:b/>
          <w:smallCaps/>
          <w:lang w:eastAsia="es-ES"/>
        </w:rPr>
        <w:t>omicidios a nivel nacional</w:t>
      </w:r>
    </w:p>
    <w:p w14:paraId="145C8A64" w14:textId="77777777" w:rsidR="007F1285" w:rsidRPr="00BD7ACC" w:rsidRDefault="009C09BE" w:rsidP="00DC57AF">
      <w:pPr>
        <w:widowControl w:val="0"/>
        <w:autoSpaceDE w:val="0"/>
        <w:autoSpaceDN w:val="0"/>
        <w:adjustRightInd w:val="0"/>
        <w:spacing w:after="0" w:line="240" w:lineRule="auto"/>
        <w:ind w:right="5"/>
        <w:jc w:val="center"/>
        <w:rPr>
          <w:rFonts w:ascii="Arial" w:hAnsi="Arial" w:cs="Arial"/>
          <w:b/>
          <w:smallCaps/>
          <w:lang w:eastAsia="es-ES"/>
        </w:rPr>
      </w:pPr>
      <w:r w:rsidRPr="00BD7ACC">
        <w:rPr>
          <w:rFonts w:ascii="Arial" w:hAnsi="Arial" w:cs="Arial"/>
          <w:b/>
          <w:smallCaps/>
          <w:lang w:eastAsia="es-ES"/>
        </w:rPr>
        <w:t>S</w:t>
      </w:r>
      <w:r w:rsidR="00274518" w:rsidRPr="00BD7ACC">
        <w:rPr>
          <w:rFonts w:ascii="Arial" w:hAnsi="Arial" w:cs="Arial"/>
          <w:b/>
          <w:smallCaps/>
          <w:lang w:eastAsia="es-ES"/>
        </w:rPr>
        <w:t>erie anual</w:t>
      </w:r>
      <w:r w:rsidRPr="00BD7ACC">
        <w:rPr>
          <w:rFonts w:ascii="Arial" w:hAnsi="Arial" w:cs="Arial"/>
          <w:b/>
          <w:smallCaps/>
          <w:lang w:eastAsia="es-ES"/>
        </w:rPr>
        <w:t xml:space="preserve"> 1990-2021</w:t>
      </w:r>
      <w:r w:rsidRPr="00BD7ACC">
        <w:rPr>
          <w:rFonts w:ascii="Arial" w:hAnsi="Arial" w:cs="Arial"/>
          <w:b/>
          <w:smallCaps/>
          <w:vertAlign w:val="superscript"/>
          <w:lang w:eastAsia="es-ES"/>
        </w:rPr>
        <w:t>p</w:t>
      </w:r>
    </w:p>
    <w:p w14:paraId="3D35EA61" w14:textId="6F6F3D62" w:rsidR="007F1285" w:rsidRPr="00BD7ACC" w:rsidRDefault="007F1285" w:rsidP="00DC57AF">
      <w:pPr>
        <w:widowControl w:val="0"/>
        <w:tabs>
          <w:tab w:val="left" w:pos="4111"/>
        </w:tabs>
        <w:autoSpaceDE w:val="0"/>
        <w:autoSpaceDN w:val="0"/>
        <w:adjustRightInd w:val="0"/>
        <w:spacing w:after="0" w:line="240" w:lineRule="auto"/>
        <w:ind w:right="5"/>
        <w:jc w:val="center"/>
        <w:rPr>
          <w:rFonts w:ascii="Arial" w:hAnsi="Arial" w:cs="Arial"/>
          <w:smallCaps/>
          <w:sz w:val="18"/>
          <w:szCs w:val="18"/>
          <w:lang w:eastAsia="es-ES"/>
        </w:rPr>
      </w:pPr>
      <w:r w:rsidRPr="00BD7ACC">
        <w:rPr>
          <w:rFonts w:ascii="Arial" w:hAnsi="Arial" w:cs="Arial"/>
          <w:smallCaps/>
          <w:sz w:val="18"/>
          <w:szCs w:val="18"/>
          <w:lang w:eastAsia="es-ES"/>
        </w:rPr>
        <w:t>(Total)</w:t>
      </w:r>
    </w:p>
    <w:p w14:paraId="586D7316" w14:textId="53F3874D" w:rsidR="007F1285" w:rsidRDefault="00A43E2F" w:rsidP="00F117DF">
      <w:pPr>
        <w:spacing w:after="120" w:line="240" w:lineRule="auto"/>
        <w:ind w:right="425"/>
        <w:jc w:val="center"/>
        <w:rPr>
          <w:noProof/>
        </w:rPr>
      </w:pPr>
      <w:r w:rsidRPr="007A00BA">
        <w:rPr>
          <w:noProof/>
        </w:rPr>
        <w:drawing>
          <wp:inline distT="0" distB="0" distL="0" distR="0" wp14:anchorId="17BCD458" wp14:editId="2433638F">
            <wp:extent cx="6069330" cy="2731770"/>
            <wp:effectExtent l="0" t="0" r="0" b="0"/>
            <wp:docPr id="1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E509C0" w14:textId="302EE9E3" w:rsidR="007F1285" w:rsidRDefault="007F1285" w:rsidP="00F117DF">
      <w:pPr>
        <w:spacing w:after="0" w:line="240" w:lineRule="auto"/>
        <w:ind w:left="567" w:right="283" w:hanging="567"/>
        <w:jc w:val="both"/>
        <w:rPr>
          <w:rFonts w:ascii="Arial" w:hAnsi="Arial" w:cs="Arial"/>
          <w:sz w:val="14"/>
          <w:szCs w:val="14"/>
        </w:rPr>
      </w:pPr>
      <w:r>
        <w:rPr>
          <w:rFonts w:ascii="Arial" w:hAnsi="Arial" w:cs="Arial"/>
          <w:color w:val="000000"/>
          <w:sz w:val="14"/>
          <w:szCs w:val="14"/>
        </w:rPr>
        <w:t>Nota:</w:t>
      </w:r>
      <w:r>
        <w:rPr>
          <w:rFonts w:ascii="Arial" w:hAnsi="Arial" w:cs="Arial"/>
          <w:color w:val="000000"/>
          <w:sz w:val="14"/>
          <w:szCs w:val="14"/>
        </w:rPr>
        <w:tab/>
        <w:t xml:space="preserve">Comprende el total de registros con códigos de causa </w:t>
      </w:r>
      <w:r>
        <w:rPr>
          <w:rFonts w:ascii="Arial" w:hAnsi="Arial" w:cs="Arial"/>
          <w:sz w:val="14"/>
          <w:szCs w:val="14"/>
        </w:rPr>
        <w:t xml:space="preserve">básica para homicidios (X85-Y09) según la Clasificación Estadística Internacional de Enfermedades y Problemas Relacionados con la Salud, Décima </w:t>
      </w:r>
      <w:r w:rsidR="00E1768B">
        <w:rPr>
          <w:rFonts w:ascii="Arial" w:hAnsi="Arial" w:cs="Arial"/>
          <w:sz w:val="14"/>
          <w:szCs w:val="14"/>
        </w:rPr>
        <w:t>r</w:t>
      </w:r>
      <w:r>
        <w:rPr>
          <w:rFonts w:ascii="Arial" w:hAnsi="Arial" w:cs="Arial"/>
          <w:sz w:val="14"/>
          <w:szCs w:val="14"/>
        </w:rPr>
        <w:t>evisión. (CIE-10)</w:t>
      </w:r>
    </w:p>
    <w:p w14:paraId="62B40721" w14:textId="12CF78F8" w:rsidR="007F1285" w:rsidRPr="00C61ACD" w:rsidRDefault="007F1285" w:rsidP="00F117DF">
      <w:pPr>
        <w:tabs>
          <w:tab w:val="left" w:pos="567"/>
        </w:tabs>
        <w:spacing w:after="0" w:line="240" w:lineRule="auto"/>
        <w:ind w:left="567" w:right="283" w:hanging="567"/>
        <w:jc w:val="both"/>
        <w:rPr>
          <w:rFonts w:ascii="Arial" w:hAnsi="Arial" w:cs="Arial"/>
          <w:bCs/>
          <w:sz w:val="14"/>
          <w:szCs w:val="14"/>
        </w:rPr>
      </w:pPr>
      <w:r w:rsidRPr="00C61ACD">
        <w:rPr>
          <w:rFonts w:ascii="Arial" w:hAnsi="Arial" w:cs="Arial"/>
          <w:bCs/>
          <w:sz w:val="14"/>
          <w:szCs w:val="14"/>
          <w:vertAlign w:val="superscript"/>
        </w:rPr>
        <w:t>p</w:t>
      </w:r>
      <w:r w:rsidRPr="00C61ACD">
        <w:rPr>
          <w:rFonts w:ascii="Arial" w:hAnsi="Arial" w:cs="Arial"/>
          <w:bCs/>
          <w:sz w:val="14"/>
          <w:szCs w:val="14"/>
        </w:rPr>
        <w:tab/>
        <w:t>Cifras preliminar</w:t>
      </w:r>
      <w:r>
        <w:rPr>
          <w:rFonts w:ascii="Arial" w:hAnsi="Arial" w:cs="Arial"/>
          <w:bCs/>
          <w:sz w:val="14"/>
          <w:szCs w:val="14"/>
        </w:rPr>
        <w:t xml:space="preserve">es (enero a diciembre 2021), con corte </w:t>
      </w:r>
      <w:r w:rsidRPr="00331198">
        <w:rPr>
          <w:rFonts w:ascii="Arial" w:hAnsi="Arial" w:cs="Arial"/>
          <w:bCs/>
          <w:sz w:val="14"/>
          <w:szCs w:val="14"/>
        </w:rPr>
        <w:t xml:space="preserve">al </w:t>
      </w:r>
      <w:r>
        <w:rPr>
          <w:rFonts w:ascii="Arial" w:hAnsi="Arial" w:cs="Arial"/>
          <w:bCs/>
          <w:sz w:val="14"/>
          <w:szCs w:val="14"/>
        </w:rPr>
        <w:t>15 de julio de 2022</w:t>
      </w:r>
      <w:r w:rsidR="00591497">
        <w:rPr>
          <w:rFonts w:ascii="Arial" w:hAnsi="Arial" w:cs="Arial"/>
          <w:bCs/>
          <w:sz w:val="14"/>
          <w:szCs w:val="14"/>
        </w:rPr>
        <w:t xml:space="preserve">: </w:t>
      </w:r>
      <w:r w:rsidRPr="00C61ACD">
        <w:rPr>
          <w:rFonts w:ascii="Arial" w:hAnsi="Arial" w:cs="Arial"/>
          <w:bCs/>
          <w:sz w:val="14"/>
          <w:szCs w:val="14"/>
        </w:rPr>
        <w:t>aún no concluyen los procesos de generación de la</w:t>
      </w:r>
      <w:r>
        <w:rPr>
          <w:rFonts w:ascii="Arial" w:hAnsi="Arial" w:cs="Arial"/>
          <w:bCs/>
          <w:sz w:val="14"/>
          <w:szCs w:val="14"/>
        </w:rPr>
        <w:t>s</w:t>
      </w:r>
      <w:r w:rsidRPr="00C61ACD">
        <w:rPr>
          <w:rFonts w:ascii="Arial" w:hAnsi="Arial" w:cs="Arial"/>
          <w:bCs/>
          <w:sz w:val="14"/>
          <w:szCs w:val="14"/>
        </w:rPr>
        <w:t xml:space="preserve"> estadística</w:t>
      </w:r>
      <w:r>
        <w:rPr>
          <w:rFonts w:ascii="Arial" w:hAnsi="Arial" w:cs="Arial"/>
          <w:bCs/>
          <w:sz w:val="14"/>
          <w:szCs w:val="14"/>
        </w:rPr>
        <w:t>s</w:t>
      </w:r>
      <w:r w:rsidRPr="00C61ACD">
        <w:rPr>
          <w:rFonts w:ascii="Arial" w:hAnsi="Arial" w:cs="Arial"/>
          <w:bCs/>
          <w:sz w:val="14"/>
          <w:szCs w:val="14"/>
        </w:rPr>
        <w:t xml:space="preserve"> de defunciones registradas.</w:t>
      </w:r>
    </w:p>
    <w:p w14:paraId="2F826AE9" w14:textId="59F02634" w:rsidR="007F1285" w:rsidRDefault="007F1285" w:rsidP="00F117DF">
      <w:pPr>
        <w:tabs>
          <w:tab w:val="left" w:pos="567"/>
        </w:tabs>
        <w:spacing w:after="0" w:line="240" w:lineRule="auto"/>
        <w:ind w:left="567" w:right="283" w:hanging="567"/>
        <w:jc w:val="both"/>
        <w:rPr>
          <w:rFonts w:ascii="Arial" w:hAnsi="Arial" w:cs="Arial"/>
          <w:color w:val="000000"/>
          <w:sz w:val="14"/>
          <w:szCs w:val="14"/>
        </w:rPr>
      </w:pPr>
      <w:r w:rsidRPr="00C61ACD">
        <w:rPr>
          <w:rFonts w:ascii="Arial" w:hAnsi="Arial" w:cs="Arial"/>
          <w:color w:val="000000"/>
          <w:sz w:val="14"/>
          <w:szCs w:val="14"/>
        </w:rPr>
        <w:t>Fuente:</w:t>
      </w:r>
      <w:r w:rsidRPr="00C61ACD">
        <w:rPr>
          <w:rFonts w:ascii="Arial" w:hAnsi="Arial" w:cs="Arial"/>
          <w:color w:val="000000"/>
          <w:sz w:val="14"/>
          <w:szCs w:val="14"/>
        </w:rPr>
        <w:tab/>
      </w:r>
      <w:r w:rsidRPr="00BD7ACC">
        <w:rPr>
          <w:rFonts w:ascii="Arial" w:hAnsi="Arial" w:cs="Arial"/>
          <w:color w:val="000000"/>
          <w:sz w:val="14"/>
          <w:szCs w:val="14"/>
        </w:rPr>
        <w:t>INEGI.</w:t>
      </w:r>
      <w:r w:rsidRPr="00591497">
        <w:rPr>
          <w:rFonts w:ascii="Arial" w:hAnsi="Arial" w:cs="Arial"/>
          <w:color w:val="000000"/>
          <w:sz w:val="14"/>
          <w:szCs w:val="14"/>
        </w:rPr>
        <w:t xml:space="preserve"> Estadísticas</w:t>
      </w:r>
      <w:r w:rsidRPr="00C61ACD">
        <w:rPr>
          <w:rFonts w:ascii="Arial" w:hAnsi="Arial" w:cs="Arial"/>
          <w:color w:val="000000"/>
          <w:sz w:val="14"/>
          <w:szCs w:val="14"/>
        </w:rPr>
        <w:t xml:space="preserve"> Vitales.</w:t>
      </w:r>
      <w:r>
        <w:rPr>
          <w:rFonts w:ascii="Arial" w:hAnsi="Arial" w:cs="Arial"/>
          <w:color w:val="000000"/>
          <w:sz w:val="14"/>
          <w:szCs w:val="14"/>
        </w:rPr>
        <w:t xml:space="preserve"> </w:t>
      </w:r>
      <w:r w:rsidR="00E1768B">
        <w:rPr>
          <w:rFonts w:ascii="Arial" w:hAnsi="Arial" w:cs="Arial"/>
          <w:color w:val="000000"/>
          <w:sz w:val="14"/>
          <w:szCs w:val="14"/>
        </w:rPr>
        <w:t xml:space="preserve">Estadísticas de </w:t>
      </w:r>
      <w:r>
        <w:rPr>
          <w:rFonts w:ascii="Arial" w:hAnsi="Arial" w:cs="Arial"/>
          <w:color w:val="000000"/>
          <w:sz w:val="14"/>
          <w:szCs w:val="14"/>
        </w:rPr>
        <w:t xml:space="preserve">Defunciones </w:t>
      </w:r>
      <w:r w:rsidR="00E1768B">
        <w:rPr>
          <w:rFonts w:ascii="Arial" w:hAnsi="Arial" w:cs="Arial"/>
          <w:color w:val="000000"/>
          <w:sz w:val="14"/>
          <w:szCs w:val="14"/>
        </w:rPr>
        <w:t>R</w:t>
      </w:r>
      <w:r>
        <w:rPr>
          <w:rFonts w:ascii="Arial" w:hAnsi="Arial" w:cs="Arial"/>
          <w:color w:val="000000"/>
          <w:sz w:val="14"/>
          <w:szCs w:val="14"/>
        </w:rPr>
        <w:t>egistradas</w:t>
      </w:r>
    </w:p>
    <w:p w14:paraId="394C3207" w14:textId="77777777" w:rsidR="007F1285" w:rsidRDefault="007F1285" w:rsidP="00542B4B">
      <w:pPr>
        <w:spacing w:after="0" w:line="240" w:lineRule="auto"/>
        <w:ind w:right="425"/>
        <w:rPr>
          <w:rFonts w:ascii="Arial" w:hAnsi="Arial" w:cs="Arial"/>
          <w:color w:val="000000"/>
          <w:sz w:val="14"/>
          <w:szCs w:val="14"/>
        </w:rPr>
      </w:pPr>
    </w:p>
    <w:p w14:paraId="7DF0B424" w14:textId="77777777" w:rsidR="00FE58B2" w:rsidRDefault="009F58D3" w:rsidP="001F57AE">
      <w:pPr>
        <w:tabs>
          <w:tab w:val="left" w:pos="4111"/>
        </w:tabs>
        <w:spacing w:before="360"/>
        <w:ind w:right="425"/>
        <w:jc w:val="both"/>
        <w:rPr>
          <w:rFonts w:ascii="Arial" w:hAnsi="Arial"/>
          <w:bCs/>
          <w:sz w:val="24"/>
          <w:szCs w:val="24"/>
          <w:lang w:eastAsia="es-ES"/>
        </w:rPr>
      </w:pPr>
      <w:r>
        <w:rPr>
          <w:rFonts w:ascii="Arial" w:hAnsi="Arial"/>
          <w:bCs/>
          <w:sz w:val="24"/>
          <w:szCs w:val="24"/>
          <w:lang w:eastAsia="es-ES"/>
        </w:rPr>
        <w:br w:type="page"/>
      </w:r>
    </w:p>
    <w:p w14:paraId="675F53F3" w14:textId="6CF68024" w:rsidR="00DB0E88" w:rsidRPr="00BD7ACC" w:rsidRDefault="007F1285" w:rsidP="00BD7ACC">
      <w:pPr>
        <w:tabs>
          <w:tab w:val="left" w:pos="4111"/>
        </w:tabs>
        <w:spacing w:before="360"/>
        <w:ind w:left="-142" w:right="-137"/>
        <w:jc w:val="both"/>
        <w:rPr>
          <w:rFonts w:ascii="Arial" w:hAnsi="Arial" w:cs="Arial"/>
          <w:bCs/>
          <w:sz w:val="24"/>
          <w:szCs w:val="24"/>
          <w:lang w:eastAsia="es-ES"/>
        </w:rPr>
      </w:pPr>
      <w:r w:rsidRPr="00BD7ACC">
        <w:rPr>
          <w:rFonts w:ascii="Arial" w:hAnsi="Arial" w:cs="Arial"/>
          <w:sz w:val="24"/>
          <w:szCs w:val="24"/>
        </w:rPr>
        <w:lastRenderedPageBreak/>
        <w:t xml:space="preserve">En las siguientes gráficas se muestran las tasas de homicidios por cada 100 </w:t>
      </w:r>
      <w:r w:rsidR="00B50244">
        <w:rPr>
          <w:rFonts w:ascii="Arial" w:hAnsi="Arial" w:cs="Arial"/>
          <w:sz w:val="24"/>
          <w:szCs w:val="24"/>
        </w:rPr>
        <w:t>000</w:t>
      </w:r>
      <w:r w:rsidRPr="00BD7ACC">
        <w:rPr>
          <w:rFonts w:ascii="Arial" w:hAnsi="Arial" w:cs="Arial"/>
          <w:sz w:val="24"/>
          <w:szCs w:val="24"/>
        </w:rPr>
        <w:t xml:space="preserve"> habitantes para el periodo de referencia, a nivel nacional, así como para hombres y</w:t>
      </w:r>
      <w:r w:rsidRPr="00BD7ACC">
        <w:rPr>
          <w:rFonts w:ascii="Arial" w:hAnsi="Arial" w:cs="Arial"/>
          <w:bCs/>
          <w:sz w:val="24"/>
          <w:szCs w:val="24"/>
          <w:lang w:eastAsia="es-ES"/>
        </w:rPr>
        <w:t xml:space="preserve"> mujeres.</w:t>
      </w:r>
      <w:r w:rsidR="00180DC3" w:rsidRPr="00BD7ACC">
        <w:rPr>
          <w:rFonts w:ascii="Arial" w:hAnsi="Arial" w:cs="Arial"/>
          <w:bCs/>
          <w:sz w:val="24"/>
          <w:szCs w:val="24"/>
          <w:lang w:eastAsia="es-ES"/>
        </w:rPr>
        <w:t xml:space="preserve"> </w:t>
      </w:r>
      <w:r w:rsidR="0034633A" w:rsidRPr="00BD7ACC">
        <w:rPr>
          <w:rFonts w:ascii="Arial" w:hAnsi="Arial" w:cs="Arial"/>
          <w:bCs/>
          <w:sz w:val="24"/>
          <w:szCs w:val="24"/>
          <w:lang w:eastAsia="es-ES"/>
        </w:rPr>
        <w:t xml:space="preserve">La población </w:t>
      </w:r>
      <w:r w:rsidR="0028651C" w:rsidRPr="00BD7ACC">
        <w:rPr>
          <w:rFonts w:ascii="Arial" w:hAnsi="Arial" w:cs="Arial"/>
          <w:bCs/>
          <w:sz w:val="24"/>
          <w:szCs w:val="24"/>
          <w:lang w:eastAsia="es-ES"/>
        </w:rPr>
        <w:t>estimada que se utilizó</w:t>
      </w:r>
      <w:r w:rsidR="0034633A" w:rsidRPr="00BD7ACC">
        <w:rPr>
          <w:rFonts w:ascii="Arial" w:hAnsi="Arial" w:cs="Arial"/>
          <w:bCs/>
          <w:sz w:val="24"/>
          <w:szCs w:val="24"/>
          <w:lang w:eastAsia="es-ES"/>
        </w:rPr>
        <w:t xml:space="preserve"> para el cálculo de las tasas </w:t>
      </w:r>
      <w:r w:rsidR="00180DC3" w:rsidRPr="00BD7ACC">
        <w:rPr>
          <w:rFonts w:ascii="Arial" w:hAnsi="Arial" w:cs="Arial"/>
          <w:bCs/>
          <w:sz w:val="24"/>
          <w:szCs w:val="24"/>
          <w:lang w:eastAsia="es-ES"/>
        </w:rPr>
        <w:t xml:space="preserve">se muestra en el </w:t>
      </w:r>
      <w:r w:rsidR="0034633A" w:rsidRPr="00BD7ACC">
        <w:rPr>
          <w:rFonts w:ascii="Arial" w:hAnsi="Arial" w:cs="Arial"/>
          <w:bCs/>
          <w:sz w:val="24"/>
          <w:szCs w:val="24"/>
          <w:lang w:eastAsia="es-ES"/>
        </w:rPr>
        <w:t>anexo 2.</w:t>
      </w:r>
    </w:p>
    <w:p w14:paraId="7B718154" w14:textId="0B4E374F" w:rsidR="00DB0E88" w:rsidRPr="00BD7ACC" w:rsidRDefault="00DB0E88" w:rsidP="00BD7ACC">
      <w:pPr>
        <w:tabs>
          <w:tab w:val="left" w:pos="4111"/>
        </w:tabs>
        <w:spacing w:before="360"/>
        <w:ind w:left="-142" w:right="-137"/>
        <w:jc w:val="both"/>
        <w:rPr>
          <w:rFonts w:ascii="Arial" w:hAnsi="Arial" w:cs="Arial"/>
          <w:bCs/>
          <w:sz w:val="24"/>
          <w:szCs w:val="24"/>
          <w:lang w:eastAsia="es-ES"/>
        </w:rPr>
      </w:pPr>
      <w:r w:rsidRPr="00BD7ACC">
        <w:rPr>
          <w:rFonts w:ascii="Arial" w:hAnsi="Arial" w:cs="Arial"/>
          <w:bCs/>
          <w:sz w:val="24"/>
          <w:szCs w:val="24"/>
        </w:rPr>
        <w:t>En 2021, se obtuvo</w:t>
      </w:r>
      <w:r w:rsidR="00040E58">
        <w:rPr>
          <w:rFonts w:ascii="Arial" w:hAnsi="Arial" w:cs="Arial"/>
          <w:bCs/>
          <w:sz w:val="24"/>
          <w:szCs w:val="24"/>
        </w:rPr>
        <w:t xml:space="preserve"> </w:t>
      </w:r>
      <w:r w:rsidR="00040E58" w:rsidRPr="00BD7ACC">
        <w:rPr>
          <w:rFonts w:ascii="Arial" w:hAnsi="Arial" w:cs="Arial"/>
          <w:bCs/>
          <w:i/>
          <w:iCs/>
          <w:sz w:val="24"/>
          <w:szCs w:val="24"/>
        </w:rPr>
        <w:t>de manera preliminar</w:t>
      </w:r>
      <w:r w:rsidR="00040E58">
        <w:rPr>
          <w:rFonts w:ascii="Arial" w:hAnsi="Arial" w:cs="Arial"/>
          <w:bCs/>
          <w:sz w:val="24"/>
          <w:szCs w:val="24"/>
        </w:rPr>
        <w:t xml:space="preserve"> </w:t>
      </w:r>
      <w:r w:rsidRPr="00BD7ACC">
        <w:rPr>
          <w:rFonts w:ascii="Arial" w:hAnsi="Arial" w:cs="Arial"/>
          <w:bCs/>
          <w:sz w:val="24"/>
          <w:szCs w:val="24"/>
        </w:rPr>
        <w:t>una razón de 28 homicidios por cada 100</w:t>
      </w:r>
      <w:r w:rsidR="00040E58">
        <w:rPr>
          <w:rFonts w:ascii="Arial" w:hAnsi="Arial" w:cs="Arial"/>
          <w:bCs/>
          <w:sz w:val="24"/>
          <w:szCs w:val="24"/>
        </w:rPr>
        <w:t xml:space="preserve"> 000</w:t>
      </w:r>
      <w:r w:rsidRPr="00BD7ACC">
        <w:rPr>
          <w:rFonts w:ascii="Arial" w:hAnsi="Arial" w:cs="Arial"/>
          <w:bCs/>
          <w:sz w:val="24"/>
          <w:szCs w:val="24"/>
        </w:rPr>
        <w:t xml:space="preserve"> habitantes a nivel nacional</w:t>
      </w:r>
      <w:r w:rsidR="00040E58">
        <w:rPr>
          <w:rFonts w:ascii="Arial" w:hAnsi="Arial" w:cs="Arial"/>
          <w:bCs/>
          <w:sz w:val="24"/>
          <w:szCs w:val="24"/>
        </w:rPr>
        <w:t xml:space="preserve">. La </w:t>
      </w:r>
      <w:r w:rsidRPr="00BD7ACC">
        <w:rPr>
          <w:rFonts w:ascii="Arial" w:hAnsi="Arial" w:cs="Arial"/>
          <w:bCs/>
          <w:sz w:val="24"/>
          <w:szCs w:val="24"/>
        </w:rPr>
        <w:t xml:space="preserve">tasa </w:t>
      </w:r>
      <w:r w:rsidR="00040E58">
        <w:rPr>
          <w:rFonts w:ascii="Arial" w:hAnsi="Arial" w:cs="Arial"/>
          <w:bCs/>
          <w:sz w:val="24"/>
          <w:szCs w:val="24"/>
        </w:rPr>
        <w:t xml:space="preserve">es </w:t>
      </w:r>
      <w:r w:rsidRPr="00BD7ACC">
        <w:rPr>
          <w:rFonts w:ascii="Arial" w:hAnsi="Arial" w:cs="Arial"/>
          <w:bCs/>
          <w:sz w:val="24"/>
          <w:szCs w:val="24"/>
        </w:rPr>
        <w:t>menor a la registrada para el mismo periodo de 2020</w:t>
      </w:r>
      <w:r w:rsidR="00040E58">
        <w:rPr>
          <w:rFonts w:ascii="Arial" w:hAnsi="Arial" w:cs="Arial"/>
          <w:bCs/>
          <w:sz w:val="24"/>
          <w:szCs w:val="24"/>
        </w:rPr>
        <w:t>,</w:t>
      </w:r>
      <w:r w:rsidRPr="00BD7ACC">
        <w:rPr>
          <w:rFonts w:ascii="Arial" w:hAnsi="Arial" w:cs="Arial"/>
          <w:bCs/>
          <w:sz w:val="24"/>
          <w:szCs w:val="24"/>
        </w:rPr>
        <w:t xml:space="preserve"> que fue de 29.</w:t>
      </w:r>
    </w:p>
    <w:p w14:paraId="0C2E8416" w14:textId="77777777" w:rsidR="007F1285" w:rsidRDefault="007F1285" w:rsidP="007F1285">
      <w:pPr>
        <w:spacing w:after="0" w:line="240" w:lineRule="auto"/>
        <w:ind w:left="-284" w:right="425"/>
        <w:jc w:val="center"/>
        <w:rPr>
          <w:rFonts w:ascii="Arial" w:hAnsi="Arial"/>
          <w:b/>
          <w:bCs/>
          <w:sz w:val="28"/>
          <w:szCs w:val="28"/>
          <w:lang w:eastAsia="es-ES"/>
        </w:rPr>
      </w:pPr>
    </w:p>
    <w:p w14:paraId="6F8DF4AA" w14:textId="77777777" w:rsidR="007F1285" w:rsidRPr="00BD7ACC" w:rsidRDefault="007F1285" w:rsidP="00BB54CF">
      <w:pPr>
        <w:spacing w:after="0" w:line="240" w:lineRule="auto"/>
        <w:ind w:right="5"/>
        <w:jc w:val="center"/>
        <w:rPr>
          <w:rFonts w:ascii="Arial" w:hAnsi="Arial"/>
          <w:sz w:val="20"/>
          <w:szCs w:val="20"/>
          <w:lang w:eastAsia="es-ES"/>
        </w:rPr>
      </w:pPr>
      <w:r w:rsidRPr="00BD7ACC">
        <w:rPr>
          <w:rFonts w:ascii="Arial" w:hAnsi="Arial"/>
          <w:sz w:val="20"/>
          <w:szCs w:val="20"/>
          <w:lang w:eastAsia="es-ES"/>
        </w:rPr>
        <w:t>Gráfica 2</w:t>
      </w:r>
    </w:p>
    <w:p w14:paraId="33F01233" w14:textId="5EE678B2" w:rsidR="007F1285" w:rsidRPr="00BD7ACC" w:rsidRDefault="007F1285" w:rsidP="00BB54CF">
      <w:pPr>
        <w:widowControl w:val="0"/>
        <w:autoSpaceDE w:val="0"/>
        <w:autoSpaceDN w:val="0"/>
        <w:adjustRightInd w:val="0"/>
        <w:spacing w:after="0" w:line="240" w:lineRule="auto"/>
        <w:ind w:right="5"/>
        <w:jc w:val="center"/>
        <w:rPr>
          <w:rFonts w:ascii="Arial" w:hAnsi="Arial" w:cs="Arial"/>
          <w:b/>
          <w:smallCaps/>
          <w:lang w:eastAsia="es-ES"/>
        </w:rPr>
      </w:pPr>
      <w:r w:rsidRPr="00BD7ACC">
        <w:rPr>
          <w:rFonts w:ascii="Arial" w:hAnsi="Arial" w:cs="Arial"/>
          <w:b/>
          <w:smallCaps/>
          <w:lang w:eastAsia="es-ES"/>
        </w:rPr>
        <w:t>T</w:t>
      </w:r>
      <w:r w:rsidR="00C127A3" w:rsidRPr="00BD7ACC">
        <w:rPr>
          <w:rFonts w:ascii="Arial" w:hAnsi="Arial" w:cs="Arial"/>
          <w:b/>
          <w:smallCaps/>
          <w:lang w:eastAsia="es-ES"/>
        </w:rPr>
        <w:t>asa de homicidios por cada 10</w:t>
      </w:r>
      <w:r w:rsidR="005A0934" w:rsidRPr="00BD7ACC">
        <w:rPr>
          <w:rFonts w:ascii="Arial" w:hAnsi="Arial" w:cs="Arial"/>
          <w:b/>
          <w:smallCaps/>
          <w:lang w:eastAsia="es-ES"/>
        </w:rPr>
        <w:t>0</w:t>
      </w:r>
      <w:r w:rsidR="00FD59EB" w:rsidRPr="00BD7ACC">
        <w:rPr>
          <w:rFonts w:ascii="Arial" w:hAnsi="Arial" w:cs="Arial"/>
          <w:b/>
          <w:smallCaps/>
          <w:lang w:eastAsia="es-ES"/>
        </w:rPr>
        <w:t xml:space="preserve"> </w:t>
      </w:r>
      <w:r w:rsidR="00C127A3" w:rsidRPr="00BD7ACC">
        <w:rPr>
          <w:rFonts w:ascii="Arial" w:hAnsi="Arial" w:cs="Arial"/>
          <w:b/>
          <w:smallCaps/>
          <w:lang w:eastAsia="es-ES"/>
        </w:rPr>
        <w:t>000 habitantes a nivel nacional</w:t>
      </w:r>
    </w:p>
    <w:p w14:paraId="1BF6EC7F" w14:textId="77777777" w:rsidR="009C09BE" w:rsidRPr="00BD7ACC" w:rsidRDefault="009C09BE" w:rsidP="00BB54CF">
      <w:pPr>
        <w:widowControl w:val="0"/>
        <w:autoSpaceDE w:val="0"/>
        <w:autoSpaceDN w:val="0"/>
        <w:adjustRightInd w:val="0"/>
        <w:spacing w:after="0" w:line="240" w:lineRule="auto"/>
        <w:ind w:right="5"/>
        <w:jc w:val="center"/>
        <w:rPr>
          <w:rFonts w:ascii="Arial" w:hAnsi="Arial" w:cs="Arial"/>
          <w:b/>
          <w:smallCaps/>
          <w:vertAlign w:val="superscript"/>
          <w:lang w:eastAsia="es-ES"/>
        </w:rPr>
      </w:pPr>
      <w:r w:rsidRPr="00BD7ACC">
        <w:rPr>
          <w:rFonts w:ascii="Arial" w:hAnsi="Arial" w:cs="Arial"/>
          <w:b/>
          <w:smallCaps/>
          <w:lang w:eastAsia="es-ES"/>
        </w:rPr>
        <w:t>S</w:t>
      </w:r>
      <w:r w:rsidR="00C127A3" w:rsidRPr="00BD7ACC">
        <w:rPr>
          <w:rFonts w:ascii="Arial" w:hAnsi="Arial" w:cs="Arial"/>
          <w:b/>
          <w:smallCaps/>
          <w:lang w:eastAsia="es-ES"/>
        </w:rPr>
        <w:t>erie anual</w:t>
      </w:r>
      <w:r w:rsidRPr="00BD7ACC">
        <w:rPr>
          <w:rFonts w:ascii="Arial" w:hAnsi="Arial" w:cs="Arial"/>
          <w:b/>
          <w:smallCaps/>
          <w:lang w:eastAsia="es-ES"/>
        </w:rPr>
        <w:t xml:space="preserve"> 1990-2021</w:t>
      </w:r>
      <w:r w:rsidRPr="00BD7ACC">
        <w:rPr>
          <w:rFonts w:ascii="Arial" w:hAnsi="Arial" w:cs="Arial"/>
          <w:b/>
          <w:smallCaps/>
          <w:vertAlign w:val="superscript"/>
          <w:lang w:eastAsia="es-ES"/>
        </w:rPr>
        <w:t>p</w:t>
      </w:r>
    </w:p>
    <w:p w14:paraId="6ADB7FED" w14:textId="46921F53" w:rsidR="007F1285" w:rsidRPr="00BD7ACC" w:rsidRDefault="007F1285" w:rsidP="00F71FDC">
      <w:pPr>
        <w:widowControl w:val="0"/>
        <w:tabs>
          <w:tab w:val="left" w:pos="4253"/>
        </w:tabs>
        <w:autoSpaceDE w:val="0"/>
        <w:autoSpaceDN w:val="0"/>
        <w:adjustRightInd w:val="0"/>
        <w:spacing w:after="0" w:line="240" w:lineRule="auto"/>
        <w:ind w:right="5"/>
        <w:jc w:val="center"/>
        <w:rPr>
          <w:rFonts w:ascii="Arial" w:hAnsi="Arial" w:cs="Arial"/>
          <w:smallCaps/>
          <w:sz w:val="18"/>
          <w:szCs w:val="18"/>
          <w:lang w:eastAsia="es-ES"/>
        </w:rPr>
      </w:pPr>
      <w:r w:rsidRPr="00BD7ACC">
        <w:rPr>
          <w:rFonts w:ascii="Arial" w:hAnsi="Arial" w:cs="Arial"/>
          <w:smallCaps/>
          <w:sz w:val="18"/>
          <w:szCs w:val="18"/>
          <w:lang w:eastAsia="es-ES"/>
        </w:rPr>
        <w:t>(Total)</w:t>
      </w:r>
    </w:p>
    <w:p w14:paraId="606DB996" w14:textId="7032458D" w:rsidR="00BB54CF" w:rsidRDefault="00BB54CF" w:rsidP="00BB54CF">
      <w:pPr>
        <w:widowControl w:val="0"/>
        <w:tabs>
          <w:tab w:val="left" w:pos="4253"/>
        </w:tabs>
        <w:autoSpaceDE w:val="0"/>
        <w:autoSpaceDN w:val="0"/>
        <w:adjustRightInd w:val="0"/>
        <w:spacing w:after="0" w:line="240" w:lineRule="auto"/>
        <w:ind w:right="5"/>
        <w:jc w:val="center"/>
        <w:rPr>
          <w:rFonts w:ascii="Arial" w:hAnsi="Arial"/>
          <w:b/>
          <w:bCs/>
          <w:sz w:val="28"/>
          <w:szCs w:val="28"/>
          <w:lang w:eastAsia="es-ES"/>
        </w:rPr>
      </w:pPr>
      <w:r>
        <w:rPr>
          <w:noProof/>
        </w:rPr>
        <w:drawing>
          <wp:inline distT="0" distB="0" distL="0" distR="0" wp14:anchorId="7D438E25" wp14:editId="725B1647">
            <wp:extent cx="6123940" cy="2927350"/>
            <wp:effectExtent l="0" t="0" r="10160" b="6350"/>
            <wp:docPr id="15" name="Gráfico 15">
              <a:extLst xmlns:a="http://schemas.openxmlformats.org/drawingml/2006/main">
                <a:ext uri="{FF2B5EF4-FFF2-40B4-BE49-F238E27FC236}">
                  <a16:creationId xmlns:a16="http://schemas.microsoft.com/office/drawing/2014/main" id="{23D07F26-EED9-D7F8-8992-D49F54847C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1F4A15" w14:textId="71E321FE" w:rsidR="007F1285" w:rsidRPr="00B903D5" w:rsidRDefault="007F1285" w:rsidP="007E4299">
      <w:pPr>
        <w:spacing w:after="0" w:line="240" w:lineRule="auto"/>
        <w:ind w:left="567" w:right="283" w:hanging="567"/>
        <w:jc w:val="both"/>
        <w:rPr>
          <w:rFonts w:ascii="Arial" w:eastAsia="Calibri" w:hAnsi="Arial" w:cs="Arial"/>
          <w:sz w:val="14"/>
          <w:szCs w:val="14"/>
        </w:rPr>
      </w:pPr>
      <w:bookmarkStart w:id="1" w:name="_Hlk109058454"/>
      <w:r>
        <w:rPr>
          <w:rFonts w:ascii="Arial" w:hAnsi="Arial" w:cs="Arial"/>
          <w:color w:val="000000"/>
          <w:sz w:val="14"/>
          <w:szCs w:val="14"/>
        </w:rPr>
        <w:t>Nota:</w:t>
      </w:r>
      <w:r>
        <w:rPr>
          <w:rFonts w:ascii="Arial" w:hAnsi="Arial" w:cs="Arial"/>
          <w:color w:val="000000"/>
          <w:sz w:val="14"/>
          <w:szCs w:val="14"/>
        </w:rPr>
        <w:tab/>
      </w:r>
      <w:bookmarkStart w:id="2" w:name="_Hlk109124298"/>
      <w:r w:rsidRPr="00237018">
        <w:rPr>
          <w:rFonts w:ascii="Arial" w:eastAsia="Calibri" w:hAnsi="Arial" w:cs="Arial"/>
          <w:sz w:val="14"/>
          <w:szCs w:val="14"/>
        </w:rPr>
        <w:t xml:space="preserve">El denominador de la tasa para el periodo </w:t>
      </w:r>
      <w:r>
        <w:rPr>
          <w:rFonts w:ascii="Arial" w:eastAsia="Calibri" w:hAnsi="Arial" w:cs="Arial"/>
          <w:sz w:val="14"/>
          <w:szCs w:val="14"/>
        </w:rPr>
        <w:t>1990</w:t>
      </w:r>
      <w:r w:rsidRPr="00237018">
        <w:rPr>
          <w:rFonts w:ascii="Arial" w:eastAsia="Calibri" w:hAnsi="Arial" w:cs="Arial"/>
          <w:sz w:val="14"/>
          <w:szCs w:val="14"/>
        </w:rPr>
        <w:t>-20</w:t>
      </w:r>
      <w:r>
        <w:rPr>
          <w:rFonts w:ascii="Arial" w:eastAsia="Calibri" w:hAnsi="Arial" w:cs="Arial"/>
          <w:sz w:val="14"/>
          <w:szCs w:val="14"/>
        </w:rPr>
        <w:t>19</w:t>
      </w:r>
      <w:r w:rsidRPr="00237018">
        <w:rPr>
          <w:rFonts w:ascii="Arial" w:eastAsia="Calibri" w:hAnsi="Arial" w:cs="Arial"/>
          <w:sz w:val="14"/>
          <w:szCs w:val="14"/>
        </w:rPr>
        <w:t xml:space="preserve"> corresponde a las proyecciones de población 2016-2050 de</w:t>
      </w:r>
      <w:r w:rsidR="00B50244">
        <w:rPr>
          <w:rFonts w:ascii="Arial" w:eastAsia="Calibri" w:hAnsi="Arial" w:cs="Arial"/>
          <w:sz w:val="14"/>
          <w:szCs w:val="14"/>
        </w:rPr>
        <w:t>l</w:t>
      </w:r>
      <w:r w:rsidRPr="00237018">
        <w:rPr>
          <w:rFonts w:ascii="Arial" w:eastAsia="Calibri" w:hAnsi="Arial" w:cs="Arial"/>
          <w:sz w:val="14"/>
          <w:szCs w:val="14"/>
        </w:rPr>
        <w:t xml:space="preserve"> CONAPO y a la Conciliación Demográfica de México, 1950-2015. </w:t>
      </w:r>
      <w:r w:rsidRPr="00427FD7">
        <w:rPr>
          <w:rFonts w:ascii="Arial" w:eastAsia="Calibri" w:hAnsi="Arial" w:cs="Arial"/>
          <w:sz w:val="14"/>
          <w:szCs w:val="14"/>
        </w:rPr>
        <w:t xml:space="preserve">Para </w:t>
      </w:r>
      <w:r w:rsidR="00040E58">
        <w:rPr>
          <w:rFonts w:ascii="Arial" w:eastAsia="Calibri" w:hAnsi="Arial" w:cs="Arial"/>
          <w:sz w:val="14"/>
          <w:szCs w:val="14"/>
        </w:rPr>
        <w:t xml:space="preserve">este </w:t>
      </w:r>
      <w:r w:rsidRPr="00427FD7">
        <w:rPr>
          <w:rFonts w:ascii="Arial" w:eastAsia="Calibri" w:hAnsi="Arial" w:cs="Arial"/>
          <w:sz w:val="14"/>
          <w:szCs w:val="14"/>
        </w:rPr>
        <w:t>cálculo</w:t>
      </w:r>
      <w:r w:rsidR="00040E58">
        <w:rPr>
          <w:rFonts w:ascii="Arial" w:eastAsia="Calibri" w:hAnsi="Arial" w:cs="Arial"/>
          <w:sz w:val="14"/>
          <w:szCs w:val="14"/>
        </w:rPr>
        <w:t>, la tasa</w:t>
      </w:r>
      <w:r w:rsidRPr="00427FD7">
        <w:rPr>
          <w:rFonts w:ascii="Arial" w:eastAsia="Calibri" w:hAnsi="Arial" w:cs="Arial"/>
          <w:sz w:val="14"/>
          <w:szCs w:val="14"/>
        </w:rPr>
        <w:t xml:space="preserve"> de los años 2020-2021</w:t>
      </w:r>
      <w:r w:rsidR="00040E58">
        <w:rPr>
          <w:rFonts w:ascii="Arial" w:eastAsia="Calibri" w:hAnsi="Arial" w:cs="Arial"/>
          <w:sz w:val="14"/>
          <w:szCs w:val="14"/>
        </w:rPr>
        <w:t xml:space="preserve"> </w:t>
      </w:r>
      <w:r w:rsidRPr="00427FD7">
        <w:rPr>
          <w:rFonts w:ascii="Arial" w:eastAsia="Calibri" w:hAnsi="Arial" w:cs="Arial"/>
          <w:sz w:val="14"/>
          <w:szCs w:val="14"/>
        </w:rPr>
        <w:t xml:space="preserve">se ajusta a la estimación de población </w:t>
      </w:r>
      <w:r w:rsidR="00040E58">
        <w:rPr>
          <w:rFonts w:ascii="Arial" w:eastAsia="Calibri" w:hAnsi="Arial" w:cs="Arial"/>
          <w:sz w:val="14"/>
          <w:szCs w:val="14"/>
        </w:rPr>
        <w:t xml:space="preserve">que elabora </w:t>
      </w:r>
      <w:r w:rsidRPr="00427FD7">
        <w:rPr>
          <w:rFonts w:ascii="Arial" w:eastAsia="Calibri" w:hAnsi="Arial" w:cs="Arial"/>
          <w:sz w:val="14"/>
          <w:szCs w:val="14"/>
        </w:rPr>
        <w:t>el INEGI con base en el Marco de Muestreo de Vivienda</w:t>
      </w:r>
      <w:r w:rsidR="001E081A">
        <w:rPr>
          <w:rFonts w:ascii="Arial" w:eastAsia="Calibri" w:hAnsi="Arial" w:cs="Arial"/>
          <w:sz w:val="14"/>
          <w:szCs w:val="14"/>
        </w:rPr>
        <w:t xml:space="preserve"> con referencia al 30 de junio para ambos años.</w:t>
      </w:r>
      <w:bookmarkEnd w:id="2"/>
    </w:p>
    <w:bookmarkEnd w:id="1"/>
    <w:p w14:paraId="4269E00C" w14:textId="733898A2" w:rsidR="007F1285" w:rsidRPr="00C61ACD" w:rsidRDefault="007F1285" w:rsidP="007E4299">
      <w:pPr>
        <w:tabs>
          <w:tab w:val="left" w:pos="567"/>
        </w:tabs>
        <w:spacing w:after="0" w:line="240" w:lineRule="auto"/>
        <w:ind w:left="567" w:right="283" w:hanging="567"/>
        <w:jc w:val="both"/>
        <w:rPr>
          <w:rFonts w:ascii="Arial" w:hAnsi="Arial" w:cs="Arial"/>
          <w:bCs/>
          <w:sz w:val="14"/>
          <w:szCs w:val="14"/>
        </w:rPr>
      </w:pPr>
      <w:r w:rsidRPr="00C61ACD">
        <w:rPr>
          <w:rFonts w:ascii="Arial" w:hAnsi="Arial" w:cs="Arial"/>
          <w:bCs/>
          <w:sz w:val="14"/>
          <w:szCs w:val="14"/>
          <w:vertAlign w:val="superscript"/>
        </w:rPr>
        <w:t>p</w:t>
      </w:r>
      <w:r w:rsidRPr="00C61ACD">
        <w:rPr>
          <w:rFonts w:ascii="Arial" w:hAnsi="Arial" w:cs="Arial"/>
          <w:bCs/>
          <w:sz w:val="14"/>
          <w:szCs w:val="14"/>
        </w:rPr>
        <w:tab/>
        <w:t>Cifras preliminar</w:t>
      </w:r>
      <w:r>
        <w:rPr>
          <w:rFonts w:ascii="Arial" w:hAnsi="Arial" w:cs="Arial"/>
          <w:bCs/>
          <w:sz w:val="14"/>
          <w:szCs w:val="14"/>
        </w:rPr>
        <w:t xml:space="preserve">es (enero a diciembre 2021), con corte </w:t>
      </w:r>
      <w:r w:rsidRPr="00331198">
        <w:rPr>
          <w:rFonts w:ascii="Arial" w:hAnsi="Arial" w:cs="Arial"/>
          <w:bCs/>
          <w:sz w:val="14"/>
          <w:szCs w:val="14"/>
        </w:rPr>
        <w:t xml:space="preserve">al </w:t>
      </w:r>
      <w:r>
        <w:rPr>
          <w:rFonts w:ascii="Arial" w:hAnsi="Arial" w:cs="Arial"/>
          <w:bCs/>
          <w:sz w:val="14"/>
          <w:szCs w:val="14"/>
        </w:rPr>
        <w:t>15 de julio de 2022</w:t>
      </w:r>
      <w:r w:rsidR="00040E58">
        <w:rPr>
          <w:rFonts w:ascii="Arial" w:hAnsi="Arial" w:cs="Arial"/>
          <w:bCs/>
          <w:sz w:val="14"/>
          <w:szCs w:val="14"/>
        </w:rPr>
        <w:t xml:space="preserve">: </w:t>
      </w:r>
      <w:r w:rsidRPr="00C61ACD">
        <w:rPr>
          <w:rFonts w:ascii="Arial" w:hAnsi="Arial" w:cs="Arial"/>
          <w:bCs/>
          <w:sz w:val="14"/>
          <w:szCs w:val="14"/>
        </w:rPr>
        <w:t>aún no concluyen los procesos de generación de la</w:t>
      </w:r>
      <w:r>
        <w:rPr>
          <w:rFonts w:ascii="Arial" w:hAnsi="Arial" w:cs="Arial"/>
          <w:bCs/>
          <w:sz w:val="14"/>
          <w:szCs w:val="14"/>
        </w:rPr>
        <w:t>s</w:t>
      </w:r>
      <w:r w:rsidRPr="00C61ACD">
        <w:rPr>
          <w:rFonts w:ascii="Arial" w:hAnsi="Arial" w:cs="Arial"/>
          <w:bCs/>
          <w:sz w:val="14"/>
          <w:szCs w:val="14"/>
        </w:rPr>
        <w:t xml:space="preserve"> estadís</w:t>
      </w:r>
      <w:r>
        <w:rPr>
          <w:rFonts w:ascii="Arial" w:hAnsi="Arial" w:cs="Arial"/>
          <w:bCs/>
          <w:sz w:val="14"/>
          <w:szCs w:val="14"/>
        </w:rPr>
        <w:t>ticas de defunciones registradas</w:t>
      </w:r>
      <w:r w:rsidRPr="00C61ACD">
        <w:rPr>
          <w:rFonts w:ascii="Arial" w:hAnsi="Arial" w:cs="Arial"/>
          <w:bCs/>
          <w:sz w:val="14"/>
          <w:szCs w:val="14"/>
        </w:rPr>
        <w:t>.</w:t>
      </w:r>
    </w:p>
    <w:p w14:paraId="72C503B9" w14:textId="27ED8C48" w:rsidR="007F1285" w:rsidRPr="00040E58" w:rsidRDefault="007F1285" w:rsidP="007E4299">
      <w:pPr>
        <w:tabs>
          <w:tab w:val="left" w:pos="567"/>
        </w:tabs>
        <w:spacing w:after="0" w:line="240" w:lineRule="auto"/>
        <w:ind w:left="567" w:right="283" w:hanging="567"/>
        <w:jc w:val="both"/>
        <w:rPr>
          <w:rFonts w:ascii="Arial" w:hAnsi="Arial" w:cs="Arial"/>
          <w:color w:val="000000"/>
          <w:sz w:val="14"/>
          <w:szCs w:val="14"/>
        </w:rPr>
      </w:pPr>
      <w:r w:rsidRPr="00C61ACD">
        <w:rPr>
          <w:rFonts w:ascii="Arial" w:hAnsi="Arial" w:cs="Arial"/>
          <w:color w:val="000000"/>
          <w:sz w:val="14"/>
          <w:szCs w:val="14"/>
        </w:rPr>
        <w:t>Fuente:</w:t>
      </w:r>
      <w:r w:rsidRPr="00040E58">
        <w:rPr>
          <w:rFonts w:ascii="Arial" w:hAnsi="Arial" w:cs="Arial"/>
          <w:color w:val="000000"/>
          <w:sz w:val="14"/>
          <w:szCs w:val="14"/>
        </w:rPr>
        <w:tab/>
      </w:r>
      <w:r w:rsidRPr="00BD7ACC">
        <w:rPr>
          <w:rFonts w:ascii="Arial" w:hAnsi="Arial" w:cs="Arial"/>
          <w:color w:val="000000"/>
          <w:sz w:val="14"/>
          <w:szCs w:val="14"/>
        </w:rPr>
        <w:t>INEGI.</w:t>
      </w:r>
      <w:r w:rsidRPr="00040E58">
        <w:rPr>
          <w:rFonts w:ascii="Arial" w:hAnsi="Arial" w:cs="Arial"/>
          <w:color w:val="000000"/>
          <w:sz w:val="14"/>
          <w:szCs w:val="14"/>
        </w:rPr>
        <w:t xml:space="preserve"> Estadísticas Vitales. </w:t>
      </w:r>
      <w:r w:rsidR="00476316" w:rsidRPr="00040E58">
        <w:rPr>
          <w:rFonts w:ascii="Arial" w:hAnsi="Arial" w:cs="Arial"/>
          <w:color w:val="000000"/>
          <w:sz w:val="14"/>
          <w:szCs w:val="14"/>
        </w:rPr>
        <w:t xml:space="preserve">Estadísticas de </w:t>
      </w:r>
      <w:r w:rsidRPr="00040E58">
        <w:rPr>
          <w:rFonts w:ascii="Arial" w:hAnsi="Arial" w:cs="Arial"/>
          <w:color w:val="000000"/>
          <w:sz w:val="14"/>
          <w:szCs w:val="14"/>
        </w:rPr>
        <w:t xml:space="preserve">Defunciones </w:t>
      </w:r>
      <w:r w:rsidR="00476316" w:rsidRPr="00040E58">
        <w:rPr>
          <w:rFonts w:ascii="Arial" w:hAnsi="Arial" w:cs="Arial"/>
          <w:color w:val="000000"/>
          <w:sz w:val="14"/>
          <w:szCs w:val="14"/>
        </w:rPr>
        <w:t>R</w:t>
      </w:r>
      <w:r w:rsidRPr="00040E58">
        <w:rPr>
          <w:rFonts w:ascii="Arial" w:hAnsi="Arial" w:cs="Arial"/>
          <w:color w:val="000000"/>
          <w:sz w:val="14"/>
          <w:szCs w:val="14"/>
        </w:rPr>
        <w:t>egistradas</w:t>
      </w:r>
    </w:p>
    <w:p w14:paraId="0B2CC878" w14:textId="77777777" w:rsidR="007F1285" w:rsidRDefault="007F1285" w:rsidP="007F1285">
      <w:pPr>
        <w:spacing w:after="120" w:line="240" w:lineRule="auto"/>
        <w:ind w:left="-284" w:right="425"/>
        <w:jc w:val="center"/>
        <w:rPr>
          <w:rFonts w:ascii="Arial" w:hAnsi="Arial"/>
          <w:b/>
          <w:bCs/>
          <w:sz w:val="28"/>
          <w:szCs w:val="28"/>
          <w:lang w:eastAsia="es-ES"/>
        </w:rPr>
      </w:pPr>
    </w:p>
    <w:p w14:paraId="50136B99" w14:textId="77777777" w:rsidR="007F1285" w:rsidRDefault="007F1285" w:rsidP="007F1285">
      <w:pPr>
        <w:spacing w:after="0" w:line="240" w:lineRule="auto"/>
        <w:ind w:left="-284" w:right="425"/>
        <w:jc w:val="center"/>
        <w:rPr>
          <w:rFonts w:ascii="Arial" w:hAnsi="Arial"/>
          <w:b/>
          <w:bCs/>
          <w:sz w:val="28"/>
          <w:szCs w:val="28"/>
          <w:lang w:eastAsia="es-ES"/>
        </w:rPr>
      </w:pPr>
      <w:r>
        <w:rPr>
          <w:rFonts w:ascii="Arial" w:hAnsi="Arial"/>
          <w:b/>
          <w:bCs/>
          <w:sz w:val="28"/>
          <w:szCs w:val="28"/>
          <w:lang w:eastAsia="es-ES"/>
        </w:rPr>
        <w:br w:type="page"/>
      </w:r>
    </w:p>
    <w:p w14:paraId="0E7E43DE" w14:textId="5FF513C2" w:rsidR="00DB0E88" w:rsidRDefault="00DB0E88" w:rsidP="00BD7ACC">
      <w:pPr>
        <w:spacing w:after="0" w:line="240" w:lineRule="auto"/>
        <w:ind w:left="-142" w:right="-137"/>
        <w:jc w:val="both"/>
        <w:rPr>
          <w:rFonts w:ascii="Arial" w:hAnsi="Arial"/>
          <w:sz w:val="24"/>
          <w:szCs w:val="24"/>
          <w:lang w:eastAsia="es-ES"/>
        </w:rPr>
      </w:pPr>
      <w:r w:rsidRPr="00DC57AF">
        <w:rPr>
          <w:rFonts w:ascii="Arial" w:hAnsi="Arial"/>
          <w:sz w:val="24"/>
          <w:szCs w:val="24"/>
          <w:lang w:eastAsia="es-ES"/>
        </w:rPr>
        <w:lastRenderedPageBreak/>
        <w:t xml:space="preserve">En el caso de los hombres, la razón </w:t>
      </w:r>
      <w:r w:rsidR="00A124E8">
        <w:rPr>
          <w:rFonts w:ascii="Arial" w:hAnsi="Arial"/>
          <w:sz w:val="24"/>
          <w:szCs w:val="24"/>
          <w:lang w:eastAsia="es-ES"/>
        </w:rPr>
        <w:t xml:space="preserve">en 2021 </w:t>
      </w:r>
      <w:r w:rsidRPr="00DC57AF">
        <w:rPr>
          <w:rFonts w:ascii="Arial" w:hAnsi="Arial"/>
          <w:sz w:val="24"/>
          <w:szCs w:val="24"/>
          <w:lang w:eastAsia="es-ES"/>
        </w:rPr>
        <w:t xml:space="preserve">fue de </w:t>
      </w:r>
      <w:r w:rsidR="00816138">
        <w:rPr>
          <w:rFonts w:ascii="Arial" w:hAnsi="Arial"/>
          <w:sz w:val="24"/>
          <w:szCs w:val="24"/>
          <w:lang w:eastAsia="es-ES"/>
        </w:rPr>
        <w:t>50</w:t>
      </w:r>
      <w:r w:rsidRPr="00DC57AF">
        <w:rPr>
          <w:rFonts w:ascii="Arial" w:hAnsi="Arial"/>
          <w:sz w:val="24"/>
          <w:szCs w:val="24"/>
          <w:lang w:eastAsia="es-ES"/>
        </w:rPr>
        <w:t xml:space="preserve"> </w:t>
      </w:r>
      <w:r>
        <w:rPr>
          <w:rFonts w:ascii="Arial" w:hAnsi="Arial"/>
          <w:sz w:val="24"/>
          <w:szCs w:val="24"/>
          <w:lang w:eastAsia="es-ES"/>
        </w:rPr>
        <w:t xml:space="preserve">homicidios por cada 100 </w:t>
      </w:r>
      <w:r w:rsidR="00040E58">
        <w:rPr>
          <w:rFonts w:ascii="Arial" w:hAnsi="Arial"/>
          <w:sz w:val="24"/>
          <w:szCs w:val="24"/>
          <w:lang w:eastAsia="es-ES"/>
        </w:rPr>
        <w:t>000</w:t>
      </w:r>
      <w:r>
        <w:rPr>
          <w:rFonts w:ascii="Arial" w:hAnsi="Arial"/>
          <w:sz w:val="24"/>
          <w:szCs w:val="24"/>
          <w:lang w:eastAsia="es-ES"/>
        </w:rPr>
        <w:t xml:space="preserve"> </w:t>
      </w:r>
      <w:r w:rsidR="00445424">
        <w:rPr>
          <w:rFonts w:ascii="Arial" w:hAnsi="Arial"/>
          <w:sz w:val="24"/>
          <w:szCs w:val="24"/>
          <w:lang w:eastAsia="es-ES"/>
        </w:rPr>
        <w:t>personas del sexo masculino</w:t>
      </w:r>
      <w:r w:rsidR="00040E58">
        <w:rPr>
          <w:rFonts w:ascii="Arial" w:hAnsi="Arial"/>
          <w:sz w:val="24"/>
          <w:szCs w:val="24"/>
          <w:lang w:eastAsia="es-ES"/>
        </w:rPr>
        <w:t xml:space="preserve">. Se observa </w:t>
      </w:r>
      <w:r w:rsidR="00445424">
        <w:rPr>
          <w:rFonts w:ascii="Arial" w:hAnsi="Arial"/>
          <w:sz w:val="24"/>
          <w:szCs w:val="24"/>
          <w:lang w:eastAsia="es-ES"/>
        </w:rPr>
        <w:t>una disminución respecto a 2020</w:t>
      </w:r>
      <w:r w:rsidR="00AF65B1">
        <w:rPr>
          <w:rFonts w:ascii="Arial" w:hAnsi="Arial"/>
          <w:sz w:val="24"/>
          <w:szCs w:val="24"/>
          <w:lang w:eastAsia="es-ES"/>
        </w:rPr>
        <w:t>,</w:t>
      </w:r>
      <w:r w:rsidR="00445424">
        <w:rPr>
          <w:rFonts w:ascii="Arial" w:hAnsi="Arial"/>
          <w:sz w:val="24"/>
          <w:szCs w:val="24"/>
          <w:lang w:eastAsia="es-ES"/>
        </w:rPr>
        <w:t xml:space="preserve"> cuya tasa fue de </w:t>
      </w:r>
      <w:r w:rsidR="00816138">
        <w:rPr>
          <w:rFonts w:ascii="Arial" w:hAnsi="Arial"/>
          <w:sz w:val="24"/>
          <w:szCs w:val="24"/>
          <w:lang w:eastAsia="es-ES"/>
        </w:rPr>
        <w:t>52</w:t>
      </w:r>
      <w:r>
        <w:rPr>
          <w:rFonts w:ascii="Arial" w:hAnsi="Arial"/>
          <w:sz w:val="24"/>
          <w:szCs w:val="24"/>
          <w:lang w:eastAsia="es-ES"/>
        </w:rPr>
        <w:t xml:space="preserve">. </w:t>
      </w:r>
    </w:p>
    <w:p w14:paraId="4737DB14" w14:textId="77777777" w:rsidR="00445424" w:rsidRPr="00DC57AF" w:rsidRDefault="00445424" w:rsidP="00DC57AF">
      <w:pPr>
        <w:spacing w:after="0" w:line="240" w:lineRule="auto"/>
        <w:ind w:left="-284" w:right="425"/>
        <w:rPr>
          <w:rFonts w:ascii="Arial" w:hAnsi="Arial"/>
          <w:sz w:val="24"/>
          <w:szCs w:val="24"/>
          <w:lang w:eastAsia="es-ES"/>
        </w:rPr>
      </w:pPr>
    </w:p>
    <w:p w14:paraId="54178A0C" w14:textId="77777777" w:rsidR="007F1285" w:rsidRPr="00BD7ACC" w:rsidRDefault="007F1285" w:rsidP="00F71FDC">
      <w:pPr>
        <w:spacing w:after="0" w:line="240" w:lineRule="auto"/>
        <w:ind w:right="5"/>
        <w:jc w:val="center"/>
        <w:rPr>
          <w:rFonts w:ascii="Arial" w:hAnsi="Arial"/>
          <w:sz w:val="20"/>
          <w:szCs w:val="20"/>
          <w:lang w:eastAsia="es-ES"/>
        </w:rPr>
      </w:pPr>
      <w:r w:rsidRPr="00BD7ACC">
        <w:rPr>
          <w:rFonts w:ascii="Arial" w:hAnsi="Arial"/>
          <w:sz w:val="20"/>
          <w:szCs w:val="20"/>
          <w:lang w:eastAsia="es-ES"/>
        </w:rPr>
        <w:t>Gráfica 3</w:t>
      </w:r>
    </w:p>
    <w:p w14:paraId="2617D683" w14:textId="77777777" w:rsidR="007F1285" w:rsidRPr="00BD7ACC" w:rsidRDefault="007F1285" w:rsidP="00DC57AF">
      <w:pPr>
        <w:widowControl w:val="0"/>
        <w:autoSpaceDE w:val="0"/>
        <w:autoSpaceDN w:val="0"/>
        <w:adjustRightInd w:val="0"/>
        <w:spacing w:after="0" w:line="240" w:lineRule="auto"/>
        <w:ind w:right="5"/>
        <w:jc w:val="center"/>
        <w:rPr>
          <w:rFonts w:ascii="Arial" w:hAnsi="Arial" w:cs="Arial"/>
          <w:b/>
          <w:smallCaps/>
          <w:lang w:eastAsia="es-ES"/>
        </w:rPr>
      </w:pPr>
      <w:r w:rsidRPr="00BD7ACC">
        <w:rPr>
          <w:rFonts w:ascii="Arial" w:hAnsi="Arial" w:cs="Arial"/>
          <w:b/>
          <w:smallCaps/>
          <w:lang w:eastAsia="es-ES"/>
        </w:rPr>
        <w:t>T</w:t>
      </w:r>
      <w:r w:rsidR="00A8184B" w:rsidRPr="00BD7ACC">
        <w:rPr>
          <w:rFonts w:ascii="Arial" w:hAnsi="Arial" w:cs="Arial"/>
          <w:b/>
          <w:smallCaps/>
          <w:lang w:eastAsia="es-ES"/>
        </w:rPr>
        <w:t>asa de homicidios por cada 10</w:t>
      </w:r>
      <w:r w:rsidR="005A0934" w:rsidRPr="00BD7ACC">
        <w:rPr>
          <w:rFonts w:ascii="Arial" w:hAnsi="Arial" w:cs="Arial"/>
          <w:b/>
          <w:smallCaps/>
          <w:lang w:eastAsia="es-ES"/>
        </w:rPr>
        <w:t>0</w:t>
      </w:r>
      <w:r w:rsidR="00FD59EB" w:rsidRPr="00BD7ACC">
        <w:rPr>
          <w:rFonts w:ascii="Arial" w:hAnsi="Arial" w:cs="Arial"/>
          <w:b/>
          <w:smallCaps/>
          <w:lang w:eastAsia="es-ES"/>
        </w:rPr>
        <w:t xml:space="preserve"> </w:t>
      </w:r>
      <w:r w:rsidR="00A8184B" w:rsidRPr="00BD7ACC">
        <w:rPr>
          <w:rFonts w:ascii="Arial" w:hAnsi="Arial" w:cs="Arial"/>
          <w:b/>
          <w:smallCaps/>
          <w:lang w:eastAsia="es-ES"/>
        </w:rPr>
        <w:t>000 habitantes a nivel nacional</w:t>
      </w:r>
      <w:r w:rsidRPr="00BD7ACC">
        <w:rPr>
          <w:rFonts w:ascii="Arial" w:hAnsi="Arial" w:cs="Arial"/>
          <w:b/>
          <w:smallCaps/>
          <w:lang w:eastAsia="es-ES"/>
        </w:rPr>
        <w:t xml:space="preserve"> </w:t>
      </w:r>
    </w:p>
    <w:p w14:paraId="7B8D257F" w14:textId="77777777" w:rsidR="009C09BE" w:rsidRPr="00BD7ACC" w:rsidRDefault="009C09BE" w:rsidP="00DC57AF">
      <w:pPr>
        <w:widowControl w:val="0"/>
        <w:autoSpaceDE w:val="0"/>
        <w:autoSpaceDN w:val="0"/>
        <w:adjustRightInd w:val="0"/>
        <w:spacing w:after="0" w:line="240" w:lineRule="auto"/>
        <w:ind w:right="5"/>
        <w:jc w:val="center"/>
        <w:rPr>
          <w:rFonts w:ascii="Arial" w:hAnsi="Arial" w:cs="Arial"/>
          <w:b/>
          <w:smallCaps/>
          <w:lang w:eastAsia="es-ES"/>
        </w:rPr>
      </w:pPr>
      <w:r w:rsidRPr="00BD7ACC">
        <w:rPr>
          <w:rFonts w:ascii="Arial" w:hAnsi="Arial" w:cs="Arial"/>
          <w:b/>
          <w:smallCaps/>
          <w:lang w:eastAsia="es-ES"/>
        </w:rPr>
        <w:t>S</w:t>
      </w:r>
      <w:r w:rsidR="00A8184B" w:rsidRPr="00BD7ACC">
        <w:rPr>
          <w:rFonts w:ascii="Arial" w:hAnsi="Arial" w:cs="Arial"/>
          <w:b/>
          <w:smallCaps/>
          <w:lang w:eastAsia="es-ES"/>
        </w:rPr>
        <w:t>erie anual</w:t>
      </w:r>
      <w:r w:rsidRPr="00BD7ACC">
        <w:rPr>
          <w:rFonts w:ascii="Arial" w:hAnsi="Arial" w:cs="Arial"/>
          <w:b/>
          <w:smallCaps/>
          <w:lang w:eastAsia="es-ES"/>
        </w:rPr>
        <w:t xml:space="preserve"> 1990-2021</w:t>
      </w:r>
      <w:r w:rsidRPr="00BD7ACC">
        <w:rPr>
          <w:rFonts w:ascii="Arial" w:hAnsi="Arial" w:cs="Arial"/>
          <w:b/>
          <w:smallCaps/>
          <w:vertAlign w:val="superscript"/>
          <w:lang w:eastAsia="es-ES"/>
        </w:rPr>
        <w:t>p</w:t>
      </w:r>
    </w:p>
    <w:p w14:paraId="70E46508" w14:textId="77777777" w:rsidR="007F1285" w:rsidRPr="00BD7ACC" w:rsidRDefault="009C09BE" w:rsidP="00DC57AF">
      <w:pPr>
        <w:widowControl w:val="0"/>
        <w:autoSpaceDE w:val="0"/>
        <w:autoSpaceDN w:val="0"/>
        <w:adjustRightInd w:val="0"/>
        <w:spacing w:after="0" w:line="240" w:lineRule="auto"/>
        <w:ind w:right="5"/>
        <w:jc w:val="center"/>
        <w:rPr>
          <w:rFonts w:ascii="Arial" w:hAnsi="Arial" w:cs="Arial"/>
          <w:smallCaps/>
          <w:sz w:val="18"/>
          <w:szCs w:val="18"/>
          <w:lang w:eastAsia="es-ES"/>
        </w:rPr>
      </w:pPr>
      <w:r w:rsidRPr="00BD7ACC">
        <w:rPr>
          <w:rFonts w:ascii="Arial" w:hAnsi="Arial" w:cs="Arial"/>
          <w:smallCaps/>
          <w:sz w:val="18"/>
          <w:szCs w:val="18"/>
          <w:lang w:eastAsia="es-ES"/>
        </w:rPr>
        <w:t xml:space="preserve"> </w:t>
      </w:r>
      <w:r w:rsidR="007F1285" w:rsidRPr="00BD7ACC">
        <w:rPr>
          <w:rFonts w:ascii="Arial" w:hAnsi="Arial" w:cs="Arial"/>
          <w:smallCaps/>
          <w:sz w:val="18"/>
          <w:szCs w:val="18"/>
          <w:lang w:eastAsia="es-ES"/>
        </w:rPr>
        <w:t>(Hombres)</w:t>
      </w:r>
    </w:p>
    <w:p w14:paraId="0504D354" w14:textId="77777777" w:rsidR="00BF734A" w:rsidRPr="003B3305" w:rsidRDefault="00BF734A" w:rsidP="003B3305">
      <w:pPr>
        <w:widowControl w:val="0"/>
        <w:autoSpaceDE w:val="0"/>
        <w:autoSpaceDN w:val="0"/>
        <w:adjustRightInd w:val="0"/>
        <w:spacing w:after="0" w:line="240" w:lineRule="auto"/>
        <w:jc w:val="center"/>
        <w:rPr>
          <w:rFonts w:ascii="Arial" w:hAnsi="Arial" w:cs="Arial"/>
          <w:b/>
          <w:smallCaps/>
          <w:sz w:val="24"/>
          <w:szCs w:val="24"/>
          <w:lang w:eastAsia="es-ES"/>
        </w:rPr>
      </w:pPr>
    </w:p>
    <w:p w14:paraId="252BF4E4" w14:textId="36C6E249" w:rsidR="007F1285" w:rsidRDefault="00A43E2F" w:rsidP="00F117DF">
      <w:pPr>
        <w:widowControl w:val="0"/>
        <w:autoSpaceDE w:val="0"/>
        <w:autoSpaceDN w:val="0"/>
        <w:adjustRightInd w:val="0"/>
        <w:spacing w:after="0" w:line="240" w:lineRule="auto"/>
        <w:jc w:val="center"/>
        <w:rPr>
          <w:rFonts w:ascii="Arial" w:hAnsi="Arial" w:cs="Arial"/>
          <w:b/>
          <w:smallCaps/>
          <w:sz w:val="24"/>
          <w:szCs w:val="24"/>
          <w:lang w:eastAsia="es-ES"/>
        </w:rPr>
      </w:pPr>
      <w:r w:rsidRPr="007A00BA">
        <w:rPr>
          <w:noProof/>
        </w:rPr>
        <w:drawing>
          <wp:inline distT="0" distB="0" distL="0" distR="0" wp14:anchorId="04CCABA3" wp14:editId="6BDA3A78">
            <wp:extent cx="6070600" cy="3051018"/>
            <wp:effectExtent l="0" t="0" r="6350" b="16510"/>
            <wp:docPr id="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5E8B39" w14:textId="0EE9AA22" w:rsidR="007F1285" w:rsidRPr="00B903D5" w:rsidRDefault="007F1285" w:rsidP="00F117DF">
      <w:pPr>
        <w:spacing w:after="0" w:line="240" w:lineRule="auto"/>
        <w:ind w:left="567" w:right="283" w:hanging="567"/>
        <w:jc w:val="both"/>
        <w:rPr>
          <w:rFonts w:ascii="Arial" w:eastAsia="Calibri" w:hAnsi="Arial" w:cs="Arial"/>
          <w:sz w:val="14"/>
          <w:szCs w:val="14"/>
        </w:rPr>
      </w:pPr>
      <w:r>
        <w:rPr>
          <w:rFonts w:ascii="Arial" w:hAnsi="Arial" w:cs="Arial"/>
          <w:color w:val="000000"/>
          <w:sz w:val="14"/>
          <w:szCs w:val="14"/>
        </w:rPr>
        <w:t>Nota:</w:t>
      </w:r>
      <w:r>
        <w:rPr>
          <w:rFonts w:ascii="Arial" w:hAnsi="Arial" w:cs="Arial"/>
          <w:color w:val="000000"/>
          <w:sz w:val="14"/>
          <w:szCs w:val="14"/>
        </w:rPr>
        <w:tab/>
      </w:r>
      <w:bookmarkStart w:id="3" w:name="_Hlk109124207"/>
      <w:r w:rsidRPr="00237018">
        <w:rPr>
          <w:rFonts w:ascii="Arial" w:eastAsia="Calibri" w:hAnsi="Arial" w:cs="Arial"/>
          <w:sz w:val="14"/>
          <w:szCs w:val="14"/>
        </w:rPr>
        <w:t xml:space="preserve">El denominador de la tasa para el periodo </w:t>
      </w:r>
      <w:r>
        <w:rPr>
          <w:rFonts w:ascii="Arial" w:eastAsia="Calibri" w:hAnsi="Arial" w:cs="Arial"/>
          <w:sz w:val="14"/>
          <w:szCs w:val="14"/>
        </w:rPr>
        <w:t>1990</w:t>
      </w:r>
      <w:r w:rsidRPr="00237018">
        <w:rPr>
          <w:rFonts w:ascii="Arial" w:eastAsia="Calibri" w:hAnsi="Arial" w:cs="Arial"/>
          <w:sz w:val="14"/>
          <w:szCs w:val="14"/>
        </w:rPr>
        <w:t>-20</w:t>
      </w:r>
      <w:r>
        <w:rPr>
          <w:rFonts w:ascii="Arial" w:eastAsia="Calibri" w:hAnsi="Arial" w:cs="Arial"/>
          <w:sz w:val="14"/>
          <w:szCs w:val="14"/>
        </w:rPr>
        <w:t>19</w:t>
      </w:r>
      <w:r w:rsidRPr="00237018">
        <w:rPr>
          <w:rFonts w:ascii="Arial" w:eastAsia="Calibri" w:hAnsi="Arial" w:cs="Arial"/>
          <w:sz w:val="14"/>
          <w:szCs w:val="14"/>
        </w:rPr>
        <w:t xml:space="preserve"> corresponde a las proyecciones de población 2016-2050 de</w:t>
      </w:r>
      <w:r w:rsidR="00B50244">
        <w:rPr>
          <w:rFonts w:ascii="Arial" w:eastAsia="Calibri" w:hAnsi="Arial" w:cs="Arial"/>
          <w:sz w:val="14"/>
          <w:szCs w:val="14"/>
        </w:rPr>
        <w:t>l</w:t>
      </w:r>
      <w:r w:rsidRPr="00237018">
        <w:rPr>
          <w:rFonts w:ascii="Arial" w:eastAsia="Calibri" w:hAnsi="Arial" w:cs="Arial"/>
          <w:sz w:val="14"/>
          <w:szCs w:val="14"/>
        </w:rPr>
        <w:t xml:space="preserve"> CONAPO y a la Conciliación Demográfica de México, 1950-2015. Para </w:t>
      </w:r>
      <w:r w:rsidR="00AF65B1">
        <w:rPr>
          <w:rFonts w:ascii="Arial" w:eastAsia="Calibri" w:hAnsi="Arial" w:cs="Arial"/>
          <w:sz w:val="14"/>
          <w:szCs w:val="14"/>
        </w:rPr>
        <w:t xml:space="preserve">este </w:t>
      </w:r>
      <w:r w:rsidRPr="00237018">
        <w:rPr>
          <w:rFonts w:ascii="Arial" w:eastAsia="Calibri" w:hAnsi="Arial" w:cs="Arial"/>
          <w:sz w:val="14"/>
          <w:szCs w:val="14"/>
        </w:rPr>
        <w:t>cálculo</w:t>
      </w:r>
      <w:r w:rsidR="00AF65B1">
        <w:rPr>
          <w:rFonts w:ascii="Arial" w:eastAsia="Calibri" w:hAnsi="Arial" w:cs="Arial"/>
          <w:sz w:val="14"/>
          <w:szCs w:val="14"/>
        </w:rPr>
        <w:t>, l</w:t>
      </w:r>
      <w:r w:rsidRPr="00237018">
        <w:rPr>
          <w:rFonts w:ascii="Arial" w:eastAsia="Calibri" w:hAnsi="Arial" w:cs="Arial"/>
          <w:sz w:val="14"/>
          <w:szCs w:val="14"/>
        </w:rPr>
        <w:t xml:space="preserve">a tasa </w:t>
      </w:r>
      <w:r>
        <w:rPr>
          <w:rFonts w:ascii="Arial" w:eastAsia="Calibri" w:hAnsi="Arial" w:cs="Arial"/>
          <w:sz w:val="14"/>
          <w:szCs w:val="14"/>
        </w:rPr>
        <w:t>de los años 2020-</w:t>
      </w:r>
      <w:r w:rsidRPr="00237018">
        <w:rPr>
          <w:rFonts w:ascii="Arial" w:eastAsia="Calibri" w:hAnsi="Arial" w:cs="Arial"/>
          <w:sz w:val="14"/>
          <w:szCs w:val="14"/>
        </w:rPr>
        <w:t>2021</w:t>
      </w:r>
      <w:r w:rsidR="00AF65B1">
        <w:rPr>
          <w:rFonts w:ascii="Arial" w:eastAsia="Calibri" w:hAnsi="Arial" w:cs="Arial"/>
          <w:sz w:val="14"/>
          <w:szCs w:val="14"/>
        </w:rPr>
        <w:t xml:space="preserve"> se </w:t>
      </w:r>
      <w:r w:rsidRPr="00237018">
        <w:rPr>
          <w:rFonts w:ascii="Arial" w:eastAsia="Calibri" w:hAnsi="Arial" w:cs="Arial"/>
          <w:sz w:val="14"/>
          <w:szCs w:val="14"/>
        </w:rPr>
        <w:t>ajusta a la estimación de población</w:t>
      </w:r>
      <w:r w:rsidR="00AF65B1">
        <w:rPr>
          <w:rFonts w:ascii="Arial" w:eastAsia="Calibri" w:hAnsi="Arial" w:cs="Arial"/>
          <w:sz w:val="14"/>
          <w:szCs w:val="14"/>
        </w:rPr>
        <w:t xml:space="preserve"> que elabora </w:t>
      </w:r>
      <w:r w:rsidRPr="00237018">
        <w:rPr>
          <w:rFonts w:ascii="Arial" w:eastAsia="Calibri" w:hAnsi="Arial" w:cs="Arial"/>
          <w:sz w:val="14"/>
          <w:szCs w:val="14"/>
        </w:rPr>
        <w:t>el INEGI con base en el Marco de Muestreo de Viviendas</w:t>
      </w:r>
      <w:bookmarkStart w:id="4" w:name="_Hlk109124425"/>
      <w:r w:rsidR="00FC743D">
        <w:rPr>
          <w:rFonts w:ascii="Arial" w:eastAsia="Calibri" w:hAnsi="Arial" w:cs="Arial"/>
          <w:sz w:val="14"/>
          <w:szCs w:val="14"/>
        </w:rPr>
        <w:t xml:space="preserve"> con referencia al 30 de junio para ambos años.</w:t>
      </w:r>
      <w:bookmarkEnd w:id="4"/>
    </w:p>
    <w:bookmarkEnd w:id="3"/>
    <w:p w14:paraId="200FCC9F" w14:textId="2BAA3C1E" w:rsidR="007F1285" w:rsidRPr="00C61ACD" w:rsidRDefault="007F1285" w:rsidP="00F117DF">
      <w:pPr>
        <w:tabs>
          <w:tab w:val="left" w:pos="567"/>
        </w:tabs>
        <w:spacing w:after="0" w:line="240" w:lineRule="auto"/>
        <w:ind w:left="567" w:right="283" w:hanging="567"/>
        <w:jc w:val="both"/>
        <w:rPr>
          <w:rFonts w:ascii="Arial" w:hAnsi="Arial" w:cs="Arial"/>
          <w:bCs/>
          <w:sz w:val="14"/>
          <w:szCs w:val="14"/>
        </w:rPr>
      </w:pPr>
      <w:r w:rsidRPr="00C61ACD">
        <w:rPr>
          <w:rFonts w:ascii="Arial" w:hAnsi="Arial" w:cs="Arial"/>
          <w:bCs/>
          <w:sz w:val="14"/>
          <w:szCs w:val="14"/>
          <w:vertAlign w:val="superscript"/>
        </w:rPr>
        <w:t>p</w:t>
      </w:r>
      <w:r w:rsidRPr="00C61ACD">
        <w:rPr>
          <w:rFonts w:ascii="Arial" w:hAnsi="Arial" w:cs="Arial"/>
          <w:bCs/>
          <w:sz w:val="14"/>
          <w:szCs w:val="14"/>
        </w:rPr>
        <w:tab/>
        <w:t>Cifras preliminar</w:t>
      </w:r>
      <w:r>
        <w:rPr>
          <w:rFonts w:ascii="Arial" w:hAnsi="Arial" w:cs="Arial"/>
          <w:bCs/>
          <w:sz w:val="14"/>
          <w:szCs w:val="14"/>
        </w:rPr>
        <w:t xml:space="preserve">es (enero a diciembre 2021), con corte </w:t>
      </w:r>
      <w:r w:rsidRPr="00331198">
        <w:rPr>
          <w:rFonts w:ascii="Arial" w:hAnsi="Arial" w:cs="Arial"/>
          <w:bCs/>
          <w:sz w:val="14"/>
          <w:szCs w:val="14"/>
        </w:rPr>
        <w:t xml:space="preserve">al </w:t>
      </w:r>
      <w:r>
        <w:rPr>
          <w:rFonts w:ascii="Arial" w:hAnsi="Arial" w:cs="Arial"/>
          <w:bCs/>
          <w:sz w:val="14"/>
          <w:szCs w:val="14"/>
        </w:rPr>
        <w:t>15 de julio de 2022</w:t>
      </w:r>
      <w:r w:rsidR="00AF65B1">
        <w:rPr>
          <w:rFonts w:ascii="Arial" w:hAnsi="Arial" w:cs="Arial"/>
          <w:bCs/>
          <w:sz w:val="14"/>
          <w:szCs w:val="14"/>
        </w:rPr>
        <w:t xml:space="preserve">: </w:t>
      </w:r>
      <w:r w:rsidRPr="00C61ACD">
        <w:rPr>
          <w:rFonts w:ascii="Arial" w:hAnsi="Arial" w:cs="Arial"/>
          <w:bCs/>
          <w:sz w:val="14"/>
          <w:szCs w:val="14"/>
        </w:rPr>
        <w:t>aún no concluyen los procesos de generación de la</w:t>
      </w:r>
      <w:r>
        <w:rPr>
          <w:rFonts w:ascii="Arial" w:hAnsi="Arial" w:cs="Arial"/>
          <w:bCs/>
          <w:sz w:val="14"/>
          <w:szCs w:val="14"/>
        </w:rPr>
        <w:t>s</w:t>
      </w:r>
      <w:r w:rsidRPr="00C61ACD">
        <w:rPr>
          <w:rFonts w:ascii="Arial" w:hAnsi="Arial" w:cs="Arial"/>
          <w:bCs/>
          <w:sz w:val="14"/>
          <w:szCs w:val="14"/>
        </w:rPr>
        <w:t xml:space="preserve"> estadís</w:t>
      </w:r>
      <w:r>
        <w:rPr>
          <w:rFonts w:ascii="Arial" w:hAnsi="Arial" w:cs="Arial"/>
          <w:bCs/>
          <w:sz w:val="14"/>
          <w:szCs w:val="14"/>
        </w:rPr>
        <w:t>ticas de defunciones registradas</w:t>
      </w:r>
      <w:r w:rsidRPr="00C61ACD">
        <w:rPr>
          <w:rFonts w:ascii="Arial" w:hAnsi="Arial" w:cs="Arial"/>
          <w:bCs/>
          <w:sz w:val="14"/>
          <w:szCs w:val="14"/>
        </w:rPr>
        <w:t>.</w:t>
      </w:r>
    </w:p>
    <w:p w14:paraId="1929AB1C" w14:textId="3D4A860B" w:rsidR="007F1285" w:rsidRPr="00910506" w:rsidRDefault="007F1285" w:rsidP="00F117DF">
      <w:pPr>
        <w:tabs>
          <w:tab w:val="left" w:pos="567"/>
        </w:tabs>
        <w:spacing w:after="0" w:line="240" w:lineRule="auto"/>
        <w:ind w:right="283"/>
        <w:jc w:val="both"/>
        <w:rPr>
          <w:rFonts w:ascii="Arial" w:hAnsi="Arial" w:cs="Arial"/>
          <w:color w:val="000000"/>
          <w:sz w:val="14"/>
          <w:szCs w:val="14"/>
        </w:rPr>
      </w:pPr>
      <w:r w:rsidRPr="00C61ACD">
        <w:rPr>
          <w:rFonts w:ascii="Arial" w:hAnsi="Arial" w:cs="Arial"/>
          <w:color w:val="000000"/>
          <w:sz w:val="14"/>
          <w:szCs w:val="14"/>
        </w:rPr>
        <w:t>Fuente:</w:t>
      </w:r>
      <w:r w:rsidRPr="00C61ACD">
        <w:rPr>
          <w:rFonts w:ascii="Arial" w:hAnsi="Arial" w:cs="Arial"/>
          <w:color w:val="000000"/>
          <w:sz w:val="14"/>
          <w:szCs w:val="14"/>
        </w:rPr>
        <w:tab/>
      </w:r>
      <w:r w:rsidRPr="00BD7ACC">
        <w:rPr>
          <w:rFonts w:ascii="Arial" w:hAnsi="Arial" w:cs="Arial"/>
          <w:color w:val="000000"/>
          <w:sz w:val="14"/>
          <w:szCs w:val="14"/>
        </w:rPr>
        <w:t>INEGI.</w:t>
      </w:r>
      <w:r w:rsidRPr="00AF65B1">
        <w:rPr>
          <w:rFonts w:ascii="Arial" w:hAnsi="Arial" w:cs="Arial"/>
          <w:color w:val="000000"/>
          <w:sz w:val="14"/>
          <w:szCs w:val="14"/>
        </w:rPr>
        <w:t xml:space="preserve"> Estadísticas</w:t>
      </w:r>
      <w:r w:rsidRPr="00C61ACD">
        <w:rPr>
          <w:rFonts w:ascii="Arial" w:hAnsi="Arial" w:cs="Arial"/>
          <w:color w:val="000000"/>
          <w:sz w:val="14"/>
          <w:szCs w:val="14"/>
        </w:rPr>
        <w:t xml:space="preserve"> Vitales.</w:t>
      </w:r>
      <w:r w:rsidR="00476316">
        <w:rPr>
          <w:rFonts w:ascii="Arial" w:hAnsi="Arial" w:cs="Arial"/>
          <w:color w:val="000000"/>
          <w:sz w:val="14"/>
          <w:szCs w:val="14"/>
        </w:rPr>
        <w:t xml:space="preserve"> Estadísticas de</w:t>
      </w:r>
      <w:r>
        <w:rPr>
          <w:rFonts w:ascii="Arial" w:hAnsi="Arial" w:cs="Arial"/>
          <w:color w:val="000000"/>
          <w:sz w:val="14"/>
          <w:szCs w:val="14"/>
        </w:rPr>
        <w:t xml:space="preserve"> Defunciones </w:t>
      </w:r>
      <w:r w:rsidR="00476316">
        <w:rPr>
          <w:rFonts w:ascii="Arial" w:hAnsi="Arial" w:cs="Arial"/>
          <w:color w:val="000000"/>
          <w:sz w:val="14"/>
          <w:szCs w:val="14"/>
        </w:rPr>
        <w:t>R</w:t>
      </w:r>
      <w:r>
        <w:rPr>
          <w:rFonts w:ascii="Arial" w:hAnsi="Arial" w:cs="Arial"/>
          <w:color w:val="000000"/>
          <w:sz w:val="14"/>
          <w:szCs w:val="14"/>
        </w:rPr>
        <w:t>egistradas</w:t>
      </w:r>
    </w:p>
    <w:p w14:paraId="6E95FF40" w14:textId="77777777" w:rsidR="007F1285" w:rsidRDefault="007F1285" w:rsidP="007F1285">
      <w:pPr>
        <w:spacing w:after="0" w:line="240" w:lineRule="auto"/>
        <w:ind w:left="-284" w:right="425"/>
        <w:jc w:val="center"/>
        <w:rPr>
          <w:rFonts w:ascii="Arial" w:hAnsi="Arial"/>
          <w:b/>
          <w:bCs/>
          <w:lang w:eastAsia="es-ES"/>
        </w:rPr>
      </w:pPr>
    </w:p>
    <w:p w14:paraId="0B6E2F4B" w14:textId="77777777" w:rsidR="007F1285" w:rsidRDefault="007F1285" w:rsidP="007F1285">
      <w:pPr>
        <w:spacing w:after="0" w:line="240" w:lineRule="auto"/>
        <w:ind w:left="-284" w:right="425"/>
        <w:jc w:val="center"/>
        <w:rPr>
          <w:rFonts w:ascii="Arial" w:hAnsi="Arial"/>
          <w:lang w:eastAsia="es-ES"/>
        </w:rPr>
      </w:pPr>
      <w:r>
        <w:rPr>
          <w:rFonts w:ascii="Arial" w:hAnsi="Arial"/>
          <w:lang w:eastAsia="es-ES"/>
        </w:rPr>
        <w:br w:type="page"/>
      </w:r>
    </w:p>
    <w:p w14:paraId="03069E82" w14:textId="312465CD" w:rsidR="00445424" w:rsidRDefault="00445424" w:rsidP="00BD7ACC">
      <w:pPr>
        <w:spacing w:after="0" w:line="240" w:lineRule="auto"/>
        <w:ind w:left="-284" w:right="-137"/>
        <w:jc w:val="both"/>
        <w:rPr>
          <w:rFonts w:ascii="Arial" w:hAnsi="Arial"/>
          <w:sz w:val="24"/>
          <w:szCs w:val="24"/>
          <w:lang w:eastAsia="es-ES"/>
        </w:rPr>
      </w:pPr>
      <w:r w:rsidRPr="00D8509B">
        <w:rPr>
          <w:rFonts w:ascii="Arial" w:hAnsi="Arial"/>
          <w:sz w:val="24"/>
          <w:szCs w:val="24"/>
          <w:lang w:eastAsia="es-ES"/>
        </w:rPr>
        <w:lastRenderedPageBreak/>
        <w:t>En el caso de l</w:t>
      </w:r>
      <w:r>
        <w:rPr>
          <w:rFonts w:ascii="Arial" w:hAnsi="Arial"/>
          <w:sz w:val="24"/>
          <w:szCs w:val="24"/>
          <w:lang w:eastAsia="es-ES"/>
        </w:rPr>
        <w:t>as mujeres</w:t>
      </w:r>
      <w:r w:rsidRPr="00D8509B">
        <w:rPr>
          <w:rFonts w:ascii="Arial" w:hAnsi="Arial"/>
          <w:sz w:val="24"/>
          <w:szCs w:val="24"/>
          <w:lang w:eastAsia="es-ES"/>
        </w:rPr>
        <w:t xml:space="preserve">, la razón </w:t>
      </w:r>
      <w:r w:rsidR="00A124E8">
        <w:rPr>
          <w:rFonts w:ascii="Arial" w:hAnsi="Arial"/>
          <w:sz w:val="24"/>
          <w:szCs w:val="24"/>
          <w:lang w:eastAsia="es-ES"/>
        </w:rPr>
        <w:t xml:space="preserve">en 2021 </w:t>
      </w:r>
      <w:r w:rsidR="00816138">
        <w:rPr>
          <w:rFonts w:ascii="Arial" w:hAnsi="Arial"/>
          <w:sz w:val="24"/>
          <w:szCs w:val="24"/>
          <w:lang w:eastAsia="es-ES"/>
        </w:rPr>
        <w:t xml:space="preserve">se mantuvo en </w:t>
      </w:r>
      <w:r w:rsidR="00AF65B1">
        <w:rPr>
          <w:rFonts w:ascii="Arial" w:hAnsi="Arial"/>
          <w:sz w:val="24"/>
          <w:szCs w:val="24"/>
          <w:lang w:eastAsia="es-ES"/>
        </w:rPr>
        <w:t>seis</w:t>
      </w:r>
      <w:r w:rsidRPr="00D8509B">
        <w:rPr>
          <w:rFonts w:ascii="Arial" w:hAnsi="Arial"/>
          <w:sz w:val="24"/>
          <w:szCs w:val="24"/>
          <w:lang w:eastAsia="es-ES"/>
        </w:rPr>
        <w:t xml:space="preserve"> </w:t>
      </w:r>
      <w:r>
        <w:rPr>
          <w:rFonts w:ascii="Arial" w:hAnsi="Arial"/>
          <w:sz w:val="24"/>
          <w:szCs w:val="24"/>
          <w:lang w:eastAsia="es-ES"/>
        </w:rPr>
        <w:t xml:space="preserve">homicidios por cada 100 </w:t>
      </w:r>
      <w:r w:rsidR="00AF65B1">
        <w:rPr>
          <w:rFonts w:ascii="Arial" w:hAnsi="Arial"/>
          <w:sz w:val="24"/>
          <w:szCs w:val="24"/>
          <w:lang w:eastAsia="es-ES"/>
        </w:rPr>
        <w:t>000</w:t>
      </w:r>
      <w:r>
        <w:rPr>
          <w:rFonts w:ascii="Arial" w:hAnsi="Arial"/>
          <w:sz w:val="24"/>
          <w:szCs w:val="24"/>
          <w:lang w:eastAsia="es-ES"/>
        </w:rPr>
        <w:t xml:space="preserve"> personas del sexo femenino. </w:t>
      </w:r>
    </w:p>
    <w:p w14:paraId="349EB917" w14:textId="77777777" w:rsidR="00445424" w:rsidRDefault="00445424" w:rsidP="000B1051">
      <w:pPr>
        <w:spacing w:after="0" w:line="240" w:lineRule="auto"/>
        <w:ind w:right="425"/>
        <w:jc w:val="center"/>
        <w:rPr>
          <w:rFonts w:ascii="Arial" w:hAnsi="Arial"/>
          <w:lang w:eastAsia="es-ES"/>
        </w:rPr>
      </w:pPr>
    </w:p>
    <w:p w14:paraId="621E33FC" w14:textId="7CADDA5A" w:rsidR="007F1285" w:rsidRPr="00BD7ACC" w:rsidRDefault="007F1285" w:rsidP="00DC57AF">
      <w:pPr>
        <w:spacing w:after="0" w:line="240" w:lineRule="auto"/>
        <w:ind w:right="5"/>
        <w:jc w:val="center"/>
        <w:rPr>
          <w:rFonts w:ascii="Arial" w:hAnsi="Arial"/>
          <w:b/>
          <w:bCs/>
          <w:sz w:val="20"/>
          <w:szCs w:val="20"/>
          <w:lang w:eastAsia="es-ES"/>
        </w:rPr>
      </w:pPr>
      <w:r w:rsidRPr="00BD7ACC">
        <w:rPr>
          <w:rFonts w:ascii="Arial" w:hAnsi="Arial"/>
          <w:sz w:val="20"/>
          <w:szCs w:val="20"/>
          <w:lang w:eastAsia="es-ES"/>
        </w:rPr>
        <w:t>Gráfica 4</w:t>
      </w:r>
    </w:p>
    <w:p w14:paraId="3BBD256F" w14:textId="77777777" w:rsidR="007F1285" w:rsidRPr="00BD7ACC" w:rsidRDefault="007F1285" w:rsidP="006016E6">
      <w:pPr>
        <w:widowControl w:val="0"/>
        <w:autoSpaceDE w:val="0"/>
        <w:autoSpaceDN w:val="0"/>
        <w:adjustRightInd w:val="0"/>
        <w:spacing w:after="0" w:line="240" w:lineRule="auto"/>
        <w:ind w:right="5"/>
        <w:jc w:val="center"/>
        <w:rPr>
          <w:rFonts w:ascii="Arial" w:hAnsi="Arial" w:cs="Arial"/>
          <w:b/>
          <w:smallCaps/>
          <w:lang w:eastAsia="es-ES"/>
        </w:rPr>
      </w:pPr>
      <w:r w:rsidRPr="00BD7ACC">
        <w:rPr>
          <w:rFonts w:ascii="Arial" w:hAnsi="Arial" w:cs="Arial"/>
          <w:b/>
          <w:smallCaps/>
          <w:lang w:eastAsia="es-ES"/>
        </w:rPr>
        <w:t>T</w:t>
      </w:r>
      <w:r w:rsidR="00151289" w:rsidRPr="00BD7ACC">
        <w:rPr>
          <w:rFonts w:ascii="Arial" w:hAnsi="Arial" w:cs="Arial"/>
          <w:b/>
          <w:smallCaps/>
          <w:lang w:eastAsia="es-ES"/>
        </w:rPr>
        <w:t>asa de homicidios por cada 10</w:t>
      </w:r>
      <w:r w:rsidR="005A0934" w:rsidRPr="00BD7ACC">
        <w:rPr>
          <w:rFonts w:ascii="Arial" w:hAnsi="Arial" w:cs="Arial"/>
          <w:b/>
          <w:smallCaps/>
          <w:lang w:eastAsia="es-ES"/>
        </w:rPr>
        <w:t>0</w:t>
      </w:r>
      <w:r w:rsidR="00FD59EB" w:rsidRPr="00BD7ACC">
        <w:rPr>
          <w:rFonts w:ascii="Arial" w:hAnsi="Arial" w:cs="Arial"/>
          <w:b/>
          <w:smallCaps/>
          <w:lang w:eastAsia="es-ES"/>
        </w:rPr>
        <w:t xml:space="preserve"> </w:t>
      </w:r>
      <w:r w:rsidR="00151289" w:rsidRPr="00BD7ACC">
        <w:rPr>
          <w:rFonts w:ascii="Arial" w:hAnsi="Arial" w:cs="Arial"/>
          <w:b/>
          <w:smallCaps/>
          <w:lang w:eastAsia="es-ES"/>
        </w:rPr>
        <w:t xml:space="preserve">000 habitantes a nivel nacional </w:t>
      </w:r>
    </w:p>
    <w:p w14:paraId="6251F9D3" w14:textId="77777777" w:rsidR="009C09BE" w:rsidRPr="00BD7ACC" w:rsidRDefault="009C09BE" w:rsidP="006016E6">
      <w:pPr>
        <w:widowControl w:val="0"/>
        <w:autoSpaceDE w:val="0"/>
        <w:autoSpaceDN w:val="0"/>
        <w:adjustRightInd w:val="0"/>
        <w:spacing w:after="0" w:line="240" w:lineRule="auto"/>
        <w:ind w:right="5"/>
        <w:jc w:val="center"/>
        <w:rPr>
          <w:rFonts w:ascii="Arial" w:hAnsi="Arial" w:cs="Arial"/>
          <w:b/>
          <w:smallCaps/>
          <w:lang w:eastAsia="es-ES"/>
        </w:rPr>
      </w:pPr>
      <w:r w:rsidRPr="00BD7ACC">
        <w:rPr>
          <w:rFonts w:ascii="Arial" w:hAnsi="Arial" w:cs="Arial"/>
          <w:b/>
          <w:smallCaps/>
          <w:lang w:eastAsia="es-ES"/>
        </w:rPr>
        <w:t>S</w:t>
      </w:r>
      <w:r w:rsidR="00151289" w:rsidRPr="00BD7ACC">
        <w:rPr>
          <w:rFonts w:ascii="Arial" w:hAnsi="Arial" w:cs="Arial"/>
          <w:b/>
          <w:smallCaps/>
          <w:lang w:eastAsia="es-ES"/>
        </w:rPr>
        <w:t>erie anual</w:t>
      </w:r>
      <w:r w:rsidRPr="00BD7ACC">
        <w:rPr>
          <w:rFonts w:ascii="Arial" w:hAnsi="Arial" w:cs="Arial"/>
          <w:b/>
          <w:smallCaps/>
          <w:lang w:eastAsia="es-ES"/>
        </w:rPr>
        <w:t xml:space="preserve"> 1990-2021</w:t>
      </w:r>
      <w:r w:rsidRPr="00BD7ACC">
        <w:rPr>
          <w:rFonts w:ascii="Arial" w:hAnsi="Arial" w:cs="Arial"/>
          <w:b/>
          <w:smallCaps/>
          <w:vertAlign w:val="superscript"/>
          <w:lang w:eastAsia="es-ES"/>
        </w:rPr>
        <w:t>p</w:t>
      </w:r>
    </w:p>
    <w:p w14:paraId="7DEA0012" w14:textId="17EDD1E6" w:rsidR="007F1285" w:rsidRPr="00BD7ACC" w:rsidRDefault="007F1285" w:rsidP="00F71FDC">
      <w:pPr>
        <w:widowControl w:val="0"/>
        <w:autoSpaceDE w:val="0"/>
        <w:autoSpaceDN w:val="0"/>
        <w:adjustRightInd w:val="0"/>
        <w:spacing w:after="0" w:line="240" w:lineRule="auto"/>
        <w:ind w:right="5"/>
        <w:jc w:val="center"/>
        <w:rPr>
          <w:rFonts w:ascii="Arial" w:hAnsi="Arial" w:cs="Arial"/>
          <w:smallCaps/>
          <w:sz w:val="18"/>
          <w:szCs w:val="18"/>
          <w:lang w:eastAsia="es-ES"/>
        </w:rPr>
      </w:pPr>
      <w:r w:rsidRPr="00BD7ACC">
        <w:rPr>
          <w:rFonts w:ascii="Arial" w:hAnsi="Arial" w:cs="Arial"/>
          <w:smallCaps/>
          <w:sz w:val="18"/>
          <w:szCs w:val="18"/>
          <w:lang w:eastAsia="es-ES"/>
        </w:rPr>
        <w:t>(Mujeres)</w:t>
      </w:r>
    </w:p>
    <w:p w14:paraId="199A22AC" w14:textId="34086B4F" w:rsidR="00572F9B" w:rsidRPr="003B3305" w:rsidRDefault="00572F9B" w:rsidP="00DC57AF">
      <w:pPr>
        <w:widowControl w:val="0"/>
        <w:autoSpaceDE w:val="0"/>
        <w:autoSpaceDN w:val="0"/>
        <w:adjustRightInd w:val="0"/>
        <w:spacing w:after="0" w:line="240" w:lineRule="auto"/>
        <w:ind w:right="5"/>
        <w:jc w:val="center"/>
        <w:rPr>
          <w:rFonts w:ascii="Arial" w:hAnsi="Arial" w:cs="Arial"/>
          <w:b/>
          <w:smallCaps/>
          <w:sz w:val="24"/>
          <w:szCs w:val="24"/>
          <w:lang w:eastAsia="es-ES"/>
        </w:rPr>
      </w:pPr>
      <w:r>
        <w:rPr>
          <w:noProof/>
        </w:rPr>
        <w:drawing>
          <wp:inline distT="0" distB="0" distL="0" distR="0" wp14:anchorId="158A75B8" wp14:editId="7F28813C">
            <wp:extent cx="6123940" cy="3020060"/>
            <wp:effectExtent l="0" t="0" r="10160" b="8890"/>
            <wp:docPr id="14" name="Gráfico 14">
              <a:extLst xmlns:a="http://schemas.openxmlformats.org/drawingml/2006/main">
                <a:ext uri="{FF2B5EF4-FFF2-40B4-BE49-F238E27FC236}">
                  <a16:creationId xmlns:a16="http://schemas.microsoft.com/office/drawing/2014/main" id="{8ADADB71-F012-B3CA-683A-A0AEA2914D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0E9FD6" w14:textId="2734F1ED" w:rsidR="007F1285" w:rsidRPr="00B903D5" w:rsidRDefault="007F1285" w:rsidP="00FA2256">
      <w:pPr>
        <w:tabs>
          <w:tab w:val="left" w:pos="567"/>
        </w:tabs>
        <w:spacing w:after="0" w:line="240" w:lineRule="auto"/>
        <w:ind w:left="567" w:right="5" w:hanging="567"/>
        <w:jc w:val="both"/>
        <w:rPr>
          <w:rFonts w:ascii="Arial" w:eastAsia="Calibri" w:hAnsi="Arial" w:cs="Arial"/>
          <w:sz w:val="14"/>
          <w:szCs w:val="14"/>
        </w:rPr>
      </w:pPr>
      <w:r>
        <w:rPr>
          <w:rFonts w:ascii="Arial" w:hAnsi="Arial" w:cs="Arial"/>
          <w:color w:val="000000"/>
          <w:sz w:val="14"/>
          <w:szCs w:val="14"/>
        </w:rPr>
        <w:t>Nota:</w:t>
      </w:r>
      <w:r>
        <w:rPr>
          <w:rFonts w:ascii="Arial" w:hAnsi="Arial" w:cs="Arial"/>
          <w:color w:val="000000"/>
          <w:sz w:val="14"/>
          <w:szCs w:val="14"/>
        </w:rPr>
        <w:tab/>
      </w:r>
      <w:r w:rsidRPr="00237018">
        <w:rPr>
          <w:rFonts w:ascii="Arial" w:eastAsia="Calibri" w:hAnsi="Arial" w:cs="Arial"/>
          <w:sz w:val="14"/>
          <w:szCs w:val="14"/>
        </w:rPr>
        <w:t xml:space="preserve">El denominador de la tasa para el periodo </w:t>
      </w:r>
      <w:r>
        <w:rPr>
          <w:rFonts w:ascii="Arial" w:eastAsia="Calibri" w:hAnsi="Arial" w:cs="Arial"/>
          <w:sz w:val="14"/>
          <w:szCs w:val="14"/>
        </w:rPr>
        <w:t>1990</w:t>
      </w:r>
      <w:r w:rsidRPr="00237018">
        <w:rPr>
          <w:rFonts w:ascii="Arial" w:eastAsia="Calibri" w:hAnsi="Arial" w:cs="Arial"/>
          <w:sz w:val="14"/>
          <w:szCs w:val="14"/>
        </w:rPr>
        <w:t>-20</w:t>
      </w:r>
      <w:r>
        <w:rPr>
          <w:rFonts w:ascii="Arial" w:eastAsia="Calibri" w:hAnsi="Arial" w:cs="Arial"/>
          <w:sz w:val="14"/>
          <w:szCs w:val="14"/>
        </w:rPr>
        <w:t>19</w:t>
      </w:r>
      <w:r w:rsidRPr="00237018">
        <w:rPr>
          <w:rFonts w:ascii="Arial" w:eastAsia="Calibri" w:hAnsi="Arial" w:cs="Arial"/>
          <w:sz w:val="14"/>
          <w:szCs w:val="14"/>
        </w:rPr>
        <w:t xml:space="preserve"> corresponde a las proyecciones de población 2016-2050 de</w:t>
      </w:r>
      <w:r w:rsidR="00B50244">
        <w:rPr>
          <w:rFonts w:ascii="Arial" w:eastAsia="Calibri" w:hAnsi="Arial" w:cs="Arial"/>
          <w:sz w:val="14"/>
          <w:szCs w:val="14"/>
        </w:rPr>
        <w:t>l</w:t>
      </w:r>
      <w:r w:rsidRPr="00237018">
        <w:rPr>
          <w:rFonts w:ascii="Arial" w:eastAsia="Calibri" w:hAnsi="Arial" w:cs="Arial"/>
          <w:sz w:val="14"/>
          <w:szCs w:val="14"/>
        </w:rPr>
        <w:t xml:space="preserve"> CONAPO y a la Conciliación Demográfica de México, 1950-2015. Para </w:t>
      </w:r>
      <w:r w:rsidR="00AF65B1">
        <w:rPr>
          <w:rFonts w:ascii="Arial" w:eastAsia="Calibri" w:hAnsi="Arial" w:cs="Arial"/>
          <w:sz w:val="14"/>
          <w:szCs w:val="14"/>
        </w:rPr>
        <w:t xml:space="preserve">este cálculo, </w:t>
      </w:r>
      <w:r w:rsidRPr="00237018">
        <w:rPr>
          <w:rFonts w:ascii="Arial" w:eastAsia="Calibri" w:hAnsi="Arial" w:cs="Arial"/>
          <w:sz w:val="14"/>
          <w:szCs w:val="14"/>
        </w:rPr>
        <w:t>l</w:t>
      </w:r>
      <w:r w:rsidR="00B50244">
        <w:rPr>
          <w:rFonts w:ascii="Arial" w:eastAsia="Calibri" w:hAnsi="Arial" w:cs="Arial"/>
          <w:sz w:val="14"/>
          <w:szCs w:val="14"/>
        </w:rPr>
        <w:t>a</w:t>
      </w:r>
      <w:r w:rsidRPr="00237018">
        <w:rPr>
          <w:rFonts w:ascii="Arial" w:eastAsia="Calibri" w:hAnsi="Arial" w:cs="Arial"/>
          <w:sz w:val="14"/>
          <w:szCs w:val="14"/>
        </w:rPr>
        <w:t xml:space="preserve"> tas</w:t>
      </w:r>
      <w:r w:rsidR="00AF65B1">
        <w:rPr>
          <w:rFonts w:ascii="Arial" w:eastAsia="Calibri" w:hAnsi="Arial" w:cs="Arial"/>
          <w:sz w:val="14"/>
          <w:szCs w:val="14"/>
        </w:rPr>
        <w:t>a</w:t>
      </w:r>
      <w:r w:rsidRPr="00237018">
        <w:rPr>
          <w:rFonts w:ascii="Arial" w:eastAsia="Calibri" w:hAnsi="Arial" w:cs="Arial"/>
          <w:sz w:val="14"/>
          <w:szCs w:val="14"/>
        </w:rPr>
        <w:t xml:space="preserve"> </w:t>
      </w:r>
      <w:r>
        <w:rPr>
          <w:rFonts w:ascii="Arial" w:eastAsia="Calibri" w:hAnsi="Arial" w:cs="Arial"/>
          <w:sz w:val="14"/>
          <w:szCs w:val="14"/>
        </w:rPr>
        <w:t>de los años 2020-</w:t>
      </w:r>
      <w:r w:rsidRPr="00237018">
        <w:rPr>
          <w:rFonts w:ascii="Arial" w:eastAsia="Calibri" w:hAnsi="Arial" w:cs="Arial"/>
          <w:sz w:val="14"/>
          <w:szCs w:val="14"/>
        </w:rPr>
        <w:t>2021</w:t>
      </w:r>
      <w:r w:rsidR="00AF65B1">
        <w:rPr>
          <w:rFonts w:ascii="Arial" w:eastAsia="Calibri" w:hAnsi="Arial" w:cs="Arial"/>
          <w:sz w:val="14"/>
          <w:szCs w:val="14"/>
        </w:rPr>
        <w:t xml:space="preserve"> </w:t>
      </w:r>
      <w:r w:rsidRPr="00237018">
        <w:rPr>
          <w:rFonts w:ascii="Arial" w:eastAsia="Calibri" w:hAnsi="Arial" w:cs="Arial"/>
          <w:sz w:val="14"/>
          <w:szCs w:val="14"/>
        </w:rPr>
        <w:t xml:space="preserve">se ajusta a la estimación de población </w:t>
      </w:r>
      <w:r w:rsidR="00AF65B1">
        <w:rPr>
          <w:rFonts w:ascii="Arial" w:eastAsia="Calibri" w:hAnsi="Arial" w:cs="Arial"/>
          <w:sz w:val="14"/>
          <w:szCs w:val="14"/>
        </w:rPr>
        <w:t xml:space="preserve">que elabora </w:t>
      </w:r>
      <w:r w:rsidRPr="00237018">
        <w:rPr>
          <w:rFonts w:ascii="Arial" w:eastAsia="Calibri" w:hAnsi="Arial" w:cs="Arial"/>
          <w:sz w:val="14"/>
          <w:szCs w:val="14"/>
        </w:rPr>
        <w:t>el INEGI con base en el Marco de Muestreo de Viviendas</w:t>
      </w:r>
      <w:r w:rsidR="00FC743D">
        <w:rPr>
          <w:rFonts w:ascii="Arial" w:eastAsia="Calibri" w:hAnsi="Arial" w:cs="Arial"/>
          <w:sz w:val="14"/>
          <w:szCs w:val="14"/>
        </w:rPr>
        <w:t xml:space="preserve"> con referencia al 30 de junio para ambos años.</w:t>
      </w:r>
    </w:p>
    <w:p w14:paraId="6616C116" w14:textId="3531D343" w:rsidR="007F1285" w:rsidRPr="00C61ACD" w:rsidRDefault="007F1285" w:rsidP="00F117DF">
      <w:pPr>
        <w:tabs>
          <w:tab w:val="left" w:pos="567"/>
        </w:tabs>
        <w:spacing w:after="0" w:line="240" w:lineRule="auto"/>
        <w:ind w:left="567" w:right="283" w:hanging="567"/>
        <w:jc w:val="both"/>
        <w:rPr>
          <w:rFonts w:ascii="Arial" w:hAnsi="Arial" w:cs="Arial"/>
          <w:bCs/>
          <w:sz w:val="14"/>
          <w:szCs w:val="14"/>
        </w:rPr>
      </w:pPr>
      <w:r w:rsidRPr="00C61ACD">
        <w:rPr>
          <w:rFonts w:ascii="Arial" w:hAnsi="Arial" w:cs="Arial"/>
          <w:bCs/>
          <w:sz w:val="14"/>
          <w:szCs w:val="14"/>
          <w:vertAlign w:val="superscript"/>
        </w:rPr>
        <w:t>p</w:t>
      </w:r>
      <w:r w:rsidRPr="00C61ACD">
        <w:rPr>
          <w:rFonts w:ascii="Arial" w:hAnsi="Arial" w:cs="Arial"/>
          <w:bCs/>
          <w:sz w:val="14"/>
          <w:szCs w:val="14"/>
        </w:rPr>
        <w:tab/>
        <w:t>Cifras preliminar</w:t>
      </w:r>
      <w:r>
        <w:rPr>
          <w:rFonts w:ascii="Arial" w:hAnsi="Arial" w:cs="Arial"/>
          <w:bCs/>
          <w:sz w:val="14"/>
          <w:szCs w:val="14"/>
        </w:rPr>
        <w:t xml:space="preserve">es (enero a diciembre 2021), con corte </w:t>
      </w:r>
      <w:r w:rsidRPr="00331198">
        <w:rPr>
          <w:rFonts w:ascii="Arial" w:hAnsi="Arial" w:cs="Arial"/>
          <w:bCs/>
          <w:sz w:val="14"/>
          <w:szCs w:val="14"/>
        </w:rPr>
        <w:t xml:space="preserve">al </w:t>
      </w:r>
      <w:r>
        <w:rPr>
          <w:rFonts w:ascii="Arial" w:hAnsi="Arial" w:cs="Arial"/>
          <w:bCs/>
          <w:sz w:val="14"/>
          <w:szCs w:val="14"/>
        </w:rPr>
        <w:t>15 de julio de 2022</w:t>
      </w:r>
      <w:r w:rsidR="00AF65B1">
        <w:rPr>
          <w:rFonts w:ascii="Arial" w:hAnsi="Arial" w:cs="Arial"/>
          <w:bCs/>
          <w:sz w:val="14"/>
          <w:szCs w:val="14"/>
        </w:rPr>
        <w:t xml:space="preserve">: </w:t>
      </w:r>
      <w:r w:rsidRPr="00C61ACD">
        <w:rPr>
          <w:rFonts w:ascii="Arial" w:hAnsi="Arial" w:cs="Arial"/>
          <w:bCs/>
          <w:sz w:val="14"/>
          <w:szCs w:val="14"/>
        </w:rPr>
        <w:t>aún no concluyen los procesos de generación de la</w:t>
      </w:r>
      <w:r>
        <w:rPr>
          <w:rFonts w:ascii="Arial" w:hAnsi="Arial" w:cs="Arial"/>
          <w:bCs/>
          <w:sz w:val="14"/>
          <w:szCs w:val="14"/>
        </w:rPr>
        <w:t>s</w:t>
      </w:r>
      <w:r w:rsidRPr="00C61ACD">
        <w:rPr>
          <w:rFonts w:ascii="Arial" w:hAnsi="Arial" w:cs="Arial"/>
          <w:bCs/>
          <w:sz w:val="14"/>
          <w:szCs w:val="14"/>
        </w:rPr>
        <w:t xml:space="preserve"> estadís</w:t>
      </w:r>
      <w:r>
        <w:rPr>
          <w:rFonts w:ascii="Arial" w:hAnsi="Arial" w:cs="Arial"/>
          <w:bCs/>
          <w:sz w:val="14"/>
          <w:szCs w:val="14"/>
        </w:rPr>
        <w:t>ticas de defunciones registradas</w:t>
      </w:r>
      <w:r w:rsidRPr="00C61ACD">
        <w:rPr>
          <w:rFonts w:ascii="Arial" w:hAnsi="Arial" w:cs="Arial"/>
          <w:bCs/>
          <w:sz w:val="14"/>
          <w:szCs w:val="14"/>
        </w:rPr>
        <w:t>.</w:t>
      </w:r>
    </w:p>
    <w:p w14:paraId="11FA5BDC" w14:textId="4E9E7DDC" w:rsidR="007F1285" w:rsidRPr="00910506" w:rsidRDefault="007F1285" w:rsidP="00F117DF">
      <w:pPr>
        <w:tabs>
          <w:tab w:val="left" w:pos="567"/>
        </w:tabs>
        <w:spacing w:after="0" w:line="240" w:lineRule="auto"/>
        <w:ind w:left="567" w:right="283" w:hanging="567"/>
        <w:jc w:val="both"/>
        <w:rPr>
          <w:rFonts w:ascii="Arial" w:hAnsi="Arial" w:cs="Arial"/>
          <w:color w:val="000000"/>
          <w:sz w:val="14"/>
          <w:szCs w:val="14"/>
        </w:rPr>
      </w:pPr>
      <w:r w:rsidRPr="00C61ACD">
        <w:rPr>
          <w:rFonts w:ascii="Arial" w:hAnsi="Arial" w:cs="Arial"/>
          <w:color w:val="000000"/>
          <w:sz w:val="14"/>
          <w:szCs w:val="14"/>
        </w:rPr>
        <w:t>Fuente:</w:t>
      </w:r>
      <w:r w:rsidR="003B3305">
        <w:rPr>
          <w:rFonts w:ascii="Arial" w:hAnsi="Arial" w:cs="Arial"/>
          <w:color w:val="000000"/>
          <w:sz w:val="14"/>
          <w:szCs w:val="14"/>
        </w:rPr>
        <w:t xml:space="preserve">  </w:t>
      </w:r>
      <w:r w:rsidRPr="00BD7ACC">
        <w:rPr>
          <w:rFonts w:ascii="Arial" w:hAnsi="Arial" w:cs="Arial"/>
          <w:color w:val="000000"/>
          <w:sz w:val="14"/>
          <w:szCs w:val="14"/>
        </w:rPr>
        <w:t>INEGI</w:t>
      </w:r>
      <w:r w:rsidRPr="00C61ACD">
        <w:rPr>
          <w:rFonts w:ascii="Arial" w:hAnsi="Arial" w:cs="Arial"/>
          <w:b/>
          <w:bCs/>
          <w:color w:val="000000"/>
          <w:sz w:val="14"/>
          <w:szCs w:val="14"/>
        </w:rPr>
        <w:t>.</w:t>
      </w:r>
      <w:r w:rsidRPr="00C61ACD">
        <w:rPr>
          <w:rFonts w:ascii="Arial" w:hAnsi="Arial" w:cs="Arial"/>
          <w:color w:val="000000"/>
          <w:sz w:val="14"/>
          <w:szCs w:val="14"/>
        </w:rPr>
        <w:t xml:space="preserve"> Estadísticas Vitales.</w:t>
      </w:r>
      <w:r>
        <w:rPr>
          <w:rFonts w:ascii="Arial" w:hAnsi="Arial" w:cs="Arial"/>
          <w:color w:val="000000"/>
          <w:sz w:val="14"/>
          <w:szCs w:val="14"/>
        </w:rPr>
        <w:t xml:space="preserve"> </w:t>
      </w:r>
      <w:r w:rsidR="00476316">
        <w:rPr>
          <w:rFonts w:ascii="Arial" w:hAnsi="Arial" w:cs="Arial"/>
          <w:color w:val="000000"/>
          <w:sz w:val="14"/>
          <w:szCs w:val="14"/>
        </w:rPr>
        <w:t xml:space="preserve">Estadísticas de </w:t>
      </w:r>
      <w:r>
        <w:rPr>
          <w:rFonts w:ascii="Arial" w:hAnsi="Arial" w:cs="Arial"/>
          <w:color w:val="000000"/>
          <w:sz w:val="14"/>
          <w:szCs w:val="14"/>
        </w:rPr>
        <w:t xml:space="preserve">Defunciones </w:t>
      </w:r>
      <w:r w:rsidR="00476316">
        <w:rPr>
          <w:rFonts w:ascii="Arial" w:hAnsi="Arial" w:cs="Arial"/>
          <w:color w:val="000000"/>
          <w:sz w:val="14"/>
          <w:szCs w:val="14"/>
        </w:rPr>
        <w:t>R</w:t>
      </w:r>
      <w:r>
        <w:rPr>
          <w:rFonts w:ascii="Arial" w:hAnsi="Arial" w:cs="Arial"/>
          <w:color w:val="000000"/>
          <w:sz w:val="14"/>
          <w:szCs w:val="14"/>
        </w:rPr>
        <w:t>egistradas</w:t>
      </w:r>
    </w:p>
    <w:p w14:paraId="4CA2CBDB" w14:textId="77777777" w:rsidR="007F1285" w:rsidRDefault="007F1285" w:rsidP="00F117DF">
      <w:pPr>
        <w:spacing w:after="0" w:line="240" w:lineRule="auto"/>
        <w:ind w:left="567" w:right="425" w:hanging="567"/>
        <w:jc w:val="center"/>
        <w:rPr>
          <w:rFonts w:ascii="Arial" w:hAnsi="Arial"/>
          <w:lang w:eastAsia="es-ES"/>
        </w:rPr>
      </w:pPr>
      <w:r>
        <w:rPr>
          <w:rFonts w:ascii="Arial" w:hAnsi="Arial"/>
          <w:b/>
          <w:bCs/>
          <w:sz w:val="28"/>
          <w:szCs w:val="28"/>
          <w:lang w:eastAsia="es-ES"/>
        </w:rPr>
        <w:br w:type="page"/>
      </w:r>
    </w:p>
    <w:p w14:paraId="1366957D" w14:textId="77777777" w:rsidR="007F1285" w:rsidRPr="00BD7ACC" w:rsidRDefault="007F1285" w:rsidP="00DC57AF">
      <w:pPr>
        <w:spacing w:after="0" w:line="240" w:lineRule="auto"/>
        <w:ind w:right="5"/>
        <w:jc w:val="center"/>
        <w:rPr>
          <w:rFonts w:ascii="Arial" w:hAnsi="Arial"/>
          <w:b/>
          <w:bCs/>
          <w:sz w:val="20"/>
          <w:szCs w:val="20"/>
          <w:lang w:eastAsia="es-ES"/>
        </w:rPr>
      </w:pPr>
      <w:r w:rsidRPr="00BD7ACC">
        <w:rPr>
          <w:rFonts w:ascii="Arial" w:hAnsi="Arial"/>
          <w:sz w:val="20"/>
          <w:szCs w:val="20"/>
          <w:lang w:eastAsia="es-ES"/>
        </w:rPr>
        <w:lastRenderedPageBreak/>
        <w:t>Gráfica 5</w:t>
      </w:r>
    </w:p>
    <w:p w14:paraId="61818ED6" w14:textId="77777777" w:rsidR="007F1285" w:rsidRPr="00BD7ACC" w:rsidRDefault="007F1285" w:rsidP="00DC57AF">
      <w:pPr>
        <w:widowControl w:val="0"/>
        <w:autoSpaceDE w:val="0"/>
        <w:autoSpaceDN w:val="0"/>
        <w:adjustRightInd w:val="0"/>
        <w:spacing w:after="0" w:line="240" w:lineRule="auto"/>
        <w:ind w:right="5"/>
        <w:jc w:val="center"/>
        <w:rPr>
          <w:rFonts w:ascii="Arial" w:hAnsi="Arial" w:cs="Arial"/>
          <w:b/>
          <w:smallCaps/>
          <w:lang w:eastAsia="es-ES"/>
        </w:rPr>
      </w:pPr>
      <w:r w:rsidRPr="00BD7ACC">
        <w:rPr>
          <w:rFonts w:ascii="Arial" w:hAnsi="Arial" w:cs="Arial"/>
          <w:b/>
          <w:smallCaps/>
          <w:lang w:eastAsia="es-ES"/>
        </w:rPr>
        <w:t>T</w:t>
      </w:r>
      <w:r w:rsidR="00151289" w:rsidRPr="00BD7ACC">
        <w:rPr>
          <w:rFonts w:ascii="Arial" w:hAnsi="Arial" w:cs="Arial"/>
          <w:b/>
          <w:smallCaps/>
          <w:lang w:eastAsia="es-ES"/>
        </w:rPr>
        <w:t>asa de homicidios por cada 10</w:t>
      </w:r>
      <w:r w:rsidR="005A0934" w:rsidRPr="00BD7ACC">
        <w:rPr>
          <w:rFonts w:ascii="Arial" w:hAnsi="Arial" w:cs="Arial"/>
          <w:b/>
          <w:smallCaps/>
          <w:lang w:eastAsia="es-ES"/>
        </w:rPr>
        <w:t>0</w:t>
      </w:r>
      <w:r w:rsidR="00FD59EB" w:rsidRPr="00BD7ACC">
        <w:rPr>
          <w:rFonts w:ascii="Arial" w:hAnsi="Arial" w:cs="Arial"/>
          <w:b/>
          <w:smallCaps/>
          <w:lang w:eastAsia="es-ES"/>
        </w:rPr>
        <w:t xml:space="preserve"> </w:t>
      </w:r>
      <w:r w:rsidR="00151289" w:rsidRPr="00BD7ACC">
        <w:rPr>
          <w:rFonts w:ascii="Arial" w:hAnsi="Arial" w:cs="Arial"/>
          <w:b/>
          <w:smallCaps/>
          <w:lang w:eastAsia="es-ES"/>
        </w:rPr>
        <w:t>000 habitantes a nivel nacional</w:t>
      </w:r>
      <w:r w:rsidRPr="00BD7ACC">
        <w:rPr>
          <w:rFonts w:ascii="Arial" w:hAnsi="Arial" w:cs="Arial"/>
          <w:b/>
          <w:smallCaps/>
          <w:lang w:eastAsia="es-ES"/>
        </w:rPr>
        <w:t xml:space="preserve"> </w:t>
      </w:r>
    </w:p>
    <w:p w14:paraId="42518AF3" w14:textId="77777777" w:rsidR="009C09BE" w:rsidRPr="00BD7ACC" w:rsidRDefault="009C09BE" w:rsidP="00DC57AF">
      <w:pPr>
        <w:widowControl w:val="0"/>
        <w:autoSpaceDE w:val="0"/>
        <w:autoSpaceDN w:val="0"/>
        <w:adjustRightInd w:val="0"/>
        <w:spacing w:after="0" w:line="240" w:lineRule="auto"/>
        <w:ind w:right="5"/>
        <w:jc w:val="center"/>
        <w:rPr>
          <w:rFonts w:ascii="Arial" w:hAnsi="Arial" w:cs="Arial"/>
          <w:b/>
          <w:smallCaps/>
          <w:lang w:eastAsia="es-ES"/>
        </w:rPr>
      </w:pPr>
      <w:r w:rsidRPr="00BD7ACC">
        <w:rPr>
          <w:rFonts w:ascii="Arial" w:hAnsi="Arial" w:cs="Arial"/>
          <w:b/>
          <w:smallCaps/>
          <w:lang w:eastAsia="es-ES"/>
        </w:rPr>
        <w:t>S</w:t>
      </w:r>
      <w:r w:rsidR="00151289" w:rsidRPr="00BD7ACC">
        <w:rPr>
          <w:rFonts w:ascii="Arial" w:hAnsi="Arial" w:cs="Arial"/>
          <w:b/>
          <w:smallCaps/>
          <w:lang w:eastAsia="es-ES"/>
        </w:rPr>
        <w:t>erie anual</w:t>
      </w:r>
      <w:r w:rsidRPr="00BD7ACC">
        <w:rPr>
          <w:rFonts w:ascii="Arial" w:hAnsi="Arial" w:cs="Arial"/>
          <w:b/>
          <w:smallCaps/>
          <w:lang w:eastAsia="es-ES"/>
        </w:rPr>
        <w:t xml:space="preserve"> 1990-2021</w:t>
      </w:r>
      <w:r w:rsidRPr="00BD7ACC">
        <w:rPr>
          <w:rFonts w:ascii="Arial" w:hAnsi="Arial" w:cs="Arial"/>
          <w:b/>
          <w:smallCaps/>
          <w:vertAlign w:val="superscript"/>
          <w:lang w:eastAsia="es-ES"/>
        </w:rPr>
        <w:t>p</w:t>
      </w:r>
    </w:p>
    <w:p w14:paraId="4D4C52A2" w14:textId="77777777" w:rsidR="007F1285" w:rsidRPr="00BD7ACC" w:rsidRDefault="007F1285" w:rsidP="00DC57AF">
      <w:pPr>
        <w:widowControl w:val="0"/>
        <w:autoSpaceDE w:val="0"/>
        <w:autoSpaceDN w:val="0"/>
        <w:adjustRightInd w:val="0"/>
        <w:spacing w:after="0" w:line="240" w:lineRule="auto"/>
        <w:ind w:right="5"/>
        <w:jc w:val="center"/>
        <w:rPr>
          <w:rFonts w:ascii="Arial" w:hAnsi="Arial" w:cs="Arial"/>
          <w:b/>
          <w:smallCaps/>
          <w:sz w:val="18"/>
          <w:szCs w:val="18"/>
          <w:lang w:eastAsia="es-ES"/>
        </w:rPr>
      </w:pPr>
      <w:r w:rsidRPr="00BD7ACC">
        <w:rPr>
          <w:rFonts w:ascii="Arial" w:hAnsi="Arial" w:cs="Arial"/>
          <w:b/>
          <w:smallCaps/>
          <w:sz w:val="18"/>
          <w:szCs w:val="18"/>
          <w:lang w:eastAsia="es-ES"/>
        </w:rPr>
        <w:t>(Mujeres y hombres)</w:t>
      </w:r>
    </w:p>
    <w:p w14:paraId="040B0033" w14:textId="77777777" w:rsidR="007F1285" w:rsidRPr="00A0482B" w:rsidRDefault="007F1285" w:rsidP="007F1285">
      <w:pPr>
        <w:spacing w:after="0" w:line="240" w:lineRule="auto"/>
        <w:ind w:left="-284" w:right="425"/>
        <w:jc w:val="center"/>
        <w:rPr>
          <w:rFonts w:ascii="Arial" w:hAnsi="Arial"/>
          <w:bCs/>
          <w:lang w:eastAsia="es-ES"/>
        </w:rPr>
      </w:pPr>
    </w:p>
    <w:p w14:paraId="351354DB" w14:textId="1AA8D9D8" w:rsidR="007F1285" w:rsidRDefault="00A43E2F" w:rsidP="00F117DF">
      <w:pPr>
        <w:tabs>
          <w:tab w:val="left" w:pos="567"/>
        </w:tabs>
        <w:spacing w:after="0" w:line="240" w:lineRule="auto"/>
        <w:ind w:right="425"/>
        <w:jc w:val="both"/>
        <w:rPr>
          <w:rFonts w:ascii="Arial" w:hAnsi="Arial"/>
          <w:bCs/>
          <w:sz w:val="14"/>
          <w:szCs w:val="14"/>
          <w:lang w:eastAsia="es-ES"/>
        </w:rPr>
      </w:pPr>
      <w:r w:rsidRPr="00386302">
        <w:rPr>
          <w:noProof/>
        </w:rPr>
        <w:drawing>
          <wp:inline distT="0" distB="0" distL="0" distR="0" wp14:anchorId="6D07C9F9" wp14:editId="6E728100">
            <wp:extent cx="6075222" cy="3306726"/>
            <wp:effectExtent l="0" t="0" r="1905" b="8255"/>
            <wp:docPr id="5" name="Imagen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B9E1C6" w14:textId="77777777" w:rsidR="002146A2" w:rsidRDefault="002146A2" w:rsidP="00F117DF">
      <w:pPr>
        <w:tabs>
          <w:tab w:val="left" w:pos="567"/>
        </w:tabs>
        <w:spacing w:after="0" w:line="240" w:lineRule="auto"/>
        <w:ind w:right="425"/>
        <w:jc w:val="both"/>
        <w:rPr>
          <w:rFonts w:ascii="Arial" w:hAnsi="Arial"/>
          <w:bCs/>
          <w:sz w:val="14"/>
          <w:szCs w:val="14"/>
          <w:lang w:eastAsia="es-ES"/>
        </w:rPr>
      </w:pPr>
    </w:p>
    <w:p w14:paraId="41AB3578" w14:textId="3B3C9955" w:rsidR="007F1285" w:rsidRDefault="007F1285" w:rsidP="00F117DF">
      <w:pPr>
        <w:tabs>
          <w:tab w:val="left" w:pos="567"/>
        </w:tabs>
        <w:spacing w:after="0" w:line="240" w:lineRule="auto"/>
        <w:ind w:left="567" w:right="283" w:hanging="567"/>
        <w:jc w:val="both"/>
        <w:rPr>
          <w:rFonts w:ascii="Arial" w:eastAsia="Calibri" w:hAnsi="Arial" w:cs="Arial"/>
          <w:sz w:val="14"/>
          <w:szCs w:val="14"/>
        </w:rPr>
      </w:pPr>
      <w:r>
        <w:rPr>
          <w:rFonts w:ascii="Arial" w:hAnsi="Arial" w:cs="Arial"/>
          <w:color w:val="000000"/>
          <w:sz w:val="14"/>
          <w:szCs w:val="14"/>
        </w:rPr>
        <w:t>Nota:</w:t>
      </w:r>
      <w:r>
        <w:rPr>
          <w:rFonts w:ascii="Arial" w:hAnsi="Arial" w:cs="Arial"/>
          <w:color w:val="000000"/>
          <w:sz w:val="14"/>
          <w:szCs w:val="14"/>
        </w:rPr>
        <w:tab/>
      </w:r>
      <w:r w:rsidRPr="00237018">
        <w:rPr>
          <w:rFonts w:ascii="Arial" w:eastAsia="Calibri" w:hAnsi="Arial" w:cs="Arial"/>
          <w:sz w:val="14"/>
          <w:szCs w:val="14"/>
        </w:rPr>
        <w:t xml:space="preserve">El denominador de la tasa para el periodo </w:t>
      </w:r>
      <w:r>
        <w:rPr>
          <w:rFonts w:ascii="Arial" w:eastAsia="Calibri" w:hAnsi="Arial" w:cs="Arial"/>
          <w:sz w:val="14"/>
          <w:szCs w:val="14"/>
        </w:rPr>
        <w:t>1990</w:t>
      </w:r>
      <w:r w:rsidRPr="00237018">
        <w:rPr>
          <w:rFonts w:ascii="Arial" w:eastAsia="Calibri" w:hAnsi="Arial" w:cs="Arial"/>
          <w:sz w:val="14"/>
          <w:szCs w:val="14"/>
        </w:rPr>
        <w:t>-20</w:t>
      </w:r>
      <w:r>
        <w:rPr>
          <w:rFonts w:ascii="Arial" w:eastAsia="Calibri" w:hAnsi="Arial" w:cs="Arial"/>
          <w:sz w:val="14"/>
          <w:szCs w:val="14"/>
        </w:rPr>
        <w:t>19</w:t>
      </w:r>
      <w:r w:rsidRPr="00237018">
        <w:rPr>
          <w:rFonts w:ascii="Arial" w:eastAsia="Calibri" w:hAnsi="Arial" w:cs="Arial"/>
          <w:sz w:val="14"/>
          <w:szCs w:val="14"/>
        </w:rPr>
        <w:t xml:space="preserve"> corresponde a las proyecciones de población 2016-2050 de</w:t>
      </w:r>
      <w:r w:rsidR="00B50244">
        <w:rPr>
          <w:rFonts w:ascii="Arial" w:eastAsia="Calibri" w:hAnsi="Arial" w:cs="Arial"/>
          <w:sz w:val="14"/>
          <w:szCs w:val="14"/>
        </w:rPr>
        <w:t>l</w:t>
      </w:r>
      <w:r w:rsidRPr="00237018">
        <w:rPr>
          <w:rFonts w:ascii="Arial" w:eastAsia="Calibri" w:hAnsi="Arial" w:cs="Arial"/>
          <w:sz w:val="14"/>
          <w:szCs w:val="14"/>
        </w:rPr>
        <w:t xml:space="preserve"> CONAPO y a la Conciliación Demográfica de México, 1950-2015. Para </w:t>
      </w:r>
      <w:r w:rsidR="00AF65B1">
        <w:rPr>
          <w:rFonts w:ascii="Arial" w:eastAsia="Calibri" w:hAnsi="Arial" w:cs="Arial"/>
          <w:sz w:val="14"/>
          <w:szCs w:val="14"/>
        </w:rPr>
        <w:t>este</w:t>
      </w:r>
      <w:r w:rsidRPr="00237018">
        <w:rPr>
          <w:rFonts w:ascii="Arial" w:eastAsia="Calibri" w:hAnsi="Arial" w:cs="Arial"/>
          <w:sz w:val="14"/>
          <w:szCs w:val="14"/>
        </w:rPr>
        <w:t xml:space="preserve"> cálculo</w:t>
      </w:r>
      <w:r w:rsidR="00AF65B1">
        <w:rPr>
          <w:rFonts w:ascii="Arial" w:eastAsia="Calibri" w:hAnsi="Arial" w:cs="Arial"/>
          <w:sz w:val="14"/>
          <w:szCs w:val="14"/>
        </w:rPr>
        <w:t xml:space="preserve">, la tasa </w:t>
      </w:r>
      <w:r>
        <w:rPr>
          <w:rFonts w:ascii="Arial" w:eastAsia="Calibri" w:hAnsi="Arial" w:cs="Arial"/>
          <w:sz w:val="14"/>
          <w:szCs w:val="14"/>
        </w:rPr>
        <w:t>de los años 2020-</w:t>
      </w:r>
      <w:r w:rsidRPr="00237018">
        <w:rPr>
          <w:rFonts w:ascii="Arial" w:eastAsia="Calibri" w:hAnsi="Arial" w:cs="Arial"/>
          <w:sz w:val="14"/>
          <w:szCs w:val="14"/>
        </w:rPr>
        <w:t xml:space="preserve">2021 se ajusta a la estimación de población </w:t>
      </w:r>
      <w:r w:rsidR="00AF65B1">
        <w:rPr>
          <w:rFonts w:ascii="Arial" w:eastAsia="Calibri" w:hAnsi="Arial" w:cs="Arial"/>
          <w:sz w:val="14"/>
          <w:szCs w:val="14"/>
        </w:rPr>
        <w:t xml:space="preserve">que elabora </w:t>
      </w:r>
      <w:r w:rsidRPr="00237018">
        <w:rPr>
          <w:rFonts w:ascii="Arial" w:eastAsia="Calibri" w:hAnsi="Arial" w:cs="Arial"/>
          <w:sz w:val="14"/>
          <w:szCs w:val="14"/>
        </w:rPr>
        <w:t>el INEGI con base en el Marco de Muestreo de Viviendas</w:t>
      </w:r>
      <w:r w:rsidR="00FC743D">
        <w:rPr>
          <w:rFonts w:ascii="Arial" w:eastAsia="Calibri" w:hAnsi="Arial" w:cs="Arial"/>
          <w:sz w:val="14"/>
          <w:szCs w:val="14"/>
        </w:rPr>
        <w:t xml:space="preserve"> con referencia al 30 de junio para ambos años.</w:t>
      </w:r>
    </w:p>
    <w:p w14:paraId="602F0340" w14:textId="1ED337C9" w:rsidR="007F1285" w:rsidRPr="00C61ACD" w:rsidRDefault="007F1285" w:rsidP="00F117DF">
      <w:pPr>
        <w:tabs>
          <w:tab w:val="left" w:pos="567"/>
        </w:tabs>
        <w:spacing w:after="0" w:line="240" w:lineRule="auto"/>
        <w:ind w:left="567" w:right="283" w:hanging="567"/>
        <w:jc w:val="both"/>
        <w:rPr>
          <w:rFonts w:ascii="Arial" w:hAnsi="Arial" w:cs="Arial"/>
          <w:bCs/>
          <w:sz w:val="14"/>
          <w:szCs w:val="14"/>
        </w:rPr>
      </w:pPr>
      <w:r w:rsidRPr="00C61ACD">
        <w:rPr>
          <w:rFonts w:ascii="Arial" w:hAnsi="Arial" w:cs="Arial"/>
          <w:bCs/>
          <w:sz w:val="14"/>
          <w:szCs w:val="14"/>
          <w:vertAlign w:val="superscript"/>
        </w:rPr>
        <w:t>p</w:t>
      </w:r>
      <w:r w:rsidRPr="00C61ACD">
        <w:rPr>
          <w:rFonts w:ascii="Arial" w:hAnsi="Arial" w:cs="Arial"/>
          <w:bCs/>
          <w:sz w:val="14"/>
          <w:szCs w:val="14"/>
        </w:rPr>
        <w:tab/>
        <w:t>Cifras preliminar</w:t>
      </w:r>
      <w:r>
        <w:rPr>
          <w:rFonts w:ascii="Arial" w:hAnsi="Arial" w:cs="Arial"/>
          <w:bCs/>
          <w:sz w:val="14"/>
          <w:szCs w:val="14"/>
        </w:rPr>
        <w:t xml:space="preserve">es (enero a diciembre 2021), con corte </w:t>
      </w:r>
      <w:r w:rsidRPr="00331198">
        <w:rPr>
          <w:rFonts w:ascii="Arial" w:hAnsi="Arial" w:cs="Arial"/>
          <w:bCs/>
          <w:sz w:val="14"/>
          <w:szCs w:val="14"/>
        </w:rPr>
        <w:t xml:space="preserve">al </w:t>
      </w:r>
      <w:r>
        <w:rPr>
          <w:rFonts w:ascii="Arial" w:hAnsi="Arial" w:cs="Arial"/>
          <w:bCs/>
          <w:sz w:val="14"/>
          <w:szCs w:val="14"/>
        </w:rPr>
        <w:t>15 de julio de 2022</w:t>
      </w:r>
      <w:r w:rsidR="00AF65B1">
        <w:rPr>
          <w:rFonts w:ascii="Arial" w:hAnsi="Arial" w:cs="Arial"/>
          <w:bCs/>
          <w:sz w:val="14"/>
          <w:szCs w:val="14"/>
        </w:rPr>
        <w:t xml:space="preserve">: </w:t>
      </w:r>
      <w:r w:rsidRPr="00C61ACD">
        <w:rPr>
          <w:rFonts w:ascii="Arial" w:hAnsi="Arial" w:cs="Arial"/>
          <w:bCs/>
          <w:sz w:val="14"/>
          <w:szCs w:val="14"/>
        </w:rPr>
        <w:t>aún no concluyen los procesos de generación de la</w:t>
      </w:r>
      <w:r>
        <w:rPr>
          <w:rFonts w:ascii="Arial" w:hAnsi="Arial" w:cs="Arial"/>
          <w:bCs/>
          <w:sz w:val="14"/>
          <w:szCs w:val="14"/>
        </w:rPr>
        <w:t>s</w:t>
      </w:r>
      <w:r w:rsidRPr="00C61ACD">
        <w:rPr>
          <w:rFonts w:ascii="Arial" w:hAnsi="Arial" w:cs="Arial"/>
          <w:bCs/>
          <w:sz w:val="14"/>
          <w:szCs w:val="14"/>
        </w:rPr>
        <w:t xml:space="preserve"> estadís</w:t>
      </w:r>
      <w:r>
        <w:rPr>
          <w:rFonts w:ascii="Arial" w:hAnsi="Arial" w:cs="Arial"/>
          <w:bCs/>
          <w:sz w:val="14"/>
          <w:szCs w:val="14"/>
        </w:rPr>
        <w:t>ticas de defunciones registradas</w:t>
      </w:r>
      <w:r w:rsidRPr="00C61ACD">
        <w:rPr>
          <w:rFonts w:ascii="Arial" w:hAnsi="Arial" w:cs="Arial"/>
          <w:bCs/>
          <w:sz w:val="14"/>
          <w:szCs w:val="14"/>
        </w:rPr>
        <w:t>.</w:t>
      </w:r>
    </w:p>
    <w:p w14:paraId="069C931B" w14:textId="017950BE" w:rsidR="007F1285" w:rsidRPr="00910506" w:rsidRDefault="007F1285" w:rsidP="00F117DF">
      <w:pPr>
        <w:tabs>
          <w:tab w:val="left" w:pos="567"/>
        </w:tabs>
        <w:spacing w:after="0" w:line="240" w:lineRule="auto"/>
        <w:ind w:left="567" w:right="283" w:hanging="567"/>
        <w:jc w:val="both"/>
        <w:rPr>
          <w:rFonts w:ascii="Arial" w:hAnsi="Arial" w:cs="Arial"/>
          <w:color w:val="000000"/>
          <w:sz w:val="14"/>
          <w:szCs w:val="14"/>
        </w:rPr>
      </w:pPr>
      <w:r w:rsidRPr="00C61ACD">
        <w:rPr>
          <w:rFonts w:ascii="Arial" w:hAnsi="Arial" w:cs="Arial"/>
          <w:color w:val="000000"/>
          <w:sz w:val="14"/>
          <w:szCs w:val="14"/>
        </w:rPr>
        <w:t>Fuente:</w:t>
      </w:r>
      <w:r w:rsidR="003B3305">
        <w:rPr>
          <w:rFonts w:ascii="Arial" w:hAnsi="Arial" w:cs="Arial"/>
          <w:color w:val="000000"/>
          <w:sz w:val="14"/>
          <w:szCs w:val="14"/>
        </w:rPr>
        <w:t xml:space="preserve">  </w:t>
      </w:r>
      <w:r w:rsidRPr="00BD7ACC">
        <w:rPr>
          <w:rFonts w:ascii="Arial" w:hAnsi="Arial" w:cs="Arial"/>
          <w:color w:val="000000"/>
          <w:sz w:val="14"/>
          <w:szCs w:val="14"/>
        </w:rPr>
        <w:t>INEGI</w:t>
      </w:r>
      <w:r w:rsidRPr="00C61ACD">
        <w:rPr>
          <w:rFonts w:ascii="Arial" w:hAnsi="Arial" w:cs="Arial"/>
          <w:b/>
          <w:bCs/>
          <w:color w:val="000000"/>
          <w:sz w:val="14"/>
          <w:szCs w:val="14"/>
        </w:rPr>
        <w:t>.</w:t>
      </w:r>
      <w:r w:rsidRPr="00C61ACD">
        <w:rPr>
          <w:rFonts w:ascii="Arial" w:hAnsi="Arial" w:cs="Arial"/>
          <w:color w:val="000000"/>
          <w:sz w:val="14"/>
          <w:szCs w:val="14"/>
        </w:rPr>
        <w:t xml:space="preserve"> Estadísticas Vitales.</w:t>
      </w:r>
      <w:r>
        <w:rPr>
          <w:rFonts w:ascii="Arial" w:hAnsi="Arial" w:cs="Arial"/>
          <w:color w:val="000000"/>
          <w:sz w:val="14"/>
          <w:szCs w:val="14"/>
        </w:rPr>
        <w:t xml:space="preserve"> </w:t>
      </w:r>
      <w:r w:rsidR="00476316">
        <w:rPr>
          <w:rFonts w:ascii="Arial" w:hAnsi="Arial" w:cs="Arial"/>
          <w:color w:val="000000"/>
          <w:sz w:val="14"/>
          <w:szCs w:val="14"/>
        </w:rPr>
        <w:t xml:space="preserve">Estadísticas de </w:t>
      </w:r>
      <w:r>
        <w:rPr>
          <w:rFonts w:ascii="Arial" w:hAnsi="Arial" w:cs="Arial"/>
          <w:color w:val="000000"/>
          <w:sz w:val="14"/>
          <w:szCs w:val="14"/>
        </w:rPr>
        <w:t xml:space="preserve">Defunciones </w:t>
      </w:r>
      <w:r w:rsidR="00476316">
        <w:rPr>
          <w:rFonts w:ascii="Arial" w:hAnsi="Arial" w:cs="Arial"/>
          <w:color w:val="000000"/>
          <w:sz w:val="14"/>
          <w:szCs w:val="14"/>
        </w:rPr>
        <w:t>R</w:t>
      </w:r>
      <w:r>
        <w:rPr>
          <w:rFonts w:ascii="Arial" w:hAnsi="Arial" w:cs="Arial"/>
          <w:color w:val="000000"/>
          <w:sz w:val="14"/>
          <w:szCs w:val="14"/>
        </w:rPr>
        <w:t>egistradas</w:t>
      </w:r>
    </w:p>
    <w:p w14:paraId="3FC43904" w14:textId="77777777" w:rsidR="007F1285" w:rsidRDefault="007F1285" w:rsidP="007F1285">
      <w:pPr>
        <w:spacing w:after="120" w:line="240" w:lineRule="auto"/>
        <w:ind w:left="-284" w:right="425"/>
        <w:jc w:val="center"/>
        <w:rPr>
          <w:rFonts w:ascii="Arial" w:hAnsi="Arial"/>
          <w:b/>
          <w:bCs/>
          <w:sz w:val="28"/>
          <w:szCs w:val="28"/>
          <w:lang w:eastAsia="es-ES"/>
        </w:rPr>
      </w:pPr>
    </w:p>
    <w:p w14:paraId="65CC2FDC" w14:textId="77777777" w:rsidR="007F1285" w:rsidRDefault="007F1285" w:rsidP="007F1285">
      <w:pPr>
        <w:spacing w:after="120" w:line="240" w:lineRule="auto"/>
        <w:ind w:left="-284" w:right="425"/>
        <w:jc w:val="center"/>
        <w:rPr>
          <w:rFonts w:ascii="Arial" w:hAnsi="Arial"/>
          <w:b/>
          <w:bCs/>
          <w:sz w:val="28"/>
          <w:szCs w:val="28"/>
          <w:lang w:eastAsia="es-ES"/>
        </w:rPr>
      </w:pPr>
    </w:p>
    <w:p w14:paraId="6554E9DB" w14:textId="77777777" w:rsidR="007F1285" w:rsidRDefault="007F1285" w:rsidP="007F1285">
      <w:pPr>
        <w:spacing w:after="120" w:line="240" w:lineRule="auto"/>
        <w:ind w:left="-284" w:right="425"/>
        <w:jc w:val="center"/>
        <w:rPr>
          <w:rFonts w:ascii="Arial" w:hAnsi="Arial"/>
          <w:b/>
          <w:bCs/>
          <w:sz w:val="28"/>
          <w:szCs w:val="28"/>
          <w:lang w:eastAsia="es-ES"/>
        </w:rPr>
      </w:pPr>
    </w:p>
    <w:p w14:paraId="059C55B9" w14:textId="77777777" w:rsidR="007F1285" w:rsidRPr="00A22317" w:rsidRDefault="007F1285" w:rsidP="007F1285">
      <w:pPr>
        <w:spacing w:after="120" w:line="240" w:lineRule="auto"/>
        <w:ind w:left="-284" w:right="425"/>
        <w:jc w:val="center"/>
        <w:rPr>
          <w:rFonts w:ascii="Arial" w:hAnsi="Arial"/>
          <w:b/>
          <w:bCs/>
          <w:sz w:val="24"/>
          <w:szCs w:val="24"/>
          <w:lang w:eastAsia="es-ES"/>
        </w:rPr>
      </w:pPr>
      <w:r>
        <w:rPr>
          <w:rFonts w:ascii="Arial" w:hAnsi="Arial"/>
          <w:b/>
          <w:bCs/>
          <w:sz w:val="28"/>
          <w:szCs w:val="28"/>
          <w:lang w:eastAsia="es-ES"/>
        </w:rPr>
        <w:br w:type="page"/>
      </w:r>
    </w:p>
    <w:p w14:paraId="7CFFED47" w14:textId="33D91A38" w:rsidR="00476316" w:rsidRDefault="00476316" w:rsidP="00BD7ACC">
      <w:pPr>
        <w:widowControl w:val="0"/>
        <w:autoSpaceDE w:val="0"/>
        <w:autoSpaceDN w:val="0"/>
        <w:adjustRightInd w:val="0"/>
        <w:spacing w:after="0" w:line="240" w:lineRule="auto"/>
        <w:jc w:val="center"/>
        <w:rPr>
          <w:rFonts w:ascii="Arial" w:hAnsi="Arial" w:cs="Arial"/>
          <w:b/>
          <w:smallCaps/>
          <w:sz w:val="24"/>
          <w:szCs w:val="24"/>
          <w:lang w:eastAsia="es-ES"/>
        </w:rPr>
      </w:pPr>
      <w:r>
        <w:rPr>
          <w:rFonts w:ascii="Arial" w:hAnsi="Arial"/>
          <w:sz w:val="20"/>
          <w:szCs w:val="20"/>
          <w:lang w:eastAsia="es-ES"/>
        </w:rPr>
        <w:lastRenderedPageBreak/>
        <w:t>Tabla 1</w:t>
      </w:r>
    </w:p>
    <w:p w14:paraId="5991418B" w14:textId="5F5C8FA7" w:rsidR="007F1285" w:rsidRPr="00BD7ACC" w:rsidRDefault="007F1285" w:rsidP="00BD7ACC">
      <w:pPr>
        <w:widowControl w:val="0"/>
        <w:autoSpaceDE w:val="0"/>
        <w:autoSpaceDN w:val="0"/>
        <w:adjustRightInd w:val="0"/>
        <w:spacing w:after="0" w:line="240" w:lineRule="auto"/>
        <w:jc w:val="center"/>
        <w:rPr>
          <w:rFonts w:ascii="Arial" w:hAnsi="Arial" w:cs="Arial"/>
          <w:b/>
          <w:smallCaps/>
          <w:lang w:eastAsia="es-ES"/>
        </w:rPr>
      </w:pPr>
      <w:r w:rsidRPr="00BD7ACC">
        <w:rPr>
          <w:rFonts w:ascii="Arial" w:hAnsi="Arial" w:cs="Arial"/>
          <w:b/>
          <w:smallCaps/>
          <w:lang w:eastAsia="es-ES"/>
        </w:rPr>
        <w:t>H</w:t>
      </w:r>
      <w:r w:rsidR="00151289" w:rsidRPr="00BD7ACC">
        <w:rPr>
          <w:rFonts w:ascii="Arial" w:hAnsi="Arial" w:cs="Arial"/>
          <w:b/>
          <w:smallCaps/>
          <w:lang w:eastAsia="es-ES"/>
        </w:rPr>
        <w:t>omicidios por entidad federativa según año de registro</w:t>
      </w:r>
    </w:p>
    <w:p w14:paraId="348C5933" w14:textId="77777777" w:rsidR="007F1285" w:rsidRPr="00BD7ACC" w:rsidRDefault="007F1285" w:rsidP="00BD7ACC">
      <w:pPr>
        <w:widowControl w:val="0"/>
        <w:autoSpaceDE w:val="0"/>
        <w:autoSpaceDN w:val="0"/>
        <w:adjustRightInd w:val="0"/>
        <w:spacing w:after="0" w:line="240" w:lineRule="auto"/>
        <w:ind w:left="993"/>
        <w:jc w:val="center"/>
        <w:rPr>
          <w:rFonts w:ascii="Arial" w:hAnsi="Arial" w:cs="Arial"/>
          <w:b/>
          <w:smallCaps/>
          <w:vertAlign w:val="superscript"/>
          <w:lang w:eastAsia="es-ES"/>
        </w:rPr>
      </w:pPr>
      <w:r w:rsidRPr="00BD7ACC">
        <w:rPr>
          <w:rFonts w:ascii="Arial" w:hAnsi="Arial" w:cs="Arial"/>
          <w:b/>
          <w:smallCaps/>
          <w:lang w:eastAsia="es-ES"/>
        </w:rPr>
        <w:t>S</w:t>
      </w:r>
      <w:r w:rsidR="00151289" w:rsidRPr="00BD7ACC">
        <w:rPr>
          <w:rFonts w:ascii="Arial" w:hAnsi="Arial" w:cs="Arial"/>
          <w:b/>
          <w:smallCaps/>
          <w:lang w:eastAsia="es-ES"/>
        </w:rPr>
        <w:t>erie anual de</w:t>
      </w:r>
      <w:r w:rsidRPr="00BD7ACC">
        <w:rPr>
          <w:rFonts w:ascii="Arial" w:hAnsi="Arial" w:cs="Arial"/>
          <w:b/>
          <w:smallCaps/>
          <w:lang w:eastAsia="es-ES"/>
        </w:rPr>
        <w:t xml:space="preserve"> 2011 A 2021</w:t>
      </w:r>
      <w:r w:rsidRPr="00BD7ACC">
        <w:rPr>
          <w:rFonts w:ascii="Arial" w:hAnsi="Arial" w:cs="Arial"/>
          <w:b/>
          <w:smallCaps/>
          <w:vertAlign w:val="superscript"/>
          <w:lang w:eastAsia="es-ES"/>
        </w:rPr>
        <w:t>p</w:t>
      </w:r>
    </w:p>
    <w:p w14:paraId="0746BBFE" w14:textId="77777777" w:rsidR="00FB1DF2" w:rsidRPr="003B3305" w:rsidRDefault="00FB1DF2" w:rsidP="00EE35D7">
      <w:pPr>
        <w:widowControl w:val="0"/>
        <w:autoSpaceDE w:val="0"/>
        <w:autoSpaceDN w:val="0"/>
        <w:adjustRightInd w:val="0"/>
        <w:spacing w:after="0" w:line="240" w:lineRule="auto"/>
        <w:ind w:left="993"/>
        <w:rPr>
          <w:rFonts w:ascii="Arial" w:hAnsi="Arial" w:cs="Arial"/>
          <w:b/>
          <w:smallCaps/>
          <w:sz w:val="24"/>
          <w:szCs w:val="24"/>
          <w:lang w:eastAsia="es-ES"/>
        </w:rPr>
      </w:pPr>
    </w:p>
    <w:tbl>
      <w:tblPr>
        <w:tblW w:w="9460" w:type="dxa"/>
        <w:tblInd w:w="70" w:type="dxa"/>
        <w:tblCellMar>
          <w:left w:w="70" w:type="dxa"/>
          <w:right w:w="70" w:type="dxa"/>
        </w:tblCellMar>
        <w:tblLook w:val="04A0" w:firstRow="1" w:lastRow="0" w:firstColumn="1" w:lastColumn="0" w:noHBand="0" w:noVBand="1"/>
      </w:tblPr>
      <w:tblGrid>
        <w:gridCol w:w="2420"/>
        <w:gridCol w:w="640"/>
        <w:gridCol w:w="640"/>
        <w:gridCol w:w="640"/>
        <w:gridCol w:w="640"/>
        <w:gridCol w:w="640"/>
        <w:gridCol w:w="640"/>
        <w:gridCol w:w="640"/>
        <w:gridCol w:w="640"/>
        <w:gridCol w:w="640"/>
        <w:gridCol w:w="640"/>
        <w:gridCol w:w="640"/>
      </w:tblGrid>
      <w:tr w:rsidR="00FC4A41" w:rsidRPr="00FC4A41" w14:paraId="2382B869" w14:textId="77777777" w:rsidTr="00FC4A41">
        <w:trPr>
          <w:trHeight w:val="390"/>
        </w:trPr>
        <w:tc>
          <w:tcPr>
            <w:tcW w:w="2420" w:type="dxa"/>
            <w:tcBorders>
              <w:top w:val="nil"/>
              <w:left w:val="nil"/>
              <w:bottom w:val="nil"/>
              <w:right w:val="nil"/>
            </w:tcBorders>
            <w:shd w:val="clear" w:color="000000" w:fill="C0504D"/>
            <w:noWrap/>
            <w:vAlign w:val="center"/>
            <w:hideMark/>
          </w:tcPr>
          <w:p w14:paraId="3FA6B72C" w14:textId="77777777" w:rsidR="00FC4A41" w:rsidRPr="00FC4A41" w:rsidRDefault="00FC4A41" w:rsidP="00FC4A41">
            <w:pPr>
              <w:spacing w:after="0" w:line="240" w:lineRule="auto"/>
              <w:rPr>
                <w:rFonts w:ascii="Arial" w:hAnsi="Arial" w:cs="Arial"/>
                <w:b/>
                <w:bCs/>
                <w:color w:val="FFFFFF"/>
                <w:sz w:val="16"/>
                <w:szCs w:val="16"/>
              </w:rPr>
            </w:pPr>
            <w:r w:rsidRPr="00FC4A41">
              <w:rPr>
                <w:rFonts w:ascii="Arial" w:hAnsi="Arial" w:cs="Arial"/>
                <w:b/>
                <w:bCs/>
                <w:color w:val="FFFFFF"/>
                <w:sz w:val="16"/>
                <w:szCs w:val="16"/>
              </w:rPr>
              <w:t>Entidad federativa de registro</w:t>
            </w:r>
          </w:p>
        </w:tc>
        <w:tc>
          <w:tcPr>
            <w:tcW w:w="640" w:type="dxa"/>
            <w:tcBorders>
              <w:top w:val="nil"/>
              <w:left w:val="nil"/>
              <w:bottom w:val="nil"/>
              <w:right w:val="nil"/>
            </w:tcBorders>
            <w:shd w:val="clear" w:color="000000" w:fill="C0504D"/>
            <w:noWrap/>
            <w:vAlign w:val="center"/>
            <w:hideMark/>
          </w:tcPr>
          <w:p w14:paraId="79CDD9CA"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2011</w:t>
            </w:r>
          </w:p>
        </w:tc>
        <w:tc>
          <w:tcPr>
            <w:tcW w:w="640" w:type="dxa"/>
            <w:tcBorders>
              <w:top w:val="nil"/>
              <w:left w:val="nil"/>
              <w:bottom w:val="nil"/>
              <w:right w:val="nil"/>
            </w:tcBorders>
            <w:shd w:val="clear" w:color="000000" w:fill="C0504D"/>
            <w:noWrap/>
            <w:vAlign w:val="center"/>
            <w:hideMark/>
          </w:tcPr>
          <w:p w14:paraId="69290D2C"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2012</w:t>
            </w:r>
          </w:p>
        </w:tc>
        <w:tc>
          <w:tcPr>
            <w:tcW w:w="640" w:type="dxa"/>
            <w:tcBorders>
              <w:top w:val="nil"/>
              <w:left w:val="nil"/>
              <w:bottom w:val="nil"/>
              <w:right w:val="nil"/>
            </w:tcBorders>
            <w:shd w:val="clear" w:color="000000" w:fill="C0504D"/>
            <w:noWrap/>
            <w:vAlign w:val="center"/>
            <w:hideMark/>
          </w:tcPr>
          <w:p w14:paraId="66EB3550"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2013</w:t>
            </w:r>
          </w:p>
        </w:tc>
        <w:tc>
          <w:tcPr>
            <w:tcW w:w="640" w:type="dxa"/>
            <w:tcBorders>
              <w:top w:val="nil"/>
              <w:left w:val="nil"/>
              <w:bottom w:val="nil"/>
              <w:right w:val="nil"/>
            </w:tcBorders>
            <w:shd w:val="clear" w:color="000000" w:fill="C0504D"/>
            <w:noWrap/>
            <w:vAlign w:val="center"/>
            <w:hideMark/>
          </w:tcPr>
          <w:p w14:paraId="68692037"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2014</w:t>
            </w:r>
          </w:p>
        </w:tc>
        <w:tc>
          <w:tcPr>
            <w:tcW w:w="640" w:type="dxa"/>
            <w:tcBorders>
              <w:top w:val="nil"/>
              <w:left w:val="nil"/>
              <w:bottom w:val="nil"/>
              <w:right w:val="nil"/>
            </w:tcBorders>
            <w:shd w:val="clear" w:color="000000" w:fill="C0504D"/>
            <w:noWrap/>
            <w:vAlign w:val="center"/>
            <w:hideMark/>
          </w:tcPr>
          <w:p w14:paraId="2405DC3D"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2015</w:t>
            </w:r>
          </w:p>
        </w:tc>
        <w:tc>
          <w:tcPr>
            <w:tcW w:w="640" w:type="dxa"/>
            <w:tcBorders>
              <w:top w:val="nil"/>
              <w:left w:val="nil"/>
              <w:bottom w:val="nil"/>
              <w:right w:val="nil"/>
            </w:tcBorders>
            <w:shd w:val="clear" w:color="000000" w:fill="C0504D"/>
            <w:noWrap/>
            <w:vAlign w:val="center"/>
            <w:hideMark/>
          </w:tcPr>
          <w:p w14:paraId="0FDEC61D"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2016</w:t>
            </w:r>
          </w:p>
        </w:tc>
        <w:tc>
          <w:tcPr>
            <w:tcW w:w="640" w:type="dxa"/>
            <w:tcBorders>
              <w:top w:val="nil"/>
              <w:left w:val="nil"/>
              <w:bottom w:val="nil"/>
              <w:right w:val="nil"/>
            </w:tcBorders>
            <w:shd w:val="clear" w:color="000000" w:fill="C0504D"/>
            <w:noWrap/>
            <w:vAlign w:val="center"/>
            <w:hideMark/>
          </w:tcPr>
          <w:p w14:paraId="7062F19E"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2017</w:t>
            </w:r>
          </w:p>
        </w:tc>
        <w:tc>
          <w:tcPr>
            <w:tcW w:w="640" w:type="dxa"/>
            <w:tcBorders>
              <w:top w:val="nil"/>
              <w:left w:val="nil"/>
              <w:bottom w:val="nil"/>
              <w:right w:val="nil"/>
            </w:tcBorders>
            <w:shd w:val="clear" w:color="000000" w:fill="C0504D"/>
            <w:noWrap/>
            <w:vAlign w:val="center"/>
            <w:hideMark/>
          </w:tcPr>
          <w:p w14:paraId="1EDC2540"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2018</w:t>
            </w:r>
          </w:p>
        </w:tc>
        <w:tc>
          <w:tcPr>
            <w:tcW w:w="640" w:type="dxa"/>
            <w:tcBorders>
              <w:top w:val="nil"/>
              <w:left w:val="nil"/>
              <w:bottom w:val="nil"/>
              <w:right w:val="nil"/>
            </w:tcBorders>
            <w:shd w:val="clear" w:color="000000" w:fill="C0504D"/>
            <w:noWrap/>
            <w:vAlign w:val="center"/>
            <w:hideMark/>
          </w:tcPr>
          <w:p w14:paraId="7E8DBC9F"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2019</w:t>
            </w:r>
          </w:p>
        </w:tc>
        <w:tc>
          <w:tcPr>
            <w:tcW w:w="640" w:type="dxa"/>
            <w:tcBorders>
              <w:top w:val="nil"/>
              <w:left w:val="nil"/>
              <w:bottom w:val="nil"/>
              <w:right w:val="nil"/>
            </w:tcBorders>
            <w:shd w:val="clear" w:color="000000" w:fill="C0504D"/>
            <w:noWrap/>
            <w:vAlign w:val="center"/>
            <w:hideMark/>
          </w:tcPr>
          <w:p w14:paraId="1E8A1EB1"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2020</w:t>
            </w:r>
          </w:p>
        </w:tc>
        <w:tc>
          <w:tcPr>
            <w:tcW w:w="640" w:type="dxa"/>
            <w:tcBorders>
              <w:top w:val="nil"/>
              <w:left w:val="nil"/>
              <w:bottom w:val="nil"/>
              <w:right w:val="nil"/>
            </w:tcBorders>
            <w:shd w:val="clear" w:color="000000" w:fill="C0504D"/>
            <w:noWrap/>
            <w:vAlign w:val="center"/>
            <w:hideMark/>
          </w:tcPr>
          <w:p w14:paraId="33C83AC0"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2021</w:t>
            </w:r>
            <w:r w:rsidRPr="00FC4A41">
              <w:rPr>
                <w:rFonts w:ascii="Arial" w:hAnsi="Arial" w:cs="Arial"/>
                <w:b/>
                <w:bCs/>
                <w:color w:val="FFFFFF"/>
                <w:sz w:val="16"/>
                <w:szCs w:val="16"/>
                <w:vertAlign w:val="superscript"/>
              </w:rPr>
              <w:t>p</w:t>
            </w:r>
          </w:p>
        </w:tc>
      </w:tr>
      <w:tr w:rsidR="00FC4A41" w:rsidRPr="00FC4A41" w14:paraId="067B70A5" w14:textId="77777777" w:rsidTr="00FC4A41">
        <w:trPr>
          <w:trHeight w:val="259"/>
        </w:trPr>
        <w:tc>
          <w:tcPr>
            <w:tcW w:w="2420" w:type="dxa"/>
            <w:tcBorders>
              <w:top w:val="nil"/>
              <w:left w:val="nil"/>
              <w:bottom w:val="nil"/>
              <w:right w:val="nil"/>
            </w:tcBorders>
            <w:shd w:val="clear" w:color="000000" w:fill="FABF8F"/>
            <w:noWrap/>
            <w:vAlign w:val="bottom"/>
            <w:hideMark/>
          </w:tcPr>
          <w:p w14:paraId="68E953C2"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Aguascalientes</w:t>
            </w:r>
          </w:p>
        </w:tc>
        <w:tc>
          <w:tcPr>
            <w:tcW w:w="640" w:type="dxa"/>
            <w:tcBorders>
              <w:top w:val="nil"/>
              <w:left w:val="nil"/>
              <w:bottom w:val="nil"/>
              <w:right w:val="nil"/>
            </w:tcBorders>
            <w:shd w:val="clear" w:color="auto" w:fill="auto"/>
            <w:noWrap/>
            <w:vAlign w:val="bottom"/>
            <w:hideMark/>
          </w:tcPr>
          <w:p w14:paraId="5A3F1B7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82</w:t>
            </w:r>
          </w:p>
        </w:tc>
        <w:tc>
          <w:tcPr>
            <w:tcW w:w="640" w:type="dxa"/>
            <w:tcBorders>
              <w:top w:val="nil"/>
              <w:left w:val="nil"/>
              <w:bottom w:val="nil"/>
              <w:right w:val="nil"/>
            </w:tcBorders>
            <w:shd w:val="clear" w:color="auto" w:fill="auto"/>
            <w:noWrap/>
            <w:vAlign w:val="bottom"/>
            <w:hideMark/>
          </w:tcPr>
          <w:p w14:paraId="420E2E00"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45</w:t>
            </w:r>
          </w:p>
        </w:tc>
        <w:tc>
          <w:tcPr>
            <w:tcW w:w="640" w:type="dxa"/>
            <w:tcBorders>
              <w:top w:val="nil"/>
              <w:left w:val="nil"/>
              <w:bottom w:val="nil"/>
              <w:right w:val="nil"/>
            </w:tcBorders>
            <w:shd w:val="clear" w:color="auto" w:fill="auto"/>
            <w:noWrap/>
            <w:vAlign w:val="bottom"/>
            <w:hideMark/>
          </w:tcPr>
          <w:p w14:paraId="35079A8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45</w:t>
            </w:r>
          </w:p>
        </w:tc>
        <w:tc>
          <w:tcPr>
            <w:tcW w:w="640" w:type="dxa"/>
            <w:tcBorders>
              <w:top w:val="nil"/>
              <w:left w:val="nil"/>
              <w:bottom w:val="nil"/>
              <w:right w:val="nil"/>
            </w:tcBorders>
            <w:shd w:val="clear" w:color="auto" w:fill="auto"/>
            <w:noWrap/>
            <w:vAlign w:val="bottom"/>
            <w:hideMark/>
          </w:tcPr>
          <w:p w14:paraId="7FC10A4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46</w:t>
            </w:r>
          </w:p>
        </w:tc>
        <w:tc>
          <w:tcPr>
            <w:tcW w:w="640" w:type="dxa"/>
            <w:tcBorders>
              <w:top w:val="nil"/>
              <w:left w:val="nil"/>
              <w:bottom w:val="nil"/>
              <w:right w:val="nil"/>
            </w:tcBorders>
            <w:shd w:val="clear" w:color="auto" w:fill="auto"/>
            <w:noWrap/>
            <w:vAlign w:val="bottom"/>
            <w:hideMark/>
          </w:tcPr>
          <w:p w14:paraId="2BB45E0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45</w:t>
            </w:r>
          </w:p>
        </w:tc>
        <w:tc>
          <w:tcPr>
            <w:tcW w:w="640" w:type="dxa"/>
            <w:tcBorders>
              <w:top w:val="nil"/>
              <w:left w:val="nil"/>
              <w:bottom w:val="nil"/>
              <w:right w:val="nil"/>
            </w:tcBorders>
            <w:shd w:val="clear" w:color="auto" w:fill="auto"/>
            <w:noWrap/>
            <w:vAlign w:val="bottom"/>
            <w:hideMark/>
          </w:tcPr>
          <w:p w14:paraId="4188CFC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46</w:t>
            </w:r>
          </w:p>
        </w:tc>
        <w:tc>
          <w:tcPr>
            <w:tcW w:w="640" w:type="dxa"/>
            <w:tcBorders>
              <w:top w:val="nil"/>
              <w:left w:val="nil"/>
              <w:bottom w:val="nil"/>
              <w:right w:val="nil"/>
            </w:tcBorders>
            <w:shd w:val="clear" w:color="auto" w:fill="auto"/>
            <w:noWrap/>
            <w:vAlign w:val="bottom"/>
            <w:hideMark/>
          </w:tcPr>
          <w:p w14:paraId="38988BF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84</w:t>
            </w:r>
          </w:p>
        </w:tc>
        <w:tc>
          <w:tcPr>
            <w:tcW w:w="640" w:type="dxa"/>
            <w:tcBorders>
              <w:top w:val="nil"/>
              <w:left w:val="nil"/>
              <w:bottom w:val="nil"/>
              <w:right w:val="nil"/>
            </w:tcBorders>
            <w:shd w:val="clear" w:color="auto" w:fill="auto"/>
            <w:noWrap/>
            <w:vAlign w:val="bottom"/>
            <w:hideMark/>
          </w:tcPr>
          <w:p w14:paraId="4F3F62A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82</w:t>
            </w:r>
          </w:p>
        </w:tc>
        <w:tc>
          <w:tcPr>
            <w:tcW w:w="640" w:type="dxa"/>
            <w:tcBorders>
              <w:top w:val="nil"/>
              <w:left w:val="nil"/>
              <w:bottom w:val="nil"/>
              <w:right w:val="nil"/>
            </w:tcBorders>
            <w:shd w:val="clear" w:color="auto" w:fill="auto"/>
            <w:noWrap/>
            <w:vAlign w:val="bottom"/>
            <w:hideMark/>
          </w:tcPr>
          <w:p w14:paraId="4DB91A5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120</w:t>
            </w:r>
          </w:p>
        </w:tc>
        <w:tc>
          <w:tcPr>
            <w:tcW w:w="640" w:type="dxa"/>
            <w:tcBorders>
              <w:top w:val="nil"/>
              <w:left w:val="nil"/>
              <w:bottom w:val="nil"/>
              <w:right w:val="nil"/>
            </w:tcBorders>
            <w:shd w:val="clear" w:color="auto" w:fill="auto"/>
            <w:noWrap/>
            <w:vAlign w:val="bottom"/>
            <w:hideMark/>
          </w:tcPr>
          <w:p w14:paraId="5133EB0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93</w:t>
            </w:r>
          </w:p>
        </w:tc>
        <w:tc>
          <w:tcPr>
            <w:tcW w:w="640" w:type="dxa"/>
            <w:tcBorders>
              <w:top w:val="nil"/>
              <w:left w:val="nil"/>
              <w:bottom w:val="nil"/>
              <w:right w:val="nil"/>
            </w:tcBorders>
            <w:shd w:val="clear" w:color="auto" w:fill="auto"/>
            <w:noWrap/>
            <w:vAlign w:val="bottom"/>
            <w:hideMark/>
          </w:tcPr>
          <w:p w14:paraId="4FCCFFB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101</w:t>
            </w:r>
          </w:p>
        </w:tc>
      </w:tr>
      <w:tr w:rsidR="00FC4A41" w:rsidRPr="00FC4A41" w14:paraId="4BD5F169" w14:textId="77777777" w:rsidTr="00FC4A41">
        <w:trPr>
          <w:trHeight w:val="259"/>
        </w:trPr>
        <w:tc>
          <w:tcPr>
            <w:tcW w:w="2420" w:type="dxa"/>
            <w:tcBorders>
              <w:top w:val="nil"/>
              <w:left w:val="nil"/>
              <w:bottom w:val="nil"/>
              <w:right w:val="nil"/>
            </w:tcBorders>
            <w:shd w:val="clear" w:color="000000" w:fill="FABF8F"/>
            <w:noWrap/>
            <w:vAlign w:val="bottom"/>
            <w:hideMark/>
          </w:tcPr>
          <w:p w14:paraId="489D16E6"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Baja California</w:t>
            </w:r>
          </w:p>
        </w:tc>
        <w:tc>
          <w:tcPr>
            <w:tcW w:w="640" w:type="dxa"/>
            <w:tcBorders>
              <w:top w:val="nil"/>
              <w:left w:val="nil"/>
              <w:bottom w:val="nil"/>
              <w:right w:val="nil"/>
            </w:tcBorders>
            <w:shd w:val="clear" w:color="auto" w:fill="auto"/>
            <w:noWrap/>
            <w:vAlign w:val="bottom"/>
            <w:hideMark/>
          </w:tcPr>
          <w:p w14:paraId="4D844EC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809</w:t>
            </w:r>
          </w:p>
        </w:tc>
        <w:tc>
          <w:tcPr>
            <w:tcW w:w="640" w:type="dxa"/>
            <w:tcBorders>
              <w:top w:val="nil"/>
              <w:left w:val="nil"/>
              <w:bottom w:val="nil"/>
              <w:right w:val="nil"/>
            </w:tcBorders>
            <w:shd w:val="clear" w:color="auto" w:fill="auto"/>
            <w:noWrap/>
            <w:vAlign w:val="bottom"/>
            <w:hideMark/>
          </w:tcPr>
          <w:p w14:paraId="67CFA86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581</w:t>
            </w:r>
          </w:p>
        </w:tc>
        <w:tc>
          <w:tcPr>
            <w:tcW w:w="640" w:type="dxa"/>
            <w:tcBorders>
              <w:top w:val="nil"/>
              <w:left w:val="nil"/>
              <w:bottom w:val="nil"/>
              <w:right w:val="nil"/>
            </w:tcBorders>
            <w:shd w:val="clear" w:color="auto" w:fill="auto"/>
            <w:noWrap/>
            <w:vAlign w:val="bottom"/>
            <w:hideMark/>
          </w:tcPr>
          <w:p w14:paraId="247C250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767</w:t>
            </w:r>
          </w:p>
        </w:tc>
        <w:tc>
          <w:tcPr>
            <w:tcW w:w="640" w:type="dxa"/>
            <w:tcBorders>
              <w:top w:val="nil"/>
              <w:left w:val="nil"/>
              <w:bottom w:val="nil"/>
              <w:right w:val="nil"/>
            </w:tcBorders>
            <w:shd w:val="clear" w:color="auto" w:fill="auto"/>
            <w:noWrap/>
            <w:vAlign w:val="bottom"/>
            <w:hideMark/>
          </w:tcPr>
          <w:p w14:paraId="49A62EF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717</w:t>
            </w:r>
          </w:p>
        </w:tc>
        <w:tc>
          <w:tcPr>
            <w:tcW w:w="640" w:type="dxa"/>
            <w:tcBorders>
              <w:top w:val="nil"/>
              <w:left w:val="nil"/>
              <w:bottom w:val="nil"/>
              <w:right w:val="nil"/>
            </w:tcBorders>
            <w:shd w:val="clear" w:color="auto" w:fill="auto"/>
            <w:noWrap/>
            <w:vAlign w:val="bottom"/>
            <w:hideMark/>
          </w:tcPr>
          <w:p w14:paraId="0764083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854</w:t>
            </w:r>
          </w:p>
        </w:tc>
        <w:tc>
          <w:tcPr>
            <w:tcW w:w="640" w:type="dxa"/>
            <w:tcBorders>
              <w:top w:val="nil"/>
              <w:left w:val="nil"/>
              <w:bottom w:val="nil"/>
              <w:right w:val="nil"/>
            </w:tcBorders>
            <w:shd w:val="clear" w:color="auto" w:fill="auto"/>
            <w:noWrap/>
            <w:vAlign w:val="bottom"/>
            <w:hideMark/>
          </w:tcPr>
          <w:p w14:paraId="239B8A4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1 152</w:t>
            </w:r>
          </w:p>
        </w:tc>
        <w:tc>
          <w:tcPr>
            <w:tcW w:w="640" w:type="dxa"/>
            <w:tcBorders>
              <w:top w:val="nil"/>
              <w:left w:val="nil"/>
              <w:bottom w:val="nil"/>
              <w:right w:val="nil"/>
            </w:tcBorders>
            <w:shd w:val="clear" w:color="auto" w:fill="auto"/>
            <w:noWrap/>
            <w:vAlign w:val="bottom"/>
            <w:hideMark/>
          </w:tcPr>
          <w:p w14:paraId="2113D7E0"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2 169</w:t>
            </w:r>
          </w:p>
        </w:tc>
        <w:tc>
          <w:tcPr>
            <w:tcW w:w="640" w:type="dxa"/>
            <w:tcBorders>
              <w:top w:val="nil"/>
              <w:left w:val="nil"/>
              <w:bottom w:val="nil"/>
              <w:right w:val="nil"/>
            </w:tcBorders>
            <w:shd w:val="clear" w:color="auto" w:fill="auto"/>
            <w:noWrap/>
            <w:vAlign w:val="bottom"/>
            <w:hideMark/>
          </w:tcPr>
          <w:p w14:paraId="114D744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2 912</w:t>
            </w:r>
          </w:p>
        </w:tc>
        <w:tc>
          <w:tcPr>
            <w:tcW w:w="640" w:type="dxa"/>
            <w:tcBorders>
              <w:top w:val="nil"/>
              <w:left w:val="nil"/>
              <w:bottom w:val="nil"/>
              <w:right w:val="nil"/>
            </w:tcBorders>
            <w:shd w:val="clear" w:color="auto" w:fill="auto"/>
            <w:noWrap/>
            <w:vAlign w:val="bottom"/>
            <w:hideMark/>
          </w:tcPr>
          <w:p w14:paraId="6373BC8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2 823</w:t>
            </w:r>
          </w:p>
        </w:tc>
        <w:tc>
          <w:tcPr>
            <w:tcW w:w="640" w:type="dxa"/>
            <w:tcBorders>
              <w:top w:val="nil"/>
              <w:left w:val="nil"/>
              <w:bottom w:val="nil"/>
              <w:right w:val="nil"/>
            </w:tcBorders>
            <w:shd w:val="clear" w:color="auto" w:fill="auto"/>
            <w:noWrap/>
            <w:vAlign w:val="bottom"/>
            <w:hideMark/>
          </w:tcPr>
          <w:p w14:paraId="6A15AD30"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2 967</w:t>
            </w:r>
          </w:p>
        </w:tc>
        <w:tc>
          <w:tcPr>
            <w:tcW w:w="640" w:type="dxa"/>
            <w:tcBorders>
              <w:top w:val="nil"/>
              <w:left w:val="nil"/>
              <w:bottom w:val="nil"/>
              <w:right w:val="nil"/>
            </w:tcBorders>
            <w:shd w:val="clear" w:color="auto" w:fill="auto"/>
            <w:noWrap/>
            <w:vAlign w:val="bottom"/>
            <w:hideMark/>
          </w:tcPr>
          <w:p w14:paraId="5CA1F23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3 246</w:t>
            </w:r>
          </w:p>
        </w:tc>
      </w:tr>
      <w:tr w:rsidR="00FC4A41" w:rsidRPr="00FC4A41" w14:paraId="572935B2" w14:textId="77777777" w:rsidTr="00FC4A41">
        <w:trPr>
          <w:trHeight w:val="259"/>
        </w:trPr>
        <w:tc>
          <w:tcPr>
            <w:tcW w:w="2420" w:type="dxa"/>
            <w:tcBorders>
              <w:top w:val="nil"/>
              <w:left w:val="nil"/>
              <w:bottom w:val="nil"/>
              <w:right w:val="nil"/>
            </w:tcBorders>
            <w:shd w:val="clear" w:color="000000" w:fill="FABF8F"/>
            <w:noWrap/>
            <w:vAlign w:val="bottom"/>
            <w:hideMark/>
          </w:tcPr>
          <w:p w14:paraId="699B2348"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Baja California Sur</w:t>
            </w:r>
          </w:p>
        </w:tc>
        <w:tc>
          <w:tcPr>
            <w:tcW w:w="640" w:type="dxa"/>
            <w:tcBorders>
              <w:top w:val="nil"/>
              <w:left w:val="nil"/>
              <w:bottom w:val="nil"/>
              <w:right w:val="nil"/>
            </w:tcBorders>
            <w:shd w:val="clear" w:color="auto" w:fill="auto"/>
            <w:noWrap/>
            <w:vAlign w:val="bottom"/>
            <w:hideMark/>
          </w:tcPr>
          <w:p w14:paraId="7FA56EB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42</w:t>
            </w:r>
          </w:p>
        </w:tc>
        <w:tc>
          <w:tcPr>
            <w:tcW w:w="640" w:type="dxa"/>
            <w:tcBorders>
              <w:top w:val="nil"/>
              <w:left w:val="nil"/>
              <w:bottom w:val="nil"/>
              <w:right w:val="nil"/>
            </w:tcBorders>
            <w:shd w:val="clear" w:color="auto" w:fill="auto"/>
            <w:noWrap/>
            <w:vAlign w:val="bottom"/>
            <w:hideMark/>
          </w:tcPr>
          <w:p w14:paraId="0894B84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37</w:t>
            </w:r>
          </w:p>
        </w:tc>
        <w:tc>
          <w:tcPr>
            <w:tcW w:w="640" w:type="dxa"/>
            <w:tcBorders>
              <w:top w:val="nil"/>
              <w:left w:val="nil"/>
              <w:bottom w:val="nil"/>
              <w:right w:val="nil"/>
            </w:tcBorders>
            <w:shd w:val="clear" w:color="auto" w:fill="auto"/>
            <w:noWrap/>
            <w:vAlign w:val="bottom"/>
            <w:hideMark/>
          </w:tcPr>
          <w:p w14:paraId="4C6F0B6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47</w:t>
            </w:r>
          </w:p>
        </w:tc>
        <w:tc>
          <w:tcPr>
            <w:tcW w:w="640" w:type="dxa"/>
            <w:tcBorders>
              <w:top w:val="nil"/>
              <w:left w:val="nil"/>
              <w:bottom w:val="nil"/>
              <w:right w:val="nil"/>
            </w:tcBorders>
            <w:shd w:val="clear" w:color="auto" w:fill="auto"/>
            <w:noWrap/>
            <w:vAlign w:val="bottom"/>
            <w:hideMark/>
          </w:tcPr>
          <w:p w14:paraId="5B157FC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92</w:t>
            </w:r>
          </w:p>
        </w:tc>
        <w:tc>
          <w:tcPr>
            <w:tcW w:w="640" w:type="dxa"/>
            <w:tcBorders>
              <w:top w:val="nil"/>
              <w:left w:val="nil"/>
              <w:bottom w:val="nil"/>
              <w:right w:val="nil"/>
            </w:tcBorders>
            <w:shd w:val="clear" w:color="auto" w:fill="auto"/>
            <w:noWrap/>
            <w:vAlign w:val="bottom"/>
            <w:hideMark/>
          </w:tcPr>
          <w:p w14:paraId="62D3DDD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180</w:t>
            </w:r>
          </w:p>
        </w:tc>
        <w:tc>
          <w:tcPr>
            <w:tcW w:w="640" w:type="dxa"/>
            <w:tcBorders>
              <w:top w:val="nil"/>
              <w:left w:val="nil"/>
              <w:bottom w:val="nil"/>
              <w:right w:val="nil"/>
            </w:tcBorders>
            <w:shd w:val="clear" w:color="auto" w:fill="auto"/>
            <w:noWrap/>
            <w:vAlign w:val="bottom"/>
            <w:hideMark/>
          </w:tcPr>
          <w:p w14:paraId="74F183A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238</w:t>
            </w:r>
          </w:p>
        </w:tc>
        <w:tc>
          <w:tcPr>
            <w:tcW w:w="640" w:type="dxa"/>
            <w:tcBorders>
              <w:top w:val="nil"/>
              <w:left w:val="nil"/>
              <w:bottom w:val="nil"/>
              <w:right w:val="nil"/>
            </w:tcBorders>
            <w:shd w:val="clear" w:color="auto" w:fill="auto"/>
            <w:noWrap/>
            <w:vAlign w:val="bottom"/>
            <w:hideMark/>
          </w:tcPr>
          <w:p w14:paraId="70555B2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751</w:t>
            </w:r>
          </w:p>
        </w:tc>
        <w:tc>
          <w:tcPr>
            <w:tcW w:w="640" w:type="dxa"/>
            <w:tcBorders>
              <w:top w:val="nil"/>
              <w:left w:val="nil"/>
              <w:bottom w:val="nil"/>
              <w:right w:val="nil"/>
            </w:tcBorders>
            <w:shd w:val="clear" w:color="auto" w:fill="auto"/>
            <w:noWrap/>
            <w:vAlign w:val="bottom"/>
            <w:hideMark/>
          </w:tcPr>
          <w:p w14:paraId="15963F1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200</w:t>
            </w:r>
          </w:p>
        </w:tc>
        <w:tc>
          <w:tcPr>
            <w:tcW w:w="640" w:type="dxa"/>
            <w:tcBorders>
              <w:top w:val="nil"/>
              <w:left w:val="nil"/>
              <w:bottom w:val="nil"/>
              <w:right w:val="nil"/>
            </w:tcBorders>
            <w:shd w:val="clear" w:color="auto" w:fill="auto"/>
            <w:noWrap/>
            <w:vAlign w:val="bottom"/>
            <w:hideMark/>
          </w:tcPr>
          <w:p w14:paraId="3FFEDBB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104</w:t>
            </w:r>
          </w:p>
        </w:tc>
        <w:tc>
          <w:tcPr>
            <w:tcW w:w="640" w:type="dxa"/>
            <w:tcBorders>
              <w:top w:val="nil"/>
              <w:left w:val="nil"/>
              <w:bottom w:val="nil"/>
              <w:right w:val="nil"/>
            </w:tcBorders>
            <w:shd w:val="clear" w:color="auto" w:fill="auto"/>
            <w:noWrap/>
            <w:vAlign w:val="bottom"/>
            <w:hideMark/>
          </w:tcPr>
          <w:p w14:paraId="2F4032E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78</w:t>
            </w:r>
          </w:p>
        </w:tc>
        <w:tc>
          <w:tcPr>
            <w:tcW w:w="640" w:type="dxa"/>
            <w:tcBorders>
              <w:top w:val="nil"/>
              <w:left w:val="nil"/>
              <w:bottom w:val="nil"/>
              <w:right w:val="nil"/>
            </w:tcBorders>
            <w:shd w:val="clear" w:color="auto" w:fill="auto"/>
            <w:noWrap/>
            <w:vAlign w:val="bottom"/>
            <w:hideMark/>
          </w:tcPr>
          <w:p w14:paraId="4CEDBAE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77</w:t>
            </w:r>
          </w:p>
        </w:tc>
      </w:tr>
      <w:tr w:rsidR="00FC4A41" w:rsidRPr="00FC4A41" w14:paraId="2F80297D" w14:textId="77777777" w:rsidTr="00FC4A41">
        <w:trPr>
          <w:trHeight w:val="259"/>
        </w:trPr>
        <w:tc>
          <w:tcPr>
            <w:tcW w:w="2420" w:type="dxa"/>
            <w:tcBorders>
              <w:top w:val="nil"/>
              <w:left w:val="nil"/>
              <w:bottom w:val="nil"/>
              <w:right w:val="nil"/>
            </w:tcBorders>
            <w:shd w:val="clear" w:color="000000" w:fill="FABF8F"/>
            <w:noWrap/>
            <w:vAlign w:val="bottom"/>
            <w:hideMark/>
          </w:tcPr>
          <w:p w14:paraId="62FDC375"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Campeche</w:t>
            </w:r>
          </w:p>
        </w:tc>
        <w:tc>
          <w:tcPr>
            <w:tcW w:w="640" w:type="dxa"/>
            <w:tcBorders>
              <w:top w:val="nil"/>
              <w:left w:val="nil"/>
              <w:bottom w:val="nil"/>
              <w:right w:val="nil"/>
            </w:tcBorders>
            <w:shd w:val="clear" w:color="auto" w:fill="auto"/>
            <w:noWrap/>
            <w:vAlign w:val="bottom"/>
            <w:hideMark/>
          </w:tcPr>
          <w:p w14:paraId="3C40388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47</w:t>
            </w:r>
          </w:p>
        </w:tc>
        <w:tc>
          <w:tcPr>
            <w:tcW w:w="640" w:type="dxa"/>
            <w:tcBorders>
              <w:top w:val="nil"/>
              <w:left w:val="nil"/>
              <w:bottom w:val="nil"/>
              <w:right w:val="nil"/>
            </w:tcBorders>
            <w:shd w:val="clear" w:color="auto" w:fill="auto"/>
            <w:noWrap/>
            <w:vAlign w:val="bottom"/>
            <w:hideMark/>
          </w:tcPr>
          <w:p w14:paraId="06C5181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80</w:t>
            </w:r>
          </w:p>
        </w:tc>
        <w:tc>
          <w:tcPr>
            <w:tcW w:w="640" w:type="dxa"/>
            <w:tcBorders>
              <w:top w:val="nil"/>
              <w:left w:val="nil"/>
              <w:bottom w:val="nil"/>
              <w:right w:val="nil"/>
            </w:tcBorders>
            <w:shd w:val="clear" w:color="auto" w:fill="auto"/>
            <w:noWrap/>
            <w:vAlign w:val="bottom"/>
            <w:hideMark/>
          </w:tcPr>
          <w:p w14:paraId="5238FE2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71</w:t>
            </w:r>
          </w:p>
        </w:tc>
        <w:tc>
          <w:tcPr>
            <w:tcW w:w="640" w:type="dxa"/>
            <w:tcBorders>
              <w:top w:val="nil"/>
              <w:left w:val="nil"/>
              <w:bottom w:val="nil"/>
              <w:right w:val="nil"/>
            </w:tcBorders>
            <w:shd w:val="clear" w:color="auto" w:fill="auto"/>
            <w:noWrap/>
            <w:vAlign w:val="bottom"/>
            <w:hideMark/>
          </w:tcPr>
          <w:p w14:paraId="6F7BA81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78</w:t>
            </w:r>
          </w:p>
        </w:tc>
        <w:tc>
          <w:tcPr>
            <w:tcW w:w="640" w:type="dxa"/>
            <w:tcBorders>
              <w:top w:val="nil"/>
              <w:left w:val="nil"/>
              <w:bottom w:val="nil"/>
              <w:right w:val="nil"/>
            </w:tcBorders>
            <w:shd w:val="clear" w:color="auto" w:fill="auto"/>
            <w:noWrap/>
            <w:vAlign w:val="bottom"/>
            <w:hideMark/>
          </w:tcPr>
          <w:p w14:paraId="75EC467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67</w:t>
            </w:r>
          </w:p>
        </w:tc>
        <w:tc>
          <w:tcPr>
            <w:tcW w:w="640" w:type="dxa"/>
            <w:tcBorders>
              <w:top w:val="nil"/>
              <w:left w:val="nil"/>
              <w:bottom w:val="nil"/>
              <w:right w:val="nil"/>
            </w:tcBorders>
            <w:shd w:val="clear" w:color="auto" w:fill="auto"/>
            <w:noWrap/>
            <w:vAlign w:val="bottom"/>
            <w:hideMark/>
          </w:tcPr>
          <w:p w14:paraId="0458CB8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93</w:t>
            </w:r>
          </w:p>
        </w:tc>
        <w:tc>
          <w:tcPr>
            <w:tcW w:w="640" w:type="dxa"/>
            <w:tcBorders>
              <w:top w:val="nil"/>
              <w:left w:val="nil"/>
              <w:bottom w:val="nil"/>
              <w:right w:val="nil"/>
            </w:tcBorders>
            <w:shd w:val="clear" w:color="auto" w:fill="auto"/>
            <w:noWrap/>
            <w:vAlign w:val="bottom"/>
            <w:hideMark/>
          </w:tcPr>
          <w:p w14:paraId="5D83E03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78</w:t>
            </w:r>
          </w:p>
        </w:tc>
        <w:tc>
          <w:tcPr>
            <w:tcW w:w="640" w:type="dxa"/>
            <w:tcBorders>
              <w:top w:val="nil"/>
              <w:left w:val="nil"/>
              <w:bottom w:val="nil"/>
              <w:right w:val="nil"/>
            </w:tcBorders>
            <w:shd w:val="clear" w:color="auto" w:fill="auto"/>
            <w:noWrap/>
            <w:vAlign w:val="bottom"/>
            <w:hideMark/>
          </w:tcPr>
          <w:p w14:paraId="273D7B5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79</w:t>
            </w:r>
          </w:p>
        </w:tc>
        <w:tc>
          <w:tcPr>
            <w:tcW w:w="640" w:type="dxa"/>
            <w:tcBorders>
              <w:top w:val="nil"/>
              <w:left w:val="nil"/>
              <w:bottom w:val="nil"/>
              <w:right w:val="nil"/>
            </w:tcBorders>
            <w:shd w:val="clear" w:color="auto" w:fill="auto"/>
            <w:noWrap/>
            <w:vAlign w:val="bottom"/>
            <w:hideMark/>
          </w:tcPr>
          <w:p w14:paraId="7CB19EE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83</w:t>
            </w:r>
          </w:p>
        </w:tc>
        <w:tc>
          <w:tcPr>
            <w:tcW w:w="640" w:type="dxa"/>
            <w:tcBorders>
              <w:top w:val="nil"/>
              <w:left w:val="nil"/>
              <w:bottom w:val="nil"/>
              <w:right w:val="nil"/>
            </w:tcBorders>
            <w:shd w:val="clear" w:color="auto" w:fill="auto"/>
            <w:noWrap/>
            <w:vAlign w:val="bottom"/>
            <w:hideMark/>
          </w:tcPr>
          <w:p w14:paraId="45291B9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76</w:t>
            </w:r>
          </w:p>
        </w:tc>
        <w:tc>
          <w:tcPr>
            <w:tcW w:w="640" w:type="dxa"/>
            <w:tcBorders>
              <w:top w:val="nil"/>
              <w:left w:val="nil"/>
              <w:bottom w:val="nil"/>
              <w:right w:val="nil"/>
            </w:tcBorders>
            <w:shd w:val="clear" w:color="auto" w:fill="auto"/>
            <w:noWrap/>
            <w:vAlign w:val="bottom"/>
            <w:hideMark/>
          </w:tcPr>
          <w:p w14:paraId="55155C3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107</w:t>
            </w:r>
          </w:p>
        </w:tc>
      </w:tr>
      <w:tr w:rsidR="00FC4A41" w:rsidRPr="00FC4A41" w14:paraId="4AB2751A" w14:textId="77777777" w:rsidTr="00FC4A41">
        <w:trPr>
          <w:trHeight w:val="259"/>
        </w:trPr>
        <w:tc>
          <w:tcPr>
            <w:tcW w:w="2420" w:type="dxa"/>
            <w:tcBorders>
              <w:top w:val="nil"/>
              <w:left w:val="nil"/>
              <w:bottom w:val="nil"/>
              <w:right w:val="nil"/>
            </w:tcBorders>
            <w:shd w:val="clear" w:color="000000" w:fill="FABF8F"/>
            <w:noWrap/>
            <w:vAlign w:val="bottom"/>
            <w:hideMark/>
          </w:tcPr>
          <w:p w14:paraId="62C46305"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Coahuila de Zaragoza</w:t>
            </w:r>
          </w:p>
        </w:tc>
        <w:tc>
          <w:tcPr>
            <w:tcW w:w="640" w:type="dxa"/>
            <w:tcBorders>
              <w:top w:val="nil"/>
              <w:left w:val="nil"/>
              <w:bottom w:val="nil"/>
              <w:right w:val="nil"/>
            </w:tcBorders>
            <w:shd w:val="clear" w:color="auto" w:fill="auto"/>
            <w:noWrap/>
            <w:vAlign w:val="bottom"/>
            <w:hideMark/>
          </w:tcPr>
          <w:p w14:paraId="2317A30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730</w:t>
            </w:r>
          </w:p>
        </w:tc>
        <w:tc>
          <w:tcPr>
            <w:tcW w:w="640" w:type="dxa"/>
            <w:tcBorders>
              <w:top w:val="nil"/>
              <w:left w:val="nil"/>
              <w:bottom w:val="nil"/>
              <w:right w:val="nil"/>
            </w:tcBorders>
            <w:shd w:val="clear" w:color="auto" w:fill="auto"/>
            <w:noWrap/>
            <w:vAlign w:val="bottom"/>
            <w:hideMark/>
          </w:tcPr>
          <w:p w14:paraId="5CD58F0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1 160</w:t>
            </w:r>
          </w:p>
        </w:tc>
        <w:tc>
          <w:tcPr>
            <w:tcW w:w="640" w:type="dxa"/>
            <w:tcBorders>
              <w:top w:val="nil"/>
              <w:left w:val="nil"/>
              <w:bottom w:val="nil"/>
              <w:right w:val="nil"/>
            </w:tcBorders>
            <w:shd w:val="clear" w:color="auto" w:fill="auto"/>
            <w:noWrap/>
            <w:vAlign w:val="bottom"/>
            <w:hideMark/>
          </w:tcPr>
          <w:p w14:paraId="07DC7FF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800</w:t>
            </w:r>
          </w:p>
        </w:tc>
        <w:tc>
          <w:tcPr>
            <w:tcW w:w="640" w:type="dxa"/>
            <w:tcBorders>
              <w:top w:val="nil"/>
              <w:left w:val="nil"/>
              <w:bottom w:val="nil"/>
              <w:right w:val="nil"/>
            </w:tcBorders>
            <w:shd w:val="clear" w:color="auto" w:fill="auto"/>
            <w:noWrap/>
            <w:vAlign w:val="bottom"/>
            <w:hideMark/>
          </w:tcPr>
          <w:p w14:paraId="3127108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469</w:t>
            </w:r>
          </w:p>
        </w:tc>
        <w:tc>
          <w:tcPr>
            <w:tcW w:w="640" w:type="dxa"/>
            <w:tcBorders>
              <w:top w:val="nil"/>
              <w:left w:val="nil"/>
              <w:bottom w:val="nil"/>
              <w:right w:val="nil"/>
            </w:tcBorders>
            <w:shd w:val="clear" w:color="auto" w:fill="auto"/>
            <w:noWrap/>
            <w:vAlign w:val="bottom"/>
            <w:hideMark/>
          </w:tcPr>
          <w:p w14:paraId="42B31D4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313</w:t>
            </w:r>
          </w:p>
        </w:tc>
        <w:tc>
          <w:tcPr>
            <w:tcW w:w="640" w:type="dxa"/>
            <w:tcBorders>
              <w:top w:val="nil"/>
              <w:left w:val="nil"/>
              <w:bottom w:val="nil"/>
              <w:right w:val="nil"/>
            </w:tcBorders>
            <w:shd w:val="clear" w:color="auto" w:fill="auto"/>
            <w:noWrap/>
            <w:vAlign w:val="bottom"/>
            <w:hideMark/>
          </w:tcPr>
          <w:p w14:paraId="6C76489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257</w:t>
            </w:r>
          </w:p>
        </w:tc>
        <w:tc>
          <w:tcPr>
            <w:tcW w:w="640" w:type="dxa"/>
            <w:tcBorders>
              <w:top w:val="nil"/>
              <w:left w:val="nil"/>
              <w:bottom w:val="nil"/>
              <w:right w:val="nil"/>
            </w:tcBorders>
            <w:shd w:val="clear" w:color="auto" w:fill="auto"/>
            <w:noWrap/>
            <w:vAlign w:val="bottom"/>
            <w:hideMark/>
          </w:tcPr>
          <w:p w14:paraId="10CC8E7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275</w:t>
            </w:r>
          </w:p>
        </w:tc>
        <w:tc>
          <w:tcPr>
            <w:tcW w:w="640" w:type="dxa"/>
            <w:tcBorders>
              <w:top w:val="nil"/>
              <w:left w:val="nil"/>
              <w:bottom w:val="nil"/>
              <w:right w:val="nil"/>
            </w:tcBorders>
            <w:shd w:val="clear" w:color="auto" w:fill="auto"/>
            <w:noWrap/>
            <w:vAlign w:val="bottom"/>
            <w:hideMark/>
          </w:tcPr>
          <w:p w14:paraId="12836180"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244</w:t>
            </w:r>
          </w:p>
        </w:tc>
        <w:tc>
          <w:tcPr>
            <w:tcW w:w="640" w:type="dxa"/>
            <w:tcBorders>
              <w:top w:val="nil"/>
              <w:left w:val="nil"/>
              <w:bottom w:val="nil"/>
              <w:right w:val="nil"/>
            </w:tcBorders>
            <w:shd w:val="clear" w:color="auto" w:fill="auto"/>
            <w:noWrap/>
            <w:vAlign w:val="bottom"/>
            <w:hideMark/>
          </w:tcPr>
          <w:p w14:paraId="55402A4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306</w:t>
            </w:r>
          </w:p>
        </w:tc>
        <w:tc>
          <w:tcPr>
            <w:tcW w:w="640" w:type="dxa"/>
            <w:tcBorders>
              <w:top w:val="nil"/>
              <w:left w:val="nil"/>
              <w:bottom w:val="nil"/>
              <w:right w:val="nil"/>
            </w:tcBorders>
            <w:shd w:val="clear" w:color="auto" w:fill="auto"/>
            <w:noWrap/>
            <w:vAlign w:val="bottom"/>
            <w:hideMark/>
          </w:tcPr>
          <w:p w14:paraId="19A33AF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242</w:t>
            </w:r>
          </w:p>
        </w:tc>
        <w:tc>
          <w:tcPr>
            <w:tcW w:w="640" w:type="dxa"/>
            <w:tcBorders>
              <w:top w:val="nil"/>
              <w:left w:val="nil"/>
              <w:bottom w:val="nil"/>
              <w:right w:val="nil"/>
            </w:tcBorders>
            <w:shd w:val="clear" w:color="auto" w:fill="auto"/>
            <w:noWrap/>
            <w:vAlign w:val="bottom"/>
            <w:hideMark/>
          </w:tcPr>
          <w:p w14:paraId="2619E6A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171</w:t>
            </w:r>
          </w:p>
        </w:tc>
      </w:tr>
      <w:tr w:rsidR="00FC4A41" w:rsidRPr="00FC4A41" w14:paraId="40EB444D" w14:textId="77777777" w:rsidTr="00FC4A41">
        <w:trPr>
          <w:trHeight w:val="259"/>
        </w:trPr>
        <w:tc>
          <w:tcPr>
            <w:tcW w:w="2420" w:type="dxa"/>
            <w:tcBorders>
              <w:top w:val="nil"/>
              <w:left w:val="nil"/>
              <w:bottom w:val="nil"/>
              <w:right w:val="nil"/>
            </w:tcBorders>
            <w:shd w:val="clear" w:color="000000" w:fill="FABF8F"/>
            <w:noWrap/>
            <w:vAlign w:val="bottom"/>
            <w:hideMark/>
          </w:tcPr>
          <w:p w14:paraId="3B433785"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Colima</w:t>
            </w:r>
          </w:p>
        </w:tc>
        <w:tc>
          <w:tcPr>
            <w:tcW w:w="640" w:type="dxa"/>
            <w:tcBorders>
              <w:top w:val="nil"/>
              <w:left w:val="nil"/>
              <w:bottom w:val="nil"/>
              <w:right w:val="nil"/>
            </w:tcBorders>
            <w:shd w:val="clear" w:color="auto" w:fill="auto"/>
            <w:noWrap/>
            <w:vAlign w:val="bottom"/>
            <w:hideMark/>
          </w:tcPr>
          <w:p w14:paraId="1CB5B15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163</w:t>
            </w:r>
          </w:p>
        </w:tc>
        <w:tc>
          <w:tcPr>
            <w:tcW w:w="640" w:type="dxa"/>
            <w:tcBorders>
              <w:top w:val="nil"/>
              <w:left w:val="nil"/>
              <w:bottom w:val="nil"/>
              <w:right w:val="nil"/>
            </w:tcBorders>
            <w:shd w:val="clear" w:color="auto" w:fill="auto"/>
            <w:noWrap/>
            <w:vAlign w:val="bottom"/>
            <w:hideMark/>
          </w:tcPr>
          <w:p w14:paraId="016085F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265</w:t>
            </w:r>
          </w:p>
        </w:tc>
        <w:tc>
          <w:tcPr>
            <w:tcW w:w="640" w:type="dxa"/>
            <w:tcBorders>
              <w:top w:val="nil"/>
              <w:left w:val="nil"/>
              <w:bottom w:val="nil"/>
              <w:right w:val="nil"/>
            </w:tcBorders>
            <w:shd w:val="clear" w:color="auto" w:fill="auto"/>
            <w:noWrap/>
            <w:vAlign w:val="bottom"/>
            <w:hideMark/>
          </w:tcPr>
          <w:p w14:paraId="6F00DD4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225</w:t>
            </w:r>
          </w:p>
        </w:tc>
        <w:tc>
          <w:tcPr>
            <w:tcW w:w="640" w:type="dxa"/>
            <w:tcBorders>
              <w:top w:val="nil"/>
              <w:left w:val="nil"/>
              <w:bottom w:val="nil"/>
              <w:right w:val="nil"/>
            </w:tcBorders>
            <w:shd w:val="clear" w:color="auto" w:fill="auto"/>
            <w:noWrap/>
            <w:vAlign w:val="bottom"/>
            <w:hideMark/>
          </w:tcPr>
          <w:p w14:paraId="0F36BB2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140</w:t>
            </w:r>
          </w:p>
        </w:tc>
        <w:tc>
          <w:tcPr>
            <w:tcW w:w="640" w:type="dxa"/>
            <w:tcBorders>
              <w:top w:val="nil"/>
              <w:left w:val="nil"/>
              <w:bottom w:val="nil"/>
              <w:right w:val="nil"/>
            </w:tcBorders>
            <w:shd w:val="clear" w:color="auto" w:fill="auto"/>
            <w:noWrap/>
            <w:vAlign w:val="bottom"/>
            <w:hideMark/>
          </w:tcPr>
          <w:p w14:paraId="41B58C1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227</w:t>
            </w:r>
          </w:p>
        </w:tc>
        <w:tc>
          <w:tcPr>
            <w:tcW w:w="640" w:type="dxa"/>
            <w:tcBorders>
              <w:top w:val="nil"/>
              <w:left w:val="nil"/>
              <w:bottom w:val="nil"/>
              <w:right w:val="nil"/>
            </w:tcBorders>
            <w:shd w:val="clear" w:color="auto" w:fill="auto"/>
            <w:noWrap/>
            <w:vAlign w:val="bottom"/>
            <w:hideMark/>
          </w:tcPr>
          <w:p w14:paraId="6CCB796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613</w:t>
            </w:r>
          </w:p>
        </w:tc>
        <w:tc>
          <w:tcPr>
            <w:tcW w:w="640" w:type="dxa"/>
            <w:tcBorders>
              <w:top w:val="nil"/>
              <w:left w:val="nil"/>
              <w:bottom w:val="nil"/>
              <w:right w:val="nil"/>
            </w:tcBorders>
            <w:shd w:val="clear" w:color="auto" w:fill="auto"/>
            <w:noWrap/>
            <w:vAlign w:val="bottom"/>
            <w:hideMark/>
          </w:tcPr>
          <w:p w14:paraId="54FCA58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867</w:t>
            </w:r>
          </w:p>
        </w:tc>
        <w:tc>
          <w:tcPr>
            <w:tcW w:w="640" w:type="dxa"/>
            <w:tcBorders>
              <w:top w:val="nil"/>
              <w:left w:val="nil"/>
              <w:bottom w:val="nil"/>
              <w:right w:val="nil"/>
            </w:tcBorders>
            <w:shd w:val="clear" w:color="auto" w:fill="auto"/>
            <w:noWrap/>
            <w:vAlign w:val="bottom"/>
            <w:hideMark/>
          </w:tcPr>
          <w:p w14:paraId="7B68034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747</w:t>
            </w:r>
          </w:p>
        </w:tc>
        <w:tc>
          <w:tcPr>
            <w:tcW w:w="640" w:type="dxa"/>
            <w:tcBorders>
              <w:top w:val="nil"/>
              <w:left w:val="nil"/>
              <w:bottom w:val="nil"/>
              <w:right w:val="nil"/>
            </w:tcBorders>
            <w:shd w:val="clear" w:color="auto" w:fill="auto"/>
            <w:noWrap/>
            <w:vAlign w:val="bottom"/>
            <w:hideMark/>
          </w:tcPr>
          <w:p w14:paraId="60530B6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830</w:t>
            </w:r>
          </w:p>
        </w:tc>
        <w:tc>
          <w:tcPr>
            <w:tcW w:w="640" w:type="dxa"/>
            <w:tcBorders>
              <w:top w:val="nil"/>
              <w:left w:val="nil"/>
              <w:bottom w:val="nil"/>
              <w:right w:val="nil"/>
            </w:tcBorders>
            <w:shd w:val="clear" w:color="auto" w:fill="auto"/>
            <w:noWrap/>
            <w:vAlign w:val="bottom"/>
            <w:hideMark/>
          </w:tcPr>
          <w:p w14:paraId="6CE8EF8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694</w:t>
            </w:r>
          </w:p>
        </w:tc>
        <w:tc>
          <w:tcPr>
            <w:tcW w:w="640" w:type="dxa"/>
            <w:tcBorders>
              <w:top w:val="nil"/>
              <w:left w:val="nil"/>
              <w:bottom w:val="nil"/>
              <w:right w:val="nil"/>
            </w:tcBorders>
            <w:shd w:val="clear" w:color="auto" w:fill="auto"/>
            <w:noWrap/>
            <w:vAlign w:val="bottom"/>
            <w:hideMark/>
          </w:tcPr>
          <w:p w14:paraId="3F3A76C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607</w:t>
            </w:r>
          </w:p>
        </w:tc>
      </w:tr>
      <w:tr w:rsidR="00FC4A41" w:rsidRPr="00FC4A41" w14:paraId="1B9EFAA5" w14:textId="77777777" w:rsidTr="00FC4A41">
        <w:trPr>
          <w:trHeight w:val="259"/>
        </w:trPr>
        <w:tc>
          <w:tcPr>
            <w:tcW w:w="2420" w:type="dxa"/>
            <w:tcBorders>
              <w:top w:val="nil"/>
              <w:left w:val="nil"/>
              <w:bottom w:val="nil"/>
              <w:right w:val="nil"/>
            </w:tcBorders>
            <w:shd w:val="clear" w:color="000000" w:fill="FABF8F"/>
            <w:noWrap/>
            <w:vAlign w:val="bottom"/>
            <w:hideMark/>
          </w:tcPr>
          <w:p w14:paraId="1CA8048F"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Chiapas</w:t>
            </w:r>
          </w:p>
        </w:tc>
        <w:tc>
          <w:tcPr>
            <w:tcW w:w="640" w:type="dxa"/>
            <w:tcBorders>
              <w:top w:val="nil"/>
              <w:left w:val="nil"/>
              <w:bottom w:val="nil"/>
              <w:right w:val="nil"/>
            </w:tcBorders>
            <w:shd w:val="clear" w:color="auto" w:fill="auto"/>
            <w:noWrap/>
            <w:vAlign w:val="bottom"/>
            <w:hideMark/>
          </w:tcPr>
          <w:p w14:paraId="74C3997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186</w:t>
            </w:r>
          </w:p>
        </w:tc>
        <w:tc>
          <w:tcPr>
            <w:tcW w:w="640" w:type="dxa"/>
            <w:tcBorders>
              <w:top w:val="nil"/>
              <w:left w:val="nil"/>
              <w:bottom w:val="nil"/>
              <w:right w:val="nil"/>
            </w:tcBorders>
            <w:shd w:val="clear" w:color="auto" w:fill="auto"/>
            <w:noWrap/>
            <w:vAlign w:val="bottom"/>
            <w:hideMark/>
          </w:tcPr>
          <w:p w14:paraId="0EE3814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390</w:t>
            </w:r>
          </w:p>
        </w:tc>
        <w:tc>
          <w:tcPr>
            <w:tcW w:w="640" w:type="dxa"/>
            <w:tcBorders>
              <w:top w:val="nil"/>
              <w:left w:val="nil"/>
              <w:bottom w:val="nil"/>
              <w:right w:val="nil"/>
            </w:tcBorders>
            <w:shd w:val="clear" w:color="auto" w:fill="auto"/>
            <w:noWrap/>
            <w:vAlign w:val="bottom"/>
            <w:hideMark/>
          </w:tcPr>
          <w:p w14:paraId="48E3AE8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492</w:t>
            </w:r>
          </w:p>
        </w:tc>
        <w:tc>
          <w:tcPr>
            <w:tcW w:w="640" w:type="dxa"/>
            <w:tcBorders>
              <w:top w:val="nil"/>
              <w:left w:val="nil"/>
              <w:bottom w:val="nil"/>
              <w:right w:val="nil"/>
            </w:tcBorders>
            <w:shd w:val="clear" w:color="auto" w:fill="auto"/>
            <w:noWrap/>
            <w:vAlign w:val="bottom"/>
            <w:hideMark/>
          </w:tcPr>
          <w:p w14:paraId="61AC39A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460</w:t>
            </w:r>
          </w:p>
        </w:tc>
        <w:tc>
          <w:tcPr>
            <w:tcW w:w="640" w:type="dxa"/>
            <w:tcBorders>
              <w:top w:val="nil"/>
              <w:left w:val="nil"/>
              <w:bottom w:val="nil"/>
              <w:right w:val="nil"/>
            </w:tcBorders>
            <w:shd w:val="clear" w:color="auto" w:fill="auto"/>
            <w:noWrap/>
            <w:vAlign w:val="bottom"/>
            <w:hideMark/>
          </w:tcPr>
          <w:p w14:paraId="272D959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539</w:t>
            </w:r>
          </w:p>
        </w:tc>
        <w:tc>
          <w:tcPr>
            <w:tcW w:w="640" w:type="dxa"/>
            <w:tcBorders>
              <w:top w:val="nil"/>
              <w:left w:val="nil"/>
              <w:bottom w:val="nil"/>
              <w:right w:val="nil"/>
            </w:tcBorders>
            <w:shd w:val="clear" w:color="auto" w:fill="auto"/>
            <w:noWrap/>
            <w:vAlign w:val="bottom"/>
            <w:hideMark/>
          </w:tcPr>
          <w:p w14:paraId="1AD173D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552</w:t>
            </w:r>
          </w:p>
        </w:tc>
        <w:tc>
          <w:tcPr>
            <w:tcW w:w="640" w:type="dxa"/>
            <w:tcBorders>
              <w:top w:val="nil"/>
              <w:left w:val="nil"/>
              <w:bottom w:val="nil"/>
              <w:right w:val="nil"/>
            </w:tcBorders>
            <w:shd w:val="clear" w:color="auto" w:fill="auto"/>
            <w:noWrap/>
            <w:vAlign w:val="bottom"/>
            <w:hideMark/>
          </w:tcPr>
          <w:p w14:paraId="7056B83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591</w:t>
            </w:r>
          </w:p>
        </w:tc>
        <w:tc>
          <w:tcPr>
            <w:tcW w:w="640" w:type="dxa"/>
            <w:tcBorders>
              <w:top w:val="nil"/>
              <w:left w:val="nil"/>
              <w:bottom w:val="nil"/>
              <w:right w:val="nil"/>
            </w:tcBorders>
            <w:shd w:val="clear" w:color="auto" w:fill="auto"/>
            <w:noWrap/>
            <w:vAlign w:val="bottom"/>
            <w:hideMark/>
          </w:tcPr>
          <w:p w14:paraId="49E68C3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662</w:t>
            </w:r>
          </w:p>
        </w:tc>
        <w:tc>
          <w:tcPr>
            <w:tcW w:w="640" w:type="dxa"/>
            <w:tcBorders>
              <w:top w:val="nil"/>
              <w:left w:val="nil"/>
              <w:bottom w:val="nil"/>
              <w:right w:val="nil"/>
            </w:tcBorders>
            <w:shd w:val="clear" w:color="auto" w:fill="auto"/>
            <w:noWrap/>
            <w:vAlign w:val="bottom"/>
            <w:hideMark/>
          </w:tcPr>
          <w:p w14:paraId="2C9D2F3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619</w:t>
            </w:r>
          </w:p>
        </w:tc>
        <w:tc>
          <w:tcPr>
            <w:tcW w:w="640" w:type="dxa"/>
            <w:tcBorders>
              <w:top w:val="nil"/>
              <w:left w:val="nil"/>
              <w:bottom w:val="nil"/>
              <w:right w:val="nil"/>
            </w:tcBorders>
            <w:shd w:val="clear" w:color="auto" w:fill="auto"/>
            <w:noWrap/>
            <w:vAlign w:val="bottom"/>
            <w:hideMark/>
          </w:tcPr>
          <w:p w14:paraId="2528E450"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536</w:t>
            </w:r>
          </w:p>
        </w:tc>
        <w:tc>
          <w:tcPr>
            <w:tcW w:w="640" w:type="dxa"/>
            <w:tcBorders>
              <w:top w:val="nil"/>
              <w:left w:val="nil"/>
              <w:bottom w:val="nil"/>
              <w:right w:val="nil"/>
            </w:tcBorders>
            <w:shd w:val="clear" w:color="auto" w:fill="auto"/>
            <w:noWrap/>
            <w:vAlign w:val="bottom"/>
            <w:hideMark/>
          </w:tcPr>
          <w:p w14:paraId="2CCBA5A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568</w:t>
            </w:r>
          </w:p>
        </w:tc>
      </w:tr>
      <w:tr w:rsidR="00FC4A41" w:rsidRPr="00FC4A41" w14:paraId="5ECF07FB" w14:textId="77777777" w:rsidTr="00FC4A41">
        <w:trPr>
          <w:trHeight w:val="259"/>
        </w:trPr>
        <w:tc>
          <w:tcPr>
            <w:tcW w:w="2420" w:type="dxa"/>
            <w:tcBorders>
              <w:top w:val="nil"/>
              <w:left w:val="nil"/>
              <w:bottom w:val="nil"/>
              <w:right w:val="nil"/>
            </w:tcBorders>
            <w:shd w:val="clear" w:color="000000" w:fill="FABF8F"/>
            <w:noWrap/>
            <w:vAlign w:val="bottom"/>
            <w:hideMark/>
          </w:tcPr>
          <w:p w14:paraId="3D0252E6"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Chihuahua</w:t>
            </w:r>
          </w:p>
        </w:tc>
        <w:tc>
          <w:tcPr>
            <w:tcW w:w="640" w:type="dxa"/>
            <w:tcBorders>
              <w:top w:val="nil"/>
              <w:left w:val="nil"/>
              <w:bottom w:val="nil"/>
              <w:right w:val="nil"/>
            </w:tcBorders>
            <w:shd w:val="clear" w:color="auto" w:fill="auto"/>
            <w:noWrap/>
            <w:vAlign w:val="bottom"/>
            <w:hideMark/>
          </w:tcPr>
          <w:p w14:paraId="1D331BE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4 500</w:t>
            </w:r>
          </w:p>
        </w:tc>
        <w:tc>
          <w:tcPr>
            <w:tcW w:w="640" w:type="dxa"/>
            <w:tcBorders>
              <w:top w:val="nil"/>
              <w:left w:val="nil"/>
              <w:bottom w:val="nil"/>
              <w:right w:val="nil"/>
            </w:tcBorders>
            <w:shd w:val="clear" w:color="auto" w:fill="auto"/>
            <w:noWrap/>
            <w:vAlign w:val="bottom"/>
            <w:hideMark/>
          </w:tcPr>
          <w:p w14:paraId="4CC2E27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2 772</w:t>
            </w:r>
          </w:p>
        </w:tc>
        <w:tc>
          <w:tcPr>
            <w:tcW w:w="640" w:type="dxa"/>
            <w:tcBorders>
              <w:top w:val="nil"/>
              <w:left w:val="nil"/>
              <w:bottom w:val="nil"/>
              <w:right w:val="nil"/>
            </w:tcBorders>
            <w:shd w:val="clear" w:color="auto" w:fill="auto"/>
            <w:noWrap/>
            <w:vAlign w:val="bottom"/>
            <w:hideMark/>
          </w:tcPr>
          <w:p w14:paraId="6B76856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2 133</w:t>
            </w:r>
          </w:p>
        </w:tc>
        <w:tc>
          <w:tcPr>
            <w:tcW w:w="640" w:type="dxa"/>
            <w:tcBorders>
              <w:top w:val="nil"/>
              <w:left w:val="nil"/>
              <w:bottom w:val="nil"/>
              <w:right w:val="nil"/>
            </w:tcBorders>
            <w:shd w:val="clear" w:color="auto" w:fill="auto"/>
            <w:noWrap/>
            <w:vAlign w:val="bottom"/>
            <w:hideMark/>
          </w:tcPr>
          <w:p w14:paraId="3CE8DDF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1 755</w:t>
            </w:r>
          </w:p>
        </w:tc>
        <w:tc>
          <w:tcPr>
            <w:tcW w:w="640" w:type="dxa"/>
            <w:tcBorders>
              <w:top w:val="nil"/>
              <w:left w:val="nil"/>
              <w:bottom w:val="nil"/>
              <w:right w:val="nil"/>
            </w:tcBorders>
            <w:shd w:val="clear" w:color="auto" w:fill="auto"/>
            <w:noWrap/>
            <w:vAlign w:val="bottom"/>
            <w:hideMark/>
          </w:tcPr>
          <w:p w14:paraId="4C9932D0"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1 540</w:t>
            </w:r>
          </w:p>
        </w:tc>
        <w:tc>
          <w:tcPr>
            <w:tcW w:w="640" w:type="dxa"/>
            <w:tcBorders>
              <w:top w:val="nil"/>
              <w:left w:val="nil"/>
              <w:bottom w:val="nil"/>
              <w:right w:val="nil"/>
            </w:tcBorders>
            <w:shd w:val="clear" w:color="auto" w:fill="auto"/>
            <w:noWrap/>
            <w:vAlign w:val="bottom"/>
            <w:hideMark/>
          </w:tcPr>
          <w:p w14:paraId="2C3F31B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1 788</w:t>
            </w:r>
          </w:p>
        </w:tc>
        <w:tc>
          <w:tcPr>
            <w:tcW w:w="640" w:type="dxa"/>
            <w:tcBorders>
              <w:top w:val="nil"/>
              <w:left w:val="nil"/>
              <w:bottom w:val="nil"/>
              <w:right w:val="nil"/>
            </w:tcBorders>
            <w:shd w:val="clear" w:color="auto" w:fill="auto"/>
            <w:noWrap/>
            <w:vAlign w:val="bottom"/>
            <w:hideMark/>
          </w:tcPr>
          <w:p w14:paraId="0F63701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2 248</w:t>
            </w:r>
          </w:p>
        </w:tc>
        <w:tc>
          <w:tcPr>
            <w:tcW w:w="640" w:type="dxa"/>
            <w:tcBorders>
              <w:top w:val="nil"/>
              <w:left w:val="nil"/>
              <w:bottom w:val="nil"/>
              <w:right w:val="nil"/>
            </w:tcBorders>
            <w:shd w:val="clear" w:color="auto" w:fill="auto"/>
            <w:noWrap/>
            <w:vAlign w:val="bottom"/>
            <w:hideMark/>
          </w:tcPr>
          <w:p w14:paraId="74CFA25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2 978</w:t>
            </w:r>
          </w:p>
        </w:tc>
        <w:tc>
          <w:tcPr>
            <w:tcW w:w="640" w:type="dxa"/>
            <w:tcBorders>
              <w:top w:val="nil"/>
              <w:left w:val="nil"/>
              <w:bottom w:val="nil"/>
              <w:right w:val="nil"/>
            </w:tcBorders>
            <w:shd w:val="clear" w:color="auto" w:fill="auto"/>
            <w:noWrap/>
            <w:vAlign w:val="bottom"/>
            <w:hideMark/>
          </w:tcPr>
          <w:p w14:paraId="5C9456E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2 936</w:t>
            </w:r>
          </w:p>
        </w:tc>
        <w:tc>
          <w:tcPr>
            <w:tcW w:w="640" w:type="dxa"/>
            <w:tcBorders>
              <w:top w:val="nil"/>
              <w:left w:val="nil"/>
              <w:bottom w:val="nil"/>
              <w:right w:val="nil"/>
            </w:tcBorders>
            <w:shd w:val="clear" w:color="auto" w:fill="auto"/>
            <w:noWrap/>
            <w:vAlign w:val="bottom"/>
            <w:hideMark/>
          </w:tcPr>
          <w:p w14:paraId="41D6874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3 468</w:t>
            </w:r>
          </w:p>
        </w:tc>
        <w:tc>
          <w:tcPr>
            <w:tcW w:w="640" w:type="dxa"/>
            <w:tcBorders>
              <w:top w:val="nil"/>
              <w:left w:val="nil"/>
              <w:bottom w:val="nil"/>
              <w:right w:val="nil"/>
            </w:tcBorders>
            <w:shd w:val="clear" w:color="auto" w:fill="auto"/>
            <w:noWrap/>
            <w:vAlign w:val="bottom"/>
            <w:hideMark/>
          </w:tcPr>
          <w:p w14:paraId="5E11755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2 743</w:t>
            </w:r>
          </w:p>
        </w:tc>
      </w:tr>
      <w:tr w:rsidR="00FC4A41" w:rsidRPr="00FC4A41" w14:paraId="5AF38EDA" w14:textId="77777777" w:rsidTr="00FC4A41">
        <w:trPr>
          <w:trHeight w:val="259"/>
        </w:trPr>
        <w:tc>
          <w:tcPr>
            <w:tcW w:w="2420" w:type="dxa"/>
            <w:tcBorders>
              <w:top w:val="nil"/>
              <w:left w:val="nil"/>
              <w:bottom w:val="nil"/>
              <w:right w:val="nil"/>
            </w:tcBorders>
            <w:shd w:val="clear" w:color="000000" w:fill="FABF8F"/>
            <w:noWrap/>
            <w:vAlign w:val="bottom"/>
            <w:hideMark/>
          </w:tcPr>
          <w:p w14:paraId="47721AAD"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Ciudad de México</w:t>
            </w:r>
          </w:p>
        </w:tc>
        <w:tc>
          <w:tcPr>
            <w:tcW w:w="640" w:type="dxa"/>
            <w:tcBorders>
              <w:top w:val="nil"/>
              <w:left w:val="nil"/>
              <w:bottom w:val="nil"/>
              <w:right w:val="nil"/>
            </w:tcBorders>
            <w:shd w:val="clear" w:color="auto" w:fill="auto"/>
            <w:noWrap/>
            <w:vAlign w:val="bottom"/>
            <w:hideMark/>
          </w:tcPr>
          <w:p w14:paraId="7F76274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1 101</w:t>
            </w:r>
          </w:p>
        </w:tc>
        <w:tc>
          <w:tcPr>
            <w:tcW w:w="640" w:type="dxa"/>
            <w:tcBorders>
              <w:top w:val="nil"/>
              <w:left w:val="nil"/>
              <w:bottom w:val="nil"/>
              <w:right w:val="nil"/>
            </w:tcBorders>
            <w:shd w:val="clear" w:color="auto" w:fill="auto"/>
            <w:noWrap/>
            <w:vAlign w:val="bottom"/>
            <w:hideMark/>
          </w:tcPr>
          <w:p w14:paraId="72CEA79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1 086</w:t>
            </w:r>
          </w:p>
        </w:tc>
        <w:tc>
          <w:tcPr>
            <w:tcW w:w="640" w:type="dxa"/>
            <w:tcBorders>
              <w:top w:val="nil"/>
              <w:left w:val="nil"/>
              <w:bottom w:val="nil"/>
              <w:right w:val="nil"/>
            </w:tcBorders>
            <w:shd w:val="clear" w:color="auto" w:fill="auto"/>
            <w:noWrap/>
            <w:vAlign w:val="bottom"/>
            <w:hideMark/>
          </w:tcPr>
          <w:p w14:paraId="7D01089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1 111</w:t>
            </w:r>
          </w:p>
        </w:tc>
        <w:tc>
          <w:tcPr>
            <w:tcW w:w="640" w:type="dxa"/>
            <w:tcBorders>
              <w:top w:val="nil"/>
              <w:left w:val="nil"/>
              <w:bottom w:val="nil"/>
              <w:right w:val="nil"/>
            </w:tcBorders>
            <w:shd w:val="clear" w:color="auto" w:fill="auto"/>
            <w:noWrap/>
            <w:vAlign w:val="bottom"/>
            <w:hideMark/>
          </w:tcPr>
          <w:p w14:paraId="2BB2E7D0"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1 099</w:t>
            </w:r>
          </w:p>
        </w:tc>
        <w:tc>
          <w:tcPr>
            <w:tcW w:w="640" w:type="dxa"/>
            <w:tcBorders>
              <w:top w:val="nil"/>
              <w:left w:val="nil"/>
              <w:bottom w:val="nil"/>
              <w:right w:val="nil"/>
            </w:tcBorders>
            <w:shd w:val="clear" w:color="auto" w:fill="auto"/>
            <w:noWrap/>
            <w:vAlign w:val="bottom"/>
            <w:hideMark/>
          </w:tcPr>
          <w:p w14:paraId="0973EC8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1 080</w:t>
            </w:r>
          </w:p>
        </w:tc>
        <w:tc>
          <w:tcPr>
            <w:tcW w:w="640" w:type="dxa"/>
            <w:tcBorders>
              <w:top w:val="nil"/>
              <w:left w:val="nil"/>
              <w:bottom w:val="nil"/>
              <w:right w:val="nil"/>
            </w:tcBorders>
            <w:shd w:val="clear" w:color="auto" w:fill="auto"/>
            <w:noWrap/>
            <w:vAlign w:val="bottom"/>
            <w:hideMark/>
          </w:tcPr>
          <w:p w14:paraId="3F44F7D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1 279</w:t>
            </w:r>
          </w:p>
        </w:tc>
        <w:tc>
          <w:tcPr>
            <w:tcW w:w="640" w:type="dxa"/>
            <w:tcBorders>
              <w:top w:val="nil"/>
              <w:left w:val="nil"/>
              <w:bottom w:val="nil"/>
              <w:right w:val="nil"/>
            </w:tcBorders>
            <w:shd w:val="clear" w:color="auto" w:fill="auto"/>
            <w:noWrap/>
            <w:vAlign w:val="bottom"/>
            <w:hideMark/>
          </w:tcPr>
          <w:p w14:paraId="53E3D66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1 320</w:t>
            </w:r>
          </w:p>
        </w:tc>
        <w:tc>
          <w:tcPr>
            <w:tcW w:w="640" w:type="dxa"/>
            <w:tcBorders>
              <w:top w:val="nil"/>
              <w:left w:val="nil"/>
              <w:bottom w:val="nil"/>
              <w:right w:val="nil"/>
            </w:tcBorders>
            <w:shd w:val="clear" w:color="auto" w:fill="auto"/>
            <w:noWrap/>
            <w:vAlign w:val="bottom"/>
            <w:hideMark/>
          </w:tcPr>
          <w:p w14:paraId="66A61B1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1 469</w:t>
            </w:r>
          </w:p>
        </w:tc>
        <w:tc>
          <w:tcPr>
            <w:tcW w:w="640" w:type="dxa"/>
            <w:tcBorders>
              <w:top w:val="nil"/>
              <w:left w:val="nil"/>
              <w:bottom w:val="nil"/>
              <w:right w:val="nil"/>
            </w:tcBorders>
            <w:shd w:val="clear" w:color="auto" w:fill="auto"/>
            <w:noWrap/>
            <w:vAlign w:val="bottom"/>
            <w:hideMark/>
          </w:tcPr>
          <w:p w14:paraId="0D69449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1 301</w:t>
            </w:r>
          </w:p>
        </w:tc>
        <w:tc>
          <w:tcPr>
            <w:tcW w:w="640" w:type="dxa"/>
            <w:tcBorders>
              <w:top w:val="nil"/>
              <w:left w:val="nil"/>
              <w:bottom w:val="nil"/>
              <w:right w:val="nil"/>
            </w:tcBorders>
            <w:shd w:val="clear" w:color="auto" w:fill="auto"/>
            <w:noWrap/>
            <w:vAlign w:val="bottom"/>
            <w:hideMark/>
          </w:tcPr>
          <w:p w14:paraId="1A79913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1 340</w:t>
            </w:r>
          </w:p>
        </w:tc>
        <w:tc>
          <w:tcPr>
            <w:tcW w:w="640" w:type="dxa"/>
            <w:tcBorders>
              <w:top w:val="nil"/>
              <w:left w:val="nil"/>
              <w:bottom w:val="nil"/>
              <w:right w:val="nil"/>
            </w:tcBorders>
            <w:shd w:val="clear" w:color="auto" w:fill="auto"/>
            <w:noWrap/>
            <w:vAlign w:val="bottom"/>
            <w:hideMark/>
          </w:tcPr>
          <w:p w14:paraId="44C52A4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1 071</w:t>
            </w:r>
          </w:p>
        </w:tc>
      </w:tr>
      <w:tr w:rsidR="00FC4A41" w:rsidRPr="00FC4A41" w14:paraId="49794C11" w14:textId="77777777" w:rsidTr="00FC4A41">
        <w:trPr>
          <w:trHeight w:val="259"/>
        </w:trPr>
        <w:tc>
          <w:tcPr>
            <w:tcW w:w="2420" w:type="dxa"/>
            <w:tcBorders>
              <w:top w:val="nil"/>
              <w:left w:val="nil"/>
              <w:bottom w:val="nil"/>
              <w:right w:val="nil"/>
            </w:tcBorders>
            <w:shd w:val="clear" w:color="000000" w:fill="FABF8F"/>
            <w:noWrap/>
            <w:vAlign w:val="bottom"/>
            <w:hideMark/>
          </w:tcPr>
          <w:p w14:paraId="4CBC2FB7"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Durango</w:t>
            </w:r>
          </w:p>
        </w:tc>
        <w:tc>
          <w:tcPr>
            <w:tcW w:w="640" w:type="dxa"/>
            <w:tcBorders>
              <w:top w:val="nil"/>
              <w:left w:val="nil"/>
              <w:bottom w:val="nil"/>
              <w:right w:val="nil"/>
            </w:tcBorders>
            <w:shd w:val="clear" w:color="auto" w:fill="auto"/>
            <w:noWrap/>
            <w:vAlign w:val="bottom"/>
            <w:hideMark/>
          </w:tcPr>
          <w:p w14:paraId="6A7F563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1 063</w:t>
            </w:r>
          </w:p>
        </w:tc>
        <w:tc>
          <w:tcPr>
            <w:tcW w:w="640" w:type="dxa"/>
            <w:tcBorders>
              <w:top w:val="nil"/>
              <w:left w:val="nil"/>
              <w:bottom w:val="nil"/>
              <w:right w:val="nil"/>
            </w:tcBorders>
            <w:shd w:val="clear" w:color="auto" w:fill="auto"/>
            <w:noWrap/>
            <w:vAlign w:val="bottom"/>
            <w:hideMark/>
          </w:tcPr>
          <w:p w14:paraId="321C95C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822</w:t>
            </w:r>
          </w:p>
        </w:tc>
        <w:tc>
          <w:tcPr>
            <w:tcW w:w="640" w:type="dxa"/>
            <w:tcBorders>
              <w:top w:val="nil"/>
              <w:left w:val="nil"/>
              <w:bottom w:val="nil"/>
              <w:right w:val="nil"/>
            </w:tcBorders>
            <w:shd w:val="clear" w:color="auto" w:fill="auto"/>
            <w:noWrap/>
            <w:vAlign w:val="bottom"/>
            <w:hideMark/>
          </w:tcPr>
          <w:p w14:paraId="0DAA42B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473</w:t>
            </w:r>
          </w:p>
        </w:tc>
        <w:tc>
          <w:tcPr>
            <w:tcW w:w="640" w:type="dxa"/>
            <w:tcBorders>
              <w:top w:val="nil"/>
              <w:left w:val="nil"/>
              <w:bottom w:val="nil"/>
              <w:right w:val="nil"/>
            </w:tcBorders>
            <w:shd w:val="clear" w:color="auto" w:fill="auto"/>
            <w:noWrap/>
            <w:vAlign w:val="bottom"/>
            <w:hideMark/>
          </w:tcPr>
          <w:p w14:paraId="57CF31E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348</w:t>
            </w:r>
          </w:p>
        </w:tc>
        <w:tc>
          <w:tcPr>
            <w:tcW w:w="640" w:type="dxa"/>
            <w:tcBorders>
              <w:top w:val="nil"/>
              <w:left w:val="nil"/>
              <w:bottom w:val="nil"/>
              <w:right w:val="nil"/>
            </w:tcBorders>
            <w:shd w:val="clear" w:color="auto" w:fill="auto"/>
            <w:noWrap/>
            <w:vAlign w:val="bottom"/>
            <w:hideMark/>
          </w:tcPr>
          <w:p w14:paraId="42B9BA8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198</w:t>
            </w:r>
          </w:p>
        </w:tc>
        <w:tc>
          <w:tcPr>
            <w:tcW w:w="640" w:type="dxa"/>
            <w:tcBorders>
              <w:top w:val="nil"/>
              <w:left w:val="nil"/>
              <w:bottom w:val="nil"/>
              <w:right w:val="nil"/>
            </w:tcBorders>
            <w:shd w:val="clear" w:color="auto" w:fill="auto"/>
            <w:noWrap/>
            <w:vAlign w:val="bottom"/>
            <w:hideMark/>
          </w:tcPr>
          <w:p w14:paraId="6A3526C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214</w:t>
            </w:r>
          </w:p>
        </w:tc>
        <w:tc>
          <w:tcPr>
            <w:tcW w:w="640" w:type="dxa"/>
            <w:tcBorders>
              <w:top w:val="nil"/>
              <w:left w:val="nil"/>
              <w:bottom w:val="nil"/>
              <w:right w:val="nil"/>
            </w:tcBorders>
            <w:shd w:val="clear" w:color="auto" w:fill="auto"/>
            <w:noWrap/>
            <w:vAlign w:val="bottom"/>
            <w:hideMark/>
          </w:tcPr>
          <w:p w14:paraId="141C9AE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200</w:t>
            </w:r>
          </w:p>
        </w:tc>
        <w:tc>
          <w:tcPr>
            <w:tcW w:w="640" w:type="dxa"/>
            <w:tcBorders>
              <w:top w:val="nil"/>
              <w:left w:val="nil"/>
              <w:bottom w:val="nil"/>
              <w:right w:val="nil"/>
            </w:tcBorders>
            <w:shd w:val="clear" w:color="auto" w:fill="auto"/>
            <w:noWrap/>
            <w:vAlign w:val="bottom"/>
            <w:hideMark/>
          </w:tcPr>
          <w:p w14:paraId="28701D4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178</w:t>
            </w:r>
          </w:p>
        </w:tc>
        <w:tc>
          <w:tcPr>
            <w:tcW w:w="640" w:type="dxa"/>
            <w:tcBorders>
              <w:top w:val="nil"/>
              <w:left w:val="nil"/>
              <w:bottom w:val="nil"/>
              <w:right w:val="nil"/>
            </w:tcBorders>
            <w:shd w:val="clear" w:color="auto" w:fill="auto"/>
            <w:noWrap/>
            <w:vAlign w:val="bottom"/>
            <w:hideMark/>
          </w:tcPr>
          <w:p w14:paraId="7020534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175</w:t>
            </w:r>
          </w:p>
        </w:tc>
        <w:tc>
          <w:tcPr>
            <w:tcW w:w="640" w:type="dxa"/>
            <w:tcBorders>
              <w:top w:val="nil"/>
              <w:left w:val="nil"/>
              <w:bottom w:val="nil"/>
              <w:right w:val="nil"/>
            </w:tcBorders>
            <w:shd w:val="clear" w:color="auto" w:fill="auto"/>
            <w:noWrap/>
            <w:vAlign w:val="bottom"/>
            <w:hideMark/>
          </w:tcPr>
          <w:p w14:paraId="2327E23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168</w:t>
            </w:r>
          </w:p>
        </w:tc>
        <w:tc>
          <w:tcPr>
            <w:tcW w:w="640" w:type="dxa"/>
            <w:tcBorders>
              <w:top w:val="nil"/>
              <w:left w:val="nil"/>
              <w:bottom w:val="nil"/>
              <w:right w:val="nil"/>
            </w:tcBorders>
            <w:shd w:val="clear" w:color="auto" w:fill="auto"/>
            <w:noWrap/>
            <w:vAlign w:val="bottom"/>
            <w:hideMark/>
          </w:tcPr>
          <w:p w14:paraId="4C1E824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143</w:t>
            </w:r>
          </w:p>
        </w:tc>
      </w:tr>
      <w:tr w:rsidR="00FC4A41" w:rsidRPr="00FC4A41" w14:paraId="11AFFE92" w14:textId="77777777" w:rsidTr="00FC4A41">
        <w:trPr>
          <w:trHeight w:val="259"/>
        </w:trPr>
        <w:tc>
          <w:tcPr>
            <w:tcW w:w="2420" w:type="dxa"/>
            <w:tcBorders>
              <w:top w:val="nil"/>
              <w:left w:val="nil"/>
              <w:bottom w:val="nil"/>
              <w:right w:val="nil"/>
            </w:tcBorders>
            <w:shd w:val="clear" w:color="000000" w:fill="FABF8F"/>
            <w:noWrap/>
            <w:vAlign w:val="bottom"/>
            <w:hideMark/>
          </w:tcPr>
          <w:p w14:paraId="4D67F354"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Guanajuato</w:t>
            </w:r>
          </w:p>
        </w:tc>
        <w:tc>
          <w:tcPr>
            <w:tcW w:w="640" w:type="dxa"/>
            <w:tcBorders>
              <w:top w:val="nil"/>
              <w:left w:val="nil"/>
              <w:bottom w:val="nil"/>
              <w:right w:val="nil"/>
            </w:tcBorders>
            <w:shd w:val="clear" w:color="auto" w:fill="auto"/>
            <w:noWrap/>
            <w:vAlign w:val="bottom"/>
            <w:hideMark/>
          </w:tcPr>
          <w:p w14:paraId="27EEBE7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615</w:t>
            </w:r>
          </w:p>
        </w:tc>
        <w:tc>
          <w:tcPr>
            <w:tcW w:w="640" w:type="dxa"/>
            <w:tcBorders>
              <w:top w:val="nil"/>
              <w:left w:val="nil"/>
              <w:bottom w:val="nil"/>
              <w:right w:val="nil"/>
            </w:tcBorders>
            <w:shd w:val="clear" w:color="auto" w:fill="auto"/>
            <w:noWrap/>
            <w:vAlign w:val="bottom"/>
            <w:hideMark/>
          </w:tcPr>
          <w:p w14:paraId="0D0E037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684</w:t>
            </w:r>
          </w:p>
        </w:tc>
        <w:tc>
          <w:tcPr>
            <w:tcW w:w="640" w:type="dxa"/>
            <w:tcBorders>
              <w:top w:val="nil"/>
              <w:left w:val="nil"/>
              <w:bottom w:val="nil"/>
              <w:right w:val="nil"/>
            </w:tcBorders>
            <w:shd w:val="clear" w:color="auto" w:fill="auto"/>
            <w:noWrap/>
            <w:vAlign w:val="bottom"/>
            <w:hideMark/>
          </w:tcPr>
          <w:p w14:paraId="6DA6FDE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702</w:t>
            </w:r>
          </w:p>
        </w:tc>
        <w:tc>
          <w:tcPr>
            <w:tcW w:w="640" w:type="dxa"/>
            <w:tcBorders>
              <w:top w:val="nil"/>
              <w:left w:val="nil"/>
              <w:bottom w:val="nil"/>
              <w:right w:val="nil"/>
            </w:tcBorders>
            <w:shd w:val="clear" w:color="auto" w:fill="auto"/>
            <w:noWrap/>
            <w:vAlign w:val="bottom"/>
            <w:hideMark/>
          </w:tcPr>
          <w:p w14:paraId="3A68ABA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800</w:t>
            </w:r>
          </w:p>
        </w:tc>
        <w:tc>
          <w:tcPr>
            <w:tcW w:w="640" w:type="dxa"/>
            <w:tcBorders>
              <w:top w:val="nil"/>
              <w:left w:val="nil"/>
              <w:bottom w:val="nil"/>
              <w:right w:val="nil"/>
            </w:tcBorders>
            <w:shd w:val="clear" w:color="auto" w:fill="auto"/>
            <w:noWrap/>
            <w:vAlign w:val="bottom"/>
            <w:hideMark/>
          </w:tcPr>
          <w:p w14:paraId="5C8D891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970</w:t>
            </w:r>
          </w:p>
        </w:tc>
        <w:tc>
          <w:tcPr>
            <w:tcW w:w="640" w:type="dxa"/>
            <w:tcBorders>
              <w:top w:val="nil"/>
              <w:left w:val="nil"/>
              <w:bottom w:val="nil"/>
              <w:right w:val="nil"/>
            </w:tcBorders>
            <w:shd w:val="clear" w:color="auto" w:fill="auto"/>
            <w:noWrap/>
            <w:vAlign w:val="bottom"/>
            <w:hideMark/>
          </w:tcPr>
          <w:p w14:paraId="3CD23C3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1 232</w:t>
            </w:r>
          </w:p>
        </w:tc>
        <w:tc>
          <w:tcPr>
            <w:tcW w:w="640" w:type="dxa"/>
            <w:tcBorders>
              <w:top w:val="nil"/>
              <w:left w:val="nil"/>
              <w:bottom w:val="nil"/>
              <w:right w:val="nil"/>
            </w:tcBorders>
            <w:shd w:val="clear" w:color="auto" w:fill="auto"/>
            <w:noWrap/>
            <w:vAlign w:val="bottom"/>
            <w:hideMark/>
          </w:tcPr>
          <w:p w14:paraId="685D98B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2 285</w:t>
            </w:r>
          </w:p>
        </w:tc>
        <w:tc>
          <w:tcPr>
            <w:tcW w:w="640" w:type="dxa"/>
            <w:tcBorders>
              <w:top w:val="nil"/>
              <w:left w:val="nil"/>
              <w:bottom w:val="nil"/>
              <w:right w:val="nil"/>
            </w:tcBorders>
            <w:shd w:val="clear" w:color="auto" w:fill="auto"/>
            <w:noWrap/>
            <w:vAlign w:val="bottom"/>
            <w:hideMark/>
          </w:tcPr>
          <w:p w14:paraId="69B7C8C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3 517</w:t>
            </w:r>
          </w:p>
        </w:tc>
        <w:tc>
          <w:tcPr>
            <w:tcW w:w="640" w:type="dxa"/>
            <w:tcBorders>
              <w:top w:val="nil"/>
              <w:left w:val="nil"/>
              <w:bottom w:val="nil"/>
              <w:right w:val="nil"/>
            </w:tcBorders>
            <w:shd w:val="clear" w:color="auto" w:fill="auto"/>
            <w:noWrap/>
            <w:vAlign w:val="bottom"/>
            <w:hideMark/>
          </w:tcPr>
          <w:p w14:paraId="4A9DFAD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4 019</w:t>
            </w:r>
          </w:p>
        </w:tc>
        <w:tc>
          <w:tcPr>
            <w:tcW w:w="640" w:type="dxa"/>
            <w:tcBorders>
              <w:top w:val="nil"/>
              <w:left w:val="nil"/>
              <w:bottom w:val="nil"/>
              <w:right w:val="nil"/>
            </w:tcBorders>
            <w:shd w:val="clear" w:color="auto" w:fill="auto"/>
            <w:noWrap/>
            <w:vAlign w:val="bottom"/>
            <w:hideMark/>
          </w:tcPr>
          <w:p w14:paraId="29AC082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5 370</w:t>
            </w:r>
          </w:p>
        </w:tc>
        <w:tc>
          <w:tcPr>
            <w:tcW w:w="640" w:type="dxa"/>
            <w:tcBorders>
              <w:top w:val="nil"/>
              <w:left w:val="nil"/>
              <w:bottom w:val="nil"/>
              <w:right w:val="nil"/>
            </w:tcBorders>
            <w:shd w:val="clear" w:color="auto" w:fill="auto"/>
            <w:noWrap/>
            <w:vAlign w:val="bottom"/>
            <w:hideMark/>
          </w:tcPr>
          <w:p w14:paraId="47C2A7E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4 333</w:t>
            </w:r>
          </w:p>
        </w:tc>
      </w:tr>
      <w:tr w:rsidR="00FC4A41" w:rsidRPr="00FC4A41" w14:paraId="06684DF4" w14:textId="77777777" w:rsidTr="00FC4A41">
        <w:trPr>
          <w:trHeight w:val="259"/>
        </w:trPr>
        <w:tc>
          <w:tcPr>
            <w:tcW w:w="2420" w:type="dxa"/>
            <w:tcBorders>
              <w:top w:val="nil"/>
              <w:left w:val="nil"/>
              <w:bottom w:val="nil"/>
              <w:right w:val="nil"/>
            </w:tcBorders>
            <w:shd w:val="clear" w:color="000000" w:fill="FABF8F"/>
            <w:noWrap/>
            <w:vAlign w:val="bottom"/>
            <w:hideMark/>
          </w:tcPr>
          <w:p w14:paraId="27C5DC9D"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Guerrero</w:t>
            </w:r>
          </w:p>
        </w:tc>
        <w:tc>
          <w:tcPr>
            <w:tcW w:w="640" w:type="dxa"/>
            <w:tcBorders>
              <w:top w:val="nil"/>
              <w:left w:val="nil"/>
              <w:bottom w:val="nil"/>
              <w:right w:val="nil"/>
            </w:tcBorders>
            <w:shd w:val="clear" w:color="auto" w:fill="auto"/>
            <w:noWrap/>
            <w:vAlign w:val="bottom"/>
            <w:hideMark/>
          </w:tcPr>
          <w:p w14:paraId="6CAD4800"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2 416</w:t>
            </w:r>
          </w:p>
        </w:tc>
        <w:tc>
          <w:tcPr>
            <w:tcW w:w="640" w:type="dxa"/>
            <w:tcBorders>
              <w:top w:val="nil"/>
              <w:left w:val="nil"/>
              <w:bottom w:val="nil"/>
              <w:right w:val="nil"/>
            </w:tcBorders>
            <w:shd w:val="clear" w:color="auto" w:fill="auto"/>
            <w:noWrap/>
            <w:vAlign w:val="bottom"/>
            <w:hideMark/>
          </w:tcPr>
          <w:p w14:paraId="4EB0277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2 646</w:t>
            </w:r>
          </w:p>
        </w:tc>
        <w:tc>
          <w:tcPr>
            <w:tcW w:w="640" w:type="dxa"/>
            <w:tcBorders>
              <w:top w:val="nil"/>
              <w:left w:val="nil"/>
              <w:bottom w:val="nil"/>
              <w:right w:val="nil"/>
            </w:tcBorders>
            <w:shd w:val="clear" w:color="auto" w:fill="auto"/>
            <w:noWrap/>
            <w:vAlign w:val="bottom"/>
            <w:hideMark/>
          </w:tcPr>
          <w:p w14:paraId="56E665E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2 283</w:t>
            </w:r>
          </w:p>
        </w:tc>
        <w:tc>
          <w:tcPr>
            <w:tcW w:w="640" w:type="dxa"/>
            <w:tcBorders>
              <w:top w:val="nil"/>
              <w:left w:val="nil"/>
              <w:bottom w:val="nil"/>
              <w:right w:val="nil"/>
            </w:tcBorders>
            <w:shd w:val="clear" w:color="auto" w:fill="auto"/>
            <w:noWrap/>
            <w:vAlign w:val="bottom"/>
            <w:hideMark/>
          </w:tcPr>
          <w:p w14:paraId="5FE13EA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1 729</w:t>
            </w:r>
          </w:p>
        </w:tc>
        <w:tc>
          <w:tcPr>
            <w:tcW w:w="640" w:type="dxa"/>
            <w:tcBorders>
              <w:top w:val="nil"/>
              <w:left w:val="nil"/>
              <w:bottom w:val="nil"/>
              <w:right w:val="nil"/>
            </w:tcBorders>
            <w:shd w:val="clear" w:color="auto" w:fill="auto"/>
            <w:noWrap/>
            <w:vAlign w:val="bottom"/>
            <w:hideMark/>
          </w:tcPr>
          <w:p w14:paraId="5F2DEC7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2 424</w:t>
            </w:r>
          </w:p>
        </w:tc>
        <w:tc>
          <w:tcPr>
            <w:tcW w:w="640" w:type="dxa"/>
            <w:tcBorders>
              <w:top w:val="nil"/>
              <w:left w:val="nil"/>
              <w:bottom w:val="nil"/>
              <w:right w:val="nil"/>
            </w:tcBorders>
            <w:shd w:val="clear" w:color="auto" w:fill="auto"/>
            <w:noWrap/>
            <w:vAlign w:val="bottom"/>
            <w:hideMark/>
          </w:tcPr>
          <w:p w14:paraId="7FD5F3A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2 594</w:t>
            </w:r>
          </w:p>
        </w:tc>
        <w:tc>
          <w:tcPr>
            <w:tcW w:w="640" w:type="dxa"/>
            <w:tcBorders>
              <w:top w:val="nil"/>
              <w:left w:val="nil"/>
              <w:bottom w:val="nil"/>
              <w:right w:val="nil"/>
            </w:tcBorders>
            <w:shd w:val="clear" w:color="auto" w:fill="auto"/>
            <w:noWrap/>
            <w:vAlign w:val="bottom"/>
            <w:hideMark/>
          </w:tcPr>
          <w:p w14:paraId="4DF1977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2 637</w:t>
            </w:r>
          </w:p>
        </w:tc>
        <w:tc>
          <w:tcPr>
            <w:tcW w:w="640" w:type="dxa"/>
            <w:tcBorders>
              <w:top w:val="nil"/>
              <w:left w:val="nil"/>
              <w:bottom w:val="nil"/>
              <w:right w:val="nil"/>
            </w:tcBorders>
            <w:shd w:val="clear" w:color="auto" w:fill="auto"/>
            <w:noWrap/>
            <w:vAlign w:val="bottom"/>
            <w:hideMark/>
          </w:tcPr>
          <w:p w14:paraId="484BF6C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2 367</w:t>
            </w:r>
          </w:p>
        </w:tc>
        <w:tc>
          <w:tcPr>
            <w:tcW w:w="640" w:type="dxa"/>
            <w:tcBorders>
              <w:top w:val="nil"/>
              <w:left w:val="nil"/>
              <w:bottom w:val="nil"/>
              <w:right w:val="nil"/>
            </w:tcBorders>
            <w:shd w:val="clear" w:color="auto" w:fill="auto"/>
            <w:noWrap/>
            <w:vAlign w:val="bottom"/>
            <w:hideMark/>
          </w:tcPr>
          <w:p w14:paraId="2546647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1 937</w:t>
            </w:r>
          </w:p>
        </w:tc>
        <w:tc>
          <w:tcPr>
            <w:tcW w:w="640" w:type="dxa"/>
            <w:tcBorders>
              <w:top w:val="nil"/>
              <w:left w:val="nil"/>
              <w:bottom w:val="nil"/>
              <w:right w:val="nil"/>
            </w:tcBorders>
            <w:shd w:val="clear" w:color="auto" w:fill="auto"/>
            <w:noWrap/>
            <w:vAlign w:val="bottom"/>
            <w:hideMark/>
          </w:tcPr>
          <w:p w14:paraId="188909F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1 507</w:t>
            </w:r>
          </w:p>
        </w:tc>
        <w:tc>
          <w:tcPr>
            <w:tcW w:w="640" w:type="dxa"/>
            <w:tcBorders>
              <w:top w:val="nil"/>
              <w:left w:val="nil"/>
              <w:bottom w:val="nil"/>
              <w:right w:val="nil"/>
            </w:tcBorders>
            <w:shd w:val="clear" w:color="auto" w:fill="auto"/>
            <w:noWrap/>
            <w:vAlign w:val="bottom"/>
            <w:hideMark/>
          </w:tcPr>
          <w:p w14:paraId="5C500F50"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1 469</w:t>
            </w:r>
          </w:p>
        </w:tc>
      </w:tr>
      <w:tr w:rsidR="00FC4A41" w:rsidRPr="00FC4A41" w14:paraId="629E101D" w14:textId="77777777" w:rsidTr="00FC4A41">
        <w:trPr>
          <w:trHeight w:val="259"/>
        </w:trPr>
        <w:tc>
          <w:tcPr>
            <w:tcW w:w="2420" w:type="dxa"/>
            <w:tcBorders>
              <w:top w:val="nil"/>
              <w:left w:val="nil"/>
              <w:bottom w:val="nil"/>
              <w:right w:val="nil"/>
            </w:tcBorders>
            <w:shd w:val="clear" w:color="000000" w:fill="FABF8F"/>
            <w:noWrap/>
            <w:vAlign w:val="bottom"/>
            <w:hideMark/>
          </w:tcPr>
          <w:p w14:paraId="6A832D9B"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Hidalgo</w:t>
            </w:r>
          </w:p>
        </w:tc>
        <w:tc>
          <w:tcPr>
            <w:tcW w:w="640" w:type="dxa"/>
            <w:tcBorders>
              <w:top w:val="nil"/>
              <w:left w:val="nil"/>
              <w:bottom w:val="nil"/>
              <w:right w:val="nil"/>
            </w:tcBorders>
            <w:shd w:val="clear" w:color="auto" w:fill="auto"/>
            <w:noWrap/>
            <w:vAlign w:val="bottom"/>
            <w:hideMark/>
          </w:tcPr>
          <w:p w14:paraId="4579745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211</w:t>
            </w:r>
          </w:p>
        </w:tc>
        <w:tc>
          <w:tcPr>
            <w:tcW w:w="640" w:type="dxa"/>
            <w:tcBorders>
              <w:top w:val="nil"/>
              <w:left w:val="nil"/>
              <w:bottom w:val="nil"/>
              <w:right w:val="nil"/>
            </w:tcBorders>
            <w:shd w:val="clear" w:color="auto" w:fill="auto"/>
            <w:noWrap/>
            <w:vAlign w:val="bottom"/>
            <w:hideMark/>
          </w:tcPr>
          <w:p w14:paraId="5F71100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162</w:t>
            </w:r>
          </w:p>
        </w:tc>
        <w:tc>
          <w:tcPr>
            <w:tcW w:w="640" w:type="dxa"/>
            <w:tcBorders>
              <w:top w:val="nil"/>
              <w:left w:val="nil"/>
              <w:bottom w:val="nil"/>
              <w:right w:val="nil"/>
            </w:tcBorders>
            <w:shd w:val="clear" w:color="auto" w:fill="auto"/>
            <w:noWrap/>
            <w:vAlign w:val="bottom"/>
            <w:hideMark/>
          </w:tcPr>
          <w:p w14:paraId="0F82033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167</w:t>
            </w:r>
          </w:p>
        </w:tc>
        <w:tc>
          <w:tcPr>
            <w:tcW w:w="640" w:type="dxa"/>
            <w:tcBorders>
              <w:top w:val="nil"/>
              <w:left w:val="nil"/>
              <w:bottom w:val="nil"/>
              <w:right w:val="nil"/>
            </w:tcBorders>
            <w:shd w:val="clear" w:color="auto" w:fill="auto"/>
            <w:noWrap/>
            <w:vAlign w:val="bottom"/>
            <w:hideMark/>
          </w:tcPr>
          <w:p w14:paraId="09C220D0"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210</w:t>
            </w:r>
          </w:p>
        </w:tc>
        <w:tc>
          <w:tcPr>
            <w:tcW w:w="640" w:type="dxa"/>
            <w:tcBorders>
              <w:top w:val="nil"/>
              <w:left w:val="nil"/>
              <w:bottom w:val="nil"/>
              <w:right w:val="nil"/>
            </w:tcBorders>
            <w:shd w:val="clear" w:color="auto" w:fill="auto"/>
            <w:noWrap/>
            <w:vAlign w:val="bottom"/>
            <w:hideMark/>
          </w:tcPr>
          <w:p w14:paraId="7771782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233</w:t>
            </w:r>
          </w:p>
        </w:tc>
        <w:tc>
          <w:tcPr>
            <w:tcW w:w="640" w:type="dxa"/>
            <w:tcBorders>
              <w:top w:val="nil"/>
              <w:left w:val="nil"/>
              <w:bottom w:val="nil"/>
              <w:right w:val="nil"/>
            </w:tcBorders>
            <w:shd w:val="clear" w:color="auto" w:fill="auto"/>
            <w:noWrap/>
            <w:vAlign w:val="bottom"/>
            <w:hideMark/>
          </w:tcPr>
          <w:p w14:paraId="571B003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219</w:t>
            </w:r>
          </w:p>
        </w:tc>
        <w:tc>
          <w:tcPr>
            <w:tcW w:w="640" w:type="dxa"/>
            <w:tcBorders>
              <w:top w:val="nil"/>
              <w:left w:val="nil"/>
              <w:bottom w:val="nil"/>
              <w:right w:val="nil"/>
            </w:tcBorders>
            <w:shd w:val="clear" w:color="auto" w:fill="auto"/>
            <w:noWrap/>
            <w:vAlign w:val="bottom"/>
            <w:hideMark/>
          </w:tcPr>
          <w:p w14:paraId="41E39FE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314</w:t>
            </w:r>
          </w:p>
        </w:tc>
        <w:tc>
          <w:tcPr>
            <w:tcW w:w="640" w:type="dxa"/>
            <w:tcBorders>
              <w:top w:val="nil"/>
              <w:left w:val="nil"/>
              <w:bottom w:val="nil"/>
              <w:right w:val="nil"/>
            </w:tcBorders>
            <w:shd w:val="clear" w:color="auto" w:fill="auto"/>
            <w:noWrap/>
            <w:vAlign w:val="bottom"/>
            <w:hideMark/>
          </w:tcPr>
          <w:p w14:paraId="547B73E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340</w:t>
            </w:r>
          </w:p>
        </w:tc>
        <w:tc>
          <w:tcPr>
            <w:tcW w:w="640" w:type="dxa"/>
            <w:tcBorders>
              <w:top w:val="nil"/>
              <w:left w:val="nil"/>
              <w:bottom w:val="nil"/>
              <w:right w:val="nil"/>
            </w:tcBorders>
            <w:shd w:val="clear" w:color="auto" w:fill="auto"/>
            <w:noWrap/>
            <w:vAlign w:val="bottom"/>
            <w:hideMark/>
          </w:tcPr>
          <w:p w14:paraId="1F1979B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479</w:t>
            </w:r>
          </w:p>
        </w:tc>
        <w:tc>
          <w:tcPr>
            <w:tcW w:w="640" w:type="dxa"/>
            <w:tcBorders>
              <w:top w:val="nil"/>
              <w:left w:val="nil"/>
              <w:bottom w:val="nil"/>
              <w:right w:val="nil"/>
            </w:tcBorders>
            <w:shd w:val="clear" w:color="auto" w:fill="auto"/>
            <w:noWrap/>
            <w:vAlign w:val="bottom"/>
            <w:hideMark/>
          </w:tcPr>
          <w:p w14:paraId="2F5E7E4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366</w:t>
            </w:r>
          </w:p>
        </w:tc>
        <w:tc>
          <w:tcPr>
            <w:tcW w:w="640" w:type="dxa"/>
            <w:tcBorders>
              <w:top w:val="nil"/>
              <w:left w:val="nil"/>
              <w:bottom w:val="nil"/>
              <w:right w:val="nil"/>
            </w:tcBorders>
            <w:shd w:val="clear" w:color="auto" w:fill="auto"/>
            <w:noWrap/>
            <w:vAlign w:val="bottom"/>
            <w:hideMark/>
          </w:tcPr>
          <w:p w14:paraId="571F30C0"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284</w:t>
            </w:r>
          </w:p>
        </w:tc>
      </w:tr>
      <w:tr w:rsidR="00FC4A41" w:rsidRPr="00FC4A41" w14:paraId="39B52C00" w14:textId="77777777" w:rsidTr="00FC4A41">
        <w:trPr>
          <w:trHeight w:val="259"/>
        </w:trPr>
        <w:tc>
          <w:tcPr>
            <w:tcW w:w="2420" w:type="dxa"/>
            <w:tcBorders>
              <w:top w:val="nil"/>
              <w:left w:val="nil"/>
              <w:bottom w:val="nil"/>
              <w:right w:val="nil"/>
            </w:tcBorders>
            <w:shd w:val="clear" w:color="000000" w:fill="FABF8F"/>
            <w:noWrap/>
            <w:vAlign w:val="bottom"/>
            <w:hideMark/>
          </w:tcPr>
          <w:p w14:paraId="64DD049F"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Jalisco</w:t>
            </w:r>
          </w:p>
        </w:tc>
        <w:tc>
          <w:tcPr>
            <w:tcW w:w="640" w:type="dxa"/>
            <w:tcBorders>
              <w:top w:val="nil"/>
              <w:left w:val="nil"/>
              <w:bottom w:val="nil"/>
              <w:right w:val="nil"/>
            </w:tcBorders>
            <w:shd w:val="clear" w:color="auto" w:fill="auto"/>
            <w:noWrap/>
            <w:vAlign w:val="bottom"/>
            <w:hideMark/>
          </w:tcPr>
          <w:p w14:paraId="0E072AA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1 529</w:t>
            </w:r>
          </w:p>
        </w:tc>
        <w:tc>
          <w:tcPr>
            <w:tcW w:w="640" w:type="dxa"/>
            <w:tcBorders>
              <w:top w:val="nil"/>
              <w:left w:val="nil"/>
              <w:bottom w:val="nil"/>
              <w:right w:val="nil"/>
            </w:tcBorders>
            <w:shd w:val="clear" w:color="auto" w:fill="auto"/>
            <w:noWrap/>
            <w:vAlign w:val="bottom"/>
            <w:hideMark/>
          </w:tcPr>
          <w:p w14:paraId="43FCB2F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1 560</w:t>
            </w:r>
          </w:p>
        </w:tc>
        <w:tc>
          <w:tcPr>
            <w:tcW w:w="640" w:type="dxa"/>
            <w:tcBorders>
              <w:top w:val="nil"/>
              <w:left w:val="nil"/>
              <w:bottom w:val="nil"/>
              <w:right w:val="nil"/>
            </w:tcBorders>
            <w:shd w:val="clear" w:color="auto" w:fill="auto"/>
            <w:noWrap/>
            <w:vAlign w:val="bottom"/>
            <w:hideMark/>
          </w:tcPr>
          <w:p w14:paraId="506AAD8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1 491</w:t>
            </w:r>
          </w:p>
        </w:tc>
        <w:tc>
          <w:tcPr>
            <w:tcW w:w="640" w:type="dxa"/>
            <w:tcBorders>
              <w:top w:val="nil"/>
              <w:left w:val="nil"/>
              <w:bottom w:val="nil"/>
              <w:right w:val="nil"/>
            </w:tcBorders>
            <w:shd w:val="clear" w:color="auto" w:fill="auto"/>
            <w:noWrap/>
            <w:vAlign w:val="bottom"/>
            <w:hideMark/>
          </w:tcPr>
          <w:p w14:paraId="27911C2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1 038</w:t>
            </w:r>
          </w:p>
        </w:tc>
        <w:tc>
          <w:tcPr>
            <w:tcW w:w="640" w:type="dxa"/>
            <w:tcBorders>
              <w:top w:val="nil"/>
              <w:left w:val="nil"/>
              <w:bottom w:val="nil"/>
              <w:right w:val="nil"/>
            </w:tcBorders>
            <w:shd w:val="clear" w:color="auto" w:fill="auto"/>
            <w:noWrap/>
            <w:vAlign w:val="bottom"/>
            <w:hideMark/>
          </w:tcPr>
          <w:p w14:paraId="04F17F1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1 230</w:t>
            </w:r>
          </w:p>
        </w:tc>
        <w:tc>
          <w:tcPr>
            <w:tcW w:w="640" w:type="dxa"/>
            <w:tcBorders>
              <w:top w:val="nil"/>
              <w:left w:val="nil"/>
              <w:bottom w:val="nil"/>
              <w:right w:val="nil"/>
            </w:tcBorders>
            <w:shd w:val="clear" w:color="auto" w:fill="auto"/>
            <w:noWrap/>
            <w:vAlign w:val="bottom"/>
            <w:hideMark/>
          </w:tcPr>
          <w:p w14:paraId="3FA4C84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1 300</w:t>
            </w:r>
          </w:p>
        </w:tc>
        <w:tc>
          <w:tcPr>
            <w:tcW w:w="640" w:type="dxa"/>
            <w:tcBorders>
              <w:top w:val="nil"/>
              <w:left w:val="nil"/>
              <w:bottom w:val="nil"/>
              <w:right w:val="nil"/>
            </w:tcBorders>
            <w:shd w:val="clear" w:color="auto" w:fill="auto"/>
            <w:noWrap/>
            <w:vAlign w:val="bottom"/>
            <w:hideMark/>
          </w:tcPr>
          <w:p w14:paraId="2FA342F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1 586</w:t>
            </w:r>
          </w:p>
        </w:tc>
        <w:tc>
          <w:tcPr>
            <w:tcW w:w="640" w:type="dxa"/>
            <w:tcBorders>
              <w:top w:val="nil"/>
              <w:left w:val="nil"/>
              <w:bottom w:val="nil"/>
              <w:right w:val="nil"/>
            </w:tcBorders>
            <w:shd w:val="clear" w:color="auto" w:fill="auto"/>
            <w:noWrap/>
            <w:vAlign w:val="bottom"/>
            <w:hideMark/>
          </w:tcPr>
          <w:p w14:paraId="254D30B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2 928</w:t>
            </w:r>
          </w:p>
        </w:tc>
        <w:tc>
          <w:tcPr>
            <w:tcW w:w="640" w:type="dxa"/>
            <w:tcBorders>
              <w:top w:val="nil"/>
              <w:left w:val="nil"/>
              <w:bottom w:val="nil"/>
              <w:right w:val="nil"/>
            </w:tcBorders>
            <w:shd w:val="clear" w:color="auto" w:fill="auto"/>
            <w:noWrap/>
            <w:vAlign w:val="bottom"/>
            <w:hideMark/>
          </w:tcPr>
          <w:p w14:paraId="1D5373D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2 525</w:t>
            </w:r>
          </w:p>
        </w:tc>
        <w:tc>
          <w:tcPr>
            <w:tcW w:w="640" w:type="dxa"/>
            <w:tcBorders>
              <w:top w:val="nil"/>
              <w:left w:val="nil"/>
              <w:bottom w:val="nil"/>
              <w:right w:val="nil"/>
            </w:tcBorders>
            <w:shd w:val="clear" w:color="auto" w:fill="auto"/>
            <w:noWrap/>
            <w:vAlign w:val="bottom"/>
            <w:hideMark/>
          </w:tcPr>
          <w:p w14:paraId="258ED26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2 241</w:t>
            </w:r>
          </w:p>
        </w:tc>
        <w:tc>
          <w:tcPr>
            <w:tcW w:w="640" w:type="dxa"/>
            <w:tcBorders>
              <w:top w:val="nil"/>
              <w:left w:val="nil"/>
              <w:bottom w:val="nil"/>
              <w:right w:val="nil"/>
            </w:tcBorders>
            <w:shd w:val="clear" w:color="auto" w:fill="auto"/>
            <w:noWrap/>
            <w:vAlign w:val="bottom"/>
            <w:hideMark/>
          </w:tcPr>
          <w:p w14:paraId="732A52B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2 231</w:t>
            </w:r>
          </w:p>
        </w:tc>
      </w:tr>
      <w:tr w:rsidR="00FC4A41" w:rsidRPr="00FC4A41" w14:paraId="3A517A73" w14:textId="77777777" w:rsidTr="00FC4A41">
        <w:trPr>
          <w:trHeight w:val="259"/>
        </w:trPr>
        <w:tc>
          <w:tcPr>
            <w:tcW w:w="2420" w:type="dxa"/>
            <w:tcBorders>
              <w:top w:val="nil"/>
              <w:left w:val="nil"/>
              <w:bottom w:val="nil"/>
              <w:right w:val="nil"/>
            </w:tcBorders>
            <w:shd w:val="clear" w:color="000000" w:fill="FABF8F"/>
            <w:noWrap/>
            <w:vAlign w:val="bottom"/>
            <w:hideMark/>
          </w:tcPr>
          <w:p w14:paraId="7665C1E8"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México</w:t>
            </w:r>
          </w:p>
        </w:tc>
        <w:tc>
          <w:tcPr>
            <w:tcW w:w="640" w:type="dxa"/>
            <w:tcBorders>
              <w:top w:val="nil"/>
              <w:left w:val="nil"/>
              <w:bottom w:val="nil"/>
              <w:right w:val="nil"/>
            </w:tcBorders>
            <w:shd w:val="clear" w:color="auto" w:fill="auto"/>
            <w:noWrap/>
            <w:vAlign w:val="bottom"/>
            <w:hideMark/>
          </w:tcPr>
          <w:p w14:paraId="38CCCD2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2 623</w:t>
            </w:r>
          </w:p>
        </w:tc>
        <w:tc>
          <w:tcPr>
            <w:tcW w:w="640" w:type="dxa"/>
            <w:tcBorders>
              <w:top w:val="nil"/>
              <w:left w:val="nil"/>
              <w:bottom w:val="nil"/>
              <w:right w:val="nil"/>
            </w:tcBorders>
            <w:shd w:val="clear" w:color="auto" w:fill="auto"/>
            <w:noWrap/>
            <w:vAlign w:val="bottom"/>
            <w:hideMark/>
          </w:tcPr>
          <w:p w14:paraId="23E826C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2 907</w:t>
            </w:r>
          </w:p>
        </w:tc>
        <w:tc>
          <w:tcPr>
            <w:tcW w:w="640" w:type="dxa"/>
            <w:tcBorders>
              <w:top w:val="nil"/>
              <w:left w:val="nil"/>
              <w:bottom w:val="nil"/>
              <w:right w:val="nil"/>
            </w:tcBorders>
            <w:shd w:val="clear" w:color="auto" w:fill="auto"/>
            <w:noWrap/>
            <w:vAlign w:val="bottom"/>
            <w:hideMark/>
          </w:tcPr>
          <w:p w14:paraId="1C240AD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3 311</w:t>
            </w:r>
          </w:p>
        </w:tc>
        <w:tc>
          <w:tcPr>
            <w:tcW w:w="640" w:type="dxa"/>
            <w:tcBorders>
              <w:top w:val="nil"/>
              <w:left w:val="nil"/>
              <w:bottom w:val="nil"/>
              <w:right w:val="nil"/>
            </w:tcBorders>
            <w:shd w:val="clear" w:color="auto" w:fill="auto"/>
            <w:noWrap/>
            <w:vAlign w:val="bottom"/>
            <w:hideMark/>
          </w:tcPr>
          <w:p w14:paraId="2DC19C1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2 908</w:t>
            </w:r>
          </w:p>
        </w:tc>
        <w:tc>
          <w:tcPr>
            <w:tcW w:w="640" w:type="dxa"/>
            <w:tcBorders>
              <w:top w:val="nil"/>
              <w:left w:val="nil"/>
              <w:bottom w:val="nil"/>
              <w:right w:val="nil"/>
            </w:tcBorders>
            <w:shd w:val="clear" w:color="auto" w:fill="auto"/>
            <w:noWrap/>
            <w:vAlign w:val="bottom"/>
            <w:hideMark/>
          </w:tcPr>
          <w:p w14:paraId="778D4BE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2 693</w:t>
            </w:r>
          </w:p>
        </w:tc>
        <w:tc>
          <w:tcPr>
            <w:tcW w:w="640" w:type="dxa"/>
            <w:tcBorders>
              <w:top w:val="nil"/>
              <w:left w:val="nil"/>
              <w:bottom w:val="nil"/>
              <w:right w:val="nil"/>
            </w:tcBorders>
            <w:shd w:val="clear" w:color="auto" w:fill="auto"/>
            <w:noWrap/>
            <w:vAlign w:val="bottom"/>
            <w:hideMark/>
          </w:tcPr>
          <w:p w14:paraId="02A6F12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2 768</w:t>
            </w:r>
          </w:p>
        </w:tc>
        <w:tc>
          <w:tcPr>
            <w:tcW w:w="640" w:type="dxa"/>
            <w:tcBorders>
              <w:top w:val="nil"/>
              <w:left w:val="nil"/>
              <w:bottom w:val="nil"/>
              <w:right w:val="nil"/>
            </w:tcBorders>
            <w:shd w:val="clear" w:color="auto" w:fill="auto"/>
            <w:noWrap/>
            <w:vAlign w:val="bottom"/>
            <w:hideMark/>
          </w:tcPr>
          <w:p w14:paraId="597E639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3 076</w:t>
            </w:r>
          </w:p>
        </w:tc>
        <w:tc>
          <w:tcPr>
            <w:tcW w:w="640" w:type="dxa"/>
            <w:tcBorders>
              <w:top w:val="nil"/>
              <w:left w:val="nil"/>
              <w:bottom w:val="nil"/>
              <w:right w:val="nil"/>
            </w:tcBorders>
            <w:shd w:val="clear" w:color="auto" w:fill="auto"/>
            <w:noWrap/>
            <w:vAlign w:val="bottom"/>
            <w:hideMark/>
          </w:tcPr>
          <w:p w14:paraId="60BEC24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3 170</w:t>
            </w:r>
          </w:p>
        </w:tc>
        <w:tc>
          <w:tcPr>
            <w:tcW w:w="640" w:type="dxa"/>
            <w:tcBorders>
              <w:top w:val="nil"/>
              <w:left w:val="nil"/>
              <w:bottom w:val="nil"/>
              <w:right w:val="nil"/>
            </w:tcBorders>
            <w:shd w:val="clear" w:color="auto" w:fill="auto"/>
            <w:noWrap/>
            <w:vAlign w:val="bottom"/>
            <w:hideMark/>
          </w:tcPr>
          <w:p w14:paraId="1130711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3 242</w:t>
            </w:r>
          </w:p>
        </w:tc>
        <w:tc>
          <w:tcPr>
            <w:tcW w:w="640" w:type="dxa"/>
            <w:tcBorders>
              <w:top w:val="nil"/>
              <w:left w:val="nil"/>
              <w:bottom w:val="nil"/>
              <w:right w:val="nil"/>
            </w:tcBorders>
            <w:shd w:val="clear" w:color="auto" w:fill="auto"/>
            <w:noWrap/>
            <w:vAlign w:val="bottom"/>
            <w:hideMark/>
          </w:tcPr>
          <w:p w14:paraId="0A6F61E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3 089</w:t>
            </w:r>
          </w:p>
        </w:tc>
        <w:tc>
          <w:tcPr>
            <w:tcW w:w="640" w:type="dxa"/>
            <w:tcBorders>
              <w:top w:val="nil"/>
              <w:left w:val="nil"/>
              <w:bottom w:val="nil"/>
              <w:right w:val="nil"/>
            </w:tcBorders>
            <w:shd w:val="clear" w:color="auto" w:fill="auto"/>
            <w:noWrap/>
            <w:vAlign w:val="bottom"/>
            <w:hideMark/>
          </w:tcPr>
          <w:p w14:paraId="6E0B15D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3 114</w:t>
            </w:r>
          </w:p>
        </w:tc>
      </w:tr>
      <w:tr w:rsidR="00FC4A41" w:rsidRPr="00FC4A41" w14:paraId="5E655355" w14:textId="77777777" w:rsidTr="00FC4A41">
        <w:trPr>
          <w:trHeight w:val="259"/>
        </w:trPr>
        <w:tc>
          <w:tcPr>
            <w:tcW w:w="2420" w:type="dxa"/>
            <w:tcBorders>
              <w:top w:val="nil"/>
              <w:left w:val="nil"/>
              <w:bottom w:val="nil"/>
              <w:right w:val="nil"/>
            </w:tcBorders>
            <w:shd w:val="clear" w:color="000000" w:fill="FABF8F"/>
            <w:noWrap/>
            <w:vAlign w:val="bottom"/>
            <w:hideMark/>
          </w:tcPr>
          <w:p w14:paraId="62D3612C"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Michoacán de Ocampo</w:t>
            </w:r>
          </w:p>
        </w:tc>
        <w:tc>
          <w:tcPr>
            <w:tcW w:w="640" w:type="dxa"/>
            <w:tcBorders>
              <w:top w:val="nil"/>
              <w:left w:val="nil"/>
              <w:bottom w:val="nil"/>
              <w:right w:val="nil"/>
            </w:tcBorders>
            <w:shd w:val="clear" w:color="auto" w:fill="auto"/>
            <w:noWrap/>
            <w:vAlign w:val="bottom"/>
            <w:hideMark/>
          </w:tcPr>
          <w:p w14:paraId="6243B53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855</w:t>
            </w:r>
          </w:p>
        </w:tc>
        <w:tc>
          <w:tcPr>
            <w:tcW w:w="640" w:type="dxa"/>
            <w:tcBorders>
              <w:top w:val="nil"/>
              <w:left w:val="nil"/>
              <w:bottom w:val="nil"/>
              <w:right w:val="nil"/>
            </w:tcBorders>
            <w:shd w:val="clear" w:color="auto" w:fill="auto"/>
            <w:noWrap/>
            <w:vAlign w:val="bottom"/>
            <w:hideMark/>
          </w:tcPr>
          <w:p w14:paraId="5A8AFB5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827</w:t>
            </w:r>
          </w:p>
        </w:tc>
        <w:tc>
          <w:tcPr>
            <w:tcW w:w="640" w:type="dxa"/>
            <w:tcBorders>
              <w:top w:val="nil"/>
              <w:left w:val="nil"/>
              <w:bottom w:val="nil"/>
              <w:right w:val="nil"/>
            </w:tcBorders>
            <w:shd w:val="clear" w:color="auto" w:fill="auto"/>
            <w:noWrap/>
            <w:vAlign w:val="bottom"/>
            <w:hideMark/>
          </w:tcPr>
          <w:p w14:paraId="20D8C040"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922</w:t>
            </w:r>
          </w:p>
        </w:tc>
        <w:tc>
          <w:tcPr>
            <w:tcW w:w="640" w:type="dxa"/>
            <w:tcBorders>
              <w:top w:val="nil"/>
              <w:left w:val="nil"/>
              <w:bottom w:val="nil"/>
              <w:right w:val="nil"/>
            </w:tcBorders>
            <w:shd w:val="clear" w:color="auto" w:fill="auto"/>
            <w:noWrap/>
            <w:vAlign w:val="bottom"/>
            <w:hideMark/>
          </w:tcPr>
          <w:p w14:paraId="36541EF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932</w:t>
            </w:r>
          </w:p>
        </w:tc>
        <w:tc>
          <w:tcPr>
            <w:tcW w:w="640" w:type="dxa"/>
            <w:tcBorders>
              <w:top w:val="nil"/>
              <w:left w:val="nil"/>
              <w:bottom w:val="nil"/>
              <w:right w:val="nil"/>
            </w:tcBorders>
            <w:shd w:val="clear" w:color="auto" w:fill="auto"/>
            <w:noWrap/>
            <w:vAlign w:val="bottom"/>
            <w:hideMark/>
          </w:tcPr>
          <w:p w14:paraId="5434705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874</w:t>
            </w:r>
          </w:p>
        </w:tc>
        <w:tc>
          <w:tcPr>
            <w:tcW w:w="640" w:type="dxa"/>
            <w:tcBorders>
              <w:top w:val="nil"/>
              <w:left w:val="nil"/>
              <w:bottom w:val="nil"/>
              <w:right w:val="nil"/>
            </w:tcBorders>
            <w:shd w:val="clear" w:color="auto" w:fill="auto"/>
            <w:noWrap/>
            <w:vAlign w:val="bottom"/>
            <w:hideMark/>
          </w:tcPr>
          <w:p w14:paraId="7AC5F96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1 428</w:t>
            </w:r>
          </w:p>
        </w:tc>
        <w:tc>
          <w:tcPr>
            <w:tcW w:w="640" w:type="dxa"/>
            <w:tcBorders>
              <w:top w:val="nil"/>
              <w:left w:val="nil"/>
              <w:bottom w:val="nil"/>
              <w:right w:val="nil"/>
            </w:tcBorders>
            <w:shd w:val="clear" w:color="auto" w:fill="auto"/>
            <w:noWrap/>
            <w:vAlign w:val="bottom"/>
            <w:hideMark/>
          </w:tcPr>
          <w:p w14:paraId="17FD57F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1 732</w:t>
            </w:r>
          </w:p>
        </w:tc>
        <w:tc>
          <w:tcPr>
            <w:tcW w:w="640" w:type="dxa"/>
            <w:tcBorders>
              <w:top w:val="nil"/>
              <w:left w:val="nil"/>
              <w:bottom w:val="nil"/>
              <w:right w:val="nil"/>
            </w:tcBorders>
            <w:shd w:val="clear" w:color="auto" w:fill="auto"/>
            <w:noWrap/>
            <w:vAlign w:val="bottom"/>
            <w:hideMark/>
          </w:tcPr>
          <w:p w14:paraId="6D250C5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2 076</w:t>
            </w:r>
          </w:p>
        </w:tc>
        <w:tc>
          <w:tcPr>
            <w:tcW w:w="640" w:type="dxa"/>
            <w:tcBorders>
              <w:top w:val="nil"/>
              <w:left w:val="nil"/>
              <w:bottom w:val="nil"/>
              <w:right w:val="nil"/>
            </w:tcBorders>
            <w:shd w:val="clear" w:color="auto" w:fill="auto"/>
            <w:noWrap/>
            <w:vAlign w:val="bottom"/>
            <w:hideMark/>
          </w:tcPr>
          <w:p w14:paraId="4156CBA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2 462</w:t>
            </w:r>
          </w:p>
        </w:tc>
        <w:tc>
          <w:tcPr>
            <w:tcW w:w="640" w:type="dxa"/>
            <w:tcBorders>
              <w:top w:val="nil"/>
              <w:left w:val="nil"/>
              <w:bottom w:val="nil"/>
              <w:right w:val="nil"/>
            </w:tcBorders>
            <w:shd w:val="clear" w:color="auto" w:fill="auto"/>
            <w:noWrap/>
            <w:vAlign w:val="bottom"/>
            <w:hideMark/>
          </w:tcPr>
          <w:p w14:paraId="39D0B20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2 400</w:t>
            </w:r>
          </w:p>
        </w:tc>
        <w:tc>
          <w:tcPr>
            <w:tcW w:w="640" w:type="dxa"/>
            <w:tcBorders>
              <w:top w:val="nil"/>
              <w:left w:val="nil"/>
              <w:bottom w:val="nil"/>
              <w:right w:val="nil"/>
            </w:tcBorders>
            <w:shd w:val="clear" w:color="auto" w:fill="auto"/>
            <w:noWrap/>
            <w:vAlign w:val="bottom"/>
            <w:hideMark/>
          </w:tcPr>
          <w:p w14:paraId="164B360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2 691</w:t>
            </w:r>
          </w:p>
        </w:tc>
      </w:tr>
      <w:tr w:rsidR="00FC4A41" w:rsidRPr="00FC4A41" w14:paraId="73BB3A9F" w14:textId="77777777" w:rsidTr="00FC4A41">
        <w:trPr>
          <w:trHeight w:val="259"/>
        </w:trPr>
        <w:tc>
          <w:tcPr>
            <w:tcW w:w="2420" w:type="dxa"/>
            <w:tcBorders>
              <w:top w:val="nil"/>
              <w:left w:val="nil"/>
              <w:bottom w:val="nil"/>
              <w:right w:val="nil"/>
            </w:tcBorders>
            <w:shd w:val="clear" w:color="000000" w:fill="FABF8F"/>
            <w:noWrap/>
            <w:vAlign w:val="bottom"/>
            <w:hideMark/>
          </w:tcPr>
          <w:p w14:paraId="703AD013"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Morelos</w:t>
            </w:r>
          </w:p>
        </w:tc>
        <w:tc>
          <w:tcPr>
            <w:tcW w:w="640" w:type="dxa"/>
            <w:tcBorders>
              <w:top w:val="nil"/>
              <w:left w:val="nil"/>
              <w:bottom w:val="nil"/>
              <w:right w:val="nil"/>
            </w:tcBorders>
            <w:shd w:val="clear" w:color="auto" w:fill="auto"/>
            <w:noWrap/>
            <w:vAlign w:val="bottom"/>
            <w:hideMark/>
          </w:tcPr>
          <w:p w14:paraId="1B4D4DD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456</w:t>
            </w:r>
          </w:p>
        </w:tc>
        <w:tc>
          <w:tcPr>
            <w:tcW w:w="640" w:type="dxa"/>
            <w:tcBorders>
              <w:top w:val="nil"/>
              <w:left w:val="nil"/>
              <w:bottom w:val="nil"/>
              <w:right w:val="nil"/>
            </w:tcBorders>
            <w:shd w:val="clear" w:color="auto" w:fill="auto"/>
            <w:noWrap/>
            <w:vAlign w:val="bottom"/>
            <w:hideMark/>
          </w:tcPr>
          <w:p w14:paraId="7FAFB1A0"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671</w:t>
            </w:r>
          </w:p>
        </w:tc>
        <w:tc>
          <w:tcPr>
            <w:tcW w:w="640" w:type="dxa"/>
            <w:tcBorders>
              <w:top w:val="nil"/>
              <w:left w:val="nil"/>
              <w:bottom w:val="nil"/>
              <w:right w:val="nil"/>
            </w:tcBorders>
            <w:shd w:val="clear" w:color="auto" w:fill="auto"/>
            <w:noWrap/>
            <w:vAlign w:val="bottom"/>
            <w:hideMark/>
          </w:tcPr>
          <w:p w14:paraId="123E51B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629</w:t>
            </w:r>
          </w:p>
        </w:tc>
        <w:tc>
          <w:tcPr>
            <w:tcW w:w="640" w:type="dxa"/>
            <w:tcBorders>
              <w:top w:val="nil"/>
              <w:left w:val="nil"/>
              <w:bottom w:val="nil"/>
              <w:right w:val="nil"/>
            </w:tcBorders>
            <w:shd w:val="clear" w:color="auto" w:fill="auto"/>
            <w:noWrap/>
            <w:vAlign w:val="bottom"/>
            <w:hideMark/>
          </w:tcPr>
          <w:p w14:paraId="7BD2C15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438</w:t>
            </w:r>
          </w:p>
        </w:tc>
        <w:tc>
          <w:tcPr>
            <w:tcW w:w="640" w:type="dxa"/>
            <w:tcBorders>
              <w:top w:val="nil"/>
              <w:left w:val="nil"/>
              <w:bottom w:val="nil"/>
              <w:right w:val="nil"/>
            </w:tcBorders>
            <w:shd w:val="clear" w:color="auto" w:fill="auto"/>
            <w:noWrap/>
            <w:vAlign w:val="bottom"/>
            <w:hideMark/>
          </w:tcPr>
          <w:p w14:paraId="5F50D05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469</w:t>
            </w:r>
          </w:p>
        </w:tc>
        <w:tc>
          <w:tcPr>
            <w:tcW w:w="640" w:type="dxa"/>
            <w:tcBorders>
              <w:top w:val="nil"/>
              <w:left w:val="nil"/>
              <w:bottom w:val="nil"/>
              <w:right w:val="nil"/>
            </w:tcBorders>
            <w:shd w:val="clear" w:color="auto" w:fill="auto"/>
            <w:noWrap/>
            <w:vAlign w:val="bottom"/>
            <w:hideMark/>
          </w:tcPr>
          <w:p w14:paraId="3A56A05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659</w:t>
            </w:r>
          </w:p>
        </w:tc>
        <w:tc>
          <w:tcPr>
            <w:tcW w:w="640" w:type="dxa"/>
            <w:tcBorders>
              <w:top w:val="nil"/>
              <w:left w:val="nil"/>
              <w:bottom w:val="nil"/>
              <w:right w:val="nil"/>
            </w:tcBorders>
            <w:shd w:val="clear" w:color="auto" w:fill="auto"/>
            <w:noWrap/>
            <w:vAlign w:val="bottom"/>
            <w:hideMark/>
          </w:tcPr>
          <w:p w14:paraId="2852A6B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654</w:t>
            </w:r>
          </w:p>
        </w:tc>
        <w:tc>
          <w:tcPr>
            <w:tcW w:w="640" w:type="dxa"/>
            <w:tcBorders>
              <w:top w:val="nil"/>
              <w:left w:val="nil"/>
              <w:bottom w:val="nil"/>
              <w:right w:val="nil"/>
            </w:tcBorders>
            <w:shd w:val="clear" w:color="auto" w:fill="auto"/>
            <w:noWrap/>
            <w:vAlign w:val="bottom"/>
            <w:hideMark/>
          </w:tcPr>
          <w:p w14:paraId="05D2844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823</w:t>
            </w:r>
          </w:p>
        </w:tc>
        <w:tc>
          <w:tcPr>
            <w:tcW w:w="640" w:type="dxa"/>
            <w:tcBorders>
              <w:top w:val="nil"/>
              <w:left w:val="nil"/>
              <w:bottom w:val="nil"/>
              <w:right w:val="nil"/>
            </w:tcBorders>
            <w:shd w:val="clear" w:color="auto" w:fill="auto"/>
            <w:noWrap/>
            <w:vAlign w:val="bottom"/>
            <w:hideMark/>
          </w:tcPr>
          <w:p w14:paraId="7829BB2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1 059</w:t>
            </w:r>
          </w:p>
        </w:tc>
        <w:tc>
          <w:tcPr>
            <w:tcW w:w="640" w:type="dxa"/>
            <w:tcBorders>
              <w:top w:val="nil"/>
              <w:left w:val="nil"/>
              <w:bottom w:val="nil"/>
              <w:right w:val="nil"/>
            </w:tcBorders>
            <w:shd w:val="clear" w:color="auto" w:fill="auto"/>
            <w:noWrap/>
            <w:vAlign w:val="bottom"/>
            <w:hideMark/>
          </w:tcPr>
          <w:p w14:paraId="73FD06A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988</w:t>
            </w:r>
          </w:p>
        </w:tc>
        <w:tc>
          <w:tcPr>
            <w:tcW w:w="640" w:type="dxa"/>
            <w:tcBorders>
              <w:top w:val="nil"/>
              <w:left w:val="nil"/>
              <w:bottom w:val="nil"/>
              <w:right w:val="nil"/>
            </w:tcBorders>
            <w:shd w:val="clear" w:color="auto" w:fill="auto"/>
            <w:noWrap/>
            <w:vAlign w:val="bottom"/>
            <w:hideMark/>
          </w:tcPr>
          <w:p w14:paraId="4CF525E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1 198</w:t>
            </w:r>
          </w:p>
        </w:tc>
      </w:tr>
      <w:tr w:rsidR="00FC4A41" w:rsidRPr="00FC4A41" w14:paraId="4183F93F" w14:textId="77777777" w:rsidTr="00FC4A41">
        <w:trPr>
          <w:trHeight w:val="259"/>
        </w:trPr>
        <w:tc>
          <w:tcPr>
            <w:tcW w:w="2420" w:type="dxa"/>
            <w:tcBorders>
              <w:top w:val="nil"/>
              <w:left w:val="nil"/>
              <w:bottom w:val="nil"/>
              <w:right w:val="nil"/>
            </w:tcBorders>
            <w:shd w:val="clear" w:color="000000" w:fill="FABF8F"/>
            <w:noWrap/>
            <w:vAlign w:val="bottom"/>
            <w:hideMark/>
          </w:tcPr>
          <w:p w14:paraId="70C4D8B3"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Nayarit</w:t>
            </w:r>
          </w:p>
        </w:tc>
        <w:tc>
          <w:tcPr>
            <w:tcW w:w="640" w:type="dxa"/>
            <w:tcBorders>
              <w:top w:val="nil"/>
              <w:left w:val="nil"/>
              <w:bottom w:val="nil"/>
              <w:right w:val="nil"/>
            </w:tcBorders>
            <w:shd w:val="clear" w:color="auto" w:fill="auto"/>
            <w:noWrap/>
            <w:vAlign w:val="bottom"/>
            <w:hideMark/>
          </w:tcPr>
          <w:p w14:paraId="4ABA3D7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587</w:t>
            </w:r>
          </w:p>
        </w:tc>
        <w:tc>
          <w:tcPr>
            <w:tcW w:w="640" w:type="dxa"/>
            <w:tcBorders>
              <w:top w:val="nil"/>
              <w:left w:val="nil"/>
              <w:bottom w:val="nil"/>
              <w:right w:val="nil"/>
            </w:tcBorders>
            <w:shd w:val="clear" w:color="auto" w:fill="auto"/>
            <w:noWrap/>
            <w:vAlign w:val="bottom"/>
            <w:hideMark/>
          </w:tcPr>
          <w:p w14:paraId="65D3FFF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285</w:t>
            </w:r>
          </w:p>
        </w:tc>
        <w:tc>
          <w:tcPr>
            <w:tcW w:w="640" w:type="dxa"/>
            <w:tcBorders>
              <w:top w:val="nil"/>
              <w:left w:val="nil"/>
              <w:bottom w:val="nil"/>
              <w:right w:val="nil"/>
            </w:tcBorders>
            <w:shd w:val="clear" w:color="auto" w:fill="auto"/>
            <w:noWrap/>
            <w:vAlign w:val="bottom"/>
            <w:hideMark/>
          </w:tcPr>
          <w:p w14:paraId="110FF13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224</w:t>
            </w:r>
          </w:p>
        </w:tc>
        <w:tc>
          <w:tcPr>
            <w:tcW w:w="640" w:type="dxa"/>
            <w:tcBorders>
              <w:top w:val="nil"/>
              <w:left w:val="nil"/>
              <w:bottom w:val="nil"/>
              <w:right w:val="nil"/>
            </w:tcBorders>
            <w:shd w:val="clear" w:color="auto" w:fill="auto"/>
            <w:noWrap/>
            <w:vAlign w:val="bottom"/>
            <w:hideMark/>
          </w:tcPr>
          <w:p w14:paraId="2BA4905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174</w:t>
            </w:r>
          </w:p>
        </w:tc>
        <w:tc>
          <w:tcPr>
            <w:tcW w:w="640" w:type="dxa"/>
            <w:tcBorders>
              <w:top w:val="nil"/>
              <w:left w:val="nil"/>
              <w:bottom w:val="nil"/>
              <w:right w:val="nil"/>
            </w:tcBorders>
            <w:shd w:val="clear" w:color="auto" w:fill="auto"/>
            <w:noWrap/>
            <w:vAlign w:val="bottom"/>
            <w:hideMark/>
          </w:tcPr>
          <w:p w14:paraId="6341FB2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144</w:t>
            </w:r>
          </w:p>
        </w:tc>
        <w:tc>
          <w:tcPr>
            <w:tcW w:w="640" w:type="dxa"/>
            <w:tcBorders>
              <w:top w:val="nil"/>
              <w:left w:val="nil"/>
              <w:bottom w:val="nil"/>
              <w:right w:val="nil"/>
            </w:tcBorders>
            <w:shd w:val="clear" w:color="auto" w:fill="auto"/>
            <w:noWrap/>
            <w:vAlign w:val="bottom"/>
            <w:hideMark/>
          </w:tcPr>
          <w:p w14:paraId="754DAF3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149</w:t>
            </w:r>
          </w:p>
        </w:tc>
        <w:tc>
          <w:tcPr>
            <w:tcW w:w="640" w:type="dxa"/>
            <w:tcBorders>
              <w:top w:val="nil"/>
              <w:left w:val="nil"/>
              <w:bottom w:val="nil"/>
              <w:right w:val="nil"/>
            </w:tcBorders>
            <w:shd w:val="clear" w:color="auto" w:fill="auto"/>
            <w:noWrap/>
            <w:vAlign w:val="bottom"/>
            <w:hideMark/>
          </w:tcPr>
          <w:p w14:paraId="4047777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474</w:t>
            </w:r>
          </w:p>
        </w:tc>
        <w:tc>
          <w:tcPr>
            <w:tcW w:w="640" w:type="dxa"/>
            <w:tcBorders>
              <w:top w:val="nil"/>
              <w:left w:val="nil"/>
              <w:bottom w:val="nil"/>
              <w:right w:val="nil"/>
            </w:tcBorders>
            <w:shd w:val="clear" w:color="auto" w:fill="auto"/>
            <w:noWrap/>
            <w:vAlign w:val="bottom"/>
            <w:hideMark/>
          </w:tcPr>
          <w:p w14:paraId="10C004B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397</w:t>
            </w:r>
          </w:p>
        </w:tc>
        <w:tc>
          <w:tcPr>
            <w:tcW w:w="640" w:type="dxa"/>
            <w:tcBorders>
              <w:top w:val="nil"/>
              <w:left w:val="nil"/>
              <w:bottom w:val="nil"/>
              <w:right w:val="nil"/>
            </w:tcBorders>
            <w:shd w:val="clear" w:color="auto" w:fill="auto"/>
            <w:noWrap/>
            <w:vAlign w:val="bottom"/>
            <w:hideMark/>
          </w:tcPr>
          <w:p w14:paraId="31811E6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218</w:t>
            </w:r>
          </w:p>
        </w:tc>
        <w:tc>
          <w:tcPr>
            <w:tcW w:w="640" w:type="dxa"/>
            <w:tcBorders>
              <w:top w:val="nil"/>
              <w:left w:val="nil"/>
              <w:bottom w:val="nil"/>
              <w:right w:val="nil"/>
            </w:tcBorders>
            <w:shd w:val="clear" w:color="auto" w:fill="auto"/>
            <w:noWrap/>
            <w:vAlign w:val="bottom"/>
            <w:hideMark/>
          </w:tcPr>
          <w:p w14:paraId="4177DA9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185</w:t>
            </w:r>
          </w:p>
        </w:tc>
        <w:tc>
          <w:tcPr>
            <w:tcW w:w="640" w:type="dxa"/>
            <w:tcBorders>
              <w:top w:val="nil"/>
              <w:left w:val="nil"/>
              <w:bottom w:val="nil"/>
              <w:right w:val="nil"/>
            </w:tcBorders>
            <w:shd w:val="clear" w:color="auto" w:fill="auto"/>
            <w:noWrap/>
            <w:vAlign w:val="bottom"/>
            <w:hideMark/>
          </w:tcPr>
          <w:p w14:paraId="2E099AC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221</w:t>
            </w:r>
          </w:p>
        </w:tc>
      </w:tr>
      <w:tr w:rsidR="00FC4A41" w:rsidRPr="00FC4A41" w14:paraId="18921085" w14:textId="77777777" w:rsidTr="00FC4A41">
        <w:trPr>
          <w:trHeight w:val="259"/>
        </w:trPr>
        <w:tc>
          <w:tcPr>
            <w:tcW w:w="2420" w:type="dxa"/>
            <w:tcBorders>
              <w:top w:val="nil"/>
              <w:left w:val="nil"/>
              <w:bottom w:val="nil"/>
              <w:right w:val="nil"/>
            </w:tcBorders>
            <w:shd w:val="clear" w:color="000000" w:fill="FABF8F"/>
            <w:noWrap/>
            <w:vAlign w:val="bottom"/>
            <w:hideMark/>
          </w:tcPr>
          <w:p w14:paraId="7EFDB2C2"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Nuevo León</w:t>
            </w:r>
          </w:p>
        </w:tc>
        <w:tc>
          <w:tcPr>
            <w:tcW w:w="640" w:type="dxa"/>
            <w:tcBorders>
              <w:top w:val="nil"/>
              <w:left w:val="nil"/>
              <w:bottom w:val="nil"/>
              <w:right w:val="nil"/>
            </w:tcBorders>
            <w:shd w:val="clear" w:color="auto" w:fill="auto"/>
            <w:noWrap/>
            <w:vAlign w:val="bottom"/>
            <w:hideMark/>
          </w:tcPr>
          <w:p w14:paraId="65BFCA9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2 174</w:t>
            </w:r>
          </w:p>
        </w:tc>
        <w:tc>
          <w:tcPr>
            <w:tcW w:w="640" w:type="dxa"/>
            <w:tcBorders>
              <w:top w:val="nil"/>
              <w:left w:val="nil"/>
              <w:bottom w:val="nil"/>
              <w:right w:val="nil"/>
            </w:tcBorders>
            <w:shd w:val="clear" w:color="auto" w:fill="auto"/>
            <w:noWrap/>
            <w:vAlign w:val="bottom"/>
            <w:hideMark/>
          </w:tcPr>
          <w:p w14:paraId="09CCD8E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1 832</w:t>
            </w:r>
          </w:p>
        </w:tc>
        <w:tc>
          <w:tcPr>
            <w:tcW w:w="640" w:type="dxa"/>
            <w:tcBorders>
              <w:top w:val="nil"/>
              <w:left w:val="nil"/>
              <w:bottom w:val="nil"/>
              <w:right w:val="nil"/>
            </w:tcBorders>
            <w:shd w:val="clear" w:color="auto" w:fill="auto"/>
            <w:noWrap/>
            <w:vAlign w:val="bottom"/>
            <w:hideMark/>
          </w:tcPr>
          <w:p w14:paraId="12A9F70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926</w:t>
            </w:r>
          </w:p>
        </w:tc>
        <w:tc>
          <w:tcPr>
            <w:tcW w:w="640" w:type="dxa"/>
            <w:tcBorders>
              <w:top w:val="nil"/>
              <w:left w:val="nil"/>
              <w:bottom w:val="nil"/>
              <w:right w:val="nil"/>
            </w:tcBorders>
            <w:shd w:val="clear" w:color="auto" w:fill="auto"/>
            <w:noWrap/>
            <w:vAlign w:val="bottom"/>
            <w:hideMark/>
          </w:tcPr>
          <w:p w14:paraId="1D768A9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574</w:t>
            </w:r>
          </w:p>
        </w:tc>
        <w:tc>
          <w:tcPr>
            <w:tcW w:w="640" w:type="dxa"/>
            <w:tcBorders>
              <w:top w:val="nil"/>
              <w:left w:val="nil"/>
              <w:bottom w:val="nil"/>
              <w:right w:val="nil"/>
            </w:tcBorders>
            <w:shd w:val="clear" w:color="auto" w:fill="auto"/>
            <w:noWrap/>
            <w:vAlign w:val="bottom"/>
            <w:hideMark/>
          </w:tcPr>
          <w:p w14:paraId="67B0259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473</w:t>
            </w:r>
          </w:p>
        </w:tc>
        <w:tc>
          <w:tcPr>
            <w:tcW w:w="640" w:type="dxa"/>
            <w:tcBorders>
              <w:top w:val="nil"/>
              <w:left w:val="nil"/>
              <w:bottom w:val="nil"/>
              <w:right w:val="nil"/>
            </w:tcBorders>
            <w:shd w:val="clear" w:color="auto" w:fill="auto"/>
            <w:noWrap/>
            <w:vAlign w:val="bottom"/>
            <w:hideMark/>
          </w:tcPr>
          <w:p w14:paraId="6B9EDE0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627</w:t>
            </w:r>
          </w:p>
        </w:tc>
        <w:tc>
          <w:tcPr>
            <w:tcW w:w="640" w:type="dxa"/>
            <w:tcBorders>
              <w:top w:val="nil"/>
              <w:left w:val="nil"/>
              <w:bottom w:val="nil"/>
              <w:right w:val="nil"/>
            </w:tcBorders>
            <w:shd w:val="clear" w:color="auto" w:fill="auto"/>
            <w:noWrap/>
            <w:vAlign w:val="bottom"/>
            <w:hideMark/>
          </w:tcPr>
          <w:p w14:paraId="48B9B4D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664</w:t>
            </w:r>
          </w:p>
        </w:tc>
        <w:tc>
          <w:tcPr>
            <w:tcW w:w="640" w:type="dxa"/>
            <w:tcBorders>
              <w:top w:val="nil"/>
              <w:left w:val="nil"/>
              <w:bottom w:val="nil"/>
              <w:right w:val="nil"/>
            </w:tcBorders>
            <w:shd w:val="clear" w:color="auto" w:fill="auto"/>
            <w:noWrap/>
            <w:vAlign w:val="bottom"/>
            <w:hideMark/>
          </w:tcPr>
          <w:p w14:paraId="175CBD8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850</w:t>
            </w:r>
          </w:p>
        </w:tc>
        <w:tc>
          <w:tcPr>
            <w:tcW w:w="640" w:type="dxa"/>
            <w:tcBorders>
              <w:top w:val="nil"/>
              <w:left w:val="nil"/>
              <w:bottom w:val="nil"/>
              <w:right w:val="nil"/>
            </w:tcBorders>
            <w:shd w:val="clear" w:color="auto" w:fill="auto"/>
            <w:noWrap/>
            <w:vAlign w:val="bottom"/>
            <w:hideMark/>
          </w:tcPr>
          <w:p w14:paraId="5BDFE12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987</w:t>
            </w:r>
          </w:p>
        </w:tc>
        <w:tc>
          <w:tcPr>
            <w:tcW w:w="640" w:type="dxa"/>
            <w:tcBorders>
              <w:top w:val="nil"/>
              <w:left w:val="nil"/>
              <w:bottom w:val="nil"/>
              <w:right w:val="nil"/>
            </w:tcBorders>
            <w:shd w:val="clear" w:color="auto" w:fill="auto"/>
            <w:noWrap/>
            <w:vAlign w:val="bottom"/>
            <w:hideMark/>
          </w:tcPr>
          <w:p w14:paraId="36CE3BD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919</w:t>
            </w:r>
          </w:p>
        </w:tc>
        <w:tc>
          <w:tcPr>
            <w:tcW w:w="640" w:type="dxa"/>
            <w:tcBorders>
              <w:top w:val="nil"/>
              <w:left w:val="nil"/>
              <w:bottom w:val="nil"/>
              <w:right w:val="nil"/>
            </w:tcBorders>
            <w:shd w:val="clear" w:color="auto" w:fill="auto"/>
            <w:noWrap/>
            <w:vAlign w:val="bottom"/>
            <w:hideMark/>
          </w:tcPr>
          <w:p w14:paraId="20DB4FD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1 065</w:t>
            </w:r>
          </w:p>
        </w:tc>
      </w:tr>
      <w:tr w:rsidR="00FC4A41" w:rsidRPr="00FC4A41" w14:paraId="7656A2A9" w14:textId="77777777" w:rsidTr="00FC4A41">
        <w:trPr>
          <w:trHeight w:val="259"/>
        </w:trPr>
        <w:tc>
          <w:tcPr>
            <w:tcW w:w="2420" w:type="dxa"/>
            <w:tcBorders>
              <w:top w:val="nil"/>
              <w:left w:val="nil"/>
              <w:bottom w:val="nil"/>
              <w:right w:val="nil"/>
            </w:tcBorders>
            <w:shd w:val="clear" w:color="000000" w:fill="FABF8F"/>
            <w:noWrap/>
            <w:vAlign w:val="bottom"/>
            <w:hideMark/>
          </w:tcPr>
          <w:p w14:paraId="36908101"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Oaxaca</w:t>
            </w:r>
          </w:p>
        </w:tc>
        <w:tc>
          <w:tcPr>
            <w:tcW w:w="640" w:type="dxa"/>
            <w:tcBorders>
              <w:top w:val="nil"/>
              <w:left w:val="nil"/>
              <w:bottom w:val="nil"/>
              <w:right w:val="nil"/>
            </w:tcBorders>
            <w:shd w:val="clear" w:color="auto" w:fill="auto"/>
            <w:noWrap/>
            <w:vAlign w:val="bottom"/>
            <w:hideMark/>
          </w:tcPr>
          <w:p w14:paraId="60B1D02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682</w:t>
            </w:r>
          </w:p>
        </w:tc>
        <w:tc>
          <w:tcPr>
            <w:tcW w:w="640" w:type="dxa"/>
            <w:tcBorders>
              <w:top w:val="nil"/>
              <w:left w:val="nil"/>
              <w:bottom w:val="nil"/>
              <w:right w:val="nil"/>
            </w:tcBorders>
            <w:shd w:val="clear" w:color="auto" w:fill="auto"/>
            <w:noWrap/>
            <w:vAlign w:val="bottom"/>
            <w:hideMark/>
          </w:tcPr>
          <w:p w14:paraId="208BBC1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695</w:t>
            </w:r>
          </w:p>
        </w:tc>
        <w:tc>
          <w:tcPr>
            <w:tcW w:w="640" w:type="dxa"/>
            <w:tcBorders>
              <w:top w:val="nil"/>
              <w:left w:val="nil"/>
              <w:bottom w:val="nil"/>
              <w:right w:val="nil"/>
            </w:tcBorders>
            <w:shd w:val="clear" w:color="auto" w:fill="auto"/>
            <w:noWrap/>
            <w:vAlign w:val="bottom"/>
            <w:hideMark/>
          </w:tcPr>
          <w:p w14:paraId="2BBAA5B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762</w:t>
            </w:r>
          </w:p>
        </w:tc>
        <w:tc>
          <w:tcPr>
            <w:tcW w:w="640" w:type="dxa"/>
            <w:tcBorders>
              <w:top w:val="nil"/>
              <w:left w:val="nil"/>
              <w:bottom w:val="nil"/>
              <w:right w:val="nil"/>
            </w:tcBorders>
            <w:shd w:val="clear" w:color="auto" w:fill="auto"/>
            <w:noWrap/>
            <w:vAlign w:val="bottom"/>
            <w:hideMark/>
          </w:tcPr>
          <w:p w14:paraId="3274AA5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745</w:t>
            </w:r>
          </w:p>
        </w:tc>
        <w:tc>
          <w:tcPr>
            <w:tcW w:w="640" w:type="dxa"/>
            <w:tcBorders>
              <w:top w:val="nil"/>
              <w:left w:val="nil"/>
              <w:bottom w:val="nil"/>
              <w:right w:val="nil"/>
            </w:tcBorders>
            <w:shd w:val="clear" w:color="auto" w:fill="auto"/>
            <w:noWrap/>
            <w:vAlign w:val="bottom"/>
            <w:hideMark/>
          </w:tcPr>
          <w:p w14:paraId="40B76FF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808</w:t>
            </w:r>
          </w:p>
        </w:tc>
        <w:tc>
          <w:tcPr>
            <w:tcW w:w="640" w:type="dxa"/>
            <w:tcBorders>
              <w:top w:val="nil"/>
              <w:left w:val="nil"/>
              <w:bottom w:val="nil"/>
              <w:right w:val="nil"/>
            </w:tcBorders>
            <w:shd w:val="clear" w:color="auto" w:fill="auto"/>
            <w:noWrap/>
            <w:vAlign w:val="bottom"/>
            <w:hideMark/>
          </w:tcPr>
          <w:p w14:paraId="584E746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796</w:t>
            </w:r>
          </w:p>
        </w:tc>
        <w:tc>
          <w:tcPr>
            <w:tcW w:w="640" w:type="dxa"/>
            <w:tcBorders>
              <w:top w:val="nil"/>
              <w:left w:val="nil"/>
              <w:bottom w:val="nil"/>
              <w:right w:val="nil"/>
            </w:tcBorders>
            <w:shd w:val="clear" w:color="auto" w:fill="auto"/>
            <w:noWrap/>
            <w:vAlign w:val="bottom"/>
            <w:hideMark/>
          </w:tcPr>
          <w:p w14:paraId="54D5477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1 018</w:t>
            </w:r>
          </w:p>
        </w:tc>
        <w:tc>
          <w:tcPr>
            <w:tcW w:w="640" w:type="dxa"/>
            <w:tcBorders>
              <w:top w:val="nil"/>
              <w:left w:val="nil"/>
              <w:bottom w:val="nil"/>
              <w:right w:val="nil"/>
            </w:tcBorders>
            <w:shd w:val="clear" w:color="auto" w:fill="auto"/>
            <w:noWrap/>
            <w:vAlign w:val="bottom"/>
            <w:hideMark/>
          </w:tcPr>
          <w:p w14:paraId="1522D60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1 128</w:t>
            </w:r>
          </w:p>
        </w:tc>
        <w:tc>
          <w:tcPr>
            <w:tcW w:w="640" w:type="dxa"/>
            <w:tcBorders>
              <w:top w:val="nil"/>
              <w:left w:val="nil"/>
              <w:bottom w:val="nil"/>
              <w:right w:val="nil"/>
            </w:tcBorders>
            <w:shd w:val="clear" w:color="auto" w:fill="auto"/>
            <w:noWrap/>
            <w:vAlign w:val="bottom"/>
            <w:hideMark/>
          </w:tcPr>
          <w:p w14:paraId="747A914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1 164</w:t>
            </w:r>
          </w:p>
        </w:tc>
        <w:tc>
          <w:tcPr>
            <w:tcW w:w="640" w:type="dxa"/>
            <w:tcBorders>
              <w:top w:val="nil"/>
              <w:left w:val="nil"/>
              <w:bottom w:val="nil"/>
              <w:right w:val="nil"/>
            </w:tcBorders>
            <w:shd w:val="clear" w:color="auto" w:fill="auto"/>
            <w:noWrap/>
            <w:vAlign w:val="bottom"/>
            <w:hideMark/>
          </w:tcPr>
          <w:p w14:paraId="1D253C5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875</w:t>
            </w:r>
          </w:p>
        </w:tc>
        <w:tc>
          <w:tcPr>
            <w:tcW w:w="640" w:type="dxa"/>
            <w:tcBorders>
              <w:top w:val="nil"/>
              <w:left w:val="nil"/>
              <w:bottom w:val="nil"/>
              <w:right w:val="nil"/>
            </w:tcBorders>
            <w:shd w:val="clear" w:color="auto" w:fill="auto"/>
            <w:noWrap/>
            <w:vAlign w:val="bottom"/>
            <w:hideMark/>
          </w:tcPr>
          <w:p w14:paraId="3888E21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783</w:t>
            </w:r>
          </w:p>
        </w:tc>
      </w:tr>
      <w:tr w:rsidR="00FC4A41" w:rsidRPr="00FC4A41" w14:paraId="79E90242" w14:textId="77777777" w:rsidTr="00FC4A41">
        <w:trPr>
          <w:trHeight w:val="259"/>
        </w:trPr>
        <w:tc>
          <w:tcPr>
            <w:tcW w:w="2420" w:type="dxa"/>
            <w:tcBorders>
              <w:top w:val="nil"/>
              <w:left w:val="nil"/>
              <w:bottom w:val="nil"/>
              <w:right w:val="nil"/>
            </w:tcBorders>
            <w:shd w:val="clear" w:color="000000" w:fill="FABF8F"/>
            <w:noWrap/>
            <w:vAlign w:val="bottom"/>
            <w:hideMark/>
          </w:tcPr>
          <w:p w14:paraId="74AB1578"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Puebla</w:t>
            </w:r>
          </w:p>
        </w:tc>
        <w:tc>
          <w:tcPr>
            <w:tcW w:w="640" w:type="dxa"/>
            <w:tcBorders>
              <w:top w:val="nil"/>
              <w:left w:val="nil"/>
              <w:bottom w:val="nil"/>
              <w:right w:val="nil"/>
            </w:tcBorders>
            <w:shd w:val="clear" w:color="auto" w:fill="auto"/>
            <w:noWrap/>
            <w:vAlign w:val="bottom"/>
            <w:hideMark/>
          </w:tcPr>
          <w:p w14:paraId="626381F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437</w:t>
            </w:r>
          </w:p>
        </w:tc>
        <w:tc>
          <w:tcPr>
            <w:tcW w:w="640" w:type="dxa"/>
            <w:tcBorders>
              <w:top w:val="nil"/>
              <w:left w:val="nil"/>
              <w:bottom w:val="nil"/>
              <w:right w:val="nil"/>
            </w:tcBorders>
            <w:shd w:val="clear" w:color="auto" w:fill="auto"/>
            <w:noWrap/>
            <w:vAlign w:val="bottom"/>
            <w:hideMark/>
          </w:tcPr>
          <w:p w14:paraId="1E7DFE2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465</w:t>
            </w:r>
          </w:p>
        </w:tc>
        <w:tc>
          <w:tcPr>
            <w:tcW w:w="640" w:type="dxa"/>
            <w:tcBorders>
              <w:top w:val="nil"/>
              <w:left w:val="nil"/>
              <w:bottom w:val="nil"/>
              <w:right w:val="nil"/>
            </w:tcBorders>
            <w:shd w:val="clear" w:color="auto" w:fill="auto"/>
            <w:noWrap/>
            <w:vAlign w:val="bottom"/>
            <w:hideMark/>
          </w:tcPr>
          <w:p w14:paraId="628C100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557</w:t>
            </w:r>
          </w:p>
        </w:tc>
        <w:tc>
          <w:tcPr>
            <w:tcW w:w="640" w:type="dxa"/>
            <w:tcBorders>
              <w:top w:val="nil"/>
              <w:left w:val="nil"/>
              <w:bottom w:val="nil"/>
              <w:right w:val="nil"/>
            </w:tcBorders>
            <w:shd w:val="clear" w:color="auto" w:fill="auto"/>
            <w:noWrap/>
            <w:vAlign w:val="bottom"/>
            <w:hideMark/>
          </w:tcPr>
          <w:p w14:paraId="3250ECE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568</w:t>
            </w:r>
          </w:p>
        </w:tc>
        <w:tc>
          <w:tcPr>
            <w:tcW w:w="640" w:type="dxa"/>
            <w:tcBorders>
              <w:top w:val="nil"/>
              <w:left w:val="nil"/>
              <w:bottom w:val="nil"/>
              <w:right w:val="nil"/>
            </w:tcBorders>
            <w:shd w:val="clear" w:color="auto" w:fill="auto"/>
            <w:noWrap/>
            <w:vAlign w:val="bottom"/>
            <w:hideMark/>
          </w:tcPr>
          <w:p w14:paraId="659C875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632</w:t>
            </w:r>
          </w:p>
        </w:tc>
        <w:tc>
          <w:tcPr>
            <w:tcW w:w="640" w:type="dxa"/>
            <w:tcBorders>
              <w:top w:val="nil"/>
              <w:left w:val="nil"/>
              <w:bottom w:val="nil"/>
              <w:right w:val="nil"/>
            </w:tcBorders>
            <w:shd w:val="clear" w:color="auto" w:fill="auto"/>
            <w:noWrap/>
            <w:vAlign w:val="bottom"/>
            <w:hideMark/>
          </w:tcPr>
          <w:p w14:paraId="410134B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735</w:t>
            </w:r>
          </w:p>
        </w:tc>
        <w:tc>
          <w:tcPr>
            <w:tcW w:w="640" w:type="dxa"/>
            <w:tcBorders>
              <w:top w:val="nil"/>
              <w:left w:val="nil"/>
              <w:bottom w:val="nil"/>
              <w:right w:val="nil"/>
            </w:tcBorders>
            <w:shd w:val="clear" w:color="auto" w:fill="auto"/>
            <w:noWrap/>
            <w:vAlign w:val="bottom"/>
            <w:hideMark/>
          </w:tcPr>
          <w:p w14:paraId="6650A3C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1 083</w:t>
            </w:r>
          </w:p>
        </w:tc>
        <w:tc>
          <w:tcPr>
            <w:tcW w:w="640" w:type="dxa"/>
            <w:tcBorders>
              <w:top w:val="nil"/>
              <w:left w:val="nil"/>
              <w:bottom w:val="nil"/>
              <w:right w:val="nil"/>
            </w:tcBorders>
            <w:shd w:val="clear" w:color="auto" w:fill="auto"/>
            <w:noWrap/>
            <w:vAlign w:val="bottom"/>
            <w:hideMark/>
          </w:tcPr>
          <w:p w14:paraId="3EA7EBD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1 249</w:t>
            </w:r>
          </w:p>
        </w:tc>
        <w:tc>
          <w:tcPr>
            <w:tcW w:w="640" w:type="dxa"/>
            <w:tcBorders>
              <w:top w:val="nil"/>
              <w:left w:val="nil"/>
              <w:bottom w:val="nil"/>
              <w:right w:val="nil"/>
            </w:tcBorders>
            <w:shd w:val="clear" w:color="auto" w:fill="auto"/>
            <w:noWrap/>
            <w:vAlign w:val="bottom"/>
            <w:hideMark/>
          </w:tcPr>
          <w:p w14:paraId="4B0ED20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1 274</w:t>
            </w:r>
          </w:p>
        </w:tc>
        <w:tc>
          <w:tcPr>
            <w:tcW w:w="640" w:type="dxa"/>
            <w:tcBorders>
              <w:top w:val="nil"/>
              <w:left w:val="nil"/>
              <w:bottom w:val="nil"/>
              <w:right w:val="nil"/>
            </w:tcBorders>
            <w:shd w:val="clear" w:color="auto" w:fill="auto"/>
            <w:noWrap/>
            <w:vAlign w:val="bottom"/>
            <w:hideMark/>
          </w:tcPr>
          <w:p w14:paraId="129BF7E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1 031</w:t>
            </w:r>
          </w:p>
        </w:tc>
        <w:tc>
          <w:tcPr>
            <w:tcW w:w="640" w:type="dxa"/>
            <w:tcBorders>
              <w:top w:val="nil"/>
              <w:left w:val="nil"/>
              <w:bottom w:val="nil"/>
              <w:right w:val="nil"/>
            </w:tcBorders>
            <w:shd w:val="clear" w:color="auto" w:fill="auto"/>
            <w:noWrap/>
            <w:vAlign w:val="bottom"/>
            <w:hideMark/>
          </w:tcPr>
          <w:p w14:paraId="048192C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846</w:t>
            </w:r>
          </w:p>
        </w:tc>
      </w:tr>
      <w:tr w:rsidR="00FC4A41" w:rsidRPr="00FC4A41" w14:paraId="7BF0234E" w14:textId="77777777" w:rsidTr="00FC4A41">
        <w:trPr>
          <w:trHeight w:val="259"/>
        </w:trPr>
        <w:tc>
          <w:tcPr>
            <w:tcW w:w="2420" w:type="dxa"/>
            <w:tcBorders>
              <w:top w:val="nil"/>
              <w:left w:val="nil"/>
              <w:bottom w:val="nil"/>
              <w:right w:val="nil"/>
            </w:tcBorders>
            <w:shd w:val="clear" w:color="000000" w:fill="FABF8F"/>
            <w:noWrap/>
            <w:vAlign w:val="bottom"/>
            <w:hideMark/>
          </w:tcPr>
          <w:p w14:paraId="7B0884A0"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Querétaro</w:t>
            </w:r>
          </w:p>
        </w:tc>
        <w:tc>
          <w:tcPr>
            <w:tcW w:w="640" w:type="dxa"/>
            <w:tcBorders>
              <w:top w:val="nil"/>
              <w:left w:val="nil"/>
              <w:bottom w:val="nil"/>
              <w:right w:val="nil"/>
            </w:tcBorders>
            <w:shd w:val="clear" w:color="auto" w:fill="auto"/>
            <w:noWrap/>
            <w:vAlign w:val="bottom"/>
            <w:hideMark/>
          </w:tcPr>
          <w:p w14:paraId="10D4E8A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109</w:t>
            </w:r>
          </w:p>
        </w:tc>
        <w:tc>
          <w:tcPr>
            <w:tcW w:w="640" w:type="dxa"/>
            <w:tcBorders>
              <w:top w:val="nil"/>
              <w:left w:val="nil"/>
              <w:bottom w:val="nil"/>
              <w:right w:val="nil"/>
            </w:tcBorders>
            <w:shd w:val="clear" w:color="auto" w:fill="auto"/>
            <w:noWrap/>
            <w:vAlign w:val="bottom"/>
            <w:hideMark/>
          </w:tcPr>
          <w:p w14:paraId="52ED681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112</w:t>
            </w:r>
          </w:p>
        </w:tc>
        <w:tc>
          <w:tcPr>
            <w:tcW w:w="640" w:type="dxa"/>
            <w:tcBorders>
              <w:top w:val="nil"/>
              <w:left w:val="nil"/>
              <w:bottom w:val="nil"/>
              <w:right w:val="nil"/>
            </w:tcBorders>
            <w:shd w:val="clear" w:color="auto" w:fill="auto"/>
            <w:noWrap/>
            <w:vAlign w:val="bottom"/>
            <w:hideMark/>
          </w:tcPr>
          <w:p w14:paraId="78BF210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119</w:t>
            </w:r>
          </w:p>
        </w:tc>
        <w:tc>
          <w:tcPr>
            <w:tcW w:w="640" w:type="dxa"/>
            <w:tcBorders>
              <w:top w:val="nil"/>
              <w:left w:val="nil"/>
              <w:bottom w:val="nil"/>
              <w:right w:val="nil"/>
            </w:tcBorders>
            <w:shd w:val="clear" w:color="auto" w:fill="auto"/>
            <w:noWrap/>
            <w:vAlign w:val="bottom"/>
            <w:hideMark/>
          </w:tcPr>
          <w:p w14:paraId="57621DB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106</w:t>
            </w:r>
          </w:p>
        </w:tc>
        <w:tc>
          <w:tcPr>
            <w:tcW w:w="640" w:type="dxa"/>
            <w:tcBorders>
              <w:top w:val="nil"/>
              <w:left w:val="nil"/>
              <w:bottom w:val="nil"/>
              <w:right w:val="nil"/>
            </w:tcBorders>
            <w:shd w:val="clear" w:color="auto" w:fill="auto"/>
            <w:noWrap/>
            <w:vAlign w:val="bottom"/>
            <w:hideMark/>
          </w:tcPr>
          <w:p w14:paraId="6A1B0D8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140</w:t>
            </w:r>
          </w:p>
        </w:tc>
        <w:tc>
          <w:tcPr>
            <w:tcW w:w="640" w:type="dxa"/>
            <w:tcBorders>
              <w:top w:val="nil"/>
              <w:left w:val="nil"/>
              <w:bottom w:val="nil"/>
              <w:right w:val="nil"/>
            </w:tcBorders>
            <w:shd w:val="clear" w:color="auto" w:fill="auto"/>
            <w:noWrap/>
            <w:vAlign w:val="bottom"/>
            <w:hideMark/>
          </w:tcPr>
          <w:p w14:paraId="2AE2231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137</w:t>
            </w:r>
          </w:p>
        </w:tc>
        <w:tc>
          <w:tcPr>
            <w:tcW w:w="640" w:type="dxa"/>
            <w:tcBorders>
              <w:top w:val="nil"/>
              <w:left w:val="nil"/>
              <w:bottom w:val="nil"/>
              <w:right w:val="nil"/>
            </w:tcBorders>
            <w:shd w:val="clear" w:color="auto" w:fill="auto"/>
            <w:noWrap/>
            <w:vAlign w:val="bottom"/>
            <w:hideMark/>
          </w:tcPr>
          <w:p w14:paraId="406A2F8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218</w:t>
            </w:r>
          </w:p>
        </w:tc>
        <w:tc>
          <w:tcPr>
            <w:tcW w:w="640" w:type="dxa"/>
            <w:tcBorders>
              <w:top w:val="nil"/>
              <w:left w:val="nil"/>
              <w:bottom w:val="nil"/>
              <w:right w:val="nil"/>
            </w:tcBorders>
            <w:shd w:val="clear" w:color="auto" w:fill="auto"/>
            <w:noWrap/>
            <w:vAlign w:val="bottom"/>
            <w:hideMark/>
          </w:tcPr>
          <w:p w14:paraId="44AD607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229</w:t>
            </w:r>
          </w:p>
        </w:tc>
        <w:tc>
          <w:tcPr>
            <w:tcW w:w="640" w:type="dxa"/>
            <w:tcBorders>
              <w:top w:val="nil"/>
              <w:left w:val="nil"/>
              <w:bottom w:val="nil"/>
              <w:right w:val="nil"/>
            </w:tcBorders>
            <w:shd w:val="clear" w:color="auto" w:fill="auto"/>
            <w:noWrap/>
            <w:vAlign w:val="bottom"/>
            <w:hideMark/>
          </w:tcPr>
          <w:p w14:paraId="4A5BD2E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224</w:t>
            </w:r>
          </w:p>
        </w:tc>
        <w:tc>
          <w:tcPr>
            <w:tcW w:w="640" w:type="dxa"/>
            <w:tcBorders>
              <w:top w:val="nil"/>
              <w:left w:val="nil"/>
              <w:bottom w:val="nil"/>
              <w:right w:val="nil"/>
            </w:tcBorders>
            <w:shd w:val="clear" w:color="auto" w:fill="auto"/>
            <w:noWrap/>
            <w:vAlign w:val="bottom"/>
            <w:hideMark/>
          </w:tcPr>
          <w:p w14:paraId="3FB7084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227</w:t>
            </w:r>
          </w:p>
        </w:tc>
        <w:tc>
          <w:tcPr>
            <w:tcW w:w="640" w:type="dxa"/>
            <w:tcBorders>
              <w:top w:val="nil"/>
              <w:left w:val="nil"/>
              <w:bottom w:val="nil"/>
              <w:right w:val="nil"/>
            </w:tcBorders>
            <w:shd w:val="clear" w:color="auto" w:fill="auto"/>
            <w:noWrap/>
            <w:vAlign w:val="bottom"/>
            <w:hideMark/>
          </w:tcPr>
          <w:p w14:paraId="6BC4E77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231</w:t>
            </w:r>
          </w:p>
        </w:tc>
      </w:tr>
      <w:tr w:rsidR="00FC4A41" w:rsidRPr="00FC4A41" w14:paraId="0DE3412C" w14:textId="77777777" w:rsidTr="00FC4A41">
        <w:trPr>
          <w:trHeight w:val="259"/>
        </w:trPr>
        <w:tc>
          <w:tcPr>
            <w:tcW w:w="2420" w:type="dxa"/>
            <w:tcBorders>
              <w:top w:val="nil"/>
              <w:left w:val="nil"/>
              <w:bottom w:val="nil"/>
              <w:right w:val="nil"/>
            </w:tcBorders>
            <w:shd w:val="clear" w:color="000000" w:fill="FABF8F"/>
            <w:noWrap/>
            <w:vAlign w:val="bottom"/>
            <w:hideMark/>
          </w:tcPr>
          <w:p w14:paraId="46876358"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Quintana Roo</w:t>
            </w:r>
          </w:p>
        </w:tc>
        <w:tc>
          <w:tcPr>
            <w:tcW w:w="640" w:type="dxa"/>
            <w:tcBorders>
              <w:top w:val="nil"/>
              <w:left w:val="nil"/>
              <w:bottom w:val="nil"/>
              <w:right w:val="nil"/>
            </w:tcBorders>
            <w:shd w:val="clear" w:color="auto" w:fill="auto"/>
            <w:noWrap/>
            <w:vAlign w:val="bottom"/>
            <w:hideMark/>
          </w:tcPr>
          <w:p w14:paraId="52FAF21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163</w:t>
            </w:r>
          </w:p>
        </w:tc>
        <w:tc>
          <w:tcPr>
            <w:tcW w:w="640" w:type="dxa"/>
            <w:tcBorders>
              <w:top w:val="nil"/>
              <w:left w:val="nil"/>
              <w:bottom w:val="nil"/>
              <w:right w:val="nil"/>
            </w:tcBorders>
            <w:shd w:val="clear" w:color="auto" w:fill="auto"/>
            <w:noWrap/>
            <w:vAlign w:val="bottom"/>
            <w:hideMark/>
          </w:tcPr>
          <w:p w14:paraId="0027703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154</w:t>
            </w:r>
          </w:p>
        </w:tc>
        <w:tc>
          <w:tcPr>
            <w:tcW w:w="640" w:type="dxa"/>
            <w:tcBorders>
              <w:top w:val="nil"/>
              <w:left w:val="nil"/>
              <w:bottom w:val="nil"/>
              <w:right w:val="nil"/>
            </w:tcBorders>
            <w:shd w:val="clear" w:color="auto" w:fill="auto"/>
            <w:noWrap/>
            <w:vAlign w:val="bottom"/>
            <w:hideMark/>
          </w:tcPr>
          <w:p w14:paraId="0408EFD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164</w:t>
            </w:r>
          </w:p>
        </w:tc>
        <w:tc>
          <w:tcPr>
            <w:tcW w:w="640" w:type="dxa"/>
            <w:tcBorders>
              <w:top w:val="nil"/>
              <w:left w:val="nil"/>
              <w:bottom w:val="nil"/>
              <w:right w:val="nil"/>
            </w:tcBorders>
            <w:shd w:val="clear" w:color="auto" w:fill="auto"/>
            <w:noWrap/>
            <w:vAlign w:val="bottom"/>
            <w:hideMark/>
          </w:tcPr>
          <w:p w14:paraId="65E58FE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125</w:t>
            </w:r>
          </w:p>
        </w:tc>
        <w:tc>
          <w:tcPr>
            <w:tcW w:w="640" w:type="dxa"/>
            <w:tcBorders>
              <w:top w:val="nil"/>
              <w:left w:val="nil"/>
              <w:bottom w:val="nil"/>
              <w:right w:val="nil"/>
            </w:tcBorders>
            <w:shd w:val="clear" w:color="auto" w:fill="auto"/>
            <w:noWrap/>
            <w:vAlign w:val="bottom"/>
            <w:hideMark/>
          </w:tcPr>
          <w:p w14:paraId="32CE6AB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145</w:t>
            </w:r>
          </w:p>
        </w:tc>
        <w:tc>
          <w:tcPr>
            <w:tcW w:w="640" w:type="dxa"/>
            <w:tcBorders>
              <w:top w:val="nil"/>
              <w:left w:val="nil"/>
              <w:bottom w:val="nil"/>
              <w:right w:val="nil"/>
            </w:tcBorders>
            <w:shd w:val="clear" w:color="auto" w:fill="auto"/>
            <w:noWrap/>
            <w:vAlign w:val="bottom"/>
            <w:hideMark/>
          </w:tcPr>
          <w:p w14:paraId="33E1DC3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193</w:t>
            </w:r>
          </w:p>
        </w:tc>
        <w:tc>
          <w:tcPr>
            <w:tcW w:w="640" w:type="dxa"/>
            <w:tcBorders>
              <w:top w:val="nil"/>
              <w:left w:val="nil"/>
              <w:bottom w:val="nil"/>
              <w:right w:val="nil"/>
            </w:tcBorders>
            <w:shd w:val="clear" w:color="auto" w:fill="auto"/>
            <w:noWrap/>
            <w:vAlign w:val="bottom"/>
            <w:hideMark/>
          </w:tcPr>
          <w:p w14:paraId="7AC9A74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455</w:t>
            </w:r>
          </w:p>
        </w:tc>
        <w:tc>
          <w:tcPr>
            <w:tcW w:w="640" w:type="dxa"/>
            <w:tcBorders>
              <w:top w:val="nil"/>
              <w:left w:val="nil"/>
              <w:bottom w:val="nil"/>
              <w:right w:val="nil"/>
            </w:tcBorders>
            <w:shd w:val="clear" w:color="auto" w:fill="auto"/>
            <w:noWrap/>
            <w:vAlign w:val="bottom"/>
            <w:hideMark/>
          </w:tcPr>
          <w:p w14:paraId="252360A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841</w:t>
            </w:r>
          </w:p>
        </w:tc>
        <w:tc>
          <w:tcPr>
            <w:tcW w:w="640" w:type="dxa"/>
            <w:tcBorders>
              <w:top w:val="nil"/>
              <w:left w:val="nil"/>
              <w:bottom w:val="nil"/>
              <w:right w:val="nil"/>
            </w:tcBorders>
            <w:shd w:val="clear" w:color="auto" w:fill="auto"/>
            <w:noWrap/>
            <w:vAlign w:val="bottom"/>
            <w:hideMark/>
          </w:tcPr>
          <w:p w14:paraId="5940BFD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750</w:t>
            </w:r>
          </w:p>
        </w:tc>
        <w:tc>
          <w:tcPr>
            <w:tcW w:w="640" w:type="dxa"/>
            <w:tcBorders>
              <w:top w:val="nil"/>
              <w:left w:val="nil"/>
              <w:bottom w:val="nil"/>
              <w:right w:val="nil"/>
            </w:tcBorders>
            <w:shd w:val="clear" w:color="auto" w:fill="auto"/>
            <w:noWrap/>
            <w:vAlign w:val="bottom"/>
            <w:hideMark/>
          </w:tcPr>
          <w:p w14:paraId="240D542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628</w:t>
            </w:r>
          </w:p>
        </w:tc>
        <w:tc>
          <w:tcPr>
            <w:tcW w:w="640" w:type="dxa"/>
            <w:tcBorders>
              <w:top w:val="nil"/>
              <w:left w:val="nil"/>
              <w:bottom w:val="nil"/>
              <w:right w:val="nil"/>
            </w:tcBorders>
            <w:shd w:val="clear" w:color="auto" w:fill="auto"/>
            <w:noWrap/>
            <w:vAlign w:val="bottom"/>
            <w:hideMark/>
          </w:tcPr>
          <w:p w14:paraId="2E62585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677</w:t>
            </w:r>
          </w:p>
        </w:tc>
      </w:tr>
      <w:tr w:rsidR="00FC4A41" w:rsidRPr="00FC4A41" w14:paraId="2A9DCF47" w14:textId="77777777" w:rsidTr="00FC4A41">
        <w:trPr>
          <w:trHeight w:val="259"/>
        </w:trPr>
        <w:tc>
          <w:tcPr>
            <w:tcW w:w="2420" w:type="dxa"/>
            <w:tcBorders>
              <w:top w:val="nil"/>
              <w:left w:val="nil"/>
              <w:bottom w:val="nil"/>
              <w:right w:val="nil"/>
            </w:tcBorders>
            <w:shd w:val="clear" w:color="000000" w:fill="FABF8F"/>
            <w:noWrap/>
            <w:vAlign w:val="bottom"/>
            <w:hideMark/>
          </w:tcPr>
          <w:p w14:paraId="6247E05E"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San Luis Potosí</w:t>
            </w:r>
          </w:p>
        </w:tc>
        <w:tc>
          <w:tcPr>
            <w:tcW w:w="640" w:type="dxa"/>
            <w:tcBorders>
              <w:top w:val="nil"/>
              <w:left w:val="nil"/>
              <w:bottom w:val="nil"/>
              <w:right w:val="nil"/>
            </w:tcBorders>
            <w:shd w:val="clear" w:color="auto" w:fill="auto"/>
            <w:noWrap/>
            <w:vAlign w:val="bottom"/>
            <w:hideMark/>
          </w:tcPr>
          <w:p w14:paraId="7A77568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364</w:t>
            </w:r>
          </w:p>
        </w:tc>
        <w:tc>
          <w:tcPr>
            <w:tcW w:w="640" w:type="dxa"/>
            <w:tcBorders>
              <w:top w:val="nil"/>
              <w:left w:val="nil"/>
              <w:bottom w:val="nil"/>
              <w:right w:val="nil"/>
            </w:tcBorders>
            <w:shd w:val="clear" w:color="auto" w:fill="auto"/>
            <w:noWrap/>
            <w:vAlign w:val="bottom"/>
            <w:hideMark/>
          </w:tcPr>
          <w:p w14:paraId="4F3E835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454</w:t>
            </w:r>
          </w:p>
        </w:tc>
        <w:tc>
          <w:tcPr>
            <w:tcW w:w="640" w:type="dxa"/>
            <w:tcBorders>
              <w:top w:val="nil"/>
              <w:left w:val="nil"/>
              <w:bottom w:val="nil"/>
              <w:right w:val="nil"/>
            </w:tcBorders>
            <w:shd w:val="clear" w:color="auto" w:fill="auto"/>
            <w:noWrap/>
            <w:vAlign w:val="bottom"/>
            <w:hideMark/>
          </w:tcPr>
          <w:p w14:paraId="2C41201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302</w:t>
            </w:r>
          </w:p>
        </w:tc>
        <w:tc>
          <w:tcPr>
            <w:tcW w:w="640" w:type="dxa"/>
            <w:tcBorders>
              <w:top w:val="nil"/>
              <w:left w:val="nil"/>
              <w:bottom w:val="nil"/>
              <w:right w:val="nil"/>
            </w:tcBorders>
            <w:shd w:val="clear" w:color="auto" w:fill="auto"/>
            <w:noWrap/>
            <w:vAlign w:val="bottom"/>
            <w:hideMark/>
          </w:tcPr>
          <w:p w14:paraId="5978950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269</w:t>
            </w:r>
          </w:p>
        </w:tc>
        <w:tc>
          <w:tcPr>
            <w:tcW w:w="640" w:type="dxa"/>
            <w:tcBorders>
              <w:top w:val="nil"/>
              <w:left w:val="nil"/>
              <w:bottom w:val="nil"/>
              <w:right w:val="nil"/>
            </w:tcBorders>
            <w:shd w:val="clear" w:color="auto" w:fill="auto"/>
            <w:noWrap/>
            <w:vAlign w:val="bottom"/>
            <w:hideMark/>
          </w:tcPr>
          <w:p w14:paraId="01FB023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266</w:t>
            </w:r>
          </w:p>
        </w:tc>
        <w:tc>
          <w:tcPr>
            <w:tcW w:w="640" w:type="dxa"/>
            <w:tcBorders>
              <w:top w:val="nil"/>
              <w:left w:val="nil"/>
              <w:bottom w:val="nil"/>
              <w:right w:val="nil"/>
            </w:tcBorders>
            <w:shd w:val="clear" w:color="auto" w:fill="auto"/>
            <w:noWrap/>
            <w:vAlign w:val="bottom"/>
            <w:hideMark/>
          </w:tcPr>
          <w:p w14:paraId="1591DB4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332</w:t>
            </w:r>
          </w:p>
        </w:tc>
        <w:tc>
          <w:tcPr>
            <w:tcW w:w="640" w:type="dxa"/>
            <w:tcBorders>
              <w:top w:val="nil"/>
              <w:left w:val="nil"/>
              <w:bottom w:val="nil"/>
              <w:right w:val="nil"/>
            </w:tcBorders>
            <w:shd w:val="clear" w:color="auto" w:fill="auto"/>
            <w:noWrap/>
            <w:vAlign w:val="bottom"/>
            <w:hideMark/>
          </w:tcPr>
          <w:p w14:paraId="17968CC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507</w:t>
            </w:r>
          </w:p>
        </w:tc>
        <w:tc>
          <w:tcPr>
            <w:tcW w:w="640" w:type="dxa"/>
            <w:tcBorders>
              <w:top w:val="nil"/>
              <w:left w:val="nil"/>
              <w:bottom w:val="nil"/>
              <w:right w:val="nil"/>
            </w:tcBorders>
            <w:shd w:val="clear" w:color="auto" w:fill="auto"/>
            <w:noWrap/>
            <w:vAlign w:val="bottom"/>
            <w:hideMark/>
          </w:tcPr>
          <w:p w14:paraId="05A2EE6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563</w:t>
            </w:r>
          </w:p>
        </w:tc>
        <w:tc>
          <w:tcPr>
            <w:tcW w:w="640" w:type="dxa"/>
            <w:tcBorders>
              <w:top w:val="nil"/>
              <w:left w:val="nil"/>
              <w:bottom w:val="nil"/>
              <w:right w:val="nil"/>
            </w:tcBorders>
            <w:shd w:val="clear" w:color="auto" w:fill="auto"/>
            <w:noWrap/>
            <w:vAlign w:val="bottom"/>
            <w:hideMark/>
          </w:tcPr>
          <w:p w14:paraId="569FDB6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522</w:t>
            </w:r>
          </w:p>
        </w:tc>
        <w:tc>
          <w:tcPr>
            <w:tcW w:w="640" w:type="dxa"/>
            <w:tcBorders>
              <w:top w:val="nil"/>
              <w:left w:val="nil"/>
              <w:bottom w:val="nil"/>
              <w:right w:val="nil"/>
            </w:tcBorders>
            <w:shd w:val="clear" w:color="auto" w:fill="auto"/>
            <w:noWrap/>
            <w:vAlign w:val="bottom"/>
            <w:hideMark/>
          </w:tcPr>
          <w:p w14:paraId="4DB0C1E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803</w:t>
            </w:r>
          </w:p>
        </w:tc>
        <w:tc>
          <w:tcPr>
            <w:tcW w:w="640" w:type="dxa"/>
            <w:tcBorders>
              <w:top w:val="nil"/>
              <w:left w:val="nil"/>
              <w:bottom w:val="nil"/>
              <w:right w:val="nil"/>
            </w:tcBorders>
            <w:shd w:val="clear" w:color="auto" w:fill="auto"/>
            <w:noWrap/>
            <w:vAlign w:val="bottom"/>
            <w:hideMark/>
          </w:tcPr>
          <w:p w14:paraId="110C943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797</w:t>
            </w:r>
          </w:p>
        </w:tc>
      </w:tr>
      <w:tr w:rsidR="00FC4A41" w:rsidRPr="00FC4A41" w14:paraId="7D537B52" w14:textId="77777777" w:rsidTr="00FC4A41">
        <w:trPr>
          <w:trHeight w:val="259"/>
        </w:trPr>
        <w:tc>
          <w:tcPr>
            <w:tcW w:w="2420" w:type="dxa"/>
            <w:tcBorders>
              <w:top w:val="nil"/>
              <w:left w:val="nil"/>
              <w:bottom w:val="nil"/>
              <w:right w:val="nil"/>
            </w:tcBorders>
            <w:shd w:val="clear" w:color="000000" w:fill="FABF8F"/>
            <w:noWrap/>
            <w:vAlign w:val="bottom"/>
            <w:hideMark/>
          </w:tcPr>
          <w:p w14:paraId="0325A878"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Sinaloa</w:t>
            </w:r>
          </w:p>
        </w:tc>
        <w:tc>
          <w:tcPr>
            <w:tcW w:w="640" w:type="dxa"/>
            <w:tcBorders>
              <w:top w:val="nil"/>
              <w:left w:val="nil"/>
              <w:bottom w:val="nil"/>
              <w:right w:val="nil"/>
            </w:tcBorders>
            <w:shd w:val="clear" w:color="auto" w:fill="auto"/>
            <w:noWrap/>
            <w:vAlign w:val="bottom"/>
            <w:hideMark/>
          </w:tcPr>
          <w:p w14:paraId="56BCB69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1 990</w:t>
            </w:r>
          </w:p>
        </w:tc>
        <w:tc>
          <w:tcPr>
            <w:tcW w:w="640" w:type="dxa"/>
            <w:tcBorders>
              <w:top w:val="nil"/>
              <w:left w:val="nil"/>
              <w:bottom w:val="nil"/>
              <w:right w:val="nil"/>
            </w:tcBorders>
            <w:shd w:val="clear" w:color="auto" w:fill="auto"/>
            <w:noWrap/>
            <w:vAlign w:val="bottom"/>
            <w:hideMark/>
          </w:tcPr>
          <w:p w14:paraId="20B6BFF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1 395</w:t>
            </w:r>
          </w:p>
        </w:tc>
        <w:tc>
          <w:tcPr>
            <w:tcW w:w="640" w:type="dxa"/>
            <w:tcBorders>
              <w:top w:val="nil"/>
              <w:left w:val="nil"/>
              <w:bottom w:val="nil"/>
              <w:right w:val="nil"/>
            </w:tcBorders>
            <w:shd w:val="clear" w:color="auto" w:fill="auto"/>
            <w:noWrap/>
            <w:vAlign w:val="bottom"/>
            <w:hideMark/>
          </w:tcPr>
          <w:p w14:paraId="1DF02FA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1 220</w:t>
            </w:r>
          </w:p>
        </w:tc>
        <w:tc>
          <w:tcPr>
            <w:tcW w:w="640" w:type="dxa"/>
            <w:tcBorders>
              <w:top w:val="nil"/>
              <w:left w:val="nil"/>
              <w:bottom w:val="nil"/>
              <w:right w:val="nil"/>
            </w:tcBorders>
            <w:shd w:val="clear" w:color="auto" w:fill="auto"/>
            <w:noWrap/>
            <w:vAlign w:val="bottom"/>
            <w:hideMark/>
          </w:tcPr>
          <w:p w14:paraId="2261760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1 156</w:t>
            </w:r>
          </w:p>
        </w:tc>
        <w:tc>
          <w:tcPr>
            <w:tcW w:w="640" w:type="dxa"/>
            <w:tcBorders>
              <w:top w:val="nil"/>
              <w:left w:val="nil"/>
              <w:bottom w:val="nil"/>
              <w:right w:val="nil"/>
            </w:tcBorders>
            <w:shd w:val="clear" w:color="auto" w:fill="auto"/>
            <w:noWrap/>
            <w:vAlign w:val="bottom"/>
            <w:hideMark/>
          </w:tcPr>
          <w:p w14:paraId="0FF9F29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1 098</w:t>
            </w:r>
          </w:p>
        </w:tc>
        <w:tc>
          <w:tcPr>
            <w:tcW w:w="640" w:type="dxa"/>
            <w:tcBorders>
              <w:top w:val="nil"/>
              <w:left w:val="nil"/>
              <w:bottom w:val="nil"/>
              <w:right w:val="nil"/>
            </w:tcBorders>
            <w:shd w:val="clear" w:color="auto" w:fill="auto"/>
            <w:noWrap/>
            <w:vAlign w:val="bottom"/>
            <w:hideMark/>
          </w:tcPr>
          <w:p w14:paraId="02DD457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1 303</w:t>
            </w:r>
          </w:p>
        </w:tc>
        <w:tc>
          <w:tcPr>
            <w:tcW w:w="640" w:type="dxa"/>
            <w:tcBorders>
              <w:top w:val="nil"/>
              <w:left w:val="nil"/>
              <w:bottom w:val="nil"/>
              <w:right w:val="nil"/>
            </w:tcBorders>
            <w:shd w:val="clear" w:color="auto" w:fill="auto"/>
            <w:noWrap/>
            <w:vAlign w:val="bottom"/>
            <w:hideMark/>
          </w:tcPr>
          <w:p w14:paraId="7DBF4E5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1 640</w:t>
            </w:r>
          </w:p>
        </w:tc>
        <w:tc>
          <w:tcPr>
            <w:tcW w:w="640" w:type="dxa"/>
            <w:tcBorders>
              <w:top w:val="nil"/>
              <w:left w:val="nil"/>
              <w:bottom w:val="nil"/>
              <w:right w:val="nil"/>
            </w:tcBorders>
            <w:shd w:val="clear" w:color="auto" w:fill="auto"/>
            <w:noWrap/>
            <w:vAlign w:val="bottom"/>
            <w:hideMark/>
          </w:tcPr>
          <w:p w14:paraId="2F2DEEA0"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1 214</w:t>
            </w:r>
          </w:p>
        </w:tc>
        <w:tc>
          <w:tcPr>
            <w:tcW w:w="640" w:type="dxa"/>
            <w:tcBorders>
              <w:top w:val="nil"/>
              <w:left w:val="nil"/>
              <w:bottom w:val="nil"/>
              <w:right w:val="nil"/>
            </w:tcBorders>
            <w:shd w:val="clear" w:color="auto" w:fill="auto"/>
            <w:noWrap/>
            <w:vAlign w:val="bottom"/>
            <w:hideMark/>
          </w:tcPr>
          <w:p w14:paraId="10283A6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1 133</w:t>
            </w:r>
          </w:p>
        </w:tc>
        <w:tc>
          <w:tcPr>
            <w:tcW w:w="640" w:type="dxa"/>
            <w:tcBorders>
              <w:top w:val="nil"/>
              <w:left w:val="nil"/>
              <w:bottom w:val="nil"/>
              <w:right w:val="nil"/>
            </w:tcBorders>
            <w:shd w:val="clear" w:color="auto" w:fill="auto"/>
            <w:noWrap/>
            <w:vAlign w:val="bottom"/>
            <w:hideMark/>
          </w:tcPr>
          <w:p w14:paraId="7254754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866</w:t>
            </w:r>
          </w:p>
        </w:tc>
        <w:tc>
          <w:tcPr>
            <w:tcW w:w="640" w:type="dxa"/>
            <w:tcBorders>
              <w:top w:val="nil"/>
              <w:left w:val="nil"/>
              <w:bottom w:val="nil"/>
              <w:right w:val="nil"/>
            </w:tcBorders>
            <w:shd w:val="clear" w:color="auto" w:fill="auto"/>
            <w:noWrap/>
            <w:vAlign w:val="bottom"/>
            <w:hideMark/>
          </w:tcPr>
          <w:p w14:paraId="2D24F18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636</w:t>
            </w:r>
          </w:p>
        </w:tc>
      </w:tr>
      <w:tr w:rsidR="00FC4A41" w:rsidRPr="00FC4A41" w14:paraId="6396610D" w14:textId="77777777" w:rsidTr="00FC4A41">
        <w:trPr>
          <w:trHeight w:val="259"/>
        </w:trPr>
        <w:tc>
          <w:tcPr>
            <w:tcW w:w="2420" w:type="dxa"/>
            <w:tcBorders>
              <w:top w:val="nil"/>
              <w:left w:val="nil"/>
              <w:bottom w:val="nil"/>
              <w:right w:val="nil"/>
            </w:tcBorders>
            <w:shd w:val="clear" w:color="000000" w:fill="FABF8F"/>
            <w:noWrap/>
            <w:vAlign w:val="bottom"/>
            <w:hideMark/>
          </w:tcPr>
          <w:p w14:paraId="06AEF579"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Sonora</w:t>
            </w:r>
          </w:p>
        </w:tc>
        <w:tc>
          <w:tcPr>
            <w:tcW w:w="640" w:type="dxa"/>
            <w:tcBorders>
              <w:top w:val="nil"/>
              <w:left w:val="nil"/>
              <w:bottom w:val="nil"/>
              <w:right w:val="nil"/>
            </w:tcBorders>
            <w:shd w:val="clear" w:color="auto" w:fill="auto"/>
            <w:noWrap/>
            <w:vAlign w:val="bottom"/>
            <w:hideMark/>
          </w:tcPr>
          <w:p w14:paraId="010BE00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542</w:t>
            </w:r>
          </w:p>
        </w:tc>
        <w:tc>
          <w:tcPr>
            <w:tcW w:w="640" w:type="dxa"/>
            <w:tcBorders>
              <w:top w:val="nil"/>
              <w:left w:val="nil"/>
              <w:bottom w:val="nil"/>
              <w:right w:val="nil"/>
            </w:tcBorders>
            <w:shd w:val="clear" w:color="auto" w:fill="auto"/>
            <w:noWrap/>
            <w:vAlign w:val="bottom"/>
            <w:hideMark/>
          </w:tcPr>
          <w:p w14:paraId="3F9E217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525</w:t>
            </w:r>
          </w:p>
        </w:tc>
        <w:tc>
          <w:tcPr>
            <w:tcW w:w="640" w:type="dxa"/>
            <w:tcBorders>
              <w:top w:val="nil"/>
              <w:left w:val="nil"/>
              <w:bottom w:val="nil"/>
              <w:right w:val="nil"/>
            </w:tcBorders>
            <w:shd w:val="clear" w:color="auto" w:fill="auto"/>
            <w:noWrap/>
            <w:vAlign w:val="bottom"/>
            <w:hideMark/>
          </w:tcPr>
          <w:p w14:paraId="3075CF0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658</w:t>
            </w:r>
          </w:p>
        </w:tc>
        <w:tc>
          <w:tcPr>
            <w:tcW w:w="640" w:type="dxa"/>
            <w:tcBorders>
              <w:top w:val="nil"/>
              <w:left w:val="nil"/>
              <w:bottom w:val="nil"/>
              <w:right w:val="nil"/>
            </w:tcBorders>
            <w:shd w:val="clear" w:color="auto" w:fill="auto"/>
            <w:noWrap/>
            <w:vAlign w:val="bottom"/>
            <w:hideMark/>
          </w:tcPr>
          <w:p w14:paraId="32944930"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669</w:t>
            </w:r>
          </w:p>
        </w:tc>
        <w:tc>
          <w:tcPr>
            <w:tcW w:w="640" w:type="dxa"/>
            <w:tcBorders>
              <w:top w:val="nil"/>
              <w:left w:val="nil"/>
              <w:bottom w:val="nil"/>
              <w:right w:val="nil"/>
            </w:tcBorders>
            <w:shd w:val="clear" w:color="auto" w:fill="auto"/>
            <w:noWrap/>
            <w:vAlign w:val="bottom"/>
            <w:hideMark/>
          </w:tcPr>
          <w:p w14:paraId="7DC883C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585</w:t>
            </w:r>
          </w:p>
        </w:tc>
        <w:tc>
          <w:tcPr>
            <w:tcW w:w="640" w:type="dxa"/>
            <w:tcBorders>
              <w:top w:val="nil"/>
              <w:left w:val="nil"/>
              <w:bottom w:val="nil"/>
              <w:right w:val="nil"/>
            </w:tcBorders>
            <w:shd w:val="clear" w:color="auto" w:fill="auto"/>
            <w:noWrap/>
            <w:vAlign w:val="bottom"/>
            <w:hideMark/>
          </w:tcPr>
          <w:p w14:paraId="1073BB1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580</w:t>
            </w:r>
          </w:p>
        </w:tc>
        <w:tc>
          <w:tcPr>
            <w:tcW w:w="640" w:type="dxa"/>
            <w:tcBorders>
              <w:top w:val="nil"/>
              <w:left w:val="nil"/>
              <w:bottom w:val="nil"/>
              <w:right w:val="nil"/>
            </w:tcBorders>
            <w:shd w:val="clear" w:color="auto" w:fill="auto"/>
            <w:noWrap/>
            <w:vAlign w:val="bottom"/>
            <w:hideMark/>
          </w:tcPr>
          <w:p w14:paraId="42DC2BF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761</w:t>
            </w:r>
          </w:p>
        </w:tc>
        <w:tc>
          <w:tcPr>
            <w:tcW w:w="640" w:type="dxa"/>
            <w:tcBorders>
              <w:top w:val="nil"/>
              <w:left w:val="nil"/>
              <w:bottom w:val="nil"/>
              <w:right w:val="nil"/>
            </w:tcBorders>
            <w:shd w:val="clear" w:color="auto" w:fill="auto"/>
            <w:noWrap/>
            <w:vAlign w:val="bottom"/>
            <w:hideMark/>
          </w:tcPr>
          <w:p w14:paraId="138F1300"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936</w:t>
            </w:r>
          </w:p>
        </w:tc>
        <w:tc>
          <w:tcPr>
            <w:tcW w:w="640" w:type="dxa"/>
            <w:tcBorders>
              <w:top w:val="nil"/>
              <w:left w:val="nil"/>
              <w:bottom w:val="nil"/>
              <w:right w:val="nil"/>
            </w:tcBorders>
            <w:shd w:val="clear" w:color="auto" w:fill="auto"/>
            <w:noWrap/>
            <w:vAlign w:val="bottom"/>
            <w:hideMark/>
          </w:tcPr>
          <w:p w14:paraId="72D894E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1 384</w:t>
            </w:r>
          </w:p>
        </w:tc>
        <w:tc>
          <w:tcPr>
            <w:tcW w:w="640" w:type="dxa"/>
            <w:tcBorders>
              <w:top w:val="nil"/>
              <w:left w:val="nil"/>
              <w:bottom w:val="nil"/>
              <w:right w:val="nil"/>
            </w:tcBorders>
            <w:shd w:val="clear" w:color="auto" w:fill="auto"/>
            <w:noWrap/>
            <w:vAlign w:val="bottom"/>
            <w:hideMark/>
          </w:tcPr>
          <w:p w14:paraId="79D6558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1 582</w:t>
            </w:r>
          </w:p>
        </w:tc>
        <w:tc>
          <w:tcPr>
            <w:tcW w:w="640" w:type="dxa"/>
            <w:tcBorders>
              <w:top w:val="nil"/>
              <w:left w:val="nil"/>
              <w:bottom w:val="nil"/>
              <w:right w:val="nil"/>
            </w:tcBorders>
            <w:shd w:val="clear" w:color="auto" w:fill="auto"/>
            <w:noWrap/>
            <w:vAlign w:val="bottom"/>
            <w:hideMark/>
          </w:tcPr>
          <w:p w14:paraId="2E9D4CC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2 088</w:t>
            </w:r>
          </w:p>
        </w:tc>
      </w:tr>
      <w:tr w:rsidR="00FC4A41" w:rsidRPr="00FC4A41" w14:paraId="5860762D" w14:textId="77777777" w:rsidTr="00FC4A41">
        <w:trPr>
          <w:trHeight w:val="259"/>
        </w:trPr>
        <w:tc>
          <w:tcPr>
            <w:tcW w:w="2420" w:type="dxa"/>
            <w:tcBorders>
              <w:top w:val="nil"/>
              <w:left w:val="nil"/>
              <w:bottom w:val="nil"/>
              <w:right w:val="nil"/>
            </w:tcBorders>
            <w:shd w:val="clear" w:color="000000" w:fill="FABF8F"/>
            <w:noWrap/>
            <w:vAlign w:val="bottom"/>
            <w:hideMark/>
          </w:tcPr>
          <w:p w14:paraId="1B1620DE"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Tabasco</w:t>
            </w:r>
          </w:p>
        </w:tc>
        <w:tc>
          <w:tcPr>
            <w:tcW w:w="640" w:type="dxa"/>
            <w:tcBorders>
              <w:top w:val="nil"/>
              <w:left w:val="nil"/>
              <w:bottom w:val="nil"/>
              <w:right w:val="nil"/>
            </w:tcBorders>
            <w:shd w:val="clear" w:color="auto" w:fill="auto"/>
            <w:noWrap/>
            <w:vAlign w:val="bottom"/>
            <w:hideMark/>
          </w:tcPr>
          <w:p w14:paraId="3AF7A2C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230</w:t>
            </w:r>
          </w:p>
        </w:tc>
        <w:tc>
          <w:tcPr>
            <w:tcW w:w="640" w:type="dxa"/>
            <w:tcBorders>
              <w:top w:val="nil"/>
              <w:left w:val="nil"/>
              <w:bottom w:val="nil"/>
              <w:right w:val="nil"/>
            </w:tcBorders>
            <w:shd w:val="clear" w:color="auto" w:fill="auto"/>
            <w:noWrap/>
            <w:vAlign w:val="bottom"/>
            <w:hideMark/>
          </w:tcPr>
          <w:p w14:paraId="492C02E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195</w:t>
            </w:r>
          </w:p>
        </w:tc>
        <w:tc>
          <w:tcPr>
            <w:tcW w:w="640" w:type="dxa"/>
            <w:tcBorders>
              <w:top w:val="nil"/>
              <w:left w:val="nil"/>
              <w:bottom w:val="nil"/>
              <w:right w:val="nil"/>
            </w:tcBorders>
            <w:shd w:val="clear" w:color="auto" w:fill="auto"/>
            <w:noWrap/>
            <w:vAlign w:val="bottom"/>
            <w:hideMark/>
          </w:tcPr>
          <w:p w14:paraId="38795A7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246</w:t>
            </w:r>
          </w:p>
        </w:tc>
        <w:tc>
          <w:tcPr>
            <w:tcW w:w="640" w:type="dxa"/>
            <w:tcBorders>
              <w:top w:val="nil"/>
              <w:left w:val="nil"/>
              <w:bottom w:val="nil"/>
              <w:right w:val="nil"/>
            </w:tcBorders>
            <w:shd w:val="clear" w:color="auto" w:fill="auto"/>
            <w:noWrap/>
            <w:vAlign w:val="bottom"/>
            <w:hideMark/>
          </w:tcPr>
          <w:p w14:paraId="2290B10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235</w:t>
            </w:r>
          </w:p>
        </w:tc>
        <w:tc>
          <w:tcPr>
            <w:tcW w:w="640" w:type="dxa"/>
            <w:tcBorders>
              <w:top w:val="nil"/>
              <w:left w:val="nil"/>
              <w:bottom w:val="nil"/>
              <w:right w:val="nil"/>
            </w:tcBorders>
            <w:shd w:val="clear" w:color="auto" w:fill="auto"/>
            <w:noWrap/>
            <w:vAlign w:val="bottom"/>
            <w:hideMark/>
          </w:tcPr>
          <w:p w14:paraId="23E3D73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372</w:t>
            </w:r>
          </w:p>
        </w:tc>
        <w:tc>
          <w:tcPr>
            <w:tcW w:w="640" w:type="dxa"/>
            <w:tcBorders>
              <w:top w:val="nil"/>
              <w:left w:val="nil"/>
              <w:bottom w:val="nil"/>
              <w:right w:val="nil"/>
            </w:tcBorders>
            <w:shd w:val="clear" w:color="auto" w:fill="auto"/>
            <w:noWrap/>
            <w:vAlign w:val="bottom"/>
            <w:hideMark/>
          </w:tcPr>
          <w:p w14:paraId="76C4675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431</w:t>
            </w:r>
          </w:p>
        </w:tc>
        <w:tc>
          <w:tcPr>
            <w:tcW w:w="640" w:type="dxa"/>
            <w:tcBorders>
              <w:top w:val="nil"/>
              <w:left w:val="nil"/>
              <w:bottom w:val="nil"/>
              <w:right w:val="nil"/>
            </w:tcBorders>
            <w:shd w:val="clear" w:color="auto" w:fill="auto"/>
            <w:noWrap/>
            <w:vAlign w:val="bottom"/>
            <w:hideMark/>
          </w:tcPr>
          <w:p w14:paraId="67BD794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450</w:t>
            </w:r>
          </w:p>
        </w:tc>
        <w:tc>
          <w:tcPr>
            <w:tcW w:w="640" w:type="dxa"/>
            <w:tcBorders>
              <w:top w:val="nil"/>
              <w:left w:val="nil"/>
              <w:bottom w:val="nil"/>
              <w:right w:val="nil"/>
            </w:tcBorders>
            <w:shd w:val="clear" w:color="auto" w:fill="auto"/>
            <w:noWrap/>
            <w:vAlign w:val="bottom"/>
            <w:hideMark/>
          </w:tcPr>
          <w:p w14:paraId="6AE3732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569</w:t>
            </w:r>
          </w:p>
        </w:tc>
        <w:tc>
          <w:tcPr>
            <w:tcW w:w="640" w:type="dxa"/>
            <w:tcBorders>
              <w:top w:val="nil"/>
              <w:left w:val="nil"/>
              <w:bottom w:val="nil"/>
              <w:right w:val="nil"/>
            </w:tcBorders>
            <w:shd w:val="clear" w:color="auto" w:fill="auto"/>
            <w:noWrap/>
            <w:vAlign w:val="bottom"/>
            <w:hideMark/>
          </w:tcPr>
          <w:p w14:paraId="32C6C7B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691</w:t>
            </w:r>
          </w:p>
        </w:tc>
        <w:tc>
          <w:tcPr>
            <w:tcW w:w="640" w:type="dxa"/>
            <w:tcBorders>
              <w:top w:val="nil"/>
              <w:left w:val="nil"/>
              <w:bottom w:val="nil"/>
              <w:right w:val="nil"/>
            </w:tcBorders>
            <w:shd w:val="clear" w:color="auto" w:fill="auto"/>
            <w:noWrap/>
            <w:vAlign w:val="bottom"/>
            <w:hideMark/>
          </w:tcPr>
          <w:p w14:paraId="0EE871D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585</w:t>
            </w:r>
          </w:p>
        </w:tc>
        <w:tc>
          <w:tcPr>
            <w:tcW w:w="640" w:type="dxa"/>
            <w:tcBorders>
              <w:top w:val="nil"/>
              <w:left w:val="nil"/>
              <w:bottom w:val="nil"/>
              <w:right w:val="nil"/>
            </w:tcBorders>
            <w:shd w:val="clear" w:color="auto" w:fill="auto"/>
            <w:noWrap/>
            <w:vAlign w:val="bottom"/>
            <w:hideMark/>
          </w:tcPr>
          <w:p w14:paraId="06647EC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453</w:t>
            </w:r>
          </w:p>
        </w:tc>
      </w:tr>
      <w:tr w:rsidR="00FC4A41" w:rsidRPr="00FC4A41" w14:paraId="4FC499E3" w14:textId="77777777" w:rsidTr="00FC4A41">
        <w:trPr>
          <w:trHeight w:val="259"/>
        </w:trPr>
        <w:tc>
          <w:tcPr>
            <w:tcW w:w="2420" w:type="dxa"/>
            <w:tcBorders>
              <w:top w:val="nil"/>
              <w:left w:val="nil"/>
              <w:bottom w:val="nil"/>
              <w:right w:val="nil"/>
            </w:tcBorders>
            <w:shd w:val="clear" w:color="000000" w:fill="FABF8F"/>
            <w:noWrap/>
            <w:vAlign w:val="bottom"/>
            <w:hideMark/>
          </w:tcPr>
          <w:p w14:paraId="07A28D0B"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Tamaulipas</w:t>
            </w:r>
          </w:p>
        </w:tc>
        <w:tc>
          <w:tcPr>
            <w:tcW w:w="640" w:type="dxa"/>
            <w:tcBorders>
              <w:top w:val="nil"/>
              <w:left w:val="nil"/>
              <w:bottom w:val="nil"/>
              <w:right w:val="nil"/>
            </w:tcBorders>
            <w:shd w:val="clear" w:color="auto" w:fill="auto"/>
            <w:noWrap/>
            <w:vAlign w:val="bottom"/>
            <w:hideMark/>
          </w:tcPr>
          <w:p w14:paraId="020999A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1 077</w:t>
            </w:r>
          </w:p>
        </w:tc>
        <w:tc>
          <w:tcPr>
            <w:tcW w:w="640" w:type="dxa"/>
            <w:tcBorders>
              <w:top w:val="nil"/>
              <w:left w:val="nil"/>
              <w:bottom w:val="nil"/>
              <w:right w:val="nil"/>
            </w:tcBorders>
            <w:shd w:val="clear" w:color="auto" w:fill="auto"/>
            <w:noWrap/>
            <w:vAlign w:val="bottom"/>
            <w:hideMark/>
          </w:tcPr>
          <w:p w14:paraId="4558F13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1 561</w:t>
            </w:r>
          </w:p>
        </w:tc>
        <w:tc>
          <w:tcPr>
            <w:tcW w:w="640" w:type="dxa"/>
            <w:tcBorders>
              <w:top w:val="nil"/>
              <w:left w:val="nil"/>
              <w:bottom w:val="nil"/>
              <w:right w:val="nil"/>
            </w:tcBorders>
            <w:shd w:val="clear" w:color="auto" w:fill="auto"/>
            <w:noWrap/>
            <w:vAlign w:val="bottom"/>
            <w:hideMark/>
          </w:tcPr>
          <w:p w14:paraId="002A986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880</w:t>
            </w:r>
          </w:p>
        </w:tc>
        <w:tc>
          <w:tcPr>
            <w:tcW w:w="640" w:type="dxa"/>
            <w:tcBorders>
              <w:top w:val="nil"/>
              <w:left w:val="nil"/>
              <w:bottom w:val="nil"/>
              <w:right w:val="nil"/>
            </w:tcBorders>
            <w:shd w:val="clear" w:color="auto" w:fill="auto"/>
            <w:noWrap/>
            <w:vAlign w:val="bottom"/>
            <w:hideMark/>
          </w:tcPr>
          <w:p w14:paraId="7D24CA6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913</w:t>
            </w:r>
          </w:p>
        </w:tc>
        <w:tc>
          <w:tcPr>
            <w:tcW w:w="640" w:type="dxa"/>
            <w:tcBorders>
              <w:top w:val="nil"/>
              <w:left w:val="nil"/>
              <w:bottom w:val="nil"/>
              <w:right w:val="nil"/>
            </w:tcBorders>
            <w:shd w:val="clear" w:color="auto" w:fill="auto"/>
            <w:noWrap/>
            <w:vAlign w:val="bottom"/>
            <w:hideMark/>
          </w:tcPr>
          <w:p w14:paraId="0776CE3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682</w:t>
            </w:r>
          </w:p>
        </w:tc>
        <w:tc>
          <w:tcPr>
            <w:tcW w:w="640" w:type="dxa"/>
            <w:tcBorders>
              <w:top w:val="nil"/>
              <w:left w:val="nil"/>
              <w:bottom w:val="nil"/>
              <w:right w:val="nil"/>
            </w:tcBorders>
            <w:shd w:val="clear" w:color="auto" w:fill="auto"/>
            <w:noWrap/>
            <w:vAlign w:val="bottom"/>
            <w:hideMark/>
          </w:tcPr>
          <w:p w14:paraId="73D18CD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807</w:t>
            </w:r>
          </w:p>
        </w:tc>
        <w:tc>
          <w:tcPr>
            <w:tcW w:w="640" w:type="dxa"/>
            <w:tcBorders>
              <w:top w:val="nil"/>
              <w:left w:val="nil"/>
              <w:bottom w:val="nil"/>
              <w:right w:val="nil"/>
            </w:tcBorders>
            <w:shd w:val="clear" w:color="auto" w:fill="auto"/>
            <w:noWrap/>
            <w:vAlign w:val="bottom"/>
            <w:hideMark/>
          </w:tcPr>
          <w:p w14:paraId="4915CA4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1 204</w:t>
            </w:r>
          </w:p>
        </w:tc>
        <w:tc>
          <w:tcPr>
            <w:tcW w:w="640" w:type="dxa"/>
            <w:tcBorders>
              <w:top w:val="nil"/>
              <w:left w:val="nil"/>
              <w:bottom w:val="nil"/>
              <w:right w:val="nil"/>
            </w:tcBorders>
            <w:shd w:val="clear" w:color="auto" w:fill="auto"/>
            <w:noWrap/>
            <w:vAlign w:val="bottom"/>
            <w:hideMark/>
          </w:tcPr>
          <w:p w14:paraId="63FF123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1 437</w:t>
            </w:r>
          </w:p>
        </w:tc>
        <w:tc>
          <w:tcPr>
            <w:tcW w:w="640" w:type="dxa"/>
            <w:tcBorders>
              <w:top w:val="nil"/>
              <w:left w:val="nil"/>
              <w:bottom w:val="nil"/>
              <w:right w:val="nil"/>
            </w:tcBorders>
            <w:shd w:val="clear" w:color="auto" w:fill="auto"/>
            <w:noWrap/>
            <w:vAlign w:val="bottom"/>
            <w:hideMark/>
          </w:tcPr>
          <w:p w14:paraId="4B6B8A5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883</w:t>
            </w:r>
          </w:p>
        </w:tc>
        <w:tc>
          <w:tcPr>
            <w:tcW w:w="640" w:type="dxa"/>
            <w:tcBorders>
              <w:top w:val="nil"/>
              <w:left w:val="nil"/>
              <w:bottom w:val="nil"/>
              <w:right w:val="nil"/>
            </w:tcBorders>
            <w:shd w:val="clear" w:color="auto" w:fill="auto"/>
            <w:noWrap/>
            <w:vAlign w:val="bottom"/>
            <w:hideMark/>
          </w:tcPr>
          <w:p w14:paraId="77A655A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800</w:t>
            </w:r>
          </w:p>
        </w:tc>
        <w:tc>
          <w:tcPr>
            <w:tcW w:w="640" w:type="dxa"/>
            <w:tcBorders>
              <w:top w:val="nil"/>
              <w:left w:val="nil"/>
              <w:bottom w:val="nil"/>
              <w:right w:val="nil"/>
            </w:tcBorders>
            <w:shd w:val="clear" w:color="auto" w:fill="auto"/>
            <w:noWrap/>
            <w:vAlign w:val="bottom"/>
            <w:hideMark/>
          </w:tcPr>
          <w:p w14:paraId="4331277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739</w:t>
            </w:r>
          </w:p>
        </w:tc>
      </w:tr>
      <w:tr w:rsidR="00FC4A41" w:rsidRPr="00FC4A41" w14:paraId="64117CDC" w14:textId="77777777" w:rsidTr="00FC4A41">
        <w:trPr>
          <w:trHeight w:val="259"/>
        </w:trPr>
        <w:tc>
          <w:tcPr>
            <w:tcW w:w="2420" w:type="dxa"/>
            <w:tcBorders>
              <w:top w:val="nil"/>
              <w:left w:val="nil"/>
              <w:bottom w:val="nil"/>
              <w:right w:val="nil"/>
            </w:tcBorders>
            <w:shd w:val="clear" w:color="000000" w:fill="FABF8F"/>
            <w:noWrap/>
            <w:vAlign w:val="bottom"/>
            <w:hideMark/>
          </w:tcPr>
          <w:p w14:paraId="44506B23"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Tlaxcala</w:t>
            </w:r>
          </w:p>
        </w:tc>
        <w:tc>
          <w:tcPr>
            <w:tcW w:w="640" w:type="dxa"/>
            <w:tcBorders>
              <w:top w:val="nil"/>
              <w:left w:val="nil"/>
              <w:bottom w:val="nil"/>
              <w:right w:val="nil"/>
            </w:tcBorders>
            <w:shd w:val="clear" w:color="auto" w:fill="auto"/>
            <w:noWrap/>
            <w:vAlign w:val="bottom"/>
            <w:hideMark/>
          </w:tcPr>
          <w:p w14:paraId="5C2AF71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87</w:t>
            </w:r>
          </w:p>
        </w:tc>
        <w:tc>
          <w:tcPr>
            <w:tcW w:w="640" w:type="dxa"/>
            <w:tcBorders>
              <w:top w:val="nil"/>
              <w:left w:val="nil"/>
              <w:bottom w:val="nil"/>
              <w:right w:val="nil"/>
            </w:tcBorders>
            <w:shd w:val="clear" w:color="auto" w:fill="auto"/>
            <w:noWrap/>
            <w:vAlign w:val="bottom"/>
            <w:hideMark/>
          </w:tcPr>
          <w:p w14:paraId="7756950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75</w:t>
            </w:r>
          </w:p>
        </w:tc>
        <w:tc>
          <w:tcPr>
            <w:tcW w:w="640" w:type="dxa"/>
            <w:tcBorders>
              <w:top w:val="nil"/>
              <w:left w:val="nil"/>
              <w:bottom w:val="nil"/>
              <w:right w:val="nil"/>
            </w:tcBorders>
            <w:shd w:val="clear" w:color="auto" w:fill="auto"/>
            <w:noWrap/>
            <w:vAlign w:val="bottom"/>
            <w:hideMark/>
          </w:tcPr>
          <w:p w14:paraId="4FA04605"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91</w:t>
            </w:r>
          </w:p>
        </w:tc>
        <w:tc>
          <w:tcPr>
            <w:tcW w:w="640" w:type="dxa"/>
            <w:tcBorders>
              <w:top w:val="nil"/>
              <w:left w:val="nil"/>
              <w:bottom w:val="nil"/>
              <w:right w:val="nil"/>
            </w:tcBorders>
            <w:shd w:val="clear" w:color="auto" w:fill="auto"/>
            <w:noWrap/>
            <w:vAlign w:val="bottom"/>
            <w:hideMark/>
          </w:tcPr>
          <w:p w14:paraId="52AB203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88</w:t>
            </w:r>
          </w:p>
        </w:tc>
        <w:tc>
          <w:tcPr>
            <w:tcW w:w="640" w:type="dxa"/>
            <w:tcBorders>
              <w:top w:val="nil"/>
              <w:left w:val="nil"/>
              <w:bottom w:val="nil"/>
              <w:right w:val="nil"/>
            </w:tcBorders>
            <w:shd w:val="clear" w:color="auto" w:fill="auto"/>
            <w:noWrap/>
            <w:vAlign w:val="bottom"/>
            <w:hideMark/>
          </w:tcPr>
          <w:p w14:paraId="0A005F4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80</w:t>
            </w:r>
          </w:p>
        </w:tc>
        <w:tc>
          <w:tcPr>
            <w:tcW w:w="640" w:type="dxa"/>
            <w:tcBorders>
              <w:top w:val="nil"/>
              <w:left w:val="nil"/>
              <w:bottom w:val="nil"/>
              <w:right w:val="nil"/>
            </w:tcBorders>
            <w:shd w:val="clear" w:color="auto" w:fill="auto"/>
            <w:noWrap/>
            <w:vAlign w:val="bottom"/>
            <w:hideMark/>
          </w:tcPr>
          <w:p w14:paraId="4B5443E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96</w:t>
            </w:r>
          </w:p>
        </w:tc>
        <w:tc>
          <w:tcPr>
            <w:tcW w:w="640" w:type="dxa"/>
            <w:tcBorders>
              <w:top w:val="nil"/>
              <w:left w:val="nil"/>
              <w:bottom w:val="nil"/>
              <w:right w:val="nil"/>
            </w:tcBorders>
            <w:shd w:val="clear" w:color="auto" w:fill="auto"/>
            <w:noWrap/>
            <w:vAlign w:val="bottom"/>
            <w:hideMark/>
          </w:tcPr>
          <w:p w14:paraId="7ABE646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126</w:t>
            </w:r>
          </w:p>
        </w:tc>
        <w:tc>
          <w:tcPr>
            <w:tcW w:w="640" w:type="dxa"/>
            <w:tcBorders>
              <w:top w:val="nil"/>
              <w:left w:val="nil"/>
              <w:bottom w:val="nil"/>
              <w:right w:val="nil"/>
            </w:tcBorders>
            <w:shd w:val="clear" w:color="auto" w:fill="auto"/>
            <w:noWrap/>
            <w:vAlign w:val="bottom"/>
            <w:hideMark/>
          </w:tcPr>
          <w:p w14:paraId="751E17E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152</w:t>
            </w:r>
          </w:p>
        </w:tc>
        <w:tc>
          <w:tcPr>
            <w:tcW w:w="640" w:type="dxa"/>
            <w:tcBorders>
              <w:top w:val="nil"/>
              <w:left w:val="nil"/>
              <w:bottom w:val="nil"/>
              <w:right w:val="nil"/>
            </w:tcBorders>
            <w:shd w:val="clear" w:color="auto" w:fill="auto"/>
            <w:noWrap/>
            <w:vAlign w:val="bottom"/>
            <w:hideMark/>
          </w:tcPr>
          <w:p w14:paraId="1E8724E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189</w:t>
            </w:r>
          </w:p>
        </w:tc>
        <w:tc>
          <w:tcPr>
            <w:tcW w:w="640" w:type="dxa"/>
            <w:tcBorders>
              <w:top w:val="nil"/>
              <w:left w:val="nil"/>
              <w:bottom w:val="nil"/>
              <w:right w:val="nil"/>
            </w:tcBorders>
            <w:shd w:val="clear" w:color="auto" w:fill="auto"/>
            <w:noWrap/>
            <w:vAlign w:val="bottom"/>
            <w:hideMark/>
          </w:tcPr>
          <w:p w14:paraId="41A05A4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154</w:t>
            </w:r>
          </w:p>
        </w:tc>
        <w:tc>
          <w:tcPr>
            <w:tcW w:w="640" w:type="dxa"/>
            <w:tcBorders>
              <w:top w:val="nil"/>
              <w:left w:val="nil"/>
              <w:bottom w:val="nil"/>
              <w:right w:val="nil"/>
            </w:tcBorders>
            <w:shd w:val="clear" w:color="auto" w:fill="auto"/>
            <w:noWrap/>
            <w:vAlign w:val="bottom"/>
            <w:hideMark/>
          </w:tcPr>
          <w:p w14:paraId="3FB37EB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159</w:t>
            </w:r>
          </w:p>
        </w:tc>
      </w:tr>
      <w:tr w:rsidR="00FC4A41" w:rsidRPr="00FC4A41" w14:paraId="0E08C034" w14:textId="77777777" w:rsidTr="00FC4A41">
        <w:trPr>
          <w:trHeight w:val="259"/>
        </w:trPr>
        <w:tc>
          <w:tcPr>
            <w:tcW w:w="2420" w:type="dxa"/>
            <w:tcBorders>
              <w:top w:val="nil"/>
              <w:left w:val="nil"/>
              <w:bottom w:val="nil"/>
              <w:right w:val="nil"/>
            </w:tcBorders>
            <w:shd w:val="clear" w:color="000000" w:fill="FABF8F"/>
            <w:noWrap/>
            <w:vAlign w:val="bottom"/>
            <w:hideMark/>
          </w:tcPr>
          <w:p w14:paraId="0DEFF538"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Veracruz de Ignacio de la Llave</w:t>
            </w:r>
          </w:p>
        </w:tc>
        <w:tc>
          <w:tcPr>
            <w:tcW w:w="640" w:type="dxa"/>
            <w:tcBorders>
              <w:top w:val="nil"/>
              <w:left w:val="nil"/>
              <w:bottom w:val="nil"/>
              <w:right w:val="nil"/>
            </w:tcBorders>
            <w:shd w:val="clear" w:color="auto" w:fill="auto"/>
            <w:noWrap/>
            <w:vAlign w:val="bottom"/>
            <w:hideMark/>
          </w:tcPr>
          <w:p w14:paraId="499F0B0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1 000</w:t>
            </w:r>
          </w:p>
        </w:tc>
        <w:tc>
          <w:tcPr>
            <w:tcW w:w="640" w:type="dxa"/>
            <w:tcBorders>
              <w:top w:val="nil"/>
              <w:left w:val="nil"/>
              <w:bottom w:val="nil"/>
              <w:right w:val="nil"/>
            </w:tcBorders>
            <w:shd w:val="clear" w:color="auto" w:fill="auto"/>
            <w:noWrap/>
            <w:vAlign w:val="bottom"/>
            <w:hideMark/>
          </w:tcPr>
          <w:p w14:paraId="757719C1"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1 019</w:t>
            </w:r>
          </w:p>
        </w:tc>
        <w:tc>
          <w:tcPr>
            <w:tcW w:w="640" w:type="dxa"/>
            <w:tcBorders>
              <w:top w:val="nil"/>
              <w:left w:val="nil"/>
              <w:bottom w:val="nil"/>
              <w:right w:val="nil"/>
            </w:tcBorders>
            <w:shd w:val="clear" w:color="auto" w:fill="auto"/>
            <w:noWrap/>
            <w:vAlign w:val="bottom"/>
            <w:hideMark/>
          </w:tcPr>
          <w:p w14:paraId="7523F7D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765</w:t>
            </w:r>
          </w:p>
        </w:tc>
        <w:tc>
          <w:tcPr>
            <w:tcW w:w="640" w:type="dxa"/>
            <w:tcBorders>
              <w:top w:val="nil"/>
              <w:left w:val="nil"/>
              <w:bottom w:val="nil"/>
              <w:right w:val="nil"/>
            </w:tcBorders>
            <w:shd w:val="clear" w:color="auto" w:fill="auto"/>
            <w:noWrap/>
            <w:vAlign w:val="bottom"/>
            <w:hideMark/>
          </w:tcPr>
          <w:p w14:paraId="7FE9227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883</w:t>
            </w:r>
          </w:p>
        </w:tc>
        <w:tc>
          <w:tcPr>
            <w:tcW w:w="640" w:type="dxa"/>
            <w:tcBorders>
              <w:top w:val="nil"/>
              <w:left w:val="nil"/>
              <w:bottom w:val="nil"/>
              <w:right w:val="nil"/>
            </w:tcBorders>
            <w:shd w:val="clear" w:color="auto" w:fill="auto"/>
            <w:noWrap/>
            <w:vAlign w:val="bottom"/>
            <w:hideMark/>
          </w:tcPr>
          <w:p w14:paraId="2DDC243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1 006</w:t>
            </w:r>
          </w:p>
        </w:tc>
        <w:tc>
          <w:tcPr>
            <w:tcW w:w="640" w:type="dxa"/>
            <w:tcBorders>
              <w:top w:val="nil"/>
              <w:left w:val="nil"/>
              <w:bottom w:val="nil"/>
              <w:right w:val="nil"/>
            </w:tcBorders>
            <w:shd w:val="clear" w:color="auto" w:fill="auto"/>
            <w:noWrap/>
            <w:vAlign w:val="bottom"/>
            <w:hideMark/>
          </w:tcPr>
          <w:p w14:paraId="71655A7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1 293</w:t>
            </w:r>
          </w:p>
        </w:tc>
        <w:tc>
          <w:tcPr>
            <w:tcW w:w="640" w:type="dxa"/>
            <w:tcBorders>
              <w:top w:val="nil"/>
              <w:left w:val="nil"/>
              <w:bottom w:val="nil"/>
              <w:right w:val="nil"/>
            </w:tcBorders>
            <w:shd w:val="clear" w:color="auto" w:fill="auto"/>
            <w:noWrap/>
            <w:vAlign w:val="bottom"/>
            <w:hideMark/>
          </w:tcPr>
          <w:p w14:paraId="584C924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1 851</w:t>
            </w:r>
          </w:p>
        </w:tc>
        <w:tc>
          <w:tcPr>
            <w:tcW w:w="640" w:type="dxa"/>
            <w:tcBorders>
              <w:top w:val="nil"/>
              <w:left w:val="nil"/>
              <w:bottom w:val="nil"/>
              <w:right w:val="nil"/>
            </w:tcBorders>
            <w:shd w:val="clear" w:color="auto" w:fill="auto"/>
            <w:noWrap/>
            <w:vAlign w:val="bottom"/>
            <w:hideMark/>
          </w:tcPr>
          <w:p w14:paraId="0C954C3F"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1 516</w:t>
            </w:r>
          </w:p>
        </w:tc>
        <w:tc>
          <w:tcPr>
            <w:tcW w:w="640" w:type="dxa"/>
            <w:tcBorders>
              <w:top w:val="nil"/>
              <w:left w:val="nil"/>
              <w:bottom w:val="nil"/>
              <w:right w:val="nil"/>
            </w:tcBorders>
            <w:shd w:val="clear" w:color="auto" w:fill="auto"/>
            <w:noWrap/>
            <w:vAlign w:val="bottom"/>
            <w:hideMark/>
          </w:tcPr>
          <w:p w14:paraId="569AD02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1 493</w:t>
            </w:r>
          </w:p>
        </w:tc>
        <w:tc>
          <w:tcPr>
            <w:tcW w:w="640" w:type="dxa"/>
            <w:tcBorders>
              <w:top w:val="nil"/>
              <w:left w:val="nil"/>
              <w:bottom w:val="nil"/>
              <w:right w:val="nil"/>
            </w:tcBorders>
            <w:shd w:val="clear" w:color="auto" w:fill="auto"/>
            <w:noWrap/>
            <w:vAlign w:val="bottom"/>
            <w:hideMark/>
          </w:tcPr>
          <w:p w14:paraId="0C31062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1 179</w:t>
            </w:r>
          </w:p>
        </w:tc>
        <w:tc>
          <w:tcPr>
            <w:tcW w:w="640" w:type="dxa"/>
            <w:tcBorders>
              <w:top w:val="nil"/>
              <w:left w:val="nil"/>
              <w:bottom w:val="nil"/>
              <w:right w:val="nil"/>
            </w:tcBorders>
            <w:shd w:val="clear" w:color="auto" w:fill="auto"/>
            <w:noWrap/>
            <w:vAlign w:val="bottom"/>
            <w:hideMark/>
          </w:tcPr>
          <w:p w14:paraId="4FC685D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945</w:t>
            </w:r>
          </w:p>
        </w:tc>
      </w:tr>
      <w:tr w:rsidR="00FC4A41" w:rsidRPr="00FC4A41" w14:paraId="0D01615E" w14:textId="77777777" w:rsidTr="00FC4A41">
        <w:trPr>
          <w:trHeight w:val="259"/>
        </w:trPr>
        <w:tc>
          <w:tcPr>
            <w:tcW w:w="2420" w:type="dxa"/>
            <w:tcBorders>
              <w:top w:val="nil"/>
              <w:left w:val="nil"/>
              <w:bottom w:val="nil"/>
              <w:right w:val="nil"/>
            </w:tcBorders>
            <w:shd w:val="clear" w:color="000000" w:fill="FABF8F"/>
            <w:noWrap/>
            <w:vAlign w:val="bottom"/>
            <w:hideMark/>
          </w:tcPr>
          <w:p w14:paraId="00C2487C"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Yucatán</w:t>
            </w:r>
          </w:p>
        </w:tc>
        <w:tc>
          <w:tcPr>
            <w:tcW w:w="640" w:type="dxa"/>
            <w:tcBorders>
              <w:top w:val="nil"/>
              <w:left w:val="nil"/>
              <w:bottom w:val="nil"/>
              <w:right w:val="nil"/>
            </w:tcBorders>
            <w:shd w:val="clear" w:color="auto" w:fill="auto"/>
            <w:noWrap/>
            <w:vAlign w:val="bottom"/>
            <w:hideMark/>
          </w:tcPr>
          <w:p w14:paraId="38637C5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53</w:t>
            </w:r>
          </w:p>
        </w:tc>
        <w:tc>
          <w:tcPr>
            <w:tcW w:w="640" w:type="dxa"/>
            <w:tcBorders>
              <w:top w:val="nil"/>
              <w:left w:val="nil"/>
              <w:bottom w:val="nil"/>
              <w:right w:val="nil"/>
            </w:tcBorders>
            <w:shd w:val="clear" w:color="auto" w:fill="auto"/>
            <w:noWrap/>
            <w:vAlign w:val="bottom"/>
            <w:hideMark/>
          </w:tcPr>
          <w:p w14:paraId="5BA6C1E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41</w:t>
            </w:r>
          </w:p>
        </w:tc>
        <w:tc>
          <w:tcPr>
            <w:tcW w:w="640" w:type="dxa"/>
            <w:tcBorders>
              <w:top w:val="nil"/>
              <w:left w:val="nil"/>
              <w:bottom w:val="nil"/>
              <w:right w:val="nil"/>
            </w:tcBorders>
            <w:shd w:val="clear" w:color="auto" w:fill="auto"/>
            <w:noWrap/>
            <w:vAlign w:val="bottom"/>
            <w:hideMark/>
          </w:tcPr>
          <w:p w14:paraId="276A3A4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49</w:t>
            </w:r>
          </w:p>
        </w:tc>
        <w:tc>
          <w:tcPr>
            <w:tcW w:w="640" w:type="dxa"/>
            <w:tcBorders>
              <w:top w:val="nil"/>
              <w:left w:val="nil"/>
              <w:bottom w:val="nil"/>
              <w:right w:val="nil"/>
            </w:tcBorders>
            <w:shd w:val="clear" w:color="auto" w:fill="auto"/>
            <w:noWrap/>
            <w:vAlign w:val="bottom"/>
            <w:hideMark/>
          </w:tcPr>
          <w:p w14:paraId="314A6A78"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47</w:t>
            </w:r>
          </w:p>
        </w:tc>
        <w:tc>
          <w:tcPr>
            <w:tcW w:w="640" w:type="dxa"/>
            <w:tcBorders>
              <w:top w:val="nil"/>
              <w:left w:val="nil"/>
              <w:bottom w:val="nil"/>
              <w:right w:val="nil"/>
            </w:tcBorders>
            <w:shd w:val="clear" w:color="auto" w:fill="auto"/>
            <w:noWrap/>
            <w:vAlign w:val="bottom"/>
            <w:hideMark/>
          </w:tcPr>
          <w:p w14:paraId="0EE34BAC"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58</w:t>
            </w:r>
          </w:p>
        </w:tc>
        <w:tc>
          <w:tcPr>
            <w:tcW w:w="640" w:type="dxa"/>
            <w:tcBorders>
              <w:top w:val="nil"/>
              <w:left w:val="nil"/>
              <w:bottom w:val="nil"/>
              <w:right w:val="nil"/>
            </w:tcBorders>
            <w:shd w:val="clear" w:color="auto" w:fill="auto"/>
            <w:noWrap/>
            <w:vAlign w:val="bottom"/>
            <w:hideMark/>
          </w:tcPr>
          <w:p w14:paraId="40DAC34D"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64</w:t>
            </w:r>
          </w:p>
        </w:tc>
        <w:tc>
          <w:tcPr>
            <w:tcW w:w="640" w:type="dxa"/>
            <w:tcBorders>
              <w:top w:val="nil"/>
              <w:left w:val="nil"/>
              <w:bottom w:val="nil"/>
              <w:right w:val="nil"/>
            </w:tcBorders>
            <w:shd w:val="clear" w:color="auto" w:fill="auto"/>
            <w:noWrap/>
            <w:vAlign w:val="bottom"/>
            <w:hideMark/>
          </w:tcPr>
          <w:p w14:paraId="2383353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52</w:t>
            </w:r>
          </w:p>
        </w:tc>
        <w:tc>
          <w:tcPr>
            <w:tcW w:w="640" w:type="dxa"/>
            <w:tcBorders>
              <w:top w:val="nil"/>
              <w:left w:val="nil"/>
              <w:bottom w:val="nil"/>
              <w:right w:val="nil"/>
            </w:tcBorders>
            <w:shd w:val="clear" w:color="auto" w:fill="auto"/>
            <w:noWrap/>
            <w:vAlign w:val="bottom"/>
            <w:hideMark/>
          </w:tcPr>
          <w:p w14:paraId="7B9C78E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59</w:t>
            </w:r>
          </w:p>
        </w:tc>
        <w:tc>
          <w:tcPr>
            <w:tcW w:w="640" w:type="dxa"/>
            <w:tcBorders>
              <w:top w:val="nil"/>
              <w:left w:val="nil"/>
              <w:bottom w:val="nil"/>
              <w:right w:val="nil"/>
            </w:tcBorders>
            <w:shd w:val="clear" w:color="auto" w:fill="auto"/>
            <w:noWrap/>
            <w:vAlign w:val="bottom"/>
            <w:hideMark/>
          </w:tcPr>
          <w:p w14:paraId="3CD84463"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46</w:t>
            </w:r>
          </w:p>
        </w:tc>
        <w:tc>
          <w:tcPr>
            <w:tcW w:w="640" w:type="dxa"/>
            <w:tcBorders>
              <w:top w:val="nil"/>
              <w:left w:val="nil"/>
              <w:bottom w:val="nil"/>
              <w:right w:val="nil"/>
            </w:tcBorders>
            <w:shd w:val="clear" w:color="auto" w:fill="auto"/>
            <w:noWrap/>
            <w:vAlign w:val="bottom"/>
            <w:hideMark/>
          </w:tcPr>
          <w:p w14:paraId="4FC4629B"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72</w:t>
            </w:r>
          </w:p>
        </w:tc>
        <w:tc>
          <w:tcPr>
            <w:tcW w:w="640" w:type="dxa"/>
            <w:tcBorders>
              <w:top w:val="nil"/>
              <w:left w:val="nil"/>
              <w:bottom w:val="nil"/>
              <w:right w:val="nil"/>
            </w:tcBorders>
            <w:shd w:val="clear" w:color="auto" w:fill="auto"/>
            <w:noWrap/>
            <w:vAlign w:val="bottom"/>
            <w:hideMark/>
          </w:tcPr>
          <w:p w14:paraId="3C07A99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55</w:t>
            </w:r>
          </w:p>
        </w:tc>
      </w:tr>
      <w:tr w:rsidR="00FC4A41" w:rsidRPr="00FC4A41" w14:paraId="288E0C84" w14:textId="77777777" w:rsidTr="00FC4A41">
        <w:trPr>
          <w:trHeight w:val="259"/>
        </w:trPr>
        <w:tc>
          <w:tcPr>
            <w:tcW w:w="2420" w:type="dxa"/>
            <w:tcBorders>
              <w:top w:val="nil"/>
              <w:left w:val="nil"/>
              <w:bottom w:val="nil"/>
              <w:right w:val="nil"/>
            </w:tcBorders>
            <w:shd w:val="clear" w:color="000000" w:fill="FABF8F"/>
            <w:noWrap/>
            <w:vAlign w:val="bottom"/>
            <w:hideMark/>
          </w:tcPr>
          <w:p w14:paraId="09011B62" w14:textId="77777777" w:rsidR="00FC4A41" w:rsidRPr="00FC4A41" w:rsidRDefault="00FC4A41" w:rsidP="00FC4A41">
            <w:pPr>
              <w:spacing w:after="0" w:line="240" w:lineRule="auto"/>
              <w:rPr>
                <w:rFonts w:ascii="Arial" w:hAnsi="Arial" w:cs="Arial"/>
                <w:color w:val="000000"/>
                <w:sz w:val="16"/>
                <w:szCs w:val="16"/>
              </w:rPr>
            </w:pPr>
            <w:r w:rsidRPr="00FC4A41">
              <w:rPr>
                <w:rFonts w:ascii="Arial" w:hAnsi="Arial" w:cs="Arial"/>
                <w:color w:val="000000"/>
                <w:sz w:val="16"/>
                <w:szCs w:val="16"/>
              </w:rPr>
              <w:t>Zacatecas</w:t>
            </w:r>
          </w:p>
        </w:tc>
        <w:tc>
          <w:tcPr>
            <w:tcW w:w="640" w:type="dxa"/>
            <w:tcBorders>
              <w:top w:val="nil"/>
              <w:left w:val="nil"/>
              <w:bottom w:val="nil"/>
              <w:right w:val="nil"/>
            </w:tcBorders>
            <w:shd w:val="clear" w:color="auto" w:fill="auto"/>
            <w:noWrap/>
            <w:vAlign w:val="bottom"/>
            <w:hideMark/>
          </w:tcPr>
          <w:p w14:paraId="0A8435FA"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290</w:t>
            </w:r>
          </w:p>
        </w:tc>
        <w:tc>
          <w:tcPr>
            <w:tcW w:w="640" w:type="dxa"/>
            <w:tcBorders>
              <w:top w:val="nil"/>
              <w:left w:val="nil"/>
              <w:bottom w:val="nil"/>
              <w:right w:val="nil"/>
            </w:tcBorders>
            <w:shd w:val="clear" w:color="auto" w:fill="auto"/>
            <w:noWrap/>
            <w:vAlign w:val="bottom"/>
            <w:hideMark/>
          </w:tcPr>
          <w:p w14:paraId="0D177437"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464</w:t>
            </w:r>
          </w:p>
        </w:tc>
        <w:tc>
          <w:tcPr>
            <w:tcW w:w="640" w:type="dxa"/>
            <w:tcBorders>
              <w:top w:val="nil"/>
              <w:left w:val="nil"/>
              <w:bottom w:val="nil"/>
              <w:right w:val="nil"/>
            </w:tcBorders>
            <w:shd w:val="clear" w:color="auto" w:fill="auto"/>
            <w:noWrap/>
            <w:vAlign w:val="bottom"/>
            <w:hideMark/>
          </w:tcPr>
          <w:p w14:paraId="57D224E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431</w:t>
            </w:r>
          </w:p>
        </w:tc>
        <w:tc>
          <w:tcPr>
            <w:tcW w:w="640" w:type="dxa"/>
            <w:tcBorders>
              <w:top w:val="nil"/>
              <w:left w:val="nil"/>
              <w:bottom w:val="nil"/>
              <w:right w:val="nil"/>
            </w:tcBorders>
            <w:shd w:val="clear" w:color="auto" w:fill="auto"/>
            <w:noWrap/>
            <w:vAlign w:val="bottom"/>
            <w:hideMark/>
          </w:tcPr>
          <w:p w14:paraId="33DE208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199</w:t>
            </w:r>
          </w:p>
        </w:tc>
        <w:tc>
          <w:tcPr>
            <w:tcW w:w="640" w:type="dxa"/>
            <w:tcBorders>
              <w:top w:val="nil"/>
              <w:left w:val="nil"/>
              <w:bottom w:val="nil"/>
              <w:right w:val="nil"/>
            </w:tcBorders>
            <w:shd w:val="clear" w:color="auto" w:fill="auto"/>
            <w:noWrap/>
            <w:vAlign w:val="bottom"/>
            <w:hideMark/>
          </w:tcPr>
          <w:p w14:paraId="6B92FC3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337</w:t>
            </w:r>
          </w:p>
        </w:tc>
        <w:tc>
          <w:tcPr>
            <w:tcW w:w="640" w:type="dxa"/>
            <w:tcBorders>
              <w:top w:val="nil"/>
              <w:left w:val="nil"/>
              <w:bottom w:val="nil"/>
              <w:right w:val="nil"/>
            </w:tcBorders>
            <w:shd w:val="clear" w:color="auto" w:fill="auto"/>
            <w:noWrap/>
            <w:vAlign w:val="bottom"/>
            <w:hideMark/>
          </w:tcPr>
          <w:p w14:paraId="00E298A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584</w:t>
            </w:r>
          </w:p>
        </w:tc>
        <w:tc>
          <w:tcPr>
            <w:tcW w:w="640" w:type="dxa"/>
            <w:tcBorders>
              <w:top w:val="nil"/>
              <w:left w:val="nil"/>
              <w:bottom w:val="nil"/>
              <w:right w:val="nil"/>
            </w:tcBorders>
            <w:shd w:val="clear" w:color="auto" w:fill="auto"/>
            <w:noWrap/>
            <w:vAlign w:val="bottom"/>
            <w:hideMark/>
          </w:tcPr>
          <w:p w14:paraId="10073462"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709</w:t>
            </w:r>
          </w:p>
        </w:tc>
        <w:tc>
          <w:tcPr>
            <w:tcW w:w="640" w:type="dxa"/>
            <w:tcBorders>
              <w:top w:val="nil"/>
              <w:left w:val="nil"/>
              <w:bottom w:val="nil"/>
              <w:right w:val="nil"/>
            </w:tcBorders>
            <w:shd w:val="clear" w:color="auto" w:fill="auto"/>
            <w:noWrap/>
            <w:vAlign w:val="bottom"/>
            <w:hideMark/>
          </w:tcPr>
          <w:p w14:paraId="7F7154C9"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773</w:t>
            </w:r>
          </w:p>
        </w:tc>
        <w:tc>
          <w:tcPr>
            <w:tcW w:w="640" w:type="dxa"/>
            <w:tcBorders>
              <w:top w:val="nil"/>
              <w:left w:val="nil"/>
              <w:bottom w:val="nil"/>
              <w:right w:val="nil"/>
            </w:tcBorders>
            <w:shd w:val="clear" w:color="auto" w:fill="auto"/>
            <w:noWrap/>
            <w:vAlign w:val="bottom"/>
            <w:hideMark/>
          </w:tcPr>
          <w:p w14:paraId="39CEAFC6"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 xml:space="preserve"> 683</w:t>
            </w:r>
          </w:p>
        </w:tc>
        <w:tc>
          <w:tcPr>
            <w:tcW w:w="640" w:type="dxa"/>
            <w:tcBorders>
              <w:top w:val="nil"/>
              <w:left w:val="nil"/>
              <w:bottom w:val="nil"/>
              <w:right w:val="nil"/>
            </w:tcBorders>
            <w:shd w:val="clear" w:color="auto" w:fill="auto"/>
            <w:noWrap/>
            <w:vAlign w:val="bottom"/>
            <w:hideMark/>
          </w:tcPr>
          <w:p w14:paraId="493A0DD4"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1 244</w:t>
            </w:r>
          </w:p>
        </w:tc>
        <w:tc>
          <w:tcPr>
            <w:tcW w:w="640" w:type="dxa"/>
            <w:tcBorders>
              <w:top w:val="nil"/>
              <w:left w:val="nil"/>
              <w:bottom w:val="nil"/>
              <w:right w:val="nil"/>
            </w:tcBorders>
            <w:shd w:val="clear" w:color="auto" w:fill="auto"/>
            <w:noWrap/>
            <w:vAlign w:val="bottom"/>
            <w:hideMark/>
          </w:tcPr>
          <w:p w14:paraId="5331621E" w14:textId="77777777" w:rsidR="00FC4A41" w:rsidRPr="00FC4A41" w:rsidRDefault="00FC4A41" w:rsidP="00FC4A41">
            <w:pPr>
              <w:spacing w:after="0" w:line="240" w:lineRule="auto"/>
              <w:jc w:val="right"/>
              <w:rPr>
                <w:rFonts w:ascii="Arial" w:hAnsi="Arial" w:cs="Arial"/>
                <w:sz w:val="16"/>
                <w:szCs w:val="16"/>
              </w:rPr>
            </w:pPr>
            <w:r w:rsidRPr="00FC4A41">
              <w:rPr>
                <w:rFonts w:ascii="Arial" w:hAnsi="Arial" w:cs="Arial"/>
                <w:sz w:val="16"/>
                <w:szCs w:val="16"/>
              </w:rPr>
              <w:t>1 776</w:t>
            </w:r>
          </w:p>
        </w:tc>
      </w:tr>
      <w:tr w:rsidR="00FC4A41" w:rsidRPr="00FC4A41" w14:paraId="026591F7" w14:textId="77777777" w:rsidTr="00FC4A41">
        <w:trPr>
          <w:trHeight w:val="390"/>
        </w:trPr>
        <w:tc>
          <w:tcPr>
            <w:tcW w:w="2420" w:type="dxa"/>
            <w:tcBorders>
              <w:top w:val="nil"/>
              <w:left w:val="nil"/>
              <w:bottom w:val="nil"/>
              <w:right w:val="nil"/>
            </w:tcBorders>
            <w:shd w:val="clear" w:color="000000" w:fill="C0504D"/>
            <w:noWrap/>
            <w:vAlign w:val="center"/>
            <w:hideMark/>
          </w:tcPr>
          <w:p w14:paraId="6C82E1D7" w14:textId="77777777" w:rsidR="00FC4A41" w:rsidRPr="00FC4A41" w:rsidRDefault="00FC4A41" w:rsidP="00FC4A41">
            <w:pPr>
              <w:spacing w:after="0" w:line="240" w:lineRule="auto"/>
              <w:rPr>
                <w:rFonts w:ascii="Arial" w:hAnsi="Arial" w:cs="Arial"/>
                <w:b/>
                <w:bCs/>
                <w:color w:val="FFFFFF"/>
                <w:sz w:val="16"/>
                <w:szCs w:val="16"/>
              </w:rPr>
            </w:pPr>
            <w:r w:rsidRPr="00FC4A41">
              <w:rPr>
                <w:rFonts w:ascii="Arial" w:hAnsi="Arial" w:cs="Arial"/>
                <w:b/>
                <w:bCs/>
                <w:color w:val="FFFFFF"/>
                <w:sz w:val="16"/>
                <w:szCs w:val="16"/>
              </w:rPr>
              <w:t>Estados Unidos Mexicanos</w:t>
            </w:r>
          </w:p>
        </w:tc>
        <w:tc>
          <w:tcPr>
            <w:tcW w:w="640" w:type="dxa"/>
            <w:tcBorders>
              <w:top w:val="nil"/>
              <w:left w:val="nil"/>
              <w:bottom w:val="nil"/>
              <w:right w:val="nil"/>
            </w:tcBorders>
            <w:shd w:val="clear" w:color="000000" w:fill="C0504D"/>
            <w:noWrap/>
            <w:vAlign w:val="center"/>
            <w:hideMark/>
          </w:tcPr>
          <w:p w14:paraId="741EF6A7"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27 213</w:t>
            </w:r>
          </w:p>
        </w:tc>
        <w:tc>
          <w:tcPr>
            <w:tcW w:w="640" w:type="dxa"/>
            <w:tcBorders>
              <w:top w:val="nil"/>
              <w:left w:val="nil"/>
              <w:bottom w:val="nil"/>
              <w:right w:val="nil"/>
            </w:tcBorders>
            <w:shd w:val="clear" w:color="000000" w:fill="C0504D"/>
            <w:noWrap/>
            <w:vAlign w:val="center"/>
            <w:hideMark/>
          </w:tcPr>
          <w:p w14:paraId="62E9671E"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25 967</w:t>
            </w:r>
          </w:p>
        </w:tc>
        <w:tc>
          <w:tcPr>
            <w:tcW w:w="640" w:type="dxa"/>
            <w:tcBorders>
              <w:top w:val="nil"/>
              <w:left w:val="nil"/>
              <w:bottom w:val="nil"/>
              <w:right w:val="nil"/>
            </w:tcBorders>
            <w:shd w:val="clear" w:color="000000" w:fill="C0504D"/>
            <w:noWrap/>
            <w:vAlign w:val="center"/>
            <w:hideMark/>
          </w:tcPr>
          <w:p w14:paraId="2F25CCE1"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23 063</w:t>
            </w:r>
          </w:p>
        </w:tc>
        <w:tc>
          <w:tcPr>
            <w:tcW w:w="640" w:type="dxa"/>
            <w:tcBorders>
              <w:top w:val="nil"/>
              <w:left w:val="nil"/>
              <w:bottom w:val="nil"/>
              <w:right w:val="nil"/>
            </w:tcBorders>
            <w:shd w:val="clear" w:color="000000" w:fill="C0504D"/>
            <w:noWrap/>
            <w:vAlign w:val="center"/>
            <w:hideMark/>
          </w:tcPr>
          <w:p w14:paraId="5831AB8E"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20 010</w:t>
            </w:r>
          </w:p>
        </w:tc>
        <w:tc>
          <w:tcPr>
            <w:tcW w:w="640" w:type="dxa"/>
            <w:tcBorders>
              <w:top w:val="nil"/>
              <w:left w:val="nil"/>
              <w:bottom w:val="nil"/>
              <w:right w:val="nil"/>
            </w:tcBorders>
            <w:shd w:val="clear" w:color="000000" w:fill="C0504D"/>
            <w:noWrap/>
            <w:vAlign w:val="center"/>
            <w:hideMark/>
          </w:tcPr>
          <w:p w14:paraId="048F3BEF"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20 762</w:t>
            </w:r>
          </w:p>
        </w:tc>
        <w:tc>
          <w:tcPr>
            <w:tcW w:w="640" w:type="dxa"/>
            <w:tcBorders>
              <w:top w:val="nil"/>
              <w:left w:val="nil"/>
              <w:bottom w:val="nil"/>
              <w:right w:val="nil"/>
            </w:tcBorders>
            <w:shd w:val="clear" w:color="000000" w:fill="C0504D"/>
            <w:noWrap/>
            <w:vAlign w:val="center"/>
            <w:hideMark/>
          </w:tcPr>
          <w:p w14:paraId="05FAEF08"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24 559</w:t>
            </w:r>
          </w:p>
        </w:tc>
        <w:tc>
          <w:tcPr>
            <w:tcW w:w="640" w:type="dxa"/>
            <w:tcBorders>
              <w:top w:val="nil"/>
              <w:left w:val="nil"/>
              <w:bottom w:val="nil"/>
              <w:right w:val="nil"/>
            </w:tcBorders>
            <w:shd w:val="clear" w:color="000000" w:fill="C0504D"/>
            <w:noWrap/>
            <w:vAlign w:val="center"/>
            <w:hideMark/>
          </w:tcPr>
          <w:p w14:paraId="06B0CA05"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32 079</w:t>
            </w:r>
          </w:p>
        </w:tc>
        <w:tc>
          <w:tcPr>
            <w:tcW w:w="640" w:type="dxa"/>
            <w:tcBorders>
              <w:top w:val="nil"/>
              <w:left w:val="nil"/>
              <w:bottom w:val="nil"/>
              <w:right w:val="nil"/>
            </w:tcBorders>
            <w:shd w:val="clear" w:color="000000" w:fill="C0504D"/>
            <w:noWrap/>
            <w:vAlign w:val="center"/>
            <w:hideMark/>
          </w:tcPr>
          <w:p w14:paraId="4742D990"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36 685</w:t>
            </w:r>
          </w:p>
        </w:tc>
        <w:tc>
          <w:tcPr>
            <w:tcW w:w="640" w:type="dxa"/>
            <w:tcBorders>
              <w:top w:val="nil"/>
              <w:left w:val="nil"/>
              <w:bottom w:val="nil"/>
              <w:right w:val="nil"/>
            </w:tcBorders>
            <w:shd w:val="clear" w:color="000000" w:fill="C0504D"/>
            <w:noWrap/>
            <w:vAlign w:val="center"/>
            <w:hideMark/>
          </w:tcPr>
          <w:p w14:paraId="6AA1488B"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36 661</w:t>
            </w:r>
          </w:p>
        </w:tc>
        <w:tc>
          <w:tcPr>
            <w:tcW w:w="640" w:type="dxa"/>
            <w:tcBorders>
              <w:top w:val="nil"/>
              <w:left w:val="nil"/>
              <w:bottom w:val="nil"/>
              <w:right w:val="nil"/>
            </w:tcBorders>
            <w:shd w:val="clear" w:color="000000" w:fill="C0504D"/>
            <w:noWrap/>
            <w:vAlign w:val="center"/>
            <w:hideMark/>
          </w:tcPr>
          <w:p w14:paraId="4868F787"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36 773</w:t>
            </w:r>
          </w:p>
        </w:tc>
        <w:tc>
          <w:tcPr>
            <w:tcW w:w="640" w:type="dxa"/>
            <w:tcBorders>
              <w:top w:val="nil"/>
              <w:left w:val="nil"/>
              <w:bottom w:val="nil"/>
              <w:right w:val="nil"/>
            </w:tcBorders>
            <w:shd w:val="clear" w:color="000000" w:fill="C0504D"/>
            <w:noWrap/>
            <w:vAlign w:val="center"/>
            <w:hideMark/>
          </w:tcPr>
          <w:p w14:paraId="7DECD99F" w14:textId="77777777" w:rsidR="00FC4A41" w:rsidRPr="00FC4A41" w:rsidRDefault="00FC4A41" w:rsidP="00FC4A41">
            <w:pPr>
              <w:spacing w:after="0" w:line="240" w:lineRule="auto"/>
              <w:jc w:val="right"/>
              <w:rPr>
                <w:rFonts w:ascii="Arial" w:hAnsi="Arial" w:cs="Arial"/>
                <w:b/>
                <w:bCs/>
                <w:color w:val="FFFFFF"/>
                <w:sz w:val="16"/>
                <w:szCs w:val="16"/>
              </w:rPr>
            </w:pPr>
            <w:r w:rsidRPr="00FC4A41">
              <w:rPr>
                <w:rFonts w:ascii="Arial" w:hAnsi="Arial" w:cs="Arial"/>
                <w:b/>
                <w:bCs/>
                <w:color w:val="FFFFFF"/>
                <w:sz w:val="16"/>
                <w:szCs w:val="16"/>
              </w:rPr>
              <w:t>35 625</w:t>
            </w:r>
          </w:p>
        </w:tc>
      </w:tr>
    </w:tbl>
    <w:p w14:paraId="0D9D651C" w14:textId="2ACF9E6E" w:rsidR="007F1285" w:rsidRPr="00C61ACD" w:rsidRDefault="007F1285" w:rsidP="007F1285">
      <w:pPr>
        <w:tabs>
          <w:tab w:val="left" w:pos="567"/>
        </w:tabs>
        <w:spacing w:after="0" w:line="240" w:lineRule="auto"/>
        <w:ind w:left="567" w:right="283" w:hanging="567"/>
        <w:jc w:val="both"/>
        <w:rPr>
          <w:rFonts w:ascii="Arial" w:hAnsi="Arial" w:cs="Arial"/>
          <w:bCs/>
          <w:sz w:val="14"/>
          <w:szCs w:val="14"/>
        </w:rPr>
      </w:pPr>
      <w:r w:rsidRPr="00C61ACD">
        <w:rPr>
          <w:rFonts w:ascii="Arial" w:hAnsi="Arial" w:cs="Arial"/>
          <w:bCs/>
          <w:sz w:val="14"/>
          <w:szCs w:val="14"/>
          <w:vertAlign w:val="superscript"/>
        </w:rPr>
        <w:t>p</w:t>
      </w:r>
      <w:r w:rsidRPr="00C61ACD">
        <w:rPr>
          <w:rFonts w:ascii="Arial" w:hAnsi="Arial" w:cs="Arial"/>
          <w:bCs/>
          <w:sz w:val="14"/>
          <w:szCs w:val="14"/>
        </w:rPr>
        <w:tab/>
        <w:t>Cifras preliminar</w:t>
      </w:r>
      <w:r>
        <w:rPr>
          <w:rFonts w:ascii="Arial" w:hAnsi="Arial" w:cs="Arial"/>
          <w:bCs/>
          <w:sz w:val="14"/>
          <w:szCs w:val="14"/>
        </w:rPr>
        <w:t xml:space="preserve">es (enero a diciembre 2021), con corte </w:t>
      </w:r>
      <w:r w:rsidRPr="00331198">
        <w:rPr>
          <w:rFonts w:ascii="Arial" w:hAnsi="Arial" w:cs="Arial"/>
          <w:bCs/>
          <w:sz w:val="14"/>
          <w:szCs w:val="14"/>
        </w:rPr>
        <w:t xml:space="preserve">al </w:t>
      </w:r>
      <w:r>
        <w:rPr>
          <w:rFonts w:ascii="Arial" w:hAnsi="Arial" w:cs="Arial"/>
          <w:bCs/>
          <w:sz w:val="14"/>
          <w:szCs w:val="14"/>
        </w:rPr>
        <w:t>15 de julio de 2022</w:t>
      </w:r>
      <w:r w:rsidR="00AF65B1">
        <w:rPr>
          <w:rFonts w:ascii="Arial" w:hAnsi="Arial" w:cs="Arial"/>
          <w:bCs/>
          <w:sz w:val="14"/>
          <w:szCs w:val="14"/>
        </w:rPr>
        <w:t xml:space="preserve">: </w:t>
      </w:r>
      <w:r w:rsidRPr="00C61ACD">
        <w:rPr>
          <w:rFonts w:ascii="Arial" w:hAnsi="Arial" w:cs="Arial"/>
          <w:bCs/>
          <w:sz w:val="14"/>
          <w:szCs w:val="14"/>
        </w:rPr>
        <w:t>aún no concluyen los procesos de generación de la</w:t>
      </w:r>
      <w:r>
        <w:rPr>
          <w:rFonts w:ascii="Arial" w:hAnsi="Arial" w:cs="Arial"/>
          <w:bCs/>
          <w:sz w:val="14"/>
          <w:szCs w:val="14"/>
        </w:rPr>
        <w:t>s</w:t>
      </w:r>
      <w:r w:rsidRPr="00C61ACD">
        <w:rPr>
          <w:rFonts w:ascii="Arial" w:hAnsi="Arial" w:cs="Arial"/>
          <w:bCs/>
          <w:sz w:val="14"/>
          <w:szCs w:val="14"/>
        </w:rPr>
        <w:t xml:space="preserve"> estadís</w:t>
      </w:r>
      <w:r>
        <w:rPr>
          <w:rFonts w:ascii="Arial" w:hAnsi="Arial" w:cs="Arial"/>
          <w:bCs/>
          <w:sz w:val="14"/>
          <w:szCs w:val="14"/>
        </w:rPr>
        <w:t>ticas de defunciones registradas</w:t>
      </w:r>
      <w:r w:rsidRPr="00C61ACD">
        <w:rPr>
          <w:rFonts w:ascii="Arial" w:hAnsi="Arial" w:cs="Arial"/>
          <w:bCs/>
          <w:sz w:val="14"/>
          <w:szCs w:val="14"/>
        </w:rPr>
        <w:t>.</w:t>
      </w:r>
    </w:p>
    <w:p w14:paraId="6A3C9560" w14:textId="124C04FD" w:rsidR="007F1285" w:rsidRPr="00910506" w:rsidRDefault="007F1285" w:rsidP="007F1285">
      <w:pPr>
        <w:tabs>
          <w:tab w:val="left" w:pos="567"/>
        </w:tabs>
        <w:spacing w:after="0" w:line="240" w:lineRule="auto"/>
        <w:ind w:right="283"/>
        <w:jc w:val="both"/>
        <w:rPr>
          <w:rFonts w:ascii="Arial" w:hAnsi="Arial" w:cs="Arial"/>
          <w:color w:val="000000"/>
          <w:sz w:val="14"/>
          <w:szCs w:val="14"/>
        </w:rPr>
      </w:pPr>
      <w:r w:rsidRPr="00C61ACD">
        <w:rPr>
          <w:rFonts w:ascii="Arial" w:hAnsi="Arial" w:cs="Arial"/>
          <w:color w:val="000000"/>
          <w:sz w:val="14"/>
          <w:szCs w:val="14"/>
        </w:rPr>
        <w:t>Fuente:</w:t>
      </w:r>
      <w:r w:rsidRPr="00C61ACD">
        <w:rPr>
          <w:rFonts w:ascii="Arial" w:hAnsi="Arial" w:cs="Arial"/>
          <w:color w:val="000000"/>
          <w:sz w:val="14"/>
          <w:szCs w:val="14"/>
        </w:rPr>
        <w:tab/>
      </w:r>
      <w:r w:rsidRPr="00BD7ACC">
        <w:rPr>
          <w:rFonts w:ascii="Arial" w:hAnsi="Arial" w:cs="Arial"/>
          <w:color w:val="000000"/>
          <w:sz w:val="14"/>
          <w:szCs w:val="14"/>
        </w:rPr>
        <w:t>INEGI</w:t>
      </w:r>
      <w:r w:rsidRPr="00C61ACD">
        <w:rPr>
          <w:rFonts w:ascii="Arial" w:hAnsi="Arial" w:cs="Arial"/>
          <w:b/>
          <w:bCs/>
          <w:color w:val="000000"/>
          <w:sz w:val="14"/>
          <w:szCs w:val="14"/>
        </w:rPr>
        <w:t>.</w:t>
      </w:r>
      <w:r w:rsidRPr="00C61ACD">
        <w:rPr>
          <w:rFonts w:ascii="Arial" w:hAnsi="Arial" w:cs="Arial"/>
          <w:color w:val="000000"/>
          <w:sz w:val="14"/>
          <w:szCs w:val="14"/>
        </w:rPr>
        <w:t xml:space="preserve"> Estadísticas Vitales.</w:t>
      </w:r>
      <w:r w:rsidR="00476316">
        <w:rPr>
          <w:rFonts w:ascii="Arial" w:hAnsi="Arial" w:cs="Arial"/>
          <w:color w:val="000000"/>
          <w:sz w:val="14"/>
          <w:szCs w:val="14"/>
        </w:rPr>
        <w:t xml:space="preserve"> Estadísticas de</w:t>
      </w:r>
      <w:r>
        <w:rPr>
          <w:rFonts w:ascii="Arial" w:hAnsi="Arial" w:cs="Arial"/>
          <w:color w:val="000000"/>
          <w:sz w:val="14"/>
          <w:szCs w:val="14"/>
        </w:rPr>
        <w:t xml:space="preserve"> Defunciones </w:t>
      </w:r>
      <w:r w:rsidR="00476316">
        <w:rPr>
          <w:rFonts w:ascii="Arial" w:hAnsi="Arial" w:cs="Arial"/>
          <w:color w:val="000000"/>
          <w:sz w:val="14"/>
          <w:szCs w:val="14"/>
        </w:rPr>
        <w:t>R</w:t>
      </w:r>
      <w:r>
        <w:rPr>
          <w:rFonts w:ascii="Arial" w:hAnsi="Arial" w:cs="Arial"/>
          <w:color w:val="000000"/>
          <w:sz w:val="14"/>
          <w:szCs w:val="14"/>
        </w:rPr>
        <w:t>egistradas</w:t>
      </w:r>
    </w:p>
    <w:p w14:paraId="313B692E" w14:textId="77777777" w:rsidR="009C09BE" w:rsidRDefault="007F1285" w:rsidP="007F1285">
      <w:pPr>
        <w:spacing w:after="0" w:line="240" w:lineRule="auto"/>
        <w:ind w:right="-142"/>
        <w:jc w:val="both"/>
        <w:rPr>
          <w:rFonts w:ascii="Arial" w:hAnsi="Arial" w:cs="Arial"/>
          <w:b/>
          <w:bCs/>
          <w:color w:val="000000"/>
          <w:highlight w:val="cyan"/>
        </w:rPr>
      </w:pPr>
      <w:r w:rsidRPr="00A0482B">
        <w:rPr>
          <w:rFonts w:ascii="Arial" w:hAnsi="Arial" w:cs="Arial"/>
          <w:b/>
          <w:bCs/>
          <w:color w:val="000000"/>
          <w:highlight w:val="cyan"/>
        </w:rPr>
        <w:br w:type="page"/>
      </w:r>
    </w:p>
    <w:p w14:paraId="40E76453" w14:textId="77777777" w:rsidR="00476316" w:rsidRDefault="00476316" w:rsidP="00BD7ACC">
      <w:pPr>
        <w:widowControl w:val="0"/>
        <w:autoSpaceDE w:val="0"/>
        <w:autoSpaceDN w:val="0"/>
        <w:adjustRightInd w:val="0"/>
        <w:spacing w:after="0" w:line="240" w:lineRule="auto"/>
        <w:ind w:left="993" w:right="425" w:hanging="993"/>
        <w:jc w:val="center"/>
        <w:rPr>
          <w:rFonts w:ascii="Arial" w:hAnsi="Arial"/>
          <w:sz w:val="20"/>
          <w:szCs w:val="20"/>
          <w:lang w:eastAsia="es-ES"/>
        </w:rPr>
      </w:pPr>
      <w:r>
        <w:rPr>
          <w:rFonts w:ascii="Arial" w:hAnsi="Arial"/>
          <w:sz w:val="20"/>
          <w:szCs w:val="20"/>
          <w:lang w:eastAsia="es-ES"/>
        </w:rPr>
        <w:lastRenderedPageBreak/>
        <w:t>Tabla 2</w:t>
      </w:r>
    </w:p>
    <w:p w14:paraId="758638ED" w14:textId="796514C8" w:rsidR="00476316" w:rsidRPr="00BD7ACC" w:rsidRDefault="007F1285" w:rsidP="00BD7ACC">
      <w:pPr>
        <w:widowControl w:val="0"/>
        <w:autoSpaceDE w:val="0"/>
        <w:autoSpaceDN w:val="0"/>
        <w:adjustRightInd w:val="0"/>
        <w:spacing w:after="0" w:line="240" w:lineRule="auto"/>
        <w:ind w:right="146"/>
        <w:jc w:val="center"/>
        <w:rPr>
          <w:rFonts w:ascii="Arial" w:hAnsi="Arial" w:cs="Arial"/>
          <w:b/>
          <w:smallCaps/>
          <w:lang w:eastAsia="es-ES"/>
        </w:rPr>
      </w:pPr>
      <w:r w:rsidRPr="00BD7ACC">
        <w:rPr>
          <w:rFonts w:ascii="Arial" w:hAnsi="Arial" w:cs="Arial"/>
          <w:b/>
          <w:smallCaps/>
          <w:lang w:eastAsia="es-ES"/>
        </w:rPr>
        <w:t>T</w:t>
      </w:r>
      <w:r w:rsidR="00FF1476" w:rsidRPr="00BD7ACC">
        <w:rPr>
          <w:rFonts w:ascii="Arial" w:hAnsi="Arial" w:cs="Arial"/>
          <w:b/>
          <w:smallCaps/>
          <w:lang w:eastAsia="es-ES"/>
        </w:rPr>
        <w:t>asa de homicidios por cada 100</w:t>
      </w:r>
      <w:r w:rsidR="005A7261" w:rsidRPr="00BD7ACC">
        <w:rPr>
          <w:rFonts w:ascii="Arial" w:hAnsi="Arial" w:cs="Arial"/>
          <w:b/>
          <w:smallCaps/>
          <w:lang w:eastAsia="es-ES"/>
        </w:rPr>
        <w:t xml:space="preserve"> </w:t>
      </w:r>
      <w:r w:rsidR="00FF1476" w:rsidRPr="00BD7ACC">
        <w:rPr>
          <w:rFonts w:ascii="Arial" w:hAnsi="Arial" w:cs="Arial"/>
          <w:b/>
          <w:smallCaps/>
          <w:lang w:eastAsia="es-ES"/>
        </w:rPr>
        <w:t>000 habitantes por entidad federativa según año de registro</w:t>
      </w:r>
      <w:r w:rsidR="00476316">
        <w:rPr>
          <w:rFonts w:ascii="Arial" w:hAnsi="Arial" w:cs="Arial"/>
          <w:b/>
          <w:smallCaps/>
          <w:sz w:val="24"/>
          <w:szCs w:val="24"/>
          <w:lang w:eastAsia="es-ES"/>
        </w:rPr>
        <w:t>.</w:t>
      </w:r>
    </w:p>
    <w:p w14:paraId="383F85D4" w14:textId="77777777" w:rsidR="007F1285" w:rsidRPr="00BD7ACC" w:rsidRDefault="00753795" w:rsidP="00BD7ACC">
      <w:pPr>
        <w:widowControl w:val="0"/>
        <w:autoSpaceDE w:val="0"/>
        <w:autoSpaceDN w:val="0"/>
        <w:adjustRightInd w:val="0"/>
        <w:spacing w:after="0" w:line="240" w:lineRule="auto"/>
        <w:ind w:right="146"/>
        <w:jc w:val="center"/>
        <w:rPr>
          <w:rFonts w:ascii="Arial" w:hAnsi="Arial" w:cs="Arial"/>
          <w:b/>
          <w:smallCaps/>
          <w:lang w:eastAsia="es-ES"/>
        </w:rPr>
      </w:pPr>
      <w:r w:rsidRPr="00BD7ACC">
        <w:rPr>
          <w:rFonts w:ascii="Arial" w:hAnsi="Arial" w:cs="Arial"/>
          <w:b/>
          <w:smallCaps/>
          <w:lang w:eastAsia="es-ES"/>
        </w:rPr>
        <w:t xml:space="preserve">Serie anual de </w:t>
      </w:r>
      <w:r w:rsidR="007F1285" w:rsidRPr="00BD7ACC">
        <w:rPr>
          <w:rFonts w:ascii="Arial" w:hAnsi="Arial" w:cs="Arial"/>
          <w:b/>
          <w:smallCaps/>
          <w:lang w:eastAsia="es-ES"/>
        </w:rPr>
        <w:t>2011 a 2021</w:t>
      </w:r>
      <w:r w:rsidR="007F1285" w:rsidRPr="00BD7ACC">
        <w:rPr>
          <w:rFonts w:ascii="Arial" w:hAnsi="Arial" w:cs="Arial"/>
          <w:b/>
          <w:smallCaps/>
          <w:vertAlign w:val="superscript"/>
          <w:lang w:eastAsia="es-ES"/>
        </w:rPr>
        <w:t>p</w:t>
      </w:r>
    </w:p>
    <w:p w14:paraId="77FDF732" w14:textId="77777777" w:rsidR="00FB1DF2" w:rsidRPr="003B3305" w:rsidRDefault="00FB1DF2" w:rsidP="00EE35D7">
      <w:pPr>
        <w:widowControl w:val="0"/>
        <w:autoSpaceDE w:val="0"/>
        <w:autoSpaceDN w:val="0"/>
        <w:adjustRightInd w:val="0"/>
        <w:spacing w:after="0" w:line="240" w:lineRule="auto"/>
        <w:ind w:left="993"/>
        <w:rPr>
          <w:rFonts w:ascii="Arial" w:hAnsi="Arial" w:cs="Arial"/>
          <w:b/>
          <w:smallCaps/>
          <w:sz w:val="24"/>
          <w:szCs w:val="24"/>
          <w:lang w:eastAsia="es-ES"/>
        </w:rPr>
      </w:pPr>
    </w:p>
    <w:tbl>
      <w:tblPr>
        <w:tblW w:w="9352" w:type="dxa"/>
        <w:tblInd w:w="40" w:type="dxa"/>
        <w:tblLayout w:type="fixed"/>
        <w:tblCellMar>
          <w:left w:w="70" w:type="dxa"/>
          <w:right w:w="70" w:type="dxa"/>
        </w:tblCellMar>
        <w:tblLook w:val="0000" w:firstRow="0" w:lastRow="0" w:firstColumn="0" w:lastColumn="0" w:noHBand="0" w:noVBand="0"/>
      </w:tblPr>
      <w:tblGrid>
        <w:gridCol w:w="2335"/>
        <w:gridCol w:w="621"/>
        <w:gridCol w:w="621"/>
        <w:gridCol w:w="621"/>
        <w:gridCol w:w="621"/>
        <w:gridCol w:w="621"/>
        <w:gridCol w:w="621"/>
        <w:gridCol w:w="621"/>
        <w:gridCol w:w="621"/>
        <w:gridCol w:w="621"/>
        <w:gridCol w:w="621"/>
        <w:gridCol w:w="807"/>
      </w:tblGrid>
      <w:tr w:rsidR="007F1285" w14:paraId="2B9F386A" w14:textId="77777777" w:rsidTr="00CD49DD">
        <w:trPr>
          <w:trHeight w:val="387"/>
        </w:trPr>
        <w:tc>
          <w:tcPr>
            <w:tcW w:w="2335" w:type="dxa"/>
            <w:tcBorders>
              <w:top w:val="nil"/>
              <w:left w:val="nil"/>
              <w:bottom w:val="nil"/>
              <w:right w:val="nil"/>
            </w:tcBorders>
            <w:shd w:val="clear" w:color="auto" w:fill="C0504D"/>
          </w:tcPr>
          <w:p w14:paraId="6501298E" w14:textId="77777777" w:rsidR="007F1285" w:rsidRDefault="007F1285" w:rsidP="00CD49DD">
            <w:pPr>
              <w:autoSpaceDE w:val="0"/>
              <w:autoSpaceDN w:val="0"/>
              <w:adjustRightInd w:val="0"/>
              <w:spacing w:after="0" w:line="240" w:lineRule="auto"/>
              <w:rPr>
                <w:rFonts w:ascii="Arial" w:eastAsia="Calibri" w:hAnsi="Arial" w:cs="Arial"/>
                <w:b/>
                <w:bCs/>
                <w:color w:val="FFFFFF"/>
                <w:sz w:val="16"/>
                <w:szCs w:val="16"/>
              </w:rPr>
            </w:pPr>
            <w:r>
              <w:rPr>
                <w:rFonts w:ascii="Arial" w:eastAsia="Calibri" w:hAnsi="Arial" w:cs="Arial"/>
                <w:b/>
                <w:bCs/>
                <w:color w:val="FFFFFF"/>
                <w:sz w:val="16"/>
                <w:szCs w:val="16"/>
              </w:rPr>
              <w:t>Entidad federativa de registro</w:t>
            </w:r>
          </w:p>
        </w:tc>
        <w:tc>
          <w:tcPr>
            <w:tcW w:w="621" w:type="dxa"/>
            <w:tcBorders>
              <w:top w:val="nil"/>
              <w:left w:val="nil"/>
              <w:bottom w:val="nil"/>
              <w:right w:val="nil"/>
            </w:tcBorders>
            <w:shd w:val="clear" w:color="auto" w:fill="C0504D"/>
          </w:tcPr>
          <w:p w14:paraId="78A4181B"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2011</w:t>
            </w:r>
          </w:p>
        </w:tc>
        <w:tc>
          <w:tcPr>
            <w:tcW w:w="621" w:type="dxa"/>
            <w:tcBorders>
              <w:top w:val="nil"/>
              <w:left w:val="nil"/>
              <w:bottom w:val="nil"/>
              <w:right w:val="nil"/>
            </w:tcBorders>
            <w:shd w:val="clear" w:color="auto" w:fill="C0504D"/>
          </w:tcPr>
          <w:p w14:paraId="4A3DB6C0"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2012</w:t>
            </w:r>
          </w:p>
        </w:tc>
        <w:tc>
          <w:tcPr>
            <w:tcW w:w="621" w:type="dxa"/>
            <w:tcBorders>
              <w:top w:val="nil"/>
              <w:left w:val="nil"/>
              <w:bottom w:val="nil"/>
              <w:right w:val="nil"/>
            </w:tcBorders>
            <w:shd w:val="clear" w:color="auto" w:fill="C0504D"/>
          </w:tcPr>
          <w:p w14:paraId="3C98AFCE"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2013</w:t>
            </w:r>
          </w:p>
        </w:tc>
        <w:tc>
          <w:tcPr>
            <w:tcW w:w="621" w:type="dxa"/>
            <w:tcBorders>
              <w:top w:val="nil"/>
              <w:left w:val="nil"/>
              <w:bottom w:val="nil"/>
              <w:right w:val="nil"/>
            </w:tcBorders>
            <w:shd w:val="clear" w:color="auto" w:fill="C0504D"/>
          </w:tcPr>
          <w:p w14:paraId="489D3353"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2014</w:t>
            </w:r>
          </w:p>
        </w:tc>
        <w:tc>
          <w:tcPr>
            <w:tcW w:w="621" w:type="dxa"/>
            <w:tcBorders>
              <w:top w:val="nil"/>
              <w:left w:val="nil"/>
              <w:bottom w:val="nil"/>
              <w:right w:val="nil"/>
            </w:tcBorders>
            <w:shd w:val="clear" w:color="auto" w:fill="C0504D"/>
          </w:tcPr>
          <w:p w14:paraId="51C6C78D"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2015</w:t>
            </w:r>
          </w:p>
        </w:tc>
        <w:tc>
          <w:tcPr>
            <w:tcW w:w="621" w:type="dxa"/>
            <w:tcBorders>
              <w:top w:val="nil"/>
              <w:left w:val="nil"/>
              <w:bottom w:val="nil"/>
              <w:right w:val="nil"/>
            </w:tcBorders>
            <w:shd w:val="clear" w:color="auto" w:fill="C0504D"/>
          </w:tcPr>
          <w:p w14:paraId="51E2423D"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2016</w:t>
            </w:r>
          </w:p>
        </w:tc>
        <w:tc>
          <w:tcPr>
            <w:tcW w:w="621" w:type="dxa"/>
            <w:tcBorders>
              <w:top w:val="nil"/>
              <w:left w:val="nil"/>
              <w:bottom w:val="nil"/>
              <w:right w:val="nil"/>
            </w:tcBorders>
            <w:shd w:val="clear" w:color="auto" w:fill="C0504D"/>
          </w:tcPr>
          <w:p w14:paraId="70140C14"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2017</w:t>
            </w:r>
          </w:p>
        </w:tc>
        <w:tc>
          <w:tcPr>
            <w:tcW w:w="621" w:type="dxa"/>
            <w:tcBorders>
              <w:top w:val="nil"/>
              <w:left w:val="nil"/>
              <w:bottom w:val="nil"/>
              <w:right w:val="nil"/>
            </w:tcBorders>
            <w:shd w:val="clear" w:color="auto" w:fill="C0504D"/>
          </w:tcPr>
          <w:p w14:paraId="4C204703"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2018</w:t>
            </w:r>
          </w:p>
        </w:tc>
        <w:tc>
          <w:tcPr>
            <w:tcW w:w="621" w:type="dxa"/>
            <w:tcBorders>
              <w:top w:val="nil"/>
              <w:left w:val="nil"/>
              <w:bottom w:val="nil"/>
              <w:right w:val="nil"/>
            </w:tcBorders>
            <w:shd w:val="clear" w:color="auto" w:fill="C0504D"/>
          </w:tcPr>
          <w:p w14:paraId="0D511FBA"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2019</w:t>
            </w:r>
          </w:p>
        </w:tc>
        <w:tc>
          <w:tcPr>
            <w:tcW w:w="621" w:type="dxa"/>
            <w:tcBorders>
              <w:top w:val="nil"/>
              <w:left w:val="nil"/>
              <w:bottom w:val="nil"/>
              <w:right w:val="nil"/>
            </w:tcBorders>
            <w:shd w:val="clear" w:color="auto" w:fill="C0504D"/>
          </w:tcPr>
          <w:p w14:paraId="7C3AC9AE"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vertAlign w:val="superscript"/>
              </w:rPr>
            </w:pPr>
            <w:r>
              <w:rPr>
                <w:rFonts w:ascii="Arial" w:eastAsia="Calibri" w:hAnsi="Arial" w:cs="Arial"/>
                <w:b/>
                <w:bCs/>
                <w:color w:val="FFFFFF"/>
                <w:sz w:val="16"/>
                <w:szCs w:val="16"/>
              </w:rPr>
              <w:t>2020</w:t>
            </w:r>
          </w:p>
        </w:tc>
        <w:tc>
          <w:tcPr>
            <w:tcW w:w="807" w:type="dxa"/>
            <w:tcBorders>
              <w:top w:val="nil"/>
              <w:left w:val="nil"/>
              <w:bottom w:val="nil"/>
              <w:right w:val="nil"/>
            </w:tcBorders>
            <w:shd w:val="clear" w:color="auto" w:fill="C0504D"/>
          </w:tcPr>
          <w:p w14:paraId="7658115E"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vertAlign w:val="superscript"/>
              </w:rPr>
            </w:pPr>
            <w:r>
              <w:rPr>
                <w:rFonts w:ascii="Arial" w:eastAsia="Calibri" w:hAnsi="Arial" w:cs="Arial"/>
                <w:b/>
                <w:bCs/>
                <w:color w:val="FFFFFF"/>
                <w:sz w:val="16"/>
                <w:szCs w:val="16"/>
              </w:rPr>
              <w:t>2021</w:t>
            </w:r>
            <w:r>
              <w:rPr>
                <w:rFonts w:ascii="Arial" w:eastAsia="Calibri" w:hAnsi="Arial" w:cs="Arial"/>
                <w:b/>
                <w:bCs/>
                <w:color w:val="FFFFFF"/>
                <w:sz w:val="16"/>
                <w:szCs w:val="16"/>
                <w:vertAlign w:val="superscript"/>
              </w:rPr>
              <w:t>p</w:t>
            </w:r>
          </w:p>
        </w:tc>
      </w:tr>
      <w:tr w:rsidR="007F1285" w14:paraId="71EFB477" w14:textId="77777777" w:rsidTr="00CD49DD">
        <w:trPr>
          <w:trHeight w:val="256"/>
        </w:trPr>
        <w:tc>
          <w:tcPr>
            <w:tcW w:w="2335" w:type="dxa"/>
            <w:tcBorders>
              <w:top w:val="nil"/>
              <w:left w:val="nil"/>
              <w:bottom w:val="nil"/>
              <w:right w:val="nil"/>
            </w:tcBorders>
            <w:shd w:val="clear" w:color="auto" w:fill="FCD5B4"/>
          </w:tcPr>
          <w:p w14:paraId="1643F854"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Aguascalientes</w:t>
            </w:r>
          </w:p>
        </w:tc>
        <w:tc>
          <w:tcPr>
            <w:tcW w:w="621" w:type="dxa"/>
            <w:tcBorders>
              <w:top w:val="nil"/>
              <w:left w:val="nil"/>
              <w:bottom w:val="nil"/>
              <w:right w:val="nil"/>
            </w:tcBorders>
          </w:tcPr>
          <w:p w14:paraId="489A5C5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w:t>
            </w:r>
          </w:p>
        </w:tc>
        <w:tc>
          <w:tcPr>
            <w:tcW w:w="621" w:type="dxa"/>
            <w:tcBorders>
              <w:top w:val="nil"/>
              <w:left w:val="nil"/>
              <w:bottom w:val="nil"/>
              <w:right w:val="nil"/>
            </w:tcBorders>
          </w:tcPr>
          <w:p w14:paraId="64D688A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w:t>
            </w:r>
          </w:p>
        </w:tc>
        <w:tc>
          <w:tcPr>
            <w:tcW w:w="621" w:type="dxa"/>
            <w:tcBorders>
              <w:top w:val="nil"/>
              <w:left w:val="nil"/>
              <w:bottom w:val="nil"/>
              <w:right w:val="nil"/>
            </w:tcBorders>
          </w:tcPr>
          <w:p w14:paraId="1544FD8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w:t>
            </w:r>
          </w:p>
        </w:tc>
        <w:tc>
          <w:tcPr>
            <w:tcW w:w="621" w:type="dxa"/>
            <w:tcBorders>
              <w:top w:val="nil"/>
              <w:left w:val="nil"/>
              <w:bottom w:val="nil"/>
              <w:right w:val="nil"/>
            </w:tcBorders>
          </w:tcPr>
          <w:p w14:paraId="12BE165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w:t>
            </w:r>
          </w:p>
        </w:tc>
        <w:tc>
          <w:tcPr>
            <w:tcW w:w="621" w:type="dxa"/>
            <w:tcBorders>
              <w:top w:val="nil"/>
              <w:left w:val="nil"/>
              <w:bottom w:val="nil"/>
              <w:right w:val="nil"/>
            </w:tcBorders>
          </w:tcPr>
          <w:p w14:paraId="216C686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w:t>
            </w:r>
          </w:p>
        </w:tc>
        <w:tc>
          <w:tcPr>
            <w:tcW w:w="621" w:type="dxa"/>
            <w:tcBorders>
              <w:top w:val="nil"/>
              <w:left w:val="nil"/>
              <w:bottom w:val="nil"/>
              <w:right w:val="nil"/>
            </w:tcBorders>
          </w:tcPr>
          <w:p w14:paraId="56ED9B2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w:t>
            </w:r>
          </w:p>
        </w:tc>
        <w:tc>
          <w:tcPr>
            <w:tcW w:w="621" w:type="dxa"/>
            <w:tcBorders>
              <w:top w:val="nil"/>
              <w:left w:val="nil"/>
              <w:bottom w:val="nil"/>
              <w:right w:val="nil"/>
            </w:tcBorders>
          </w:tcPr>
          <w:p w14:paraId="7466AE7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w:t>
            </w:r>
          </w:p>
        </w:tc>
        <w:tc>
          <w:tcPr>
            <w:tcW w:w="621" w:type="dxa"/>
            <w:tcBorders>
              <w:top w:val="nil"/>
              <w:left w:val="nil"/>
              <w:bottom w:val="nil"/>
              <w:right w:val="nil"/>
            </w:tcBorders>
          </w:tcPr>
          <w:p w14:paraId="223FF00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w:t>
            </w:r>
          </w:p>
        </w:tc>
        <w:tc>
          <w:tcPr>
            <w:tcW w:w="621" w:type="dxa"/>
            <w:tcBorders>
              <w:top w:val="nil"/>
              <w:left w:val="nil"/>
              <w:bottom w:val="nil"/>
              <w:right w:val="nil"/>
            </w:tcBorders>
          </w:tcPr>
          <w:p w14:paraId="09E76268"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w:t>
            </w:r>
          </w:p>
        </w:tc>
        <w:tc>
          <w:tcPr>
            <w:tcW w:w="621" w:type="dxa"/>
            <w:tcBorders>
              <w:top w:val="nil"/>
              <w:left w:val="nil"/>
              <w:bottom w:val="nil"/>
              <w:right w:val="nil"/>
            </w:tcBorders>
          </w:tcPr>
          <w:p w14:paraId="0CB6F5E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w:t>
            </w:r>
          </w:p>
        </w:tc>
        <w:tc>
          <w:tcPr>
            <w:tcW w:w="807" w:type="dxa"/>
            <w:tcBorders>
              <w:top w:val="nil"/>
              <w:left w:val="nil"/>
              <w:bottom w:val="nil"/>
              <w:right w:val="nil"/>
            </w:tcBorders>
          </w:tcPr>
          <w:p w14:paraId="6204EC7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w:t>
            </w:r>
          </w:p>
        </w:tc>
      </w:tr>
      <w:tr w:rsidR="007F1285" w14:paraId="21E90913" w14:textId="77777777" w:rsidTr="00CD49DD">
        <w:trPr>
          <w:trHeight w:val="256"/>
        </w:trPr>
        <w:tc>
          <w:tcPr>
            <w:tcW w:w="2335" w:type="dxa"/>
            <w:tcBorders>
              <w:top w:val="nil"/>
              <w:left w:val="nil"/>
              <w:bottom w:val="nil"/>
              <w:right w:val="nil"/>
            </w:tcBorders>
            <w:shd w:val="clear" w:color="auto" w:fill="FCD5B4"/>
          </w:tcPr>
          <w:p w14:paraId="13EB3E62"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Baja California</w:t>
            </w:r>
          </w:p>
        </w:tc>
        <w:tc>
          <w:tcPr>
            <w:tcW w:w="621" w:type="dxa"/>
            <w:tcBorders>
              <w:top w:val="nil"/>
              <w:left w:val="nil"/>
              <w:bottom w:val="nil"/>
              <w:right w:val="nil"/>
            </w:tcBorders>
          </w:tcPr>
          <w:p w14:paraId="42C4E08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25</w:t>
            </w:r>
          </w:p>
        </w:tc>
        <w:tc>
          <w:tcPr>
            <w:tcW w:w="621" w:type="dxa"/>
            <w:tcBorders>
              <w:top w:val="nil"/>
              <w:left w:val="nil"/>
              <w:bottom w:val="nil"/>
              <w:right w:val="nil"/>
            </w:tcBorders>
          </w:tcPr>
          <w:p w14:paraId="15E6C4A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c>
          <w:tcPr>
            <w:tcW w:w="621" w:type="dxa"/>
            <w:tcBorders>
              <w:top w:val="nil"/>
              <w:left w:val="nil"/>
              <w:bottom w:val="nil"/>
              <w:right w:val="nil"/>
            </w:tcBorders>
          </w:tcPr>
          <w:p w14:paraId="51142A0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23</w:t>
            </w:r>
          </w:p>
        </w:tc>
        <w:tc>
          <w:tcPr>
            <w:tcW w:w="621" w:type="dxa"/>
            <w:tcBorders>
              <w:top w:val="nil"/>
              <w:left w:val="nil"/>
              <w:bottom w:val="nil"/>
              <w:right w:val="nil"/>
            </w:tcBorders>
          </w:tcPr>
          <w:p w14:paraId="0D9DB1E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22</w:t>
            </w:r>
          </w:p>
        </w:tc>
        <w:tc>
          <w:tcPr>
            <w:tcW w:w="621" w:type="dxa"/>
            <w:tcBorders>
              <w:top w:val="nil"/>
              <w:left w:val="nil"/>
              <w:bottom w:val="nil"/>
              <w:right w:val="nil"/>
            </w:tcBorders>
          </w:tcPr>
          <w:p w14:paraId="75BDBBF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25</w:t>
            </w:r>
          </w:p>
        </w:tc>
        <w:tc>
          <w:tcPr>
            <w:tcW w:w="621" w:type="dxa"/>
            <w:tcBorders>
              <w:top w:val="nil"/>
              <w:left w:val="nil"/>
              <w:bottom w:val="nil"/>
              <w:right w:val="nil"/>
            </w:tcBorders>
          </w:tcPr>
          <w:p w14:paraId="0AE0A13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34</w:t>
            </w:r>
          </w:p>
        </w:tc>
        <w:tc>
          <w:tcPr>
            <w:tcW w:w="621" w:type="dxa"/>
            <w:tcBorders>
              <w:top w:val="nil"/>
              <w:left w:val="nil"/>
              <w:bottom w:val="nil"/>
              <w:right w:val="nil"/>
            </w:tcBorders>
          </w:tcPr>
          <w:p w14:paraId="6694799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63</w:t>
            </w:r>
          </w:p>
        </w:tc>
        <w:tc>
          <w:tcPr>
            <w:tcW w:w="621" w:type="dxa"/>
            <w:tcBorders>
              <w:top w:val="nil"/>
              <w:left w:val="nil"/>
              <w:bottom w:val="nil"/>
              <w:right w:val="nil"/>
            </w:tcBorders>
          </w:tcPr>
          <w:p w14:paraId="690976C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83</w:t>
            </w:r>
          </w:p>
        </w:tc>
        <w:tc>
          <w:tcPr>
            <w:tcW w:w="621" w:type="dxa"/>
            <w:tcBorders>
              <w:top w:val="nil"/>
              <w:left w:val="nil"/>
              <w:bottom w:val="nil"/>
              <w:right w:val="nil"/>
            </w:tcBorders>
          </w:tcPr>
          <w:p w14:paraId="2B1FE50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79</w:t>
            </w:r>
          </w:p>
        </w:tc>
        <w:tc>
          <w:tcPr>
            <w:tcW w:w="621" w:type="dxa"/>
            <w:tcBorders>
              <w:top w:val="nil"/>
              <w:left w:val="nil"/>
              <w:bottom w:val="nil"/>
              <w:right w:val="nil"/>
            </w:tcBorders>
          </w:tcPr>
          <w:p w14:paraId="01A2F540"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79</w:t>
            </w:r>
          </w:p>
        </w:tc>
        <w:tc>
          <w:tcPr>
            <w:tcW w:w="807" w:type="dxa"/>
            <w:tcBorders>
              <w:top w:val="nil"/>
              <w:left w:val="nil"/>
              <w:bottom w:val="nil"/>
              <w:right w:val="nil"/>
            </w:tcBorders>
          </w:tcPr>
          <w:p w14:paraId="63A73D5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86</w:t>
            </w:r>
          </w:p>
        </w:tc>
      </w:tr>
      <w:tr w:rsidR="007F1285" w14:paraId="6DCB5156" w14:textId="77777777" w:rsidTr="00CD49DD">
        <w:trPr>
          <w:trHeight w:val="256"/>
        </w:trPr>
        <w:tc>
          <w:tcPr>
            <w:tcW w:w="2335" w:type="dxa"/>
            <w:tcBorders>
              <w:top w:val="nil"/>
              <w:left w:val="nil"/>
              <w:bottom w:val="nil"/>
              <w:right w:val="nil"/>
            </w:tcBorders>
            <w:shd w:val="clear" w:color="auto" w:fill="FCD5B4"/>
          </w:tcPr>
          <w:p w14:paraId="040DF460"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Baja California Sur</w:t>
            </w:r>
          </w:p>
        </w:tc>
        <w:tc>
          <w:tcPr>
            <w:tcW w:w="621" w:type="dxa"/>
            <w:tcBorders>
              <w:top w:val="nil"/>
              <w:left w:val="nil"/>
              <w:bottom w:val="nil"/>
              <w:right w:val="nil"/>
            </w:tcBorders>
          </w:tcPr>
          <w:p w14:paraId="2664AB8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w:t>
            </w:r>
          </w:p>
        </w:tc>
        <w:tc>
          <w:tcPr>
            <w:tcW w:w="621" w:type="dxa"/>
            <w:tcBorders>
              <w:top w:val="nil"/>
              <w:left w:val="nil"/>
              <w:bottom w:val="nil"/>
              <w:right w:val="nil"/>
            </w:tcBorders>
          </w:tcPr>
          <w:p w14:paraId="7F14B9F8"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w:t>
            </w:r>
          </w:p>
        </w:tc>
        <w:tc>
          <w:tcPr>
            <w:tcW w:w="621" w:type="dxa"/>
            <w:tcBorders>
              <w:top w:val="nil"/>
              <w:left w:val="nil"/>
              <w:bottom w:val="nil"/>
              <w:right w:val="nil"/>
            </w:tcBorders>
          </w:tcPr>
          <w:p w14:paraId="592F692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w:t>
            </w:r>
          </w:p>
        </w:tc>
        <w:tc>
          <w:tcPr>
            <w:tcW w:w="621" w:type="dxa"/>
            <w:tcBorders>
              <w:top w:val="nil"/>
              <w:left w:val="nil"/>
              <w:bottom w:val="nil"/>
              <w:right w:val="nil"/>
            </w:tcBorders>
          </w:tcPr>
          <w:p w14:paraId="0AE3274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13</w:t>
            </w:r>
          </w:p>
        </w:tc>
        <w:tc>
          <w:tcPr>
            <w:tcW w:w="621" w:type="dxa"/>
            <w:tcBorders>
              <w:top w:val="nil"/>
              <w:left w:val="nil"/>
              <w:bottom w:val="nil"/>
              <w:right w:val="nil"/>
            </w:tcBorders>
          </w:tcPr>
          <w:p w14:paraId="4766F4F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25</w:t>
            </w:r>
          </w:p>
        </w:tc>
        <w:tc>
          <w:tcPr>
            <w:tcW w:w="621" w:type="dxa"/>
            <w:tcBorders>
              <w:top w:val="nil"/>
              <w:left w:val="nil"/>
              <w:bottom w:val="nil"/>
              <w:right w:val="nil"/>
            </w:tcBorders>
          </w:tcPr>
          <w:p w14:paraId="53D13CB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32</w:t>
            </w:r>
          </w:p>
        </w:tc>
        <w:tc>
          <w:tcPr>
            <w:tcW w:w="621" w:type="dxa"/>
            <w:tcBorders>
              <w:top w:val="nil"/>
              <w:left w:val="nil"/>
              <w:bottom w:val="nil"/>
              <w:right w:val="nil"/>
            </w:tcBorders>
          </w:tcPr>
          <w:p w14:paraId="1D140CA8"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100</w:t>
            </w:r>
          </w:p>
        </w:tc>
        <w:tc>
          <w:tcPr>
            <w:tcW w:w="621" w:type="dxa"/>
            <w:tcBorders>
              <w:top w:val="nil"/>
              <w:left w:val="nil"/>
              <w:bottom w:val="nil"/>
              <w:right w:val="nil"/>
            </w:tcBorders>
          </w:tcPr>
          <w:p w14:paraId="2536556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26</w:t>
            </w:r>
          </w:p>
        </w:tc>
        <w:tc>
          <w:tcPr>
            <w:tcW w:w="621" w:type="dxa"/>
            <w:tcBorders>
              <w:top w:val="nil"/>
              <w:left w:val="nil"/>
              <w:bottom w:val="nil"/>
              <w:right w:val="nil"/>
            </w:tcBorders>
          </w:tcPr>
          <w:p w14:paraId="30766DF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13</w:t>
            </w:r>
          </w:p>
        </w:tc>
        <w:tc>
          <w:tcPr>
            <w:tcW w:w="621" w:type="dxa"/>
            <w:tcBorders>
              <w:top w:val="nil"/>
              <w:left w:val="nil"/>
              <w:bottom w:val="nil"/>
              <w:right w:val="nil"/>
            </w:tcBorders>
          </w:tcPr>
          <w:p w14:paraId="4A655CA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807" w:type="dxa"/>
            <w:tcBorders>
              <w:top w:val="nil"/>
              <w:left w:val="nil"/>
              <w:bottom w:val="nil"/>
              <w:right w:val="nil"/>
            </w:tcBorders>
          </w:tcPr>
          <w:p w14:paraId="2D9FFD7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w:t>
            </w:r>
          </w:p>
        </w:tc>
      </w:tr>
      <w:tr w:rsidR="007F1285" w14:paraId="0A859AD0" w14:textId="77777777" w:rsidTr="00CD49DD">
        <w:trPr>
          <w:trHeight w:val="256"/>
        </w:trPr>
        <w:tc>
          <w:tcPr>
            <w:tcW w:w="2335" w:type="dxa"/>
            <w:tcBorders>
              <w:top w:val="nil"/>
              <w:left w:val="nil"/>
              <w:bottom w:val="nil"/>
              <w:right w:val="nil"/>
            </w:tcBorders>
            <w:shd w:val="clear" w:color="auto" w:fill="FCD5B4"/>
          </w:tcPr>
          <w:p w14:paraId="2BFC364C"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Campeche</w:t>
            </w:r>
          </w:p>
        </w:tc>
        <w:tc>
          <w:tcPr>
            <w:tcW w:w="621" w:type="dxa"/>
            <w:tcBorders>
              <w:top w:val="nil"/>
              <w:left w:val="nil"/>
              <w:bottom w:val="nil"/>
              <w:right w:val="nil"/>
            </w:tcBorders>
          </w:tcPr>
          <w:p w14:paraId="05BBC460"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w:t>
            </w:r>
          </w:p>
        </w:tc>
        <w:tc>
          <w:tcPr>
            <w:tcW w:w="621" w:type="dxa"/>
            <w:tcBorders>
              <w:top w:val="nil"/>
              <w:left w:val="nil"/>
              <w:bottom w:val="nil"/>
              <w:right w:val="nil"/>
            </w:tcBorders>
          </w:tcPr>
          <w:p w14:paraId="0F69444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w:t>
            </w:r>
          </w:p>
        </w:tc>
        <w:tc>
          <w:tcPr>
            <w:tcW w:w="621" w:type="dxa"/>
            <w:tcBorders>
              <w:top w:val="nil"/>
              <w:left w:val="nil"/>
              <w:bottom w:val="nil"/>
              <w:right w:val="nil"/>
            </w:tcBorders>
          </w:tcPr>
          <w:p w14:paraId="546D5AD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w:t>
            </w:r>
          </w:p>
        </w:tc>
        <w:tc>
          <w:tcPr>
            <w:tcW w:w="621" w:type="dxa"/>
            <w:tcBorders>
              <w:top w:val="nil"/>
              <w:left w:val="nil"/>
              <w:bottom w:val="nil"/>
              <w:right w:val="nil"/>
            </w:tcBorders>
          </w:tcPr>
          <w:p w14:paraId="0242DE6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w:t>
            </w:r>
          </w:p>
        </w:tc>
        <w:tc>
          <w:tcPr>
            <w:tcW w:w="621" w:type="dxa"/>
            <w:tcBorders>
              <w:top w:val="nil"/>
              <w:left w:val="nil"/>
              <w:bottom w:val="nil"/>
              <w:right w:val="nil"/>
            </w:tcBorders>
          </w:tcPr>
          <w:p w14:paraId="5A5A9EE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w:t>
            </w:r>
          </w:p>
        </w:tc>
        <w:tc>
          <w:tcPr>
            <w:tcW w:w="621" w:type="dxa"/>
            <w:tcBorders>
              <w:top w:val="nil"/>
              <w:left w:val="nil"/>
              <w:bottom w:val="nil"/>
              <w:right w:val="nil"/>
            </w:tcBorders>
          </w:tcPr>
          <w:p w14:paraId="6190134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6F40CDE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w:t>
            </w:r>
          </w:p>
        </w:tc>
        <w:tc>
          <w:tcPr>
            <w:tcW w:w="621" w:type="dxa"/>
            <w:tcBorders>
              <w:top w:val="nil"/>
              <w:left w:val="nil"/>
              <w:bottom w:val="nil"/>
              <w:right w:val="nil"/>
            </w:tcBorders>
          </w:tcPr>
          <w:p w14:paraId="242816D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w:t>
            </w:r>
          </w:p>
        </w:tc>
        <w:tc>
          <w:tcPr>
            <w:tcW w:w="621" w:type="dxa"/>
            <w:tcBorders>
              <w:top w:val="nil"/>
              <w:left w:val="nil"/>
              <w:bottom w:val="nil"/>
              <w:right w:val="nil"/>
            </w:tcBorders>
          </w:tcPr>
          <w:p w14:paraId="3100528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w:t>
            </w:r>
          </w:p>
        </w:tc>
        <w:tc>
          <w:tcPr>
            <w:tcW w:w="621" w:type="dxa"/>
            <w:tcBorders>
              <w:top w:val="nil"/>
              <w:left w:val="nil"/>
              <w:bottom w:val="nil"/>
              <w:right w:val="nil"/>
            </w:tcBorders>
          </w:tcPr>
          <w:p w14:paraId="746ACF8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w:t>
            </w:r>
          </w:p>
        </w:tc>
        <w:tc>
          <w:tcPr>
            <w:tcW w:w="807" w:type="dxa"/>
            <w:tcBorders>
              <w:top w:val="nil"/>
              <w:left w:val="nil"/>
              <w:bottom w:val="nil"/>
              <w:right w:val="nil"/>
            </w:tcBorders>
          </w:tcPr>
          <w:p w14:paraId="40A8104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11</w:t>
            </w:r>
          </w:p>
        </w:tc>
      </w:tr>
      <w:tr w:rsidR="007F1285" w14:paraId="59AD2E04" w14:textId="77777777" w:rsidTr="00CD49DD">
        <w:trPr>
          <w:trHeight w:val="256"/>
        </w:trPr>
        <w:tc>
          <w:tcPr>
            <w:tcW w:w="2335" w:type="dxa"/>
            <w:tcBorders>
              <w:top w:val="nil"/>
              <w:left w:val="nil"/>
              <w:bottom w:val="nil"/>
              <w:right w:val="nil"/>
            </w:tcBorders>
            <w:shd w:val="clear" w:color="auto" w:fill="FCD5B4"/>
          </w:tcPr>
          <w:p w14:paraId="4290CC51"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Coahuila de Zaragoza</w:t>
            </w:r>
          </w:p>
        </w:tc>
        <w:tc>
          <w:tcPr>
            <w:tcW w:w="621" w:type="dxa"/>
            <w:tcBorders>
              <w:top w:val="nil"/>
              <w:left w:val="nil"/>
              <w:bottom w:val="nil"/>
              <w:right w:val="nil"/>
            </w:tcBorders>
          </w:tcPr>
          <w:p w14:paraId="47FB267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26</w:t>
            </w:r>
          </w:p>
        </w:tc>
        <w:tc>
          <w:tcPr>
            <w:tcW w:w="621" w:type="dxa"/>
            <w:tcBorders>
              <w:top w:val="nil"/>
              <w:left w:val="nil"/>
              <w:bottom w:val="nil"/>
              <w:right w:val="nil"/>
            </w:tcBorders>
          </w:tcPr>
          <w:p w14:paraId="08FF009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40</w:t>
            </w:r>
          </w:p>
        </w:tc>
        <w:tc>
          <w:tcPr>
            <w:tcW w:w="621" w:type="dxa"/>
            <w:tcBorders>
              <w:top w:val="nil"/>
              <w:left w:val="nil"/>
              <w:bottom w:val="nil"/>
              <w:right w:val="nil"/>
            </w:tcBorders>
          </w:tcPr>
          <w:p w14:paraId="39C7640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27</w:t>
            </w:r>
          </w:p>
        </w:tc>
        <w:tc>
          <w:tcPr>
            <w:tcW w:w="621" w:type="dxa"/>
            <w:tcBorders>
              <w:top w:val="nil"/>
              <w:left w:val="nil"/>
              <w:bottom w:val="nil"/>
              <w:right w:val="nil"/>
            </w:tcBorders>
          </w:tcPr>
          <w:p w14:paraId="3154FD9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16</w:t>
            </w:r>
          </w:p>
        </w:tc>
        <w:tc>
          <w:tcPr>
            <w:tcW w:w="621" w:type="dxa"/>
            <w:tcBorders>
              <w:top w:val="nil"/>
              <w:left w:val="nil"/>
              <w:bottom w:val="nil"/>
              <w:right w:val="nil"/>
            </w:tcBorders>
          </w:tcPr>
          <w:p w14:paraId="24925C2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1DE6487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w:t>
            </w:r>
          </w:p>
        </w:tc>
        <w:tc>
          <w:tcPr>
            <w:tcW w:w="621" w:type="dxa"/>
            <w:tcBorders>
              <w:top w:val="nil"/>
              <w:left w:val="nil"/>
              <w:bottom w:val="nil"/>
              <w:right w:val="nil"/>
            </w:tcBorders>
          </w:tcPr>
          <w:p w14:paraId="2677DB1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w:t>
            </w:r>
          </w:p>
        </w:tc>
        <w:tc>
          <w:tcPr>
            <w:tcW w:w="621" w:type="dxa"/>
            <w:tcBorders>
              <w:top w:val="nil"/>
              <w:left w:val="nil"/>
              <w:bottom w:val="nil"/>
              <w:right w:val="nil"/>
            </w:tcBorders>
          </w:tcPr>
          <w:p w14:paraId="5F1C1E7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w:t>
            </w:r>
          </w:p>
        </w:tc>
        <w:tc>
          <w:tcPr>
            <w:tcW w:w="621" w:type="dxa"/>
            <w:tcBorders>
              <w:top w:val="nil"/>
              <w:left w:val="nil"/>
              <w:bottom w:val="nil"/>
              <w:right w:val="nil"/>
            </w:tcBorders>
          </w:tcPr>
          <w:p w14:paraId="54C9049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3EC29E8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w:t>
            </w:r>
          </w:p>
        </w:tc>
        <w:tc>
          <w:tcPr>
            <w:tcW w:w="807" w:type="dxa"/>
            <w:tcBorders>
              <w:top w:val="nil"/>
              <w:left w:val="nil"/>
              <w:bottom w:val="nil"/>
              <w:right w:val="nil"/>
            </w:tcBorders>
          </w:tcPr>
          <w:p w14:paraId="4B4964C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5</w:t>
            </w:r>
          </w:p>
        </w:tc>
      </w:tr>
      <w:tr w:rsidR="007F1285" w14:paraId="63C5A1F0" w14:textId="77777777" w:rsidTr="00CD49DD">
        <w:trPr>
          <w:trHeight w:val="256"/>
        </w:trPr>
        <w:tc>
          <w:tcPr>
            <w:tcW w:w="2335" w:type="dxa"/>
            <w:tcBorders>
              <w:top w:val="nil"/>
              <w:left w:val="nil"/>
              <w:bottom w:val="nil"/>
              <w:right w:val="nil"/>
            </w:tcBorders>
            <w:shd w:val="clear" w:color="auto" w:fill="FCD5B4"/>
          </w:tcPr>
          <w:p w14:paraId="63CB40F8"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Colima</w:t>
            </w:r>
          </w:p>
        </w:tc>
        <w:tc>
          <w:tcPr>
            <w:tcW w:w="621" w:type="dxa"/>
            <w:tcBorders>
              <w:top w:val="nil"/>
              <w:left w:val="nil"/>
              <w:bottom w:val="nil"/>
              <w:right w:val="nil"/>
            </w:tcBorders>
          </w:tcPr>
          <w:p w14:paraId="07884B0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24</w:t>
            </w:r>
          </w:p>
        </w:tc>
        <w:tc>
          <w:tcPr>
            <w:tcW w:w="621" w:type="dxa"/>
            <w:tcBorders>
              <w:top w:val="nil"/>
              <w:left w:val="nil"/>
              <w:bottom w:val="nil"/>
              <w:right w:val="nil"/>
            </w:tcBorders>
          </w:tcPr>
          <w:p w14:paraId="12B40D3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39</w:t>
            </w:r>
          </w:p>
        </w:tc>
        <w:tc>
          <w:tcPr>
            <w:tcW w:w="621" w:type="dxa"/>
            <w:tcBorders>
              <w:top w:val="nil"/>
              <w:left w:val="nil"/>
              <w:bottom w:val="nil"/>
              <w:right w:val="nil"/>
            </w:tcBorders>
          </w:tcPr>
          <w:p w14:paraId="206BA22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32</w:t>
            </w:r>
          </w:p>
        </w:tc>
        <w:tc>
          <w:tcPr>
            <w:tcW w:w="621" w:type="dxa"/>
            <w:tcBorders>
              <w:top w:val="nil"/>
              <w:left w:val="nil"/>
              <w:bottom w:val="nil"/>
              <w:right w:val="nil"/>
            </w:tcBorders>
          </w:tcPr>
          <w:p w14:paraId="5C380A88"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20</w:t>
            </w:r>
          </w:p>
        </w:tc>
        <w:tc>
          <w:tcPr>
            <w:tcW w:w="621" w:type="dxa"/>
            <w:tcBorders>
              <w:top w:val="nil"/>
              <w:left w:val="nil"/>
              <w:bottom w:val="nil"/>
              <w:right w:val="nil"/>
            </w:tcBorders>
          </w:tcPr>
          <w:p w14:paraId="6CF8D9D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31</w:t>
            </w:r>
          </w:p>
        </w:tc>
        <w:tc>
          <w:tcPr>
            <w:tcW w:w="621" w:type="dxa"/>
            <w:tcBorders>
              <w:top w:val="nil"/>
              <w:left w:val="nil"/>
              <w:bottom w:val="nil"/>
              <w:right w:val="nil"/>
            </w:tcBorders>
          </w:tcPr>
          <w:p w14:paraId="21CB316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83</w:t>
            </w:r>
          </w:p>
        </w:tc>
        <w:tc>
          <w:tcPr>
            <w:tcW w:w="621" w:type="dxa"/>
            <w:tcBorders>
              <w:top w:val="nil"/>
              <w:left w:val="nil"/>
              <w:bottom w:val="nil"/>
              <w:right w:val="nil"/>
            </w:tcBorders>
          </w:tcPr>
          <w:p w14:paraId="0B32295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116</w:t>
            </w:r>
          </w:p>
        </w:tc>
        <w:tc>
          <w:tcPr>
            <w:tcW w:w="621" w:type="dxa"/>
            <w:tcBorders>
              <w:top w:val="nil"/>
              <w:left w:val="nil"/>
              <w:bottom w:val="nil"/>
              <w:right w:val="nil"/>
            </w:tcBorders>
          </w:tcPr>
          <w:p w14:paraId="1E688C9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98</w:t>
            </w:r>
          </w:p>
        </w:tc>
        <w:tc>
          <w:tcPr>
            <w:tcW w:w="621" w:type="dxa"/>
            <w:tcBorders>
              <w:top w:val="nil"/>
              <w:left w:val="nil"/>
              <w:bottom w:val="nil"/>
              <w:right w:val="nil"/>
            </w:tcBorders>
          </w:tcPr>
          <w:p w14:paraId="2BE5D66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107</w:t>
            </w:r>
          </w:p>
        </w:tc>
        <w:tc>
          <w:tcPr>
            <w:tcW w:w="621" w:type="dxa"/>
            <w:tcBorders>
              <w:top w:val="nil"/>
              <w:left w:val="nil"/>
              <w:bottom w:val="nil"/>
              <w:right w:val="nil"/>
            </w:tcBorders>
          </w:tcPr>
          <w:p w14:paraId="2B5F99B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95</w:t>
            </w:r>
          </w:p>
        </w:tc>
        <w:tc>
          <w:tcPr>
            <w:tcW w:w="807" w:type="dxa"/>
            <w:tcBorders>
              <w:top w:val="nil"/>
              <w:left w:val="nil"/>
              <w:bottom w:val="nil"/>
              <w:right w:val="nil"/>
            </w:tcBorders>
          </w:tcPr>
          <w:p w14:paraId="0D99E3D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82</w:t>
            </w:r>
          </w:p>
        </w:tc>
      </w:tr>
      <w:tr w:rsidR="007F1285" w14:paraId="59A65F7B" w14:textId="77777777" w:rsidTr="00CD49DD">
        <w:trPr>
          <w:trHeight w:val="256"/>
        </w:trPr>
        <w:tc>
          <w:tcPr>
            <w:tcW w:w="2335" w:type="dxa"/>
            <w:tcBorders>
              <w:top w:val="nil"/>
              <w:left w:val="nil"/>
              <w:bottom w:val="nil"/>
              <w:right w:val="nil"/>
            </w:tcBorders>
            <w:shd w:val="clear" w:color="auto" w:fill="FCD5B4"/>
          </w:tcPr>
          <w:p w14:paraId="2FE26C4D"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Chiapas</w:t>
            </w:r>
          </w:p>
        </w:tc>
        <w:tc>
          <w:tcPr>
            <w:tcW w:w="621" w:type="dxa"/>
            <w:tcBorders>
              <w:top w:val="nil"/>
              <w:left w:val="nil"/>
              <w:bottom w:val="nil"/>
              <w:right w:val="nil"/>
            </w:tcBorders>
          </w:tcPr>
          <w:p w14:paraId="1C617FF8"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w:t>
            </w:r>
          </w:p>
        </w:tc>
        <w:tc>
          <w:tcPr>
            <w:tcW w:w="621" w:type="dxa"/>
            <w:tcBorders>
              <w:top w:val="nil"/>
              <w:left w:val="nil"/>
              <w:bottom w:val="nil"/>
              <w:right w:val="nil"/>
            </w:tcBorders>
          </w:tcPr>
          <w:p w14:paraId="6377173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w:t>
            </w:r>
          </w:p>
        </w:tc>
        <w:tc>
          <w:tcPr>
            <w:tcW w:w="621" w:type="dxa"/>
            <w:tcBorders>
              <w:top w:val="nil"/>
              <w:left w:val="nil"/>
              <w:bottom w:val="nil"/>
              <w:right w:val="nil"/>
            </w:tcBorders>
          </w:tcPr>
          <w:p w14:paraId="6AC1CBA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27AEB47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w:t>
            </w:r>
          </w:p>
        </w:tc>
        <w:tc>
          <w:tcPr>
            <w:tcW w:w="621" w:type="dxa"/>
            <w:tcBorders>
              <w:top w:val="nil"/>
              <w:left w:val="nil"/>
              <w:bottom w:val="nil"/>
              <w:right w:val="nil"/>
            </w:tcBorders>
          </w:tcPr>
          <w:p w14:paraId="744EEBA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12B4955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34D1A1F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11</w:t>
            </w:r>
          </w:p>
        </w:tc>
        <w:tc>
          <w:tcPr>
            <w:tcW w:w="621" w:type="dxa"/>
            <w:tcBorders>
              <w:top w:val="nil"/>
              <w:left w:val="nil"/>
              <w:bottom w:val="nil"/>
              <w:right w:val="nil"/>
            </w:tcBorders>
          </w:tcPr>
          <w:p w14:paraId="6940450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61A4B00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11</w:t>
            </w:r>
          </w:p>
        </w:tc>
        <w:tc>
          <w:tcPr>
            <w:tcW w:w="621" w:type="dxa"/>
            <w:tcBorders>
              <w:top w:val="nil"/>
              <w:left w:val="nil"/>
              <w:bottom w:val="nil"/>
              <w:right w:val="nil"/>
            </w:tcBorders>
          </w:tcPr>
          <w:p w14:paraId="0602B76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807" w:type="dxa"/>
            <w:tcBorders>
              <w:top w:val="nil"/>
              <w:left w:val="nil"/>
              <w:bottom w:val="nil"/>
              <w:right w:val="nil"/>
            </w:tcBorders>
          </w:tcPr>
          <w:p w14:paraId="31425AE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r>
      <w:tr w:rsidR="007F1285" w14:paraId="14B9049D" w14:textId="77777777" w:rsidTr="00CD49DD">
        <w:trPr>
          <w:trHeight w:val="256"/>
        </w:trPr>
        <w:tc>
          <w:tcPr>
            <w:tcW w:w="2335" w:type="dxa"/>
            <w:tcBorders>
              <w:top w:val="nil"/>
              <w:left w:val="nil"/>
              <w:bottom w:val="nil"/>
              <w:right w:val="nil"/>
            </w:tcBorders>
            <w:shd w:val="clear" w:color="auto" w:fill="FCD5B4"/>
          </w:tcPr>
          <w:p w14:paraId="5EA9CC6C"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Chihuahua</w:t>
            </w:r>
          </w:p>
        </w:tc>
        <w:tc>
          <w:tcPr>
            <w:tcW w:w="621" w:type="dxa"/>
            <w:tcBorders>
              <w:top w:val="nil"/>
              <w:left w:val="nil"/>
              <w:bottom w:val="nil"/>
              <w:right w:val="nil"/>
            </w:tcBorders>
          </w:tcPr>
          <w:p w14:paraId="331423C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129</w:t>
            </w:r>
          </w:p>
        </w:tc>
        <w:tc>
          <w:tcPr>
            <w:tcW w:w="621" w:type="dxa"/>
            <w:tcBorders>
              <w:top w:val="nil"/>
              <w:left w:val="nil"/>
              <w:bottom w:val="nil"/>
              <w:right w:val="nil"/>
            </w:tcBorders>
          </w:tcPr>
          <w:p w14:paraId="26AE3DC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78</w:t>
            </w:r>
          </w:p>
        </w:tc>
        <w:tc>
          <w:tcPr>
            <w:tcW w:w="621" w:type="dxa"/>
            <w:tcBorders>
              <w:top w:val="nil"/>
              <w:left w:val="nil"/>
              <w:bottom w:val="nil"/>
              <w:right w:val="nil"/>
            </w:tcBorders>
          </w:tcPr>
          <w:p w14:paraId="0584A7A8"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60</w:t>
            </w:r>
          </w:p>
        </w:tc>
        <w:tc>
          <w:tcPr>
            <w:tcW w:w="621" w:type="dxa"/>
            <w:tcBorders>
              <w:top w:val="nil"/>
              <w:left w:val="nil"/>
              <w:bottom w:val="nil"/>
              <w:right w:val="nil"/>
            </w:tcBorders>
          </w:tcPr>
          <w:p w14:paraId="4D20798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49</w:t>
            </w:r>
          </w:p>
        </w:tc>
        <w:tc>
          <w:tcPr>
            <w:tcW w:w="621" w:type="dxa"/>
            <w:tcBorders>
              <w:top w:val="nil"/>
              <w:left w:val="nil"/>
              <w:bottom w:val="nil"/>
              <w:right w:val="nil"/>
            </w:tcBorders>
          </w:tcPr>
          <w:p w14:paraId="71E2EAE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43</w:t>
            </w:r>
          </w:p>
        </w:tc>
        <w:tc>
          <w:tcPr>
            <w:tcW w:w="621" w:type="dxa"/>
            <w:tcBorders>
              <w:top w:val="nil"/>
              <w:left w:val="nil"/>
              <w:bottom w:val="nil"/>
              <w:right w:val="nil"/>
            </w:tcBorders>
          </w:tcPr>
          <w:p w14:paraId="295BCA30"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49</w:t>
            </w:r>
          </w:p>
        </w:tc>
        <w:tc>
          <w:tcPr>
            <w:tcW w:w="621" w:type="dxa"/>
            <w:tcBorders>
              <w:top w:val="nil"/>
              <w:left w:val="nil"/>
              <w:bottom w:val="nil"/>
              <w:right w:val="nil"/>
            </w:tcBorders>
          </w:tcPr>
          <w:p w14:paraId="4168548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61</w:t>
            </w:r>
          </w:p>
        </w:tc>
        <w:tc>
          <w:tcPr>
            <w:tcW w:w="621" w:type="dxa"/>
            <w:tcBorders>
              <w:top w:val="nil"/>
              <w:left w:val="nil"/>
              <w:bottom w:val="nil"/>
              <w:right w:val="nil"/>
            </w:tcBorders>
          </w:tcPr>
          <w:p w14:paraId="5A80792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80</w:t>
            </w:r>
          </w:p>
        </w:tc>
        <w:tc>
          <w:tcPr>
            <w:tcW w:w="621" w:type="dxa"/>
            <w:tcBorders>
              <w:top w:val="nil"/>
              <w:left w:val="nil"/>
              <w:bottom w:val="nil"/>
              <w:right w:val="nil"/>
            </w:tcBorders>
          </w:tcPr>
          <w:p w14:paraId="0DB444B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78</w:t>
            </w:r>
          </w:p>
        </w:tc>
        <w:tc>
          <w:tcPr>
            <w:tcW w:w="621" w:type="dxa"/>
            <w:tcBorders>
              <w:top w:val="nil"/>
              <w:left w:val="nil"/>
              <w:bottom w:val="nil"/>
              <w:right w:val="nil"/>
            </w:tcBorders>
          </w:tcPr>
          <w:p w14:paraId="57BC731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92</w:t>
            </w:r>
          </w:p>
        </w:tc>
        <w:tc>
          <w:tcPr>
            <w:tcW w:w="807" w:type="dxa"/>
            <w:tcBorders>
              <w:top w:val="nil"/>
              <w:left w:val="nil"/>
              <w:bottom w:val="nil"/>
              <w:right w:val="nil"/>
            </w:tcBorders>
          </w:tcPr>
          <w:p w14:paraId="739776E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73</w:t>
            </w:r>
          </w:p>
        </w:tc>
      </w:tr>
      <w:tr w:rsidR="007F1285" w14:paraId="1262E31E" w14:textId="77777777" w:rsidTr="00CD49DD">
        <w:trPr>
          <w:trHeight w:val="256"/>
        </w:trPr>
        <w:tc>
          <w:tcPr>
            <w:tcW w:w="2335" w:type="dxa"/>
            <w:tcBorders>
              <w:top w:val="nil"/>
              <w:left w:val="nil"/>
              <w:bottom w:val="nil"/>
              <w:right w:val="nil"/>
            </w:tcBorders>
            <w:shd w:val="clear" w:color="auto" w:fill="FCD5B4"/>
          </w:tcPr>
          <w:p w14:paraId="18F2B136"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Ciudad de México</w:t>
            </w:r>
          </w:p>
        </w:tc>
        <w:tc>
          <w:tcPr>
            <w:tcW w:w="621" w:type="dxa"/>
            <w:tcBorders>
              <w:top w:val="nil"/>
              <w:left w:val="nil"/>
              <w:bottom w:val="nil"/>
              <w:right w:val="nil"/>
            </w:tcBorders>
          </w:tcPr>
          <w:p w14:paraId="3185249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5BDA2CC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5BF5437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6B29C5E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3C9B20E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264A88C0"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14</w:t>
            </w:r>
          </w:p>
        </w:tc>
        <w:tc>
          <w:tcPr>
            <w:tcW w:w="621" w:type="dxa"/>
            <w:tcBorders>
              <w:top w:val="nil"/>
              <w:left w:val="nil"/>
              <w:bottom w:val="nil"/>
              <w:right w:val="nil"/>
            </w:tcBorders>
          </w:tcPr>
          <w:p w14:paraId="146CFC2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15</w:t>
            </w:r>
          </w:p>
        </w:tc>
        <w:tc>
          <w:tcPr>
            <w:tcW w:w="621" w:type="dxa"/>
            <w:tcBorders>
              <w:top w:val="nil"/>
              <w:left w:val="nil"/>
              <w:bottom w:val="nil"/>
              <w:right w:val="nil"/>
            </w:tcBorders>
          </w:tcPr>
          <w:p w14:paraId="3411315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16</w:t>
            </w:r>
          </w:p>
        </w:tc>
        <w:tc>
          <w:tcPr>
            <w:tcW w:w="621" w:type="dxa"/>
            <w:tcBorders>
              <w:top w:val="nil"/>
              <w:left w:val="nil"/>
              <w:bottom w:val="nil"/>
              <w:right w:val="nil"/>
            </w:tcBorders>
          </w:tcPr>
          <w:p w14:paraId="129DB42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14</w:t>
            </w:r>
          </w:p>
        </w:tc>
        <w:tc>
          <w:tcPr>
            <w:tcW w:w="621" w:type="dxa"/>
            <w:tcBorders>
              <w:top w:val="nil"/>
              <w:left w:val="nil"/>
              <w:bottom w:val="nil"/>
              <w:right w:val="nil"/>
            </w:tcBorders>
          </w:tcPr>
          <w:p w14:paraId="47156A8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15</w:t>
            </w:r>
          </w:p>
        </w:tc>
        <w:tc>
          <w:tcPr>
            <w:tcW w:w="807" w:type="dxa"/>
            <w:tcBorders>
              <w:top w:val="nil"/>
              <w:left w:val="nil"/>
              <w:bottom w:val="nil"/>
              <w:right w:val="nil"/>
            </w:tcBorders>
          </w:tcPr>
          <w:p w14:paraId="1BA48A8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r>
      <w:tr w:rsidR="007F1285" w14:paraId="0F9D4601" w14:textId="77777777" w:rsidTr="00CD49DD">
        <w:trPr>
          <w:trHeight w:val="256"/>
        </w:trPr>
        <w:tc>
          <w:tcPr>
            <w:tcW w:w="2335" w:type="dxa"/>
            <w:tcBorders>
              <w:top w:val="nil"/>
              <w:left w:val="nil"/>
              <w:bottom w:val="nil"/>
              <w:right w:val="nil"/>
            </w:tcBorders>
            <w:shd w:val="clear" w:color="auto" w:fill="FCD5B4"/>
          </w:tcPr>
          <w:p w14:paraId="76AF9E5B"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Durango</w:t>
            </w:r>
          </w:p>
        </w:tc>
        <w:tc>
          <w:tcPr>
            <w:tcW w:w="621" w:type="dxa"/>
            <w:tcBorders>
              <w:top w:val="nil"/>
              <w:left w:val="nil"/>
              <w:bottom w:val="nil"/>
              <w:right w:val="nil"/>
            </w:tcBorders>
          </w:tcPr>
          <w:p w14:paraId="4A5B0C8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63</w:t>
            </w:r>
          </w:p>
        </w:tc>
        <w:tc>
          <w:tcPr>
            <w:tcW w:w="621" w:type="dxa"/>
            <w:tcBorders>
              <w:top w:val="nil"/>
              <w:left w:val="nil"/>
              <w:bottom w:val="nil"/>
              <w:right w:val="nil"/>
            </w:tcBorders>
          </w:tcPr>
          <w:p w14:paraId="21FD9B6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48</w:t>
            </w:r>
          </w:p>
        </w:tc>
        <w:tc>
          <w:tcPr>
            <w:tcW w:w="621" w:type="dxa"/>
            <w:tcBorders>
              <w:top w:val="nil"/>
              <w:left w:val="nil"/>
              <w:bottom w:val="nil"/>
              <w:right w:val="nil"/>
            </w:tcBorders>
          </w:tcPr>
          <w:p w14:paraId="193F5C8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27</w:t>
            </w:r>
          </w:p>
        </w:tc>
        <w:tc>
          <w:tcPr>
            <w:tcW w:w="621" w:type="dxa"/>
            <w:tcBorders>
              <w:top w:val="nil"/>
              <w:left w:val="nil"/>
              <w:bottom w:val="nil"/>
              <w:right w:val="nil"/>
            </w:tcBorders>
          </w:tcPr>
          <w:p w14:paraId="2ECDF4B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20</w:t>
            </w:r>
          </w:p>
        </w:tc>
        <w:tc>
          <w:tcPr>
            <w:tcW w:w="621" w:type="dxa"/>
            <w:tcBorders>
              <w:top w:val="nil"/>
              <w:left w:val="nil"/>
              <w:bottom w:val="nil"/>
              <w:right w:val="nil"/>
            </w:tcBorders>
          </w:tcPr>
          <w:p w14:paraId="2E3227D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11</w:t>
            </w:r>
          </w:p>
        </w:tc>
        <w:tc>
          <w:tcPr>
            <w:tcW w:w="621" w:type="dxa"/>
            <w:tcBorders>
              <w:top w:val="nil"/>
              <w:left w:val="nil"/>
              <w:bottom w:val="nil"/>
              <w:right w:val="nil"/>
            </w:tcBorders>
          </w:tcPr>
          <w:p w14:paraId="552F134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0A03A97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11</w:t>
            </w:r>
          </w:p>
        </w:tc>
        <w:tc>
          <w:tcPr>
            <w:tcW w:w="621" w:type="dxa"/>
            <w:tcBorders>
              <w:top w:val="nil"/>
              <w:left w:val="nil"/>
              <w:bottom w:val="nil"/>
              <w:right w:val="nil"/>
            </w:tcBorders>
          </w:tcPr>
          <w:p w14:paraId="498A15A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516E4B9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w:t>
            </w:r>
          </w:p>
        </w:tc>
        <w:tc>
          <w:tcPr>
            <w:tcW w:w="621" w:type="dxa"/>
            <w:tcBorders>
              <w:top w:val="nil"/>
              <w:left w:val="nil"/>
              <w:bottom w:val="nil"/>
              <w:right w:val="nil"/>
            </w:tcBorders>
          </w:tcPr>
          <w:p w14:paraId="0F56AD1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w:t>
            </w:r>
          </w:p>
        </w:tc>
        <w:tc>
          <w:tcPr>
            <w:tcW w:w="807" w:type="dxa"/>
            <w:tcBorders>
              <w:top w:val="nil"/>
              <w:left w:val="nil"/>
              <w:bottom w:val="nil"/>
              <w:right w:val="nil"/>
            </w:tcBorders>
          </w:tcPr>
          <w:p w14:paraId="0B3BC91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w:t>
            </w:r>
          </w:p>
        </w:tc>
      </w:tr>
      <w:tr w:rsidR="007F1285" w14:paraId="45AC839C" w14:textId="77777777" w:rsidTr="00CD49DD">
        <w:trPr>
          <w:trHeight w:val="256"/>
        </w:trPr>
        <w:tc>
          <w:tcPr>
            <w:tcW w:w="2335" w:type="dxa"/>
            <w:tcBorders>
              <w:top w:val="nil"/>
              <w:left w:val="nil"/>
              <w:bottom w:val="nil"/>
              <w:right w:val="nil"/>
            </w:tcBorders>
            <w:shd w:val="clear" w:color="auto" w:fill="FCD5B4"/>
          </w:tcPr>
          <w:p w14:paraId="1F934A04"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Guanajuato</w:t>
            </w:r>
          </w:p>
        </w:tc>
        <w:tc>
          <w:tcPr>
            <w:tcW w:w="621" w:type="dxa"/>
            <w:tcBorders>
              <w:top w:val="nil"/>
              <w:left w:val="nil"/>
              <w:bottom w:val="nil"/>
              <w:right w:val="nil"/>
            </w:tcBorders>
          </w:tcPr>
          <w:p w14:paraId="708B310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11</w:t>
            </w:r>
          </w:p>
        </w:tc>
        <w:tc>
          <w:tcPr>
            <w:tcW w:w="621" w:type="dxa"/>
            <w:tcBorders>
              <w:top w:val="nil"/>
              <w:left w:val="nil"/>
              <w:bottom w:val="nil"/>
              <w:right w:val="nil"/>
            </w:tcBorders>
          </w:tcPr>
          <w:p w14:paraId="26E4AE8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2E07B0D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78179BA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14</w:t>
            </w:r>
          </w:p>
        </w:tc>
        <w:tc>
          <w:tcPr>
            <w:tcW w:w="621" w:type="dxa"/>
            <w:tcBorders>
              <w:top w:val="nil"/>
              <w:left w:val="nil"/>
              <w:bottom w:val="nil"/>
              <w:right w:val="nil"/>
            </w:tcBorders>
          </w:tcPr>
          <w:p w14:paraId="3CBBC31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16</w:t>
            </w:r>
          </w:p>
        </w:tc>
        <w:tc>
          <w:tcPr>
            <w:tcW w:w="621" w:type="dxa"/>
            <w:tcBorders>
              <w:top w:val="nil"/>
              <w:left w:val="nil"/>
              <w:bottom w:val="nil"/>
              <w:right w:val="nil"/>
            </w:tcBorders>
          </w:tcPr>
          <w:p w14:paraId="0A39213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21</w:t>
            </w:r>
          </w:p>
        </w:tc>
        <w:tc>
          <w:tcPr>
            <w:tcW w:w="621" w:type="dxa"/>
            <w:tcBorders>
              <w:top w:val="nil"/>
              <w:left w:val="nil"/>
              <w:bottom w:val="nil"/>
              <w:right w:val="nil"/>
            </w:tcBorders>
          </w:tcPr>
          <w:p w14:paraId="4CBB906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38</w:t>
            </w:r>
          </w:p>
        </w:tc>
        <w:tc>
          <w:tcPr>
            <w:tcW w:w="621" w:type="dxa"/>
            <w:tcBorders>
              <w:top w:val="nil"/>
              <w:left w:val="nil"/>
              <w:bottom w:val="nil"/>
              <w:right w:val="nil"/>
            </w:tcBorders>
          </w:tcPr>
          <w:p w14:paraId="52A0527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57</w:t>
            </w:r>
          </w:p>
        </w:tc>
        <w:tc>
          <w:tcPr>
            <w:tcW w:w="621" w:type="dxa"/>
            <w:tcBorders>
              <w:top w:val="nil"/>
              <w:left w:val="nil"/>
              <w:bottom w:val="nil"/>
              <w:right w:val="nil"/>
            </w:tcBorders>
          </w:tcPr>
          <w:p w14:paraId="6B890AF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65</w:t>
            </w:r>
          </w:p>
        </w:tc>
        <w:tc>
          <w:tcPr>
            <w:tcW w:w="621" w:type="dxa"/>
            <w:tcBorders>
              <w:top w:val="nil"/>
              <w:left w:val="nil"/>
              <w:bottom w:val="nil"/>
              <w:right w:val="nil"/>
            </w:tcBorders>
          </w:tcPr>
          <w:p w14:paraId="03761D6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87</w:t>
            </w:r>
          </w:p>
        </w:tc>
        <w:tc>
          <w:tcPr>
            <w:tcW w:w="807" w:type="dxa"/>
            <w:tcBorders>
              <w:top w:val="nil"/>
              <w:left w:val="nil"/>
              <w:bottom w:val="nil"/>
              <w:right w:val="nil"/>
            </w:tcBorders>
          </w:tcPr>
          <w:p w14:paraId="65533F3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70</w:t>
            </w:r>
          </w:p>
        </w:tc>
      </w:tr>
      <w:tr w:rsidR="007F1285" w14:paraId="10EF8909" w14:textId="77777777" w:rsidTr="00CD49DD">
        <w:trPr>
          <w:trHeight w:val="256"/>
        </w:trPr>
        <w:tc>
          <w:tcPr>
            <w:tcW w:w="2335" w:type="dxa"/>
            <w:tcBorders>
              <w:top w:val="nil"/>
              <w:left w:val="nil"/>
              <w:bottom w:val="nil"/>
              <w:right w:val="nil"/>
            </w:tcBorders>
            <w:shd w:val="clear" w:color="auto" w:fill="FCD5B4"/>
          </w:tcPr>
          <w:p w14:paraId="0641C9B9"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Guerrero</w:t>
            </w:r>
          </w:p>
        </w:tc>
        <w:tc>
          <w:tcPr>
            <w:tcW w:w="621" w:type="dxa"/>
            <w:tcBorders>
              <w:top w:val="nil"/>
              <w:left w:val="nil"/>
              <w:bottom w:val="nil"/>
              <w:right w:val="nil"/>
            </w:tcBorders>
          </w:tcPr>
          <w:p w14:paraId="24E46DB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70</w:t>
            </w:r>
          </w:p>
        </w:tc>
        <w:tc>
          <w:tcPr>
            <w:tcW w:w="621" w:type="dxa"/>
            <w:tcBorders>
              <w:top w:val="nil"/>
              <w:left w:val="nil"/>
              <w:bottom w:val="nil"/>
              <w:right w:val="nil"/>
            </w:tcBorders>
          </w:tcPr>
          <w:p w14:paraId="6A51BF1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76</w:t>
            </w:r>
          </w:p>
        </w:tc>
        <w:tc>
          <w:tcPr>
            <w:tcW w:w="621" w:type="dxa"/>
            <w:tcBorders>
              <w:top w:val="nil"/>
              <w:left w:val="nil"/>
              <w:bottom w:val="nil"/>
              <w:right w:val="nil"/>
            </w:tcBorders>
          </w:tcPr>
          <w:p w14:paraId="5D1D161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65</w:t>
            </w:r>
          </w:p>
        </w:tc>
        <w:tc>
          <w:tcPr>
            <w:tcW w:w="621" w:type="dxa"/>
            <w:tcBorders>
              <w:top w:val="nil"/>
              <w:left w:val="nil"/>
              <w:bottom w:val="nil"/>
              <w:right w:val="nil"/>
            </w:tcBorders>
          </w:tcPr>
          <w:p w14:paraId="3FE4914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49</w:t>
            </w:r>
          </w:p>
        </w:tc>
        <w:tc>
          <w:tcPr>
            <w:tcW w:w="621" w:type="dxa"/>
            <w:tcBorders>
              <w:top w:val="nil"/>
              <w:left w:val="nil"/>
              <w:bottom w:val="nil"/>
              <w:right w:val="nil"/>
            </w:tcBorders>
          </w:tcPr>
          <w:p w14:paraId="3EA5F10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68</w:t>
            </w:r>
          </w:p>
        </w:tc>
        <w:tc>
          <w:tcPr>
            <w:tcW w:w="621" w:type="dxa"/>
            <w:tcBorders>
              <w:top w:val="nil"/>
              <w:left w:val="nil"/>
              <w:bottom w:val="nil"/>
              <w:right w:val="nil"/>
            </w:tcBorders>
          </w:tcPr>
          <w:p w14:paraId="7F1BDDF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72</w:t>
            </w:r>
          </w:p>
        </w:tc>
        <w:tc>
          <w:tcPr>
            <w:tcW w:w="621" w:type="dxa"/>
            <w:tcBorders>
              <w:top w:val="nil"/>
              <w:left w:val="nil"/>
              <w:bottom w:val="nil"/>
              <w:right w:val="nil"/>
            </w:tcBorders>
          </w:tcPr>
          <w:p w14:paraId="6B1F8A2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73</w:t>
            </w:r>
          </w:p>
        </w:tc>
        <w:tc>
          <w:tcPr>
            <w:tcW w:w="621" w:type="dxa"/>
            <w:tcBorders>
              <w:top w:val="nil"/>
              <w:left w:val="nil"/>
              <w:bottom w:val="nil"/>
              <w:right w:val="nil"/>
            </w:tcBorders>
          </w:tcPr>
          <w:p w14:paraId="3403B4D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65</w:t>
            </w:r>
          </w:p>
        </w:tc>
        <w:tc>
          <w:tcPr>
            <w:tcW w:w="621" w:type="dxa"/>
            <w:tcBorders>
              <w:top w:val="nil"/>
              <w:left w:val="nil"/>
              <w:bottom w:val="nil"/>
              <w:right w:val="nil"/>
            </w:tcBorders>
          </w:tcPr>
          <w:p w14:paraId="0D3D584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53</w:t>
            </w:r>
          </w:p>
        </w:tc>
        <w:tc>
          <w:tcPr>
            <w:tcW w:w="621" w:type="dxa"/>
            <w:tcBorders>
              <w:top w:val="nil"/>
              <w:left w:val="nil"/>
              <w:bottom w:val="nil"/>
              <w:right w:val="nil"/>
            </w:tcBorders>
          </w:tcPr>
          <w:p w14:paraId="057049C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42</w:t>
            </w:r>
          </w:p>
        </w:tc>
        <w:tc>
          <w:tcPr>
            <w:tcW w:w="807" w:type="dxa"/>
            <w:tcBorders>
              <w:top w:val="nil"/>
              <w:left w:val="nil"/>
              <w:bottom w:val="nil"/>
              <w:right w:val="nil"/>
            </w:tcBorders>
          </w:tcPr>
          <w:p w14:paraId="3FCC052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41</w:t>
            </w:r>
          </w:p>
        </w:tc>
      </w:tr>
      <w:tr w:rsidR="007F1285" w14:paraId="58E9A102" w14:textId="77777777" w:rsidTr="00CD49DD">
        <w:trPr>
          <w:trHeight w:val="256"/>
        </w:trPr>
        <w:tc>
          <w:tcPr>
            <w:tcW w:w="2335" w:type="dxa"/>
            <w:tcBorders>
              <w:top w:val="nil"/>
              <w:left w:val="nil"/>
              <w:bottom w:val="nil"/>
              <w:right w:val="nil"/>
            </w:tcBorders>
            <w:shd w:val="clear" w:color="auto" w:fill="FCD5B4"/>
          </w:tcPr>
          <w:p w14:paraId="5068D125"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Hidalgo</w:t>
            </w:r>
          </w:p>
        </w:tc>
        <w:tc>
          <w:tcPr>
            <w:tcW w:w="621" w:type="dxa"/>
            <w:tcBorders>
              <w:top w:val="nil"/>
              <w:left w:val="nil"/>
              <w:bottom w:val="nil"/>
              <w:right w:val="nil"/>
            </w:tcBorders>
          </w:tcPr>
          <w:p w14:paraId="602C5F1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w:t>
            </w:r>
          </w:p>
        </w:tc>
        <w:tc>
          <w:tcPr>
            <w:tcW w:w="621" w:type="dxa"/>
            <w:tcBorders>
              <w:top w:val="nil"/>
              <w:left w:val="nil"/>
              <w:bottom w:val="nil"/>
              <w:right w:val="nil"/>
            </w:tcBorders>
          </w:tcPr>
          <w:p w14:paraId="2148EFB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w:t>
            </w:r>
          </w:p>
        </w:tc>
        <w:tc>
          <w:tcPr>
            <w:tcW w:w="621" w:type="dxa"/>
            <w:tcBorders>
              <w:top w:val="nil"/>
              <w:left w:val="nil"/>
              <w:bottom w:val="nil"/>
              <w:right w:val="nil"/>
            </w:tcBorders>
          </w:tcPr>
          <w:p w14:paraId="06210AB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w:t>
            </w:r>
          </w:p>
        </w:tc>
        <w:tc>
          <w:tcPr>
            <w:tcW w:w="621" w:type="dxa"/>
            <w:tcBorders>
              <w:top w:val="nil"/>
              <w:left w:val="nil"/>
              <w:bottom w:val="nil"/>
              <w:right w:val="nil"/>
            </w:tcBorders>
          </w:tcPr>
          <w:p w14:paraId="3CA4A9A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w:t>
            </w:r>
          </w:p>
        </w:tc>
        <w:tc>
          <w:tcPr>
            <w:tcW w:w="621" w:type="dxa"/>
            <w:tcBorders>
              <w:top w:val="nil"/>
              <w:left w:val="nil"/>
              <w:bottom w:val="nil"/>
              <w:right w:val="nil"/>
            </w:tcBorders>
          </w:tcPr>
          <w:p w14:paraId="140E4F9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w:t>
            </w:r>
          </w:p>
        </w:tc>
        <w:tc>
          <w:tcPr>
            <w:tcW w:w="621" w:type="dxa"/>
            <w:tcBorders>
              <w:top w:val="nil"/>
              <w:left w:val="nil"/>
              <w:bottom w:val="nil"/>
              <w:right w:val="nil"/>
            </w:tcBorders>
          </w:tcPr>
          <w:p w14:paraId="040FB2A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w:t>
            </w:r>
          </w:p>
        </w:tc>
        <w:tc>
          <w:tcPr>
            <w:tcW w:w="621" w:type="dxa"/>
            <w:tcBorders>
              <w:top w:val="nil"/>
              <w:left w:val="nil"/>
              <w:bottom w:val="nil"/>
              <w:right w:val="nil"/>
            </w:tcBorders>
          </w:tcPr>
          <w:p w14:paraId="6945EBB0"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11</w:t>
            </w:r>
          </w:p>
        </w:tc>
        <w:tc>
          <w:tcPr>
            <w:tcW w:w="621" w:type="dxa"/>
            <w:tcBorders>
              <w:top w:val="nil"/>
              <w:left w:val="nil"/>
              <w:bottom w:val="nil"/>
              <w:right w:val="nil"/>
            </w:tcBorders>
          </w:tcPr>
          <w:p w14:paraId="3A6FA72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11</w:t>
            </w:r>
          </w:p>
        </w:tc>
        <w:tc>
          <w:tcPr>
            <w:tcW w:w="621" w:type="dxa"/>
            <w:tcBorders>
              <w:top w:val="nil"/>
              <w:left w:val="nil"/>
              <w:bottom w:val="nil"/>
              <w:right w:val="nil"/>
            </w:tcBorders>
          </w:tcPr>
          <w:p w14:paraId="686CC32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16</w:t>
            </w:r>
          </w:p>
        </w:tc>
        <w:tc>
          <w:tcPr>
            <w:tcW w:w="621" w:type="dxa"/>
            <w:tcBorders>
              <w:top w:val="nil"/>
              <w:left w:val="nil"/>
              <w:bottom w:val="nil"/>
              <w:right w:val="nil"/>
            </w:tcBorders>
          </w:tcPr>
          <w:p w14:paraId="2F86D72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807" w:type="dxa"/>
            <w:tcBorders>
              <w:top w:val="nil"/>
              <w:left w:val="nil"/>
              <w:bottom w:val="nil"/>
              <w:right w:val="nil"/>
            </w:tcBorders>
          </w:tcPr>
          <w:p w14:paraId="62F7D66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w:t>
            </w:r>
          </w:p>
        </w:tc>
      </w:tr>
      <w:tr w:rsidR="007F1285" w14:paraId="2EB193FE" w14:textId="77777777" w:rsidTr="00CD49DD">
        <w:trPr>
          <w:trHeight w:val="256"/>
        </w:trPr>
        <w:tc>
          <w:tcPr>
            <w:tcW w:w="2335" w:type="dxa"/>
            <w:tcBorders>
              <w:top w:val="nil"/>
              <w:left w:val="nil"/>
              <w:bottom w:val="nil"/>
              <w:right w:val="nil"/>
            </w:tcBorders>
            <w:shd w:val="clear" w:color="auto" w:fill="FCD5B4"/>
          </w:tcPr>
          <w:p w14:paraId="15D2B746"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Jalisco</w:t>
            </w:r>
          </w:p>
        </w:tc>
        <w:tc>
          <w:tcPr>
            <w:tcW w:w="621" w:type="dxa"/>
            <w:tcBorders>
              <w:top w:val="nil"/>
              <w:left w:val="nil"/>
              <w:bottom w:val="nil"/>
              <w:right w:val="nil"/>
            </w:tcBorders>
          </w:tcPr>
          <w:p w14:paraId="4FCDC15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20</w:t>
            </w:r>
          </w:p>
        </w:tc>
        <w:tc>
          <w:tcPr>
            <w:tcW w:w="621" w:type="dxa"/>
            <w:tcBorders>
              <w:top w:val="nil"/>
              <w:left w:val="nil"/>
              <w:bottom w:val="nil"/>
              <w:right w:val="nil"/>
            </w:tcBorders>
          </w:tcPr>
          <w:p w14:paraId="237ECFF8"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20</w:t>
            </w:r>
          </w:p>
        </w:tc>
        <w:tc>
          <w:tcPr>
            <w:tcW w:w="621" w:type="dxa"/>
            <w:tcBorders>
              <w:top w:val="nil"/>
              <w:left w:val="nil"/>
              <w:bottom w:val="nil"/>
              <w:right w:val="nil"/>
            </w:tcBorders>
          </w:tcPr>
          <w:p w14:paraId="52FD1AC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19</w:t>
            </w:r>
          </w:p>
        </w:tc>
        <w:tc>
          <w:tcPr>
            <w:tcW w:w="621" w:type="dxa"/>
            <w:tcBorders>
              <w:top w:val="nil"/>
              <w:left w:val="nil"/>
              <w:bottom w:val="nil"/>
              <w:right w:val="nil"/>
            </w:tcBorders>
          </w:tcPr>
          <w:p w14:paraId="52F8711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13</w:t>
            </w:r>
          </w:p>
        </w:tc>
        <w:tc>
          <w:tcPr>
            <w:tcW w:w="621" w:type="dxa"/>
            <w:tcBorders>
              <w:top w:val="nil"/>
              <w:left w:val="nil"/>
              <w:bottom w:val="nil"/>
              <w:right w:val="nil"/>
            </w:tcBorders>
          </w:tcPr>
          <w:p w14:paraId="20189AA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15</w:t>
            </w:r>
          </w:p>
        </w:tc>
        <w:tc>
          <w:tcPr>
            <w:tcW w:w="621" w:type="dxa"/>
            <w:tcBorders>
              <w:top w:val="nil"/>
              <w:left w:val="nil"/>
              <w:bottom w:val="nil"/>
              <w:right w:val="nil"/>
            </w:tcBorders>
          </w:tcPr>
          <w:p w14:paraId="6AF13A0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16</w:t>
            </w:r>
          </w:p>
        </w:tc>
        <w:tc>
          <w:tcPr>
            <w:tcW w:w="621" w:type="dxa"/>
            <w:tcBorders>
              <w:top w:val="nil"/>
              <w:left w:val="nil"/>
              <w:bottom w:val="nil"/>
              <w:right w:val="nil"/>
            </w:tcBorders>
          </w:tcPr>
          <w:p w14:paraId="434BFE1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19</w:t>
            </w:r>
          </w:p>
        </w:tc>
        <w:tc>
          <w:tcPr>
            <w:tcW w:w="621" w:type="dxa"/>
            <w:tcBorders>
              <w:top w:val="nil"/>
              <w:left w:val="nil"/>
              <w:bottom w:val="nil"/>
              <w:right w:val="nil"/>
            </w:tcBorders>
          </w:tcPr>
          <w:p w14:paraId="555F0F8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36</w:t>
            </w:r>
          </w:p>
        </w:tc>
        <w:tc>
          <w:tcPr>
            <w:tcW w:w="621" w:type="dxa"/>
            <w:tcBorders>
              <w:top w:val="nil"/>
              <w:left w:val="nil"/>
              <w:bottom w:val="nil"/>
              <w:right w:val="nil"/>
            </w:tcBorders>
          </w:tcPr>
          <w:p w14:paraId="3AE33B6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30</w:t>
            </w:r>
          </w:p>
        </w:tc>
        <w:tc>
          <w:tcPr>
            <w:tcW w:w="621" w:type="dxa"/>
            <w:tcBorders>
              <w:top w:val="nil"/>
              <w:left w:val="nil"/>
              <w:bottom w:val="nil"/>
              <w:right w:val="nil"/>
            </w:tcBorders>
          </w:tcPr>
          <w:p w14:paraId="3A69DED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27</w:t>
            </w:r>
          </w:p>
        </w:tc>
        <w:tc>
          <w:tcPr>
            <w:tcW w:w="807" w:type="dxa"/>
            <w:tcBorders>
              <w:top w:val="nil"/>
              <w:left w:val="nil"/>
              <w:bottom w:val="nil"/>
              <w:right w:val="nil"/>
            </w:tcBorders>
          </w:tcPr>
          <w:p w14:paraId="0A95C4F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26</w:t>
            </w:r>
          </w:p>
        </w:tc>
      </w:tr>
      <w:tr w:rsidR="007F1285" w14:paraId="32493BAD" w14:textId="77777777" w:rsidTr="00CD49DD">
        <w:trPr>
          <w:trHeight w:val="256"/>
        </w:trPr>
        <w:tc>
          <w:tcPr>
            <w:tcW w:w="2335" w:type="dxa"/>
            <w:tcBorders>
              <w:top w:val="nil"/>
              <w:left w:val="nil"/>
              <w:bottom w:val="nil"/>
              <w:right w:val="nil"/>
            </w:tcBorders>
            <w:shd w:val="clear" w:color="auto" w:fill="FCD5B4"/>
          </w:tcPr>
          <w:p w14:paraId="6D873875"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México</w:t>
            </w:r>
          </w:p>
        </w:tc>
        <w:tc>
          <w:tcPr>
            <w:tcW w:w="621" w:type="dxa"/>
            <w:tcBorders>
              <w:top w:val="nil"/>
              <w:left w:val="nil"/>
              <w:bottom w:val="nil"/>
              <w:right w:val="nil"/>
            </w:tcBorders>
          </w:tcPr>
          <w:p w14:paraId="778DE1C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17</w:t>
            </w:r>
          </w:p>
        </w:tc>
        <w:tc>
          <w:tcPr>
            <w:tcW w:w="621" w:type="dxa"/>
            <w:tcBorders>
              <w:top w:val="nil"/>
              <w:left w:val="nil"/>
              <w:bottom w:val="nil"/>
              <w:right w:val="nil"/>
            </w:tcBorders>
          </w:tcPr>
          <w:p w14:paraId="191A8FB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c>
          <w:tcPr>
            <w:tcW w:w="621" w:type="dxa"/>
            <w:tcBorders>
              <w:top w:val="nil"/>
              <w:left w:val="nil"/>
              <w:bottom w:val="nil"/>
              <w:right w:val="nil"/>
            </w:tcBorders>
          </w:tcPr>
          <w:p w14:paraId="2B07466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21</w:t>
            </w:r>
          </w:p>
        </w:tc>
        <w:tc>
          <w:tcPr>
            <w:tcW w:w="621" w:type="dxa"/>
            <w:tcBorders>
              <w:top w:val="nil"/>
              <w:left w:val="nil"/>
              <w:bottom w:val="nil"/>
              <w:right w:val="nil"/>
            </w:tcBorders>
          </w:tcPr>
          <w:p w14:paraId="5124B3B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c>
          <w:tcPr>
            <w:tcW w:w="621" w:type="dxa"/>
            <w:tcBorders>
              <w:top w:val="nil"/>
              <w:left w:val="nil"/>
              <w:bottom w:val="nil"/>
              <w:right w:val="nil"/>
            </w:tcBorders>
          </w:tcPr>
          <w:p w14:paraId="081016B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16</w:t>
            </w:r>
          </w:p>
        </w:tc>
        <w:tc>
          <w:tcPr>
            <w:tcW w:w="621" w:type="dxa"/>
            <w:tcBorders>
              <w:top w:val="nil"/>
              <w:left w:val="nil"/>
              <w:bottom w:val="nil"/>
              <w:right w:val="nil"/>
            </w:tcBorders>
          </w:tcPr>
          <w:p w14:paraId="6C44B8D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17</w:t>
            </w:r>
          </w:p>
        </w:tc>
        <w:tc>
          <w:tcPr>
            <w:tcW w:w="621" w:type="dxa"/>
            <w:tcBorders>
              <w:top w:val="nil"/>
              <w:left w:val="nil"/>
              <w:bottom w:val="nil"/>
              <w:right w:val="nil"/>
            </w:tcBorders>
          </w:tcPr>
          <w:p w14:paraId="2373A65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c>
          <w:tcPr>
            <w:tcW w:w="621" w:type="dxa"/>
            <w:tcBorders>
              <w:top w:val="nil"/>
              <w:left w:val="nil"/>
              <w:bottom w:val="nil"/>
              <w:right w:val="nil"/>
            </w:tcBorders>
          </w:tcPr>
          <w:p w14:paraId="26C1EF5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19</w:t>
            </w:r>
          </w:p>
        </w:tc>
        <w:tc>
          <w:tcPr>
            <w:tcW w:w="621" w:type="dxa"/>
            <w:tcBorders>
              <w:top w:val="nil"/>
              <w:left w:val="nil"/>
              <w:bottom w:val="nil"/>
              <w:right w:val="nil"/>
            </w:tcBorders>
          </w:tcPr>
          <w:p w14:paraId="7906AC5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19</w:t>
            </w:r>
          </w:p>
        </w:tc>
        <w:tc>
          <w:tcPr>
            <w:tcW w:w="621" w:type="dxa"/>
            <w:tcBorders>
              <w:top w:val="nil"/>
              <w:left w:val="nil"/>
              <w:bottom w:val="nil"/>
              <w:right w:val="nil"/>
            </w:tcBorders>
          </w:tcPr>
          <w:p w14:paraId="100FB05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c>
          <w:tcPr>
            <w:tcW w:w="807" w:type="dxa"/>
            <w:tcBorders>
              <w:top w:val="nil"/>
              <w:left w:val="nil"/>
              <w:bottom w:val="nil"/>
              <w:right w:val="nil"/>
            </w:tcBorders>
          </w:tcPr>
          <w:p w14:paraId="44EC24B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r>
      <w:tr w:rsidR="007F1285" w14:paraId="34981FF5" w14:textId="77777777" w:rsidTr="00CD49DD">
        <w:trPr>
          <w:trHeight w:val="256"/>
        </w:trPr>
        <w:tc>
          <w:tcPr>
            <w:tcW w:w="2335" w:type="dxa"/>
            <w:tcBorders>
              <w:top w:val="nil"/>
              <w:left w:val="nil"/>
              <w:bottom w:val="nil"/>
              <w:right w:val="nil"/>
            </w:tcBorders>
            <w:shd w:val="clear" w:color="auto" w:fill="FCD5B4"/>
          </w:tcPr>
          <w:p w14:paraId="3E83225B"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Michoacán de Ocampo</w:t>
            </w:r>
          </w:p>
        </w:tc>
        <w:tc>
          <w:tcPr>
            <w:tcW w:w="621" w:type="dxa"/>
            <w:tcBorders>
              <w:top w:val="nil"/>
              <w:left w:val="nil"/>
              <w:bottom w:val="nil"/>
              <w:right w:val="nil"/>
            </w:tcBorders>
          </w:tcPr>
          <w:p w14:paraId="47C9D3F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19</w:t>
            </w:r>
          </w:p>
        </w:tc>
        <w:tc>
          <w:tcPr>
            <w:tcW w:w="621" w:type="dxa"/>
            <w:tcBorders>
              <w:top w:val="nil"/>
              <w:left w:val="nil"/>
              <w:bottom w:val="nil"/>
              <w:right w:val="nil"/>
            </w:tcBorders>
          </w:tcPr>
          <w:p w14:paraId="24D5EC4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c>
          <w:tcPr>
            <w:tcW w:w="621" w:type="dxa"/>
            <w:tcBorders>
              <w:top w:val="nil"/>
              <w:left w:val="nil"/>
              <w:bottom w:val="nil"/>
              <w:right w:val="nil"/>
            </w:tcBorders>
          </w:tcPr>
          <w:p w14:paraId="3DD5F3B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20</w:t>
            </w:r>
          </w:p>
        </w:tc>
        <w:tc>
          <w:tcPr>
            <w:tcW w:w="621" w:type="dxa"/>
            <w:tcBorders>
              <w:top w:val="nil"/>
              <w:left w:val="nil"/>
              <w:bottom w:val="nil"/>
              <w:right w:val="nil"/>
            </w:tcBorders>
          </w:tcPr>
          <w:p w14:paraId="53F3E62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20</w:t>
            </w:r>
          </w:p>
        </w:tc>
        <w:tc>
          <w:tcPr>
            <w:tcW w:w="621" w:type="dxa"/>
            <w:tcBorders>
              <w:top w:val="nil"/>
              <w:left w:val="nil"/>
              <w:bottom w:val="nil"/>
              <w:right w:val="nil"/>
            </w:tcBorders>
          </w:tcPr>
          <w:p w14:paraId="4ED27B1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19</w:t>
            </w:r>
          </w:p>
        </w:tc>
        <w:tc>
          <w:tcPr>
            <w:tcW w:w="621" w:type="dxa"/>
            <w:tcBorders>
              <w:top w:val="nil"/>
              <w:left w:val="nil"/>
              <w:bottom w:val="nil"/>
              <w:right w:val="nil"/>
            </w:tcBorders>
          </w:tcPr>
          <w:p w14:paraId="7BC89E9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30</w:t>
            </w:r>
          </w:p>
        </w:tc>
        <w:tc>
          <w:tcPr>
            <w:tcW w:w="621" w:type="dxa"/>
            <w:tcBorders>
              <w:top w:val="nil"/>
              <w:left w:val="nil"/>
              <w:bottom w:val="nil"/>
              <w:right w:val="nil"/>
            </w:tcBorders>
          </w:tcPr>
          <w:p w14:paraId="5A789EA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37</w:t>
            </w:r>
          </w:p>
        </w:tc>
        <w:tc>
          <w:tcPr>
            <w:tcW w:w="621" w:type="dxa"/>
            <w:tcBorders>
              <w:top w:val="nil"/>
              <w:left w:val="nil"/>
              <w:bottom w:val="nil"/>
              <w:right w:val="nil"/>
            </w:tcBorders>
          </w:tcPr>
          <w:p w14:paraId="606C706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44</w:t>
            </w:r>
          </w:p>
        </w:tc>
        <w:tc>
          <w:tcPr>
            <w:tcW w:w="621" w:type="dxa"/>
            <w:tcBorders>
              <w:top w:val="nil"/>
              <w:left w:val="nil"/>
              <w:bottom w:val="nil"/>
              <w:right w:val="nil"/>
            </w:tcBorders>
          </w:tcPr>
          <w:p w14:paraId="3B21B8B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51</w:t>
            </w:r>
          </w:p>
        </w:tc>
        <w:tc>
          <w:tcPr>
            <w:tcW w:w="621" w:type="dxa"/>
            <w:tcBorders>
              <w:top w:val="nil"/>
              <w:left w:val="nil"/>
              <w:bottom w:val="nil"/>
              <w:right w:val="nil"/>
            </w:tcBorders>
          </w:tcPr>
          <w:p w14:paraId="17B7803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50</w:t>
            </w:r>
          </w:p>
        </w:tc>
        <w:tc>
          <w:tcPr>
            <w:tcW w:w="807" w:type="dxa"/>
            <w:tcBorders>
              <w:top w:val="nil"/>
              <w:left w:val="nil"/>
              <w:bottom w:val="nil"/>
              <w:right w:val="nil"/>
            </w:tcBorders>
          </w:tcPr>
          <w:p w14:paraId="75BED25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55</w:t>
            </w:r>
          </w:p>
        </w:tc>
      </w:tr>
      <w:tr w:rsidR="007F1285" w14:paraId="1750B1E9" w14:textId="77777777" w:rsidTr="00CD49DD">
        <w:trPr>
          <w:trHeight w:val="256"/>
        </w:trPr>
        <w:tc>
          <w:tcPr>
            <w:tcW w:w="2335" w:type="dxa"/>
            <w:tcBorders>
              <w:top w:val="nil"/>
              <w:left w:val="nil"/>
              <w:bottom w:val="nil"/>
              <w:right w:val="nil"/>
            </w:tcBorders>
            <w:shd w:val="clear" w:color="auto" w:fill="FCD5B4"/>
          </w:tcPr>
          <w:p w14:paraId="4B0ED770"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Morelos</w:t>
            </w:r>
          </w:p>
        </w:tc>
        <w:tc>
          <w:tcPr>
            <w:tcW w:w="621" w:type="dxa"/>
            <w:tcBorders>
              <w:top w:val="nil"/>
              <w:left w:val="nil"/>
              <w:bottom w:val="nil"/>
              <w:right w:val="nil"/>
            </w:tcBorders>
          </w:tcPr>
          <w:p w14:paraId="136BD0F0"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25</w:t>
            </w:r>
          </w:p>
        </w:tc>
        <w:tc>
          <w:tcPr>
            <w:tcW w:w="621" w:type="dxa"/>
            <w:tcBorders>
              <w:top w:val="nil"/>
              <w:left w:val="nil"/>
              <w:bottom w:val="nil"/>
              <w:right w:val="nil"/>
            </w:tcBorders>
          </w:tcPr>
          <w:p w14:paraId="2A3B343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36</w:t>
            </w:r>
          </w:p>
        </w:tc>
        <w:tc>
          <w:tcPr>
            <w:tcW w:w="621" w:type="dxa"/>
            <w:tcBorders>
              <w:top w:val="nil"/>
              <w:left w:val="nil"/>
              <w:bottom w:val="nil"/>
              <w:right w:val="nil"/>
            </w:tcBorders>
          </w:tcPr>
          <w:p w14:paraId="3C4F288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33</w:t>
            </w:r>
          </w:p>
        </w:tc>
        <w:tc>
          <w:tcPr>
            <w:tcW w:w="621" w:type="dxa"/>
            <w:tcBorders>
              <w:top w:val="nil"/>
              <w:left w:val="nil"/>
              <w:bottom w:val="nil"/>
              <w:right w:val="nil"/>
            </w:tcBorders>
          </w:tcPr>
          <w:p w14:paraId="43D38BC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23</w:t>
            </w:r>
          </w:p>
        </w:tc>
        <w:tc>
          <w:tcPr>
            <w:tcW w:w="621" w:type="dxa"/>
            <w:tcBorders>
              <w:top w:val="nil"/>
              <w:left w:val="nil"/>
              <w:bottom w:val="nil"/>
              <w:right w:val="nil"/>
            </w:tcBorders>
          </w:tcPr>
          <w:p w14:paraId="25A53F7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24</w:t>
            </w:r>
          </w:p>
        </w:tc>
        <w:tc>
          <w:tcPr>
            <w:tcW w:w="621" w:type="dxa"/>
            <w:tcBorders>
              <w:top w:val="nil"/>
              <w:left w:val="nil"/>
              <w:bottom w:val="nil"/>
              <w:right w:val="nil"/>
            </w:tcBorders>
          </w:tcPr>
          <w:p w14:paraId="4F813FC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34</w:t>
            </w:r>
          </w:p>
        </w:tc>
        <w:tc>
          <w:tcPr>
            <w:tcW w:w="621" w:type="dxa"/>
            <w:tcBorders>
              <w:top w:val="nil"/>
              <w:left w:val="nil"/>
              <w:bottom w:val="nil"/>
              <w:right w:val="nil"/>
            </w:tcBorders>
          </w:tcPr>
          <w:p w14:paraId="2C77A26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33</w:t>
            </w:r>
          </w:p>
        </w:tc>
        <w:tc>
          <w:tcPr>
            <w:tcW w:w="621" w:type="dxa"/>
            <w:tcBorders>
              <w:top w:val="nil"/>
              <w:left w:val="nil"/>
              <w:bottom w:val="nil"/>
              <w:right w:val="nil"/>
            </w:tcBorders>
          </w:tcPr>
          <w:p w14:paraId="049F559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41</w:t>
            </w:r>
          </w:p>
        </w:tc>
        <w:tc>
          <w:tcPr>
            <w:tcW w:w="621" w:type="dxa"/>
            <w:tcBorders>
              <w:top w:val="nil"/>
              <w:left w:val="nil"/>
              <w:bottom w:val="nil"/>
              <w:right w:val="nil"/>
            </w:tcBorders>
          </w:tcPr>
          <w:p w14:paraId="6FA25BF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52</w:t>
            </w:r>
          </w:p>
        </w:tc>
        <w:tc>
          <w:tcPr>
            <w:tcW w:w="621" w:type="dxa"/>
            <w:tcBorders>
              <w:top w:val="nil"/>
              <w:left w:val="nil"/>
              <w:bottom w:val="nil"/>
              <w:right w:val="nil"/>
            </w:tcBorders>
          </w:tcPr>
          <w:p w14:paraId="42AEE6B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50</w:t>
            </w:r>
          </w:p>
        </w:tc>
        <w:tc>
          <w:tcPr>
            <w:tcW w:w="807" w:type="dxa"/>
            <w:tcBorders>
              <w:top w:val="nil"/>
              <w:left w:val="nil"/>
              <w:bottom w:val="nil"/>
              <w:right w:val="nil"/>
            </w:tcBorders>
          </w:tcPr>
          <w:p w14:paraId="4AD638D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60</w:t>
            </w:r>
          </w:p>
        </w:tc>
      </w:tr>
      <w:tr w:rsidR="007F1285" w14:paraId="6501E348" w14:textId="77777777" w:rsidTr="00CD49DD">
        <w:trPr>
          <w:trHeight w:val="256"/>
        </w:trPr>
        <w:tc>
          <w:tcPr>
            <w:tcW w:w="2335" w:type="dxa"/>
            <w:tcBorders>
              <w:top w:val="nil"/>
              <w:left w:val="nil"/>
              <w:bottom w:val="nil"/>
              <w:right w:val="nil"/>
            </w:tcBorders>
            <w:shd w:val="clear" w:color="auto" w:fill="FCD5B4"/>
          </w:tcPr>
          <w:p w14:paraId="0DC5E488"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Nayarit</w:t>
            </w:r>
          </w:p>
        </w:tc>
        <w:tc>
          <w:tcPr>
            <w:tcW w:w="621" w:type="dxa"/>
            <w:tcBorders>
              <w:top w:val="nil"/>
              <w:left w:val="nil"/>
              <w:bottom w:val="nil"/>
              <w:right w:val="nil"/>
            </w:tcBorders>
          </w:tcPr>
          <w:p w14:paraId="7BDCE150"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53</w:t>
            </w:r>
          </w:p>
        </w:tc>
        <w:tc>
          <w:tcPr>
            <w:tcW w:w="621" w:type="dxa"/>
            <w:tcBorders>
              <w:top w:val="nil"/>
              <w:left w:val="nil"/>
              <w:bottom w:val="nil"/>
              <w:right w:val="nil"/>
            </w:tcBorders>
          </w:tcPr>
          <w:p w14:paraId="63BCA4D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25</w:t>
            </w:r>
          </w:p>
        </w:tc>
        <w:tc>
          <w:tcPr>
            <w:tcW w:w="621" w:type="dxa"/>
            <w:tcBorders>
              <w:top w:val="nil"/>
              <w:left w:val="nil"/>
              <w:bottom w:val="nil"/>
              <w:right w:val="nil"/>
            </w:tcBorders>
          </w:tcPr>
          <w:p w14:paraId="570C7970"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19</w:t>
            </w:r>
          </w:p>
        </w:tc>
        <w:tc>
          <w:tcPr>
            <w:tcW w:w="621" w:type="dxa"/>
            <w:tcBorders>
              <w:top w:val="nil"/>
              <w:left w:val="nil"/>
              <w:bottom w:val="nil"/>
              <w:right w:val="nil"/>
            </w:tcBorders>
          </w:tcPr>
          <w:p w14:paraId="149B936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15</w:t>
            </w:r>
          </w:p>
        </w:tc>
        <w:tc>
          <w:tcPr>
            <w:tcW w:w="621" w:type="dxa"/>
            <w:tcBorders>
              <w:top w:val="nil"/>
              <w:left w:val="nil"/>
              <w:bottom w:val="nil"/>
              <w:right w:val="nil"/>
            </w:tcBorders>
          </w:tcPr>
          <w:p w14:paraId="2F72CED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627570E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4E786E1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38</w:t>
            </w:r>
          </w:p>
        </w:tc>
        <w:tc>
          <w:tcPr>
            <w:tcW w:w="621" w:type="dxa"/>
            <w:tcBorders>
              <w:top w:val="nil"/>
              <w:left w:val="nil"/>
              <w:bottom w:val="nil"/>
              <w:right w:val="nil"/>
            </w:tcBorders>
          </w:tcPr>
          <w:p w14:paraId="7D240F9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32</w:t>
            </w:r>
          </w:p>
        </w:tc>
        <w:tc>
          <w:tcPr>
            <w:tcW w:w="621" w:type="dxa"/>
            <w:tcBorders>
              <w:top w:val="nil"/>
              <w:left w:val="nil"/>
              <w:bottom w:val="nil"/>
              <w:right w:val="nil"/>
            </w:tcBorders>
          </w:tcPr>
          <w:p w14:paraId="6B78012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17</w:t>
            </w:r>
          </w:p>
        </w:tc>
        <w:tc>
          <w:tcPr>
            <w:tcW w:w="621" w:type="dxa"/>
            <w:tcBorders>
              <w:top w:val="nil"/>
              <w:left w:val="nil"/>
              <w:bottom w:val="nil"/>
              <w:right w:val="nil"/>
            </w:tcBorders>
          </w:tcPr>
          <w:p w14:paraId="75D03C0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15</w:t>
            </w:r>
          </w:p>
        </w:tc>
        <w:tc>
          <w:tcPr>
            <w:tcW w:w="807" w:type="dxa"/>
            <w:tcBorders>
              <w:top w:val="nil"/>
              <w:left w:val="nil"/>
              <w:bottom w:val="nil"/>
              <w:right w:val="nil"/>
            </w:tcBorders>
          </w:tcPr>
          <w:p w14:paraId="509AFDA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r>
      <w:tr w:rsidR="007F1285" w14:paraId="146F11D8" w14:textId="77777777" w:rsidTr="00CD49DD">
        <w:trPr>
          <w:trHeight w:val="256"/>
        </w:trPr>
        <w:tc>
          <w:tcPr>
            <w:tcW w:w="2335" w:type="dxa"/>
            <w:tcBorders>
              <w:top w:val="nil"/>
              <w:left w:val="nil"/>
              <w:bottom w:val="nil"/>
              <w:right w:val="nil"/>
            </w:tcBorders>
            <w:shd w:val="clear" w:color="auto" w:fill="FCD5B4"/>
          </w:tcPr>
          <w:p w14:paraId="1479256A"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Nuevo León</w:t>
            </w:r>
          </w:p>
        </w:tc>
        <w:tc>
          <w:tcPr>
            <w:tcW w:w="621" w:type="dxa"/>
            <w:tcBorders>
              <w:top w:val="nil"/>
              <w:left w:val="nil"/>
              <w:bottom w:val="nil"/>
              <w:right w:val="nil"/>
            </w:tcBorders>
          </w:tcPr>
          <w:p w14:paraId="069D085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45</w:t>
            </w:r>
          </w:p>
        </w:tc>
        <w:tc>
          <w:tcPr>
            <w:tcW w:w="621" w:type="dxa"/>
            <w:tcBorders>
              <w:top w:val="nil"/>
              <w:left w:val="nil"/>
              <w:bottom w:val="nil"/>
              <w:right w:val="nil"/>
            </w:tcBorders>
          </w:tcPr>
          <w:p w14:paraId="515580E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37</w:t>
            </w:r>
          </w:p>
        </w:tc>
        <w:tc>
          <w:tcPr>
            <w:tcW w:w="621" w:type="dxa"/>
            <w:tcBorders>
              <w:top w:val="nil"/>
              <w:left w:val="nil"/>
              <w:bottom w:val="nil"/>
              <w:right w:val="nil"/>
            </w:tcBorders>
          </w:tcPr>
          <w:p w14:paraId="583E86C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c>
          <w:tcPr>
            <w:tcW w:w="621" w:type="dxa"/>
            <w:tcBorders>
              <w:top w:val="nil"/>
              <w:left w:val="nil"/>
              <w:bottom w:val="nil"/>
              <w:right w:val="nil"/>
            </w:tcBorders>
          </w:tcPr>
          <w:p w14:paraId="71C4E22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11</w:t>
            </w:r>
          </w:p>
        </w:tc>
        <w:tc>
          <w:tcPr>
            <w:tcW w:w="621" w:type="dxa"/>
            <w:tcBorders>
              <w:top w:val="nil"/>
              <w:left w:val="nil"/>
              <w:bottom w:val="nil"/>
              <w:right w:val="nil"/>
            </w:tcBorders>
          </w:tcPr>
          <w:p w14:paraId="29258B1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w:t>
            </w:r>
          </w:p>
        </w:tc>
        <w:tc>
          <w:tcPr>
            <w:tcW w:w="621" w:type="dxa"/>
            <w:tcBorders>
              <w:top w:val="nil"/>
              <w:left w:val="nil"/>
              <w:bottom w:val="nil"/>
              <w:right w:val="nil"/>
            </w:tcBorders>
          </w:tcPr>
          <w:p w14:paraId="205530B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7F39D98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695A169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16</w:t>
            </w:r>
          </w:p>
        </w:tc>
        <w:tc>
          <w:tcPr>
            <w:tcW w:w="621" w:type="dxa"/>
            <w:tcBorders>
              <w:top w:val="nil"/>
              <w:left w:val="nil"/>
              <w:bottom w:val="nil"/>
              <w:right w:val="nil"/>
            </w:tcBorders>
          </w:tcPr>
          <w:p w14:paraId="4021418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c>
          <w:tcPr>
            <w:tcW w:w="621" w:type="dxa"/>
            <w:tcBorders>
              <w:top w:val="nil"/>
              <w:left w:val="nil"/>
              <w:bottom w:val="nil"/>
              <w:right w:val="nil"/>
            </w:tcBorders>
          </w:tcPr>
          <w:p w14:paraId="56DC758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16</w:t>
            </w:r>
          </w:p>
        </w:tc>
        <w:tc>
          <w:tcPr>
            <w:tcW w:w="807" w:type="dxa"/>
            <w:tcBorders>
              <w:top w:val="nil"/>
              <w:left w:val="nil"/>
              <w:bottom w:val="nil"/>
              <w:right w:val="nil"/>
            </w:tcBorders>
          </w:tcPr>
          <w:p w14:paraId="62954B1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r>
      <w:tr w:rsidR="007F1285" w14:paraId="0F53C21B" w14:textId="77777777" w:rsidTr="00CD49DD">
        <w:trPr>
          <w:trHeight w:val="256"/>
        </w:trPr>
        <w:tc>
          <w:tcPr>
            <w:tcW w:w="2335" w:type="dxa"/>
            <w:tcBorders>
              <w:top w:val="nil"/>
              <w:left w:val="nil"/>
              <w:bottom w:val="nil"/>
              <w:right w:val="nil"/>
            </w:tcBorders>
            <w:shd w:val="clear" w:color="auto" w:fill="FCD5B4"/>
          </w:tcPr>
          <w:p w14:paraId="040C4671"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Oaxaca</w:t>
            </w:r>
          </w:p>
        </w:tc>
        <w:tc>
          <w:tcPr>
            <w:tcW w:w="621" w:type="dxa"/>
            <w:tcBorders>
              <w:top w:val="nil"/>
              <w:left w:val="nil"/>
              <w:bottom w:val="nil"/>
              <w:right w:val="nil"/>
            </w:tcBorders>
          </w:tcPr>
          <w:p w14:paraId="65F70EA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c>
          <w:tcPr>
            <w:tcW w:w="621" w:type="dxa"/>
            <w:tcBorders>
              <w:top w:val="nil"/>
              <w:left w:val="nil"/>
              <w:bottom w:val="nil"/>
              <w:right w:val="nil"/>
            </w:tcBorders>
          </w:tcPr>
          <w:p w14:paraId="51F9FFF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c>
          <w:tcPr>
            <w:tcW w:w="621" w:type="dxa"/>
            <w:tcBorders>
              <w:top w:val="nil"/>
              <w:left w:val="nil"/>
              <w:bottom w:val="nil"/>
              <w:right w:val="nil"/>
            </w:tcBorders>
          </w:tcPr>
          <w:p w14:paraId="7EDCDA9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19</w:t>
            </w:r>
          </w:p>
        </w:tc>
        <w:tc>
          <w:tcPr>
            <w:tcW w:w="621" w:type="dxa"/>
            <w:tcBorders>
              <w:top w:val="nil"/>
              <w:left w:val="nil"/>
              <w:bottom w:val="nil"/>
              <w:right w:val="nil"/>
            </w:tcBorders>
          </w:tcPr>
          <w:p w14:paraId="79BB312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19</w:t>
            </w:r>
          </w:p>
        </w:tc>
        <w:tc>
          <w:tcPr>
            <w:tcW w:w="621" w:type="dxa"/>
            <w:tcBorders>
              <w:top w:val="nil"/>
              <w:left w:val="nil"/>
              <w:bottom w:val="nil"/>
              <w:right w:val="nil"/>
            </w:tcBorders>
          </w:tcPr>
          <w:p w14:paraId="1D5A15C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20</w:t>
            </w:r>
          </w:p>
        </w:tc>
        <w:tc>
          <w:tcPr>
            <w:tcW w:w="621" w:type="dxa"/>
            <w:tcBorders>
              <w:top w:val="nil"/>
              <w:left w:val="nil"/>
              <w:bottom w:val="nil"/>
              <w:right w:val="nil"/>
            </w:tcBorders>
          </w:tcPr>
          <w:p w14:paraId="2401BD4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20</w:t>
            </w:r>
          </w:p>
        </w:tc>
        <w:tc>
          <w:tcPr>
            <w:tcW w:w="621" w:type="dxa"/>
            <w:tcBorders>
              <w:top w:val="nil"/>
              <w:left w:val="nil"/>
              <w:bottom w:val="nil"/>
              <w:right w:val="nil"/>
            </w:tcBorders>
          </w:tcPr>
          <w:p w14:paraId="71C6DB5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25</w:t>
            </w:r>
          </w:p>
        </w:tc>
        <w:tc>
          <w:tcPr>
            <w:tcW w:w="621" w:type="dxa"/>
            <w:tcBorders>
              <w:top w:val="nil"/>
              <w:left w:val="nil"/>
              <w:bottom w:val="nil"/>
              <w:right w:val="nil"/>
            </w:tcBorders>
          </w:tcPr>
          <w:p w14:paraId="74D9087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28</w:t>
            </w:r>
          </w:p>
        </w:tc>
        <w:tc>
          <w:tcPr>
            <w:tcW w:w="621" w:type="dxa"/>
            <w:tcBorders>
              <w:top w:val="nil"/>
              <w:left w:val="nil"/>
              <w:bottom w:val="nil"/>
              <w:right w:val="nil"/>
            </w:tcBorders>
          </w:tcPr>
          <w:p w14:paraId="4527C80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28</w:t>
            </w:r>
          </w:p>
        </w:tc>
        <w:tc>
          <w:tcPr>
            <w:tcW w:w="621" w:type="dxa"/>
            <w:tcBorders>
              <w:top w:val="nil"/>
              <w:left w:val="nil"/>
              <w:bottom w:val="nil"/>
              <w:right w:val="nil"/>
            </w:tcBorders>
          </w:tcPr>
          <w:p w14:paraId="223190E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21</w:t>
            </w:r>
          </w:p>
        </w:tc>
        <w:tc>
          <w:tcPr>
            <w:tcW w:w="807" w:type="dxa"/>
            <w:tcBorders>
              <w:top w:val="nil"/>
              <w:left w:val="nil"/>
              <w:bottom w:val="nil"/>
              <w:right w:val="nil"/>
            </w:tcBorders>
          </w:tcPr>
          <w:p w14:paraId="6291D2E0"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19</w:t>
            </w:r>
          </w:p>
        </w:tc>
      </w:tr>
      <w:tr w:rsidR="007F1285" w14:paraId="79AE2574" w14:textId="77777777" w:rsidTr="00CD49DD">
        <w:trPr>
          <w:trHeight w:val="256"/>
        </w:trPr>
        <w:tc>
          <w:tcPr>
            <w:tcW w:w="2335" w:type="dxa"/>
            <w:tcBorders>
              <w:top w:val="nil"/>
              <w:left w:val="nil"/>
              <w:bottom w:val="nil"/>
              <w:right w:val="nil"/>
            </w:tcBorders>
            <w:shd w:val="clear" w:color="auto" w:fill="FCD5B4"/>
          </w:tcPr>
          <w:p w14:paraId="1B4A3A69"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Puebla</w:t>
            </w:r>
          </w:p>
        </w:tc>
        <w:tc>
          <w:tcPr>
            <w:tcW w:w="621" w:type="dxa"/>
            <w:tcBorders>
              <w:top w:val="nil"/>
              <w:left w:val="nil"/>
              <w:bottom w:val="nil"/>
              <w:right w:val="nil"/>
            </w:tcBorders>
          </w:tcPr>
          <w:p w14:paraId="09AF954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w:t>
            </w:r>
          </w:p>
        </w:tc>
        <w:tc>
          <w:tcPr>
            <w:tcW w:w="621" w:type="dxa"/>
            <w:tcBorders>
              <w:top w:val="nil"/>
              <w:left w:val="nil"/>
              <w:bottom w:val="nil"/>
              <w:right w:val="nil"/>
            </w:tcBorders>
          </w:tcPr>
          <w:p w14:paraId="2FFDA08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w:t>
            </w:r>
          </w:p>
        </w:tc>
        <w:tc>
          <w:tcPr>
            <w:tcW w:w="621" w:type="dxa"/>
            <w:tcBorders>
              <w:top w:val="nil"/>
              <w:left w:val="nil"/>
              <w:bottom w:val="nil"/>
              <w:right w:val="nil"/>
            </w:tcBorders>
          </w:tcPr>
          <w:p w14:paraId="3005151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w:t>
            </w:r>
          </w:p>
        </w:tc>
        <w:tc>
          <w:tcPr>
            <w:tcW w:w="621" w:type="dxa"/>
            <w:tcBorders>
              <w:top w:val="nil"/>
              <w:left w:val="nil"/>
              <w:bottom w:val="nil"/>
              <w:right w:val="nil"/>
            </w:tcBorders>
          </w:tcPr>
          <w:p w14:paraId="4E0610D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w:t>
            </w:r>
          </w:p>
        </w:tc>
        <w:tc>
          <w:tcPr>
            <w:tcW w:w="621" w:type="dxa"/>
            <w:tcBorders>
              <w:top w:val="nil"/>
              <w:left w:val="nil"/>
              <w:bottom w:val="nil"/>
              <w:right w:val="nil"/>
            </w:tcBorders>
          </w:tcPr>
          <w:p w14:paraId="59C0852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49C232B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3A1F893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17</w:t>
            </w:r>
          </w:p>
        </w:tc>
        <w:tc>
          <w:tcPr>
            <w:tcW w:w="621" w:type="dxa"/>
            <w:tcBorders>
              <w:top w:val="nil"/>
              <w:left w:val="nil"/>
              <w:bottom w:val="nil"/>
              <w:right w:val="nil"/>
            </w:tcBorders>
          </w:tcPr>
          <w:p w14:paraId="66E0DA4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19</w:t>
            </w:r>
          </w:p>
        </w:tc>
        <w:tc>
          <w:tcPr>
            <w:tcW w:w="621" w:type="dxa"/>
            <w:tcBorders>
              <w:top w:val="nil"/>
              <w:left w:val="nil"/>
              <w:bottom w:val="nil"/>
              <w:right w:val="nil"/>
            </w:tcBorders>
          </w:tcPr>
          <w:p w14:paraId="5B23A07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19</w:t>
            </w:r>
          </w:p>
        </w:tc>
        <w:tc>
          <w:tcPr>
            <w:tcW w:w="621" w:type="dxa"/>
            <w:tcBorders>
              <w:top w:val="nil"/>
              <w:left w:val="nil"/>
              <w:bottom w:val="nil"/>
              <w:right w:val="nil"/>
            </w:tcBorders>
          </w:tcPr>
          <w:p w14:paraId="00CF4BE0"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16</w:t>
            </w:r>
          </w:p>
        </w:tc>
        <w:tc>
          <w:tcPr>
            <w:tcW w:w="807" w:type="dxa"/>
            <w:tcBorders>
              <w:top w:val="nil"/>
              <w:left w:val="nil"/>
              <w:bottom w:val="nil"/>
              <w:right w:val="nil"/>
            </w:tcBorders>
          </w:tcPr>
          <w:p w14:paraId="2B9E79A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13</w:t>
            </w:r>
          </w:p>
        </w:tc>
      </w:tr>
      <w:tr w:rsidR="007F1285" w14:paraId="7EAE3397" w14:textId="77777777" w:rsidTr="00CD49DD">
        <w:trPr>
          <w:trHeight w:val="256"/>
        </w:trPr>
        <w:tc>
          <w:tcPr>
            <w:tcW w:w="2335" w:type="dxa"/>
            <w:tcBorders>
              <w:top w:val="nil"/>
              <w:left w:val="nil"/>
              <w:bottom w:val="nil"/>
              <w:right w:val="nil"/>
            </w:tcBorders>
            <w:shd w:val="clear" w:color="auto" w:fill="FCD5B4"/>
          </w:tcPr>
          <w:p w14:paraId="28DFCF69"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Querétaro</w:t>
            </w:r>
          </w:p>
        </w:tc>
        <w:tc>
          <w:tcPr>
            <w:tcW w:w="621" w:type="dxa"/>
            <w:tcBorders>
              <w:top w:val="nil"/>
              <w:left w:val="nil"/>
              <w:bottom w:val="nil"/>
              <w:right w:val="nil"/>
            </w:tcBorders>
          </w:tcPr>
          <w:p w14:paraId="2D24BF8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w:t>
            </w:r>
          </w:p>
        </w:tc>
        <w:tc>
          <w:tcPr>
            <w:tcW w:w="621" w:type="dxa"/>
            <w:tcBorders>
              <w:top w:val="nil"/>
              <w:left w:val="nil"/>
              <w:bottom w:val="nil"/>
              <w:right w:val="nil"/>
            </w:tcBorders>
          </w:tcPr>
          <w:p w14:paraId="75D50D8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w:t>
            </w:r>
          </w:p>
        </w:tc>
        <w:tc>
          <w:tcPr>
            <w:tcW w:w="621" w:type="dxa"/>
            <w:tcBorders>
              <w:top w:val="nil"/>
              <w:left w:val="nil"/>
              <w:bottom w:val="nil"/>
              <w:right w:val="nil"/>
            </w:tcBorders>
          </w:tcPr>
          <w:p w14:paraId="0974488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w:t>
            </w:r>
          </w:p>
        </w:tc>
        <w:tc>
          <w:tcPr>
            <w:tcW w:w="621" w:type="dxa"/>
            <w:tcBorders>
              <w:top w:val="nil"/>
              <w:left w:val="nil"/>
              <w:bottom w:val="nil"/>
              <w:right w:val="nil"/>
            </w:tcBorders>
          </w:tcPr>
          <w:p w14:paraId="4D0E8F0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5</w:t>
            </w:r>
          </w:p>
        </w:tc>
        <w:tc>
          <w:tcPr>
            <w:tcW w:w="621" w:type="dxa"/>
            <w:tcBorders>
              <w:top w:val="nil"/>
              <w:left w:val="nil"/>
              <w:bottom w:val="nil"/>
              <w:right w:val="nil"/>
            </w:tcBorders>
          </w:tcPr>
          <w:p w14:paraId="4292A7C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w:t>
            </w:r>
          </w:p>
        </w:tc>
        <w:tc>
          <w:tcPr>
            <w:tcW w:w="621" w:type="dxa"/>
            <w:tcBorders>
              <w:top w:val="nil"/>
              <w:left w:val="nil"/>
              <w:bottom w:val="nil"/>
              <w:right w:val="nil"/>
            </w:tcBorders>
          </w:tcPr>
          <w:p w14:paraId="0F3C91F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w:t>
            </w:r>
          </w:p>
        </w:tc>
        <w:tc>
          <w:tcPr>
            <w:tcW w:w="621" w:type="dxa"/>
            <w:tcBorders>
              <w:top w:val="nil"/>
              <w:left w:val="nil"/>
              <w:bottom w:val="nil"/>
              <w:right w:val="nil"/>
            </w:tcBorders>
          </w:tcPr>
          <w:p w14:paraId="21B9259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56E4292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0A0AF34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612433F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w:t>
            </w:r>
          </w:p>
        </w:tc>
        <w:tc>
          <w:tcPr>
            <w:tcW w:w="807" w:type="dxa"/>
            <w:tcBorders>
              <w:top w:val="nil"/>
              <w:left w:val="nil"/>
              <w:bottom w:val="nil"/>
              <w:right w:val="nil"/>
            </w:tcBorders>
          </w:tcPr>
          <w:p w14:paraId="44EACC58"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r>
      <w:tr w:rsidR="007F1285" w14:paraId="2D358DE5" w14:textId="77777777" w:rsidTr="00CD49DD">
        <w:trPr>
          <w:trHeight w:val="256"/>
        </w:trPr>
        <w:tc>
          <w:tcPr>
            <w:tcW w:w="2335" w:type="dxa"/>
            <w:tcBorders>
              <w:top w:val="nil"/>
              <w:left w:val="nil"/>
              <w:bottom w:val="nil"/>
              <w:right w:val="nil"/>
            </w:tcBorders>
            <w:shd w:val="clear" w:color="auto" w:fill="FCD5B4"/>
          </w:tcPr>
          <w:p w14:paraId="7BFE3012"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Quintana Roo</w:t>
            </w:r>
          </w:p>
        </w:tc>
        <w:tc>
          <w:tcPr>
            <w:tcW w:w="621" w:type="dxa"/>
            <w:tcBorders>
              <w:top w:val="nil"/>
              <w:left w:val="nil"/>
              <w:bottom w:val="nil"/>
              <w:right w:val="nil"/>
            </w:tcBorders>
          </w:tcPr>
          <w:p w14:paraId="61872B6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199A15C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11</w:t>
            </w:r>
          </w:p>
        </w:tc>
        <w:tc>
          <w:tcPr>
            <w:tcW w:w="621" w:type="dxa"/>
            <w:tcBorders>
              <w:top w:val="nil"/>
              <w:left w:val="nil"/>
              <w:bottom w:val="nil"/>
              <w:right w:val="nil"/>
            </w:tcBorders>
          </w:tcPr>
          <w:p w14:paraId="4741F53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11</w:t>
            </w:r>
          </w:p>
        </w:tc>
        <w:tc>
          <w:tcPr>
            <w:tcW w:w="621" w:type="dxa"/>
            <w:tcBorders>
              <w:top w:val="nil"/>
              <w:left w:val="nil"/>
              <w:bottom w:val="nil"/>
              <w:right w:val="nil"/>
            </w:tcBorders>
          </w:tcPr>
          <w:p w14:paraId="486A1AB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w:t>
            </w:r>
          </w:p>
        </w:tc>
        <w:tc>
          <w:tcPr>
            <w:tcW w:w="621" w:type="dxa"/>
            <w:tcBorders>
              <w:top w:val="nil"/>
              <w:left w:val="nil"/>
              <w:bottom w:val="nil"/>
              <w:right w:val="nil"/>
            </w:tcBorders>
          </w:tcPr>
          <w:p w14:paraId="299004D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1515CF6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00C321A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28</w:t>
            </w:r>
          </w:p>
        </w:tc>
        <w:tc>
          <w:tcPr>
            <w:tcW w:w="621" w:type="dxa"/>
            <w:tcBorders>
              <w:top w:val="nil"/>
              <w:left w:val="nil"/>
              <w:bottom w:val="nil"/>
              <w:right w:val="nil"/>
            </w:tcBorders>
          </w:tcPr>
          <w:p w14:paraId="58EDC43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51</w:t>
            </w:r>
          </w:p>
        </w:tc>
        <w:tc>
          <w:tcPr>
            <w:tcW w:w="621" w:type="dxa"/>
            <w:tcBorders>
              <w:top w:val="nil"/>
              <w:left w:val="nil"/>
              <w:bottom w:val="nil"/>
              <w:right w:val="nil"/>
            </w:tcBorders>
          </w:tcPr>
          <w:p w14:paraId="348DBB6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45</w:t>
            </w:r>
          </w:p>
        </w:tc>
        <w:tc>
          <w:tcPr>
            <w:tcW w:w="621" w:type="dxa"/>
            <w:tcBorders>
              <w:top w:val="nil"/>
              <w:left w:val="nil"/>
              <w:bottom w:val="nil"/>
              <w:right w:val="nil"/>
            </w:tcBorders>
          </w:tcPr>
          <w:p w14:paraId="3C5AB3D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34</w:t>
            </w:r>
          </w:p>
        </w:tc>
        <w:tc>
          <w:tcPr>
            <w:tcW w:w="807" w:type="dxa"/>
            <w:tcBorders>
              <w:top w:val="nil"/>
              <w:left w:val="nil"/>
              <w:bottom w:val="nil"/>
              <w:right w:val="nil"/>
            </w:tcBorders>
          </w:tcPr>
          <w:p w14:paraId="7EB2D22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36</w:t>
            </w:r>
          </w:p>
        </w:tc>
      </w:tr>
      <w:tr w:rsidR="007F1285" w14:paraId="658BADF1" w14:textId="77777777" w:rsidTr="00CD49DD">
        <w:trPr>
          <w:trHeight w:val="256"/>
        </w:trPr>
        <w:tc>
          <w:tcPr>
            <w:tcW w:w="2335" w:type="dxa"/>
            <w:tcBorders>
              <w:top w:val="nil"/>
              <w:left w:val="nil"/>
              <w:bottom w:val="nil"/>
              <w:right w:val="nil"/>
            </w:tcBorders>
            <w:shd w:val="clear" w:color="auto" w:fill="FCD5B4"/>
          </w:tcPr>
          <w:p w14:paraId="7A914EBF"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San Luis Potosí</w:t>
            </w:r>
          </w:p>
        </w:tc>
        <w:tc>
          <w:tcPr>
            <w:tcW w:w="621" w:type="dxa"/>
            <w:tcBorders>
              <w:top w:val="nil"/>
              <w:left w:val="nil"/>
              <w:bottom w:val="nil"/>
              <w:right w:val="nil"/>
            </w:tcBorders>
          </w:tcPr>
          <w:p w14:paraId="3386FD4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14</w:t>
            </w:r>
          </w:p>
        </w:tc>
        <w:tc>
          <w:tcPr>
            <w:tcW w:w="621" w:type="dxa"/>
            <w:tcBorders>
              <w:top w:val="nil"/>
              <w:left w:val="nil"/>
              <w:bottom w:val="nil"/>
              <w:right w:val="nil"/>
            </w:tcBorders>
          </w:tcPr>
          <w:p w14:paraId="5CB0865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17</w:t>
            </w:r>
          </w:p>
        </w:tc>
        <w:tc>
          <w:tcPr>
            <w:tcW w:w="621" w:type="dxa"/>
            <w:tcBorders>
              <w:top w:val="nil"/>
              <w:left w:val="nil"/>
              <w:bottom w:val="nil"/>
              <w:right w:val="nil"/>
            </w:tcBorders>
          </w:tcPr>
          <w:p w14:paraId="7B1F35E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11</w:t>
            </w:r>
          </w:p>
        </w:tc>
        <w:tc>
          <w:tcPr>
            <w:tcW w:w="621" w:type="dxa"/>
            <w:tcBorders>
              <w:top w:val="nil"/>
              <w:left w:val="nil"/>
              <w:bottom w:val="nil"/>
              <w:right w:val="nil"/>
            </w:tcBorders>
          </w:tcPr>
          <w:p w14:paraId="7764183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5601D77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1FB3AFD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4B6DD37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c>
          <w:tcPr>
            <w:tcW w:w="621" w:type="dxa"/>
            <w:tcBorders>
              <w:top w:val="nil"/>
              <w:left w:val="nil"/>
              <w:bottom w:val="nil"/>
              <w:right w:val="nil"/>
            </w:tcBorders>
          </w:tcPr>
          <w:p w14:paraId="4F56B94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20</w:t>
            </w:r>
          </w:p>
        </w:tc>
        <w:tc>
          <w:tcPr>
            <w:tcW w:w="621" w:type="dxa"/>
            <w:tcBorders>
              <w:top w:val="nil"/>
              <w:left w:val="nil"/>
              <w:bottom w:val="nil"/>
              <w:right w:val="nil"/>
            </w:tcBorders>
          </w:tcPr>
          <w:p w14:paraId="4D0E96F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c>
          <w:tcPr>
            <w:tcW w:w="621" w:type="dxa"/>
            <w:tcBorders>
              <w:top w:val="nil"/>
              <w:left w:val="nil"/>
              <w:bottom w:val="nil"/>
              <w:right w:val="nil"/>
            </w:tcBorders>
          </w:tcPr>
          <w:p w14:paraId="43C3123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28</w:t>
            </w:r>
          </w:p>
        </w:tc>
        <w:tc>
          <w:tcPr>
            <w:tcW w:w="807" w:type="dxa"/>
            <w:tcBorders>
              <w:top w:val="nil"/>
              <w:left w:val="nil"/>
              <w:bottom w:val="nil"/>
              <w:right w:val="nil"/>
            </w:tcBorders>
          </w:tcPr>
          <w:p w14:paraId="2D9FC66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28</w:t>
            </w:r>
          </w:p>
        </w:tc>
      </w:tr>
      <w:tr w:rsidR="007F1285" w14:paraId="6A72A82F" w14:textId="77777777" w:rsidTr="00CD49DD">
        <w:trPr>
          <w:trHeight w:val="256"/>
        </w:trPr>
        <w:tc>
          <w:tcPr>
            <w:tcW w:w="2335" w:type="dxa"/>
            <w:tcBorders>
              <w:top w:val="nil"/>
              <w:left w:val="nil"/>
              <w:bottom w:val="nil"/>
              <w:right w:val="nil"/>
            </w:tcBorders>
            <w:shd w:val="clear" w:color="auto" w:fill="FCD5B4"/>
          </w:tcPr>
          <w:p w14:paraId="3A9CE3CC"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Sinaloa</w:t>
            </w:r>
          </w:p>
        </w:tc>
        <w:tc>
          <w:tcPr>
            <w:tcW w:w="621" w:type="dxa"/>
            <w:tcBorders>
              <w:top w:val="nil"/>
              <w:left w:val="nil"/>
              <w:bottom w:val="nil"/>
              <w:right w:val="nil"/>
            </w:tcBorders>
          </w:tcPr>
          <w:p w14:paraId="2FDBDC8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70</w:t>
            </w:r>
          </w:p>
        </w:tc>
        <w:tc>
          <w:tcPr>
            <w:tcW w:w="621" w:type="dxa"/>
            <w:tcBorders>
              <w:top w:val="nil"/>
              <w:left w:val="nil"/>
              <w:bottom w:val="nil"/>
              <w:right w:val="nil"/>
            </w:tcBorders>
          </w:tcPr>
          <w:p w14:paraId="20A7211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48</w:t>
            </w:r>
          </w:p>
        </w:tc>
        <w:tc>
          <w:tcPr>
            <w:tcW w:w="621" w:type="dxa"/>
            <w:tcBorders>
              <w:top w:val="nil"/>
              <w:left w:val="nil"/>
              <w:bottom w:val="nil"/>
              <w:right w:val="nil"/>
            </w:tcBorders>
          </w:tcPr>
          <w:p w14:paraId="46AC921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42</w:t>
            </w:r>
          </w:p>
        </w:tc>
        <w:tc>
          <w:tcPr>
            <w:tcW w:w="621" w:type="dxa"/>
            <w:tcBorders>
              <w:top w:val="nil"/>
              <w:left w:val="nil"/>
              <w:bottom w:val="nil"/>
              <w:right w:val="nil"/>
            </w:tcBorders>
          </w:tcPr>
          <w:p w14:paraId="656C90E8"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39</w:t>
            </w:r>
          </w:p>
        </w:tc>
        <w:tc>
          <w:tcPr>
            <w:tcW w:w="621" w:type="dxa"/>
            <w:tcBorders>
              <w:top w:val="nil"/>
              <w:left w:val="nil"/>
              <w:bottom w:val="nil"/>
              <w:right w:val="nil"/>
            </w:tcBorders>
          </w:tcPr>
          <w:p w14:paraId="1100025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36</w:t>
            </w:r>
          </w:p>
        </w:tc>
        <w:tc>
          <w:tcPr>
            <w:tcW w:w="621" w:type="dxa"/>
            <w:tcBorders>
              <w:top w:val="nil"/>
              <w:left w:val="nil"/>
              <w:bottom w:val="nil"/>
              <w:right w:val="nil"/>
            </w:tcBorders>
          </w:tcPr>
          <w:p w14:paraId="48670A0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43</w:t>
            </w:r>
          </w:p>
        </w:tc>
        <w:tc>
          <w:tcPr>
            <w:tcW w:w="621" w:type="dxa"/>
            <w:tcBorders>
              <w:top w:val="nil"/>
              <w:left w:val="nil"/>
              <w:bottom w:val="nil"/>
              <w:right w:val="nil"/>
            </w:tcBorders>
          </w:tcPr>
          <w:p w14:paraId="33F814B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53</w:t>
            </w:r>
          </w:p>
        </w:tc>
        <w:tc>
          <w:tcPr>
            <w:tcW w:w="621" w:type="dxa"/>
            <w:tcBorders>
              <w:top w:val="nil"/>
              <w:left w:val="nil"/>
              <w:bottom w:val="nil"/>
              <w:right w:val="nil"/>
            </w:tcBorders>
          </w:tcPr>
          <w:p w14:paraId="4F3EB0F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39</w:t>
            </w:r>
          </w:p>
        </w:tc>
        <w:tc>
          <w:tcPr>
            <w:tcW w:w="621" w:type="dxa"/>
            <w:tcBorders>
              <w:top w:val="nil"/>
              <w:left w:val="nil"/>
              <w:bottom w:val="nil"/>
              <w:right w:val="nil"/>
            </w:tcBorders>
          </w:tcPr>
          <w:p w14:paraId="331754A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36</w:t>
            </w:r>
          </w:p>
        </w:tc>
        <w:tc>
          <w:tcPr>
            <w:tcW w:w="621" w:type="dxa"/>
            <w:tcBorders>
              <w:top w:val="nil"/>
              <w:left w:val="nil"/>
              <w:bottom w:val="nil"/>
              <w:right w:val="nil"/>
            </w:tcBorders>
          </w:tcPr>
          <w:p w14:paraId="2116BC7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29</w:t>
            </w:r>
          </w:p>
        </w:tc>
        <w:tc>
          <w:tcPr>
            <w:tcW w:w="807" w:type="dxa"/>
            <w:tcBorders>
              <w:top w:val="nil"/>
              <w:left w:val="nil"/>
              <w:bottom w:val="nil"/>
              <w:right w:val="nil"/>
            </w:tcBorders>
          </w:tcPr>
          <w:p w14:paraId="004822F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21</w:t>
            </w:r>
          </w:p>
        </w:tc>
      </w:tr>
      <w:tr w:rsidR="007F1285" w14:paraId="78EA772F" w14:textId="77777777" w:rsidTr="00CD49DD">
        <w:trPr>
          <w:trHeight w:val="256"/>
        </w:trPr>
        <w:tc>
          <w:tcPr>
            <w:tcW w:w="2335" w:type="dxa"/>
            <w:tcBorders>
              <w:top w:val="nil"/>
              <w:left w:val="nil"/>
              <w:bottom w:val="nil"/>
              <w:right w:val="nil"/>
            </w:tcBorders>
            <w:shd w:val="clear" w:color="auto" w:fill="FCD5B4"/>
          </w:tcPr>
          <w:p w14:paraId="4BAB0B56"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Sonora</w:t>
            </w:r>
          </w:p>
        </w:tc>
        <w:tc>
          <w:tcPr>
            <w:tcW w:w="621" w:type="dxa"/>
            <w:tcBorders>
              <w:top w:val="nil"/>
              <w:left w:val="nil"/>
              <w:bottom w:val="nil"/>
              <w:right w:val="nil"/>
            </w:tcBorders>
          </w:tcPr>
          <w:p w14:paraId="7BDEB88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20</w:t>
            </w:r>
          </w:p>
        </w:tc>
        <w:tc>
          <w:tcPr>
            <w:tcW w:w="621" w:type="dxa"/>
            <w:tcBorders>
              <w:top w:val="nil"/>
              <w:left w:val="nil"/>
              <w:bottom w:val="nil"/>
              <w:right w:val="nil"/>
            </w:tcBorders>
          </w:tcPr>
          <w:p w14:paraId="2A5B296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19</w:t>
            </w:r>
          </w:p>
        </w:tc>
        <w:tc>
          <w:tcPr>
            <w:tcW w:w="621" w:type="dxa"/>
            <w:tcBorders>
              <w:top w:val="nil"/>
              <w:left w:val="nil"/>
              <w:bottom w:val="nil"/>
              <w:right w:val="nil"/>
            </w:tcBorders>
          </w:tcPr>
          <w:p w14:paraId="064F499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23</w:t>
            </w:r>
          </w:p>
        </w:tc>
        <w:tc>
          <w:tcPr>
            <w:tcW w:w="621" w:type="dxa"/>
            <w:tcBorders>
              <w:top w:val="nil"/>
              <w:left w:val="nil"/>
              <w:bottom w:val="nil"/>
              <w:right w:val="nil"/>
            </w:tcBorders>
          </w:tcPr>
          <w:p w14:paraId="2AC6765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23</w:t>
            </w:r>
          </w:p>
        </w:tc>
        <w:tc>
          <w:tcPr>
            <w:tcW w:w="621" w:type="dxa"/>
            <w:tcBorders>
              <w:top w:val="nil"/>
              <w:left w:val="nil"/>
              <w:bottom w:val="nil"/>
              <w:right w:val="nil"/>
            </w:tcBorders>
          </w:tcPr>
          <w:p w14:paraId="1AB72E6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20</w:t>
            </w:r>
          </w:p>
        </w:tc>
        <w:tc>
          <w:tcPr>
            <w:tcW w:w="621" w:type="dxa"/>
            <w:tcBorders>
              <w:top w:val="nil"/>
              <w:left w:val="nil"/>
              <w:bottom w:val="nil"/>
              <w:right w:val="nil"/>
            </w:tcBorders>
          </w:tcPr>
          <w:p w14:paraId="007B880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20</w:t>
            </w:r>
          </w:p>
        </w:tc>
        <w:tc>
          <w:tcPr>
            <w:tcW w:w="621" w:type="dxa"/>
            <w:tcBorders>
              <w:top w:val="nil"/>
              <w:left w:val="nil"/>
              <w:bottom w:val="nil"/>
              <w:right w:val="nil"/>
            </w:tcBorders>
          </w:tcPr>
          <w:p w14:paraId="1E1F066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26</w:t>
            </w:r>
          </w:p>
        </w:tc>
        <w:tc>
          <w:tcPr>
            <w:tcW w:w="621" w:type="dxa"/>
            <w:tcBorders>
              <w:top w:val="nil"/>
              <w:left w:val="nil"/>
              <w:bottom w:val="nil"/>
              <w:right w:val="nil"/>
            </w:tcBorders>
          </w:tcPr>
          <w:p w14:paraId="274599A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31</w:t>
            </w:r>
          </w:p>
        </w:tc>
        <w:tc>
          <w:tcPr>
            <w:tcW w:w="621" w:type="dxa"/>
            <w:tcBorders>
              <w:top w:val="nil"/>
              <w:left w:val="nil"/>
              <w:bottom w:val="nil"/>
              <w:right w:val="nil"/>
            </w:tcBorders>
          </w:tcPr>
          <w:p w14:paraId="342460C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46</w:t>
            </w:r>
          </w:p>
        </w:tc>
        <w:tc>
          <w:tcPr>
            <w:tcW w:w="621" w:type="dxa"/>
            <w:tcBorders>
              <w:top w:val="nil"/>
              <w:left w:val="nil"/>
              <w:bottom w:val="nil"/>
              <w:right w:val="nil"/>
            </w:tcBorders>
          </w:tcPr>
          <w:p w14:paraId="72A201A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54</w:t>
            </w:r>
          </w:p>
        </w:tc>
        <w:tc>
          <w:tcPr>
            <w:tcW w:w="807" w:type="dxa"/>
            <w:tcBorders>
              <w:top w:val="nil"/>
              <w:left w:val="nil"/>
              <w:bottom w:val="nil"/>
              <w:right w:val="nil"/>
            </w:tcBorders>
          </w:tcPr>
          <w:p w14:paraId="4C266B2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70</w:t>
            </w:r>
          </w:p>
        </w:tc>
      </w:tr>
      <w:tr w:rsidR="007F1285" w14:paraId="41688909" w14:textId="77777777" w:rsidTr="00CD49DD">
        <w:trPr>
          <w:trHeight w:val="256"/>
        </w:trPr>
        <w:tc>
          <w:tcPr>
            <w:tcW w:w="2335" w:type="dxa"/>
            <w:tcBorders>
              <w:top w:val="nil"/>
              <w:left w:val="nil"/>
              <w:bottom w:val="nil"/>
              <w:right w:val="nil"/>
            </w:tcBorders>
            <w:shd w:val="clear" w:color="auto" w:fill="FCD5B4"/>
          </w:tcPr>
          <w:p w14:paraId="55EB3E1C"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Tabasco</w:t>
            </w:r>
          </w:p>
        </w:tc>
        <w:tc>
          <w:tcPr>
            <w:tcW w:w="621" w:type="dxa"/>
            <w:tcBorders>
              <w:top w:val="nil"/>
              <w:left w:val="nil"/>
              <w:bottom w:val="nil"/>
              <w:right w:val="nil"/>
            </w:tcBorders>
          </w:tcPr>
          <w:p w14:paraId="3CBA91B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5C74CF4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8</w:t>
            </w:r>
          </w:p>
        </w:tc>
        <w:tc>
          <w:tcPr>
            <w:tcW w:w="621" w:type="dxa"/>
            <w:tcBorders>
              <w:top w:val="nil"/>
              <w:left w:val="nil"/>
              <w:bottom w:val="nil"/>
              <w:right w:val="nil"/>
            </w:tcBorders>
          </w:tcPr>
          <w:p w14:paraId="0840C0A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372C2CD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w:t>
            </w:r>
          </w:p>
        </w:tc>
        <w:tc>
          <w:tcPr>
            <w:tcW w:w="621" w:type="dxa"/>
            <w:tcBorders>
              <w:top w:val="nil"/>
              <w:left w:val="nil"/>
              <w:bottom w:val="nil"/>
              <w:right w:val="nil"/>
            </w:tcBorders>
          </w:tcPr>
          <w:p w14:paraId="34C15AA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15</w:t>
            </w:r>
          </w:p>
        </w:tc>
        <w:tc>
          <w:tcPr>
            <w:tcW w:w="621" w:type="dxa"/>
            <w:tcBorders>
              <w:top w:val="nil"/>
              <w:left w:val="nil"/>
              <w:bottom w:val="nil"/>
              <w:right w:val="nil"/>
            </w:tcBorders>
          </w:tcPr>
          <w:p w14:paraId="78C04A2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c>
          <w:tcPr>
            <w:tcW w:w="621" w:type="dxa"/>
            <w:tcBorders>
              <w:top w:val="nil"/>
              <w:left w:val="nil"/>
              <w:bottom w:val="nil"/>
              <w:right w:val="nil"/>
            </w:tcBorders>
          </w:tcPr>
          <w:p w14:paraId="03E9B9E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c>
          <w:tcPr>
            <w:tcW w:w="621" w:type="dxa"/>
            <w:tcBorders>
              <w:top w:val="nil"/>
              <w:left w:val="nil"/>
              <w:bottom w:val="nil"/>
              <w:right w:val="nil"/>
            </w:tcBorders>
          </w:tcPr>
          <w:p w14:paraId="388E610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23</w:t>
            </w:r>
          </w:p>
        </w:tc>
        <w:tc>
          <w:tcPr>
            <w:tcW w:w="621" w:type="dxa"/>
            <w:tcBorders>
              <w:top w:val="nil"/>
              <w:left w:val="nil"/>
              <w:bottom w:val="nil"/>
              <w:right w:val="nil"/>
            </w:tcBorders>
          </w:tcPr>
          <w:p w14:paraId="492D68F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27</w:t>
            </w:r>
          </w:p>
        </w:tc>
        <w:tc>
          <w:tcPr>
            <w:tcW w:w="621" w:type="dxa"/>
            <w:tcBorders>
              <w:top w:val="nil"/>
              <w:left w:val="nil"/>
              <w:bottom w:val="nil"/>
              <w:right w:val="nil"/>
            </w:tcBorders>
          </w:tcPr>
          <w:p w14:paraId="6E21A02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24</w:t>
            </w:r>
          </w:p>
        </w:tc>
        <w:tc>
          <w:tcPr>
            <w:tcW w:w="807" w:type="dxa"/>
            <w:tcBorders>
              <w:top w:val="nil"/>
              <w:left w:val="nil"/>
              <w:bottom w:val="nil"/>
              <w:right w:val="nil"/>
            </w:tcBorders>
          </w:tcPr>
          <w:p w14:paraId="1B08F33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19</w:t>
            </w:r>
          </w:p>
        </w:tc>
      </w:tr>
      <w:tr w:rsidR="007F1285" w14:paraId="3C246210" w14:textId="77777777" w:rsidTr="00CD49DD">
        <w:trPr>
          <w:trHeight w:val="256"/>
        </w:trPr>
        <w:tc>
          <w:tcPr>
            <w:tcW w:w="2335" w:type="dxa"/>
            <w:tcBorders>
              <w:top w:val="nil"/>
              <w:left w:val="nil"/>
              <w:bottom w:val="nil"/>
              <w:right w:val="nil"/>
            </w:tcBorders>
            <w:shd w:val="clear" w:color="auto" w:fill="FCD5B4"/>
          </w:tcPr>
          <w:p w14:paraId="625DED3E"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Tamaulipas</w:t>
            </w:r>
          </w:p>
        </w:tc>
        <w:tc>
          <w:tcPr>
            <w:tcW w:w="621" w:type="dxa"/>
            <w:tcBorders>
              <w:top w:val="nil"/>
              <w:left w:val="nil"/>
              <w:bottom w:val="nil"/>
              <w:right w:val="nil"/>
            </w:tcBorders>
          </w:tcPr>
          <w:p w14:paraId="48634E9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32</w:t>
            </w:r>
          </w:p>
        </w:tc>
        <w:tc>
          <w:tcPr>
            <w:tcW w:w="621" w:type="dxa"/>
            <w:tcBorders>
              <w:top w:val="nil"/>
              <w:left w:val="nil"/>
              <w:bottom w:val="nil"/>
              <w:right w:val="nil"/>
            </w:tcBorders>
          </w:tcPr>
          <w:p w14:paraId="24CB0CB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46</w:t>
            </w:r>
          </w:p>
        </w:tc>
        <w:tc>
          <w:tcPr>
            <w:tcW w:w="621" w:type="dxa"/>
            <w:tcBorders>
              <w:top w:val="nil"/>
              <w:left w:val="nil"/>
              <w:bottom w:val="nil"/>
              <w:right w:val="nil"/>
            </w:tcBorders>
          </w:tcPr>
          <w:p w14:paraId="1CB386C0"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26</w:t>
            </w:r>
          </w:p>
        </w:tc>
        <w:tc>
          <w:tcPr>
            <w:tcW w:w="621" w:type="dxa"/>
            <w:tcBorders>
              <w:top w:val="nil"/>
              <w:left w:val="nil"/>
              <w:bottom w:val="nil"/>
              <w:right w:val="nil"/>
            </w:tcBorders>
          </w:tcPr>
          <w:p w14:paraId="2E45250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26</w:t>
            </w:r>
          </w:p>
        </w:tc>
        <w:tc>
          <w:tcPr>
            <w:tcW w:w="621" w:type="dxa"/>
            <w:tcBorders>
              <w:top w:val="nil"/>
              <w:left w:val="nil"/>
              <w:bottom w:val="nil"/>
              <w:right w:val="nil"/>
            </w:tcBorders>
          </w:tcPr>
          <w:p w14:paraId="2DAB517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20</w:t>
            </w:r>
          </w:p>
        </w:tc>
        <w:tc>
          <w:tcPr>
            <w:tcW w:w="621" w:type="dxa"/>
            <w:tcBorders>
              <w:top w:val="nil"/>
              <w:left w:val="nil"/>
              <w:bottom w:val="nil"/>
              <w:right w:val="nil"/>
            </w:tcBorders>
          </w:tcPr>
          <w:p w14:paraId="20622C9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23</w:t>
            </w:r>
          </w:p>
        </w:tc>
        <w:tc>
          <w:tcPr>
            <w:tcW w:w="621" w:type="dxa"/>
            <w:tcBorders>
              <w:top w:val="nil"/>
              <w:left w:val="nil"/>
              <w:bottom w:val="nil"/>
              <w:right w:val="nil"/>
            </w:tcBorders>
          </w:tcPr>
          <w:p w14:paraId="715539D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34</w:t>
            </w:r>
          </w:p>
        </w:tc>
        <w:tc>
          <w:tcPr>
            <w:tcW w:w="621" w:type="dxa"/>
            <w:tcBorders>
              <w:top w:val="nil"/>
              <w:left w:val="nil"/>
              <w:bottom w:val="nil"/>
              <w:right w:val="nil"/>
            </w:tcBorders>
          </w:tcPr>
          <w:p w14:paraId="6D99455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40</w:t>
            </w:r>
          </w:p>
        </w:tc>
        <w:tc>
          <w:tcPr>
            <w:tcW w:w="621" w:type="dxa"/>
            <w:tcBorders>
              <w:top w:val="nil"/>
              <w:left w:val="nil"/>
              <w:bottom w:val="nil"/>
              <w:right w:val="nil"/>
            </w:tcBorders>
          </w:tcPr>
          <w:p w14:paraId="2C06499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24</w:t>
            </w:r>
          </w:p>
        </w:tc>
        <w:tc>
          <w:tcPr>
            <w:tcW w:w="621" w:type="dxa"/>
            <w:tcBorders>
              <w:top w:val="nil"/>
              <w:left w:val="nil"/>
              <w:bottom w:val="nil"/>
              <w:right w:val="nil"/>
            </w:tcBorders>
          </w:tcPr>
          <w:p w14:paraId="0840F840"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23</w:t>
            </w:r>
          </w:p>
        </w:tc>
        <w:tc>
          <w:tcPr>
            <w:tcW w:w="807" w:type="dxa"/>
            <w:tcBorders>
              <w:top w:val="nil"/>
              <w:left w:val="nil"/>
              <w:bottom w:val="nil"/>
              <w:right w:val="nil"/>
            </w:tcBorders>
          </w:tcPr>
          <w:p w14:paraId="3F80680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21</w:t>
            </w:r>
          </w:p>
        </w:tc>
      </w:tr>
      <w:tr w:rsidR="007F1285" w14:paraId="1BC8A9A8" w14:textId="77777777" w:rsidTr="00CD49DD">
        <w:trPr>
          <w:trHeight w:val="256"/>
        </w:trPr>
        <w:tc>
          <w:tcPr>
            <w:tcW w:w="2335" w:type="dxa"/>
            <w:tcBorders>
              <w:top w:val="nil"/>
              <w:left w:val="nil"/>
              <w:bottom w:val="nil"/>
              <w:right w:val="nil"/>
            </w:tcBorders>
            <w:shd w:val="clear" w:color="auto" w:fill="FCD5B4"/>
          </w:tcPr>
          <w:p w14:paraId="5AD2C126"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Tlaxcala</w:t>
            </w:r>
          </w:p>
        </w:tc>
        <w:tc>
          <w:tcPr>
            <w:tcW w:w="621" w:type="dxa"/>
            <w:tcBorders>
              <w:top w:val="nil"/>
              <w:left w:val="nil"/>
              <w:bottom w:val="nil"/>
              <w:right w:val="nil"/>
            </w:tcBorders>
          </w:tcPr>
          <w:p w14:paraId="6248B7A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w:t>
            </w:r>
          </w:p>
        </w:tc>
        <w:tc>
          <w:tcPr>
            <w:tcW w:w="621" w:type="dxa"/>
            <w:tcBorders>
              <w:top w:val="nil"/>
              <w:left w:val="nil"/>
              <w:bottom w:val="nil"/>
              <w:right w:val="nil"/>
            </w:tcBorders>
          </w:tcPr>
          <w:p w14:paraId="1AB979C0"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w:t>
            </w:r>
          </w:p>
        </w:tc>
        <w:tc>
          <w:tcPr>
            <w:tcW w:w="621" w:type="dxa"/>
            <w:tcBorders>
              <w:top w:val="nil"/>
              <w:left w:val="nil"/>
              <w:bottom w:val="nil"/>
              <w:right w:val="nil"/>
            </w:tcBorders>
          </w:tcPr>
          <w:p w14:paraId="5880818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w:t>
            </w:r>
          </w:p>
        </w:tc>
        <w:tc>
          <w:tcPr>
            <w:tcW w:w="621" w:type="dxa"/>
            <w:tcBorders>
              <w:top w:val="nil"/>
              <w:left w:val="nil"/>
              <w:bottom w:val="nil"/>
              <w:right w:val="nil"/>
            </w:tcBorders>
          </w:tcPr>
          <w:p w14:paraId="54F71760"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w:t>
            </w:r>
          </w:p>
        </w:tc>
        <w:tc>
          <w:tcPr>
            <w:tcW w:w="621" w:type="dxa"/>
            <w:tcBorders>
              <w:top w:val="nil"/>
              <w:left w:val="nil"/>
              <w:bottom w:val="nil"/>
              <w:right w:val="nil"/>
            </w:tcBorders>
          </w:tcPr>
          <w:p w14:paraId="2648A23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6</w:t>
            </w:r>
          </w:p>
        </w:tc>
        <w:tc>
          <w:tcPr>
            <w:tcW w:w="621" w:type="dxa"/>
            <w:tcBorders>
              <w:top w:val="nil"/>
              <w:left w:val="nil"/>
              <w:bottom w:val="nil"/>
              <w:right w:val="nil"/>
            </w:tcBorders>
          </w:tcPr>
          <w:p w14:paraId="4B83870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w:t>
            </w:r>
          </w:p>
        </w:tc>
        <w:tc>
          <w:tcPr>
            <w:tcW w:w="621" w:type="dxa"/>
            <w:tcBorders>
              <w:top w:val="nil"/>
              <w:left w:val="nil"/>
              <w:bottom w:val="nil"/>
              <w:right w:val="nil"/>
            </w:tcBorders>
          </w:tcPr>
          <w:p w14:paraId="0FE0AF4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w:t>
            </w:r>
          </w:p>
        </w:tc>
        <w:tc>
          <w:tcPr>
            <w:tcW w:w="621" w:type="dxa"/>
            <w:tcBorders>
              <w:top w:val="nil"/>
              <w:left w:val="nil"/>
              <w:bottom w:val="nil"/>
              <w:right w:val="nil"/>
            </w:tcBorders>
          </w:tcPr>
          <w:p w14:paraId="39B00690"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11</w:t>
            </w:r>
          </w:p>
        </w:tc>
        <w:tc>
          <w:tcPr>
            <w:tcW w:w="621" w:type="dxa"/>
            <w:tcBorders>
              <w:top w:val="nil"/>
              <w:left w:val="nil"/>
              <w:bottom w:val="nil"/>
              <w:right w:val="nil"/>
            </w:tcBorders>
          </w:tcPr>
          <w:p w14:paraId="30F893C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14</w:t>
            </w:r>
          </w:p>
        </w:tc>
        <w:tc>
          <w:tcPr>
            <w:tcW w:w="621" w:type="dxa"/>
            <w:tcBorders>
              <w:top w:val="nil"/>
              <w:left w:val="nil"/>
              <w:bottom w:val="nil"/>
              <w:right w:val="nil"/>
            </w:tcBorders>
          </w:tcPr>
          <w:p w14:paraId="4B49645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11</w:t>
            </w:r>
          </w:p>
        </w:tc>
        <w:tc>
          <w:tcPr>
            <w:tcW w:w="807" w:type="dxa"/>
            <w:tcBorders>
              <w:top w:val="nil"/>
              <w:left w:val="nil"/>
              <w:bottom w:val="nil"/>
              <w:right w:val="nil"/>
            </w:tcBorders>
          </w:tcPr>
          <w:p w14:paraId="599A9EB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r>
      <w:tr w:rsidR="007F1285" w14:paraId="08EA00B4" w14:textId="77777777" w:rsidTr="00CD49DD">
        <w:trPr>
          <w:trHeight w:val="256"/>
        </w:trPr>
        <w:tc>
          <w:tcPr>
            <w:tcW w:w="2335" w:type="dxa"/>
            <w:tcBorders>
              <w:top w:val="nil"/>
              <w:left w:val="nil"/>
              <w:bottom w:val="nil"/>
              <w:right w:val="nil"/>
            </w:tcBorders>
            <w:shd w:val="clear" w:color="auto" w:fill="FCD5B4"/>
          </w:tcPr>
          <w:p w14:paraId="7C214235"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Veracruz de Ignacio de la Llave</w:t>
            </w:r>
          </w:p>
        </w:tc>
        <w:tc>
          <w:tcPr>
            <w:tcW w:w="621" w:type="dxa"/>
            <w:tcBorders>
              <w:top w:val="nil"/>
              <w:left w:val="nil"/>
              <w:bottom w:val="nil"/>
              <w:right w:val="nil"/>
            </w:tcBorders>
          </w:tcPr>
          <w:p w14:paraId="22F5E39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13</w:t>
            </w:r>
          </w:p>
        </w:tc>
        <w:tc>
          <w:tcPr>
            <w:tcW w:w="621" w:type="dxa"/>
            <w:tcBorders>
              <w:top w:val="nil"/>
              <w:left w:val="nil"/>
              <w:bottom w:val="nil"/>
              <w:right w:val="nil"/>
            </w:tcBorders>
          </w:tcPr>
          <w:p w14:paraId="4E28E6E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13</w:t>
            </w:r>
          </w:p>
        </w:tc>
        <w:tc>
          <w:tcPr>
            <w:tcW w:w="621" w:type="dxa"/>
            <w:tcBorders>
              <w:top w:val="nil"/>
              <w:left w:val="nil"/>
              <w:bottom w:val="nil"/>
              <w:right w:val="nil"/>
            </w:tcBorders>
          </w:tcPr>
          <w:p w14:paraId="122F1DF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9</w:t>
            </w:r>
          </w:p>
        </w:tc>
        <w:tc>
          <w:tcPr>
            <w:tcW w:w="621" w:type="dxa"/>
            <w:tcBorders>
              <w:top w:val="nil"/>
              <w:left w:val="nil"/>
              <w:bottom w:val="nil"/>
              <w:right w:val="nil"/>
            </w:tcBorders>
          </w:tcPr>
          <w:p w14:paraId="349D2B6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11</w:t>
            </w:r>
          </w:p>
        </w:tc>
        <w:tc>
          <w:tcPr>
            <w:tcW w:w="621" w:type="dxa"/>
            <w:tcBorders>
              <w:top w:val="nil"/>
              <w:left w:val="nil"/>
              <w:bottom w:val="nil"/>
              <w:right w:val="nil"/>
            </w:tcBorders>
          </w:tcPr>
          <w:p w14:paraId="0C95E6E2"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c>
          <w:tcPr>
            <w:tcW w:w="621" w:type="dxa"/>
            <w:tcBorders>
              <w:top w:val="nil"/>
              <w:left w:val="nil"/>
              <w:bottom w:val="nil"/>
              <w:right w:val="nil"/>
            </w:tcBorders>
          </w:tcPr>
          <w:p w14:paraId="6DC719E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16</w:t>
            </w:r>
          </w:p>
        </w:tc>
        <w:tc>
          <w:tcPr>
            <w:tcW w:w="621" w:type="dxa"/>
            <w:tcBorders>
              <w:top w:val="nil"/>
              <w:left w:val="nil"/>
              <w:bottom w:val="nil"/>
              <w:right w:val="nil"/>
            </w:tcBorders>
          </w:tcPr>
          <w:p w14:paraId="0A38CC4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22</w:t>
            </w:r>
          </w:p>
        </w:tc>
        <w:tc>
          <w:tcPr>
            <w:tcW w:w="621" w:type="dxa"/>
            <w:tcBorders>
              <w:top w:val="nil"/>
              <w:left w:val="nil"/>
              <w:bottom w:val="nil"/>
              <w:right w:val="nil"/>
            </w:tcBorders>
          </w:tcPr>
          <w:p w14:paraId="40012C8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c>
          <w:tcPr>
            <w:tcW w:w="621" w:type="dxa"/>
            <w:tcBorders>
              <w:top w:val="nil"/>
              <w:left w:val="nil"/>
              <w:bottom w:val="nil"/>
              <w:right w:val="nil"/>
            </w:tcBorders>
          </w:tcPr>
          <w:p w14:paraId="081669D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18</w:t>
            </w:r>
          </w:p>
        </w:tc>
        <w:tc>
          <w:tcPr>
            <w:tcW w:w="621" w:type="dxa"/>
            <w:tcBorders>
              <w:top w:val="nil"/>
              <w:left w:val="nil"/>
              <w:bottom w:val="nil"/>
              <w:right w:val="nil"/>
            </w:tcBorders>
          </w:tcPr>
          <w:p w14:paraId="5EE68643"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15</w:t>
            </w:r>
          </w:p>
        </w:tc>
        <w:tc>
          <w:tcPr>
            <w:tcW w:w="807" w:type="dxa"/>
            <w:tcBorders>
              <w:top w:val="nil"/>
              <w:left w:val="nil"/>
              <w:bottom w:val="nil"/>
              <w:right w:val="nil"/>
            </w:tcBorders>
          </w:tcPr>
          <w:p w14:paraId="4CB9A48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12</w:t>
            </w:r>
          </w:p>
        </w:tc>
      </w:tr>
      <w:tr w:rsidR="007F1285" w14:paraId="444722B2" w14:textId="77777777" w:rsidTr="00CD49DD">
        <w:trPr>
          <w:trHeight w:val="256"/>
        </w:trPr>
        <w:tc>
          <w:tcPr>
            <w:tcW w:w="2335" w:type="dxa"/>
            <w:tcBorders>
              <w:top w:val="nil"/>
              <w:left w:val="nil"/>
              <w:bottom w:val="nil"/>
              <w:right w:val="nil"/>
            </w:tcBorders>
            <w:shd w:val="clear" w:color="auto" w:fill="FCD5B4"/>
          </w:tcPr>
          <w:p w14:paraId="1429A035"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Yucatán</w:t>
            </w:r>
          </w:p>
        </w:tc>
        <w:tc>
          <w:tcPr>
            <w:tcW w:w="621" w:type="dxa"/>
            <w:tcBorders>
              <w:top w:val="nil"/>
              <w:left w:val="nil"/>
              <w:bottom w:val="nil"/>
              <w:right w:val="nil"/>
            </w:tcBorders>
          </w:tcPr>
          <w:p w14:paraId="1BF3C82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w:t>
            </w:r>
          </w:p>
        </w:tc>
        <w:tc>
          <w:tcPr>
            <w:tcW w:w="621" w:type="dxa"/>
            <w:tcBorders>
              <w:top w:val="nil"/>
              <w:left w:val="nil"/>
              <w:bottom w:val="nil"/>
              <w:right w:val="nil"/>
            </w:tcBorders>
          </w:tcPr>
          <w:p w14:paraId="725345A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w:t>
            </w:r>
          </w:p>
        </w:tc>
        <w:tc>
          <w:tcPr>
            <w:tcW w:w="621" w:type="dxa"/>
            <w:tcBorders>
              <w:top w:val="nil"/>
              <w:left w:val="nil"/>
              <w:bottom w:val="nil"/>
              <w:right w:val="nil"/>
            </w:tcBorders>
          </w:tcPr>
          <w:p w14:paraId="7FA419AA"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w:t>
            </w:r>
          </w:p>
        </w:tc>
        <w:tc>
          <w:tcPr>
            <w:tcW w:w="621" w:type="dxa"/>
            <w:tcBorders>
              <w:top w:val="nil"/>
              <w:left w:val="nil"/>
              <w:bottom w:val="nil"/>
              <w:right w:val="nil"/>
            </w:tcBorders>
          </w:tcPr>
          <w:p w14:paraId="557994A7"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w:t>
            </w:r>
          </w:p>
        </w:tc>
        <w:tc>
          <w:tcPr>
            <w:tcW w:w="621" w:type="dxa"/>
            <w:tcBorders>
              <w:top w:val="nil"/>
              <w:left w:val="nil"/>
              <w:bottom w:val="nil"/>
              <w:right w:val="nil"/>
            </w:tcBorders>
          </w:tcPr>
          <w:p w14:paraId="3448BB4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w:t>
            </w:r>
          </w:p>
        </w:tc>
        <w:tc>
          <w:tcPr>
            <w:tcW w:w="621" w:type="dxa"/>
            <w:tcBorders>
              <w:top w:val="nil"/>
              <w:left w:val="nil"/>
              <w:bottom w:val="nil"/>
              <w:right w:val="nil"/>
            </w:tcBorders>
          </w:tcPr>
          <w:p w14:paraId="6545B99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w:t>
            </w:r>
          </w:p>
        </w:tc>
        <w:tc>
          <w:tcPr>
            <w:tcW w:w="621" w:type="dxa"/>
            <w:tcBorders>
              <w:top w:val="nil"/>
              <w:left w:val="nil"/>
              <w:bottom w:val="nil"/>
              <w:right w:val="nil"/>
            </w:tcBorders>
          </w:tcPr>
          <w:p w14:paraId="3EED6FB5"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w:t>
            </w:r>
          </w:p>
        </w:tc>
        <w:tc>
          <w:tcPr>
            <w:tcW w:w="621" w:type="dxa"/>
            <w:tcBorders>
              <w:top w:val="nil"/>
              <w:left w:val="nil"/>
              <w:bottom w:val="nil"/>
              <w:right w:val="nil"/>
            </w:tcBorders>
          </w:tcPr>
          <w:p w14:paraId="35E33FC8"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w:t>
            </w:r>
          </w:p>
        </w:tc>
        <w:tc>
          <w:tcPr>
            <w:tcW w:w="621" w:type="dxa"/>
            <w:tcBorders>
              <w:top w:val="nil"/>
              <w:left w:val="nil"/>
              <w:bottom w:val="nil"/>
              <w:right w:val="nil"/>
            </w:tcBorders>
          </w:tcPr>
          <w:p w14:paraId="6A12AB0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w:t>
            </w:r>
          </w:p>
        </w:tc>
        <w:tc>
          <w:tcPr>
            <w:tcW w:w="621" w:type="dxa"/>
            <w:tcBorders>
              <w:top w:val="nil"/>
              <w:left w:val="nil"/>
              <w:bottom w:val="nil"/>
              <w:right w:val="nil"/>
            </w:tcBorders>
          </w:tcPr>
          <w:p w14:paraId="69372CE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w:t>
            </w:r>
          </w:p>
        </w:tc>
        <w:tc>
          <w:tcPr>
            <w:tcW w:w="807" w:type="dxa"/>
            <w:tcBorders>
              <w:top w:val="nil"/>
              <w:left w:val="nil"/>
              <w:bottom w:val="nil"/>
              <w:right w:val="nil"/>
            </w:tcBorders>
          </w:tcPr>
          <w:p w14:paraId="04C2E7E6"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w:t>
            </w:r>
          </w:p>
        </w:tc>
      </w:tr>
      <w:tr w:rsidR="007F1285" w14:paraId="4F1AB621" w14:textId="77777777" w:rsidTr="00CD49DD">
        <w:trPr>
          <w:trHeight w:val="256"/>
        </w:trPr>
        <w:tc>
          <w:tcPr>
            <w:tcW w:w="2335" w:type="dxa"/>
            <w:tcBorders>
              <w:top w:val="nil"/>
              <w:left w:val="nil"/>
              <w:bottom w:val="nil"/>
              <w:right w:val="nil"/>
            </w:tcBorders>
            <w:shd w:val="clear" w:color="auto" w:fill="FCD5B4"/>
          </w:tcPr>
          <w:p w14:paraId="780ACCB8" w14:textId="77777777" w:rsidR="007F1285" w:rsidRDefault="007F1285" w:rsidP="00CD49DD">
            <w:pPr>
              <w:autoSpaceDE w:val="0"/>
              <w:autoSpaceDN w:val="0"/>
              <w:adjustRightInd w:val="0"/>
              <w:spacing w:after="0" w:line="240" w:lineRule="auto"/>
              <w:rPr>
                <w:rFonts w:ascii="Arial" w:eastAsia="Calibri" w:hAnsi="Arial" w:cs="Arial"/>
                <w:color w:val="000000"/>
                <w:sz w:val="16"/>
                <w:szCs w:val="16"/>
              </w:rPr>
            </w:pPr>
            <w:r>
              <w:rPr>
                <w:rFonts w:ascii="Arial" w:eastAsia="Calibri" w:hAnsi="Arial" w:cs="Arial"/>
                <w:color w:val="000000"/>
                <w:sz w:val="16"/>
                <w:szCs w:val="16"/>
              </w:rPr>
              <w:t>Zacatecas</w:t>
            </w:r>
          </w:p>
        </w:tc>
        <w:tc>
          <w:tcPr>
            <w:tcW w:w="621" w:type="dxa"/>
            <w:tcBorders>
              <w:top w:val="nil"/>
              <w:left w:val="nil"/>
              <w:bottom w:val="nil"/>
              <w:right w:val="nil"/>
            </w:tcBorders>
          </w:tcPr>
          <w:p w14:paraId="515CA8A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19</w:t>
            </w:r>
          </w:p>
        </w:tc>
        <w:tc>
          <w:tcPr>
            <w:tcW w:w="621" w:type="dxa"/>
            <w:tcBorders>
              <w:top w:val="nil"/>
              <w:left w:val="nil"/>
              <w:bottom w:val="nil"/>
              <w:right w:val="nil"/>
            </w:tcBorders>
          </w:tcPr>
          <w:p w14:paraId="6ABFDC2C"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30</w:t>
            </w:r>
          </w:p>
        </w:tc>
        <w:tc>
          <w:tcPr>
            <w:tcW w:w="621" w:type="dxa"/>
            <w:tcBorders>
              <w:top w:val="nil"/>
              <w:left w:val="nil"/>
              <w:bottom w:val="nil"/>
              <w:right w:val="nil"/>
            </w:tcBorders>
          </w:tcPr>
          <w:p w14:paraId="5D6E7054"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28</w:t>
            </w:r>
          </w:p>
        </w:tc>
        <w:tc>
          <w:tcPr>
            <w:tcW w:w="621" w:type="dxa"/>
            <w:tcBorders>
              <w:top w:val="nil"/>
              <w:left w:val="nil"/>
              <w:bottom w:val="nil"/>
              <w:right w:val="nil"/>
            </w:tcBorders>
          </w:tcPr>
          <w:p w14:paraId="70D8396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13</w:t>
            </w:r>
          </w:p>
        </w:tc>
        <w:tc>
          <w:tcPr>
            <w:tcW w:w="621" w:type="dxa"/>
            <w:tcBorders>
              <w:top w:val="nil"/>
              <w:left w:val="nil"/>
              <w:bottom w:val="nil"/>
              <w:right w:val="nil"/>
            </w:tcBorders>
          </w:tcPr>
          <w:p w14:paraId="321E298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21</w:t>
            </w:r>
          </w:p>
        </w:tc>
        <w:tc>
          <w:tcPr>
            <w:tcW w:w="621" w:type="dxa"/>
            <w:tcBorders>
              <w:top w:val="nil"/>
              <w:left w:val="nil"/>
              <w:bottom w:val="nil"/>
              <w:right w:val="nil"/>
            </w:tcBorders>
          </w:tcPr>
          <w:p w14:paraId="4A2C4ACE"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36</w:t>
            </w:r>
          </w:p>
        </w:tc>
        <w:tc>
          <w:tcPr>
            <w:tcW w:w="621" w:type="dxa"/>
            <w:tcBorders>
              <w:top w:val="nil"/>
              <w:left w:val="nil"/>
              <w:bottom w:val="nil"/>
              <w:right w:val="nil"/>
            </w:tcBorders>
          </w:tcPr>
          <w:p w14:paraId="203E991B"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44</w:t>
            </w:r>
          </w:p>
        </w:tc>
        <w:tc>
          <w:tcPr>
            <w:tcW w:w="621" w:type="dxa"/>
            <w:tcBorders>
              <w:top w:val="nil"/>
              <w:left w:val="nil"/>
              <w:bottom w:val="nil"/>
              <w:right w:val="nil"/>
            </w:tcBorders>
          </w:tcPr>
          <w:p w14:paraId="1C84533D"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47</w:t>
            </w:r>
          </w:p>
        </w:tc>
        <w:tc>
          <w:tcPr>
            <w:tcW w:w="621" w:type="dxa"/>
            <w:tcBorders>
              <w:top w:val="nil"/>
              <w:left w:val="nil"/>
              <w:bottom w:val="nil"/>
              <w:right w:val="nil"/>
            </w:tcBorders>
          </w:tcPr>
          <w:p w14:paraId="1B7A0801"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41</w:t>
            </w:r>
          </w:p>
        </w:tc>
        <w:tc>
          <w:tcPr>
            <w:tcW w:w="621" w:type="dxa"/>
            <w:tcBorders>
              <w:top w:val="nil"/>
              <w:left w:val="nil"/>
              <w:bottom w:val="nil"/>
              <w:right w:val="nil"/>
            </w:tcBorders>
          </w:tcPr>
          <w:p w14:paraId="3391D4B9"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76</w:t>
            </w:r>
          </w:p>
        </w:tc>
        <w:tc>
          <w:tcPr>
            <w:tcW w:w="807" w:type="dxa"/>
            <w:tcBorders>
              <w:top w:val="nil"/>
              <w:left w:val="nil"/>
              <w:bottom w:val="nil"/>
              <w:right w:val="nil"/>
            </w:tcBorders>
          </w:tcPr>
          <w:p w14:paraId="7C9A862F" w14:textId="77777777" w:rsidR="007F1285" w:rsidRDefault="007F1285" w:rsidP="00CD49DD">
            <w:pPr>
              <w:autoSpaceDE w:val="0"/>
              <w:autoSpaceDN w:val="0"/>
              <w:adjustRightInd w:val="0"/>
              <w:spacing w:after="0" w:line="240" w:lineRule="auto"/>
              <w:jc w:val="right"/>
              <w:rPr>
                <w:rFonts w:ascii="Arial" w:eastAsia="Calibri" w:hAnsi="Arial" w:cs="Arial"/>
                <w:color w:val="000000"/>
                <w:sz w:val="16"/>
                <w:szCs w:val="16"/>
              </w:rPr>
            </w:pPr>
            <w:r>
              <w:rPr>
                <w:rFonts w:ascii="Arial" w:eastAsia="Calibri" w:hAnsi="Arial" w:cs="Arial"/>
                <w:color w:val="000000"/>
                <w:sz w:val="16"/>
                <w:szCs w:val="16"/>
              </w:rPr>
              <w:t>109</w:t>
            </w:r>
          </w:p>
        </w:tc>
      </w:tr>
      <w:tr w:rsidR="007F1285" w14:paraId="625ECC9E" w14:textId="77777777" w:rsidTr="00CD49DD">
        <w:trPr>
          <w:trHeight w:val="298"/>
        </w:trPr>
        <w:tc>
          <w:tcPr>
            <w:tcW w:w="2335" w:type="dxa"/>
            <w:tcBorders>
              <w:top w:val="nil"/>
              <w:left w:val="nil"/>
              <w:bottom w:val="nil"/>
              <w:right w:val="nil"/>
            </w:tcBorders>
            <w:shd w:val="clear" w:color="auto" w:fill="C0504D"/>
          </w:tcPr>
          <w:p w14:paraId="4EC9EFF9" w14:textId="77777777" w:rsidR="007F1285" w:rsidRDefault="007F1285" w:rsidP="00CD49DD">
            <w:pPr>
              <w:autoSpaceDE w:val="0"/>
              <w:autoSpaceDN w:val="0"/>
              <w:adjustRightInd w:val="0"/>
              <w:spacing w:after="0" w:line="240" w:lineRule="auto"/>
              <w:rPr>
                <w:rFonts w:ascii="Arial" w:eastAsia="Calibri" w:hAnsi="Arial" w:cs="Arial"/>
                <w:b/>
                <w:bCs/>
                <w:color w:val="FFFFFF"/>
                <w:sz w:val="16"/>
                <w:szCs w:val="16"/>
              </w:rPr>
            </w:pPr>
            <w:r>
              <w:rPr>
                <w:rFonts w:ascii="Arial" w:eastAsia="Calibri" w:hAnsi="Arial" w:cs="Arial"/>
                <w:b/>
                <w:bCs/>
                <w:color w:val="FFFFFF"/>
                <w:sz w:val="16"/>
                <w:szCs w:val="16"/>
              </w:rPr>
              <w:t>Estados Unidos Mexicanos</w:t>
            </w:r>
          </w:p>
        </w:tc>
        <w:tc>
          <w:tcPr>
            <w:tcW w:w="621" w:type="dxa"/>
            <w:tcBorders>
              <w:top w:val="nil"/>
              <w:left w:val="nil"/>
              <w:bottom w:val="nil"/>
              <w:right w:val="nil"/>
            </w:tcBorders>
            <w:shd w:val="clear" w:color="auto" w:fill="C0504D"/>
          </w:tcPr>
          <w:p w14:paraId="3407F115"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 xml:space="preserve">  24</w:t>
            </w:r>
          </w:p>
        </w:tc>
        <w:tc>
          <w:tcPr>
            <w:tcW w:w="621" w:type="dxa"/>
            <w:tcBorders>
              <w:top w:val="nil"/>
              <w:left w:val="nil"/>
              <w:bottom w:val="nil"/>
              <w:right w:val="nil"/>
            </w:tcBorders>
            <w:shd w:val="clear" w:color="auto" w:fill="C0504D"/>
          </w:tcPr>
          <w:p w14:paraId="2FB8935D"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 xml:space="preserve">  22</w:t>
            </w:r>
          </w:p>
        </w:tc>
        <w:tc>
          <w:tcPr>
            <w:tcW w:w="621" w:type="dxa"/>
            <w:tcBorders>
              <w:top w:val="nil"/>
              <w:left w:val="nil"/>
              <w:bottom w:val="nil"/>
              <w:right w:val="nil"/>
            </w:tcBorders>
            <w:shd w:val="clear" w:color="auto" w:fill="C0504D"/>
          </w:tcPr>
          <w:p w14:paraId="56FA1D5E"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 xml:space="preserve">  19</w:t>
            </w:r>
          </w:p>
        </w:tc>
        <w:tc>
          <w:tcPr>
            <w:tcW w:w="621" w:type="dxa"/>
            <w:tcBorders>
              <w:top w:val="nil"/>
              <w:left w:val="nil"/>
              <w:bottom w:val="nil"/>
              <w:right w:val="nil"/>
            </w:tcBorders>
            <w:shd w:val="clear" w:color="auto" w:fill="C0504D"/>
          </w:tcPr>
          <w:p w14:paraId="54457D08"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 xml:space="preserve">  17</w:t>
            </w:r>
          </w:p>
        </w:tc>
        <w:tc>
          <w:tcPr>
            <w:tcW w:w="621" w:type="dxa"/>
            <w:tcBorders>
              <w:top w:val="nil"/>
              <w:left w:val="nil"/>
              <w:bottom w:val="nil"/>
              <w:right w:val="nil"/>
            </w:tcBorders>
            <w:shd w:val="clear" w:color="auto" w:fill="C0504D"/>
          </w:tcPr>
          <w:p w14:paraId="08DA8C9A"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 xml:space="preserve">  17</w:t>
            </w:r>
          </w:p>
        </w:tc>
        <w:tc>
          <w:tcPr>
            <w:tcW w:w="621" w:type="dxa"/>
            <w:tcBorders>
              <w:top w:val="nil"/>
              <w:left w:val="nil"/>
              <w:bottom w:val="nil"/>
              <w:right w:val="nil"/>
            </w:tcBorders>
            <w:shd w:val="clear" w:color="auto" w:fill="C0504D"/>
          </w:tcPr>
          <w:p w14:paraId="4350AA9D"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 xml:space="preserve">  20</w:t>
            </w:r>
          </w:p>
        </w:tc>
        <w:tc>
          <w:tcPr>
            <w:tcW w:w="621" w:type="dxa"/>
            <w:tcBorders>
              <w:top w:val="nil"/>
              <w:left w:val="nil"/>
              <w:bottom w:val="nil"/>
              <w:right w:val="nil"/>
            </w:tcBorders>
            <w:shd w:val="clear" w:color="auto" w:fill="C0504D"/>
          </w:tcPr>
          <w:p w14:paraId="08AE2B7F"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 xml:space="preserve">  26</w:t>
            </w:r>
          </w:p>
        </w:tc>
        <w:tc>
          <w:tcPr>
            <w:tcW w:w="621" w:type="dxa"/>
            <w:tcBorders>
              <w:top w:val="nil"/>
              <w:left w:val="nil"/>
              <w:bottom w:val="nil"/>
              <w:right w:val="nil"/>
            </w:tcBorders>
            <w:shd w:val="clear" w:color="auto" w:fill="C0504D"/>
          </w:tcPr>
          <w:p w14:paraId="1CC74E2D"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 xml:space="preserve">  29</w:t>
            </w:r>
          </w:p>
        </w:tc>
        <w:tc>
          <w:tcPr>
            <w:tcW w:w="621" w:type="dxa"/>
            <w:tcBorders>
              <w:top w:val="nil"/>
              <w:left w:val="nil"/>
              <w:bottom w:val="nil"/>
              <w:right w:val="nil"/>
            </w:tcBorders>
            <w:shd w:val="clear" w:color="auto" w:fill="C0504D"/>
          </w:tcPr>
          <w:p w14:paraId="250EE02D"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 xml:space="preserve">  29</w:t>
            </w:r>
          </w:p>
        </w:tc>
        <w:tc>
          <w:tcPr>
            <w:tcW w:w="621" w:type="dxa"/>
            <w:tcBorders>
              <w:top w:val="nil"/>
              <w:left w:val="nil"/>
              <w:bottom w:val="nil"/>
              <w:right w:val="nil"/>
            </w:tcBorders>
            <w:shd w:val="clear" w:color="auto" w:fill="C0504D"/>
          </w:tcPr>
          <w:p w14:paraId="46BAF14B"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 xml:space="preserve">  29</w:t>
            </w:r>
          </w:p>
        </w:tc>
        <w:tc>
          <w:tcPr>
            <w:tcW w:w="807" w:type="dxa"/>
            <w:tcBorders>
              <w:top w:val="nil"/>
              <w:left w:val="nil"/>
              <w:bottom w:val="nil"/>
              <w:right w:val="nil"/>
            </w:tcBorders>
            <w:shd w:val="clear" w:color="auto" w:fill="C0504D"/>
          </w:tcPr>
          <w:p w14:paraId="0CC7A703" w14:textId="77777777" w:rsidR="007F1285" w:rsidRDefault="007F1285" w:rsidP="00CD49DD">
            <w:pPr>
              <w:autoSpaceDE w:val="0"/>
              <w:autoSpaceDN w:val="0"/>
              <w:adjustRightInd w:val="0"/>
              <w:spacing w:after="0" w:line="240" w:lineRule="auto"/>
              <w:jc w:val="right"/>
              <w:rPr>
                <w:rFonts w:ascii="Arial" w:eastAsia="Calibri" w:hAnsi="Arial" w:cs="Arial"/>
                <w:b/>
                <w:bCs/>
                <w:color w:val="FFFFFF"/>
                <w:sz w:val="16"/>
                <w:szCs w:val="16"/>
              </w:rPr>
            </w:pPr>
            <w:r>
              <w:rPr>
                <w:rFonts w:ascii="Arial" w:eastAsia="Calibri" w:hAnsi="Arial" w:cs="Arial"/>
                <w:b/>
                <w:bCs/>
                <w:color w:val="FFFFFF"/>
                <w:sz w:val="16"/>
                <w:szCs w:val="16"/>
              </w:rPr>
              <w:t xml:space="preserve">  28</w:t>
            </w:r>
          </w:p>
        </w:tc>
      </w:tr>
    </w:tbl>
    <w:p w14:paraId="69DCC1E2" w14:textId="28F27774" w:rsidR="007F1285" w:rsidRDefault="007F1285" w:rsidP="007F1285">
      <w:pPr>
        <w:tabs>
          <w:tab w:val="left" w:pos="567"/>
        </w:tabs>
        <w:spacing w:after="0" w:line="240" w:lineRule="auto"/>
        <w:ind w:left="567" w:right="283" w:hanging="567"/>
        <w:jc w:val="both"/>
        <w:rPr>
          <w:rFonts w:ascii="Arial" w:eastAsia="Calibri" w:hAnsi="Arial" w:cs="Arial"/>
          <w:sz w:val="14"/>
          <w:szCs w:val="14"/>
        </w:rPr>
      </w:pPr>
      <w:r>
        <w:rPr>
          <w:rFonts w:ascii="Arial" w:hAnsi="Arial" w:cs="Arial"/>
          <w:color w:val="000000"/>
          <w:sz w:val="14"/>
          <w:szCs w:val="14"/>
        </w:rPr>
        <w:t>Nota:</w:t>
      </w:r>
      <w:r>
        <w:rPr>
          <w:rFonts w:ascii="Arial" w:hAnsi="Arial" w:cs="Arial"/>
          <w:color w:val="000000"/>
          <w:sz w:val="14"/>
          <w:szCs w:val="14"/>
        </w:rPr>
        <w:tab/>
      </w:r>
      <w:r w:rsidRPr="00237018">
        <w:rPr>
          <w:rFonts w:ascii="Arial" w:eastAsia="Calibri" w:hAnsi="Arial" w:cs="Arial"/>
          <w:sz w:val="14"/>
          <w:szCs w:val="14"/>
        </w:rPr>
        <w:t xml:space="preserve">El denominador de la tasa para el periodo </w:t>
      </w:r>
      <w:r>
        <w:rPr>
          <w:rFonts w:ascii="Arial" w:eastAsia="Calibri" w:hAnsi="Arial" w:cs="Arial"/>
          <w:sz w:val="14"/>
          <w:szCs w:val="14"/>
        </w:rPr>
        <w:t>1990</w:t>
      </w:r>
      <w:r w:rsidRPr="00237018">
        <w:rPr>
          <w:rFonts w:ascii="Arial" w:eastAsia="Calibri" w:hAnsi="Arial" w:cs="Arial"/>
          <w:sz w:val="14"/>
          <w:szCs w:val="14"/>
        </w:rPr>
        <w:t>-20</w:t>
      </w:r>
      <w:r>
        <w:rPr>
          <w:rFonts w:ascii="Arial" w:eastAsia="Calibri" w:hAnsi="Arial" w:cs="Arial"/>
          <w:sz w:val="14"/>
          <w:szCs w:val="14"/>
        </w:rPr>
        <w:t>19</w:t>
      </w:r>
      <w:r w:rsidRPr="00237018">
        <w:rPr>
          <w:rFonts w:ascii="Arial" w:eastAsia="Calibri" w:hAnsi="Arial" w:cs="Arial"/>
          <w:sz w:val="14"/>
          <w:szCs w:val="14"/>
        </w:rPr>
        <w:t xml:space="preserve"> corresponde a las proyecciones de población 2016-2050 de</w:t>
      </w:r>
      <w:r w:rsidR="00B50244">
        <w:rPr>
          <w:rFonts w:ascii="Arial" w:eastAsia="Calibri" w:hAnsi="Arial" w:cs="Arial"/>
          <w:sz w:val="14"/>
          <w:szCs w:val="14"/>
        </w:rPr>
        <w:t>l</w:t>
      </w:r>
      <w:r w:rsidRPr="00237018">
        <w:rPr>
          <w:rFonts w:ascii="Arial" w:eastAsia="Calibri" w:hAnsi="Arial" w:cs="Arial"/>
          <w:sz w:val="14"/>
          <w:szCs w:val="14"/>
        </w:rPr>
        <w:t xml:space="preserve"> CONAPO y a la Conciliación Demográfica de México, 1950-2015. Para</w:t>
      </w:r>
      <w:r w:rsidR="00AF65B1">
        <w:rPr>
          <w:rFonts w:ascii="Arial" w:eastAsia="Calibri" w:hAnsi="Arial" w:cs="Arial"/>
          <w:sz w:val="14"/>
          <w:szCs w:val="14"/>
        </w:rPr>
        <w:t xml:space="preserve"> este </w:t>
      </w:r>
      <w:r w:rsidRPr="00237018">
        <w:rPr>
          <w:rFonts w:ascii="Arial" w:eastAsia="Calibri" w:hAnsi="Arial" w:cs="Arial"/>
          <w:sz w:val="14"/>
          <w:szCs w:val="14"/>
        </w:rPr>
        <w:t>cálculo</w:t>
      </w:r>
      <w:r w:rsidR="00AF65B1">
        <w:rPr>
          <w:rFonts w:ascii="Arial" w:eastAsia="Calibri" w:hAnsi="Arial" w:cs="Arial"/>
          <w:sz w:val="14"/>
          <w:szCs w:val="14"/>
        </w:rPr>
        <w:t xml:space="preserve">, la tasa </w:t>
      </w:r>
      <w:r>
        <w:rPr>
          <w:rFonts w:ascii="Arial" w:eastAsia="Calibri" w:hAnsi="Arial" w:cs="Arial"/>
          <w:sz w:val="14"/>
          <w:szCs w:val="14"/>
        </w:rPr>
        <w:t>de los años 2020-</w:t>
      </w:r>
      <w:r w:rsidRPr="00237018">
        <w:rPr>
          <w:rFonts w:ascii="Arial" w:eastAsia="Calibri" w:hAnsi="Arial" w:cs="Arial"/>
          <w:sz w:val="14"/>
          <w:szCs w:val="14"/>
        </w:rPr>
        <w:t xml:space="preserve">2021 se ajusta a la estimación de población </w:t>
      </w:r>
      <w:r w:rsidR="00AF65B1">
        <w:rPr>
          <w:rFonts w:ascii="Arial" w:eastAsia="Calibri" w:hAnsi="Arial" w:cs="Arial"/>
          <w:sz w:val="14"/>
          <w:szCs w:val="14"/>
        </w:rPr>
        <w:t xml:space="preserve">que elabora </w:t>
      </w:r>
      <w:r w:rsidRPr="00237018">
        <w:rPr>
          <w:rFonts w:ascii="Arial" w:eastAsia="Calibri" w:hAnsi="Arial" w:cs="Arial"/>
          <w:sz w:val="14"/>
          <w:szCs w:val="14"/>
        </w:rPr>
        <w:t>el INEGI con base en el Marco de Muestreo de Viviendas</w:t>
      </w:r>
      <w:r w:rsidR="00FC743D">
        <w:rPr>
          <w:rFonts w:ascii="Arial" w:eastAsia="Calibri" w:hAnsi="Arial" w:cs="Arial"/>
          <w:sz w:val="14"/>
          <w:szCs w:val="14"/>
        </w:rPr>
        <w:t xml:space="preserve"> con referencia al 30 de junio para ambos años.</w:t>
      </w:r>
    </w:p>
    <w:p w14:paraId="5506D7F0" w14:textId="78DD64B2" w:rsidR="007F1285" w:rsidRPr="00C61ACD" w:rsidRDefault="007F1285" w:rsidP="007F1285">
      <w:pPr>
        <w:tabs>
          <w:tab w:val="left" w:pos="567"/>
        </w:tabs>
        <w:spacing w:after="0" w:line="240" w:lineRule="auto"/>
        <w:ind w:left="567" w:right="283" w:hanging="567"/>
        <w:jc w:val="both"/>
        <w:rPr>
          <w:rFonts w:ascii="Arial" w:hAnsi="Arial" w:cs="Arial"/>
          <w:bCs/>
          <w:sz w:val="14"/>
          <w:szCs w:val="14"/>
        </w:rPr>
      </w:pPr>
      <w:r w:rsidRPr="00C61ACD">
        <w:rPr>
          <w:rFonts w:ascii="Arial" w:hAnsi="Arial" w:cs="Arial"/>
          <w:bCs/>
          <w:sz w:val="14"/>
          <w:szCs w:val="14"/>
          <w:vertAlign w:val="superscript"/>
        </w:rPr>
        <w:t>p</w:t>
      </w:r>
      <w:r w:rsidRPr="00C61ACD">
        <w:rPr>
          <w:rFonts w:ascii="Arial" w:hAnsi="Arial" w:cs="Arial"/>
          <w:bCs/>
          <w:sz w:val="14"/>
          <w:szCs w:val="14"/>
        </w:rPr>
        <w:tab/>
        <w:t>Cifras preliminar</w:t>
      </w:r>
      <w:r>
        <w:rPr>
          <w:rFonts w:ascii="Arial" w:hAnsi="Arial" w:cs="Arial"/>
          <w:bCs/>
          <w:sz w:val="14"/>
          <w:szCs w:val="14"/>
        </w:rPr>
        <w:t xml:space="preserve">es (enero a diciembre 2021), con corte </w:t>
      </w:r>
      <w:r w:rsidRPr="00331198">
        <w:rPr>
          <w:rFonts w:ascii="Arial" w:hAnsi="Arial" w:cs="Arial"/>
          <w:bCs/>
          <w:sz w:val="14"/>
          <w:szCs w:val="14"/>
        </w:rPr>
        <w:t xml:space="preserve">al </w:t>
      </w:r>
      <w:r>
        <w:rPr>
          <w:rFonts w:ascii="Arial" w:hAnsi="Arial" w:cs="Arial"/>
          <w:bCs/>
          <w:sz w:val="14"/>
          <w:szCs w:val="14"/>
        </w:rPr>
        <w:t>15 de julio de 2022</w:t>
      </w:r>
      <w:r w:rsidR="00762748">
        <w:rPr>
          <w:rFonts w:ascii="Arial" w:hAnsi="Arial" w:cs="Arial"/>
          <w:bCs/>
          <w:sz w:val="14"/>
          <w:szCs w:val="14"/>
        </w:rPr>
        <w:t xml:space="preserve">: </w:t>
      </w:r>
      <w:r w:rsidRPr="00C61ACD">
        <w:rPr>
          <w:rFonts w:ascii="Arial" w:hAnsi="Arial" w:cs="Arial"/>
          <w:bCs/>
          <w:sz w:val="14"/>
          <w:szCs w:val="14"/>
        </w:rPr>
        <w:t>aún no concluyen los procesos de generación de la</w:t>
      </w:r>
      <w:r>
        <w:rPr>
          <w:rFonts w:ascii="Arial" w:hAnsi="Arial" w:cs="Arial"/>
          <w:bCs/>
          <w:sz w:val="14"/>
          <w:szCs w:val="14"/>
        </w:rPr>
        <w:t>s</w:t>
      </w:r>
      <w:r w:rsidRPr="00C61ACD">
        <w:rPr>
          <w:rFonts w:ascii="Arial" w:hAnsi="Arial" w:cs="Arial"/>
          <w:bCs/>
          <w:sz w:val="14"/>
          <w:szCs w:val="14"/>
        </w:rPr>
        <w:t xml:space="preserve"> estadís</w:t>
      </w:r>
      <w:r>
        <w:rPr>
          <w:rFonts w:ascii="Arial" w:hAnsi="Arial" w:cs="Arial"/>
          <w:bCs/>
          <w:sz w:val="14"/>
          <w:szCs w:val="14"/>
        </w:rPr>
        <w:t>ticas de defunciones registradas</w:t>
      </w:r>
      <w:r w:rsidRPr="00C61ACD">
        <w:rPr>
          <w:rFonts w:ascii="Arial" w:hAnsi="Arial" w:cs="Arial"/>
          <w:bCs/>
          <w:sz w:val="14"/>
          <w:szCs w:val="14"/>
        </w:rPr>
        <w:t>.</w:t>
      </w:r>
    </w:p>
    <w:p w14:paraId="0296EE0E" w14:textId="2EF84DCB" w:rsidR="007F1285" w:rsidRPr="00910506" w:rsidRDefault="007F1285" w:rsidP="007F1285">
      <w:pPr>
        <w:tabs>
          <w:tab w:val="left" w:pos="567"/>
        </w:tabs>
        <w:spacing w:after="0" w:line="240" w:lineRule="auto"/>
        <w:ind w:right="283"/>
        <w:jc w:val="both"/>
        <w:rPr>
          <w:rFonts w:ascii="Arial" w:hAnsi="Arial" w:cs="Arial"/>
          <w:color w:val="000000"/>
          <w:sz w:val="14"/>
          <w:szCs w:val="14"/>
        </w:rPr>
      </w:pPr>
      <w:r w:rsidRPr="00C61ACD">
        <w:rPr>
          <w:rFonts w:ascii="Arial" w:hAnsi="Arial" w:cs="Arial"/>
          <w:color w:val="000000"/>
          <w:sz w:val="14"/>
          <w:szCs w:val="14"/>
        </w:rPr>
        <w:t>Fuente:</w:t>
      </w:r>
      <w:r w:rsidRPr="00C61ACD">
        <w:rPr>
          <w:rFonts w:ascii="Arial" w:hAnsi="Arial" w:cs="Arial"/>
          <w:color w:val="000000"/>
          <w:sz w:val="14"/>
          <w:szCs w:val="14"/>
        </w:rPr>
        <w:tab/>
      </w:r>
      <w:r w:rsidRPr="00BD7ACC">
        <w:rPr>
          <w:rFonts w:ascii="Arial" w:hAnsi="Arial" w:cs="Arial"/>
          <w:color w:val="000000"/>
          <w:sz w:val="14"/>
          <w:szCs w:val="14"/>
        </w:rPr>
        <w:t>INEGI</w:t>
      </w:r>
      <w:r w:rsidRPr="00C61ACD">
        <w:rPr>
          <w:rFonts w:ascii="Arial" w:hAnsi="Arial" w:cs="Arial"/>
          <w:b/>
          <w:bCs/>
          <w:color w:val="000000"/>
          <w:sz w:val="14"/>
          <w:szCs w:val="14"/>
        </w:rPr>
        <w:t>.</w:t>
      </w:r>
      <w:r w:rsidRPr="00C61ACD">
        <w:rPr>
          <w:rFonts w:ascii="Arial" w:hAnsi="Arial" w:cs="Arial"/>
          <w:color w:val="000000"/>
          <w:sz w:val="14"/>
          <w:szCs w:val="14"/>
        </w:rPr>
        <w:t xml:space="preserve"> Estadísticas Vitales.</w:t>
      </w:r>
      <w:r>
        <w:rPr>
          <w:rFonts w:ascii="Arial" w:hAnsi="Arial" w:cs="Arial"/>
          <w:color w:val="000000"/>
          <w:sz w:val="14"/>
          <w:szCs w:val="14"/>
        </w:rPr>
        <w:t xml:space="preserve"> </w:t>
      </w:r>
      <w:r w:rsidR="00476316">
        <w:rPr>
          <w:rFonts w:ascii="Arial" w:hAnsi="Arial" w:cs="Arial"/>
          <w:color w:val="000000"/>
          <w:sz w:val="14"/>
          <w:szCs w:val="14"/>
        </w:rPr>
        <w:t xml:space="preserve">Estadísticas de </w:t>
      </w:r>
      <w:r>
        <w:rPr>
          <w:rFonts w:ascii="Arial" w:hAnsi="Arial" w:cs="Arial"/>
          <w:color w:val="000000"/>
          <w:sz w:val="14"/>
          <w:szCs w:val="14"/>
        </w:rPr>
        <w:t xml:space="preserve">Defunciones </w:t>
      </w:r>
      <w:r w:rsidR="00087871">
        <w:rPr>
          <w:rFonts w:ascii="Arial" w:hAnsi="Arial" w:cs="Arial"/>
          <w:color w:val="000000"/>
          <w:sz w:val="14"/>
          <w:szCs w:val="14"/>
        </w:rPr>
        <w:t>Registradas</w:t>
      </w:r>
    </w:p>
    <w:p w14:paraId="733736B8" w14:textId="77777777" w:rsidR="007F1285" w:rsidRDefault="007F1285" w:rsidP="007F1285">
      <w:pPr>
        <w:pStyle w:val="p0"/>
        <w:tabs>
          <w:tab w:val="left" w:pos="567"/>
        </w:tabs>
        <w:spacing w:before="0" w:line="276" w:lineRule="auto"/>
        <w:ind w:right="425"/>
        <w:rPr>
          <w:rFonts w:cs="Arial"/>
          <w:b/>
          <w:bCs/>
          <w:color w:val="auto"/>
          <w:sz w:val="28"/>
          <w:vertAlign w:val="superscript"/>
        </w:rPr>
      </w:pPr>
    </w:p>
    <w:p w14:paraId="283B346C" w14:textId="77777777" w:rsidR="008E08CA" w:rsidRDefault="007F1285" w:rsidP="007F1285">
      <w:pPr>
        <w:spacing w:after="0"/>
        <w:ind w:right="-142"/>
        <w:jc w:val="both"/>
        <w:rPr>
          <w:rFonts w:ascii="Arial" w:hAnsi="Arial" w:cs="Arial"/>
          <w:b/>
          <w:bCs/>
          <w:sz w:val="24"/>
          <w:szCs w:val="20"/>
        </w:rPr>
      </w:pPr>
      <w:r>
        <w:rPr>
          <w:rFonts w:ascii="Arial" w:hAnsi="Arial" w:cs="Arial"/>
          <w:b/>
          <w:bCs/>
          <w:sz w:val="24"/>
          <w:szCs w:val="20"/>
        </w:rPr>
        <w:br w:type="page"/>
      </w:r>
    </w:p>
    <w:p w14:paraId="02E7E6C3" w14:textId="77777777" w:rsidR="0084564E" w:rsidRDefault="0084564E" w:rsidP="0089742A">
      <w:pPr>
        <w:widowControl w:val="0"/>
        <w:autoSpaceDE w:val="0"/>
        <w:autoSpaceDN w:val="0"/>
        <w:adjustRightInd w:val="0"/>
        <w:spacing w:after="0" w:line="240" w:lineRule="auto"/>
        <w:ind w:left="993" w:right="283" w:hanging="993"/>
        <w:rPr>
          <w:rFonts w:ascii="Arial" w:hAnsi="Arial" w:cs="Arial"/>
          <w:b/>
          <w:smallCaps/>
          <w:sz w:val="24"/>
          <w:szCs w:val="24"/>
          <w:lang w:eastAsia="es-ES"/>
        </w:rPr>
      </w:pPr>
    </w:p>
    <w:p w14:paraId="2A0BDF6D" w14:textId="5820FC5C" w:rsidR="00476316" w:rsidRDefault="00476316" w:rsidP="00BD7ACC">
      <w:pPr>
        <w:widowControl w:val="0"/>
        <w:autoSpaceDE w:val="0"/>
        <w:autoSpaceDN w:val="0"/>
        <w:adjustRightInd w:val="0"/>
        <w:spacing w:after="0" w:line="240" w:lineRule="auto"/>
        <w:ind w:right="146"/>
        <w:jc w:val="center"/>
        <w:rPr>
          <w:rFonts w:ascii="Arial" w:hAnsi="Arial" w:cs="Arial"/>
          <w:b/>
          <w:smallCaps/>
          <w:sz w:val="24"/>
          <w:szCs w:val="24"/>
          <w:lang w:eastAsia="es-ES"/>
        </w:rPr>
      </w:pPr>
      <w:r>
        <w:rPr>
          <w:rFonts w:ascii="Arial" w:hAnsi="Arial"/>
          <w:sz w:val="20"/>
          <w:szCs w:val="20"/>
          <w:lang w:eastAsia="es-ES"/>
        </w:rPr>
        <w:t>Tabla 3</w:t>
      </w:r>
    </w:p>
    <w:p w14:paraId="0256DC4B" w14:textId="533B6E86" w:rsidR="007F1285" w:rsidRPr="00BD7ACC" w:rsidRDefault="007F1285" w:rsidP="00BD7ACC">
      <w:pPr>
        <w:widowControl w:val="0"/>
        <w:autoSpaceDE w:val="0"/>
        <w:autoSpaceDN w:val="0"/>
        <w:adjustRightInd w:val="0"/>
        <w:spacing w:after="0" w:line="240" w:lineRule="auto"/>
        <w:ind w:right="146"/>
        <w:jc w:val="center"/>
        <w:rPr>
          <w:rFonts w:ascii="Arial" w:hAnsi="Arial" w:cs="Arial"/>
          <w:b/>
          <w:smallCaps/>
          <w:lang w:eastAsia="es-ES"/>
        </w:rPr>
      </w:pPr>
      <w:r w:rsidRPr="00BD7ACC">
        <w:rPr>
          <w:rFonts w:ascii="Arial" w:hAnsi="Arial" w:cs="Arial"/>
          <w:b/>
          <w:smallCaps/>
          <w:lang w:eastAsia="es-ES"/>
        </w:rPr>
        <w:t>H</w:t>
      </w:r>
      <w:r w:rsidR="00753795" w:rsidRPr="00BD7ACC">
        <w:rPr>
          <w:rFonts w:ascii="Arial" w:hAnsi="Arial" w:cs="Arial"/>
          <w:b/>
          <w:smallCaps/>
          <w:lang w:eastAsia="es-ES"/>
        </w:rPr>
        <w:t>omicidios registrados</w:t>
      </w:r>
      <w:r w:rsidR="00865BFE" w:rsidRPr="00BD7ACC">
        <w:rPr>
          <w:rFonts w:ascii="Arial" w:hAnsi="Arial" w:cs="Arial"/>
          <w:b/>
          <w:smallCaps/>
          <w:lang w:eastAsia="es-ES"/>
        </w:rPr>
        <w:t xml:space="preserve"> según causa de la</w:t>
      </w:r>
      <w:r w:rsidR="00753795" w:rsidRPr="00BD7ACC">
        <w:rPr>
          <w:rFonts w:ascii="Arial" w:hAnsi="Arial" w:cs="Arial"/>
          <w:b/>
          <w:smallCaps/>
          <w:lang w:eastAsia="es-ES"/>
        </w:rPr>
        <w:t xml:space="preserve"> defunción según sexo</w:t>
      </w:r>
      <w:r w:rsidRPr="00BD7ACC">
        <w:rPr>
          <w:rFonts w:ascii="Arial" w:hAnsi="Arial" w:cs="Arial"/>
          <w:b/>
          <w:smallCaps/>
          <w:lang w:eastAsia="es-ES"/>
        </w:rPr>
        <w:t>, 2021</w:t>
      </w:r>
      <w:r w:rsidRPr="00BD7ACC">
        <w:rPr>
          <w:rFonts w:ascii="Arial" w:hAnsi="Arial" w:cs="Arial"/>
          <w:b/>
          <w:smallCaps/>
          <w:vertAlign w:val="superscript"/>
          <w:lang w:eastAsia="es-ES"/>
        </w:rPr>
        <w:t>p</w:t>
      </w:r>
    </w:p>
    <w:p w14:paraId="594DE08B" w14:textId="77777777" w:rsidR="00753795" w:rsidRPr="00BD7ACC" w:rsidRDefault="00753795" w:rsidP="003B3305">
      <w:pPr>
        <w:widowControl w:val="0"/>
        <w:autoSpaceDE w:val="0"/>
        <w:autoSpaceDN w:val="0"/>
        <w:adjustRightInd w:val="0"/>
        <w:spacing w:after="0" w:line="240" w:lineRule="auto"/>
        <w:rPr>
          <w:rFonts w:ascii="Arial" w:hAnsi="Arial" w:cs="Arial"/>
          <w:b/>
          <w:smallCaps/>
          <w:lang w:eastAsia="es-ES"/>
        </w:rPr>
      </w:pPr>
    </w:p>
    <w:tbl>
      <w:tblPr>
        <w:tblW w:w="9480" w:type="dxa"/>
        <w:tblInd w:w="70" w:type="dxa"/>
        <w:tblLayout w:type="fixed"/>
        <w:tblCellMar>
          <w:left w:w="70" w:type="dxa"/>
          <w:right w:w="70" w:type="dxa"/>
        </w:tblCellMar>
        <w:tblLook w:val="04A0" w:firstRow="1" w:lastRow="0" w:firstColumn="1" w:lastColumn="0" w:noHBand="0" w:noVBand="1"/>
      </w:tblPr>
      <w:tblGrid>
        <w:gridCol w:w="541"/>
        <w:gridCol w:w="4137"/>
        <w:gridCol w:w="1200"/>
        <w:gridCol w:w="1201"/>
        <w:gridCol w:w="1200"/>
        <w:gridCol w:w="1201"/>
      </w:tblGrid>
      <w:tr w:rsidR="007F1285" w:rsidRPr="0075218F" w14:paraId="37E57479" w14:textId="77777777" w:rsidTr="00DC57AF">
        <w:trPr>
          <w:trHeight w:val="405"/>
        </w:trPr>
        <w:tc>
          <w:tcPr>
            <w:tcW w:w="4678" w:type="dxa"/>
            <w:gridSpan w:val="2"/>
            <w:tcBorders>
              <w:top w:val="nil"/>
              <w:left w:val="nil"/>
              <w:bottom w:val="nil"/>
              <w:right w:val="nil"/>
            </w:tcBorders>
            <w:shd w:val="clear" w:color="000000" w:fill="C0504D"/>
            <w:noWrap/>
            <w:vAlign w:val="center"/>
            <w:hideMark/>
          </w:tcPr>
          <w:p w14:paraId="1BAC104A" w14:textId="77777777" w:rsidR="007F1285" w:rsidRPr="0075218F" w:rsidRDefault="007F1285" w:rsidP="00CD49DD">
            <w:pPr>
              <w:spacing w:after="0" w:line="240" w:lineRule="auto"/>
              <w:rPr>
                <w:rFonts w:ascii="Arial" w:hAnsi="Arial" w:cs="Arial"/>
                <w:b/>
                <w:bCs/>
                <w:color w:val="FFFFFF"/>
                <w:sz w:val="16"/>
                <w:szCs w:val="16"/>
              </w:rPr>
            </w:pPr>
            <w:r w:rsidRPr="0075218F">
              <w:rPr>
                <w:rFonts w:ascii="Arial" w:hAnsi="Arial" w:cs="Arial"/>
                <w:b/>
                <w:bCs/>
                <w:color w:val="FFFFFF"/>
                <w:sz w:val="16"/>
                <w:szCs w:val="16"/>
              </w:rPr>
              <w:t>Causa de la defunción</w:t>
            </w:r>
          </w:p>
        </w:tc>
        <w:tc>
          <w:tcPr>
            <w:tcW w:w="1200" w:type="dxa"/>
            <w:tcBorders>
              <w:top w:val="nil"/>
              <w:left w:val="nil"/>
              <w:bottom w:val="nil"/>
              <w:right w:val="nil"/>
            </w:tcBorders>
            <w:shd w:val="clear" w:color="000000" w:fill="C0504D"/>
            <w:noWrap/>
            <w:vAlign w:val="center"/>
            <w:hideMark/>
          </w:tcPr>
          <w:p w14:paraId="32F99E8E" w14:textId="77777777" w:rsidR="007F1285" w:rsidRPr="0075218F" w:rsidRDefault="007F1285" w:rsidP="00CD49DD">
            <w:pPr>
              <w:spacing w:after="0" w:line="240" w:lineRule="auto"/>
              <w:jc w:val="center"/>
              <w:rPr>
                <w:rFonts w:ascii="Arial" w:hAnsi="Arial" w:cs="Arial"/>
                <w:b/>
                <w:bCs/>
                <w:color w:val="FFFFFF"/>
                <w:sz w:val="16"/>
                <w:szCs w:val="16"/>
              </w:rPr>
            </w:pPr>
            <w:r w:rsidRPr="0075218F">
              <w:rPr>
                <w:rFonts w:ascii="Arial" w:hAnsi="Arial" w:cs="Arial"/>
                <w:b/>
                <w:bCs/>
                <w:color w:val="FFFFFF"/>
                <w:sz w:val="16"/>
                <w:szCs w:val="16"/>
              </w:rPr>
              <w:t>Total</w:t>
            </w:r>
          </w:p>
        </w:tc>
        <w:tc>
          <w:tcPr>
            <w:tcW w:w="1201" w:type="dxa"/>
            <w:tcBorders>
              <w:top w:val="nil"/>
              <w:left w:val="nil"/>
              <w:bottom w:val="nil"/>
              <w:right w:val="nil"/>
            </w:tcBorders>
            <w:shd w:val="clear" w:color="000000" w:fill="C0504D"/>
            <w:noWrap/>
            <w:vAlign w:val="center"/>
            <w:hideMark/>
          </w:tcPr>
          <w:p w14:paraId="2D4485DA" w14:textId="77777777" w:rsidR="007F1285" w:rsidRPr="0075218F" w:rsidRDefault="007F1285" w:rsidP="00CD49DD">
            <w:pPr>
              <w:spacing w:after="0" w:line="240" w:lineRule="auto"/>
              <w:jc w:val="center"/>
              <w:rPr>
                <w:rFonts w:ascii="Arial" w:hAnsi="Arial" w:cs="Arial"/>
                <w:b/>
                <w:bCs/>
                <w:color w:val="FFFFFF"/>
                <w:sz w:val="16"/>
                <w:szCs w:val="16"/>
              </w:rPr>
            </w:pPr>
            <w:r w:rsidRPr="0075218F">
              <w:rPr>
                <w:rFonts w:ascii="Arial" w:hAnsi="Arial" w:cs="Arial"/>
                <w:b/>
                <w:bCs/>
                <w:color w:val="FFFFFF"/>
                <w:sz w:val="16"/>
                <w:szCs w:val="16"/>
              </w:rPr>
              <w:t>Hombres</w:t>
            </w:r>
          </w:p>
        </w:tc>
        <w:tc>
          <w:tcPr>
            <w:tcW w:w="1200" w:type="dxa"/>
            <w:tcBorders>
              <w:top w:val="nil"/>
              <w:left w:val="nil"/>
              <w:bottom w:val="nil"/>
              <w:right w:val="nil"/>
            </w:tcBorders>
            <w:shd w:val="clear" w:color="000000" w:fill="C0504D"/>
            <w:noWrap/>
            <w:vAlign w:val="center"/>
            <w:hideMark/>
          </w:tcPr>
          <w:p w14:paraId="38CFD4FC" w14:textId="77777777" w:rsidR="007F1285" w:rsidRPr="0075218F" w:rsidRDefault="007F1285" w:rsidP="00CD49DD">
            <w:pPr>
              <w:spacing w:after="0" w:line="240" w:lineRule="auto"/>
              <w:jc w:val="center"/>
              <w:rPr>
                <w:rFonts w:ascii="Arial" w:hAnsi="Arial" w:cs="Arial"/>
                <w:b/>
                <w:bCs/>
                <w:color w:val="FFFFFF"/>
                <w:sz w:val="16"/>
                <w:szCs w:val="16"/>
              </w:rPr>
            </w:pPr>
            <w:r w:rsidRPr="0075218F">
              <w:rPr>
                <w:rFonts w:ascii="Arial" w:hAnsi="Arial" w:cs="Arial"/>
                <w:b/>
                <w:bCs/>
                <w:color w:val="FFFFFF"/>
                <w:sz w:val="16"/>
                <w:szCs w:val="16"/>
              </w:rPr>
              <w:t>Mujeres</w:t>
            </w:r>
          </w:p>
        </w:tc>
        <w:tc>
          <w:tcPr>
            <w:tcW w:w="1201" w:type="dxa"/>
            <w:tcBorders>
              <w:top w:val="nil"/>
              <w:left w:val="nil"/>
              <w:bottom w:val="nil"/>
              <w:right w:val="nil"/>
            </w:tcBorders>
            <w:shd w:val="clear" w:color="000000" w:fill="C0504D"/>
            <w:noWrap/>
            <w:vAlign w:val="center"/>
            <w:hideMark/>
          </w:tcPr>
          <w:p w14:paraId="182AAAC1" w14:textId="77777777" w:rsidR="007F1285" w:rsidRPr="0075218F" w:rsidRDefault="007F1285" w:rsidP="00CD49DD">
            <w:pPr>
              <w:spacing w:after="0" w:line="240" w:lineRule="auto"/>
              <w:jc w:val="center"/>
              <w:rPr>
                <w:rFonts w:ascii="Arial" w:hAnsi="Arial" w:cs="Arial"/>
                <w:b/>
                <w:bCs/>
                <w:color w:val="FFFFFF"/>
                <w:sz w:val="16"/>
                <w:szCs w:val="16"/>
              </w:rPr>
            </w:pPr>
            <w:r w:rsidRPr="0075218F">
              <w:rPr>
                <w:rFonts w:ascii="Arial" w:hAnsi="Arial" w:cs="Arial"/>
                <w:b/>
                <w:bCs/>
                <w:color w:val="FFFFFF"/>
                <w:sz w:val="16"/>
                <w:szCs w:val="16"/>
              </w:rPr>
              <w:t>No especificado</w:t>
            </w:r>
          </w:p>
        </w:tc>
      </w:tr>
      <w:tr w:rsidR="007F1285" w:rsidRPr="0075218F" w14:paraId="1D6DD7F0" w14:textId="77777777" w:rsidTr="00DC57AF">
        <w:trPr>
          <w:trHeight w:val="480"/>
        </w:trPr>
        <w:tc>
          <w:tcPr>
            <w:tcW w:w="541" w:type="dxa"/>
            <w:tcBorders>
              <w:top w:val="nil"/>
              <w:left w:val="nil"/>
              <w:bottom w:val="nil"/>
              <w:right w:val="nil"/>
            </w:tcBorders>
            <w:shd w:val="clear" w:color="000000" w:fill="FCD5B4"/>
            <w:noWrap/>
            <w:hideMark/>
          </w:tcPr>
          <w:p w14:paraId="78B20EEF"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X85</w:t>
            </w:r>
          </w:p>
        </w:tc>
        <w:tc>
          <w:tcPr>
            <w:tcW w:w="4137" w:type="dxa"/>
            <w:tcBorders>
              <w:top w:val="nil"/>
              <w:left w:val="nil"/>
              <w:bottom w:val="nil"/>
              <w:right w:val="nil"/>
            </w:tcBorders>
            <w:shd w:val="clear" w:color="000000" w:fill="FCD5B4"/>
            <w:hideMark/>
          </w:tcPr>
          <w:p w14:paraId="61F3E3E1"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con drogas, medicamentos y sustancias biológicas</w:t>
            </w:r>
          </w:p>
        </w:tc>
        <w:tc>
          <w:tcPr>
            <w:tcW w:w="1200" w:type="dxa"/>
            <w:tcBorders>
              <w:top w:val="nil"/>
              <w:left w:val="nil"/>
              <w:bottom w:val="nil"/>
              <w:right w:val="nil"/>
            </w:tcBorders>
            <w:shd w:val="clear" w:color="auto" w:fill="auto"/>
            <w:noWrap/>
            <w:hideMark/>
          </w:tcPr>
          <w:p w14:paraId="647A0EB8"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5</w:t>
            </w:r>
          </w:p>
        </w:tc>
        <w:tc>
          <w:tcPr>
            <w:tcW w:w="1201" w:type="dxa"/>
            <w:tcBorders>
              <w:top w:val="nil"/>
              <w:left w:val="nil"/>
              <w:bottom w:val="nil"/>
              <w:right w:val="nil"/>
            </w:tcBorders>
            <w:shd w:val="clear" w:color="auto" w:fill="auto"/>
            <w:noWrap/>
            <w:hideMark/>
          </w:tcPr>
          <w:p w14:paraId="39939CD5"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2</w:t>
            </w:r>
          </w:p>
        </w:tc>
        <w:tc>
          <w:tcPr>
            <w:tcW w:w="1200" w:type="dxa"/>
            <w:tcBorders>
              <w:top w:val="nil"/>
              <w:left w:val="nil"/>
              <w:bottom w:val="nil"/>
              <w:right w:val="nil"/>
            </w:tcBorders>
            <w:shd w:val="clear" w:color="auto" w:fill="auto"/>
            <w:noWrap/>
            <w:hideMark/>
          </w:tcPr>
          <w:p w14:paraId="6EF4781C"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3</w:t>
            </w:r>
          </w:p>
        </w:tc>
        <w:tc>
          <w:tcPr>
            <w:tcW w:w="1201" w:type="dxa"/>
            <w:tcBorders>
              <w:top w:val="nil"/>
              <w:left w:val="nil"/>
              <w:bottom w:val="nil"/>
              <w:right w:val="nil"/>
            </w:tcBorders>
            <w:shd w:val="clear" w:color="auto" w:fill="auto"/>
            <w:noWrap/>
            <w:hideMark/>
          </w:tcPr>
          <w:p w14:paraId="33B0B71E"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r>
      <w:tr w:rsidR="007F1285" w:rsidRPr="0075218F" w14:paraId="3737B29B" w14:textId="77777777" w:rsidTr="00DC57AF">
        <w:trPr>
          <w:trHeight w:val="285"/>
        </w:trPr>
        <w:tc>
          <w:tcPr>
            <w:tcW w:w="541" w:type="dxa"/>
            <w:tcBorders>
              <w:top w:val="nil"/>
              <w:left w:val="nil"/>
              <w:bottom w:val="nil"/>
              <w:right w:val="nil"/>
            </w:tcBorders>
            <w:shd w:val="clear" w:color="000000" w:fill="FCD5B4"/>
            <w:noWrap/>
            <w:hideMark/>
          </w:tcPr>
          <w:p w14:paraId="1A01C418"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X86</w:t>
            </w:r>
          </w:p>
        </w:tc>
        <w:tc>
          <w:tcPr>
            <w:tcW w:w="4137" w:type="dxa"/>
            <w:tcBorders>
              <w:top w:val="nil"/>
              <w:left w:val="nil"/>
              <w:bottom w:val="nil"/>
              <w:right w:val="nil"/>
            </w:tcBorders>
            <w:shd w:val="clear" w:color="000000" w:fill="FCD5B4"/>
            <w:hideMark/>
          </w:tcPr>
          <w:p w14:paraId="50CC7F25"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con sustancia corrosiva</w:t>
            </w:r>
          </w:p>
        </w:tc>
        <w:tc>
          <w:tcPr>
            <w:tcW w:w="1200" w:type="dxa"/>
            <w:tcBorders>
              <w:top w:val="nil"/>
              <w:left w:val="nil"/>
              <w:bottom w:val="nil"/>
              <w:right w:val="nil"/>
            </w:tcBorders>
            <w:shd w:val="clear" w:color="auto" w:fill="auto"/>
            <w:noWrap/>
            <w:hideMark/>
          </w:tcPr>
          <w:p w14:paraId="503691A5"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2</w:t>
            </w:r>
          </w:p>
        </w:tc>
        <w:tc>
          <w:tcPr>
            <w:tcW w:w="1201" w:type="dxa"/>
            <w:tcBorders>
              <w:top w:val="nil"/>
              <w:left w:val="nil"/>
              <w:bottom w:val="nil"/>
              <w:right w:val="nil"/>
            </w:tcBorders>
            <w:shd w:val="clear" w:color="auto" w:fill="auto"/>
            <w:noWrap/>
            <w:hideMark/>
          </w:tcPr>
          <w:p w14:paraId="587E53A9"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w:t>
            </w:r>
          </w:p>
        </w:tc>
        <w:tc>
          <w:tcPr>
            <w:tcW w:w="1200" w:type="dxa"/>
            <w:tcBorders>
              <w:top w:val="nil"/>
              <w:left w:val="nil"/>
              <w:bottom w:val="nil"/>
              <w:right w:val="nil"/>
            </w:tcBorders>
            <w:shd w:val="clear" w:color="auto" w:fill="auto"/>
            <w:noWrap/>
            <w:hideMark/>
          </w:tcPr>
          <w:p w14:paraId="015C69BE"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w:t>
            </w:r>
          </w:p>
        </w:tc>
        <w:tc>
          <w:tcPr>
            <w:tcW w:w="1201" w:type="dxa"/>
            <w:tcBorders>
              <w:top w:val="nil"/>
              <w:left w:val="nil"/>
              <w:bottom w:val="nil"/>
              <w:right w:val="nil"/>
            </w:tcBorders>
            <w:shd w:val="clear" w:color="auto" w:fill="auto"/>
            <w:noWrap/>
            <w:hideMark/>
          </w:tcPr>
          <w:p w14:paraId="51514E5A"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r>
      <w:tr w:rsidR="007F1285" w:rsidRPr="0075218F" w14:paraId="77C9D532" w14:textId="77777777" w:rsidTr="00DC57AF">
        <w:trPr>
          <w:trHeight w:val="285"/>
        </w:trPr>
        <w:tc>
          <w:tcPr>
            <w:tcW w:w="541" w:type="dxa"/>
            <w:tcBorders>
              <w:top w:val="nil"/>
              <w:left w:val="nil"/>
              <w:bottom w:val="nil"/>
              <w:right w:val="nil"/>
            </w:tcBorders>
            <w:shd w:val="clear" w:color="000000" w:fill="FCD5B4"/>
            <w:noWrap/>
            <w:hideMark/>
          </w:tcPr>
          <w:p w14:paraId="6ECBB66D"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X87</w:t>
            </w:r>
          </w:p>
        </w:tc>
        <w:tc>
          <w:tcPr>
            <w:tcW w:w="4137" w:type="dxa"/>
            <w:tcBorders>
              <w:top w:val="nil"/>
              <w:left w:val="nil"/>
              <w:bottom w:val="nil"/>
              <w:right w:val="nil"/>
            </w:tcBorders>
            <w:shd w:val="clear" w:color="000000" w:fill="FCD5B4"/>
            <w:hideMark/>
          </w:tcPr>
          <w:p w14:paraId="182276CD"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con plaguicidas</w:t>
            </w:r>
          </w:p>
        </w:tc>
        <w:tc>
          <w:tcPr>
            <w:tcW w:w="1200" w:type="dxa"/>
            <w:tcBorders>
              <w:top w:val="nil"/>
              <w:left w:val="nil"/>
              <w:bottom w:val="nil"/>
              <w:right w:val="nil"/>
            </w:tcBorders>
            <w:shd w:val="clear" w:color="auto" w:fill="auto"/>
            <w:noWrap/>
            <w:hideMark/>
          </w:tcPr>
          <w:p w14:paraId="7D344C0B"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4</w:t>
            </w:r>
          </w:p>
        </w:tc>
        <w:tc>
          <w:tcPr>
            <w:tcW w:w="1201" w:type="dxa"/>
            <w:tcBorders>
              <w:top w:val="nil"/>
              <w:left w:val="nil"/>
              <w:bottom w:val="nil"/>
              <w:right w:val="nil"/>
            </w:tcBorders>
            <w:shd w:val="clear" w:color="auto" w:fill="auto"/>
            <w:noWrap/>
            <w:hideMark/>
          </w:tcPr>
          <w:p w14:paraId="5A563D54"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2</w:t>
            </w:r>
          </w:p>
        </w:tc>
        <w:tc>
          <w:tcPr>
            <w:tcW w:w="1200" w:type="dxa"/>
            <w:tcBorders>
              <w:top w:val="nil"/>
              <w:left w:val="nil"/>
              <w:bottom w:val="nil"/>
              <w:right w:val="nil"/>
            </w:tcBorders>
            <w:shd w:val="clear" w:color="auto" w:fill="auto"/>
            <w:noWrap/>
            <w:hideMark/>
          </w:tcPr>
          <w:p w14:paraId="397B98C2"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2</w:t>
            </w:r>
          </w:p>
        </w:tc>
        <w:tc>
          <w:tcPr>
            <w:tcW w:w="1201" w:type="dxa"/>
            <w:tcBorders>
              <w:top w:val="nil"/>
              <w:left w:val="nil"/>
              <w:bottom w:val="nil"/>
              <w:right w:val="nil"/>
            </w:tcBorders>
            <w:shd w:val="clear" w:color="auto" w:fill="auto"/>
            <w:noWrap/>
            <w:hideMark/>
          </w:tcPr>
          <w:p w14:paraId="55A00AC4"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r>
      <w:tr w:rsidR="007F1285" w:rsidRPr="0075218F" w14:paraId="56AFE49A" w14:textId="77777777" w:rsidTr="00DC57AF">
        <w:trPr>
          <w:trHeight w:val="285"/>
        </w:trPr>
        <w:tc>
          <w:tcPr>
            <w:tcW w:w="541" w:type="dxa"/>
            <w:tcBorders>
              <w:top w:val="nil"/>
              <w:left w:val="nil"/>
              <w:bottom w:val="nil"/>
              <w:right w:val="nil"/>
            </w:tcBorders>
            <w:shd w:val="clear" w:color="000000" w:fill="FCD5B4"/>
            <w:noWrap/>
            <w:hideMark/>
          </w:tcPr>
          <w:p w14:paraId="1504D0C2"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X88</w:t>
            </w:r>
          </w:p>
        </w:tc>
        <w:tc>
          <w:tcPr>
            <w:tcW w:w="4137" w:type="dxa"/>
            <w:tcBorders>
              <w:top w:val="nil"/>
              <w:left w:val="nil"/>
              <w:bottom w:val="nil"/>
              <w:right w:val="nil"/>
            </w:tcBorders>
            <w:shd w:val="clear" w:color="000000" w:fill="FCD5B4"/>
            <w:hideMark/>
          </w:tcPr>
          <w:p w14:paraId="74C96409"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con gases y vapores</w:t>
            </w:r>
          </w:p>
        </w:tc>
        <w:tc>
          <w:tcPr>
            <w:tcW w:w="1200" w:type="dxa"/>
            <w:tcBorders>
              <w:top w:val="nil"/>
              <w:left w:val="nil"/>
              <w:bottom w:val="nil"/>
              <w:right w:val="nil"/>
            </w:tcBorders>
            <w:shd w:val="clear" w:color="auto" w:fill="auto"/>
            <w:noWrap/>
            <w:hideMark/>
          </w:tcPr>
          <w:p w14:paraId="6D0FAAFF"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14</w:t>
            </w:r>
          </w:p>
        </w:tc>
        <w:tc>
          <w:tcPr>
            <w:tcW w:w="1201" w:type="dxa"/>
            <w:tcBorders>
              <w:top w:val="nil"/>
              <w:left w:val="nil"/>
              <w:bottom w:val="nil"/>
              <w:right w:val="nil"/>
            </w:tcBorders>
            <w:shd w:val="clear" w:color="auto" w:fill="auto"/>
            <w:noWrap/>
            <w:hideMark/>
          </w:tcPr>
          <w:p w14:paraId="0D1FF10D"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8</w:t>
            </w:r>
          </w:p>
        </w:tc>
        <w:tc>
          <w:tcPr>
            <w:tcW w:w="1200" w:type="dxa"/>
            <w:tcBorders>
              <w:top w:val="nil"/>
              <w:left w:val="nil"/>
              <w:bottom w:val="nil"/>
              <w:right w:val="nil"/>
            </w:tcBorders>
            <w:shd w:val="clear" w:color="auto" w:fill="auto"/>
            <w:noWrap/>
            <w:hideMark/>
          </w:tcPr>
          <w:p w14:paraId="1D6F2F4E"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5</w:t>
            </w:r>
          </w:p>
        </w:tc>
        <w:tc>
          <w:tcPr>
            <w:tcW w:w="1201" w:type="dxa"/>
            <w:tcBorders>
              <w:top w:val="nil"/>
              <w:left w:val="nil"/>
              <w:bottom w:val="nil"/>
              <w:right w:val="nil"/>
            </w:tcBorders>
            <w:shd w:val="clear" w:color="auto" w:fill="auto"/>
            <w:noWrap/>
            <w:hideMark/>
          </w:tcPr>
          <w:p w14:paraId="4D7683EC"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w:t>
            </w:r>
          </w:p>
        </w:tc>
      </w:tr>
      <w:tr w:rsidR="007F1285" w:rsidRPr="0075218F" w14:paraId="3F9C13DB" w14:textId="77777777" w:rsidTr="00DC57AF">
        <w:trPr>
          <w:trHeight w:val="480"/>
        </w:trPr>
        <w:tc>
          <w:tcPr>
            <w:tcW w:w="541" w:type="dxa"/>
            <w:tcBorders>
              <w:top w:val="nil"/>
              <w:left w:val="nil"/>
              <w:bottom w:val="nil"/>
              <w:right w:val="nil"/>
            </w:tcBorders>
            <w:shd w:val="clear" w:color="000000" w:fill="FCD5B4"/>
            <w:noWrap/>
            <w:hideMark/>
          </w:tcPr>
          <w:p w14:paraId="34E1C90E"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X89</w:t>
            </w:r>
          </w:p>
        </w:tc>
        <w:tc>
          <w:tcPr>
            <w:tcW w:w="4137" w:type="dxa"/>
            <w:tcBorders>
              <w:top w:val="nil"/>
              <w:left w:val="nil"/>
              <w:bottom w:val="nil"/>
              <w:right w:val="nil"/>
            </w:tcBorders>
            <w:shd w:val="clear" w:color="000000" w:fill="FCD5B4"/>
            <w:hideMark/>
          </w:tcPr>
          <w:p w14:paraId="54EAE125"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con otros productos químicos y sustancias nocivas especificadas</w:t>
            </w:r>
          </w:p>
        </w:tc>
        <w:tc>
          <w:tcPr>
            <w:tcW w:w="1200" w:type="dxa"/>
            <w:tcBorders>
              <w:top w:val="nil"/>
              <w:left w:val="nil"/>
              <w:bottom w:val="nil"/>
              <w:right w:val="nil"/>
            </w:tcBorders>
            <w:shd w:val="clear" w:color="auto" w:fill="auto"/>
            <w:noWrap/>
            <w:hideMark/>
          </w:tcPr>
          <w:p w14:paraId="51CC3815"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w:t>
            </w:r>
          </w:p>
        </w:tc>
        <w:tc>
          <w:tcPr>
            <w:tcW w:w="1201" w:type="dxa"/>
            <w:tcBorders>
              <w:top w:val="nil"/>
              <w:left w:val="nil"/>
              <w:bottom w:val="nil"/>
              <w:right w:val="nil"/>
            </w:tcBorders>
            <w:shd w:val="clear" w:color="auto" w:fill="auto"/>
            <w:noWrap/>
            <w:hideMark/>
          </w:tcPr>
          <w:p w14:paraId="22907032"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w:t>
            </w:r>
          </w:p>
        </w:tc>
        <w:tc>
          <w:tcPr>
            <w:tcW w:w="1200" w:type="dxa"/>
            <w:tcBorders>
              <w:top w:val="nil"/>
              <w:left w:val="nil"/>
              <w:bottom w:val="nil"/>
              <w:right w:val="nil"/>
            </w:tcBorders>
            <w:shd w:val="clear" w:color="auto" w:fill="auto"/>
            <w:noWrap/>
            <w:hideMark/>
          </w:tcPr>
          <w:p w14:paraId="1A2CFD97"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c>
          <w:tcPr>
            <w:tcW w:w="1201" w:type="dxa"/>
            <w:tcBorders>
              <w:top w:val="nil"/>
              <w:left w:val="nil"/>
              <w:bottom w:val="nil"/>
              <w:right w:val="nil"/>
            </w:tcBorders>
            <w:shd w:val="clear" w:color="auto" w:fill="auto"/>
            <w:noWrap/>
            <w:hideMark/>
          </w:tcPr>
          <w:p w14:paraId="4B095203"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r>
      <w:tr w:rsidR="007F1285" w:rsidRPr="0075218F" w14:paraId="4C51AEF4" w14:textId="77777777" w:rsidTr="00DC57AF">
        <w:trPr>
          <w:trHeight w:val="480"/>
        </w:trPr>
        <w:tc>
          <w:tcPr>
            <w:tcW w:w="541" w:type="dxa"/>
            <w:tcBorders>
              <w:top w:val="nil"/>
              <w:left w:val="nil"/>
              <w:bottom w:val="nil"/>
              <w:right w:val="nil"/>
            </w:tcBorders>
            <w:shd w:val="clear" w:color="000000" w:fill="FCD5B4"/>
            <w:noWrap/>
            <w:hideMark/>
          </w:tcPr>
          <w:p w14:paraId="61B29F6F"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X90</w:t>
            </w:r>
          </w:p>
        </w:tc>
        <w:tc>
          <w:tcPr>
            <w:tcW w:w="4137" w:type="dxa"/>
            <w:tcBorders>
              <w:top w:val="nil"/>
              <w:left w:val="nil"/>
              <w:bottom w:val="nil"/>
              <w:right w:val="nil"/>
            </w:tcBorders>
            <w:shd w:val="clear" w:color="000000" w:fill="FCD5B4"/>
            <w:hideMark/>
          </w:tcPr>
          <w:p w14:paraId="1C9B4E3A"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con productos químicos y sustancias nocivas no especificadas</w:t>
            </w:r>
          </w:p>
        </w:tc>
        <w:tc>
          <w:tcPr>
            <w:tcW w:w="1200" w:type="dxa"/>
            <w:tcBorders>
              <w:top w:val="nil"/>
              <w:left w:val="nil"/>
              <w:bottom w:val="nil"/>
              <w:right w:val="nil"/>
            </w:tcBorders>
            <w:shd w:val="clear" w:color="auto" w:fill="auto"/>
            <w:noWrap/>
            <w:hideMark/>
          </w:tcPr>
          <w:p w14:paraId="0D14C5F0"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14</w:t>
            </w:r>
          </w:p>
        </w:tc>
        <w:tc>
          <w:tcPr>
            <w:tcW w:w="1201" w:type="dxa"/>
            <w:tcBorders>
              <w:top w:val="nil"/>
              <w:left w:val="nil"/>
              <w:bottom w:val="nil"/>
              <w:right w:val="nil"/>
            </w:tcBorders>
            <w:shd w:val="clear" w:color="auto" w:fill="auto"/>
            <w:noWrap/>
            <w:hideMark/>
          </w:tcPr>
          <w:p w14:paraId="70FA4ADF"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8</w:t>
            </w:r>
          </w:p>
        </w:tc>
        <w:tc>
          <w:tcPr>
            <w:tcW w:w="1200" w:type="dxa"/>
            <w:tcBorders>
              <w:top w:val="nil"/>
              <w:left w:val="nil"/>
              <w:bottom w:val="nil"/>
              <w:right w:val="nil"/>
            </w:tcBorders>
            <w:shd w:val="clear" w:color="auto" w:fill="auto"/>
            <w:noWrap/>
            <w:hideMark/>
          </w:tcPr>
          <w:p w14:paraId="4D17402D"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6</w:t>
            </w:r>
          </w:p>
        </w:tc>
        <w:tc>
          <w:tcPr>
            <w:tcW w:w="1201" w:type="dxa"/>
            <w:tcBorders>
              <w:top w:val="nil"/>
              <w:left w:val="nil"/>
              <w:bottom w:val="nil"/>
              <w:right w:val="nil"/>
            </w:tcBorders>
            <w:shd w:val="clear" w:color="auto" w:fill="auto"/>
            <w:noWrap/>
            <w:hideMark/>
          </w:tcPr>
          <w:p w14:paraId="1005DF3C"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r>
      <w:tr w:rsidR="007F1285" w:rsidRPr="0075218F" w14:paraId="682E4A58" w14:textId="77777777" w:rsidTr="00DC57AF">
        <w:trPr>
          <w:trHeight w:val="480"/>
        </w:trPr>
        <w:tc>
          <w:tcPr>
            <w:tcW w:w="541" w:type="dxa"/>
            <w:tcBorders>
              <w:top w:val="nil"/>
              <w:left w:val="nil"/>
              <w:bottom w:val="nil"/>
              <w:right w:val="nil"/>
            </w:tcBorders>
            <w:shd w:val="clear" w:color="000000" w:fill="FCD5B4"/>
            <w:noWrap/>
            <w:hideMark/>
          </w:tcPr>
          <w:p w14:paraId="74B19C48"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X91</w:t>
            </w:r>
          </w:p>
        </w:tc>
        <w:tc>
          <w:tcPr>
            <w:tcW w:w="4137" w:type="dxa"/>
            <w:tcBorders>
              <w:top w:val="nil"/>
              <w:left w:val="nil"/>
              <w:bottom w:val="nil"/>
              <w:right w:val="nil"/>
            </w:tcBorders>
            <w:shd w:val="clear" w:color="000000" w:fill="FCD5B4"/>
            <w:hideMark/>
          </w:tcPr>
          <w:p w14:paraId="5CC56799"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por ahorcamiento, estrangulamiento y sofocación</w:t>
            </w:r>
          </w:p>
        </w:tc>
        <w:tc>
          <w:tcPr>
            <w:tcW w:w="1200" w:type="dxa"/>
            <w:tcBorders>
              <w:top w:val="nil"/>
              <w:left w:val="nil"/>
              <w:bottom w:val="nil"/>
              <w:right w:val="nil"/>
            </w:tcBorders>
            <w:shd w:val="clear" w:color="auto" w:fill="auto"/>
            <w:noWrap/>
            <w:hideMark/>
          </w:tcPr>
          <w:p w14:paraId="1C2432B9" w14:textId="77777777" w:rsidR="007F1285" w:rsidRPr="0075218F" w:rsidRDefault="007F1285" w:rsidP="00A659F7">
            <w:pPr>
              <w:spacing w:after="0" w:line="240" w:lineRule="auto"/>
              <w:jc w:val="right"/>
              <w:rPr>
                <w:rFonts w:ascii="Arial" w:hAnsi="Arial" w:cs="Arial"/>
                <w:color w:val="000000"/>
                <w:sz w:val="16"/>
                <w:szCs w:val="16"/>
              </w:rPr>
            </w:pPr>
            <w:r w:rsidRPr="0075218F">
              <w:rPr>
                <w:rFonts w:ascii="Arial" w:hAnsi="Arial" w:cs="Arial"/>
                <w:color w:val="000000"/>
                <w:sz w:val="16"/>
                <w:szCs w:val="16"/>
              </w:rPr>
              <w:t>2</w:t>
            </w:r>
            <w:r w:rsidR="00A659F7">
              <w:rPr>
                <w:rFonts w:ascii="Arial" w:hAnsi="Arial" w:cs="Arial"/>
                <w:color w:val="000000"/>
                <w:sz w:val="16"/>
                <w:szCs w:val="16"/>
              </w:rPr>
              <w:t xml:space="preserve"> </w:t>
            </w:r>
            <w:r w:rsidRPr="0075218F">
              <w:rPr>
                <w:rFonts w:ascii="Arial" w:hAnsi="Arial" w:cs="Arial"/>
                <w:color w:val="000000"/>
                <w:sz w:val="16"/>
                <w:szCs w:val="16"/>
              </w:rPr>
              <w:t>601</w:t>
            </w:r>
          </w:p>
        </w:tc>
        <w:tc>
          <w:tcPr>
            <w:tcW w:w="1201" w:type="dxa"/>
            <w:tcBorders>
              <w:top w:val="nil"/>
              <w:left w:val="nil"/>
              <w:bottom w:val="nil"/>
              <w:right w:val="nil"/>
            </w:tcBorders>
            <w:shd w:val="clear" w:color="auto" w:fill="auto"/>
            <w:noWrap/>
            <w:hideMark/>
          </w:tcPr>
          <w:p w14:paraId="33BAAA64" w14:textId="77777777" w:rsidR="007F1285" w:rsidRPr="0075218F" w:rsidRDefault="007F1285" w:rsidP="00A659F7">
            <w:pPr>
              <w:spacing w:after="0" w:line="240" w:lineRule="auto"/>
              <w:jc w:val="right"/>
              <w:rPr>
                <w:rFonts w:ascii="Arial" w:hAnsi="Arial" w:cs="Arial"/>
                <w:color w:val="000000"/>
                <w:sz w:val="16"/>
                <w:szCs w:val="16"/>
              </w:rPr>
            </w:pPr>
            <w:r w:rsidRPr="0075218F">
              <w:rPr>
                <w:rFonts w:ascii="Arial" w:hAnsi="Arial" w:cs="Arial"/>
                <w:color w:val="000000"/>
                <w:sz w:val="16"/>
                <w:szCs w:val="16"/>
              </w:rPr>
              <w:t>2</w:t>
            </w:r>
            <w:r w:rsidR="00A659F7">
              <w:rPr>
                <w:rFonts w:ascii="Arial" w:hAnsi="Arial" w:cs="Arial"/>
                <w:color w:val="000000"/>
                <w:sz w:val="16"/>
                <w:szCs w:val="16"/>
              </w:rPr>
              <w:t xml:space="preserve"> </w:t>
            </w:r>
            <w:r w:rsidRPr="0075218F">
              <w:rPr>
                <w:rFonts w:ascii="Arial" w:hAnsi="Arial" w:cs="Arial"/>
                <w:color w:val="000000"/>
                <w:sz w:val="16"/>
                <w:szCs w:val="16"/>
              </w:rPr>
              <w:t>000</w:t>
            </w:r>
          </w:p>
        </w:tc>
        <w:tc>
          <w:tcPr>
            <w:tcW w:w="1200" w:type="dxa"/>
            <w:tcBorders>
              <w:top w:val="nil"/>
              <w:left w:val="nil"/>
              <w:bottom w:val="nil"/>
              <w:right w:val="nil"/>
            </w:tcBorders>
            <w:shd w:val="clear" w:color="auto" w:fill="auto"/>
            <w:noWrap/>
            <w:hideMark/>
          </w:tcPr>
          <w:p w14:paraId="1B27873C"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577</w:t>
            </w:r>
          </w:p>
        </w:tc>
        <w:tc>
          <w:tcPr>
            <w:tcW w:w="1201" w:type="dxa"/>
            <w:tcBorders>
              <w:top w:val="nil"/>
              <w:left w:val="nil"/>
              <w:bottom w:val="nil"/>
              <w:right w:val="nil"/>
            </w:tcBorders>
            <w:shd w:val="clear" w:color="auto" w:fill="auto"/>
            <w:noWrap/>
            <w:hideMark/>
          </w:tcPr>
          <w:p w14:paraId="567BD885"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24</w:t>
            </w:r>
          </w:p>
        </w:tc>
      </w:tr>
      <w:tr w:rsidR="007F1285" w:rsidRPr="0075218F" w14:paraId="3F67B212" w14:textId="77777777" w:rsidTr="00DC57AF">
        <w:trPr>
          <w:trHeight w:val="285"/>
        </w:trPr>
        <w:tc>
          <w:tcPr>
            <w:tcW w:w="541" w:type="dxa"/>
            <w:tcBorders>
              <w:top w:val="nil"/>
              <w:left w:val="nil"/>
              <w:bottom w:val="nil"/>
              <w:right w:val="nil"/>
            </w:tcBorders>
            <w:shd w:val="clear" w:color="000000" w:fill="FCD5B4"/>
            <w:noWrap/>
            <w:hideMark/>
          </w:tcPr>
          <w:p w14:paraId="52E6FE9D"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X92</w:t>
            </w:r>
          </w:p>
        </w:tc>
        <w:tc>
          <w:tcPr>
            <w:tcW w:w="4137" w:type="dxa"/>
            <w:tcBorders>
              <w:top w:val="nil"/>
              <w:left w:val="nil"/>
              <w:bottom w:val="nil"/>
              <w:right w:val="nil"/>
            </w:tcBorders>
            <w:shd w:val="clear" w:color="000000" w:fill="FCD5B4"/>
            <w:hideMark/>
          </w:tcPr>
          <w:p w14:paraId="02C2B56A"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por ahogamiento y sumersión</w:t>
            </w:r>
          </w:p>
        </w:tc>
        <w:tc>
          <w:tcPr>
            <w:tcW w:w="1200" w:type="dxa"/>
            <w:tcBorders>
              <w:top w:val="nil"/>
              <w:left w:val="nil"/>
              <w:bottom w:val="nil"/>
              <w:right w:val="nil"/>
            </w:tcBorders>
            <w:shd w:val="clear" w:color="auto" w:fill="auto"/>
            <w:noWrap/>
            <w:hideMark/>
          </w:tcPr>
          <w:p w14:paraId="02B657F6"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83</w:t>
            </w:r>
          </w:p>
        </w:tc>
        <w:tc>
          <w:tcPr>
            <w:tcW w:w="1201" w:type="dxa"/>
            <w:tcBorders>
              <w:top w:val="nil"/>
              <w:left w:val="nil"/>
              <w:bottom w:val="nil"/>
              <w:right w:val="nil"/>
            </w:tcBorders>
            <w:shd w:val="clear" w:color="auto" w:fill="auto"/>
            <w:noWrap/>
            <w:hideMark/>
          </w:tcPr>
          <w:p w14:paraId="2859318B"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64</w:t>
            </w:r>
          </w:p>
        </w:tc>
        <w:tc>
          <w:tcPr>
            <w:tcW w:w="1200" w:type="dxa"/>
            <w:tcBorders>
              <w:top w:val="nil"/>
              <w:left w:val="nil"/>
              <w:bottom w:val="nil"/>
              <w:right w:val="nil"/>
            </w:tcBorders>
            <w:shd w:val="clear" w:color="auto" w:fill="auto"/>
            <w:noWrap/>
            <w:hideMark/>
          </w:tcPr>
          <w:p w14:paraId="00CE5C50"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18</w:t>
            </w:r>
          </w:p>
        </w:tc>
        <w:tc>
          <w:tcPr>
            <w:tcW w:w="1201" w:type="dxa"/>
            <w:tcBorders>
              <w:top w:val="nil"/>
              <w:left w:val="nil"/>
              <w:bottom w:val="nil"/>
              <w:right w:val="nil"/>
            </w:tcBorders>
            <w:shd w:val="clear" w:color="auto" w:fill="auto"/>
            <w:noWrap/>
            <w:hideMark/>
          </w:tcPr>
          <w:p w14:paraId="07B82B74"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w:t>
            </w:r>
          </w:p>
        </w:tc>
      </w:tr>
      <w:tr w:rsidR="007F1285" w:rsidRPr="0075218F" w14:paraId="5BDABF1B" w14:textId="77777777" w:rsidTr="00DC57AF">
        <w:trPr>
          <w:trHeight w:val="285"/>
        </w:trPr>
        <w:tc>
          <w:tcPr>
            <w:tcW w:w="541" w:type="dxa"/>
            <w:tcBorders>
              <w:top w:val="nil"/>
              <w:left w:val="nil"/>
              <w:bottom w:val="nil"/>
              <w:right w:val="nil"/>
            </w:tcBorders>
            <w:shd w:val="clear" w:color="000000" w:fill="FCD5B4"/>
            <w:noWrap/>
            <w:hideMark/>
          </w:tcPr>
          <w:p w14:paraId="082732F9"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X93</w:t>
            </w:r>
          </w:p>
        </w:tc>
        <w:tc>
          <w:tcPr>
            <w:tcW w:w="4137" w:type="dxa"/>
            <w:tcBorders>
              <w:top w:val="nil"/>
              <w:left w:val="nil"/>
              <w:bottom w:val="nil"/>
              <w:right w:val="nil"/>
            </w:tcBorders>
            <w:shd w:val="clear" w:color="000000" w:fill="FCD5B4"/>
            <w:hideMark/>
          </w:tcPr>
          <w:p w14:paraId="62DB2EC1"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con disparo de arma corta</w:t>
            </w:r>
          </w:p>
        </w:tc>
        <w:tc>
          <w:tcPr>
            <w:tcW w:w="1200" w:type="dxa"/>
            <w:tcBorders>
              <w:top w:val="nil"/>
              <w:left w:val="nil"/>
              <w:bottom w:val="nil"/>
              <w:right w:val="nil"/>
            </w:tcBorders>
            <w:shd w:val="clear" w:color="auto" w:fill="auto"/>
            <w:noWrap/>
            <w:hideMark/>
          </w:tcPr>
          <w:p w14:paraId="0D9D9A14"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138</w:t>
            </w:r>
          </w:p>
        </w:tc>
        <w:tc>
          <w:tcPr>
            <w:tcW w:w="1201" w:type="dxa"/>
            <w:tcBorders>
              <w:top w:val="nil"/>
              <w:left w:val="nil"/>
              <w:bottom w:val="nil"/>
              <w:right w:val="nil"/>
            </w:tcBorders>
            <w:shd w:val="clear" w:color="auto" w:fill="auto"/>
            <w:noWrap/>
            <w:hideMark/>
          </w:tcPr>
          <w:p w14:paraId="722C9D52"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128</w:t>
            </w:r>
          </w:p>
        </w:tc>
        <w:tc>
          <w:tcPr>
            <w:tcW w:w="1200" w:type="dxa"/>
            <w:tcBorders>
              <w:top w:val="nil"/>
              <w:left w:val="nil"/>
              <w:bottom w:val="nil"/>
              <w:right w:val="nil"/>
            </w:tcBorders>
            <w:shd w:val="clear" w:color="auto" w:fill="auto"/>
            <w:noWrap/>
            <w:hideMark/>
          </w:tcPr>
          <w:p w14:paraId="349C4B80"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10</w:t>
            </w:r>
          </w:p>
        </w:tc>
        <w:tc>
          <w:tcPr>
            <w:tcW w:w="1201" w:type="dxa"/>
            <w:tcBorders>
              <w:top w:val="nil"/>
              <w:left w:val="nil"/>
              <w:bottom w:val="nil"/>
              <w:right w:val="nil"/>
            </w:tcBorders>
            <w:shd w:val="clear" w:color="auto" w:fill="auto"/>
            <w:noWrap/>
            <w:hideMark/>
          </w:tcPr>
          <w:p w14:paraId="6B0938F3"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r>
      <w:tr w:rsidR="007F1285" w:rsidRPr="0075218F" w14:paraId="270FE001" w14:textId="77777777" w:rsidTr="00EB1455">
        <w:trPr>
          <w:trHeight w:val="343"/>
        </w:trPr>
        <w:tc>
          <w:tcPr>
            <w:tcW w:w="541" w:type="dxa"/>
            <w:tcBorders>
              <w:top w:val="nil"/>
              <w:left w:val="nil"/>
              <w:bottom w:val="nil"/>
              <w:right w:val="nil"/>
            </w:tcBorders>
            <w:shd w:val="clear" w:color="000000" w:fill="FCD5B4"/>
            <w:noWrap/>
            <w:hideMark/>
          </w:tcPr>
          <w:p w14:paraId="71E26052"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X94</w:t>
            </w:r>
          </w:p>
        </w:tc>
        <w:tc>
          <w:tcPr>
            <w:tcW w:w="4137" w:type="dxa"/>
            <w:tcBorders>
              <w:top w:val="nil"/>
              <w:left w:val="nil"/>
              <w:bottom w:val="nil"/>
              <w:right w:val="nil"/>
            </w:tcBorders>
            <w:shd w:val="clear" w:color="000000" w:fill="FCD5B4"/>
            <w:hideMark/>
          </w:tcPr>
          <w:p w14:paraId="1496311D"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con disparo de rifle, escopeta y arma larga</w:t>
            </w:r>
          </w:p>
        </w:tc>
        <w:tc>
          <w:tcPr>
            <w:tcW w:w="1200" w:type="dxa"/>
            <w:tcBorders>
              <w:top w:val="nil"/>
              <w:left w:val="nil"/>
              <w:bottom w:val="nil"/>
              <w:right w:val="nil"/>
            </w:tcBorders>
            <w:shd w:val="clear" w:color="auto" w:fill="auto"/>
            <w:noWrap/>
            <w:hideMark/>
          </w:tcPr>
          <w:p w14:paraId="60E6DACF"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39</w:t>
            </w:r>
          </w:p>
        </w:tc>
        <w:tc>
          <w:tcPr>
            <w:tcW w:w="1201" w:type="dxa"/>
            <w:tcBorders>
              <w:top w:val="nil"/>
              <w:left w:val="nil"/>
              <w:bottom w:val="nil"/>
              <w:right w:val="nil"/>
            </w:tcBorders>
            <w:shd w:val="clear" w:color="auto" w:fill="auto"/>
            <w:noWrap/>
            <w:hideMark/>
          </w:tcPr>
          <w:p w14:paraId="136516A9"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36</w:t>
            </w:r>
          </w:p>
        </w:tc>
        <w:tc>
          <w:tcPr>
            <w:tcW w:w="1200" w:type="dxa"/>
            <w:tcBorders>
              <w:top w:val="nil"/>
              <w:left w:val="nil"/>
              <w:bottom w:val="nil"/>
              <w:right w:val="nil"/>
            </w:tcBorders>
            <w:shd w:val="clear" w:color="auto" w:fill="auto"/>
            <w:noWrap/>
            <w:hideMark/>
          </w:tcPr>
          <w:p w14:paraId="2823149B"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3</w:t>
            </w:r>
          </w:p>
        </w:tc>
        <w:tc>
          <w:tcPr>
            <w:tcW w:w="1201" w:type="dxa"/>
            <w:tcBorders>
              <w:top w:val="nil"/>
              <w:left w:val="nil"/>
              <w:bottom w:val="nil"/>
              <w:right w:val="nil"/>
            </w:tcBorders>
            <w:shd w:val="clear" w:color="auto" w:fill="auto"/>
            <w:noWrap/>
            <w:hideMark/>
          </w:tcPr>
          <w:p w14:paraId="64DA5586"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r>
      <w:tr w:rsidR="007F1285" w:rsidRPr="0075218F" w14:paraId="003ED967" w14:textId="77777777" w:rsidTr="00DC57AF">
        <w:trPr>
          <w:trHeight w:val="480"/>
        </w:trPr>
        <w:tc>
          <w:tcPr>
            <w:tcW w:w="541" w:type="dxa"/>
            <w:tcBorders>
              <w:top w:val="nil"/>
              <w:left w:val="nil"/>
              <w:bottom w:val="nil"/>
              <w:right w:val="nil"/>
            </w:tcBorders>
            <w:shd w:val="clear" w:color="000000" w:fill="FCD5B4"/>
            <w:noWrap/>
            <w:hideMark/>
          </w:tcPr>
          <w:p w14:paraId="2711568A"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X95</w:t>
            </w:r>
          </w:p>
        </w:tc>
        <w:tc>
          <w:tcPr>
            <w:tcW w:w="4137" w:type="dxa"/>
            <w:tcBorders>
              <w:top w:val="nil"/>
              <w:left w:val="nil"/>
              <w:bottom w:val="nil"/>
              <w:right w:val="nil"/>
            </w:tcBorders>
            <w:shd w:val="clear" w:color="000000" w:fill="FCD5B4"/>
            <w:hideMark/>
          </w:tcPr>
          <w:p w14:paraId="5F31AD3E"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con disparo de otras armas de fuego, y las no especificadas</w:t>
            </w:r>
          </w:p>
        </w:tc>
        <w:tc>
          <w:tcPr>
            <w:tcW w:w="1200" w:type="dxa"/>
            <w:tcBorders>
              <w:top w:val="nil"/>
              <w:left w:val="nil"/>
              <w:bottom w:val="nil"/>
              <w:right w:val="nil"/>
            </w:tcBorders>
            <w:shd w:val="clear" w:color="auto" w:fill="auto"/>
            <w:noWrap/>
            <w:hideMark/>
          </w:tcPr>
          <w:p w14:paraId="0FD01DCF" w14:textId="77777777" w:rsidR="007F1285" w:rsidRPr="0075218F" w:rsidRDefault="007F1285" w:rsidP="00A659F7">
            <w:pPr>
              <w:spacing w:after="0" w:line="240" w:lineRule="auto"/>
              <w:jc w:val="right"/>
              <w:rPr>
                <w:rFonts w:ascii="Arial" w:hAnsi="Arial" w:cs="Arial"/>
                <w:color w:val="000000"/>
                <w:sz w:val="16"/>
                <w:szCs w:val="16"/>
              </w:rPr>
            </w:pPr>
            <w:r w:rsidRPr="0075218F">
              <w:rPr>
                <w:rFonts w:ascii="Arial" w:hAnsi="Arial" w:cs="Arial"/>
                <w:color w:val="000000"/>
                <w:sz w:val="16"/>
                <w:szCs w:val="16"/>
              </w:rPr>
              <w:t>24</w:t>
            </w:r>
            <w:r w:rsidR="00A659F7">
              <w:rPr>
                <w:rFonts w:ascii="Arial" w:hAnsi="Arial" w:cs="Arial"/>
                <w:color w:val="000000"/>
                <w:sz w:val="16"/>
                <w:szCs w:val="16"/>
              </w:rPr>
              <w:t xml:space="preserve"> </w:t>
            </w:r>
            <w:r w:rsidRPr="0075218F">
              <w:rPr>
                <w:rFonts w:ascii="Arial" w:hAnsi="Arial" w:cs="Arial"/>
                <w:color w:val="000000"/>
                <w:sz w:val="16"/>
                <w:szCs w:val="16"/>
              </w:rPr>
              <w:t>307</w:t>
            </w:r>
          </w:p>
        </w:tc>
        <w:tc>
          <w:tcPr>
            <w:tcW w:w="1201" w:type="dxa"/>
            <w:tcBorders>
              <w:top w:val="nil"/>
              <w:left w:val="nil"/>
              <w:bottom w:val="nil"/>
              <w:right w:val="nil"/>
            </w:tcBorders>
            <w:shd w:val="clear" w:color="auto" w:fill="auto"/>
            <w:noWrap/>
            <w:hideMark/>
          </w:tcPr>
          <w:p w14:paraId="3E145276" w14:textId="77777777" w:rsidR="007F1285" w:rsidRPr="0075218F" w:rsidRDefault="007F1285" w:rsidP="00A659F7">
            <w:pPr>
              <w:spacing w:after="0" w:line="240" w:lineRule="auto"/>
              <w:jc w:val="right"/>
              <w:rPr>
                <w:rFonts w:ascii="Arial" w:hAnsi="Arial" w:cs="Arial"/>
                <w:color w:val="000000"/>
                <w:sz w:val="16"/>
                <w:szCs w:val="16"/>
              </w:rPr>
            </w:pPr>
            <w:r w:rsidRPr="0075218F">
              <w:rPr>
                <w:rFonts w:ascii="Arial" w:hAnsi="Arial" w:cs="Arial"/>
                <w:color w:val="000000"/>
                <w:sz w:val="16"/>
                <w:szCs w:val="16"/>
              </w:rPr>
              <w:t>21</w:t>
            </w:r>
            <w:r w:rsidR="00A659F7">
              <w:rPr>
                <w:rFonts w:ascii="Arial" w:hAnsi="Arial" w:cs="Arial"/>
                <w:color w:val="000000"/>
                <w:sz w:val="16"/>
                <w:szCs w:val="16"/>
              </w:rPr>
              <w:t xml:space="preserve"> </w:t>
            </w:r>
            <w:r w:rsidRPr="0075218F">
              <w:rPr>
                <w:rFonts w:ascii="Arial" w:hAnsi="Arial" w:cs="Arial"/>
                <w:color w:val="000000"/>
                <w:sz w:val="16"/>
                <w:szCs w:val="16"/>
              </w:rPr>
              <w:t>917</w:t>
            </w:r>
          </w:p>
        </w:tc>
        <w:tc>
          <w:tcPr>
            <w:tcW w:w="1200" w:type="dxa"/>
            <w:tcBorders>
              <w:top w:val="nil"/>
              <w:left w:val="nil"/>
              <w:bottom w:val="nil"/>
              <w:right w:val="nil"/>
            </w:tcBorders>
            <w:shd w:val="clear" w:color="auto" w:fill="auto"/>
            <w:noWrap/>
            <w:hideMark/>
          </w:tcPr>
          <w:p w14:paraId="2CAC3E8D" w14:textId="77777777" w:rsidR="007F1285" w:rsidRPr="0075218F" w:rsidRDefault="007F1285" w:rsidP="00A659F7">
            <w:pPr>
              <w:spacing w:after="0" w:line="240" w:lineRule="auto"/>
              <w:jc w:val="right"/>
              <w:rPr>
                <w:rFonts w:ascii="Arial" w:hAnsi="Arial" w:cs="Arial"/>
                <w:color w:val="000000"/>
                <w:sz w:val="16"/>
                <w:szCs w:val="16"/>
              </w:rPr>
            </w:pPr>
            <w:r w:rsidRPr="0075218F">
              <w:rPr>
                <w:rFonts w:ascii="Arial" w:hAnsi="Arial" w:cs="Arial"/>
                <w:color w:val="000000"/>
                <w:sz w:val="16"/>
                <w:szCs w:val="16"/>
              </w:rPr>
              <w:t>2</w:t>
            </w:r>
            <w:r w:rsidR="00A659F7">
              <w:rPr>
                <w:rFonts w:ascii="Arial" w:hAnsi="Arial" w:cs="Arial"/>
                <w:color w:val="000000"/>
                <w:sz w:val="16"/>
                <w:szCs w:val="16"/>
              </w:rPr>
              <w:t xml:space="preserve"> </w:t>
            </w:r>
            <w:r w:rsidRPr="0075218F">
              <w:rPr>
                <w:rFonts w:ascii="Arial" w:hAnsi="Arial" w:cs="Arial"/>
                <w:color w:val="000000"/>
                <w:sz w:val="16"/>
                <w:szCs w:val="16"/>
              </w:rPr>
              <w:t>300</w:t>
            </w:r>
          </w:p>
        </w:tc>
        <w:tc>
          <w:tcPr>
            <w:tcW w:w="1201" w:type="dxa"/>
            <w:tcBorders>
              <w:top w:val="nil"/>
              <w:left w:val="nil"/>
              <w:bottom w:val="nil"/>
              <w:right w:val="nil"/>
            </w:tcBorders>
            <w:shd w:val="clear" w:color="auto" w:fill="auto"/>
            <w:noWrap/>
            <w:hideMark/>
          </w:tcPr>
          <w:p w14:paraId="66E87E36"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90</w:t>
            </w:r>
          </w:p>
        </w:tc>
      </w:tr>
      <w:tr w:rsidR="007F1285" w:rsidRPr="0075218F" w14:paraId="3A412191" w14:textId="77777777" w:rsidTr="00DC57AF">
        <w:trPr>
          <w:trHeight w:val="285"/>
        </w:trPr>
        <w:tc>
          <w:tcPr>
            <w:tcW w:w="541" w:type="dxa"/>
            <w:tcBorders>
              <w:top w:val="nil"/>
              <w:left w:val="nil"/>
              <w:bottom w:val="nil"/>
              <w:right w:val="nil"/>
            </w:tcBorders>
            <w:shd w:val="clear" w:color="000000" w:fill="FCD5B4"/>
            <w:noWrap/>
            <w:hideMark/>
          </w:tcPr>
          <w:p w14:paraId="0626FA98"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X96</w:t>
            </w:r>
          </w:p>
        </w:tc>
        <w:tc>
          <w:tcPr>
            <w:tcW w:w="4137" w:type="dxa"/>
            <w:tcBorders>
              <w:top w:val="nil"/>
              <w:left w:val="nil"/>
              <w:bottom w:val="nil"/>
              <w:right w:val="nil"/>
            </w:tcBorders>
            <w:shd w:val="clear" w:color="000000" w:fill="FCD5B4"/>
            <w:hideMark/>
          </w:tcPr>
          <w:p w14:paraId="20685936"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con material explosivo</w:t>
            </w:r>
          </w:p>
        </w:tc>
        <w:tc>
          <w:tcPr>
            <w:tcW w:w="1200" w:type="dxa"/>
            <w:tcBorders>
              <w:top w:val="nil"/>
              <w:left w:val="nil"/>
              <w:bottom w:val="nil"/>
              <w:right w:val="nil"/>
            </w:tcBorders>
            <w:shd w:val="clear" w:color="auto" w:fill="auto"/>
            <w:noWrap/>
            <w:hideMark/>
          </w:tcPr>
          <w:p w14:paraId="5E33331C"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4</w:t>
            </w:r>
          </w:p>
        </w:tc>
        <w:tc>
          <w:tcPr>
            <w:tcW w:w="1201" w:type="dxa"/>
            <w:tcBorders>
              <w:top w:val="nil"/>
              <w:left w:val="nil"/>
              <w:bottom w:val="nil"/>
              <w:right w:val="nil"/>
            </w:tcBorders>
            <w:shd w:val="clear" w:color="auto" w:fill="auto"/>
            <w:noWrap/>
            <w:hideMark/>
          </w:tcPr>
          <w:p w14:paraId="6D3C9F8F"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4</w:t>
            </w:r>
          </w:p>
        </w:tc>
        <w:tc>
          <w:tcPr>
            <w:tcW w:w="1200" w:type="dxa"/>
            <w:tcBorders>
              <w:top w:val="nil"/>
              <w:left w:val="nil"/>
              <w:bottom w:val="nil"/>
              <w:right w:val="nil"/>
            </w:tcBorders>
            <w:shd w:val="clear" w:color="auto" w:fill="auto"/>
            <w:noWrap/>
            <w:hideMark/>
          </w:tcPr>
          <w:p w14:paraId="49C22623"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c>
          <w:tcPr>
            <w:tcW w:w="1201" w:type="dxa"/>
            <w:tcBorders>
              <w:top w:val="nil"/>
              <w:left w:val="nil"/>
              <w:bottom w:val="nil"/>
              <w:right w:val="nil"/>
            </w:tcBorders>
            <w:shd w:val="clear" w:color="auto" w:fill="auto"/>
            <w:noWrap/>
            <w:hideMark/>
          </w:tcPr>
          <w:p w14:paraId="383DE9DA"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r>
      <w:tr w:rsidR="007F1285" w:rsidRPr="0075218F" w14:paraId="6D62E69D" w14:textId="77777777" w:rsidTr="00DC57AF">
        <w:trPr>
          <w:trHeight w:val="285"/>
        </w:trPr>
        <w:tc>
          <w:tcPr>
            <w:tcW w:w="541" w:type="dxa"/>
            <w:tcBorders>
              <w:top w:val="nil"/>
              <w:left w:val="nil"/>
              <w:bottom w:val="nil"/>
              <w:right w:val="nil"/>
            </w:tcBorders>
            <w:shd w:val="clear" w:color="000000" w:fill="FCD5B4"/>
            <w:noWrap/>
            <w:hideMark/>
          </w:tcPr>
          <w:p w14:paraId="6FB19B8D"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X97</w:t>
            </w:r>
          </w:p>
        </w:tc>
        <w:tc>
          <w:tcPr>
            <w:tcW w:w="4137" w:type="dxa"/>
            <w:tcBorders>
              <w:top w:val="nil"/>
              <w:left w:val="nil"/>
              <w:bottom w:val="nil"/>
              <w:right w:val="nil"/>
            </w:tcBorders>
            <w:shd w:val="clear" w:color="000000" w:fill="FCD5B4"/>
            <w:hideMark/>
          </w:tcPr>
          <w:p w14:paraId="0BA9754C"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con humo, fuego y llamas</w:t>
            </w:r>
          </w:p>
        </w:tc>
        <w:tc>
          <w:tcPr>
            <w:tcW w:w="1200" w:type="dxa"/>
            <w:tcBorders>
              <w:top w:val="nil"/>
              <w:left w:val="nil"/>
              <w:bottom w:val="nil"/>
              <w:right w:val="nil"/>
            </w:tcBorders>
            <w:shd w:val="clear" w:color="auto" w:fill="auto"/>
            <w:noWrap/>
            <w:hideMark/>
          </w:tcPr>
          <w:p w14:paraId="7F05AEDC"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255</w:t>
            </w:r>
          </w:p>
        </w:tc>
        <w:tc>
          <w:tcPr>
            <w:tcW w:w="1201" w:type="dxa"/>
            <w:tcBorders>
              <w:top w:val="nil"/>
              <w:left w:val="nil"/>
              <w:bottom w:val="nil"/>
              <w:right w:val="nil"/>
            </w:tcBorders>
            <w:shd w:val="clear" w:color="auto" w:fill="auto"/>
            <w:noWrap/>
            <w:hideMark/>
          </w:tcPr>
          <w:p w14:paraId="18122E5A"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197</w:t>
            </w:r>
          </w:p>
        </w:tc>
        <w:tc>
          <w:tcPr>
            <w:tcW w:w="1200" w:type="dxa"/>
            <w:tcBorders>
              <w:top w:val="nil"/>
              <w:left w:val="nil"/>
              <w:bottom w:val="nil"/>
              <w:right w:val="nil"/>
            </w:tcBorders>
            <w:shd w:val="clear" w:color="auto" w:fill="auto"/>
            <w:noWrap/>
            <w:hideMark/>
          </w:tcPr>
          <w:p w14:paraId="0C88F310"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32</w:t>
            </w:r>
          </w:p>
        </w:tc>
        <w:tc>
          <w:tcPr>
            <w:tcW w:w="1201" w:type="dxa"/>
            <w:tcBorders>
              <w:top w:val="nil"/>
              <w:left w:val="nil"/>
              <w:bottom w:val="nil"/>
              <w:right w:val="nil"/>
            </w:tcBorders>
            <w:shd w:val="clear" w:color="auto" w:fill="auto"/>
            <w:noWrap/>
            <w:hideMark/>
          </w:tcPr>
          <w:p w14:paraId="7CE16169"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26</w:t>
            </w:r>
          </w:p>
        </w:tc>
      </w:tr>
      <w:tr w:rsidR="007F1285" w:rsidRPr="0075218F" w14:paraId="41AD3CFE" w14:textId="77777777" w:rsidTr="00DC57AF">
        <w:trPr>
          <w:trHeight w:val="285"/>
        </w:trPr>
        <w:tc>
          <w:tcPr>
            <w:tcW w:w="541" w:type="dxa"/>
            <w:tcBorders>
              <w:top w:val="nil"/>
              <w:left w:val="nil"/>
              <w:bottom w:val="nil"/>
              <w:right w:val="nil"/>
            </w:tcBorders>
            <w:shd w:val="clear" w:color="000000" w:fill="FCD5B4"/>
            <w:noWrap/>
            <w:hideMark/>
          </w:tcPr>
          <w:p w14:paraId="0635FD6A"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X99</w:t>
            </w:r>
          </w:p>
        </w:tc>
        <w:tc>
          <w:tcPr>
            <w:tcW w:w="4137" w:type="dxa"/>
            <w:tcBorders>
              <w:top w:val="nil"/>
              <w:left w:val="nil"/>
              <w:bottom w:val="nil"/>
              <w:right w:val="nil"/>
            </w:tcBorders>
            <w:shd w:val="clear" w:color="000000" w:fill="FCD5B4"/>
            <w:hideMark/>
          </w:tcPr>
          <w:p w14:paraId="60478008"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con objeto cortante</w:t>
            </w:r>
          </w:p>
        </w:tc>
        <w:tc>
          <w:tcPr>
            <w:tcW w:w="1200" w:type="dxa"/>
            <w:tcBorders>
              <w:top w:val="nil"/>
              <w:left w:val="nil"/>
              <w:bottom w:val="nil"/>
              <w:right w:val="nil"/>
            </w:tcBorders>
            <w:shd w:val="clear" w:color="auto" w:fill="auto"/>
            <w:noWrap/>
            <w:hideMark/>
          </w:tcPr>
          <w:p w14:paraId="32079969" w14:textId="77777777" w:rsidR="007F1285" w:rsidRPr="0075218F" w:rsidRDefault="007F1285" w:rsidP="00A659F7">
            <w:pPr>
              <w:spacing w:after="0" w:line="240" w:lineRule="auto"/>
              <w:jc w:val="right"/>
              <w:rPr>
                <w:rFonts w:ascii="Arial" w:hAnsi="Arial" w:cs="Arial"/>
                <w:color w:val="000000"/>
                <w:sz w:val="16"/>
                <w:szCs w:val="16"/>
              </w:rPr>
            </w:pPr>
            <w:r w:rsidRPr="0075218F">
              <w:rPr>
                <w:rFonts w:ascii="Arial" w:hAnsi="Arial" w:cs="Arial"/>
                <w:color w:val="000000"/>
                <w:sz w:val="16"/>
                <w:szCs w:val="16"/>
              </w:rPr>
              <w:t>3</w:t>
            </w:r>
            <w:r w:rsidR="00A659F7">
              <w:rPr>
                <w:rFonts w:ascii="Arial" w:hAnsi="Arial" w:cs="Arial"/>
                <w:color w:val="000000"/>
                <w:sz w:val="16"/>
                <w:szCs w:val="16"/>
              </w:rPr>
              <w:t xml:space="preserve"> </w:t>
            </w:r>
            <w:r w:rsidRPr="0075218F">
              <w:rPr>
                <w:rFonts w:ascii="Arial" w:hAnsi="Arial" w:cs="Arial"/>
                <w:color w:val="000000"/>
                <w:sz w:val="16"/>
                <w:szCs w:val="16"/>
              </w:rPr>
              <w:t>608</w:t>
            </w:r>
          </w:p>
        </w:tc>
        <w:tc>
          <w:tcPr>
            <w:tcW w:w="1201" w:type="dxa"/>
            <w:tcBorders>
              <w:top w:val="nil"/>
              <w:left w:val="nil"/>
              <w:bottom w:val="nil"/>
              <w:right w:val="nil"/>
            </w:tcBorders>
            <w:shd w:val="clear" w:color="auto" w:fill="auto"/>
            <w:noWrap/>
            <w:hideMark/>
          </w:tcPr>
          <w:p w14:paraId="68951733" w14:textId="77777777" w:rsidR="007F1285" w:rsidRPr="0075218F" w:rsidRDefault="007F1285" w:rsidP="00A659F7">
            <w:pPr>
              <w:spacing w:after="0" w:line="240" w:lineRule="auto"/>
              <w:jc w:val="right"/>
              <w:rPr>
                <w:rFonts w:ascii="Arial" w:hAnsi="Arial" w:cs="Arial"/>
                <w:color w:val="000000"/>
                <w:sz w:val="16"/>
                <w:szCs w:val="16"/>
              </w:rPr>
            </w:pPr>
            <w:r w:rsidRPr="0075218F">
              <w:rPr>
                <w:rFonts w:ascii="Arial" w:hAnsi="Arial" w:cs="Arial"/>
                <w:color w:val="000000"/>
                <w:sz w:val="16"/>
                <w:szCs w:val="16"/>
              </w:rPr>
              <w:t>3</w:t>
            </w:r>
            <w:r w:rsidR="00A659F7">
              <w:rPr>
                <w:rFonts w:ascii="Arial" w:hAnsi="Arial" w:cs="Arial"/>
                <w:color w:val="000000"/>
                <w:sz w:val="16"/>
                <w:szCs w:val="16"/>
              </w:rPr>
              <w:t xml:space="preserve"> </w:t>
            </w:r>
            <w:r w:rsidRPr="0075218F">
              <w:rPr>
                <w:rFonts w:ascii="Arial" w:hAnsi="Arial" w:cs="Arial"/>
                <w:color w:val="000000"/>
                <w:sz w:val="16"/>
                <w:szCs w:val="16"/>
              </w:rPr>
              <w:t>080</w:t>
            </w:r>
          </w:p>
        </w:tc>
        <w:tc>
          <w:tcPr>
            <w:tcW w:w="1200" w:type="dxa"/>
            <w:tcBorders>
              <w:top w:val="nil"/>
              <w:left w:val="nil"/>
              <w:bottom w:val="nil"/>
              <w:right w:val="nil"/>
            </w:tcBorders>
            <w:shd w:val="clear" w:color="auto" w:fill="auto"/>
            <w:noWrap/>
            <w:hideMark/>
          </w:tcPr>
          <w:p w14:paraId="3AA7F95D"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486</w:t>
            </w:r>
          </w:p>
        </w:tc>
        <w:tc>
          <w:tcPr>
            <w:tcW w:w="1201" w:type="dxa"/>
            <w:tcBorders>
              <w:top w:val="nil"/>
              <w:left w:val="nil"/>
              <w:bottom w:val="nil"/>
              <w:right w:val="nil"/>
            </w:tcBorders>
            <w:shd w:val="clear" w:color="auto" w:fill="auto"/>
            <w:noWrap/>
            <w:hideMark/>
          </w:tcPr>
          <w:p w14:paraId="59162599"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42</w:t>
            </w:r>
          </w:p>
        </w:tc>
      </w:tr>
      <w:tr w:rsidR="007F1285" w:rsidRPr="0075218F" w14:paraId="164B5694" w14:textId="77777777" w:rsidTr="00DC57AF">
        <w:trPr>
          <w:trHeight w:val="285"/>
        </w:trPr>
        <w:tc>
          <w:tcPr>
            <w:tcW w:w="541" w:type="dxa"/>
            <w:tcBorders>
              <w:top w:val="nil"/>
              <w:left w:val="nil"/>
              <w:bottom w:val="nil"/>
              <w:right w:val="nil"/>
            </w:tcBorders>
            <w:shd w:val="clear" w:color="000000" w:fill="FCD5B4"/>
            <w:noWrap/>
            <w:hideMark/>
          </w:tcPr>
          <w:p w14:paraId="2E09B105"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Y00</w:t>
            </w:r>
          </w:p>
        </w:tc>
        <w:tc>
          <w:tcPr>
            <w:tcW w:w="4137" w:type="dxa"/>
            <w:tcBorders>
              <w:top w:val="nil"/>
              <w:left w:val="nil"/>
              <w:bottom w:val="nil"/>
              <w:right w:val="nil"/>
            </w:tcBorders>
            <w:shd w:val="clear" w:color="000000" w:fill="FCD5B4"/>
            <w:hideMark/>
          </w:tcPr>
          <w:p w14:paraId="44D8D100"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con objeto romo o sin filo</w:t>
            </w:r>
          </w:p>
        </w:tc>
        <w:tc>
          <w:tcPr>
            <w:tcW w:w="1200" w:type="dxa"/>
            <w:tcBorders>
              <w:top w:val="nil"/>
              <w:left w:val="nil"/>
              <w:bottom w:val="nil"/>
              <w:right w:val="nil"/>
            </w:tcBorders>
            <w:shd w:val="clear" w:color="auto" w:fill="auto"/>
            <w:noWrap/>
            <w:hideMark/>
          </w:tcPr>
          <w:p w14:paraId="4CD6D214"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271</w:t>
            </w:r>
          </w:p>
        </w:tc>
        <w:tc>
          <w:tcPr>
            <w:tcW w:w="1201" w:type="dxa"/>
            <w:tcBorders>
              <w:top w:val="nil"/>
              <w:left w:val="nil"/>
              <w:bottom w:val="nil"/>
              <w:right w:val="nil"/>
            </w:tcBorders>
            <w:shd w:val="clear" w:color="auto" w:fill="auto"/>
            <w:noWrap/>
            <w:hideMark/>
          </w:tcPr>
          <w:p w14:paraId="68462460"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230</w:t>
            </w:r>
          </w:p>
        </w:tc>
        <w:tc>
          <w:tcPr>
            <w:tcW w:w="1200" w:type="dxa"/>
            <w:tcBorders>
              <w:top w:val="nil"/>
              <w:left w:val="nil"/>
              <w:bottom w:val="nil"/>
              <w:right w:val="nil"/>
            </w:tcBorders>
            <w:shd w:val="clear" w:color="auto" w:fill="auto"/>
            <w:noWrap/>
            <w:hideMark/>
          </w:tcPr>
          <w:p w14:paraId="65EE7248"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40</w:t>
            </w:r>
          </w:p>
        </w:tc>
        <w:tc>
          <w:tcPr>
            <w:tcW w:w="1201" w:type="dxa"/>
            <w:tcBorders>
              <w:top w:val="nil"/>
              <w:left w:val="nil"/>
              <w:bottom w:val="nil"/>
              <w:right w:val="nil"/>
            </w:tcBorders>
            <w:shd w:val="clear" w:color="auto" w:fill="auto"/>
            <w:noWrap/>
            <w:hideMark/>
          </w:tcPr>
          <w:p w14:paraId="07A31438"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w:t>
            </w:r>
          </w:p>
        </w:tc>
      </w:tr>
      <w:tr w:rsidR="007F1285" w:rsidRPr="0075218F" w14:paraId="7AC3DB6B" w14:textId="77777777" w:rsidTr="00DC57AF">
        <w:trPr>
          <w:trHeight w:val="285"/>
        </w:trPr>
        <w:tc>
          <w:tcPr>
            <w:tcW w:w="541" w:type="dxa"/>
            <w:tcBorders>
              <w:top w:val="nil"/>
              <w:left w:val="nil"/>
              <w:bottom w:val="nil"/>
              <w:right w:val="nil"/>
            </w:tcBorders>
            <w:shd w:val="clear" w:color="000000" w:fill="FCD5B4"/>
            <w:noWrap/>
            <w:hideMark/>
          </w:tcPr>
          <w:p w14:paraId="63452203"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Y01</w:t>
            </w:r>
          </w:p>
        </w:tc>
        <w:tc>
          <w:tcPr>
            <w:tcW w:w="4137" w:type="dxa"/>
            <w:tcBorders>
              <w:top w:val="nil"/>
              <w:left w:val="nil"/>
              <w:bottom w:val="nil"/>
              <w:right w:val="nil"/>
            </w:tcBorders>
            <w:shd w:val="clear" w:color="000000" w:fill="FCD5B4"/>
            <w:hideMark/>
          </w:tcPr>
          <w:p w14:paraId="6E36BA68"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por empujón desde un lugar elevado</w:t>
            </w:r>
          </w:p>
        </w:tc>
        <w:tc>
          <w:tcPr>
            <w:tcW w:w="1200" w:type="dxa"/>
            <w:tcBorders>
              <w:top w:val="nil"/>
              <w:left w:val="nil"/>
              <w:bottom w:val="nil"/>
              <w:right w:val="nil"/>
            </w:tcBorders>
            <w:shd w:val="clear" w:color="auto" w:fill="auto"/>
            <w:noWrap/>
            <w:hideMark/>
          </w:tcPr>
          <w:p w14:paraId="449A2882"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15</w:t>
            </w:r>
          </w:p>
        </w:tc>
        <w:tc>
          <w:tcPr>
            <w:tcW w:w="1201" w:type="dxa"/>
            <w:tcBorders>
              <w:top w:val="nil"/>
              <w:left w:val="nil"/>
              <w:bottom w:val="nil"/>
              <w:right w:val="nil"/>
            </w:tcBorders>
            <w:shd w:val="clear" w:color="auto" w:fill="auto"/>
            <w:noWrap/>
            <w:hideMark/>
          </w:tcPr>
          <w:p w14:paraId="6910DF76"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11</w:t>
            </w:r>
          </w:p>
        </w:tc>
        <w:tc>
          <w:tcPr>
            <w:tcW w:w="1200" w:type="dxa"/>
            <w:tcBorders>
              <w:top w:val="nil"/>
              <w:left w:val="nil"/>
              <w:bottom w:val="nil"/>
              <w:right w:val="nil"/>
            </w:tcBorders>
            <w:shd w:val="clear" w:color="auto" w:fill="auto"/>
            <w:noWrap/>
            <w:hideMark/>
          </w:tcPr>
          <w:p w14:paraId="4759A2B6"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4</w:t>
            </w:r>
          </w:p>
        </w:tc>
        <w:tc>
          <w:tcPr>
            <w:tcW w:w="1201" w:type="dxa"/>
            <w:tcBorders>
              <w:top w:val="nil"/>
              <w:left w:val="nil"/>
              <w:bottom w:val="nil"/>
              <w:right w:val="nil"/>
            </w:tcBorders>
            <w:shd w:val="clear" w:color="auto" w:fill="auto"/>
            <w:noWrap/>
            <w:hideMark/>
          </w:tcPr>
          <w:p w14:paraId="54C3E8B9"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r>
      <w:tr w:rsidR="007F1285" w:rsidRPr="0075218F" w14:paraId="0E4E7CEA" w14:textId="77777777" w:rsidTr="00DC57AF">
        <w:trPr>
          <w:trHeight w:val="285"/>
        </w:trPr>
        <w:tc>
          <w:tcPr>
            <w:tcW w:w="541" w:type="dxa"/>
            <w:tcBorders>
              <w:top w:val="nil"/>
              <w:left w:val="nil"/>
              <w:bottom w:val="nil"/>
              <w:right w:val="nil"/>
            </w:tcBorders>
            <w:shd w:val="clear" w:color="000000" w:fill="FCD5B4"/>
            <w:noWrap/>
            <w:hideMark/>
          </w:tcPr>
          <w:p w14:paraId="46C58C62"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Y03</w:t>
            </w:r>
          </w:p>
        </w:tc>
        <w:tc>
          <w:tcPr>
            <w:tcW w:w="4137" w:type="dxa"/>
            <w:tcBorders>
              <w:top w:val="nil"/>
              <w:left w:val="nil"/>
              <w:bottom w:val="nil"/>
              <w:right w:val="nil"/>
            </w:tcBorders>
            <w:shd w:val="clear" w:color="000000" w:fill="FCD5B4"/>
            <w:hideMark/>
          </w:tcPr>
          <w:p w14:paraId="23A776D3"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por colisión de vehículo de motor</w:t>
            </w:r>
          </w:p>
        </w:tc>
        <w:tc>
          <w:tcPr>
            <w:tcW w:w="1200" w:type="dxa"/>
            <w:tcBorders>
              <w:top w:val="nil"/>
              <w:left w:val="nil"/>
              <w:bottom w:val="nil"/>
              <w:right w:val="nil"/>
            </w:tcBorders>
            <w:shd w:val="clear" w:color="auto" w:fill="auto"/>
            <w:noWrap/>
            <w:hideMark/>
          </w:tcPr>
          <w:p w14:paraId="6A8653B7"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7</w:t>
            </w:r>
          </w:p>
        </w:tc>
        <w:tc>
          <w:tcPr>
            <w:tcW w:w="1201" w:type="dxa"/>
            <w:tcBorders>
              <w:top w:val="nil"/>
              <w:left w:val="nil"/>
              <w:bottom w:val="nil"/>
              <w:right w:val="nil"/>
            </w:tcBorders>
            <w:shd w:val="clear" w:color="auto" w:fill="auto"/>
            <w:noWrap/>
            <w:hideMark/>
          </w:tcPr>
          <w:p w14:paraId="3E46963B"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7</w:t>
            </w:r>
          </w:p>
        </w:tc>
        <w:tc>
          <w:tcPr>
            <w:tcW w:w="1200" w:type="dxa"/>
            <w:tcBorders>
              <w:top w:val="nil"/>
              <w:left w:val="nil"/>
              <w:bottom w:val="nil"/>
              <w:right w:val="nil"/>
            </w:tcBorders>
            <w:shd w:val="clear" w:color="auto" w:fill="auto"/>
            <w:noWrap/>
            <w:hideMark/>
          </w:tcPr>
          <w:p w14:paraId="34FE2DDA"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c>
          <w:tcPr>
            <w:tcW w:w="1201" w:type="dxa"/>
            <w:tcBorders>
              <w:top w:val="nil"/>
              <w:left w:val="nil"/>
              <w:bottom w:val="nil"/>
              <w:right w:val="nil"/>
            </w:tcBorders>
            <w:shd w:val="clear" w:color="auto" w:fill="auto"/>
            <w:noWrap/>
            <w:hideMark/>
          </w:tcPr>
          <w:p w14:paraId="1631C490"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r>
      <w:tr w:rsidR="007F1285" w:rsidRPr="0075218F" w14:paraId="637ECCD2" w14:textId="77777777" w:rsidTr="00DC57AF">
        <w:trPr>
          <w:trHeight w:val="285"/>
        </w:trPr>
        <w:tc>
          <w:tcPr>
            <w:tcW w:w="541" w:type="dxa"/>
            <w:tcBorders>
              <w:top w:val="nil"/>
              <w:left w:val="nil"/>
              <w:bottom w:val="nil"/>
              <w:right w:val="nil"/>
            </w:tcBorders>
            <w:shd w:val="clear" w:color="000000" w:fill="FCD5B4"/>
            <w:noWrap/>
            <w:hideMark/>
          </w:tcPr>
          <w:p w14:paraId="741AE41D"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Y04</w:t>
            </w:r>
          </w:p>
        </w:tc>
        <w:tc>
          <w:tcPr>
            <w:tcW w:w="4137" w:type="dxa"/>
            <w:tcBorders>
              <w:top w:val="nil"/>
              <w:left w:val="nil"/>
              <w:bottom w:val="nil"/>
              <w:right w:val="nil"/>
            </w:tcBorders>
            <w:shd w:val="clear" w:color="000000" w:fill="FCD5B4"/>
            <w:hideMark/>
          </w:tcPr>
          <w:p w14:paraId="46AE14D6"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con fuerza corporal</w:t>
            </w:r>
          </w:p>
        </w:tc>
        <w:tc>
          <w:tcPr>
            <w:tcW w:w="1200" w:type="dxa"/>
            <w:tcBorders>
              <w:top w:val="nil"/>
              <w:left w:val="nil"/>
              <w:bottom w:val="nil"/>
              <w:right w:val="nil"/>
            </w:tcBorders>
            <w:shd w:val="clear" w:color="auto" w:fill="auto"/>
            <w:noWrap/>
            <w:hideMark/>
          </w:tcPr>
          <w:p w14:paraId="1F622997"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87</w:t>
            </w:r>
          </w:p>
        </w:tc>
        <w:tc>
          <w:tcPr>
            <w:tcW w:w="1201" w:type="dxa"/>
            <w:tcBorders>
              <w:top w:val="nil"/>
              <w:left w:val="nil"/>
              <w:bottom w:val="nil"/>
              <w:right w:val="nil"/>
            </w:tcBorders>
            <w:shd w:val="clear" w:color="auto" w:fill="auto"/>
            <w:noWrap/>
            <w:hideMark/>
          </w:tcPr>
          <w:p w14:paraId="13E24326"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79</w:t>
            </w:r>
          </w:p>
        </w:tc>
        <w:tc>
          <w:tcPr>
            <w:tcW w:w="1200" w:type="dxa"/>
            <w:tcBorders>
              <w:top w:val="nil"/>
              <w:left w:val="nil"/>
              <w:bottom w:val="nil"/>
              <w:right w:val="nil"/>
            </w:tcBorders>
            <w:shd w:val="clear" w:color="auto" w:fill="auto"/>
            <w:noWrap/>
            <w:hideMark/>
          </w:tcPr>
          <w:p w14:paraId="6A36D29B"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8</w:t>
            </w:r>
          </w:p>
        </w:tc>
        <w:tc>
          <w:tcPr>
            <w:tcW w:w="1201" w:type="dxa"/>
            <w:tcBorders>
              <w:top w:val="nil"/>
              <w:left w:val="nil"/>
              <w:bottom w:val="nil"/>
              <w:right w:val="nil"/>
            </w:tcBorders>
            <w:shd w:val="clear" w:color="auto" w:fill="auto"/>
            <w:noWrap/>
            <w:hideMark/>
          </w:tcPr>
          <w:p w14:paraId="543A814A"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r>
      <w:tr w:rsidR="007F1285" w:rsidRPr="0075218F" w14:paraId="623C066D" w14:textId="77777777" w:rsidTr="00DC57AF">
        <w:trPr>
          <w:trHeight w:val="285"/>
        </w:trPr>
        <w:tc>
          <w:tcPr>
            <w:tcW w:w="541" w:type="dxa"/>
            <w:tcBorders>
              <w:top w:val="nil"/>
              <w:left w:val="nil"/>
              <w:bottom w:val="nil"/>
              <w:right w:val="nil"/>
            </w:tcBorders>
            <w:shd w:val="clear" w:color="000000" w:fill="FCD5B4"/>
            <w:noWrap/>
            <w:hideMark/>
          </w:tcPr>
          <w:p w14:paraId="1284856F"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Y06</w:t>
            </w:r>
          </w:p>
        </w:tc>
        <w:tc>
          <w:tcPr>
            <w:tcW w:w="4137" w:type="dxa"/>
            <w:tcBorders>
              <w:top w:val="nil"/>
              <w:left w:val="nil"/>
              <w:bottom w:val="nil"/>
              <w:right w:val="nil"/>
            </w:tcBorders>
            <w:shd w:val="clear" w:color="000000" w:fill="FCD5B4"/>
            <w:hideMark/>
          </w:tcPr>
          <w:p w14:paraId="00FFB172"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Negligencia y abandono</w:t>
            </w:r>
          </w:p>
        </w:tc>
        <w:tc>
          <w:tcPr>
            <w:tcW w:w="1200" w:type="dxa"/>
            <w:tcBorders>
              <w:top w:val="nil"/>
              <w:left w:val="nil"/>
              <w:bottom w:val="nil"/>
              <w:right w:val="nil"/>
            </w:tcBorders>
            <w:shd w:val="clear" w:color="auto" w:fill="auto"/>
            <w:noWrap/>
            <w:hideMark/>
          </w:tcPr>
          <w:p w14:paraId="6C4705C7"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19</w:t>
            </w:r>
          </w:p>
        </w:tc>
        <w:tc>
          <w:tcPr>
            <w:tcW w:w="1201" w:type="dxa"/>
            <w:tcBorders>
              <w:top w:val="nil"/>
              <w:left w:val="nil"/>
              <w:bottom w:val="nil"/>
              <w:right w:val="nil"/>
            </w:tcBorders>
            <w:shd w:val="clear" w:color="auto" w:fill="auto"/>
            <w:noWrap/>
            <w:hideMark/>
          </w:tcPr>
          <w:p w14:paraId="7BB5994E"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11</w:t>
            </w:r>
          </w:p>
        </w:tc>
        <w:tc>
          <w:tcPr>
            <w:tcW w:w="1200" w:type="dxa"/>
            <w:tcBorders>
              <w:top w:val="nil"/>
              <w:left w:val="nil"/>
              <w:bottom w:val="nil"/>
              <w:right w:val="nil"/>
            </w:tcBorders>
            <w:shd w:val="clear" w:color="auto" w:fill="auto"/>
            <w:noWrap/>
            <w:hideMark/>
          </w:tcPr>
          <w:p w14:paraId="00C72E04"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8</w:t>
            </w:r>
          </w:p>
        </w:tc>
        <w:tc>
          <w:tcPr>
            <w:tcW w:w="1201" w:type="dxa"/>
            <w:tcBorders>
              <w:top w:val="nil"/>
              <w:left w:val="nil"/>
              <w:bottom w:val="nil"/>
              <w:right w:val="nil"/>
            </w:tcBorders>
            <w:shd w:val="clear" w:color="auto" w:fill="auto"/>
            <w:noWrap/>
            <w:hideMark/>
          </w:tcPr>
          <w:p w14:paraId="743CF97C"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r>
      <w:tr w:rsidR="007F1285" w:rsidRPr="0075218F" w14:paraId="6662E95D" w14:textId="77777777" w:rsidTr="00DC57AF">
        <w:trPr>
          <w:trHeight w:val="285"/>
        </w:trPr>
        <w:tc>
          <w:tcPr>
            <w:tcW w:w="541" w:type="dxa"/>
            <w:tcBorders>
              <w:top w:val="nil"/>
              <w:left w:val="nil"/>
              <w:bottom w:val="nil"/>
              <w:right w:val="nil"/>
            </w:tcBorders>
            <w:shd w:val="clear" w:color="000000" w:fill="FCD5B4"/>
            <w:noWrap/>
            <w:hideMark/>
          </w:tcPr>
          <w:p w14:paraId="33CF7D0F"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Y07</w:t>
            </w:r>
          </w:p>
        </w:tc>
        <w:tc>
          <w:tcPr>
            <w:tcW w:w="4137" w:type="dxa"/>
            <w:tcBorders>
              <w:top w:val="nil"/>
              <w:left w:val="nil"/>
              <w:bottom w:val="nil"/>
              <w:right w:val="nil"/>
            </w:tcBorders>
            <w:shd w:val="clear" w:color="000000" w:fill="FCD5B4"/>
            <w:hideMark/>
          </w:tcPr>
          <w:p w14:paraId="39FD6CC9"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Otros síndromes de maltrato</w:t>
            </w:r>
          </w:p>
        </w:tc>
        <w:tc>
          <w:tcPr>
            <w:tcW w:w="1200" w:type="dxa"/>
            <w:tcBorders>
              <w:top w:val="nil"/>
              <w:left w:val="nil"/>
              <w:bottom w:val="nil"/>
              <w:right w:val="nil"/>
            </w:tcBorders>
            <w:shd w:val="clear" w:color="auto" w:fill="auto"/>
            <w:noWrap/>
            <w:hideMark/>
          </w:tcPr>
          <w:p w14:paraId="4A4327AC"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12</w:t>
            </w:r>
          </w:p>
        </w:tc>
        <w:tc>
          <w:tcPr>
            <w:tcW w:w="1201" w:type="dxa"/>
            <w:tcBorders>
              <w:top w:val="nil"/>
              <w:left w:val="nil"/>
              <w:bottom w:val="nil"/>
              <w:right w:val="nil"/>
            </w:tcBorders>
            <w:shd w:val="clear" w:color="auto" w:fill="auto"/>
            <w:noWrap/>
            <w:hideMark/>
          </w:tcPr>
          <w:p w14:paraId="0D55C45C"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5</w:t>
            </w:r>
          </w:p>
        </w:tc>
        <w:tc>
          <w:tcPr>
            <w:tcW w:w="1200" w:type="dxa"/>
            <w:tcBorders>
              <w:top w:val="nil"/>
              <w:left w:val="nil"/>
              <w:bottom w:val="nil"/>
              <w:right w:val="nil"/>
            </w:tcBorders>
            <w:shd w:val="clear" w:color="auto" w:fill="auto"/>
            <w:noWrap/>
            <w:hideMark/>
          </w:tcPr>
          <w:p w14:paraId="2E5AACDA"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7</w:t>
            </w:r>
          </w:p>
        </w:tc>
        <w:tc>
          <w:tcPr>
            <w:tcW w:w="1201" w:type="dxa"/>
            <w:tcBorders>
              <w:top w:val="nil"/>
              <w:left w:val="nil"/>
              <w:bottom w:val="nil"/>
              <w:right w:val="nil"/>
            </w:tcBorders>
            <w:shd w:val="clear" w:color="auto" w:fill="auto"/>
            <w:noWrap/>
            <w:hideMark/>
          </w:tcPr>
          <w:p w14:paraId="67A60035"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r>
      <w:tr w:rsidR="007F1285" w:rsidRPr="0075218F" w14:paraId="1C14FAAE" w14:textId="77777777" w:rsidTr="00DC57AF">
        <w:trPr>
          <w:trHeight w:val="285"/>
        </w:trPr>
        <w:tc>
          <w:tcPr>
            <w:tcW w:w="541" w:type="dxa"/>
            <w:tcBorders>
              <w:top w:val="nil"/>
              <w:left w:val="nil"/>
              <w:bottom w:val="nil"/>
              <w:right w:val="nil"/>
            </w:tcBorders>
            <w:shd w:val="clear" w:color="000000" w:fill="FCD5B4"/>
            <w:noWrap/>
            <w:hideMark/>
          </w:tcPr>
          <w:p w14:paraId="7B9F7524"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Y08</w:t>
            </w:r>
          </w:p>
        </w:tc>
        <w:tc>
          <w:tcPr>
            <w:tcW w:w="4137" w:type="dxa"/>
            <w:tcBorders>
              <w:top w:val="nil"/>
              <w:left w:val="nil"/>
              <w:bottom w:val="nil"/>
              <w:right w:val="nil"/>
            </w:tcBorders>
            <w:shd w:val="clear" w:color="000000" w:fill="FCD5B4"/>
            <w:hideMark/>
          </w:tcPr>
          <w:p w14:paraId="2F5DD68C"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por otros medios especificados</w:t>
            </w:r>
          </w:p>
        </w:tc>
        <w:tc>
          <w:tcPr>
            <w:tcW w:w="1200" w:type="dxa"/>
            <w:tcBorders>
              <w:top w:val="nil"/>
              <w:left w:val="nil"/>
              <w:bottom w:val="nil"/>
              <w:right w:val="nil"/>
            </w:tcBorders>
            <w:shd w:val="clear" w:color="auto" w:fill="auto"/>
            <w:noWrap/>
            <w:hideMark/>
          </w:tcPr>
          <w:p w14:paraId="3DFC8510"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25</w:t>
            </w:r>
          </w:p>
        </w:tc>
        <w:tc>
          <w:tcPr>
            <w:tcW w:w="1201" w:type="dxa"/>
            <w:tcBorders>
              <w:top w:val="nil"/>
              <w:left w:val="nil"/>
              <w:bottom w:val="nil"/>
              <w:right w:val="nil"/>
            </w:tcBorders>
            <w:shd w:val="clear" w:color="auto" w:fill="auto"/>
            <w:noWrap/>
            <w:hideMark/>
          </w:tcPr>
          <w:p w14:paraId="1B89863D"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22</w:t>
            </w:r>
          </w:p>
        </w:tc>
        <w:tc>
          <w:tcPr>
            <w:tcW w:w="1200" w:type="dxa"/>
            <w:tcBorders>
              <w:top w:val="nil"/>
              <w:left w:val="nil"/>
              <w:bottom w:val="nil"/>
              <w:right w:val="nil"/>
            </w:tcBorders>
            <w:shd w:val="clear" w:color="auto" w:fill="auto"/>
            <w:noWrap/>
            <w:hideMark/>
          </w:tcPr>
          <w:p w14:paraId="05EF9A52"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3</w:t>
            </w:r>
          </w:p>
        </w:tc>
        <w:tc>
          <w:tcPr>
            <w:tcW w:w="1201" w:type="dxa"/>
            <w:tcBorders>
              <w:top w:val="nil"/>
              <w:left w:val="nil"/>
              <w:bottom w:val="nil"/>
              <w:right w:val="nil"/>
            </w:tcBorders>
            <w:shd w:val="clear" w:color="auto" w:fill="auto"/>
            <w:noWrap/>
            <w:hideMark/>
          </w:tcPr>
          <w:p w14:paraId="53FFEC31"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0</w:t>
            </w:r>
          </w:p>
        </w:tc>
      </w:tr>
      <w:tr w:rsidR="007F1285" w:rsidRPr="0075218F" w14:paraId="3E45A7D9" w14:textId="77777777" w:rsidTr="00DC57AF">
        <w:trPr>
          <w:trHeight w:val="285"/>
        </w:trPr>
        <w:tc>
          <w:tcPr>
            <w:tcW w:w="541" w:type="dxa"/>
            <w:tcBorders>
              <w:top w:val="nil"/>
              <w:left w:val="nil"/>
              <w:bottom w:val="nil"/>
              <w:right w:val="nil"/>
            </w:tcBorders>
            <w:shd w:val="clear" w:color="000000" w:fill="FCD5B4"/>
            <w:noWrap/>
            <w:hideMark/>
          </w:tcPr>
          <w:p w14:paraId="6BE1A7BF" w14:textId="77777777" w:rsidR="007F1285" w:rsidRPr="0075218F" w:rsidRDefault="007F1285" w:rsidP="00CD49DD">
            <w:pPr>
              <w:spacing w:after="0" w:line="240" w:lineRule="auto"/>
              <w:jc w:val="center"/>
              <w:rPr>
                <w:rFonts w:ascii="Arial" w:hAnsi="Arial" w:cs="Arial"/>
                <w:color w:val="000000"/>
                <w:sz w:val="16"/>
                <w:szCs w:val="16"/>
              </w:rPr>
            </w:pPr>
            <w:r w:rsidRPr="0075218F">
              <w:rPr>
                <w:rFonts w:ascii="Arial" w:hAnsi="Arial" w:cs="Arial"/>
                <w:color w:val="000000"/>
                <w:sz w:val="16"/>
                <w:szCs w:val="16"/>
              </w:rPr>
              <w:t>Y09</w:t>
            </w:r>
          </w:p>
        </w:tc>
        <w:tc>
          <w:tcPr>
            <w:tcW w:w="4137" w:type="dxa"/>
            <w:tcBorders>
              <w:top w:val="nil"/>
              <w:left w:val="nil"/>
              <w:bottom w:val="nil"/>
              <w:right w:val="nil"/>
            </w:tcBorders>
            <w:shd w:val="clear" w:color="000000" w:fill="FCD5B4"/>
            <w:hideMark/>
          </w:tcPr>
          <w:p w14:paraId="4AED2F9D" w14:textId="77777777" w:rsidR="007F1285" w:rsidRPr="0075218F" w:rsidRDefault="007F1285" w:rsidP="00CD49DD">
            <w:pPr>
              <w:spacing w:after="0" w:line="240" w:lineRule="auto"/>
              <w:rPr>
                <w:rFonts w:ascii="Arial" w:hAnsi="Arial" w:cs="Arial"/>
                <w:color w:val="000000"/>
                <w:sz w:val="16"/>
                <w:szCs w:val="16"/>
              </w:rPr>
            </w:pPr>
            <w:r w:rsidRPr="0075218F">
              <w:rPr>
                <w:rFonts w:ascii="Arial" w:hAnsi="Arial" w:cs="Arial"/>
                <w:color w:val="000000"/>
                <w:sz w:val="16"/>
                <w:szCs w:val="16"/>
              </w:rPr>
              <w:t>Agresión por medios no especificados</w:t>
            </w:r>
          </w:p>
        </w:tc>
        <w:tc>
          <w:tcPr>
            <w:tcW w:w="1200" w:type="dxa"/>
            <w:tcBorders>
              <w:top w:val="nil"/>
              <w:left w:val="nil"/>
              <w:bottom w:val="nil"/>
              <w:right w:val="nil"/>
            </w:tcBorders>
            <w:shd w:val="clear" w:color="auto" w:fill="auto"/>
            <w:noWrap/>
            <w:hideMark/>
          </w:tcPr>
          <w:p w14:paraId="0848832A" w14:textId="77777777" w:rsidR="007F1285" w:rsidRPr="0075218F" w:rsidRDefault="007F1285" w:rsidP="00A659F7">
            <w:pPr>
              <w:spacing w:after="0" w:line="240" w:lineRule="auto"/>
              <w:jc w:val="right"/>
              <w:rPr>
                <w:rFonts w:ascii="Arial" w:hAnsi="Arial" w:cs="Arial"/>
                <w:color w:val="000000"/>
                <w:sz w:val="16"/>
                <w:szCs w:val="16"/>
              </w:rPr>
            </w:pPr>
            <w:r w:rsidRPr="0075218F">
              <w:rPr>
                <w:rFonts w:ascii="Arial" w:hAnsi="Arial" w:cs="Arial"/>
                <w:color w:val="000000"/>
                <w:sz w:val="16"/>
                <w:szCs w:val="16"/>
              </w:rPr>
              <w:t>4</w:t>
            </w:r>
            <w:r w:rsidR="00A659F7">
              <w:rPr>
                <w:rFonts w:ascii="Arial" w:hAnsi="Arial" w:cs="Arial"/>
                <w:color w:val="000000"/>
                <w:sz w:val="16"/>
                <w:szCs w:val="16"/>
              </w:rPr>
              <w:t xml:space="preserve"> </w:t>
            </w:r>
            <w:r w:rsidRPr="0075218F">
              <w:rPr>
                <w:rFonts w:ascii="Arial" w:hAnsi="Arial" w:cs="Arial"/>
                <w:color w:val="000000"/>
                <w:sz w:val="16"/>
                <w:szCs w:val="16"/>
              </w:rPr>
              <w:t>114</w:t>
            </w:r>
          </w:p>
        </w:tc>
        <w:tc>
          <w:tcPr>
            <w:tcW w:w="1201" w:type="dxa"/>
            <w:tcBorders>
              <w:top w:val="nil"/>
              <w:left w:val="nil"/>
              <w:bottom w:val="nil"/>
              <w:right w:val="nil"/>
            </w:tcBorders>
            <w:shd w:val="clear" w:color="auto" w:fill="auto"/>
            <w:noWrap/>
            <w:hideMark/>
          </w:tcPr>
          <w:p w14:paraId="60DC8FAA" w14:textId="77777777" w:rsidR="007F1285" w:rsidRPr="0075218F" w:rsidRDefault="007F1285" w:rsidP="00A659F7">
            <w:pPr>
              <w:spacing w:after="0" w:line="240" w:lineRule="auto"/>
              <w:jc w:val="right"/>
              <w:rPr>
                <w:rFonts w:ascii="Arial" w:hAnsi="Arial" w:cs="Arial"/>
                <w:color w:val="000000"/>
                <w:sz w:val="16"/>
                <w:szCs w:val="16"/>
              </w:rPr>
            </w:pPr>
            <w:r w:rsidRPr="0075218F">
              <w:rPr>
                <w:rFonts w:ascii="Arial" w:hAnsi="Arial" w:cs="Arial"/>
                <w:color w:val="000000"/>
                <w:sz w:val="16"/>
                <w:szCs w:val="16"/>
              </w:rPr>
              <w:t>3</w:t>
            </w:r>
            <w:r w:rsidR="00A659F7">
              <w:rPr>
                <w:rFonts w:ascii="Arial" w:hAnsi="Arial" w:cs="Arial"/>
                <w:color w:val="000000"/>
                <w:sz w:val="16"/>
                <w:szCs w:val="16"/>
              </w:rPr>
              <w:t xml:space="preserve"> </w:t>
            </w:r>
            <w:r w:rsidRPr="0075218F">
              <w:rPr>
                <w:rFonts w:ascii="Arial" w:hAnsi="Arial" w:cs="Arial"/>
                <w:color w:val="000000"/>
                <w:sz w:val="16"/>
                <w:szCs w:val="16"/>
              </w:rPr>
              <w:t>386</w:t>
            </w:r>
          </w:p>
        </w:tc>
        <w:tc>
          <w:tcPr>
            <w:tcW w:w="1200" w:type="dxa"/>
            <w:tcBorders>
              <w:top w:val="nil"/>
              <w:left w:val="nil"/>
              <w:bottom w:val="nil"/>
              <w:right w:val="nil"/>
            </w:tcBorders>
            <w:shd w:val="clear" w:color="auto" w:fill="auto"/>
            <w:noWrap/>
            <w:hideMark/>
          </w:tcPr>
          <w:p w14:paraId="08804973"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478</w:t>
            </w:r>
          </w:p>
        </w:tc>
        <w:tc>
          <w:tcPr>
            <w:tcW w:w="1201" w:type="dxa"/>
            <w:tcBorders>
              <w:top w:val="nil"/>
              <w:left w:val="nil"/>
              <w:bottom w:val="nil"/>
              <w:right w:val="nil"/>
            </w:tcBorders>
            <w:shd w:val="clear" w:color="auto" w:fill="auto"/>
            <w:noWrap/>
            <w:hideMark/>
          </w:tcPr>
          <w:p w14:paraId="3C8E6857" w14:textId="77777777" w:rsidR="007F1285" w:rsidRPr="0075218F" w:rsidRDefault="007F1285" w:rsidP="00CD49DD">
            <w:pPr>
              <w:spacing w:after="0" w:line="240" w:lineRule="auto"/>
              <w:jc w:val="right"/>
              <w:rPr>
                <w:rFonts w:ascii="Arial" w:hAnsi="Arial" w:cs="Arial"/>
                <w:color w:val="000000"/>
                <w:sz w:val="16"/>
                <w:szCs w:val="16"/>
              </w:rPr>
            </w:pPr>
            <w:r w:rsidRPr="0075218F">
              <w:rPr>
                <w:rFonts w:ascii="Arial" w:hAnsi="Arial" w:cs="Arial"/>
                <w:color w:val="000000"/>
                <w:sz w:val="16"/>
                <w:szCs w:val="16"/>
              </w:rPr>
              <w:t>250</w:t>
            </w:r>
          </w:p>
        </w:tc>
      </w:tr>
      <w:tr w:rsidR="007F1285" w:rsidRPr="0075218F" w14:paraId="32435EF7" w14:textId="77777777" w:rsidTr="00DC57AF">
        <w:trPr>
          <w:trHeight w:val="319"/>
        </w:trPr>
        <w:tc>
          <w:tcPr>
            <w:tcW w:w="4678" w:type="dxa"/>
            <w:gridSpan w:val="2"/>
            <w:tcBorders>
              <w:top w:val="nil"/>
              <w:left w:val="nil"/>
              <w:bottom w:val="nil"/>
              <w:right w:val="nil"/>
            </w:tcBorders>
            <w:shd w:val="clear" w:color="000000" w:fill="C0504D"/>
            <w:noWrap/>
            <w:vAlign w:val="center"/>
            <w:hideMark/>
          </w:tcPr>
          <w:p w14:paraId="11450C4C" w14:textId="77777777" w:rsidR="007F1285" w:rsidRPr="0075218F" w:rsidRDefault="007F1285" w:rsidP="00CD49DD">
            <w:pPr>
              <w:spacing w:after="0" w:line="240" w:lineRule="auto"/>
              <w:rPr>
                <w:rFonts w:ascii="Arial" w:hAnsi="Arial" w:cs="Arial"/>
                <w:b/>
                <w:bCs/>
                <w:color w:val="FFFFFF"/>
                <w:sz w:val="16"/>
                <w:szCs w:val="16"/>
              </w:rPr>
            </w:pPr>
            <w:r w:rsidRPr="0075218F">
              <w:rPr>
                <w:rFonts w:ascii="Arial" w:hAnsi="Arial" w:cs="Arial"/>
                <w:b/>
                <w:bCs/>
                <w:color w:val="FFFFFF"/>
                <w:sz w:val="16"/>
                <w:szCs w:val="16"/>
              </w:rPr>
              <w:t>Estados Unidos Mexicanos</w:t>
            </w:r>
          </w:p>
        </w:tc>
        <w:tc>
          <w:tcPr>
            <w:tcW w:w="1200" w:type="dxa"/>
            <w:tcBorders>
              <w:top w:val="nil"/>
              <w:left w:val="nil"/>
              <w:bottom w:val="nil"/>
              <w:right w:val="nil"/>
            </w:tcBorders>
            <w:shd w:val="clear" w:color="000000" w:fill="C0504D"/>
            <w:noWrap/>
            <w:vAlign w:val="center"/>
            <w:hideMark/>
          </w:tcPr>
          <w:p w14:paraId="20F578A2" w14:textId="77777777" w:rsidR="007F1285" w:rsidRPr="0075218F" w:rsidRDefault="007F1285" w:rsidP="00A659F7">
            <w:pPr>
              <w:spacing w:after="0" w:line="240" w:lineRule="auto"/>
              <w:jc w:val="right"/>
              <w:rPr>
                <w:rFonts w:ascii="Arial" w:hAnsi="Arial" w:cs="Arial"/>
                <w:b/>
                <w:bCs/>
                <w:color w:val="FFFFFF"/>
                <w:sz w:val="16"/>
                <w:szCs w:val="16"/>
              </w:rPr>
            </w:pPr>
            <w:r w:rsidRPr="0075218F">
              <w:rPr>
                <w:rFonts w:ascii="Arial" w:hAnsi="Arial" w:cs="Arial"/>
                <w:b/>
                <w:bCs/>
                <w:color w:val="FFFFFF"/>
                <w:sz w:val="16"/>
                <w:szCs w:val="16"/>
              </w:rPr>
              <w:t>35</w:t>
            </w:r>
            <w:r w:rsidR="00A659F7">
              <w:rPr>
                <w:rFonts w:ascii="Arial" w:hAnsi="Arial" w:cs="Arial"/>
                <w:b/>
                <w:bCs/>
                <w:color w:val="FFFFFF"/>
                <w:sz w:val="16"/>
                <w:szCs w:val="16"/>
              </w:rPr>
              <w:t xml:space="preserve"> </w:t>
            </w:r>
            <w:r w:rsidRPr="0075218F">
              <w:rPr>
                <w:rFonts w:ascii="Arial" w:hAnsi="Arial" w:cs="Arial"/>
                <w:b/>
                <w:bCs/>
                <w:color w:val="FFFFFF"/>
                <w:sz w:val="16"/>
                <w:szCs w:val="16"/>
              </w:rPr>
              <w:t>625</w:t>
            </w:r>
          </w:p>
        </w:tc>
        <w:tc>
          <w:tcPr>
            <w:tcW w:w="1201" w:type="dxa"/>
            <w:tcBorders>
              <w:top w:val="nil"/>
              <w:left w:val="nil"/>
              <w:bottom w:val="nil"/>
              <w:right w:val="nil"/>
            </w:tcBorders>
            <w:shd w:val="clear" w:color="000000" w:fill="C0504D"/>
            <w:noWrap/>
            <w:vAlign w:val="center"/>
            <w:hideMark/>
          </w:tcPr>
          <w:p w14:paraId="04219B19" w14:textId="77777777" w:rsidR="007F1285" w:rsidRPr="0075218F" w:rsidRDefault="007F1285" w:rsidP="00A659F7">
            <w:pPr>
              <w:spacing w:after="0" w:line="240" w:lineRule="auto"/>
              <w:jc w:val="right"/>
              <w:rPr>
                <w:rFonts w:ascii="Arial" w:hAnsi="Arial" w:cs="Arial"/>
                <w:b/>
                <w:bCs/>
                <w:color w:val="FFFFFF"/>
                <w:sz w:val="16"/>
                <w:szCs w:val="16"/>
              </w:rPr>
            </w:pPr>
            <w:r w:rsidRPr="0075218F">
              <w:rPr>
                <w:rFonts w:ascii="Arial" w:hAnsi="Arial" w:cs="Arial"/>
                <w:b/>
                <w:bCs/>
                <w:color w:val="FFFFFF"/>
                <w:sz w:val="16"/>
                <w:szCs w:val="16"/>
              </w:rPr>
              <w:t>31</w:t>
            </w:r>
            <w:r w:rsidR="00A659F7">
              <w:rPr>
                <w:rFonts w:ascii="Arial" w:hAnsi="Arial" w:cs="Arial"/>
                <w:b/>
                <w:bCs/>
                <w:color w:val="FFFFFF"/>
                <w:sz w:val="16"/>
                <w:szCs w:val="16"/>
              </w:rPr>
              <w:t xml:space="preserve"> </w:t>
            </w:r>
            <w:r w:rsidRPr="0075218F">
              <w:rPr>
                <w:rFonts w:ascii="Arial" w:hAnsi="Arial" w:cs="Arial"/>
                <w:b/>
                <w:bCs/>
                <w:color w:val="FFFFFF"/>
                <w:sz w:val="16"/>
                <w:szCs w:val="16"/>
              </w:rPr>
              <w:t>199</w:t>
            </w:r>
          </w:p>
        </w:tc>
        <w:tc>
          <w:tcPr>
            <w:tcW w:w="1200" w:type="dxa"/>
            <w:tcBorders>
              <w:top w:val="nil"/>
              <w:left w:val="nil"/>
              <w:bottom w:val="nil"/>
              <w:right w:val="nil"/>
            </w:tcBorders>
            <w:shd w:val="clear" w:color="000000" w:fill="C0504D"/>
            <w:noWrap/>
            <w:vAlign w:val="center"/>
            <w:hideMark/>
          </w:tcPr>
          <w:p w14:paraId="1847C30F" w14:textId="77777777" w:rsidR="007F1285" w:rsidRPr="0075218F" w:rsidRDefault="007F1285" w:rsidP="00A659F7">
            <w:pPr>
              <w:spacing w:after="0" w:line="240" w:lineRule="auto"/>
              <w:jc w:val="right"/>
              <w:rPr>
                <w:rFonts w:ascii="Arial" w:hAnsi="Arial" w:cs="Arial"/>
                <w:b/>
                <w:bCs/>
                <w:color w:val="FFFFFF"/>
                <w:sz w:val="16"/>
                <w:szCs w:val="16"/>
              </w:rPr>
            </w:pPr>
            <w:r w:rsidRPr="0075218F">
              <w:rPr>
                <w:rFonts w:ascii="Arial" w:hAnsi="Arial" w:cs="Arial"/>
                <w:b/>
                <w:bCs/>
                <w:color w:val="FFFFFF"/>
                <w:sz w:val="16"/>
                <w:szCs w:val="16"/>
              </w:rPr>
              <w:t>3</w:t>
            </w:r>
            <w:r w:rsidR="00A659F7">
              <w:rPr>
                <w:rFonts w:ascii="Arial" w:hAnsi="Arial" w:cs="Arial"/>
                <w:b/>
                <w:bCs/>
                <w:color w:val="FFFFFF"/>
                <w:sz w:val="16"/>
                <w:szCs w:val="16"/>
              </w:rPr>
              <w:t xml:space="preserve"> </w:t>
            </w:r>
            <w:r w:rsidRPr="0075218F">
              <w:rPr>
                <w:rFonts w:ascii="Arial" w:hAnsi="Arial" w:cs="Arial"/>
                <w:b/>
                <w:bCs/>
                <w:color w:val="FFFFFF"/>
                <w:sz w:val="16"/>
                <w:szCs w:val="16"/>
              </w:rPr>
              <w:t>991</w:t>
            </w:r>
          </w:p>
        </w:tc>
        <w:tc>
          <w:tcPr>
            <w:tcW w:w="1201" w:type="dxa"/>
            <w:tcBorders>
              <w:top w:val="nil"/>
              <w:left w:val="nil"/>
              <w:bottom w:val="nil"/>
              <w:right w:val="nil"/>
            </w:tcBorders>
            <w:shd w:val="clear" w:color="000000" w:fill="C0504D"/>
            <w:noWrap/>
            <w:vAlign w:val="center"/>
            <w:hideMark/>
          </w:tcPr>
          <w:p w14:paraId="1412DA0A" w14:textId="77777777" w:rsidR="007F1285" w:rsidRPr="0075218F" w:rsidRDefault="007F1285" w:rsidP="00CD49DD">
            <w:pPr>
              <w:spacing w:after="0" w:line="240" w:lineRule="auto"/>
              <w:jc w:val="right"/>
              <w:rPr>
                <w:rFonts w:ascii="Arial" w:hAnsi="Arial" w:cs="Arial"/>
                <w:b/>
                <w:bCs/>
                <w:color w:val="FFFFFF"/>
                <w:sz w:val="16"/>
                <w:szCs w:val="16"/>
              </w:rPr>
            </w:pPr>
            <w:r w:rsidRPr="0075218F">
              <w:rPr>
                <w:rFonts w:ascii="Arial" w:hAnsi="Arial" w:cs="Arial"/>
                <w:b/>
                <w:bCs/>
                <w:color w:val="FFFFFF"/>
                <w:sz w:val="16"/>
                <w:szCs w:val="16"/>
              </w:rPr>
              <w:t>435</w:t>
            </w:r>
          </w:p>
        </w:tc>
      </w:tr>
    </w:tbl>
    <w:p w14:paraId="5D9EFF72" w14:textId="77777777" w:rsidR="007F1285" w:rsidRDefault="007F1285" w:rsidP="00DC57AF">
      <w:pPr>
        <w:spacing w:after="0" w:line="240" w:lineRule="auto"/>
        <w:ind w:left="567" w:right="283" w:hanging="567"/>
        <w:jc w:val="both"/>
        <w:rPr>
          <w:rFonts w:ascii="Arial" w:hAnsi="Arial" w:cs="Arial"/>
          <w:sz w:val="14"/>
          <w:szCs w:val="14"/>
        </w:rPr>
      </w:pPr>
      <w:r>
        <w:rPr>
          <w:rFonts w:ascii="Arial" w:hAnsi="Arial" w:cs="Arial"/>
          <w:color w:val="000000"/>
          <w:sz w:val="14"/>
          <w:szCs w:val="14"/>
        </w:rPr>
        <w:t>Nota:</w:t>
      </w:r>
      <w:r>
        <w:rPr>
          <w:rFonts w:ascii="Arial" w:hAnsi="Arial" w:cs="Arial"/>
          <w:color w:val="000000"/>
          <w:sz w:val="14"/>
          <w:szCs w:val="14"/>
        </w:rPr>
        <w:tab/>
        <w:t xml:space="preserve">Comprende el total de registros con códigos de causa </w:t>
      </w:r>
      <w:r>
        <w:rPr>
          <w:rFonts w:ascii="Arial" w:hAnsi="Arial" w:cs="Arial"/>
          <w:sz w:val="14"/>
          <w:szCs w:val="14"/>
        </w:rPr>
        <w:t>básica para homicidios (X85-Y09) según la Clasificación Estadística Internacional de Enfermedades y Problemas Relacionados con la Salud, Décima Revisión. (CIE-10)</w:t>
      </w:r>
    </w:p>
    <w:p w14:paraId="37BAB0D3" w14:textId="047E4A9D" w:rsidR="007F1285" w:rsidRPr="00C61ACD" w:rsidRDefault="007F1285" w:rsidP="00865BFE">
      <w:pPr>
        <w:tabs>
          <w:tab w:val="left" w:pos="567"/>
        </w:tabs>
        <w:spacing w:after="0" w:line="240" w:lineRule="auto"/>
        <w:ind w:left="567" w:right="283" w:hanging="567"/>
        <w:jc w:val="both"/>
        <w:rPr>
          <w:rFonts w:ascii="Arial" w:hAnsi="Arial" w:cs="Arial"/>
          <w:bCs/>
          <w:sz w:val="14"/>
          <w:szCs w:val="14"/>
        </w:rPr>
      </w:pPr>
      <w:r w:rsidRPr="00C61ACD">
        <w:rPr>
          <w:rFonts w:ascii="Arial" w:hAnsi="Arial" w:cs="Arial"/>
          <w:bCs/>
          <w:sz w:val="14"/>
          <w:szCs w:val="14"/>
          <w:vertAlign w:val="superscript"/>
        </w:rPr>
        <w:t>p</w:t>
      </w:r>
      <w:r w:rsidRPr="00C61ACD">
        <w:rPr>
          <w:rFonts w:ascii="Arial" w:hAnsi="Arial" w:cs="Arial"/>
          <w:bCs/>
          <w:sz w:val="14"/>
          <w:szCs w:val="14"/>
        </w:rPr>
        <w:tab/>
        <w:t>Cifras preliminar</w:t>
      </w:r>
      <w:r>
        <w:rPr>
          <w:rFonts w:ascii="Arial" w:hAnsi="Arial" w:cs="Arial"/>
          <w:bCs/>
          <w:sz w:val="14"/>
          <w:szCs w:val="14"/>
        </w:rPr>
        <w:t xml:space="preserve">es (enero a diciembre 2021) con corte </w:t>
      </w:r>
      <w:r w:rsidRPr="00331198">
        <w:rPr>
          <w:rFonts w:ascii="Arial" w:hAnsi="Arial" w:cs="Arial"/>
          <w:bCs/>
          <w:sz w:val="14"/>
          <w:szCs w:val="14"/>
        </w:rPr>
        <w:t xml:space="preserve">al </w:t>
      </w:r>
      <w:r>
        <w:rPr>
          <w:rFonts w:ascii="Arial" w:hAnsi="Arial" w:cs="Arial"/>
          <w:bCs/>
          <w:sz w:val="14"/>
          <w:szCs w:val="14"/>
        </w:rPr>
        <w:t>15 de julio de 2022</w:t>
      </w:r>
      <w:r w:rsidR="00762748">
        <w:rPr>
          <w:rFonts w:ascii="Arial" w:hAnsi="Arial" w:cs="Arial"/>
          <w:bCs/>
          <w:sz w:val="14"/>
          <w:szCs w:val="14"/>
        </w:rPr>
        <w:t xml:space="preserve">: </w:t>
      </w:r>
      <w:r w:rsidRPr="00C61ACD">
        <w:rPr>
          <w:rFonts w:ascii="Arial" w:hAnsi="Arial" w:cs="Arial"/>
          <w:bCs/>
          <w:sz w:val="14"/>
          <w:szCs w:val="14"/>
        </w:rPr>
        <w:t>aún no concluyen los procesos de generación de la</w:t>
      </w:r>
      <w:r>
        <w:rPr>
          <w:rFonts w:ascii="Arial" w:hAnsi="Arial" w:cs="Arial"/>
          <w:bCs/>
          <w:sz w:val="14"/>
          <w:szCs w:val="14"/>
        </w:rPr>
        <w:t>s</w:t>
      </w:r>
      <w:r w:rsidRPr="00C61ACD">
        <w:rPr>
          <w:rFonts w:ascii="Arial" w:hAnsi="Arial" w:cs="Arial"/>
          <w:bCs/>
          <w:sz w:val="14"/>
          <w:szCs w:val="14"/>
        </w:rPr>
        <w:t xml:space="preserve"> estadística</w:t>
      </w:r>
      <w:r>
        <w:rPr>
          <w:rFonts w:ascii="Arial" w:hAnsi="Arial" w:cs="Arial"/>
          <w:bCs/>
          <w:sz w:val="14"/>
          <w:szCs w:val="14"/>
        </w:rPr>
        <w:t>s</w:t>
      </w:r>
      <w:r w:rsidRPr="00C61ACD">
        <w:rPr>
          <w:rFonts w:ascii="Arial" w:hAnsi="Arial" w:cs="Arial"/>
          <w:bCs/>
          <w:sz w:val="14"/>
          <w:szCs w:val="14"/>
        </w:rPr>
        <w:t xml:space="preserve"> de defunciones registradas.</w:t>
      </w:r>
    </w:p>
    <w:p w14:paraId="101E6486" w14:textId="522E1992" w:rsidR="007F1285" w:rsidRDefault="007F1285" w:rsidP="00865BFE">
      <w:pPr>
        <w:tabs>
          <w:tab w:val="left" w:pos="567"/>
        </w:tabs>
        <w:spacing w:after="0" w:line="240" w:lineRule="auto"/>
        <w:ind w:right="283"/>
        <w:jc w:val="both"/>
        <w:rPr>
          <w:rFonts w:ascii="Arial" w:hAnsi="Arial" w:cs="Arial"/>
          <w:color w:val="000000"/>
          <w:sz w:val="14"/>
          <w:szCs w:val="14"/>
        </w:rPr>
      </w:pPr>
      <w:r w:rsidRPr="00C61ACD">
        <w:rPr>
          <w:rFonts w:ascii="Arial" w:hAnsi="Arial" w:cs="Arial"/>
          <w:color w:val="000000"/>
          <w:sz w:val="14"/>
          <w:szCs w:val="14"/>
        </w:rPr>
        <w:t>Fuente:</w:t>
      </w:r>
      <w:r w:rsidRPr="00C61ACD">
        <w:rPr>
          <w:rFonts w:ascii="Arial" w:hAnsi="Arial" w:cs="Arial"/>
          <w:color w:val="000000"/>
          <w:sz w:val="14"/>
          <w:szCs w:val="14"/>
        </w:rPr>
        <w:tab/>
      </w:r>
      <w:r w:rsidRPr="00BD7ACC">
        <w:rPr>
          <w:rFonts w:ascii="Arial" w:hAnsi="Arial" w:cs="Arial"/>
          <w:color w:val="000000"/>
          <w:sz w:val="14"/>
          <w:szCs w:val="14"/>
        </w:rPr>
        <w:t>INEGI</w:t>
      </w:r>
      <w:r w:rsidRPr="00C61ACD">
        <w:rPr>
          <w:rFonts w:ascii="Arial" w:hAnsi="Arial" w:cs="Arial"/>
          <w:b/>
          <w:bCs/>
          <w:color w:val="000000"/>
          <w:sz w:val="14"/>
          <w:szCs w:val="14"/>
        </w:rPr>
        <w:t>.</w:t>
      </w:r>
      <w:r w:rsidRPr="00C61ACD">
        <w:rPr>
          <w:rFonts w:ascii="Arial" w:hAnsi="Arial" w:cs="Arial"/>
          <w:color w:val="000000"/>
          <w:sz w:val="14"/>
          <w:szCs w:val="14"/>
        </w:rPr>
        <w:t xml:space="preserve"> Estadísticas Vitales.</w:t>
      </w:r>
      <w:r>
        <w:rPr>
          <w:rFonts w:ascii="Arial" w:hAnsi="Arial" w:cs="Arial"/>
          <w:color w:val="000000"/>
          <w:sz w:val="14"/>
          <w:szCs w:val="14"/>
        </w:rPr>
        <w:t xml:space="preserve"> </w:t>
      </w:r>
      <w:r w:rsidR="00476316">
        <w:rPr>
          <w:rFonts w:ascii="Arial" w:hAnsi="Arial" w:cs="Arial"/>
          <w:color w:val="000000"/>
          <w:sz w:val="14"/>
          <w:szCs w:val="14"/>
        </w:rPr>
        <w:t xml:space="preserve">Estadísticas de </w:t>
      </w:r>
      <w:r>
        <w:rPr>
          <w:rFonts w:ascii="Arial" w:hAnsi="Arial" w:cs="Arial"/>
          <w:color w:val="000000"/>
          <w:sz w:val="14"/>
          <w:szCs w:val="14"/>
        </w:rPr>
        <w:t xml:space="preserve">Defunciones </w:t>
      </w:r>
      <w:r w:rsidR="00BE3984">
        <w:rPr>
          <w:rFonts w:ascii="Arial" w:hAnsi="Arial" w:cs="Arial"/>
          <w:color w:val="000000"/>
          <w:sz w:val="14"/>
          <w:szCs w:val="14"/>
        </w:rPr>
        <w:t>R</w:t>
      </w:r>
      <w:r>
        <w:rPr>
          <w:rFonts w:ascii="Arial" w:hAnsi="Arial" w:cs="Arial"/>
          <w:color w:val="000000"/>
          <w:sz w:val="14"/>
          <w:szCs w:val="14"/>
        </w:rPr>
        <w:t>egistradas</w:t>
      </w:r>
    </w:p>
    <w:p w14:paraId="7903224C" w14:textId="77777777" w:rsidR="007F1285" w:rsidRDefault="007F1285" w:rsidP="007F1285">
      <w:pPr>
        <w:tabs>
          <w:tab w:val="left" w:pos="567"/>
        </w:tabs>
        <w:spacing w:after="0" w:line="240" w:lineRule="auto"/>
        <w:ind w:right="-567"/>
        <w:jc w:val="both"/>
        <w:rPr>
          <w:rFonts w:ascii="Arial" w:hAnsi="Arial" w:cs="Arial"/>
          <w:color w:val="000000"/>
          <w:sz w:val="14"/>
          <w:szCs w:val="14"/>
        </w:rPr>
      </w:pPr>
    </w:p>
    <w:p w14:paraId="0847B19A" w14:textId="77777777" w:rsidR="007F1285" w:rsidRDefault="007F1285" w:rsidP="007F1285">
      <w:pPr>
        <w:tabs>
          <w:tab w:val="left" w:pos="567"/>
        </w:tabs>
        <w:spacing w:after="0" w:line="240" w:lineRule="auto"/>
        <w:ind w:right="-567"/>
        <w:jc w:val="both"/>
        <w:rPr>
          <w:rFonts w:ascii="Arial" w:hAnsi="Arial" w:cs="Arial"/>
          <w:color w:val="000000"/>
          <w:sz w:val="14"/>
          <w:szCs w:val="14"/>
        </w:rPr>
      </w:pPr>
    </w:p>
    <w:p w14:paraId="41751B51" w14:textId="477D6D6F" w:rsidR="007F1285" w:rsidRPr="00BD7ACC" w:rsidRDefault="007F1285" w:rsidP="00BD7ACC">
      <w:pPr>
        <w:tabs>
          <w:tab w:val="left" w:pos="567"/>
        </w:tabs>
        <w:spacing w:after="0" w:line="240" w:lineRule="auto"/>
        <w:ind w:left="-142" w:right="-137"/>
        <w:jc w:val="both"/>
        <w:rPr>
          <w:rFonts w:ascii="Arial" w:hAnsi="Arial" w:cs="Arial"/>
          <w:sz w:val="24"/>
          <w:szCs w:val="24"/>
        </w:rPr>
      </w:pPr>
      <w:r w:rsidRPr="00BD7ACC">
        <w:rPr>
          <w:rFonts w:ascii="Arial" w:hAnsi="Arial" w:cs="Arial"/>
          <w:sz w:val="24"/>
          <w:szCs w:val="24"/>
        </w:rPr>
        <w:t xml:space="preserve">Las agresiones por medios no especificados </w:t>
      </w:r>
      <w:r w:rsidR="00762748">
        <w:rPr>
          <w:rFonts w:ascii="Arial" w:hAnsi="Arial" w:cs="Arial"/>
          <w:sz w:val="24"/>
          <w:szCs w:val="24"/>
        </w:rPr>
        <w:t xml:space="preserve">se consignaron </w:t>
      </w:r>
      <w:r w:rsidRPr="00BD7ACC">
        <w:rPr>
          <w:rFonts w:ascii="Arial" w:hAnsi="Arial" w:cs="Arial"/>
          <w:sz w:val="24"/>
          <w:szCs w:val="24"/>
        </w:rPr>
        <w:t>en el certificado de defunción durante el proceso de certificación</w:t>
      </w:r>
      <w:r w:rsidR="00762748">
        <w:rPr>
          <w:rFonts w:ascii="Arial" w:hAnsi="Arial" w:cs="Arial"/>
          <w:sz w:val="24"/>
          <w:szCs w:val="24"/>
        </w:rPr>
        <w:t>. Lo anterior</w:t>
      </w:r>
      <w:r w:rsidRPr="00BD7ACC">
        <w:rPr>
          <w:rFonts w:ascii="Arial" w:hAnsi="Arial" w:cs="Arial"/>
          <w:sz w:val="24"/>
          <w:szCs w:val="24"/>
        </w:rPr>
        <w:t xml:space="preserve"> </w:t>
      </w:r>
      <w:r w:rsidR="0082739A" w:rsidRPr="00BD7ACC">
        <w:rPr>
          <w:rFonts w:ascii="Arial" w:hAnsi="Arial" w:cs="Arial"/>
          <w:sz w:val="24"/>
          <w:szCs w:val="24"/>
        </w:rPr>
        <w:t>por</w:t>
      </w:r>
      <w:r w:rsidR="00762748">
        <w:rPr>
          <w:rFonts w:ascii="Arial" w:hAnsi="Arial" w:cs="Arial"/>
          <w:sz w:val="24"/>
          <w:szCs w:val="24"/>
        </w:rPr>
        <w:t xml:space="preserve">que no fue posible identificar </w:t>
      </w:r>
      <w:r w:rsidRPr="00BD7ACC">
        <w:rPr>
          <w:rFonts w:ascii="Arial" w:hAnsi="Arial" w:cs="Arial"/>
          <w:sz w:val="24"/>
          <w:szCs w:val="24"/>
        </w:rPr>
        <w:t>el medio</w:t>
      </w:r>
      <w:r w:rsidR="00762748">
        <w:rPr>
          <w:rFonts w:ascii="Arial" w:hAnsi="Arial" w:cs="Arial"/>
          <w:sz w:val="24"/>
          <w:szCs w:val="24"/>
        </w:rPr>
        <w:t xml:space="preserve"> que la o el agresor utilizó </w:t>
      </w:r>
      <w:r w:rsidRPr="00BD7ACC">
        <w:rPr>
          <w:rFonts w:ascii="Arial" w:hAnsi="Arial" w:cs="Arial"/>
          <w:sz w:val="24"/>
          <w:szCs w:val="24"/>
        </w:rPr>
        <w:t>para generar la lesión que condujo a la muerte de la persona.</w:t>
      </w:r>
    </w:p>
    <w:p w14:paraId="44A5B902" w14:textId="415C09B9" w:rsidR="00631008" w:rsidRPr="00BD7ACC" w:rsidRDefault="00631008" w:rsidP="00631008">
      <w:pPr>
        <w:spacing w:before="360"/>
        <w:ind w:left="-284" w:right="425"/>
        <w:jc w:val="center"/>
        <w:rPr>
          <w:rFonts w:ascii="Arial" w:hAnsi="Arial" w:cs="Arial"/>
          <w:b/>
          <w:sz w:val="24"/>
          <w:szCs w:val="24"/>
        </w:rPr>
      </w:pPr>
    </w:p>
    <w:p w14:paraId="02EDD175" w14:textId="77777777" w:rsidR="00FF2233" w:rsidRPr="00FF2233" w:rsidRDefault="00FF2233" w:rsidP="00631008">
      <w:pPr>
        <w:spacing w:before="360"/>
        <w:ind w:left="-284" w:right="425"/>
        <w:jc w:val="center"/>
        <w:rPr>
          <w:rFonts w:ascii="Arial" w:hAnsi="Arial" w:cs="Arial"/>
          <w:b/>
        </w:rPr>
      </w:pPr>
    </w:p>
    <w:p w14:paraId="716ED4D1" w14:textId="621969F5" w:rsidR="00B6332B" w:rsidRPr="00BD7ACC" w:rsidRDefault="00B6332B" w:rsidP="00842481">
      <w:pPr>
        <w:pStyle w:val="p0"/>
        <w:spacing w:before="0"/>
        <w:ind w:left="-142" w:right="-137"/>
        <w:rPr>
          <w:rFonts w:cs="Arial"/>
          <w:bCs/>
          <w:color w:val="auto"/>
          <w:szCs w:val="24"/>
          <w:lang w:val="es-MX"/>
        </w:rPr>
      </w:pPr>
      <w:r w:rsidRPr="00BD7ACC">
        <w:rPr>
          <w:rFonts w:cs="Arial"/>
          <w:bCs/>
          <w:color w:val="auto"/>
          <w:szCs w:val="24"/>
          <w:lang w:val="es-MX"/>
        </w:rPr>
        <w:lastRenderedPageBreak/>
        <w:t xml:space="preserve">Además de la información que se presenta en este comunicado, el INEGI pone a disposición de </w:t>
      </w:r>
      <w:r w:rsidR="00F72CCD">
        <w:rPr>
          <w:rFonts w:cs="Arial"/>
          <w:bCs/>
          <w:color w:val="auto"/>
          <w:szCs w:val="24"/>
          <w:lang w:val="es-MX"/>
        </w:rPr>
        <w:t xml:space="preserve">las y </w:t>
      </w:r>
      <w:r w:rsidRPr="00BD7ACC">
        <w:rPr>
          <w:rFonts w:cs="Arial"/>
          <w:bCs/>
          <w:color w:val="auto"/>
          <w:szCs w:val="24"/>
          <w:lang w:val="es-MX"/>
        </w:rPr>
        <w:t>los usuarios los tabulados interactivos de las estadísticas de defunciones por homicidio con las cifras</w:t>
      </w:r>
      <w:r w:rsidRPr="00BD7ACC">
        <w:rPr>
          <w:rFonts w:cs="Arial"/>
          <w:bCs/>
          <w:color w:val="000000"/>
          <w:szCs w:val="24"/>
          <w:lang w:val="es-MX"/>
        </w:rPr>
        <w:t xml:space="preserve"> preliminares </w:t>
      </w:r>
      <w:r w:rsidRPr="00BD7ACC">
        <w:rPr>
          <w:rFonts w:cs="Arial"/>
          <w:bCs/>
          <w:color w:val="auto"/>
          <w:szCs w:val="24"/>
          <w:lang w:val="es-MX"/>
        </w:rPr>
        <w:t xml:space="preserve">de 2021. </w:t>
      </w:r>
      <w:r w:rsidR="00F72CCD">
        <w:rPr>
          <w:rFonts w:cs="Arial"/>
          <w:bCs/>
          <w:color w:val="auto"/>
          <w:szCs w:val="24"/>
          <w:lang w:val="es-MX"/>
        </w:rPr>
        <w:t xml:space="preserve">Mediante </w:t>
      </w:r>
      <w:r w:rsidRPr="00BD7ACC">
        <w:rPr>
          <w:rFonts w:cs="Arial"/>
          <w:bCs/>
          <w:color w:val="auto"/>
          <w:szCs w:val="24"/>
          <w:lang w:val="es-MX"/>
        </w:rPr>
        <w:t>esta herramienta interactiva,</w:t>
      </w:r>
      <w:r w:rsidRPr="00BD7ACC">
        <w:rPr>
          <w:rFonts w:cs="Arial"/>
          <w:bCs/>
          <w:color w:val="FF0000"/>
          <w:szCs w:val="24"/>
          <w:lang w:val="es-MX"/>
        </w:rPr>
        <w:t xml:space="preserve"> </w:t>
      </w:r>
      <w:r w:rsidR="00F72CCD" w:rsidRPr="00BD7ACC">
        <w:rPr>
          <w:rFonts w:cs="Arial"/>
          <w:bCs/>
          <w:color w:val="000000" w:themeColor="text1"/>
          <w:szCs w:val="24"/>
          <w:lang w:val="es-MX"/>
        </w:rPr>
        <w:t>las y</w:t>
      </w:r>
      <w:r w:rsidR="00F72CCD">
        <w:rPr>
          <w:rFonts w:cs="Arial"/>
          <w:bCs/>
          <w:color w:val="FF0000"/>
          <w:szCs w:val="24"/>
          <w:lang w:val="es-MX"/>
        </w:rPr>
        <w:t xml:space="preserve"> </w:t>
      </w:r>
      <w:r w:rsidRPr="00BD7ACC">
        <w:rPr>
          <w:rFonts w:cs="Arial"/>
          <w:bCs/>
          <w:color w:val="auto"/>
          <w:szCs w:val="24"/>
          <w:lang w:val="es-MX"/>
        </w:rPr>
        <w:t>los usuarios podrán consultar la información sobre homicidios con diversas características, tales como la desagregación por municipio</w:t>
      </w:r>
      <w:r w:rsidR="00BE3984" w:rsidRPr="00BD7ACC">
        <w:rPr>
          <w:rFonts w:cs="Arial"/>
          <w:bCs/>
          <w:color w:val="auto"/>
          <w:szCs w:val="24"/>
          <w:lang w:val="es-MX"/>
        </w:rPr>
        <w:t xml:space="preserve"> y</w:t>
      </w:r>
      <w:r w:rsidRPr="00BD7ACC">
        <w:rPr>
          <w:rFonts w:cs="Arial"/>
          <w:bCs/>
          <w:color w:val="auto"/>
          <w:szCs w:val="24"/>
          <w:lang w:val="es-MX"/>
        </w:rPr>
        <w:t xml:space="preserve"> causa básica de la defunción, entre otras.</w:t>
      </w:r>
    </w:p>
    <w:p w14:paraId="43E73862" w14:textId="77777777" w:rsidR="00B6332B" w:rsidRPr="00BD7ACC" w:rsidRDefault="00B6332B" w:rsidP="00842481">
      <w:pPr>
        <w:pStyle w:val="p0"/>
        <w:spacing w:before="0"/>
        <w:ind w:left="-142" w:right="-137"/>
        <w:rPr>
          <w:rFonts w:cs="Arial"/>
          <w:bCs/>
          <w:color w:val="auto"/>
          <w:szCs w:val="24"/>
          <w:lang w:val="es-MX"/>
        </w:rPr>
      </w:pPr>
    </w:p>
    <w:p w14:paraId="186AD528" w14:textId="77777777" w:rsidR="00B6332B" w:rsidRPr="00BD7ACC" w:rsidRDefault="00B6332B" w:rsidP="00842481">
      <w:pPr>
        <w:spacing w:after="0" w:line="240" w:lineRule="auto"/>
        <w:ind w:left="-142" w:right="-137"/>
        <w:jc w:val="both"/>
        <w:rPr>
          <w:rFonts w:ascii="Arial" w:hAnsi="Arial" w:cs="Arial"/>
          <w:sz w:val="24"/>
          <w:szCs w:val="24"/>
        </w:rPr>
      </w:pPr>
      <w:r w:rsidRPr="00BD7ACC">
        <w:rPr>
          <w:rFonts w:ascii="Arial" w:hAnsi="Arial" w:cs="Arial"/>
          <w:bCs/>
          <w:color w:val="000000"/>
          <w:sz w:val="24"/>
          <w:szCs w:val="24"/>
        </w:rPr>
        <w:t xml:space="preserve">Esta información puede consultarse en la siguiente página del INEGI: </w:t>
      </w:r>
      <w:hyperlink r:id="rId16" w:history="1">
        <w:r w:rsidR="00F117DF" w:rsidRPr="00BD7ACC">
          <w:rPr>
            <w:rStyle w:val="Hipervnculo"/>
            <w:rFonts w:ascii="Arial" w:hAnsi="Arial" w:cs="Arial"/>
            <w:sz w:val="24"/>
            <w:szCs w:val="24"/>
          </w:rPr>
          <w:t>https://www.inegi.org.mx/sistemas/olap/proyectos/bd/continuas/mortalidad/defuncioneshom.asp?s=est&amp;c=28820&amp;proy=mortgral_dh</w:t>
        </w:r>
      </w:hyperlink>
    </w:p>
    <w:p w14:paraId="558012EE" w14:textId="77777777" w:rsidR="00B6332B" w:rsidRDefault="00B6332B" w:rsidP="00B6332B">
      <w:pPr>
        <w:spacing w:after="0" w:line="240" w:lineRule="auto"/>
        <w:ind w:left="-426" w:right="567"/>
        <w:jc w:val="both"/>
        <w:rPr>
          <w:rFonts w:ascii="Arial" w:hAnsi="Arial" w:cs="Arial"/>
          <w:sz w:val="24"/>
          <w:szCs w:val="24"/>
        </w:rPr>
      </w:pPr>
    </w:p>
    <w:p w14:paraId="5E230ADF" w14:textId="0164EF3F" w:rsidR="00BE3984" w:rsidRDefault="00BE3984" w:rsidP="00F117DF">
      <w:pPr>
        <w:spacing w:before="360"/>
        <w:ind w:right="425"/>
        <w:jc w:val="center"/>
        <w:rPr>
          <w:rFonts w:ascii="Arial" w:hAnsi="Arial" w:cs="Arial"/>
          <w:b/>
          <w:bCs/>
          <w:sz w:val="24"/>
          <w:szCs w:val="24"/>
          <w:lang w:eastAsia="es-ES"/>
        </w:rPr>
      </w:pPr>
    </w:p>
    <w:p w14:paraId="183AFC63" w14:textId="29F113CC" w:rsidR="00BE3984" w:rsidRDefault="00BE3984" w:rsidP="00F117DF">
      <w:pPr>
        <w:spacing w:before="360"/>
        <w:ind w:right="425"/>
        <w:jc w:val="center"/>
        <w:rPr>
          <w:rFonts w:ascii="Arial" w:hAnsi="Arial" w:cs="Arial"/>
          <w:b/>
          <w:bCs/>
          <w:sz w:val="24"/>
          <w:szCs w:val="24"/>
          <w:lang w:eastAsia="es-ES"/>
        </w:rPr>
      </w:pPr>
    </w:p>
    <w:p w14:paraId="20913012" w14:textId="7CEDF226" w:rsidR="00BE3984" w:rsidRDefault="00BE3984" w:rsidP="00F117DF">
      <w:pPr>
        <w:spacing w:before="360"/>
        <w:ind w:right="425"/>
        <w:jc w:val="center"/>
        <w:rPr>
          <w:rFonts w:ascii="Arial" w:hAnsi="Arial" w:cs="Arial"/>
          <w:b/>
          <w:bCs/>
          <w:sz w:val="24"/>
          <w:szCs w:val="24"/>
          <w:lang w:eastAsia="es-ES"/>
        </w:rPr>
      </w:pPr>
    </w:p>
    <w:p w14:paraId="4F6F8890" w14:textId="04D6DC00" w:rsidR="00BE3984" w:rsidRDefault="00BE3984" w:rsidP="00F117DF">
      <w:pPr>
        <w:spacing w:before="360"/>
        <w:ind w:right="425"/>
        <w:jc w:val="center"/>
        <w:rPr>
          <w:rFonts w:ascii="Arial" w:hAnsi="Arial" w:cs="Arial"/>
          <w:b/>
          <w:bCs/>
          <w:sz w:val="24"/>
          <w:szCs w:val="24"/>
          <w:lang w:eastAsia="es-ES"/>
        </w:rPr>
      </w:pPr>
    </w:p>
    <w:p w14:paraId="41C29DC1" w14:textId="622ABFF7" w:rsidR="00BE3984" w:rsidRDefault="00BE3984" w:rsidP="00F117DF">
      <w:pPr>
        <w:spacing w:before="360"/>
        <w:ind w:right="425"/>
        <w:jc w:val="center"/>
        <w:rPr>
          <w:rFonts w:ascii="Arial" w:hAnsi="Arial" w:cs="Arial"/>
          <w:b/>
          <w:bCs/>
          <w:sz w:val="24"/>
          <w:szCs w:val="24"/>
          <w:lang w:eastAsia="es-ES"/>
        </w:rPr>
      </w:pPr>
    </w:p>
    <w:p w14:paraId="1D13522E" w14:textId="77777777" w:rsidR="00BE3984" w:rsidRPr="00B6332B" w:rsidRDefault="00BE3984" w:rsidP="00F117DF">
      <w:pPr>
        <w:spacing w:before="360"/>
        <w:ind w:right="425"/>
        <w:jc w:val="center"/>
        <w:rPr>
          <w:rFonts w:ascii="Arial" w:hAnsi="Arial" w:cs="Arial"/>
          <w:b/>
          <w:bCs/>
          <w:sz w:val="24"/>
          <w:szCs w:val="24"/>
          <w:lang w:eastAsia="es-ES"/>
        </w:rPr>
      </w:pPr>
    </w:p>
    <w:p w14:paraId="4FA3898E" w14:textId="77777777" w:rsidR="00B6332B" w:rsidRDefault="00B6332B" w:rsidP="00631008">
      <w:pPr>
        <w:spacing w:before="360"/>
        <w:ind w:left="-284" w:right="425"/>
        <w:jc w:val="center"/>
        <w:rPr>
          <w:rFonts w:ascii="Arial" w:hAnsi="Arial" w:cs="Arial"/>
          <w:b/>
          <w:sz w:val="28"/>
          <w:szCs w:val="28"/>
        </w:rPr>
      </w:pPr>
    </w:p>
    <w:p w14:paraId="4FE0DA70" w14:textId="77777777" w:rsidR="00631008" w:rsidRPr="00857214" w:rsidRDefault="00631008" w:rsidP="00631008">
      <w:pPr>
        <w:pStyle w:val="NormalWeb"/>
        <w:spacing w:before="0" w:beforeAutospacing="0" w:after="0" w:afterAutospacing="0"/>
        <w:ind w:left="-567" w:right="-142"/>
        <w:contextualSpacing/>
        <w:jc w:val="center"/>
        <w:rPr>
          <w:rFonts w:ascii="Arial" w:hAnsi="Arial" w:cs="Arial"/>
          <w:sz w:val="22"/>
          <w:szCs w:val="22"/>
        </w:rPr>
      </w:pPr>
      <w:r w:rsidRPr="00857214">
        <w:rPr>
          <w:rFonts w:ascii="Arial" w:hAnsi="Arial" w:cs="Arial"/>
          <w:sz w:val="22"/>
          <w:szCs w:val="22"/>
        </w:rPr>
        <w:t xml:space="preserve">Para consultas de medios y periodistas, contactar a: </w:t>
      </w:r>
      <w:hyperlink r:id="rId17" w:history="1">
        <w:r w:rsidRPr="00857214">
          <w:rPr>
            <w:rStyle w:val="Hipervnculo"/>
            <w:rFonts w:ascii="Arial" w:hAnsi="Arial" w:cs="Arial"/>
            <w:sz w:val="22"/>
            <w:szCs w:val="22"/>
          </w:rPr>
          <w:t>comunicacionsocial@inegi.org.mx</w:t>
        </w:r>
      </w:hyperlink>
      <w:r w:rsidRPr="00857214">
        <w:rPr>
          <w:rFonts w:ascii="Arial" w:hAnsi="Arial" w:cs="Arial"/>
          <w:sz w:val="22"/>
          <w:szCs w:val="22"/>
        </w:rPr>
        <w:t xml:space="preserve"> </w:t>
      </w:r>
    </w:p>
    <w:p w14:paraId="0028C9F7" w14:textId="77777777" w:rsidR="00631008" w:rsidRPr="00857214" w:rsidRDefault="00631008" w:rsidP="00F117DF">
      <w:pPr>
        <w:pStyle w:val="NormalWeb"/>
        <w:spacing w:before="0" w:beforeAutospacing="0" w:after="0" w:afterAutospacing="0"/>
        <w:ind w:right="-142"/>
        <w:contextualSpacing/>
        <w:jc w:val="center"/>
        <w:rPr>
          <w:rFonts w:ascii="Arial" w:hAnsi="Arial" w:cs="Arial"/>
          <w:sz w:val="22"/>
          <w:szCs w:val="22"/>
        </w:rPr>
      </w:pPr>
      <w:r w:rsidRPr="00857214">
        <w:rPr>
          <w:rFonts w:ascii="Arial" w:hAnsi="Arial" w:cs="Arial"/>
          <w:sz w:val="22"/>
          <w:szCs w:val="22"/>
        </w:rPr>
        <w:t>o llamar al teléfono (55) 52-78-10-00, exts. 1134, 1260 y 1241.</w:t>
      </w:r>
    </w:p>
    <w:p w14:paraId="37D8C2F3" w14:textId="77777777" w:rsidR="00631008" w:rsidRPr="00857214" w:rsidRDefault="00631008" w:rsidP="00631008">
      <w:pPr>
        <w:spacing w:after="0" w:line="240" w:lineRule="auto"/>
        <w:ind w:left="-567" w:right="-142"/>
        <w:contextualSpacing/>
        <w:jc w:val="center"/>
        <w:rPr>
          <w:rFonts w:ascii="Arial" w:hAnsi="Arial" w:cs="Arial"/>
        </w:rPr>
      </w:pPr>
      <w:r w:rsidRPr="00857214">
        <w:rPr>
          <w:rFonts w:ascii="Arial" w:hAnsi="Arial" w:cs="Arial"/>
        </w:rPr>
        <w:t xml:space="preserve">Dirección de Atención a Medios / Dirección General Adjunta de Comunicación </w:t>
      </w:r>
    </w:p>
    <w:p w14:paraId="11BBC34B" w14:textId="77777777" w:rsidR="00631008" w:rsidRDefault="00631008" w:rsidP="00631008">
      <w:pPr>
        <w:spacing w:after="0" w:line="240" w:lineRule="auto"/>
        <w:ind w:left="-567" w:right="-142"/>
        <w:contextualSpacing/>
        <w:jc w:val="center"/>
        <w:rPr>
          <w:rFonts w:ascii="Arial" w:hAnsi="Arial" w:cs="Arial"/>
        </w:rPr>
      </w:pPr>
    </w:p>
    <w:p w14:paraId="6B3FBC08" w14:textId="77777777" w:rsidR="00631008" w:rsidRPr="001E27B1" w:rsidRDefault="00631008" w:rsidP="00F117DF">
      <w:pPr>
        <w:spacing w:after="0" w:line="240" w:lineRule="auto"/>
        <w:ind w:right="-516"/>
        <w:contextualSpacing/>
        <w:jc w:val="center"/>
        <w:rPr>
          <w:rFonts w:ascii="Arial" w:hAnsi="Arial" w:cs="Arial"/>
        </w:rPr>
      </w:pPr>
    </w:p>
    <w:p w14:paraId="071D6A0F" w14:textId="28E7D4FF" w:rsidR="00631008" w:rsidRPr="008F0992" w:rsidRDefault="00631008" w:rsidP="00F117DF">
      <w:pPr>
        <w:ind w:right="-516"/>
        <w:contextualSpacing/>
        <w:rPr>
          <w:noProof/>
        </w:rPr>
      </w:pPr>
      <w:r>
        <w:t xml:space="preserve">                                             </w:t>
      </w:r>
      <w:r w:rsidR="00A43E2F" w:rsidRPr="007D7DBD">
        <w:rPr>
          <w:noProof/>
        </w:rPr>
        <w:drawing>
          <wp:inline distT="0" distB="0" distL="0" distR="0" wp14:anchorId="5EDC4087" wp14:editId="0641E481">
            <wp:extent cx="317500" cy="323850"/>
            <wp:effectExtent l="0" t="0" r="0" b="0"/>
            <wp:docPr id="1" name="Imagen 5" descr="C:\Users\saladeprensa\Desktop\NVOS LOGOS\F.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saladeprensa\Desktop\NVOS LOGOS\F.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7500" cy="323850"/>
                    </a:xfrm>
                    <a:prstGeom prst="rect">
                      <a:avLst/>
                    </a:prstGeom>
                    <a:noFill/>
                    <a:ln>
                      <a:noFill/>
                    </a:ln>
                  </pic:spPr>
                </pic:pic>
              </a:graphicData>
            </a:graphic>
          </wp:inline>
        </w:drawing>
      </w:r>
      <w:r>
        <w:rPr>
          <w:noProof/>
        </w:rPr>
        <w:t xml:space="preserve"> </w:t>
      </w:r>
      <w:r w:rsidR="00A43E2F" w:rsidRPr="007D7DBD">
        <w:rPr>
          <w:noProof/>
        </w:rPr>
        <w:drawing>
          <wp:inline distT="0" distB="0" distL="0" distR="0" wp14:anchorId="42A46A9D" wp14:editId="7C106B55">
            <wp:extent cx="330200" cy="323850"/>
            <wp:effectExtent l="0" t="0" r="0" b="0"/>
            <wp:docPr id="7" name="Imagen 7" descr="C:\Users\saladeprensa\Desktop\NVOS LOGOS\I.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I.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0200" cy="323850"/>
                    </a:xfrm>
                    <a:prstGeom prst="rect">
                      <a:avLst/>
                    </a:prstGeom>
                    <a:noFill/>
                    <a:ln>
                      <a:noFill/>
                    </a:ln>
                  </pic:spPr>
                </pic:pic>
              </a:graphicData>
            </a:graphic>
          </wp:inline>
        </w:drawing>
      </w:r>
      <w:r>
        <w:rPr>
          <w:noProof/>
        </w:rPr>
        <w:t xml:space="preserve"> </w:t>
      </w:r>
      <w:r w:rsidR="00A43E2F" w:rsidRPr="007D7DBD">
        <w:rPr>
          <w:noProof/>
        </w:rPr>
        <w:drawing>
          <wp:inline distT="0" distB="0" distL="0" distR="0" wp14:anchorId="389ACE45" wp14:editId="7D67A8E0">
            <wp:extent cx="323850" cy="323850"/>
            <wp:effectExtent l="0" t="0" r="0" b="0"/>
            <wp:docPr id="8" name="Imagen 28" descr="C:\Users\saladeprensa\Desktop\NVOS LOGOS\T.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C:\Users\saladeprensa\Desktop\NVOS LOGOS\T.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noProof/>
        </w:rPr>
        <w:t xml:space="preserve"> </w:t>
      </w:r>
      <w:r w:rsidR="00A43E2F" w:rsidRPr="007D7DBD">
        <w:rPr>
          <w:noProof/>
        </w:rPr>
        <w:drawing>
          <wp:inline distT="0" distB="0" distL="0" distR="0" wp14:anchorId="25E8009D" wp14:editId="3722C6D1">
            <wp:extent cx="323850" cy="323850"/>
            <wp:effectExtent l="0" t="0" r="0" b="0"/>
            <wp:docPr id="9" name="Imagen 30" descr="C:\Users\saladeprensa\Desktop\NVOS LOGOS\Y.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C:\Users\saladeprensa\Desktop\NVOS LOGOS\Y.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noProof/>
        </w:rPr>
        <w:t xml:space="preserve">  </w:t>
      </w:r>
      <w:r w:rsidR="00A43E2F" w:rsidRPr="00C94368">
        <w:rPr>
          <w:noProof/>
          <w:sz w:val="14"/>
          <w:szCs w:val="18"/>
        </w:rPr>
        <w:drawing>
          <wp:inline distT="0" distB="0" distL="0" distR="0" wp14:anchorId="506C4ED1" wp14:editId="344ED970">
            <wp:extent cx="2324100" cy="317500"/>
            <wp:effectExtent l="0" t="0" r="0" b="0"/>
            <wp:docPr id="10" name="Imagen 3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24100" cy="317500"/>
                    </a:xfrm>
                    <a:prstGeom prst="rect">
                      <a:avLst/>
                    </a:prstGeom>
                    <a:noFill/>
                    <a:ln>
                      <a:noFill/>
                    </a:ln>
                  </pic:spPr>
                </pic:pic>
              </a:graphicData>
            </a:graphic>
          </wp:inline>
        </w:drawing>
      </w:r>
    </w:p>
    <w:p w14:paraId="0E7A6B56" w14:textId="77777777" w:rsidR="00631008" w:rsidRDefault="00631008" w:rsidP="00F117DF">
      <w:pPr>
        <w:spacing w:before="360"/>
        <w:ind w:right="425"/>
        <w:jc w:val="center"/>
        <w:rPr>
          <w:rFonts w:ascii="Arial" w:hAnsi="Arial" w:cs="Arial"/>
          <w:b/>
          <w:sz w:val="28"/>
          <w:szCs w:val="28"/>
        </w:rPr>
      </w:pPr>
    </w:p>
    <w:p w14:paraId="09748A54" w14:textId="77777777" w:rsidR="00631008" w:rsidRDefault="00631008" w:rsidP="00631008">
      <w:pPr>
        <w:spacing w:before="360"/>
        <w:ind w:left="-284" w:right="425"/>
        <w:jc w:val="center"/>
        <w:rPr>
          <w:rFonts w:ascii="Arial" w:hAnsi="Arial" w:cs="Arial"/>
          <w:b/>
          <w:sz w:val="28"/>
          <w:szCs w:val="28"/>
        </w:rPr>
      </w:pPr>
    </w:p>
    <w:p w14:paraId="56EB61F3" w14:textId="77777777" w:rsidR="00631008" w:rsidRDefault="00631008" w:rsidP="00631008">
      <w:pPr>
        <w:spacing w:before="360"/>
        <w:ind w:left="-284" w:right="425"/>
        <w:jc w:val="center"/>
        <w:rPr>
          <w:rFonts w:ascii="Arial" w:hAnsi="Arial" w:cs="Arial"/>
          <w:b/>
          <w:sz w:val="28"/>
          <w:szCs w:val="28"/>
        </w:rPr>
      </w:pPr>
    </w:p>
    <w:p w14:paraId="1F199247" w14:textId="77777777" w:rsidR="00866F2B" w:rsidRDefault="00866F2B" w:rsidP="00631008">
      <w:pPr>
        <w:jc w:val="center"/>
        <w:rPr>
          <w:rFonts w:ascii="Arial" w:hAnsi="Arial" w:cs="Arial"/>
          <w:b/>
          <w:sz w:val="24"/>
          <w:szCs w:val="26"/>
        </w:rPr>
        <w:sectPr w:rsidR="00866F2B" w:rsidSect="00C007AB">
          <w:headerReference w:type="default" r:id="rId28"/>
          <w:footerReference w:type="default" r:id="rId29"/>
          <w:type w:val="continuous"/>
          <w:pgSz w:w="12240" w:h="15840" w:code="1"/>
          <w:pgMar w:top="2160" w:right="1298" w:bottom="799" w:left="1298" w:header="567" w:footer="612" w:gutter="0"/>
          <w:cols w:space="708"/>
          <w:docGrid w:linePitch="360"/>
        </w:sectPr>
      </w:pPr>
    </w:p>
    <w:p w14:paraId="330D6FF5" w14:textId="77777777" w:rsidR="00377B9D" w:rsidRDefault="00121F5D" w:rsidP="00CC4596">
      <w:pPr>
        <w:spacing w:after="0"/>
        <w:jc w:val="both"/>
        <w:rPr>
          <w:rFonts w:ascii="Arial" w:hAnsi="Arial" w:cs="Arial"/>
          <w:color w:val="000000"/>
          <w:sz w:val="14"/>
          <w:szCs w:val="14"/>
          <w:vertAlign w:val="superscript"/>
        </w:rPr>
      </w:pPr>
      <w:r>
        <w:rPr>
          <w:rFonts w:ascii="Arial" w:hAnsi="Arial" w:cs="Arial"/>
          <w:color w:val="000000"/>
          <w:sz w:val="14"/>
          <w:szCs w:val="14"/>
          <w:vertAlign w:val="superscript"/>
        </w:rPr>
        <w:br w:type="page"/>
      </w:r>
    </w:p>
    <w:p w14:paraId="258CCC64" w14:textId="783C7BA8" w:rsidR="00B6332B" w:rsidRDefault="00B6332B" w:rsidP="00BE3984">
      <w:pPr>
        <w:ind w:left="-567" w:right="-142"/>
        <w:jc w:val="center"/>
        <w:rPr>
          <w:rFonts w:ascii="Arial" w:hAnsi="Arial" w:cs="Arial"/>
          <w:b/>
          <w:sz w:val="24"/>
          <w:szCs w:val="24"/>
        </w:rPr>
      </w:pPr>
      <w:r>
        <w:rPr>
          <w:rFonts w:ascii="Arial" w:hAnsi="Arial" w:cs="Arial"/>
          <w:b/>
          <w:sz w:val="24"/>
          <w:szCs w:val="24"/>
        </w:rPr>
        <w:lastRenderedPageBreak/>
        <w:t>ANEXO</w:t>
      </w:r>
      <w:r w:rsidR="00CE3F8B">
        <w:rPr>
          <w:rFonts w:ascii="Arial" w:hAnsi="Arial" w:cs="Arial"/>
          <w:b/>
          <w:sz w:val="24"/>
          <w:szCs w:val="24"/>
        </w:rPr>
        <w:t xml:space="preserve"> 1</w:t>
      </w:r>
    </w:p>
    <w:p w14:paraId="2589EF9F" w14:textId="77777777" w:rsidR="00377B9D" w:rsidRDefault="008E08CA" w:rsidP="00BE3984">
      <w:pPr>
        <w:widowControl w:val="0"/>
        <w:autoSpaceDE w:val="0"/>
        <w:autoSpaceDN w:val="0"/>
        <w:adjustRightInd w:val="0"/>
        <w:spacing w:after="0" w:line="240" w:lineRule="auto"/>
        <w:ind w:left="-567" w:right="-142"/>
        <w:jc w:val="center"/>
        <w:rPr>
          <w:rFonts w:ascii="Arial" w:hAnsi="Arial" w:cs="Arial"/>
          <w:b/>
          <w:smallCaps/>
          <w:sz w:val="24"/>
          <w:szCs w:val="24"/>
          <w:lang w:eastAsia="es-ES"/>
        </w:rPr>
      </w:pPr>
      <w:r w:rsidRPr="003B3305">
        <w:rPr>
          <w:rFonts w:ascii="Arial" w:hAnsi="Arial" w:cs="Arial"/>
          <w:b/>
          <w:smallCaps/>
          <w:sz w:val="24"/>
          <w:szCs w:val="24"/>
          <w:lang w:eastAsia="es-ES"/>
        </w:rPr>
        <w:t>Metodología</w:t>
      </w:r>
    </w:p>
    <w:p w14:paraId="37BA71B1" w14:textId="77777777" w:rsidR="003B3305" w:rsidRPr="003B3305" w:rsidRDefault="003B3305" w:rsidP="00BE3984">
      <w:pPr>
        <w:widowControl w:val="0"/>
        <w:autoSpaceDE w:val="0"/>
        <w:autoSpaceDN w:val="0"/>
        <w:adjustRightInd w:val="0"/>
        <w:spacing w:after="0" w:line="240" w:lineRule="auto"/>
        <w:ind w:left="-567" w:right="-142"/>
        <w:jc w:val="center"/>
        <w:rPr>
          <w:rFonts w:ascii="Arial" w:hAnsi="Arial" w:cs="Arial"/>
          <w:b/>
          <w:smallCaps/>
          <w:sz w:val="24"/>
          <w:szCs w:val="24"/>
          <w:lang w:eastAsia="es-ES"/>
        </w:rPr>
      </w:pPr>
    </w:p>
    <w:p w14:paraId="06A85F5B" w14:textId="1BD12ABA" w:rsidR="005A552E" w:rsidRPr="00BD7ACC" w:rsidRDefault="00377B9D" w:rsidP="00BE3984">
      <w:pPr>
        <w:ind w:left="-567" w:right="-142"/>
        <w:jc w:val="both"/>
        <w:rPr>
          <w:rFonts w:ascii="Arial" w:hAnsi="Arial"/>
          <w:bCs/>
          <w:color w:val="000000"/>
          <w:sz w:val="24"/>
          <w:szCs w:val="24"/>
          <w:lang w:eastAsia="es-ES"/>
        </w:rPr>
      </w:pPr>
      <w:r w:rsidRPr="00BD7ACC">
        <w:rPr>
          <w:rFonts w:ascii="Arial" w:hAnsi="Arial"/>
          <w:bCs/>
          <w:color w:val="000000"/>
          <w:sz w:val="24"/>
          <w:szCs w:val="24"/>
          <w:lang w:eastAsia="es-ES"/>
        </w:rPr>
        <w:t xml:space="preserve">El INEGI recolecta </w:t>
      </w:r>
      <w:r w:rsidR="002B37FB" w:rsidRPr="00BD7ACC">
        <w:rPr>
          <w:rFonts w:ascii="Arial" w:hAnsi="Arial"/>
          <w:bCs/>
          <w:color w:val="000000"/>
          <w:sz w:val="24"/>
          <w:szCs w:val="24"/>
          <w:lang w:eastAsia="es-ES"/>
        </w:rPr>
        <w:t>la información para generar la</w:t>
      </w:r>
      <w:r w:rsidR="00661C79" w:rsidRPr="00BD7ACC">
        <w:rPr>
          <w:rFonts w:ascii="Arial" w:hAnsi="Arial"/>
          <w:bCs/>
          <w:color w:val="000000"/>
          <w:sz w:val="24"/>
          <w:szCs w:val="24"/>
          <w:lang w:eastAsia="es-ES"/>
        </w:rPr>
        <w:t>s</w:t>
      </w:r>
      <w:r w:rsidR="002B37FB" w:rsidRPr="00BD7ACC">
        <w:rPr>
          <w:rFonts w:ascii="Arial" w:hAnsi="Arial"/>
          <w:bCs/>
          <w:color w:val="000000"/>
          <w:sz w:val="24"/>
          <w:szCs w:val="24"/>
          <w:lang w:eastAsia="es-ES"/>
        </w:rPr>
        <w:t xml:space="preserve"> estadística</w:t>
      </w:r>
      <w:r w:rsidR="00661C79" w:rsidRPr="00BD7ACC">
        <w:rPr>
          <w:rFonts w:ascii="Arial" w:hAnsi="Arial"/>
          <w:bCs/>
          <w:color w:val="000000"/>
          <w:sz w:val="24"/>
          <w:szCs w:val="24"/>
          <w:lang w:eastAsia="es-ES"/>
        </w:rPr>
        <w:t>s</w:t>
      </w:r>
      <w:r w:rsidR="002B37FB" w:rsidRPr="00BD7ACC">
        <w:rPr>
          <w:rFonts w:ascii="Arial" w:hAnsi="Arial"/>
          <w:bCs/>
          <w:color w:val="000000"/>
          <w:sz w:val="24"/>
          <w:szCs w:val="24"/>
          <w:lang w:eastAsia="es-ES"/>
        </w:rPr>
        <w:t xml:space="preserve"> de defunciones registradas</w:t>
      </w:r>
      <w:r w:rsidR="00F72CCD">
        <w:rPr>
          <w:rFonts w:ascii="Arial" w:hAnsi="Arial"/>
          <w:bCs/>
          <w:color w:val="000000"/>
          <w:sz w:val="24"/>
          <w:szCs w:val="24"/>
          <w:lang w:eastAsia="es-ES"/>
        </w:rPr>
        <w:t xml:space="preserve"> </w:t>
      </w:r>
      <w:r w:rsidR="00110D70" w:rsidRPr="00BD7ACC">
        <w:rPr>
          <w:rFonts w:ascii="Arial" w:hAnsi="Arial"/>
          <w:bCs/>
          <w:color w:val="000000"/>
          <w:sz w:val="24"/>
          <w:szCs w:val="24"/>
          <w:lang w:eastAsia="es-ES"/>
        </w:rPr>
        <w:t xml:space="preserve">de manera directa </w:t>
      </w:r>
      <w:r w:rsidR="00720954" w:rsidRPr="00BD7ACC">
        <w:rPr>
          <w:rFonts w:ascii="Arial" w:hAnsi="Arial"/>
          <w:bCs/>
          <w:color w:val="000000"/>
          <w:sz w:val="24"/>
          <w:szCs w:val="24"/>
          <w:lang w:eastAsia="es-ES"/>
        </w:rPr>
        <w:t>en las O</w:t>
      </w:r>
      <w:r w:rsidRPr="00BD7ACC">
        <w:rPr>
          <w:rFonts w:ascii="Arial" w:hAnsi="Arial"/>
          <w:bCs/>
          <w:color w:val="000000"/>
          <w:sz w:val="24"/>
          <w:szCs w:val="24"/>
          <w:lang w:eastAsia="es-ES"/>
        </w:rPr>
        <w:t>ficialías del Registro Civil</w:t>
      </w:r>
      <w:r w:rsidR="002B37FB" w:rsidRPr="00BD7ACC">
        <w:rPr>
          <w:rFonts w:ascii="Arial" w:hAnsi="Arial"/>
          <w:bCs/>
          <w:color w:val="000000"/>
          <w:sz w:val="24"/>
          <w:szCs w:val="24"/>
          <w:lang w:eastAsia="es-ES"/>
        </w:rPr>
        <w:t xml:space="preserve"> (certificados y actas de defunción)</w:t>
      </w:r>
      <w:r w:rsidR="00720954" w:rsidRPr="00BD7ACC">
        <w:rPr>
          <w:rFonts w:ascii="Arial" w:hAnsi="Arial"/>
          <w:bCs/>
          <w:color w:val="000000"/>
          <w:sz w:val="24"/>
          <w:szCs w:val="24"/>
          <w:lang w:eastAsia="es-ES"/>
        </w:rPr>
        <w:t>, en las Agencias del Ministerio Público</w:t>
      </w:r>
      <w:r w:rsidRPr="00BD7ACC">
        <w:rPr>
          <w:rFonts w:ascii="Arial" w:hAnsi="Arial"/>
          <w:bCs/>
          <w:color w:val="000000"/>
          <w:sz w:val="24"/>
          <w:szCs w:val="24"/>
          <w:lang w:eastAsia="es-ES"/>
        </w:rPr>
        <w:t xml:space="preserve"> </w:t>
      </w:r>
      <w:r w:rsidR="002B37FB" w:rsidRPr="00BD7ACC">
        <w:rPr>
          <w:rFonts w:ascii="Arial" w:hAnsi="Arial"/>
          <w:bCs/>
          <w:color w:val="000000"/>
          <w:sz w:val="24"/>
          <w:szCs w:val="24"/>
          <w:lang w:eastAsia="es-ES"/>
        </w:rPr>
        <w:t xml:space="preserve">(cuadernos estadísticos de defunción) </w:t>
      </w:r>
      <w:r w:rsidR="00720954" w:rsidRPr="00BD7ACC">
        <w:rPr>
          <w:rFonts w:ascii="Arial" w:hAnsi="Arial"/>
          <w:bCs/>
          <w:color w:val="000000"/>
          <w:sz w:val="24"/>
          <w:szCs w:val="24"/>
          <w:lang w:eastAsia="es-ES"/>
        </w:rPr>
        <w:t>y en los Servicios Médicos F</w:t>
      </w:r>
      <w:r w:rsidR="00110D70" w:rsidRPr="00BD7ACC">
        <w:rPr>
          <w:rFonts w:ascii="Arial" w:hAnsi="Arial"/>
          <w:bCs/>
          <w:color w:val="000000"/>
          <w:sz w:val="24"/>
          <w:szCs w:val="24"/>
          <w:lang w:eastAsia="es-ES"/>
        </w:rPr>
        <w:t>orenses</w:t>
      </w:r>
      <w:r w:rsidR="00957908" w:rsidRPr="00BD7ACC">
        <w:rPr>
          <w:rFonts w:ascii="Arial" w:hAnsi="Arial"/>
          <w:bCs/>
          <w:color w:val="000000"/>
          <w:sz w:val="24"/>
          <w:szCs w:val="24"/>
          <w:lang w:eastAsia="es-ES"/>
        </w:rPr>
        <w:t xml:space="preserve"> (certificado de defunción). </w:t>
      </w:r>
      <w:r w:rsidR="002B37FB" w:rsidRPr="00BD7ACC">
        <w:rPr>
          <w:rFonts w:ascii="Arial" w:hAnsi="Arial"/>
          <w:bCs/>
          <w:color w:val="000000"/>
          <w:sz w:val="24"/>
          <w:szCs w:val="24"/>
          <w:lang w:eastAsia="es-ES"/>
        </w:rPr>
        <w:t>E</w:t>
      </w:r>
      <w:r w:rsidR="003209EB" w:rsidRPr="00BD7ACC">
        <w:rPr>
          <w:rFonts w:ascii="Arial" w:hAnsi="Arial"/>
          <w:bCs/>
          <w:color w:val="000000"/>
          <w:sz w:val="24"/>
          <w:szCs w:val="24"/>
          <w:lang w:eastAsia="es-ES"/>
        </w:rPr>
        <w:t>l certificado de defunción</w:t>
      </w:r>
      <w:r w:rsidR="002B37FB" w:rsidRPr="00BD7ACC">
        <w:rPr>
          <w:rFonts w:ascii="Arial" w:hAnsi="Arial"/>
          <w:bCs/>
          <w:color w:val="000000"/>
          <w:sz w:val="24"/>
          <w:szCs w:val="24"/>
          <w:lang w:eastAsia="es-ES"/>
        </w:rPr>
        <w:t xml:space="preserve"> es el </w:t>
      </w:r>
      <w:r w:rsidR="007E4F7E" w:rsidRPr="00BD7ACC">
        <w:rPr>
          <w:rFonts w:ascii="Arial" w:hAnsi="Arial"/>
          <w:bCs/>
          <w:color w:val="000000"/>
          <w:sz w:val="24"/>
          <w:szCs w:val="24"/>
          <w:lang w:eastAsia="es-ES"/>
        </w:rPr>
        <w:t>pri</w:t>
      </w:r>
      <w:r w:rsidR="002B37FB" w:rsidRPr="00BD7ACC">
        <w:rPr>
          <w:rFonts w:ascii="Arial" w:hAnsi="Arial"/>
          <w:bCs/>
          <w:color w:val="000000"/>
          <w:sz w:val="24"/>
          <w:szCs w:val="24"/>
          <w:lang w:eastAsia="es-ES"/>
        </w:rPr>
        <w:t>ncipal instrumento de captación</w:t>
      </w:r>
      <w:r w:rsidR="00F72CCD">
        <w:rPr>
          <w:rFonts w:ascii="Arial" w:hAnsi="Arial"/>
          <w:bCs/>
          <w:color w:val="000000"/>
          <w:sz w:val="24"/>
          <w:szCs w:val="24"/>
          <w:lang w:eastAsia="es-ES"/>
        </w:rPr>
        <w:t xml:space="preserve">. Este </w:t>
      </w:r>
      <w:r w:rsidR="00871F9D" w:rsidRPr="00BD7ACC">
        <w:rPr>
          <w:rFonts w:ascii="Arial" w:hAnsi="Arial"/>
          <w:bCs/>
          <w:color w:val="000000"/>
          <w:sz w:val="24"/>
          <w:szCs w:val="24"/>
          <w:lang w:eastAsia="es-ES"/>
        </w:rPr>
        <w:t xml:space="preserve">contiene </w:t>
      </w:r>
      <w:r w:rsidRPr="00BD7ACC">
        <w:rPr>
          <w:rFonts w:ascii="Arial" w:hAnsi="Arial"/>
          <w:bCs/>
          <w:color w:val="000000"/>
          <w:sz w:val="24"/>
          <w:szCs w:val="24"/>
          <w:lang w:eastAsia="es-ES"/>
        </w:rPr>
        <w:t>las causas que provocaron la muerte de una persona</w:t>
      </w:r>
      <w:r w:rsidR="0082739A" w:rsidRPr="00BD7ACC">
        <w:rPr>
          <w:rFonts w:ascii="Arial" w:hAnsi="Arial"/>
          <w:bCs/>
          <w:color w:val="000000"/>
          <w:sz w:val="24"/>
          <w:szCs w:val="24"/>
          <w:lang w:eastAsia="es-ES"/>
        </w:rPr>
        <w:t>. La</w:t>
      </w:r>
      <w:r w:rsidR="007E4F7E" w:rsidRPr="00BD7ACC">
        <w:rPr>
          <w:rFonts w:ascii="Arial" w:hAnsi="Arial"/>
          <w:bCs/>
          <w:color w:val="000000"/>
          <w:sz w:val="24"/>
          <w:szCs w:val="24"/>
          <w:lang w:eastAsia="es-ES"/>
        </w:rPr>
        <w:t xml:space="preserve"> información del certificado </w:t>
      </w:r>
      <w:r w:rsidR="00F72CCD">
        <w:rPr>
          <w:rFonts w:ascii="Arial" w:hAnsi="Arial"/>
          <w:bCs/>
          <w:color w:val="000000"/>
          <w:sz w:val="24"/>
          <w:szCs w:val="24"/>
          <w:lang w:eastAsia="es-ES"/>
        </w:rPr>
        <w:t xml:space="preserve">se complementa </w:t>
      </w:r>
      <w:r w:rsidR="0082739A" w:rsidRPr="00BD7ACC">
        <w:rPr>
          <w:rFonts w:ascii="Arial" w:hAnsi="Arial"/>
          <w:bCs/>
          <w:color w:val="000000"/>
          <w:sz w:val="24"/>
          <w:szCs w:val="24"/>
          <w:lang w:eastAsia="es-ES"/>
        </w:rPr>
        <w:t xml:space="preserve">con </w:t>
      </w:r>
      <w:r w:rsidR="007E4F7E" w:rsidRPr="00BD7ACC">
        <w:rPr>
          <w:rFonts w:ascii="Arial" w:hAnsi="Arial"/>
          <w:bCs/>
          <w:color w:val="000000"/>
          <w:sz w:val="24"/>
          <w:szCs w:val="24"/>
          <w:lang w:eastAsia="es-ES"/>
        </w:rPr>
        <w:t xml:space="preserve">la de las actas de defunción y la de los cuadernos </w:t>
      </w:r>
      <w:r w:rsidR="00871F9D" w:rsidRPr="00BD7ACC">
        <w:rPr>
          <w:rFonts w:ascii="Arial" w:hAnsi="Arial"/>
          <w:bCs/>
          <w:color w:val="000000"/>
          <w:sz w:val="24"/>
          <w:szCs w:val="24"/>
          <w:lang w:eastAsia="es-ES"/>
        </w:rPr>
        <w:t xml:space="preserve">estadísticos </w:t>
      </w:r>
      <w:r w:rsidR="007E4F7E" w:rsidRPr="00BD7ACC">
        <w:rPr>
          <w:rFonts w:ascii="Arial" w:hAnsi="Arial"/>
          <w:bCs/>
          <w:color w:val="000000"/>
          <w:sz w:val="24"/>
          <w:szCs w:val="24"/>
          <w:lang w:eastAsia="es-ES"/>
        </w:rPr>
        <w:t>de defunción.</w:t>
      </w:r>
      <w:r w:rsidR="003A66CE" w:rsidRPr="00BD7ACC">
        <w:rPr>
          <w:rFonts w:ascii="Arial" w:hAnsi="Arial"/>
          <w:bCs/>
          <w:color w:val="000000"/>
          <w:sz w:val="24"/>
          <w:szCs w:val="24"/>
          <w:lang w:eastAsia="es-ES"/>
        </w:rPr>
        <w:t xml:space="preserve"> </w:t>
      </w:r>
      <w:r w:rsidR="002D7298" w:rsidRPr="00BD7ACC">
        <w:rPr>
          <w:rFonts w:ascii="Arial" w:hAnsi="Arial"/>
          <w:bCs/>
          <w:color w:val="000000"/>
          <w:sz w:val="24"/>
          <w:szCs w:val="24"/>
          <w:lang w:eastAsia="es-ES"/>
        </w:rPr>
        <w:t>A partir de</w:t>
      </w:r>
      <w:r w:rsidRPr="00BD7ACC">
        <w:rPr>
          <w:rFonts w:ascii="Arial" w:hAnsi="Arial"/>
          <w:bCs/>
          <w:color w:val="000000"/>
          <w:sz w:val="24"/>
          <w:szCs w:val="24"/>
          <w:lang w:eastAsia="es-ES"/>
        </w:rPr>
        <w:t xml:space="preserve"> </w:t>
      </w:r>
      <w:r w:rsidR="007E4F7E" w:rsidRPr="00BD7ACC">
        <w:rPr>
          <w:rFonts w:ascii="Arial" w:hAnsi="Arial"/>
          <w:bCs/>
          <w:color w:val="000000"/>
          <w:sz w:val="24"/>
          <w:szCs w:val="24"/>
          <w:lang w:eastAsia="es-ES"/>
        </w:rPr>
        <w:t xml:space="preserve">estos </w:t>
      </w:r>
      <w:r w:rsidRPr="00BD7ACC">
        <w:rPr>
          <w:rFonts w:ascii="Arial" w:hAnsi="Arial"/>
          <w:bCs/>
          <w:color w:val="000000"/>
          <w:sz w:val="24"/>
          <w:szCs w:val="24"/>
          <w:lang w:eastAsia="es-ES"/>
        </w:rPr>
        <w:t>instrumento</w:t>
      </w:r>
      <w:r w:rsidR="007E4F7E" w:rsidRPr="00BD7ACC">
        <w:rPr>
          <w:rFonts w:ascii="Arial" w:hAnsi="Arial"/>
          <w:bCs/>
          <w:color w:val="000000"/>
          <w:sz w:val="24"/>
          <w:szCs w:val="24"/>
          <w:lang w:eastAsia="es-ES"/>
        </w:rPr>
        <w:t>s</w:t>
      </w:r>
      <w:r w:rsidR="007F0EF1" w:rsidRPr="00BD7ACC">
        <w:rPr>
          <w:rFonts w:ascii="Arial" w:hAnsi="Arial"/>
          <w:bCs/>
          <w:color w:val="000000"/>
          <w:sz w:val="24"/>
          <w:szCs w:val="24"/>
          <w:lang w:eastAsia="es-ES"/>
        </w:rPr>
        <w:t>,</w:t>
      </w:r>
      <w:r w:rsidR="003209EB" w:rsidRPr="00BD7ACC">
        <w:rPr>
          <w:rFonts w:ascii="Arial" w:hAnsi="Arial"/>
          <w:bCs/>
          <w:color w:val="000000"/>
          <w:sz w:val="24"/>
          <w:szCs w:val="24"/>
          <w:lang w:eastAsia="es-ES"/>
        </w:rPr>
        <w:t xml:space="preserve"> </w:t>
      </w:r>
      <w:r w:rsidRPr="00BD7ACC">
        <w:rPr>
          <w:rFonts w:ascii="Arial" w:hAnsi="Arial"/>
          <w:bCs/>
          <w:color w:val="000000"/>
          <w:sz w:val="24"/>
          <w:szCs w:val="24"/>
          <w:lang w:eastAsia="es-ES"/>
        </w:rPr>
        <w:t xml:space="preserve">el INEGI utiliza la Clasificación Estadística Internacional de Enfermedades y Problemas Relacionados con la Salud </w:t>
      </w:r>
      <w:r w:rsidR="002B37FB" w:rsidRPr="00BD7ACC">
        <w:rPr>
          <w:rFonts w:ascii="Arial" w:hAnsi="Arial"/>
          <w:bCs/>
          <w:color w:val="000000"/>
          <w:sz w:val="24"/>
          <w:szCs w:val="24"/>
          <w:lang w:eastAsia="es-ES"/>
        </w:rPr>
        <w:t xml:space="preserve">Décima Revisión </w:t>
      </w:r>
      <w:r w:rsidRPr="00BD7ACC">
        <w:rPr>
          <w:rFonts w:ascii="Arial" w:hAnsi="Arial"/>
          <w:bCs/>
          <w:color w:val="000000"/>
          <w:sz w:val="24"/>
          <w:szCs w:val="24"/>
          <w:lang w:eastAsia="es-ES"/>
        </w:rPr>
        <w:t>(CIE-10)</w:t>
      </w:r>
      <w:r w:rsidR="002025AF" w:rsidRPr="00BD7ACC">
        <w:rPr>
          <w:rFonts w:ascii="Arial" w:hAnsi="Arial"/>
          <w:bCs/>
          <w:color w:val="000000"/>
          <w:sz w:val="24"/>
          <w:szCs w:val="24"/>
          <w:lang w:eastAsia="es-ES"/>
        </w:rPr>
        <w:t>,</w:t>
      </w:r>
      <w:r w:rsidRPr="00BD7ACC">
        <w:rPr>
          <w:rFonts w:ascii="Arial" w:hAnsi="Arial"/>
          <w:bCs/>
          <w:color w:val="000000"/>
          <w:sz w:val="24"/>
          <w:szCs w:val="24"/>
          <w:lang w:eastAsia="es-ES"/>
        </w:rPr>
        <w:t xml:space="preserve"> establecida por la Organización Mundial de la Salud</w:t>
      </w:r>
      <w:r w:rsidR="002025AF" w:rsidRPr="00BD7ACC">
        <w:rPr>
          <w:rFonts w:ascii="Arial" w:hAnsi="Arial"/>
          <w:bCs/>
          <w:color w:val="000000"/>
          <w:sz w:val="24"/>
          <w:szCs w:val="24"/>
          <w:lang w:eastAsia="es-ES"/>
        </w:rPr>
        <w:t>,</w:t>
      </w:r>
      <w:r w:rsidRPr="00BD7ACC">
        <w:rPr>
          <w:rFonts w:ascii="Arial" w:hAnsi="Arial"/>
          <w:bCs/>
          <w:color w:val="000000"/>
          <w:sz w:val="24"/>
          <w:szCs w:val="24"/>
          <w:lang w:eastAsia="es-ES"/>
        </w:rPr>
        <w:t xml:space="preserve"> para la codificación estandarizada de la causa </w:t>
      </w:r>
      <w:r w:rsidR="00D3244C" w:rsidRPr="00BD7ACC">
        <w:rPr>
          <w:rFonts w:ascii="Arial" w:hAnsi="Arial"/>
          <w:bCs/>
          <w:color w:val="000000"/>
          <w:sz w:val="24"/>
          <w:szCs w:val="24"/>
          <w:lang w:eastAsia="es-ES"/>
        </w:rPr>
        <w:t xml:space="preserve">básica </w:t>
      </w:r>
      <w:r w:rsidRPr="00BD7ACC">
        <w:rPr>
          <w:rFonts w:ascii="Arial" w:hAnsi="Arial"/>
          <w:bCs/>
          <w:color w:val="000000"/>
          <w:sz w:val="24"/>
          <w:szCs w:val="24"/>
          <w:lang w:eastAsia="es-ES"/>
        </w:rPr>
        <w:t xml:space="preserve">de la muerte. </w:t>
      </w:r>
    </w:p>
    <w:p w14:paraId="045EE78D" w14:textId="5BDC00B5" w:rsidR="00B903D5" w:rsidRPr="00BD7ACC" w:rsidRDefault="00B903D5" w:rsidP="00BE3984">
      <w:pPr>
        <w:ind w:left="-567" w:right="-142"/>
        <w:jc w:val="both"/>
        <w:rPr>
          <w:rFonts w:ascii="Arial" w:hAnsi="Arial"/>
          <w:bCs/>
          <w:sz w:val="24"/>
          <w:szCs w:val="24"/>
          <w:lang w:eastAsia="es-ES"/>
        </w:rPr>
      </w:pPr>
      <w:r w:rsidRPr="00BD7ACC">
        <w:rPr>
          <w:rFonts w:ascii="Arial" w:hAnsi="Arial"/>
          <w:bCs/>
          <w:sz w:val="24"/>
          <w:szCs w:val="24"/>
          <w:lang w:eastAsia="es-ES"/>
        </w:rPr>
        <w:t xml:space="preserve">Cuando el certificante determina que el motivo de la lesión y la o las causas que provocaron la muerte de una persona no pueden </w:t>
      </w:r>
      <w:r w:rsidR="00F72CCD">
        <w:rPr>
          <w:rFonts w:ascii="Arial" w:hAnsi="Arial"/>
          <w:bCs/>
          <w:sz w:val="24"/>
          <w:szCs w:val="24"/>
          <w:lang w:eastAsia="es-ES"/>
        </w:rPr>
        <w:t xml:space="preserve">atribuirse </w:t>
      </w:r>
      <w:r w:rsidRPr="00BD7ACC">
        <w:rPr>
          <w:rFonts w:ascii="Arial" w:hAnsi="Arial"/>
          <w:bCs/>
          <w:sz w:val="24"/>
          <w:szCs w:val="24"/>
          <w:lang w:eastAsia="es-ES"/>
        </w:rPr>
        <w:t xml:space="preserve">a factores naturales, sino que corresponden a factores externos, determina la presunción del hecho y la registra en el apartado correspondiente del certificado. Los hechos pueden </w:t>
      </w:r>
      <w:r w:rsidR="00F72CCD">
        <w:rPr>
          <w:rFonts w:ascii="Arial" w:hAnsi="Arial"/>
          <w:bCs/>
          <w:sz w:val="24"/>
          <w:szCs w:val="24"/>
          <w:lang w:eastAsia="es-ES"/>
        </w:rPr>
        <w:t xml:space="preserve">relacionarse </w:t>
      </w:r>
      <w:r w:rsidRPr="00BD7ACC">
        <w:rPr>
          <w:rFonts w:ascii="Arial" w:hAnsi="Arial"/>
          <w:bCs/>
          <w:sz w:val="24"/>
          <w:szCs w:val="24"/>
          <w:lang w:eastAsia="es-ES"/>
        </w:rPr>
        <w:t>con agresiones directas, realizadas con la intención de provocar un daño, que de manera determinante constituyen la causa de la muerte. Con estos elementos de información es posible identificar los presuntos homicidios. El proceso de codificación de la causa de la defunción muestra que los principales medios o mecanismos usados en los homicidios son las armas de fuego, seguid</w:t>
      </w:r>
      <w:r w:rsidR="00F72CCD">
        <w:rPr>
          <w:rFonts w:ascii="Arial" w:hAnsi="Arial"/>
          <w:bCs/>
          <w:sz w:val="24"/>
          <w:szCs w:val="24"/>
          <w:lang w:eastAsia="es-ES"/>
        </w:rPr>
        <w:t>as</w:t>
      </w:r>
      <w:r w:rsidR="002025AF" w:rsidRPr="00BD7ACC">
        <w:rPr>
          <w:rFonts w:ascii="Arial" w:hAnsi="Arial"/>
          <w:bCs/>
          <w:sz w:val="24"/>
          <w:szCs w:val="24"/>
          <w:lang w:eastAsia="es-ES"/>
        </w:rPr>
        <w:t xml:space="preserve"> </w:t>
      </w:r>
      <w:r w:rsidRPr="00BD7ACC">
        <w:rPr>
          <w:rFonts w:ascii="Arial" w:hAnsi="Arial"/>
          <w:bCs/>
          <w:sz w:val="24"/>
          <w:szCs w:val="24"/>
          <w:lang w:eastAsia="es-ES"/>
        </w:rPr>
        <w:t>de los objetos cortantes (armas blancas).</w:t>
      </w:r>
    </w:p>
    <w:p w14:paraId="47E5B642" w14:textId="78093051" w:rsidR="001E556D" w:rsidRPr="00BD7ACC" w:rsidRDefault="00984132" w:rsidP="00BE3984">
      <w:pPr>
        <w:ind w:left="-567" w:right="-142"/>
        <w:jc w:val="both"/>
        <w:rPr>
          <w:rFonts w:ascii="Arial" w:hAnsi="Arial"/>
          <w:bCs/>
          <w:sz w:val="24"/>
          <w:szCs w:val="24"/>
          <w:lang w:eastAsia="es-ES"/>
        </w:rPr>
      </w:pPr>
      <w:r w:rsidRPr="00BD7ACC">
        <w:rPr>
          <w:rFonts w:ascii="Arial" w:hAnsi="Arial"/>
          <w:bCs/>
          <w:sz w:val="24"/>
          <w:szCs w:val="24"/>
          <w:lang w:eastAsia="es-ES"/>
        </w:rPr>
        <w:t xml:space="preserve">La información </w:t>
      </w:r>
      <w:r w:rsidR="00FD62EB">
        <w:rPr>
          <w:rFonts w:ascii="Arial" w:hAnsi="Arial"/>
          <w:bCs/>
          <w:sz w:val="24"/>
          <w:szCs w:val="24"/>
          <w:lang w:eastAsia="es-ES"/>
        </w:rPr>
        <w:t xml:space="preserve">que se consigna </w:t>
      </w:r>
      <w:r w:rsidRPr="00BD7ACC">
        <w:rPr>
          <w:rFonts w:ascii="Arial" w:hAnsi="Arial"/>
          <w:bCs/>
          <w:sz w:val="24"/>
          <w:szCs w:val="24"/>
          <w:lang w:eastAsia="es-ES"/>
        </w:rPr>
        <w:t>en el certificado de defunción corresponde</w:t>
      </w:r>
      <w:r w:rsidR="00FD62EB">
        <w:rPr>
          <w:rFonts w:ascii="Arial" w:hAnsi="Arial"/>
          <w:bCs/>
          <w:sz w:val="24"/>
          <w:szCs w:val="24"/>
          <w:lang w:eastAsia="es-ES"/>
        </w:rPr>
        <w:t>,</w:t>
      </w:r>
      <w:r w:rsidRPr="00BD7ACC">
        <w:rPr>
          <w:rFonts w:ascii="Arial" w:hAnsi="Arial"/>
          <w:bCs/>
          <w:sz w:val="24"/>
          <w:szCs w:val="24"/>
          <w:lang w:eastAsia="es-ES"/>
        </w:rPr>
        <w:t xml:space="preserve"> esencialmente</w:t>
      </w:r>
      <w:r w:rsidR="00FD62EB">
        <w:rPr>
          <w:rFonts w:ascii="Arial" w:hAnsi="Arial"/>
          <w:bCs/>
          <w:sz w:val="24"/>
          <w:szCs w:val="24"/>
          <w:lang w:eastAsia="es-ES"/>
        </w:rPr>
        <w:t>,</w:t>
      </w:r>
      <w:r w:rsidRPr="00BD7ACC">
        <w:rPr>
          <w:rFonts w:ascii="Arial" w:hAnsi="Arial"/>
          <w:bCs/>
          <w:sz w:val="24"/>
          <w:szCs w:val="24"/>
          <w:lang w:eastAsia="es-ES"/>
        </w:rPr>
        <w:t xml:space="preserve"> a un tema de salud</w:t>
      </w:r>
      <w:r w:rsidR="00FD62EB">
        <w:rPr>
          <w:rFonts w:ascii="Arial" w:hAnsi="Arial"/>
          <w:bCs/>
          <w:sz w:val="24"/>
          <w:szCs w:val="24"/>
          <w:lang w:eastAsia="es-ES"/>
        </w:rPr>
        <w:t xml:space="preserve"> y esta </w:t>
      </w:r>
      <w:r w:rsidRPr="00BD7ACC">
        <w:rPr>
          <w:rFonts w:ascii="Arial" w:hAnsi="Arial"/>
          <w:bCs/>
          <w:sz w:val="24"/>
          <w:szCs w:val="24"/>
          <w:lang w:eastAsia="es-ES"/>
        </w:rPr>
        <w:t xml:space="preserve">no </w:t>
      </w:r>
      <w:r w:rsidR="00FD62EB">
        <w:rPr>
          <w:rFonts w:ascii="Arial" w:hAnsi="Arial"/>
          <w:bCs/>
          <w:sz w:val="24"/>
          <w:szCs w:val="24"/>
          <w:lang w:eastAsia="es-ES"/>
        </w:rPr>
        <w:t>ofrece</w:t>
      </w:r>
      <w:r w:rsidRPr="00BD7ACC">
        <w:rPr>
          <w:rFonts w:ascii="Arial" w:hAnsi="Arial"/>
          <w:bCs/>
          <w:sz w:val="24"/>
          <w:szCs w:val="24"/>
          <w:lang w:eastAsia="es-ES"/>
        </w:rPr>
        <w:t xml:space="preserve"> elementos para clasificar las defunciones en el marco de la legislación penal. Por esta razón</w:t>
      </w:r>
      <w:r w:rsidR="00816B13" w:rsidRPr="00BD7ACC">
        <w:rPr>
          <w:rFonts w:ascii="Arial" w:hAnsi="Arial"/>
          <w:bCs/>
          <w:sz w:val="24"/>
          <w:szCs w:val="24"/>
          <w:lang w:eastAsia="es-ES"/>
        </w:rPr>
        <w:t>,</w:t>
      </w:r>
      <w:r w:rsidRPr="00BD7ACC">
        <w:rPr>
          <w:rFonts w:ascii="Arial" w:hAnsi="Arial"/>
          <w:bCs/>
          <w:sz w:val="24"/>
          <w:szCs w:val="24"/>
          <w:lang w:eastAsia="es-ES"/>
        </w:rPr>
        <w:t xml:space="preserve"> no puede</w:t>
      </w:r>
      <w:r w:rsidR="00561C4A" w:rsidRPr="00BD7ACC">
        <w:rPr>
          <w:rFonts w:ascii="Arial" w:hAnsi="Arial"/>
          <w:bCs/>
          <w:sz w:val="24"/>
          <w:szCs w:val="24"/>
          <w:lang w:eastAsia="es-ES"/>
        </w:rPr>
        <w:t>n</w:t>
      </w:r>
      <w:r w:rsidRPr="00BD7ACC">
        <w:rPr>
          <w:rFonts w:ascii="Arial" w:hAnsi="Arial"/>
          <w:bCs/>
          <w:sz w:val="24"/>
          <w:szCs w:val="24"/>
          <w:lang w:eastAsia="es-ES"/>
        </w:rPr>
        <w:t xml:space="preserve"> </w:t>
      </w:r>
      <w:r w:rsidR="002025AF" w:rsidRPr="00BD7ACC">
        <w:rPr>
          <w:rFonts w:ascii="Arial" w:hAnsi="Arial"/>
          <w:bCs/>
          <w:sz w:val="24"/>
          <w:szCs w:val="24"/>
          <w:lang w:eastAsia="es-ES"/>
        </w:rPr>
        <w:t xml:space="preserve">identificarse </w:t>
      </w:r>
      <w:r w:rsidRPr="00BD7ACC">
        <w:rPr>
          <w:rFonts w:ascii="Arial" w:hAnsi="Arial"/>
          <w:bCs/>
          <w:sz w:val="24"/>
          <w:szCs w:val="24"/>
          <w:lang w:eastAsia="es-ES"/>
        </w:rPr>
        <w:t xml:space="preserve">delitos como el feminicidio </w:t>
      </w:r>
      <w:r w:rsidR="002025AF" w:rsidRPr="00BD7ACC">
        <w:rPr>
          <w:rFonts w:ascii="Arial" w:hAnsi="Arial"/>
          <w:bCs/>
          <w:sz w:val="24"/>
          <w:szCs w:val="24"/>
          <w:lang w:eastAsia="es-ES"/>
        </w:rPr>
        <w:t>en</w:t>
      </w:r>
      <w:r w:rsidRPr="00BD7ACC">
        <w:rPr>
          <w:rFonts w:ascii="Arial" w:hAnsi="Arial"/>
          <w:bCs/>
          <w:sz w:val="24"/>
          <w:szCs w:val="24"/>
          <w:lang w:eastAsia="es-ES"/>
        </w:rPr>
        <w:t xml:space="preserve"> el universo de </w:t>
      </w:r>
      <w:r w:rsidR="002025AF" w:rsidRPr="00BD7ACC">
        <w:rPr>
          <w:rFonts w:ascii="Arial" w:hAnsi="Arial"/>
          <w:bCs/>
          <w:sz w:val="24"/>
          <w:szCs w:val="24"/>
          <w:lang w:eastAsia="es-ES"/>
        </w:rPr>
        <w:t xml:space="preserve">presuntos </w:t>
      </w:r>
      <w:r w:rsidRPr="00BD7ACC">
        <w:rPr>
          <w:rFonts w:ascii="Arial" w:hAnsi="Arial"/>
          <w:bCs/>
          <w:sz w:val="24"/>
          <w:szCs w:val="24"/>
          <w:lang w:eastAsia="es-ES"/>
        </w:rPr>
        <w:t>homicidios cometidos contra personas del sexo femenino</w:t>
      </w:r>
      <w:r w:rsidR="00FD62EB">
        <w:rPr>
          <w:rFonts w:ascii="Arial" w:hAnsi="Arial"/>
          <w:bCs/>
          <w:sz w:val="24"/>
          <w:szCs w:val="24"/>
          <w:lang w:eastAsia="es-ES"/>
        </w:rPr>
        <w:t xml:space="preserve">: </w:t>
      </w:r>
      <w:r w:rsidR="00561C4A" w:rsidRPr="00BD7ACC">
        <w:rPr>
          <w:rFonts w:ascii="Arial" w:hAnsi="Arial"/>
          <w:bCs/>
          <w:sz w:val="24"/>
          <w:szCs w:val="24"/>
          <w:lang w:eastAsia="es-ES"/>
        </w:rPr>
        <w:t xml:space="preserve">esa </w:t>
      </w:r>
      <w:r w:rsidRPr="00BD7ACC">
        <w:rPr>
          <w:rFonts w:ascii="Arial" w:hAnsi="Arial"/>
          <w:bCs/>
          <w:sz w:val="24"/>
          <w:szCs w:val="24"/>
          <w:lang w:eastAsia="es-ES"/>
        </w:rPr>
        <w:t>calificación solamente es competencia de las autoridades de justicia penal.</w:t>
      </w:r>
    </w:p>
    <w:p w14:paraId="528DD7FE" w14:textId="6E04775A" w:rsidR="00023B9D" w:rsidRPr="00BD7ACC" w:rsidRDefault="00953B46" w:rsidP="00BE3984">
      <w:pPr>
        <w:ind w:left="-567" w:right="-142"/>
        <w:jc w:val="both"/>
        <w:rPr>
          <w:rFonts w:ascii="Arial" w:hAnsi="Arial"/>
          <w:bCs/>
          <w:sz w:val="24"/>
          <w:szCs w:val="24"/>
          <w:lang w:eastAsia="es-ES"/>
        </w:rPr>
      </w:pPr>
      <w:r w:rsidRPr="00BD7ACC">
        <w:rPr>
          <w:rFonts w:ascii="Arial" w:hAnsi="Arial"/>
          <w:bCs/>
          <w:sz w:val="24"/>
          <w:szCs w:val="24"/>
          <w:lang w:eastAsia="es-ES"/>
        </w:rPr>
        <w:t xml:space="preserve">Para </w:t>
      </w:r>
      <w:r w:rsidR="00846EDC" w:rsidRPr="00BD7ACC">
        <w:rPr>
          <w:rFonts w:ascii="Arial" w:hAnsi="Arial"/>
          <w:bCs/>
          <w:sz w:val="24"/>
          <w:szCs w:val="24"/>
          <w:lang w:eastAsia="es-ES"/>
        </w:rPr>
        <w:t>identificar los</w:t>
      </w:r>
      <w:r w:rsidRPr="00BD7ACC">
        <w:rPr>
          <w:rFonts w:ascii="Arial" w:hAnsi="Arial"/>
          <w:bCs/>
          <w:sz w:val="24"/>
          <w:szCs w:val="24"/>
          <w:lang w:eastAsia="es-ES"/>
        </w:rPr>
        <w:t xml:space="preserve"> </w:t>
      </w:r>
      <w:r w:rsidR="00023B9D" w:rsidRPr="00BD7ACC">
        <w:rPr>
          <w:rFonts w:ascii="Arial" w:hAnsi="Arial"/>
          <w:bCs/>
          <w:sz w:val="24"/>
          <w:szCs w:val="24"/>
          <w:lang w:eastAsia="es-ES"/>
        </w:rPr>
        <w:t>homicidio</w:t>
      </w:r>
      <w:r w:rsidRPr="00BD7ACC">
        <w:rPr>
          <w:rFonts w:ascii="Arial" w:hAnsi="Arial"/>
          <w:bCs/>
          <w:sz w:val="24"/>
          <w:szCs w:val="24"/>
          <w:lang w:eastAsia="es-ES"/>
        </w:rPr>
        <w:t>s es necesario que la información registrada en los</w:t>
      </w:r>
      <w:r w:rsidR="00023B9D" w:rsidRPr="00BD7ACC">
        <w:rPr>
          <w:rFonts w:ascii="Arial" w:hAnsi="Arial"/>
          <w:bCs/>
          <w:sz w:val="24"/>
          <w:szCs w:val="24"/>
          <w:lang w:eastAsia="es-ES"/>
        </w:rPr>
        <w:t xml:space="preserve"> certificado</w:t>
      </w:r>
      <w:r w:rsidRPr="00BD7ACC">
        <w:rPr>
          <w:rFonts w:ascii="Arial" w:hAnsi="Arial"/>
          <w:bCs/>
          <w:sz w:val="24"/>
          <w:szCs w:val="24"/>
          <w:lang w:eastAsia="es-ES"/>
        </w:rPr>
        <w:t>s</w:t>
      </w:r>
      <w:r w:rsidR="00023B9D" w:rsidRPr="00BD7ACC">
        <w:rPr>
          <w:rFonts w:ascii="Arial" w:hAnsi="Arial"/>
          <w:bCs/>
          <w:sz w:val="24"/>
          <w:szCs w:val="24"/>
          <w:lang w:eastAsia="es-ES"/>
        </w:rPr>
        <w:t xml:space="preserve"> </w:t>
      </w:r>
      <w:r w:rsidRPr="00BD7ACC">
        <w:rPr>
          <w:rFonts w:ascii="Arial" w:hAnsi="Arial"/>
          <w:bCs/>
          <w:sz w:val="24"/>
          <w:szCs w:val="24"/>
          <w:lang w:eastAsia="es-ES"/>
        </w:rPr>
        <w:t xml:space="preserve">de defunción </w:t>
      </w:r>
      <w:r w:rsidR="00871F9D" w:rsidRPr="00BD7ACC">
        <w:rPr>
          <w:rFonts w:ascii="Arial" w:hAnsi="Arial"/>
          <w:bCs/>
          <w:sz w:val="24"/>
          <w:szCs w:val="24"/>
          <w:lang w:eastAsia="es-ES"/>
        </w:rPr>
        <w:t xml:space="preserve">corresponda a </w:t>
      </w:r>
      <w:r w:rsidR="00846EDC" w:rsidRPr="00BD7ACC">
        <w:rPr>
          <w:rFonts w:ascii="Arial" w:hAnsi="Arial"/>
          <w:bCs/>
          <w:sz w:val="24"/>
          <w:szCs w:val="24"/>
          <w:lang w:eastAsia="es-ES"/>
        </w:rPr>
        <w:t xml:space="preserve">una causa básica de la defunción </w:t>
      </w:r>
      <w:r w:rsidR="00023B9D" w:rsidRPr="00BD7ACC">
        <w:rPr>
          <w:rFonts w:ascii="Arial" w:hAnsi="Arial"/>
          <w:bCs/>
          <w:sz w:val="24"/>
          <w:szCs w:val="24"/>
          <w:lang w:eastAsia="es-ES"/>
        </w:rPr>
        <w:t>en</w:t>
      </w:r>
      <w:r w:rsidR="00846EDC" w:rsidRPr="00BD7ACC">
        <w:rPr>
          <w:rFonts w:ascii="Arial" w:hAnsi="Arial"/>
          <w:bCs/>
          <w:sz w:val="24"/>
          <w:szCs w:val="24"/>
          <w:lang w:eastAsia="es-ES"/>
        </w:rPr>
        <w:t xml:space="preserve"> el rango</w:t>
      </w:r>
      <w:r w:rsidR="00023B9D" w:rsidRPr="00BD7ACC">
        <w:rPr>
          <w:rFonts w:ascii="Arial" w:hAnsi="Arial"/>
          <w:bCs/>
          <w:sz w:val="24"/>
          <w:szCs w:val="24"/>
          <w:lang w:eastAsia="es-ES"/>
        </w:rPr>
        <w:t xml:space="preserve"> </w:t>
      </w:r>
      <w:r w:rsidR="00846EDC" w:rsidRPr="00BD7ACC">
        <w:rPr>
          <w:rFonts w:ascii="Arial" w:hAnsi="Arial"/>
          <w:bCs/>
          <w:sz w:val="24"/>
          <w:szCs w:val="24"/>
          <w:lang w:eastAsia="es-ES"/>
        </w:rPr>
        <w:t>de</w:t>
      </w:r>
      <w:r w:rsidR="00023B9D" w:rsidRPr="00BD7ACC">
        <w:rPr>
          <w:rFonts w:ascii="Arial" w:hAnsi="Arial"/>
          <w:bCs/>
          <w:sz w:val="24"/>
          <w:szCs w:val="24"/>
          <w:lang w:eastAsia="es-ES"/>
        </w:rPr>
        <w:t xml:space="preserve"> códigos </w:t>
      </w:r>
      <w:r w:rsidR="00BE3984">
        <w:rPr>
          <w:rFonts w:ascii="Arial" w:hAnsi="Arial"/>
          <w:bCs/>
          <w:sz w:val="24"/>
          <w:szCs w:val="24"/>
          <w:lang w:eastAsia="es-ES"/>
        </w:rPr>
        <w:t xml:space="preserve">           </w:t>
      </w:r>
      <w:r w:rsidR="00023B9D" w:rsidRPr="00BD7ACC">
        <w:rPr>
          <w:rFonts w:ascii="Arial" w:hAnsi="Arial"/>
          <w:bCs/>
          <w:sz w:val="24"/>
          <w:szCs w:val="24"/>
          <w:lang w:eastAsia="es-ES"/>
        </w:rPr>
        <w:t>X85-Y09 de la CIE-10.</w:t>
      </w:r>
      <w:r w:rsidR="00D02FFF" w:rsidRPr="00BD7ACC">
        <w:rPr>
          <w:rFonts w:ascii="Arial" w:hAnsi="Arial"/>
          <w:bCs/>
          <w:sz w:val="24"/>
          <w:szCs w:val="24"/>
          <w:lang w:eastAsia="es-ES"/>
        </w:rPr>
        <w:t xml:space="preserve"> </w:t>
      </w:r>
    </w:p>
    <w:p w14:paraId="26A41932" w14:textId="06C65D95" w:rsidR="00984132" w:rsidRPr="00BD7ACC" w:rsidRDefault="00984132" w:rsidP="00BE3984">
      <w:pPr>
        <w:ind w:left="-567" w:right="-142"/>
        <w:jc w:val="both"/>
        <w:rPr>
          <w:rFonts w:ascii="Arial" w:hAnsi="Arial"/>
          <w:bCs/>
          <w:sz w:val="24"/>
          <w:szCs w:val="24"/>
          <w:lang w:eastAsia="es-ES"/>
        </w:rPr>
      </w:pPr>
      <w:r w:rsidRPr="00BD7ACC">
        <w:rPr>
          <w:rFonts w:ascii="Arial" w:hAnsi="Arial"/>
          <w:bCs/>
          <w:sz w:val="24"/>
          <w:szCs w:val="24"/>
          <w:lang w:eastAsia="es-ES"/>
        </w:rPr>
        <w:t xml:space="preserve">Para el cálculo de las tasas de homicidios por cada cien mil habitantes </w:t>
      </w:r>
      <w:r w:rsidR="00AF4C9A" w:rsidRPr="00BD7ACC">
        <w:rPr>
          <w:rFonts w:ascii="Arial" w:hAnsi="Arial"/>
          <w:bCs/>
          <w:sz w:val="24"/>
          <w:szCs w:val="24"/>
          <w:lang w:eastAsia="es-ES"/>
        </w:rPr>
        <w:t>1990-20</w:t>
      </w:r>
      <w:r w:rsidR="00B6332B" w:rsidRPr="00BD7ACC">
        <w:rPr>
          <w:rFonts w:ascii="Arial" w:hAnsi="Arial"/>
          <w:bCs/>
          <w:sz w:val="24"/>
          <w:szCs w:val="24"/>
          <w:lang w:eastAsia="es-ES"/>
        </w:rPr>
        <w:t>19</w:t>
      </w:r>
      <w:r w:rsidR="00AF4C9A" w:rsidRPr="00BD7ACC">
        <w:rPr>
          <w:rFonts w:ascii="Arial" w:hAnsi="Arial"/>
          <w:bCs/>
          <w:sz w:val="24"/>
          <w:szCs w:val="24"/>
          <w:lang w:eastAsia="es-ES"/>
        </w:rPr>
        <w:t xml:space="preserve"> </w:t>
      </w:r>
      <w:r w:rsidRPr="00BD7ACC">
        <w:rPr>
          <w:rFonts w:ascii="Arial" w:hAnsi="Arial"/>
          <w:bCs/>
          <w:sz w:val="24"/>
          <w:szCs w:val="24"/>
          <w:lang w:eastAsia="es-ES"/>
        </w:rPr>
        <w:t xml:space="preserve">se utilizaron los datos </w:t>
      </w:r>
      <w:r w:rsidR="00FD62EB">
        <w:rPr>
          <w:rFonts w:ascii="Arial" w:hAnsi="Arial"/>
          <w:bCs/>
          <w:sz w:val="24"/>
          <w:szCs w:val="24"/>
          <w:lang w:eastAsia="es-ES"/>
        </w:rPr>
        <w:t xml:space="preserve">que publicó el </w:t>
      </w:r>
      <w:r w:rsidRPr="00BD7ACC">
        <w:rPr>
          <w:rFonts w:ascii="Arial" w:hAnsi="Arial"/>
          <w:bCs/>
          <w:sz w:val="24"/>
          <w:szCs w:val="24"/>
          <w:lang w:eastAsia="es-ES"/>
        </w:rPr>
        <w:t>Consejo Nacional de Población (CONAPO</w:t>
      </w:r>
      <w:r w:rsidRPr="006213A3">
        <w:rPr>
          <w:rFonts w:ascii="Arial" w:hAnsi="Arial"/>
          <w:bCs/>
          <w:szCs w:val="23"/>
          <w:lang w:eastAsia="es-ES"/>
        </w:rPr>
        <w:t xml:space="preserve">) </w:t>
      </w:r>
      <w:r w:rsidRPr="00BD7ACC">
        <w:rPr>
          <w:rFonts w:ascii="Arial" w:hAnsi="Arial"/>
          <w:bCs/>
          <w:sz w:val="24"/>
          <w:szCs w:val="24"/>
          <w:lang w:eastAsia="es-ES"/>
        </w:rPr>
        <w:t>referentes a las Proyecciones de la Población de México y de las Entidades Federativas, 2016-2050 y a la Conciliación Demográfica de México, 1950-2015.</w:t>
      </w:r>
      <w:r w:rsidR="00AF4C9A" w:rsidRPr="00BD7ACC">
        <w:rPr>
          <w:rFonts w:ascii="Arial" w:hAnsi="Arial"/>
          <w:bCs/>
          <w:sz w:val="24"/>
          <w:szCs w:val="24"/>
          <w:lang w:eastAsia="es-ES"/>
        </w:rPr>
        <w:t xml:space="preserve"> Para e</w:t>
      </w:r>
      <w:r w:rsidR="00FD62EB">
        <w:rPr>
          <w:rFonts w:ascii="Arial" w:hAnsi="Arial"/>
          <w:bCs/>
          <w:sz w:val="24"/>
          <w:szCs w:val="24"/>
          <w:lang w:eastAsia="es-ES"/>
        </w:rPr>
        <w:t>ste</w:t>
      </w:r>
      <w:r w:rsidR="00AF4C9A" w:rsidRPr="00BD7ACC">
        <w:rPr>
          <w:rFonts w:ascii="Arial" w:hAnsi="Arial"/>
          <w:bCs/>
          <w:sz w:val="24"/>
          <w:szCs w:val="24"/>
          <w:lang w:eastAsia="es-ES"/>
        </w:rPr>
        <w:t xml:space="preserve"> cálculo</w:t>
      </w:r>
      <w:r w:rsidR="00FD62EB">
        <w:rPr>
          <w:rFonts w:ascii="Arial" w:hAnsi="Arial"/>
          <w:bCs/>
          <w:sz w:val="24"/>
          <w:szCs w:val="24"/>
          <w:lang w:eastAsia="es-ES"/>
        </w:rPr>
        <w:t xml:space="preserve">, la tasa </w:t>
      </w:r>
      <w:r w:rsidR="00AF4C9A" w:rsidRPr="00BD7ACC">
        <w:rPr>
          <w:rFonts w:ascii="Arial" w:hAnsi="Arial"/>
          <w:bCs/>
          <w:sz w:val="24"/>
          <w:szCs w:val="24"/>
          <w:lang w:eastAsia="es-ES"/>
        </w:rPr>
        <w:t>de</w:t>
      </w:r>
      <w:r w:rsidR="00C7577D" w:rsidRPr="00BD7ACC">
        <w:rPr>
          <w:rFonts w:ascii="Arial" w:hAnsi="Arial"/>
          <w:bCs/>
          <w:sz w:val="24"/>
          <w:szCs w:val="24"/>
          <w:lang w:eastAsia="es-ES"/>
        </w:rPr>
        <w:t xml:space="preserve"> </w:t>
      </w:r>
      <w:r w:rsidR="00AF4C9A" w:rsidRPr="00BD7ACC">
        <w:rPr>
          <w:rFonts w:ascii="Arial" w:hAnsi="Arial"/>
          <w:bCs/>
          <w:sz w:val="24"/>
          <w:szCs w:val="24"/>
          <w:lang w:eastAsia="es-ES"/>
        </w:rPr>
        <w:t>l</w:t>
      </w:r>
      <w:r w:rsidR="00C7577D" w:rsidRPr="00BD7ACC">
        <w:rPr>
          <w:rFonts w:ascii="Arial" w:hAnsi="Arial"/>
          <w:bCs/>
          <w:sz w:val="24"/>
          <w:szCs w:val="24"/>
          <w:lang w:eastAsia="es-ES"/>
        </w:rPr>
        <w:t>os</w:t>
      </w:r>
      <w:r w:rsidR="00AF4C9A" w:rsidRPr="00BD7ACC">
        <w:rPr>
          <w:rFonts w:ascii="Arial" w:hAnsi="Arial"/>
          <w:bCs/>
          <w:sz w:val="24"/>
          <w:szCs w:val="24"/>
          <w:lang w:eastAsia="es-ES"/>
        </w:rPr>
        <w:t xml:space="preserve"> </w:t>
      </w:r>
      <w:r w:rsidR="00441A2A" w:rsidRPr="00BD7ACC">
        <w:rPr>
          <w:rFonts w:ascii="Arial" w:hAnsi="Arial"/>
          <w:bCs/>
          <w:sz w:val="24"/>
          <w:szCs w:val="24"/>
          <w:lang w:eastAsia="es-ES"/>
        </w:rPr>
        <w:t>año</w:t>
      </w:r>
      <w:r w:rsidR="00C7577D" w:rsidRPr="00BD7ACC">
        <w:rPr>
          <w:rFonts w:ascii="Arial" w:hAnsi="Arial"/>
          <w:bCs/>
          <w:sz w:val="24"/>
          <w:szCs w:val="24"/>
          <w:lang w:eastAsia="es-ES"/>
        </w:rPr>
        <w:t>s</w:t>
      </w:r>
      <w:r w:rsidR="00AF4C9A" w:rsidRPr="00BD7ACC">
        <w:rPr>
          <w:rFonts w:ascii="Arial" w:hAnsi="Arial"/>
          <w:bCs/>
          <w:sz w:val="24"/>
          <w:szCs w:val="24"/>
          <w:lang w:eastAsia="es-ES"/>
        </w:rPr>
        <w:t xml:space="preserve"> 202</w:t>
      </w:r>
      <w:r w:rsidR="000F6436" w:rsidRPr="00BD7ACC">
        <w:rPr>
          <w:rFonts w:ascii="Arial" w:hAnsi="Arial"/>
          <w:bCs/>
          <w:sz w:val="24"/>
          <w:szCs w:val="24"/>
          <w:lang w:eastAsia="es-ES"/>
        </w:rPr>
        <w:t>0</w:t>
      </w:r>
      <w:r w:rsidR="00C7577D" w:rsidRPr="00BD7ACC">
        <w:rPr>
          <w:rFonts w:ascii="Arial" w:hAnsi="Arial"/>
          <w:bCs/>
          <w:sz w:val="24"/>
          <w:szCs w:val="24"/>
          <w:lang w:eastAsia="es-ES"/>
        </w:rPr>
        <w:t xml:space="preserve"> y </w:t>
      </w:r>
      <w:r w:rsidR="000F6436" w:rsidRPr="00BD7ACC">
        <w:rPr>
          <w:rFonts w:ascii="Arial" w:hAnsi="Arial"/>
          <w:bCs/>
          <w:sz w:val="24"/>
          <w:szCs w:val="24"/>
          <w:lang w:eastAsia="es-ES"/>
        </w:rPr>
        <w:t>202</w:t>
      </w:r>
      <w:r w:rsidR="00AF4C9A" w:rsidRPr="00BD7ACC">
        <w:rPr>
          <w:rFonts w:ascii="Arial" w:hAnsi="Arial"/>
          <w:bCs/>
          <w:sz w:val="24"/>
          <w:szCs w:val="24"/>
          <w:lang w:eastAsia="es-ES"/>
        </w:rPr>
        <w:t>1</w:t>
      </w:r>
      <w:r w:rsidR="00FD62EB">
        <w:rPr>
          <w:rFonts w:ascii="Arial" w:hAnsi="Arial"/>
          <w:bCs/>
          <w:sz w:val="24"/>
          <w:szCs w:val="24"/>
          <w:lang w:eastAsia="es-ES"/>
        </w:rPr>
        <w:t xml:space="preserve"> </w:t>
      </w:r>
      <w:r w:rsidR="00AF4C9A" w:rsidRPr="00BD7ACC">
        <w:rPr>
          <w:rFonts w:ascii="Arial" w:hAnsi="Arial"/>
          <w:bCs/>
          <w:sz w:val="24"/>
          <w:szCs w:val="24"/>
          <w:lang w:eastAsia="es-ES"/>
        </w:rPr>
        <w:t xml:space="preserve">se ajusta a la estimación de población </w:t>
      </w:r>
      <w:r w:rsidR="00FD62EB">
        <w:rPr>
          <w:rFonts w:ascii="Arial" w:hAnsi="Arial"/>
          <w:bCs/>
          <w:sz w:val="24"/>
          <w:szCs w:val="24"/>
          <w:lang w:eastAsia="es-ES"/>
        </w:rPr>
        <w:t xml:space="preserve">que elabora </w:t>
      </w:r>
      <w:r w:rsidR="00AF4C9A" w:rsidRPr="00BD7ACC">
        <w:rPr>
          <w:rFonts w:ascii="Arial" w:hAnsi="Arial"/>
          <w:bCs/>
          <w:sz w:val="24"/>
          <w:szCs w:val="24"/>
          <w:lang w:eastAsia="es-ES"/>
        </w:rPr>
        <w:t>el INEGI con base en el Marco de Muestreo de Viviendas</w:t>
      </w:r>
      <w:r w:rsidR="007D7348" w:rsidRPr="00BD7ACC">
        <w:rPr>
          <w:rFonts w:ascii="Arial" w:hAnsi="Arial"/>
          <w:bCs/>
          <w:sz w:val="24"/>
          <w:szCs w:val="24"/>
          <w:lang w:eastAsia="es-ES"/>
        </w:rPr>
        <w:t xml:space="preserve"> referidas al 30 de junio </w:t>
      </w:r>
      <w:r w:rsidR="002146A2" w:rsidRPr="00BD7ACC">
        <w:rPr>
          <w:rFonts w:ascii="Arial" w:hAnsi="Arial"/>
          <w:bCs/>
          <w:sz w:val="24"/>
          <w:szCs w:val="24"/>
          <w:lang w:eastAsia="es-ES"/>
        </w:rPr>
        <w:t>para ambos años</w:t>
      </w:r>
      <w:r w:rsidR="007D7348" w:rsidRPr="00BD7ACC">
        <w:rPr>
          <w:rFonts w:ascii="Arial" w:hAnsi="Arial"/>
          <w:bCs/>
          <w:sz w:val="24"/>
          <w:szCs w:val="24"/>
          <w:lang w:eastAsia="es-ES"/>
        </w:rPr>
        <w:t>.</w:t>
      </w:r>
    </w:p>
    <w:p w14:paraId="0067588D" w14:textId="3680B077" w:rsidR="00CE3F8B" w:rsidRDefault="00CE3F8B">
      <w:pPr>
        <w:spacing w:after="0" w:line="240" w:lineRule="auto"/>
        <w:rPr>
          <w:rFonts w:ascii="Arial" w:hAnsi="Arial"/>
          <w:b/>
          <w:bCs/>
          <w:color w:val="000000"/>
          <w:sz w:val="23"/>
          <w:szCs w:val="23"/>
          <w:lang w:eastAsia="es-ES"/>
        </w:rPr>
      </w:pPr>
      <w:r>
        <w:rPr>
          <w:rFonts w:ascii="Arial" w:hAnsi="Arial"/>
          <w:b/>
          <w:bCs/>
          <w:color w:val="000000"/>
          <w:sz w:val="23"/>
          <w:szCs w:val="23"/>
          <w:lang w:eastAsia="es-ES"/>
        </w:rPr>
        <w:br w:type="page"/>
      </w:r>
    </w:p>
    <w:p w14:paraId="161603C6" w14:textId="77777777" w:rsidR="004E3CBA" w:rsidRDefault="00CE3F8B" w:rsidP="00FC743D">
      <w:pPr>
        <w:jc w:val="center"/>
        <w:rPr>
          <w:rFonts w:ascii="Arial" w:hAnsi="Arial"/>
          <w:b/>
          <w:bCs/>
          <w:color w:val="000000"/>
          <w:sz w:val="23"/>
          <w:szCs w:val="23"/>
          <w:lang w:eastAsia="es-ES"/>
        </w:rPr>
      </w:pPr>
      <w:r>
        <w:rPr>
          <w:rFonts w:ascii="Arial" w:hAnsi="Arial"/>
          <w:b/>
          <w:bCs/>
          <w:color w:val="000000"/>
          <w:sz w:val="23"/>
          <w:szCs w:val="23"/>
          <w:lang w:eastAsia="es-ES"/>
        </w:rPr>
        <w:lastRenderedPageBreak/>
        <w:t>ANEXO 2</w:t>
      </w:r>
    </w:p>
    <w:p w14:paraId="18D7FCEC" w14:textId="0069AD66" w:rsidR="004E3CBA" w:rsidRPr="00BD7ACC" w:rsidRDefault="004E3CBA" w:rsidP="00BD7ACC">
      <w:pPr>
        <w:pStyle w:val="Sinespaciado"/>
        <w:ind w:left="-567" w:right="-142"/>
        <w:jc w:val="both"/>
        <w:rPr>
          <w:rFonts w:ascii="Arial" w:hAnsi="Arial" w:cs="Arial"/>
          <w:sz w:val="24"/>
          <w:szCs w:val="24"/>
          <w:lang w:eastAsia="es-ES"/>
        </w:rPr>
      </w:pPr>
      <w:r w:rsidRPr="00BD7ACC">
        <w:rPr>
          <w:rFonts w:ascii="Arial" w:hAnsi="Arial" w:cs="Arial"/>
          <w:sz w:val="24"/>
          <w:szCs w:val="24"/>
          <w:lang w:eastAsia="es-ES"/>
        </w:rPr>
        <w:t>Población estimada</w:t>
      </w:r>
      <w:r w:rsidR="00EF18E4">
        <w:rPr>
          <w:rFonts w:ascii="Arial" w:hAnsi="Arial" w:cs="Arial"/>
          <w:sz w:val="24"/>
          <w:szCs w:val="24"/>
          <w:lang w:eastAsia="es-ES"/>
        </w:rPr>
        <w:t xml:space="preserve"> que elabora el INEGI</w:t>
      </w:r>
      <w:r w:rsidR="006213A3">
        <w:rPr>
          <w:rFonts w:ascii="Arial" w:hAnsi="Arial" w:cs="Arial"/>
          <w:sz w:val="24"/>
          <w:szCs w:val="24"/>
          <w:lang w:eastAsia="es-ES"/>
        </w:rPr>
        <w:t xml:space="preserve"> </w:t>
      </w:r>
      <w:r w:rsidRPr="00BD7ACC">
        <w:rPr>
          <w:rFonts w:ascii="Arial" w:hAnsi="Arial" w:cs="Arial"/>
          <w:sz w:val="24"/>
          <w:szCs w:val="24"/>
          <w:lang w:eastAsia="es-ES"/>
        </w:rPr>
        <w:t>con base en el Marco de Muestreo de Viviendas</w:t>
      </w:r>
      <w:r w:rsidR="00EF18E4">
        <w:rPr>
          <w:rFonts w:ascii="Arial" w:hAnsi="Arial" w:cs="Arial"/>
          <w:sz w:val="24"/>
          <w:szCs w:val="24"/>
          <w:lang w:eastAsia="es-ES"/>
        </w:rPr>
        <w:t xml:space="preserve"> </w:t>
      </w:r>
      <w:r w:rsidRPr="00BD7ACC">
        <w:rPr>
          <w:rFonts w:ascii="Arial" w:hAnsi="Arial" w:cs="Arial"/>
          <w:sz w:val="24"/>
          <w:szCs w:val="24"/>
          <w:lang w:eastAsia="es-ES"/>
        </w:rPr>
        <w:t>referidas al 30 de junio de 2020 y al 30 de junio de 2021</w:t>
      </w:r>
      <w:r w:rsidR="000E6BE9" w:rsidRPr="00BD7ACC">
        <w:rPr>
          <w:rFonts w:ascii="Arial" w:hAnsi="Arial" w:cs="Arial"/>
          <w:sz w:val="24"/>
          <w:szCs w:val="24"/>
          <w:lang w:eastAsia="es-ES"/>
        </w:rPr>
        <w:t>,</w:t>
      </w:r>
      <w:r w:rsidRPr="00BD7ACC">
        <w:rPr>
          <w:rFonts w:ascii="Arial" w:hAnsi="Arial" w:cs="Arial"/>
          <w:sz w:val="24"/>
          <w:szCs w:val="24"/>
          <w:lang w:eastAsia="es-ES"/>
        </w:rPr>
        <w:t xml:space="preserve"> respectivamente</w:t>
      </w:r>
      <w:r w:rsidR="006F21BB" w:rsidRPr="00BD7ACC">
        <w:rPr>
          <w:rFonts w:ascii="Arial" w:hAnsi="Arial" w:cs="Arial"/>
          <w:sz w:val="24"/>
          <w:szCs w:val="24"/>
          <w:lang w:eastAsia="es-ES"/>
        </w:rPr>
        <w:t>.</w:t>
      </w:r>
    </w:p>
    <w:tbl>
      <w:tblPr>
        <w:tblW w:w="8400" w:type="dxa"/>
        <w:tblCellMar>
          <w:left w:w="70" w:type="dxa"/>
          <w:right w:w="70" w:type="dxa"/>
        </w:tblCellMar>
        <w:tblLook w:val="04A0" w:firstRow="1" w:lastRow="0" w:firstColumn="1" w:lastColumn="0" w:noHBand="0" w:noVBand="1"/>
      </w:tblPr>
      <w:tblGrid>
        <w:gridCol w:w="4320"/>
        <w:gridCol w:w="2040"/>
        <w:gridCol w:w="2040"/>
      </w:tblGrid>
      <w:tr w:rsidR="006F21BB" w:rsidRPr="006F21BB" w14:paraId="7233DFC8" w14:textId="77777777" w:rsidTr="006F21BB">
        <w:trPr>
          <w:trHeight w:val="300"/>
        </w:trPr>
        <w:tc>
          <w:tcPr>
            <w:tcW w:w="4320" w:type="dxa"/>
            <w:tcBorders>
              <w:top w:val="nil"/>
              <w:left w:val="nil"/>
              <w:bottom w:val="nil"/>
              <w:right w:val="nil"/>
            </w:tcBorders>
            <w:shd w:val="clear" w:color="auto" w:fill="auto"/>
            <w:noWrap/>
            <w:vAlign w:val="bottom"/>
            <w:hideMark/>
          </w:tcPr>
          <w:p w14:paraId="4E5F365B" w14:textId="77777777" w:rsidR="006F21BB" w:rsidRPr="006F21BB" w:rsidRDefault="006F21BB" w:rsidP="006F21BB">
            <w:pPr>
              <w:spacing w:after="0" w:line="240" w:lineRule="auto"/>
              <w:rPr>
                <w:rFonts w:ascii="Arial" w:hAnsi="Arial" w:cs="Arial"/>
                <w:sz w:val="20"/>
                <w:szCs w:val="20"/>
              </w:rPr>
            </w:pPr>
          </w:p>
        </w:tc>
        <w:tc>
          <w:tcPr>
            <w:tcW w:w="2040" w:type="dxa"/>
            <w:tcBorders>
              <w:top w:val="single" w:sz="4" w:space="0" w:color="auto"/>
              <w:left w:val="single" w:sz="4" w:space="0" w:color="auto"/>
              <w:bottom w:val="nil"/>
              <w:right w:val="single" w:sz="4" w:space="0" w:color="auto"/>
            </w:tcBorders>
            <w:shd w:val="clear" w:color="000000" w:fill="C0504D"/>
            <w:noWrap/>
            <w:vAlign w:val="center"/>
            <w:hideMark/>
          </w:tcPr>
          <w:p w14:paraId="35B531FA" w14:textId="77777777" w:rsidR="006F21BB" w:rsidRPr="006F21BB" w:rsidRDefault="006F21BB" w:rsidP="006F21BB">
            <w:pPr>
              <w:spacing w:after="0" w:line="240" w:lineRule="auto"/>
              <w:jc w:val="right"/>
              <w:rPr>
                <w:rFonts w:ascii="Arial" w:hAnsi="Arial" w:cs="Arial"/>
                <w:b/>
                <w:bCs/>
                <w:color w:val="FFFFFF"/>
                <w:sz w:val="20"/>
                <w:szCs w:val="20"/>
              </w:rPr>
            </w:pPr>
            <w:r w:rsidRPr="006F21BB">
              <w:rPr>
                <w:rFonts w:ascii="Arial" w:hAnsi="Arial" w:cs="Arial"/>
                <w:b/>
                <w:bCs/>
                <w:color w:val="FFFFFF"/>
                <w:sz w:val="20"/>
                <w:szCs w:val="20"/>
              </w:rPr>
              <w:t>2020</w:t>
            </w:r>
          </w:p>
        </w:tc>
        <w:tc>
          <w:tcPr>
            <w:tcW w:w="2040" w:type="dxa"/>
            <w:tcBorders>
              <w:top w:val="single" w:sz="4" w:space="0" w:color="auto"/>
              <w:left w:val="nil"/>
              <w:bottom w:val="nil"/>
              <w:right w:val="single" w:sz="4" w:space="0" w:color="auto"/>
            </w:tcBorders>
            <w:shd w:val="clear" w:color="000000" w:fill="C0504D"/>
            <w:noWrap/>
            <w:vAlign w:val="center"/>
            <w:hideMark/>
          </w:tcPr>
          <w:p w14:paraId="034B1366" w14:textId="77777777" w:rsidR="006F21BB" w:rsidRPr="006F21BB" w:rsidRDefault="006F21BB" w:rsidP="006F21BB">
            <w:pPr>
              <w:spacing w:after="0" w:line="240" w:lineRule="auto"/>
              <w:jc w:val="right"/>
              <w:rPr>
                <w:rFonts w:ascii="Arial" w:hAnsi="Arial" w:cs="Arial"/>
                <w:b/>
                <w:bCs/>
                <w:color w:val="FFFFFF"/>
                <w:sz w:val="20"/>
                <w:szCs w:val="20"/>
              </w:rPr>
            </w:pPr>
            <w:r w:rsidRPr="006F21BB">
              <w:rPr>
                <w:rFonts w:ascii="Arial" w:hAnsi="Arial" w:cs="Arial"/>
                <w:b/>
                <w:bCs/>
                <w:color w:val="FFFFFF"/>
                <w:sz w:val="20"/>
                <w:szCs w:val="20"/>
              </w:rPr>
              <w:t>2021</w:t>
            </w:r>
          </w:p>
        </w:tc>
      </w:tr>
      <w:tr w:rsidR="006F21BB" w:rsidRPr="006F21BB" w14:paraId="138A1E9B" w14:textId="77777777" w:rsidTr="006F21BB">
        <w:trPr>
          <w:trHeight w:val="188"/>
        </w:trPr>
        <w:tc>
          <w:tcPr>
            <w:tcW w:w="4320" w:type="dxa"/>
            <w:tcBorders>
              <w:top w:val="single" w:sz="4" w:space="0" w:color="auto"/>
              <w:left w:val="single" w:sz="4" w:space="0" w:color="auto"/>
              <w:bottom w:val="nil"/>
              <w:right w:val="single" w:sz="4" w:space="0" w:color="auto"/>
            </w:tcBorders>
            <w:shd w:val="clear" w:color="000000" w:fill="C0504D"/>
            <w:noWrap/>
            <w:vAlign w:val="center"/>
            <w:hideMark/>
          </w:tcPr>
          <w:p w14:paraId="4B1CF08C" w14:textId="77777777" w:rsidR="006F21BB" w:rsidRPr="006F21BB" w:rsidRDefault="006F21BB" w:rsidP="006F21BB">
            <w:pPr>
              <w:spacing w:after="0" w:line="240" w:lineRule="auto"/>
              <w:rPr>
                <w:rFonts w:ascii="Arial" w:hAnsi="Arial" w:cs="Arial"/>
                <w:b/>
                <w:bCs/>
                <w:color w:val="FFFFFF"/>
                <w:sz w:val="20"/>
                <w:szCs w:val="20"/>
              </w:rPr>
            </w:pPr>
            <w:r w:rsidRPr="006F21BB">
              <w:rPr>
                <w:rFonts w:ascii="Arial" w:hAnsi="Arial" w:cs="Arial"/>
                <w:b/>
                <w:bCs/>
                <w:color w:val="FFFFFF"/>
                <w:sz w:val="20"/>
                <w:szCs w:val="20"/>
              </w:rPr>
              <w:t>Sexo</w:t>
            </w:r>
          </w:p>
        </w:tc>
        <w:tc>
          <w:tcPr>
            <w:tcW w:w="2040" w:type="dxa"/>
            <w:tcBorders>
              <w:top w:val="single" w:sz="4" w:space="0" w:color="auto"/>
              <w:left w:val="nil"/>
              <w:bottom w:val="nil"/>
              <w:right w:val="single" w:sz="4" w:space="0" w:color="auto"/>
            </w:tcBorders>
            <w:shd w:val="clear" w:color="000000" w:fill="C0504D"/>
            <w:noWrap/>
            <w:vAlign w:val="center"/>
            <w:hideMark/>
          </w:tcPr>
          <w:p w14:paraId="30450333" w14:textId="77777777" w:rsidR="006F21BB" w:rsidRPr="006F21BB" w:rsidRDefault="006F21BB" w:rsidP="006F21BB">
            <w:pPr>
              <w:spacing w:after="0" w:line="240" w:lineRule="auto"/>
              <w:jc w:val="right"/>
              <w:rPr>
                <w:rFonts w:ascii="Arial" w:hAnsi="Arial" w:cs="Arial"/>
                <w:b/>
                <w:bCs/>
                <w:color w:val="FFFFFF"/>
                <w:sz w:val="20"/>
                <w:szCs w:val="20"/>
              </w:rPr>
            </w:pPr>
            <w:r w:rsidRPr="006F21BB">
              <w:rPr>
                <w:rFonts w:ascii="Arial" w:hAnsi="Arial" w:cs="Arial"/>
                <w:b/>
                <w:bCs/>
                <w:color w:val="FFFFFF"/>
                <w:sz w:val="20"/>
                <w:szCs w:val="20"/>
              </w:rPr>
              <w:t>30/06/2020</w:t>
            </w:r>
          </w:p>
        </w:tc>
        <w:tc>
          <w:tcPr>
            <w:tcW w:w="2040" w:type="dxa"/>
            <w:tcBorders>
              <w:top w:val="single" w:sz="4" w:space="0" w:color="auto"/>
              <w:left w:val="nil"/>
              <w:bottom w:val="nil"/>
              <w:right w:val="single" w:sz="4" w:space="0" w:color="auto"/>
            </w:tcBorders>
            <w:shd w:val="clear" w:color="000000" w:fill="C0504D"/>
            <w:noWrap/>
            <w:vAlign w:val="center"/>
            <w:hideMark/>
          </w:tcPr>
          <w:p w14:paraId="62989B49" w14:textId="77777777" w:rsidR="006F21BB" w:rsidRPr="006F21BB" w:rsidRDefault="006F21BB" w:rsidP="006F21BB">
            <w:pPr>
              <w:spacing w:after="0" w:line="240" w:lineRule="auto"/>
              <w:jc w:val="right"/>
              <w:rPr>
                <w:rFonts w:ascii="Arial" w:hAnsi="Arial" w:cs="Arial"/>
                <w:b/>
                <w:bCs/>
                <w:color w:val="FFFFFF"/>
                <w:sz w:val="20"/>
                <w:szCs w:val="20"/>
              </w:rPr>
            </w:pPr>
            <w:r w:rsidRPr="006F21BB">
              <w:rPr>
                <w:rFonts w:ascii="Arial" w:hAnsi="Arial" w:cs="Arial"/>
                <w:b/>
                <w:bCs/>
                <w:color w:val="FFFFFF"/>
                <w:sz w:val="20"/>
                <w:szCs w:val="20"/>
              </w:rPr>
              <w:t>30/06/2021</w:t>
            </w:r>
          </w:p>
        </w:tc>
      </w:tr>
      <w:tr w:rsidR="006F21BB" w:rsidRPr="006F21BB" w14:paraId="6DC1EAA3" w14:textId="77777777" w:rsidTr="006F21BB">
        <w:trPr>
          <w:trHeight w:val="235"/>
        </w:trPr>
        <w:tc>
          <w:tcPr>
            <w:tcW w:w="4320" w:type="dxa"/>
            <w:tcBorders>
              <w:top w:val="single" w:sz="4" w:space="0" w:color="auto"/>
              <w:left w:val="single" w:sz="4" w:space="0" w:color="auto"/>
              <w:bottom w:val="single" w:sz="4" w:space="0" w:color="auto"/>
              <w:right w:val="single" w:sz="4" w:space="0" w:color="auto"/>
            </w:tcBorders>
            <w:shd w:val="clear" w:color="000000" w:fill="C0504D"/>
            <w:noWrap/>
            <w:vAlign w:val="bottom"/>
            <w:hideMark/>
          </w:tcPr>
          <w:p w14:paraId="34C4E70B" w14:textId="77777777" w:rsidR="006F21BB" w:rsidRPr="006F21BB" w:rsidRDefault="006F21BB" w:rsidP="006F21BB">
            <w:pPr>
              <w:spacing w:after="0" w:line="240" w:lineRule="auto"/>
              <w:rPr>
                <w:rFonts w:ascii="Arial" w:hAnsi="Arial" w:cs="Arial"/>
                <w:b/>
                <w:bCs/>
                <w:color w:val="000000"/>
                <w:sz w:val="20"/>
                <w:szCs w:val="20"/>
              </w:rPr>
            </w:pPr>
            <w:r w:rsidRPr="006F21BB">
              <w:rPr>
                <w:rFonts w:ascii="Arial" w:hAnsi="Arial" w:cs="Arial"/>
                <w:b/>
                <w:bCs/>
                <w:color w:val="FFFFFF" w:themeColor="background1"/>
                <w:sz w:val="20"/>
                <w:szCs w:val="20"/>
              </w:rPr>
              <w:t>Estados Unidos Mexicanos</w:t>
            </w:r>
          </w:p>
        </w:tc>
        <w:tc>
          <w:tcPr>
            <w:tcW w:w="2040" w:type="dxa"/>
            <w:tcBorders>
              <w:top w:val="single" w:sz="4" w:space="0" w:color="auto"/>
              <w:left w:val="nil"/>
              <w:bottom w:val="single" w:sz="4" w:space="0" w:color="auto"/>
              <w:right w:val="single" w:sz="4" w:space="0" w:color="auto"/>
            </w:tcBorders>
            <w:shd w:val="clear" w:color="000000" w:fill="C0504D"/>
            <w:noWrap/>
            <w:vAlign w:val="bottom"/>
            <w:hideMark/>
          </w:tcPr>
          <w:p w14:paraId="00E05675" w14:textId="77777777" w:rsidR="006F21BB" w:rsidRPr="006F21BB" w:rsidRDefault="006F21BB" w:rsidP="006F21BB">
            <w:pPr>
              <w:spacing w:after="0" w:line="240" w:lineRule="auto"/>
              <w:jc w:val="right"/>
              <w:rPr>
                <w:rFonts w:ascii="Arial" w:hAnsi="Arial" w:cs="Arial"/>
                <w:b/>
                <w:bCs/>
                <w:color w:val="FFFFFF" w:themeColor="background1"/>
                <w:sz w:val="20"/>
                <w:szCs w:val="20"/>
              </w:rPr>
            </w:pPr>
            <w:r w:rsidRPr="006F21BB">
              <w:rPr>
                <w:rFonts w:ascii="Arial" w:hAnsi="Arial" w:cs="Arial"/>
                <w:b/>
                <w:bCs/>
                <w:color w:val="FFFFFF" w:themeColor="background1"/>
                <w:sz w:val="20"/>
                <w:szCs w:val="20"/>
              </w:rPr>
              <w:t>126 387 071</w:t>
            </w:r>
          </w:p>
        </w:tc>
        <w:tc>
          <w:tcPr>
            <w:tcW w:w="2040" w:type="dxa"/>
            <w:tcBorders>
              <w:top w:val="single" w:sz="4" w:space="0" w:color="auto"/>
              <w:left w:val="nil"/>
              <w:bottom w:val="single" w:sz="4" w:space="0" w:color="auto"/>
              <w:right w:val="single" w:sz="4" w:space="0" w:color="auto"/>
            </w:tcBorders>
            <w:shd w:val="clear" w:color="000000" w:fill="C0504D"/>
            <w:noWrap/>
            <w:vAlign w:val="bottom"/>
            <w:hideMark/>
          </w:tcPr>
          <w:p w14:paraId="39618897" w14:textId="77777777" w:rsidR="006F21BB" w:rsidRPr="006F21BB" w:rsidRDefault="006F21BB" w:rsidP="006F21BB">
            <w:pPr>
              <w:spacing w:after="0" w:line="240" w:lineRule="auto"/>
              <w:jc w:val="right"/>
              <w:rPr>
                <w:rFonts w:ascii="Arial" w:hAnsi="Arial" w:cs="Arial"/>
                <w:b/>
                <w:bCs/>
                <w:color w:val="FFFFFF" w:themeColor="background1"/>
                <w:sz w:val="20"/>
                <w:szCs w:val="20"/>
              </w:rPr>
            </w:pPr>
            <w:r w:rsidRPr="006F21BB">
              <w:rPr>
                <w:rFonts w:ascii="Arial" w:hAnsi="Arial" w:cs="Arial"/>
                <w:b/>
                <w:bCs/>
                <w:color w:val="FFFFFF" w:themeColor="background1"/>
                <w:sz w:val="20"/>
                <w:szCs w:val="20"/>
              </w:rPr>
              <w:t>127 625 767</w:t>
            </w:r>
          </w:p>
        </w:tc>
      </w:tr>
      <w:tr w:rsidR="006F21BB" w:rsidRPr="006F21BB" w14:paraId="428F860C"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43535617"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Hombres</w:t>
            </w:r>
          </w:p>
        </w:tc>
        <w:tc>
          <w:tcPr>
            <w:tcW w:w="2040" w:type="dxa"/>
            <w:tcBorders>
              <w:top w:val="nil"/>
              <w:left w:val="nil"/>
              <w:bottom w:val="nil"/>
              <w:right w:val="single" w:sz="4" w:space="0" w:color="auto"/>
            </w:tcBorders>
            <w:shd w:val="clear" w:color="auto" w:fill="auto"/>
            <w:noWrap/>
            <w:vAlign w:val="bottom"/>
            <w:hideMark/>
          </w:tcPr>
          <w:p w14:paraId="6F1A9954"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61 655 373</w:t>
            </w:r>
          </w:p>
        </w:tc>
        <w:tc>
          <w:tcPr>
            <w:tcW w:w="2040" w:type="dxa"/>
            <w:tcBorders>
              <w:top w:val="nil"/>
              <w:left w:val="nil"/>
              <w:bottom w:val="nil"/>
              <w:right w:val="single" w:sz="4" w:space="0" w:color="auto"/>
            </w:tcBorders>
            <w:shd w:val="clear" w:color="auto" w:fill="auto"/>
            <w:noWrap/>
            <w:vAlign w:val="bottom"/>
            <w:hideMark/>
          </w:tcPr>
          <w:p w14:paraId="6A7917B6"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62 260 122</w:t>
            </w:r>
          </w:p>
        </w:tc>
      </w:tr>
      <w:tr w:rsidR="006F21BB" w:rsidRPr="006F21BB" w14:paraId="580CC654" w14:textId="77777777" w:rsidTr="006F21BB">
        <w:trPr>
          <w:trHeight w:val="300"/>
        </w:trPr>
        <w:tc>
          <w:tcPr>
            <w:tcW w:w="4320" w:type="dxa"/>
            <w:tcBorders>
              <w:top w:val="nil"/>
              <w:left w:val="single" w:sz="4" w:space="0" w:color="auto"/>
              <w:bottom w:val="single" w:sz="4" w:space="0" w:color="auto"/>
              <w:right w:val="single" w:sz="4" w:space="0" w:color="auto"/>
            </w:tcBorders>
            <w:shd w:val="clear" w:color="000000" w:fill="FABF8F"/>
            <w:noWrap/>
            <w:vAlign w:val="bottom"/>
            <w:hideMark/>
          </w:tcPr>
          <w:p w14:paraId="1716478A"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Mujeres</w:t>
            </w:r>
          </w:p>
        </w:tc>
        <w:tc>
          <w:tcPr>
            <w:tcW w:w="2040" w:type="dxa"/>
            <w:tcBorders>
              <w:top w:val="nil"/>
              <w:left w:val="nil"/>
              <w:bottom w:val="single" w:sz="4" w:space="0" w:color="auto"/>
              <w:right w:val="single" w:sz="4" w:space="0" w:color="auto"/>
            </w:tcBorders>
            <w:shd w:val="clear" w:color="auto" w:fill="auto"/>
            <w:noWrap/>
            <w:vAlign w:val="bottom"/>
            <w:hideMark/>
          </w:tcPr>
          <w:p w14:paraId="4CC3300E"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64 731 698</w:t>
            </w:r>
          </w:p>
        </w:tc>
        <w:tc>
          <w:tcPr>
            <w:tcW w:w="2040" w:type="dxa"/>
            <w:tcBorders>
              <w:top w:val="nil"/>
              <w:left w:val="nil"/>
              <w:bottom w:val="single" w:sz="4" w:space="0" w:color="auto"/>
              <w:right w:val="single" w:sz="4" w:space="0" w:color="auto"/>
            </w:tcBorders>
            <w:shd w:val="clear" w:color="auto" w:fill="auto"/>
            <w:noWrap/>
            <w:vAlign w:val="bottom"/>
            <w:hideMark/>
          </w:tcPr>
          <w:p w14:paraId="77176864"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65 365 645</w:t>
            </w:r>
          </w:p>
        </w:tc>
      </w:tr>
    </w:tbl>
    <w:p w14:paraId="181C7904" w14:textId="48DDD45E" w:rsidR="004E3CBA" w:rsidRPr="006F21BB" w:rsidRDefault="004E3CBA" w:rsidP="006F21BB">
      <w:pPr>
        <w:pStyle w:val="Sinespaciado"/>
        <w:rPr>
          <w:lang w:eastAsia="es-ES"/>
        </w:rPr>
      </w:pPr>
    </w:p>
    <w:tbl>
      <w:tblPr>
        <w:tblW w:w="8400" w:type="dxa"/>
        <w:tblCellMar>
          <w:left w:w="70" w:type="dxa"/>
          <w:right w:w="70" w:type="dxa"/>
        </w:tblCellMar>
        <w:tblLook w:val="04A0" w:firstRow="1" w:lastRow="0" w:firstColumn="1" w:lastColumn="0" w:noHBand="0" w:noVBand="1"/>
      </w:tblPr>
      <w:tblGrid>
        <w:gridCol w:w="4320"/>
        <w:gridCol w:w="2040"/>
        <w:gridCol w:w="2040"/>
      </w:tblGrid>
      <w:tr w:rsidR="006F21BB" w:rsidRPr="006F21BB" w14:paraId="0272EAC3" w14:textId="77777777" w:rsidTr="006F21BB">
        <w:trPr>
          <w:trHeight w:val="300"/>
        </w:trPr>
        <w:tc>
          <w:tcPr>
            <w:tcW w:w="4320" w:type="dxa"/>
            <w:tcBorders>
              <w:top w:val="nil"/>
              <w:left w:val="nil"/>
              <w:bottom w:val="nil"/>
              <w:right w:val="nil"/>
            </w:tcBorders>
            <w:shd w:val="clear" w:color="auto" w:fill="auto"/>
            <w:noWrap/>
            <w:vAlign w:val="bottom"/>
            <w:hideMark/>
          </w:tcPr>
          <w:p w14:paraId="2CF17736" w14:textId="77777777" w:rsidR="006F21BB" w:rsidRPr="006F21BB" w:rsidRDefault="006F21BB" w:rsidP="006F21BB">
            <w:pPr>
              <w:spacing w:after="0" w:line="240" w:lineRule="auto"/>
              <w:rPr>
                <w:rFonts w:ascii="Arial" w:hAnsi="Arial" w:cs="Arial"/>
                <w:sz w:val="20"/>
                <w:szCs w:val="20"/>
              </w:rPr>
            </w:pPr>
          </w:p>
        </w:tc>
        <w:tc>
          <w:tcPr>
            <w:tcW w:w="2040" w:type="dxa"/>
            <w:tcBorders>
              <w:top w:val="single" w:sz="4" w:space="0" w:color="auto"/>
              <w:left w:val="single" w:sz="4" w:space="0" w:color="auto"/>
              <w:bottom w:val="nil"/>
              <w:right w:val="single" w:sz="4" w:space="0" w:color="auto"/>
            </w:tcBorders>
            <w:shd w:val="clear" w:color="000000" w:fill="C0504D"/>
            <w:noWrap/>
            <w:vAlign w:val="center"/>
            <w:hideMark/>
          </w:tcPr>
          <w:p w14:paraId="467715D4" w14:textId="77777777" w:rsidR="006F21BB" w:rsidRPr="006F21BB" w:rsidRDefault="006F21BB" w:rsidP="006F21BB">
            <w:pPr>
              <w:spacing w:after="0" w:line="240" w:lineRule="auto"/>
              <w:jc w:val="right"/>
              <w:rPr>
                <w:rFonts w:ascii="Arial" w:hAnsi="Arial" w:cs="Arial"/>
                <w:b/>
                <w:bCs/>
                <w:color w:val="FFFFFF"/>
                <w:sz w:val="20"/>
                <w:szCs w:val="20"/>
              </w:rPr>
            </w:pPr>
            <w:r w:rsidRPr="006F21BB">
              <w:rPr>
                <w:rFonts w:ascii="Arial" w:hAnsi="Arial" w:cs="Arial"/>
                <w:b/>
                <w:bCs/>
                <w:color w:val="FFFFFF"/>
                <w:sz w:val="20"/>
                <w:szCs w:val="20"/>
              </w:rPr>
              <w:t>2020</w:t>
            </w:r>
          </w:p>
        </w:tc>
        <w:tc>
          <w:tcPr>
            <w:tcW w:w="2040" w:type="dxa"/>
            <w:tcBorders>
              <w:top w:val="single" w:sz="4" w:space="0" w:color="auto"/>
              <w:left w:val="nil"/>
              <w:bottom w:val="nil"/>
              <w:right w:val="single" w:sz="4" w:space="0" w:color="auto"/>
            </w:tcBorders>
            <w:shd w:val="clear" w:color="000000" w:fill="C0504D"/>
            <w:noWrap/>
            <w:vAlign w:val="center"/>
            <w:hideMark/>
          </w:tcPr>
          <w:p w14:paraId="618D3D3B" w14:textId="77777777" w:rsidR="006F21BB" w:rsidRPr="006F21BB" w:rsidRDefault="006F21BB" w:rsidP="006F21BB">
            <w:pPr>
              <w:spacing w:after="0" w:line="240" w:lineRule="auto"/>
              <w:jc w:val="right"/>
              <w:rPr>
                <w:rFonts w:ascii="Arial" w:hAnsi="Arial" w:cs="Arial"/>
                <w:b/>
                <w:bCs/>
                <w:color w:val="FFFFFF"/>
                <w:sz w:val="20"/>
                <w:szCs w:val="20"/>
              </w:rPr>
            </w:pPr>
            <w:r w:rsidRPr="006F21BB">
              <w:rPr>
                <w:rFonts w:ascii="Arial" w:hAnsi="Arial" w:cs="Arial"/>
                <w:b/>
                <w:bCs/>
                <w:color w:val="FFFFFF"/>
                <w:sz w:val="20"/>
                <w:szCs w:val="20"/>
              </w:rPr>
              <w:t>2021</w:t>
            </w:r>
          </w:p>
        </w:tc>
      </w:tr>
      <w:tr w:rsidR="006F21BB" w:rsidRPr="006F21BB" w14:paraId="07563953" w14:textId="77777777" w:rsidTr="006F21BB">
        <w:trPr>
          <w:trHeight w:val="212"/>
        </w:trPr>
        <w:tc>
          <w:tcPr>
            <w:tcW w:w="4320" w:type="dxa"/>
            <w:tcBorders>
              <w:top w:val="single" w:sz="4" w:space="0" w:color="auto"/>
              <w:left w:val="single" w:sz="4" w:space="0" w:color="auto"/>
              <w:bottom w:val="nil"/>
              <w:right w:val="single" w:sz="4" w:space="0" w:color="auto"/>
            </w:tcBorders>
            <w:shd w:val="clear" w:color="000000" w:fill="C0504D"/>
            <w:noWrap/>
            <w:vAlign w:val="center"/>
            <w:hideMark/>
          </w:tcPr>
          <w:p w14:paraId="0DA4E4A7" w14:textId="77777777" w:rsidR="006F21BB" w:rsidRPr="006F21BB" w:rsidRDefault="006F21BB" w:rsidP="006F21BB">
            <w:pPr>
              <w:spacing w:after="0" w:line="240" w:lineRule="auto"/>
              <w:rPr>
                <w:rFonts w:ascii="Arial" w:hAnsi="Arial" w:cs="Arial"/>
                <w:b/>
                <w:bCs/>
                <w:color w:val="FFFFFF"/>
                <w:sz w:val="20"/>
                <w:szCs w:val="20"/>
              </w:rPr>
            </w:pPr>
            <w:r w:rsidRPr="006F21BB">
              <w:rPr>
                <w:rFonts w:ascii="Arial" w:hAnsi="Arial" w:cs="Arial"/>
                <w:b/>
                <w:bCs/>
                <w:color w:val="FFFFFF"/>
                <w:sz w:val="20"/>
                <w:szCs w:val="20"/>
              </w:rPr>
              <w:t>Entidad</w:t>
            </w:r>
          </w:p>
        </w:tc>
        <w:tc>
          <w:tcPr>
            <w:tcW w:w="2040" w:type="dxa"/>
            <w:tcBorders>
              <w:top w:val="single" w:sz="4" w:space="0" w:color="auto"/>
              <w:left w:val="nil"/>
              <w:bottom w:val="nil"/>
              <w:right w:val="single" w:sz="4" w:space="0" w:color="auto"/>
            </w:tcBorders>
            <w:shd w:val="clear" w:color="000000" w:fill="C0504D"/>
            <w:noWrap/>
            <w:vAlign w:val="center"/>
            <w:hideMark/>
          </w:tcPr>
          <w:p w14:paraId="09E49BC9" w14:textId="77777777" w:rsidR="006F21BB" w:rsidRPr="006F21BB" w:rsidRDefault="006F21BB" w:rsidP="006F21BB">
            <w:pPr>
              <w:spacing w:after="0" w:line="240" w:lineRule="auto"/>
              <w:jc w:val="right"/>
              <w:rPr>
                <w:rFonts w:ascii="Arial" w:hAnsi="Arial" w:cs="Arial"/>
                <w:b/>
                <w:bCs/>
                <w:color w:val="FFFFFF"/>
                <w:sz w:val="20"/>
                <w:szCs w:val="20"/>
              </w:rPr>
            </w:pPr>
            <w:r w:rsidRPr="006F21BB">
              <w:rPr>
                <w:rFonts w:ascii="Arial" w:hAnsi="Arial" w:cs="Arial"/>
                <w:b/>
                <w:bCs/>
                <w:color w:val="FFFFFF"/>
                <w:sz w:val="20"/>
                <w:szCs w:val="20"/>
              </w:rPr>
              <w:t>30/06/2020</w:t>
            </w:r>
          </w:p>
        </w:tc>
        <w:tc>
          <w:tcPr>
            <w:tcW w:w="2040" w:type="dxa"/>
            <w:tcBorders>
              <w:top w:val="single" w:sz="4" w:space="0" w:color="auto"/>
              <w:left w:val="nil"/>
              <w:bottom w:val="nil"/>
              <w:right w:val="single" w:sz="4" w:space="0" w:color="auto"/>
            </w:tcBorders>
            <w:shd w:val="clear" w:color="000000" w:fill="C0504D"/>
            <w:noWrap/>
            <w:vAlign w:val="center"/>
            <w:hideMark/>
          </w:tcPr>
          <w:p w14:paraId="22393295" w14:textId="77777777" w:rsidR="006F21BB" w:rsidRPr="006F21BB" w:rsidRDefault="006F21BB" w:rsidP="006F21BB">
            <w:pPr>
              <w:spacing w:after="0" w:line="240" w:lineRule="auto"/>
              <w:jc w:val="right"/>
              <w:rPr>
                <w:rFonts w:ascii="Arial" w:hAnsi="Arial" w:cs="Arial"/>
                <w:b/>
                <w:bCs/>
                <w:color w:val="FFFFFF"/>
                <w:sz w:val="20"/>
                <w:szCs w:val="20"/>
              </w:rPr>
            </w:pPr>
            <w:r w:rsidRPr="006F21BB">
              <w:rPr>
                <w:rFonts w:ascii="Arial" w:hAnsi="Arial" w:cs="Arial"/>
                <w:b/>
                <w:bCs/>
                <w:color w:val="FFFFFF"/>
                <w:sz w:val="20"/>
                <w:szCs w:val="20"/>
              </w:rPr>
              <w:t>30/06/2021</w:t>
            </w:r>
          </w:p>
        </w:tc>
      </w:tr>
      <w:tr w:rsidR="006F21BB" w:rsidRPr="006F21BB" w14:paraId="7F3ED23E" w14:textId="77777777" w:rsidTr="006F21BB">
        <w:trPr>
          <w:trHeight w:val="259"/>
        </w:trPr>
        <w:tc>
          <w:tcPr>
            <w:tcW w:w="4320" w:type="dxa"/>
            <w:tcBorders>
              <w:top w:val="single" w:sz="4" w:space="0" w:color="auto"/>
              <w:left w:val="single" w:sz="4" w:space="0" w:color="auto"/>
              <w:bottom w:val="single" w:sz="4" w:space="0" w:color="auto"/>
              <w:right w:val="single" w:sz="4" w:space="0" w:color="auto"/>
            </w:tcBorders>
            <w:shd w:val="clear" w:color="000000" w:fill="C0504D"/>
            <w:noWrap/>
            <w:vAlign w:val="bottom"/>
            <w:hideMark/>
          </w:tcPr>
          <w:p w14:paraId="11E1EBAA" w14:textId="77777777" w:rsidR="006F21BB" w:rsidRPr="00FA1D05" w:rsidRDefault="006F21BB" w:rsidP="006F21BB">
            <w:pPr>
              <w:spacing w:after="0" w:line="240" w:lineRule="auto"/>
              <w:rPr>
                <w:rFonts w:ascii="Arial" w:hAnsi="Arial" w:cs="Arial"/>
                <w:b/>
                <w:bCs/>
                <w:color w:val="FFFFFF" w:themeColor="background1"/>
                <w:sz w:val="20"/>
                <w:szCs w:val="20"/>
              </w:rPr>
            </w:pPr>
            <w:r w:rsidRPr="00FA1D05">
              <w:rPr>
                <w:rFonts w:ascii="Arial" w:hAnsi="Arial" w:cs="Arial"/>
                <w:b/>
                <w:bCs/>
                <w:color w:val="FFFFFF" w:themeColor="background1"/>
                <w:sz w:val="20"/>
                <w:szCs w:val="20"/>
              </w:rPr>
              <w:t>Estados Unidos Mexicanos</w:t>
            </w:r>
          </w:p>
        </w:tc>
        <w:tc>
          <w:tcPr>
            <w:tcW w:w="2040" w:type="dxa"/>
            <w:tcBorders>
              <w:top w:val="single" w:sz="4" w:space="0" w:color="auto"/>
              <w:left w:val="nil"/>
              <w:bottom w:val="single" w:sz="4" w:space="0" w:color="auto"/>
              <w:right w:val="single" w:sz="4" w:space="0" w:color="auto"/>
            </w:tcBorders>
            <w:shd w:val="clear" w:color="000000" w:fill="C0504D"/>
            <w:noWrap/>
            <w:vAlign w:val="bottom"/>
            <w:hideMark/>
          </w:tcPr>
          <w:p w14:paraId="231A8950" w14:textId="77777777" w:rsidR="006F21BB" w:rsidRPr="00FA1D05" w:rsidRDefault="006F21BB" w:rsidP="006F21BB">
            <w:pPr>
              <w:spacing w:after="0" w:line="240" w:lineRule="auto"/>
              <w:jc w:val="right"/>
              <w:rPr>
                <w:rFonts w:ascii="Arial" w:hAnsi="Arial" w:cs="Arial"/>
                <w:b/>
                <w:bCs/>
                <w:color w:val="FFFFFF" w:themeColor="background1"/>
                <w:sz w:val="20"/>
                <w:szCs w:val="20"/>
              </w:rPr>
            </w:pPr>
            <w:r w:rsidRPr="00FA1D05">
              <w:rPr>
                <w:rFonts w:ascii="Arial" w:hAnsi="Arial" w:cs="Arial"/>
                <w:b/>
                <w:bCs/>
                <w:color w:val="FFFFFF" w:themeColor="background1"/>
                <w:sz w:val="20"/>
                <w:szCs w:val="20"/>
              </w:rPr>
              <w:t>126 387 071</w:t>
            </w:r>
          </w:p>
        </w:tc>
        <w:tc>
          <w:tcPr>
            <w:tcW w:w="2040" w:type="dxa"/>
            <w:tcBorders>
              <w:top w:val="single" w:sz="4" w:space="0" w:color="auto"/>
              <w:left w:val="nil"/>
              <w:bottom w:val="single" w:sz="4" w:space="0" w:color="auto"/>
              <w:right w:val="single" w:sz="4" w:space="0" w:color="auto"/>
            </w:tcBorders>
            <w:shd w:val="clear" w:color="000000" w:fill="C0504D"/>
            <w:noWrap/>
            <w:vAlign w:val="bottom"/>
            <w:hideMark/>
          </w:tcPr>
          <w:p w14:paraId="4C129083" w14:textId="77777777" w:rsidR="006F21BB" w:rsidRPr="00FA1D05" w:rsidRDefault="006F21BB" w:rsidP="006F21BB">
            <w:pPr>
              <w:spacing w:after="0" w:line="240" w:lineRule="auto"/>
              <w:jc w:val="right"/>
              <w:rPr>
                <w:rFonts w:ascii="Arial" w:hAnsi="Arial" w:cs="Arial"/>
                <w:b/>
                <w:bCs/>
                <w:color w:val="FFFFFF" w:themeColor="background1"/>
                <w:sz w:val="20"/>
                <w:szCs w:val="20"/>
              </w:rPr>
            </w:pPr>
            <w:r w:rsidRPr="00FA1D05">
              <w:rPr>
                <w:rFonts w:ascii="Arial" w:hAnsi="Arial" w:cs="Arial"/>
                <w:b/>
                <w:bCs/>
                <w:color w:val="FFFFFF" w:themeColor="background1"/>
                <w:sz w:val="20"/>
                <w:szCs w:val="20"/>
              </w:rPr>
              <w:t>127 625 767</w:t>
            </w:r>
          </w:p>
        </w:tc>
      </w:tr>
      <w:tr w:rsidR="006F21BB" w:rsidRPr="006F21BB" w14:paraId="04A49DFA"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2814A0DE"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01 Aguascalientes</w:t>
            </w:r>
          </w:p>
        </w:tc>
        <w:tc>
          <w:tcPr>
            <w:tcW w:w="2040" w:type="dxa"/>
            <w:tcBorders>
              <w:top w:val="nil"/>
              <w:left w:val="nil"/>
              <w:bottom w:val="nil"/>
              <w:right w:val="single" w:sz="4" w:space="0" w:color="auto"/>
            </w:tcBorders>
            <w:shd w:val="clear" w:color="auto" w:fill="auto"/>
            <w:noWrap/>
            <w:vAlign w:val="bottom"/>
            <w:hideMark/>
          </w:tcPr>
          <w:p w14:paraId="3A6C205E"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1 432 129</w:t>
            </w:r>
          </w:p>
        </w:tc>
        <w:tc>
          <w:tcPr>
            <w:tcW w:w="2040" w:type="dxa"/>
            <w:tcBorders>
              <w:top w:val="nil"/>
              <w:left w:val="nil"/>
              <w:bottom w:val="nil"/>
              <w:right w:val="single" w:sz="4" w:space="0" w:color="auto"/>
            </w:tcBorders>
            <w:shd w:val="clear" w:color="auto" w:fill="auto"/>
            <w:noWrap/>
            <w:vAlign w:val="bottom"/>
            <w:hideMark/>
          </w:tcPr>
          <w:p w14:paraId="61228712"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1 455 512</w:t>
            </w:r>
          </w:p>
        </w:tc>
      </w:tr>
      <w:tr w:rsidR="006F21BB" w:rsidRPr="006F21BB" w14:paraId="1F85F45D"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3A4D2A88"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02 Baja california</w:t>
            </w:r>
          </w:p>
        </w:tc>
        <w:tc>
          <w:tcPr>
            <w:tcW w:w="2040" w:type="dxa"/>
            <w:tcBorders>
              <w:top w:val="nil"/>
              <w:left w:val="nil"/>
              <w:bottom w:val="nil"/>
              <w:right w:val="single" w:sz="4" w:space="0" w:color="auto"/>
            </w:tcBorders>
            <w:shd w:val="clear" w:color="auto" w:fill="auto"/>
            <w:noWrap/>
            <w:vAlign w:val="bottom"/>
            <w:hideMark/>
          </w:tcPr>
          <w:p w14:paraId="3D656B6A"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3 777 715</w:t>
            </w:r>
          </w:p>
        </w:tc>
        <w:tc>
          <w:tcPr>
            <w:tcW w:w="2040" w:type="dxa"/>
            <w:tcBorders>
              <w:top w:val="nil"/>
              <w:left w:val="nil"/>
              <w:bottom w:val="nil"/>
              <w:right w:val="single" w:sz="4" w:space="0" w:color="auto"/>
            </w:tcBorders>
            <w:shd w:val="clear" w:color="auto" w:fill="auto"/>
            <w:noWrap/>
            <w:vAlign w:val="bottom"/>
            <w:hideMark/>
          </w:tcPr>
          <w:p w14:paraId="76D68A56"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3 794 144</w:t>
            </w:r>
          </w:p>
        </w:tc>
      </w:tr>
      <w:tr w:rsidR="006F21BB" w:rsidRPr="006F21BB" w14:paraId="7C41DE94"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70FC55A5"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03 Baja california Sur</w:t>
            </w:r>
          </w:p>
        </w:tc>
        <w:tc>
          <w:tcPr>
            <w:tcW w:w="2040" w:type="dxa"/>
            <w:tcBorders>
              <w:top w:val="nil"/>
              <w:left w:val="nil"/>
              <w:bottom w:val="nil"/>
              <w:right w:val="single" w:sz="4" w:space="0" w:color="auto"/>
            </w:tcBorders>
            <w:shd w:val="clear" w:color="auto" w:fill="auto"/>
            <w:noWrap/>
            <w:vAlign w:val="bottom"/>
            <w:hideMark/>
          </w:tcPr>
          <w:p w14:paraId="1B6E8E2F"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 xml:space="preserve"> 802 776</w:t>
            </w:r>
          </w:p>
        </w:tc>
        <w:tc>
          <w:tcPr>
            <w:tcW w:w="2040" w:type="dxa"/>
            <w:tcBorders>
              <w:top w:val="nil"/>
              <w:left w:val="nil"/>
              <w:bottom w:val="nil"/>
              <w:right w:val="single" w:sz="4" w:space="0" w:color="auto"/>
            </w:tcBorders>
            <w:shd w:val="clear" w:color="auto" w:fill="auto"/>
            <w:noWrap/>
            <w:vAlign w:val="bottom"/>
            <w:hideMark/>
          </w:tcPr>
          <w:p w14:paraId="7B5162A2"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 xml:space="preserve"> 827 122</w:t>
            </w:r>
          </w:p>
        </w:tc>
      </w:tr>
      <w:tr w:rsidR="006F21BB" w:rsidRPr="006F21BB" w14:paraId="268CF440"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0604CC2E"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04 Campeche</w:t>
            </w:r>
          </w:p>
        </w:tc>
        <w:tc>
          <w:tcPr>
            <w:tcW w:w="2040" w:type="dxa"/>
            <w:tcBorders>
              <w:top w:val="nil"/>
              <w:left w:val="nil"/>
              <w:bottom w:val="nil"/>
              <w:right w:val="single" w:sz="4" w:space="0" w:color="auto"/>
            </w:tcBorders>
            <w:shd w:val="clear" w:color="auto" w:fill="auto"/>
            <w:noWrap/>
            <w:vAlign w:val="bottom"/>
            <w:hideMark/>
          </w:tcPr>
          <w:p w14:paraId="0119B04B"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 xml:space="preserve"> 930 632</w:t>
            </w:r>
          </w:p>
        </w:tc>
        <w:tc>
          <w:tcPr>
            <w:tcW w:w="2040" w:type="dxa"/>
            <w:tcBorders>
              <w:top w:val="nil"/>
              <w:left w:val="nil"/>
              <w:bottom w:val="nil"/>
              <w:right w:val="single" w:sz="4" w:space="0" w:color="auto"/>
            </w:tcBorders>
            <w:shd w:val="clear" w:color="auto" w:fill="auto"/>
            <w:noWrap/>
            <w:vAlign w:val="bottom"/>
            <w:hideMark/>
          </w:tcPr>
          <w:p w14:paraId="518CEDD5"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 xml:space="preserve"> 939 466</w:t>
            </w:r>
          </w:p>
        </w:tc>
      </w:tr>
      <w:tr w:rsidR="006F21BB" w:rsidRPr="006F21BB" w14:paraId="7F1187EC"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08830176"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05 Coahuila de Zaragoza</w:t>
            </w:r>
          </w:p>
        </w:tc>
        <w:tc>
          <w:tcPr>
            <w:tcW w:w="2040" w:type="dxa"/>
            <w:tcBorders>
              <w:top w:val="nil"/>
              <w:left w:val="nil"/>
              <w:bottom w:val="nil"/>
              <w:right w:val="single" w:sz="4" w:space="0" w:color="auto"/>
            </w:tcBorders>
            <w:shd w:val="clear" w:color="auto" w:fill="auto"/>
            <w:noWrap/>
            <w:vAlign w:val="bottom"/>
            <w:hideMark/>
          </w:tcPr>
          <w:p w14:paraId="24DBC6EA"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3 157 264</w:t>
            </w:r>
          </w:p>
        </w:tc>
        <w:tc>
          <w:tcPr>
            <w:tcW w:w="2040" w:type="dxa"/>
            <w:tcBorders>
              <w:top w:val="nil"/>
              <w:left w:val="nil"/>
              <w:bottom w:val="nil"/>
              <w:right w:val="single" w:sz="4" w:space="0" w:color="auto"/>
            </w:tcBorders>
            <w:shd w:val="clear" w:color="auto" w:fill="auto"/>
            <w:noWrap/>
            <w:vAlign w:val="bottom"/>
            <w:hideMark/>
          </w:tcPr>
          <w:p w14:paraId="1E6AB795"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3 221 074</w:t>
            </w:r>
          </w:p>
        </w:tc>
      </w:tr>
      <w:tr w:rsidR="006F21BB" w:rsidRPr="006F21BB" w14:paraId="56EE7154"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5E985CCC"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06 Colima</w:t>
            </w:r>
          </w:p>
        </w:tc>
        <w:tc>
          <w:tcPr>
            <w:tcW w:w="2040" w:type="dxa"/>
            <w:tcBorders>
              <w:top w:val="nil"/>
              <w:left w:val="nil"/>
              <w:bottom w:val="nil"/>
              <w:right w:val="single" w:sz="4" w:space="0" w:color="auto"/>
            </w:tcBorders>
            <w:shd w:val="clear" w:color="auto" w:fill="auto"/>
            <w:noWrap/>
            <w:vAlign w:val="bottom"/>
            <w:hideMark/>
          </w:tcPr>
          <w:p w14:paraId="162CE5E3"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 xml:space="preserve"> 733 664</w:t>
            </w:r>
          </w:p>
        </w:tc>
        <w:tc>
          <w:tcPr>
            <w:tcW w:w="2040" w:type="dxa"/>
            <w:tcBorders>
              <w:top w:val="nil"/>
              <w:left w:val="nil"/>
              <w:bottom w:val="nil"/>
              <w:right w:val="single" w:sz="4" w:space="0" w:color="auto"/>
            </w:tcBorders>
            <w:shd w:val="clear" w:color="auto" w:fill="auto"/>
            <w:noWrap/>
            <w:vAlign w:val="bottom"/>
            <w:hideMark/>
          </w:tcPr>
          <w:p w14:paraId="537BFEE5"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 xml:space="preserve"> 744 065</w:t>
            </w:r>
          </w:p>
        </w:tc>
      </w:tr>
      <w:tr w:rsidR="006F21BB" w:rsidRPr="006F21BB" w14:paraId="07FC2BB5"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147E9110"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07 Chiapas</w:t>
            </w:r>
          </w:p>
        </w:tc>
        <w:tc>
          <w:tcPr>
            <w:tcW w:w="2040" w:type="dxa"/>
            <w:tcBorders>
              <w:top w:val="nil"/>
              <w:left w:val="nil"/>
              <w:bottom w:val="nil"/>
              <w:right w:val="single" w:sz="4" w:space="0" w:color="auto"/>
            </w:tcBorders>
            <w:shd w:val="clear" w:color="auto" w:fill="auto"/>
            <w:noWrap/>
            <w:vAlign w:val="bottom"/>
            <w:hideMark/>
          </w:tcPr>
          <w:p w14:paraId="568FDBB7"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5 553 810</w:t>
            </w:r>
          </w:p>
        </w:tc>
        <w:tc>
          <w:tcPr>
            <w:tcW w:w="2040" w:type="dxa"/>
            <w:tcBorders>
              <w:top w:val="nil"/>
              <w:left w:val="nil"/>
              <w:bottom w:val="nil"/>
              <w:right w:val="single" w:sz="4" w:space="0" w:color="auto"/>
            </w:tcBorders>
            <w:shd w:val="clear" w:color="auto" w:fill="auto"/>
            <w:noWrap/>
            <w:vAlign w:val="bottom"/>
            <w:hideMark/>
          </w:tcPr>
          <w:p w14:paraId="67ECF191"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5 627 759</w:t>
            </w:r>
          </w:p>
        </w:tc>
      </w:tr>
      <w:tr w:rsidR="006F21BB" w:rsidRPr="006F21BB" w14:paraId="6E9D1184"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70258509"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08 Chihuahua</w:t>
            </w:r>
          </w:p>
        </w:tc>
        <w:tc>
          <w:tcPr>
            <w:tcW w:w="2040" w:type="dxa"/>
            <w:tcBorders>
              <w:top w:val="nil"/>
              <w:left w:val="nil"/>
              <w:bottom w:val="nil"/>
              <w:right w:val="single" w:sz="4" w:space="0" w:color="auto"/>
            </w:tcBorders>
            <w:shd w:val="clear" w:color="auto" w:fill="auto"/>
            <w:noWrap/>
            <w:vAlign w:val="bottom"/>
            <w:hideMark/>
          </w:tcPr>
          <w:p w14:paraId="6A6D92A4"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3 751 997</w:t>
            </w:r>
          </w:p>
        </w:tc>
        <w:tc>
          <w:tcPr>
            <w:tcW w:w="2040" w:type="dxa"/>
            <w:tcBorders>
              <w:top w:val="nil"/>
              <w:left w:val="nil"/>
              <w:bottom w:val="nil"/>
              <w:right w:val="single" w:sz="4" w:space="0" w:color="auto"/>
            </w:tcBorders>
            <w:shd w:val="clear" w:color="auto" w:fill="auto"/>
            <w:noWrap/>
            <w:vAlign w:val="bottom"/>
            <w:hideMark/>
          </w:tcPr>
          <w:p w14:paraId="089F9ED5"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3 776 546</w:t>
            </w:r>
          </w:p>
        </w:tc>
      </w:tr>
      <w:tr w:rsidR="006F21BB" w:rsidRPr="006F21BB" w14:paraId="7ACDF9BD"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1AB5E161"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09 Ciudad de México</w:t>
            </w:r>
          </w:p>
        </w:tc>
        <w:tc>
          <w:tcPr>
            <w:tcW w:w="2040" w:type="dxa"/>
            <w:tcBorders>
              <w:top w:val="nil"/>
              <w:left w:val="nil"/>
              <w:bottom w:val="nil"/>
              <w:right w:val="single" w:sz="4" w:space="0" w:color="auto"/>
            </w:tcBorders>
            <w:shd w:val="clear" w:color="auto" w:fill="auto"/>
            <w:noWrap/>
            <w:vAlign w:val="bottom"/>
            <w:hideMark/>
          </w:tcPr>
          <w:p w14:paraId="4E93F36B"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9 231 142</w:t>
            </w:r>
          </w:p>
        </w:tc>
        <w:tc>
          <w:tcPr>
            <w:tcW w:w="2040" w:type="dxa"/>
            <w:tcBorders>
              <w:top w:val="nil"/>
              <w:left w:val="nil"/>
              <w:bottom w:val="nil"/>
              <w:right w:val="single" w:sz="4" w:space="0" w:color="auto"/>
            </w:tcBorders>
            <w:shd w:val="clear" w:color="auto" w:fill="auto"/>
            <w:noWrap/>
            <w:vAlign w:val="bottom"/>
            <w:hideMark/>
          </w:tcPr>
          <w:p w14:paraId="1CEE3E05"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9 253 082</w:t>
            </w:r>
          </w:p>
        </w:tc>
      </w:tr>
      <w:tr w:rsidR="006F21BB" w:rsidRPr="006F21BB" w14:paraId="406F0E24"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4AF2C324"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10 Durango</w:t>
            </w:r>
          </w:p>
        </w:tc>
        <w:tc>
          <w:tcPr>
            <w:tcW w:w="2040" w:type="dxa"/>
            <w:tcBorders>
              <w:top w:val="nil"/>
              <w:left w:val="nil"/>
              <w:bottom w:val="nil"/>
              <w:right w:val="single" w:sz="4" w:space="0" w:color="auto"/>
            </w:tcBorders>
            <w:shd w:val="clear" w:color="auto" w:fill="auto"/>
            <w:noWrap/>
            <w:vAlign w:val="bottom"/>
            <w:hideMark/>
          </w:tcPr>
          <w:p w14:paraId="5E35231A"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1 840 642</w:t>
            </w:r>
          </w:p>
        </w:tc>
        <w:tc>
          <w:tcPr>
            <w:tcW w:w="2040" w:type="dxa"/>
            <w:tcBorders>
              <w:top w:val="nil"/>
              <w:left w:val="nil"/>
              <w:bottom w:val="nil"/>
              <w:right w:val="single" w:sz="4" w:space="0" w:color="auto"/>
            </w:tcBorders>
            <w:shd w:val="clear" w:color="auto" w:fill="auto"/>
            <w:noWrap/>
            <w:vAlign w:val="bottom"/>
            <w:hideMark/>
          </w:tcPr>
          <w:p w14:paraId="37909348"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1 857 908</w:t>
            </w:r>
          </w:p>
        </w:tc>
      </w:tr>
      <w:tr w:rsidR="006F21BB" w:rsidRPr="006F21BB" w14:paraId="462F1740"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7F7E64E0"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11 Guanajuato</w:t>
            </w:r>
          </w:p>
        </w:tc>
        <w:tc>
          <w:tcPr>
            <w:tcW w:w="2040" w:type="dxa"/>
            <w:tcBorders>
              <w:top w:val="nil"/>
              <w:left w:val="nil"/>
              <w:bottom w:val="nil"/>
              <w:right w:val="single" w:sz="4" w:space="0" w:color="auto"/>
            </w:tcBorders>
            <w:shd w:val="clear" w:color="auto" w:fill="auto"/>
            <w:noWrap/>
            <w:vAlign w:val="bottom"/>
            <w:hideMark/>
          </w:tcPr>
          <w:p w14:paraId="2EF0D17F"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6 183 976</w:t>
            </w:r>
          </w:p>
        </w:tc>
        <w:tc>
          <w:tcPr>
            <w:tcW w:w="2040" w:type="dxa"/>
            <w:tcBorders>
              <w:top w:val="nil"/>
              <w:left w:val="nil"/>
              <w:bottom w:val="nil"/>
              <w:right w:val="single" w:sz="4" w:space="0" w:color="auto"/>
            </w:tcBorders>
            <w:shd w:val="clear" w:color="auto" w:fill="auto"/>
            <w:noWrap/>
            <w:vAlign w:val="bottom"/>
            <w:hideMark/>
          </w:tcPr>
          <w:p w14:paraId="67A1D32B"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6 228 116</w:t>
            </w:r>
          </w:p>
        </w:tc>
      </w:tr>
      <w:tr w:rsidR="006F21BB" w:rsidRPr="006F21BB" w14:paraId="2072CD36"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179BCB0B"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12 Guerrero</w:t>
            </w:r>
          </w:p>
        </w:tc>
        <w:tc>
          <w:tcPr>
            <w:tcW w:w="2040" w:type="dxa"/>
            <w:tcBorders>
              <w:top w:val="nil"/>
              <w:left w:val="nil"/>
              <w:bottom w:val="nil"/>
              <w:right w:val="single" w:sz="4" w:space="0" w:color="auto"/>
            </w:tcBorders>
            <w:shd w:val="clear" w:color="auto" w:fill="auto"/>
            <w:noWrap/>
            <w:vAlign w:val="bottom"/>
            <w:hideMark/>
          </w:tcPr>
          <w:p w14:paraId="4EC921D6"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3 552 526</w:t>
            </w:r>
          </w:p>
        </w:tc>
        <w:tc>
          <w:tcPr>
            <w:tcW w:w="2040" w:type="dxa"/>
            <w:tcBorders>
              <w:top w:val="nil"/>
              <w:left w:val="nil"/>
              <w:bottom w:val="nil"/>
              <w:right w:val="single" w:sz="4" w:space="0" w:color="auto"/>
            </w:tcBorders>
            <w:shd w:val="clear" w:color="auto" w:fill="auto"/>
            <w:noWrap/>
            <w:vAlign w:val="bottom"/>
            <w:hideMark/>
          </w:tcPr>
          <w:p w14:paraId="1523FB77"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3 573 816</w:t>
            </w:r>
          </w:p>
        </w:tc>
      </w:tr>
      <w:tr w:rsidR="006F21BB" w:rsidRPr="006F21BB" w14:paraId="7D578F5E"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6F37674F"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13 Hidalgo</w:t>
            </w:r>
          </w:p>
        </w:tc>
        <w:tc>
          <w:tcPr>
            <w:tcW w:w="2040" w:type="dxa"/>
            <w:tcBorders>
              <w:top w:val="nil"/>
              <w:left w:val="nil"/>
              <w:bottom w:val="nil"/>
              <w:right w:val="single" w:sz="4" w:space="0" w:color="auto"/>
            </w:tcBorders>
            <w:shd w:val="clear" w:color="auto" w:fill="auto"/>
            <w:noWrap/>
            <w:vAlign w:val="bottom"/>
            <w:hideMark/>
          </w:tcPr>
          <w:p w14:paraId="3B83219C"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3 086 336</w:t>
            </w:r>
          </w:p>
        </w:tc>
        <w:tc>
          <w:tcPr>
            <w:tcW w:w="2040" w:type="dxa"/>
            <w:tcBorders>
              <w:top w:val="nil"/>
              <w:left w:val="nil"/>
              <w:bottom w:val="nil"/>
              <w:right w:val="single" w:sz="4" w:space="0" w:color="auto"/>
            </w:tcBorders>
            <w:shd w:val="clear" w:color="auto" w:fill="auto"/>
            <w:noWrap/>
            <w:vAlign w:val="bottom"/>
            <w:hideMark/>
          </w:tcPr>
          <w:p w14:paraId="30AD2455"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3 116 784</w:t>
            </w:r>
          </w:p>
        </w:tc>
      </w:tr>
      <w:tr w:rsidR="006F21BB" w:rsidRPr="006F21BB" w14:paraId="288A0F20"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2323F5B9"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14 Jalisco</w:t>
            </w:r>
          </w:p>
        </w:tc>
        <w:tc>
          <w:tcPr>
            <w:tcW w:w="2040" w:type="dxa"/>
            <w:tcBorders>
              <w:top w:val="nil"/>
              <w:left w:val="nil"/>
              <w:bottom w:val="nil"/>
              <w:right w:val="single" w:sz="4" w:space="0" w:color="auto"/>
            </w:tcBorders>
            <w:shd w:val="clear" w:color="auto" w:fill="auto"/>
            <w:noWrap/>
            <w:vAlign w:val="bottom"/>
            <w:hideMark/>
          </w:tcPr>
          <w:p w14:paraId="35967554"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8 376 942</w:t>
            </w:r>
          </w:p>
        </w:tc>
        <w:tc>
          <w:tcPr>
            <w:tcW w:w="2040" w:type="dxa"/>
            <w:tcBorders>
              <w:top w:val="nil"/>
              <w:left w:val="nil"/>
              <w:bottom w:val="nil"/>
              <w:right w:val="single" w:sz="4" w:space="0" w:color="auto"/>
            </w:tcBorders>
            <w:shd w:val="clear" w:color="auto" w:fill="auto"/>
            <w:noWrap/>
            <w:vAlign w:val="bottom"/>
            <w:hideMark/>
          </w:tcPr>
          <w:p w14:paraId="681FD70D"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8 428 830</w:t>
            </w:r>
          </w:p>
        </w:tc>
      </w:tr>
      <w:tr w:rsidR="006F21BB" w:rsidRPr="006F21BB" w14:paraId="1AD17E18"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53730CB3"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15 México</w:t>
            </w:r>
          </w:p>
        </w:tc>
        <w:tc>
          <w:tcPr>
            <w:tcW w:w="2040" w:type="dxa"/>
            <w:tcBorders>
              <w:top w:val="nil"/>
              <w:left w:val="nil"/>
              <w:bottom w:val="nil"/>
              <w:right w:val="single" w:sz="4" w:space="0" w:color="auto"/>
            </w:tcBorders>
            <w:shd w:val="clear" w:color="auto" w:fill="auto"/>
            <w:noWrap/>
            <w:vAlign w:val="bottom"/>
            <w:hideMark/>
          </w:tcPr>
          <w:p w14:paraId="7FBB1334"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17 037 618</w:t>
            </w:r>
          </w:p>
        </w:tc>
        <w:tc>
          <w:tcPr>
            <w:tcW w:w="2040" w:type="dxa"/>
            <w:tcBorders>
              <w:top w:val="nil"/>
              <w:left w:val="nil"/>
              <w:bottom w:val="nil"/>
              <w:right w:val="single" w:sz="4" w:space="0" w:color="auto"/>
            </w:tcBorders>
            <w:shd w:val="clear" w:color="auto" w:fill="auto"/>
            <w:noWrap/>
            <w:vAlign w:val="bottom"/>
            <w:hideMark/>
          </w:tcPr>
          <w:p w14:paraId="46DCAC79"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17 161 317</w:t>
            </w:r>
          </w:p>
        </w:tc>
      </w:tr>
      <w:tr w:rsidR="006F21BB" w:rsidRPr="006F21BB" w14:paraId="78D3BB1C"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71DF13EA"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16 Michoacán de Ocampo</w:t>
            </w:r>
          </w:p>
        </w:tc>
        <w:tc>
          <w:tcPr>
            <w:tcW w:w="2040" w:type="dxa"/>
            <w:tcBorders>
              <w:top w:val="nil"/>
              <w:left w:val="nil"/>
              <w:bottom w:val="nil"/>
              <w:right w:val="single" w:sz="4" w:space="0" w:color="auto"/>
            </w:tcBorders>
            <w:shd w:val="clear" w:color="auto" w:fill="auto"/>
            <w:noWrap/>
            <w:vAlign w:val="bottom"/>
            <w:hideMark/>
          </w:tcPr>
          <w:p w14:paraId="160BF6DD"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4 768 501</w:t>
            </w:r>
          </w:p>
        </w:tc>
        <w:tc>
          <w:tcPr>
            <w:tcW w:w="2040" w:type="dxa"/>
            <w:tcBorders>
              <w:top w:val="nil"/>
              <w:left w:val="nil"/>
              <w:bottom w:val="nil"/>
              <w:right w:val="single" w:sz="4" w:space="0" w:color="auto"/>
            </w:tcBorders>
            <w:shd w:val="clear" w:color="auto" w:fill="auto"/>
            <w:noWrap/>
            <w:vAlign w:val="bottom"/>
            <w:hideMark/>
          </w:tcPr>
          <w:p w14:paraId="640A43B1"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4 877 676</w:t>
            </w:r>
          </w:p>
        </w:tc>
      </w:tr>
      <w:tr w:rsidR="006F21BB" w:rsidRPr="006F21BB" w14:paraId="17F22F69"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6DBE0AE5"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17 Morelos</w:t>
            </w:r>
          </w:p>
        </w:tc>
        <w:tc>
          <w:tcPr>
            <w:tcW w:w="2040" w:type="dxa"/>
            <w:tcBorders>
              <w:top w:val="nil"/>
              <w:left w:val="nil"/>
              <w:bottom w:val="nil"/>
              <w:right w:val="single" w:sz="4" w:space="0" w:color="auto"/>
            </w:tcBorders>
            <w:shd w:val="clear" w:color="auto" w:fill="auto"/>
            <w:noWrap/>
            <w:vAlign w:val="bottom"/>
            <w:hideMark/>
          </w:tcPr>
          <w:p w14:paraId="2EB4D86C"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1 975 133</w:t>
            </w:r>
          </w:p>
        </w:tc>
        <w:tc>
          <w:tcPr>
            <w:tcW w:w="2040" w:type="dxa"/>
            <w:tcBorders>
              <w:top w:val="nil"/>
              <w:left w:val="nil"/>
              <w:bottom w:val="nil"/>
              <w:right w:val="single" w:sz="4" w:space="0" w:color="auto"/>
            </w:tcBorders>
            <w:shd w:val="clear" w:color="auto" w:fill="auto"/>
            <w:noWrap/>
            <w:vAlign w:val="bottom"/>
            <w:hideMark/>
          </w:tcPr>
          <w:p w14:paraId="6ADF69FE"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1 987 686</w:t>
            </w:r>
          </w:p>
        </w:tc>
      </w:tr>
      <w:tr w:rsidR="006F21BB" w:rsidRPr="006F21BB" w14:paraId="6A8A88D0"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4111859E"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18 Nayarit</w:t>
            </w:r>
          </w:p>
        </w:tc>
        <w:tc>
          <w:tcPr>
            <w:tcW w:w="2040" w:type="dxa"/>
            <w:tcBorders>
              <w:top w:val="nil"/>
              <w:left w:val="nil"/>
              <w:bottom w:val="nil"/>
              <w:right w:val="single" w:sz="4" w:space="0" w:color="auto"/>
            </w:tcBorders>
            <w:shd w:val="clear" w:color="auto" w:fill="auto"/>
            <w:noWrap/>
            <w:vAlign w:val="bottom"/>
            <w:hideMark/>
          </w:tcPr>
          <w:p w14:paraId="583FDA42"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1 236 680</w:t>
            </w:r>
          </w:p>
        </w:tc>
        <w:tc>
          <w:tcPr>
            <w:tcW w:w="2040" w:type="dxa"/>
            <w:tcBorders>
              <w:top w:val="nil"/>
              <w:left w:val="nil"/>
              <w:bottom w:val="nil"/>
              <w:right w:val="single" w:sz="4" w:space="0" w:color="auto"/>
            </w:tcBorders>
            <w:shd w:val="clear" w:color="auto" w:fill="auto"/>
            <w:noWrap/>
            <w:vAlign w:val="bottom"/>
            <w:hideMark/>
          </w:tcPr>
          <w:p w14:paraId="24A50A58"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1 248 480</w:t>
            </w:r>
          </w:p>
        </w:tc>
      </w:tr>
      <w:tr w:rsidR="006F21BB" w:rsidRPr="006F21BB" w14:paraId="18A1FA73"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5FAF9244"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19 Nuevo León</w:t>
            </w:r>
          </w:p>
        </w:tc>
        <w:tc>
          <w:tcPr>
            <w:tcW w:w="2040" w:type="dxa"/>
            <w:tcBorders>
              <w:top w:val="nil"/>
              <w:left w:val="nil"/>
              <w:bottom w:val="nil"/>
              <w:right w:val="single" w:sz="4" w:space="0" w:color="auto"/>
            </w:tcBorders>
            <w:shd w:val="clear" w:color="auto" w:fill="auto"/>
            <w:noWrap/>
            <w:vAlign w:val="bottom"/>
            <w:hideMark/>
          </w:tcPr>
          <w:p w14:paraId="6D8B1A76"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5 808 608</w:t>
            </w:r>
          </w:p>
        </w:tc>
        <w:tc>
          <w:tcPr>
            <w:tcW w:w="2040" w:type="dxa"/>
            <w:tcBorders>
              <w:top w:val="nil"/>
              <w:left w:val="nil"/>
              <w:bottom w:val="nil"/>
              <w:right w:val="single" w:sz="4" w:space="0" w:color="auto"/>
            </w:tcBorders>
            <w:shd w:val="clear" w:color="auto" w:fill="auto"/>
            <w:noWrap/>
            <w:vAlign w:val="bottom"/>
            <w:hideMark/>
          </w:tcPr>
          <w:p w14:paraId="0C82FFF4"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5 988 484</w:t>
            </w:r>
          </w:p>
        </w:tc>
      </w:tr>
      <w:tr w:rsidR="006F21BB" w:rsidRPr="006F21BB" w14:paraId="51581D64"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1911DA35"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20 Oaxaca</w:t>
            </w:r>
          </w:p>
        </w:tc>
        <w:tc>
          <w:tcPr>
            <w:tcW w:w="2040" w:type="dxa"/>
            <w:tcBorders>
              <w:top w:val="nil"/>
              <w:left w:val="nil"/>
              <w:bottom w:val="nil"/>
              <w:right w:val="single" w:sz="4" w:space="0" w:color="auto"/>
            </w:tcBorders>
            <w:shd w:val="clear" w:color="auto" w:fill="auto"/>
            <w:noWrap/>
            <w:vAlign w:val="bottom"/>
            <w:hideMark/>
          </w:tcPr>
          <w:p w14:paraId="5CECE138"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4 149 674</w:t>
            </w:r>
          </w:p>
        </w:tc>
        <w:tc>
          <w:tcPr>
            <w:tcW w:w="2040" w:type="dxa"/>
            <w:tcBorders>
              <w:top w:val="nil"/>
              <w:left w:val="nil"/>
              <w:bottom w:val="nil"/>
              <w:right w:val="single" w:sz="4" w:space="0" w:color="auto"/>
            </w:tcBorders>
            <w:shd w:val="clear" w:color="auto" w:fill="auto"/>
            <w:noWrap/>
            <w:vAlign w:val="bottom"/>
            <w:hideMark/>
          </w:tcPr>
          <w:p w14:paraId="06890381"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4 197 889</w:t>
            </w:r>
          </w:p>
        </w:tc>
      </w:tr>
      <w:tr w:rsidR="006F21BB" w:rsidRPr="006F21BB" w14:paraId="0FEC0622"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3C6C61A4"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21 Puebla</w:t>
            </w:r>
          </w:p>
        </w:tc>
        <w:tc>
          <w:tcPr>
            <w:tcW w:w="2040" w:type="dxa"/>
            <w:tcBorders>
              <w:top w:val="nil"/>
              <w:left w:val="nil"/>
              <w:bottom w:val="nil"/>
              <w:right w:val="single" w:sz="4" w:space="0" w:color="auto"/>
            </w:tcBorders>
            <w:shd w:val="clear" w:color="auto" w:fill="auto"/>
            <w:noWrap/>
            <w:vAlign w:val="bottom"/>
            <w:hideMark/>
          </w:tcPr>
          <w:p w14:paraId="24EAA207"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6 604 360</w:t>
            </w:r>
          </w:p>
        </w:tc>
        <w:tc>
          <w:tcPr>
            <w:tcW w:w="2040" w:type="dxa"/>
            <w:tcBorders>
              <w:top w:val="nil"/>
              <w:left w:val="nil"/>
              <w:bottom w:val="nil"/>
              <w:right w:val="single" w:sz="4" w:space="0" w:color="auto"/>
            </w:tcBorders>
            <w:shd w:val="clear" w:color="auto" w:fill="auto"/>
            <w:noWrap/>
            <w:vAlign w:val="bottom"/>
            <w:hideMark/>
          </w:tcPr>
          <w:p w14:paraId="5856AB07"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6 659 230</w:t>
            </w:r>
          </w:p>
        </w:tc>
      </w:tr>
      <w:tr w:rsidR="006F21BB" w:rsidRPr="006F21BB" w14:paraId="65BA6B44"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6CB410FA"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22 Querétaro</w:t>
            </w:r>
          </w:p>
        </w:tc>
        <w:tc>
          <w:tcPr>
            <w:tcW w:w="2040" w:type="dxa"/>
            <w:tcBorders>
              <w:top w:val="nil"/>
              <w:left w:val="nil"/>
              <w:bottom w:val="nil"/>
              <w:right w:val="single" w:sz="4" w:space="0" w:color="auto"/>
            </w:tcBorders>
            <w:shd w:val="clear" w:color="auto" w:fill="auto"/>
            <w:noWrap/>
            <w:vAlign w:val="bottom"/>
            <w:hideMark/>
          </w:tcPr>
          <w:p w14:paraId="52FC43BA"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2 389 549</w:t>
            </w:r>
          </w:p>
        </w:tc>
        <w:tc>
          <w:tcPr>
            <w:tcW w:w="2040" w:type="dxa"/>
            <w:tcBorders>
              <w:top w:val="nil"/>
              <w:left w:val="nil"/>
              <w:bottom w:val="nil"/>
              <w:right w:val="single" w:sz="4" w:space="0" w:color="auto"/>
            </w:tcBorders>
            <w:shd w:val="clear" w:color="auto" w:fill="auto"/>
            <w:noWrap/>
            <w:vAlign w:val="bottom"/>
            <w:hideMark/>
          </w:tcPr>
          <w:p w14:paraId="32BF089E"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2 430 465</w:t>
            </w:r>
          </w:p>
        </w:tc>
      </w:tr>
      <w:tr w:rsidR="006F21BB" w:rsidRPr="006F21BB" w14:paraId="0F1E13F2"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3BB1EFB0"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23 Quintana Roo</w:t>
            </w:r>
          </w:p>
        </w:tc>
        <w:tc>
          <w:tcPr>
            <w:tcW w:w="2040" w:type="dxa"/>
            <w:tcBorders>
              <w:top w:val="nil"/>
              <w:left w:val="nil"/>
              <w:bottom w:val="nil"/>
              <w:right w:val="single" w:sz="4" w:space="0" w:color="auto"/>
            </w:tcBorders>
            <w:shd w:val="clear" w:color="auto" w:fill="auto"/>
            <w:noWrap/>
            <w:vAlign w:val="bottom"/>
            <w:hideMark/>
          </w:tcPr>
          <w:p w14:paraId="34450090"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1 873 013</w:t>
            </w:r>
          </w:p>
        </w:tc>
        <w:tc>
          <w:tcPr>
            <w:tcW w:w="2040" w:type="dxa"/>
            <w:tcBorders>
              <w:top w:val="nil"/>
              <w:left w:val="nil"/>
              <w:bottom w:val="nil"/>
              <w:right w:val="single" w:sz="4" w:space="0" w:color="auto"/>
            </w:tcBorders>
            <w:shd w:val="clear" w:color="auto" w:fill="auto"/>
            <w:noWrap/>
            <w:vAlign w:val="bottom"/>
            <w:hideMark/>
          </w:tcPr>
          <w:p w14:paraId="5633750B"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1 894 154</w:t>
            </w:r>
          </w:p>
        </w:tc>
      </w:tr>
      <w:tr w:rsidR="006F21BB" w:rsidRPr="006F21BB" w14:paraId="3A1F9E81"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0FEFE270"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24 San Luis Potosí</w:t>
            </w:r>
          </w:p>
        </w:tc>
        <w:tc>
          <w:tcPr>
            <w:tcW w:w="2040" w:type="dxa"/>
            <w:tcBorders>
              <w:top w:val="nil"/>
              <w:left w:val="nil"/>
              <w:bottom w:val="nil"/>
              <w:right w:val="single" w:sz="4" w:space="0" w:color="auto"/>
            </w:tcBorders>
            <w:shd w:val="clear" w:color="auto" w:fill="auto"/>
            <w:noWrap/>
            <w:vAlign w:val="bottom"/>
            <w:hideMark/>
          </w:tcPr>
          <w:p w14:paraId="00CEAD05"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2 828 781</w:t>
            </w:r>
          </w:p>
        </w:tc>
        <w:tc>
          <w:tcPr>
            <w:tcW w:w="2040" w:type="dxa"/>
            <w:tcBorders>
              <w:top w:val="nil"/>
              <w:left w:val="nil"/>
              <w:bottom w:val="nil"/>
              <w:right w:val="single" w:sz="4" w:space="0" w:color="auto"/>
            </w:tcBorders>
            <w:shd w:val="clear" w:color="auto" w:fill="auto"/>
            <w:noWrap/>
            <w:vAlign w:val="bottom"/>
            <w:hideMark/>
          </w:tcPr>
          <w:p w14:paraId="13D0537D"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2 847 434</w:t>
            </w:r>
          </w:p>
        </w:tc>
      </w:tr>
      <w:tr w:rsidR="006F21BB" w:rsidRPr="006F21BB" w14:paraId="2AF20D87"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6A1093C3"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25 Sinaloa</w:t>
            </w:r>
          </w:p>
        </w:tc>
        <w:tc>
          <w:tcPr>
            <w:tcW w:w="2040" w:type="dxa"/>
            <w:tcBorders>
              <w:top w:val="nil"/>
              <w:left w:val="nil"/>
              <w:bottom w:val="nil"/>
              <w:right w:val="single" w:sz="4" w:space="0" w:color="auto"/>
            </w:tcBorders>
            <w:shd w:val="clear" w:color="auto" w:fill="auto"/>
            <w:noWrap/>
            <w:vAlign w:val="bottom"/>
            <w:hideMark/>
          </w:tcPr>
          <w:p w14:paraId="1901A0B8"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3 035 192</w:t>
            </w:r>
          </w:p>
        </w:tc>
        <w:tc>
          <w:tcPr>
            <w:tcW w:w="2040" w:type="dxa"/>
            <w:tcBorders>
              <w:top w:val="nil"/>
              <w:left w:val="nil"/>
              <w:bottom w:val="nil"/>
              <w:right w:val="single" w:sz="4" w:space="0" w:color="auto"/>
            </w:tcBorders>
            <w:shd w:val="clear" w:color="auto" w:fill="auto"/>
            <w:noWrap/>
            <w:vAlign w:val="bottom"/>
            <w:hideMark/>
          </w:tcPr>
          <w:p w14:paraId="6E7F7680"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3 054 749</w:t>
            </w:r>
          </w:p>
        </w:tc>
      </w:tr>
      <w:tr w:rsidR="006F21BB" w:rsidRPr="006F21BB" w14:paraId="330EFB31"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22FDC5CB"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26 Sonora</w:t>
            </w:r>
          </w:p>
        </w:tc>
        <w:tc>
          <w:tcPr>
            <w:tcW w:w="2040" w:type="dxa"/>
            <w:tcBorders>
              <w:top w:val="nil"/>
              <w:left w:val="nil"/>
              <w:bottom w:val="nil"/>
              <w:right w:val="single" w:sz="4" w:space="0" w:color="auto"/>
            </w:tcBorders>
            <w:shd w:val="clear" w:color="auto" w:fill="auto"/>
            <w:noWrap/>
            <w:vAlign w:val="bottom"/>
            <w:hideMark/>
          </w:tcPr>
          <w:p w14:paraId="7C99B6BD"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2 953 422</w:t>
            </w:r>
          </w:p>
        </w:tc>
        <w:tc>
          <w:tcPr>
            <w:tcW w:w="2040" w:type="dxa"/>
            <w:tcBorders>
              <w:top w:val="nil"/>
              <w:left w:val="nil"/>
              <w:bottom w:val="nil"/>
              <w:right w:val="single" w:sz="4" w:space="0" w:color="auto"/>
            </w:tcBorders>
            <w:shd w:val="clear" w:color="auto" w:fill="auto"/>
            <w:noWrap/>
            <w:vAlign w:val="bottom"/>
            <w:hideMark/>
          </w:tcPr>
          <w:p w14:paraId="30046121"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2 971 520</w:t>
            </w:r>
          </w:p>
        </w:tc>
      </w:tr>
      <w:tr w:rsidR="006F21BB" w:rsidRPr="006F21BB" w14:paraId="0A4EB29F"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60C75639"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27 Tabasco</w:t>
            </w:r>
          </w:p>
        </w:tc>
        <w:tc>
          <w:tcPr>
            <w:tcW w:w="2040" w:type="dxa"/>
            <w:tcBorders>
              <w:top w:val="nil"/>
              <w:left w:val="nil"/>
              <w:bottom w:val="nil"/>
              <w:right w:val="single" w:sz="4" w:space="0" w:color="auto"/>
            </w:tcBorders>
            <w:shd w:val="clear" w:color="auto" w:fill="auto"/>
            <w:noWrap/>
            <w:vAlign w:val="bottom"/>
            <w:hideMark/>
          </w:tcPr>
          <w:p w14:paraId="5A43B73A"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2 408 131</w:t>
            </w:r>
          </w:p>
        </w:tc>
        <w:tc>
          <w:tcPr>
            <w:tcW w:w="2040" w:type="dxa"/>
            <w:tcBorders>
              <w:top w:val="nil"/>
              <w:left w:val="nil"/>
              <w:bottom w:val="nil"/>
              <w:right w:val="single" w:sz="4" w:space="0" w:color="auto"/>
            </w:tcBorders>
            <w:shd w:val="clear" w:color="auto" w:fill="auto"/>
            <w:noWrap/>
            <w:vAlign w:val="bottom"/>
            <w:hideMark/>
          </w:tcPr>
          <w:p w14:paraId="72D902D6"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2 424 657</w:t>
            </w:r>
          </w:p>
        </w:tc>
      </w:tr>
      <w:tr w:rsidR="006F21BB" w:rsidRPr="006F21BB" w14:paraId="28E722C1"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08274060"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28 Tamaulipas</w:t>
            </w:r>
          </w:p>
        </w:tc>
        <w:tc>
          <w:tcPr>
            <w:tcW w:w="2040" w:type="dxa"/>
            <w:tcBorders>
              <w:top w:val="nil"/>
              <w:left w:val="nil"/>
              <w:bottom w:val="nil"/>
              <w:right w:val="single" w:sz="4" w:space="0" w:color="auto"/>
            </w:tcBorders>
            <w:shd w:val="clear" w:color="auto" w:fill="auto"/>
            <w:noWrap/>
            <w:vAlign w:val="bottom"/>
            <w:hideMark/>
          </w:tcPr>
          <w:p w14:paraId="64DD68B5"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3 528 829</w:t>
            </w:r>
          </w:p>
        </w:tc>
        <w:tc>
          <w:tcPr>
            <w:tcW w:w="2040" w:type="dxa"/>
            <w:tcBorders>
              <w:top w:val="nil"/>
              <w:left w:val="nil"/>
              <w:bottom w:val="nil"/>
              <w:right w:val="single" w:sz="4" w:space="0" w:color="auto"/>
            </w:tcBorders>
            <w:shd w:val="clear" w:color="auto" w:fill="auto"/>
            <w:noWrap/>
            <w:vAlign w:val="bottom"/>
            <w:hideMark/>
          </w:tcPr>
          <w:p w14:paraId="1D06CCAF"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3 554 263</w:t>
            </w:r>
          </w:p>
        </w:tc>
      </w:tr>
      <w:tr w:rsidR="006F21BB" w:rsidRPr="006F21BB" w14:paraId="3B377CE1"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462CFD09"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29 Tlaxcala</w:t>
            </w:r>
          </w:p>
        </w:tc>
        <w:tc>
          <w:tcPr>
            <w:tcW w:w="2040" w:type="dxa"/>
            <w:tcBorders>
              <w:top w:val="nil"/>
              <w:left w:val="nil"/>
              <w:bottom w:val="nil"/>
              <w:right w:val="single" w:sz="4" w:space="0" w:color="auto"/>
            </w:tcBorders>
            <w:shd w:val="clear" w:color="auto" w:fill="auto"/>
            <w:noWrap/>
            <w:vAlign w:val="bottom"/>
            <w:hideMark/>
          </w:tcPr>
          <w:p w14:paraId="46F42194"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1 344 780</w:t>
            </w:r>
          </w:p>
        </w:tc>
        <w:tc>
          <w:tcPr>
            <w:tcW w:w="2040" w:type="dxa"/>
            <w:tcBorders>
              <w:top w:val="nil"/>
              <w:left w:val="nil"/>
              <w:bottom w:val="nil"/>
              <w:right w:val="single" w:sz="4" w:space="0" w:color="auto"/>
            </w:tcBorders>
            <w:shd w:val="clear" w:color="auto" w:fill="auto"/>
            <w:noWrap/>
            <w:vAlign w:val="bottom"/>
            <w:hideMark/>
          </w:tcPr>
          <w:p w14:paraId="1EB90668"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1 357 473</w:t>
            </w:r>
          </w:p>
        </w:tc>
      </w:tr>
      <w:tr w:rsidR="006F21BB" w:rsidRPr="006F21BB" w14:paraId="73F75241"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5ABE86F3"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30 Veracruz de Ignacio de la Llave</w:t>
            </w:r>
          </w:p>
        </w:tc>
        <w:tc>
          <w:tcPr>
            <w:tcW w:w="2040" w:type="dxa"/>
            <w:tcBorders>
              <w:top w:val="nil"/>
              <w:left w:val="nil"/>
              <w:bottom w:val="nil"/>
              <w:right w:val="single" w:sz="4" w:space="0" w:color="auto"/>
            </w:tcBorders>
            <w:shd w:val="clear" w:color="auto" w:fill="auto"/>
            <w:noWrap/>
            <w:vAlign w:val="bottom"/>
            <w:hideMark/>
          </w:tcPr>
          <w:p w14:paraId="5A4BEF7E"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8 075 371</w:t>
            </w:r>
          </w:p>
        </w:tc>
        <w:tc>
          <w:tcPr>
            <w:tcW w:w="2040" w:type="dxa"/>
            <w:tcBorders>
              <w:top w:val="nil"/>
              <w:left w:val="nil"/>
              <w:bottom w:val="nil"/>
              <w:right w:val="single" w:sz="4" w:space="0" w:color="auto"/>
            </w:tcBorders>
            <w:shd w:val="clear" w:color="auto" w:fill="auto"/>
            <w:noWrap/>
            <w:vAlign w:val="bottom"/>
            <w:hideMark/>
          </w:tcPr>
          <w:p w14:paraId="2E2F9F19"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8 144 276</w:t>
            </w:r>
          </w:p>
        </w:tc>
      </w:tr>
      <w:tr w:rsidR="006F21BB" w:rsidRPr="006F21BB" w14:paraId="7DFF1187" w14:textId="77777777" w:rsidTr="006F21BB">
        <w:trPr>
          <w:trHeight w:val="300"/>
        </w:trPr>
        <w:tc>
          <w:tcPr>
            <w:tcW w:w="4320" w:type="dxa"/>
            <w:tcBorders>
              <w:top w:val="nil"/>
              <w:left w:val="single" w:sz="4" w:space="0" w:color="auto"/>
              <w:bottom w:val="nil"/>
              <w:right w:val="single" w:sz="4" w:space="0" w:color="auto"/>
            </w:tcBorders>
            <w:shd w:val="clear" w:color="000000" w:fill="FABF8F"/>
            <w:noWrap/>
            <w:vAlign w:val="bottom"/>
            <w:hideMark/>
          </w:tcPr>
          <w:p w14:paraId="721B6F16"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31 Yucatán</w:t>
            </w:r>
          </w:p>
        </w:tc>
        <w:tc>
          <w:tcPr>
            <w:tcW w:w="2040" w:type="dxa"/>
            <w:tcBorders>
              <w:top w:val="nil"/>
              <w:left w:val="nil"/>
              <w:bottom w:val="nil"/>
              <w:right w:val="single" w:sz="4" w:space="0" w:color="auto"/>
            </w:tcBorders>
            <w:shd w:val="clear" w:color="auto" w:fill="auto"/>
            <w:noWrap/>
            <w:vAlign w:val="bottom"/>
            <w:hideMark/>
          </w:tcPr>
          <w:p w14:paraId="2181995A"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2 330 734</w:t>
            </w:r>
          </w:p>
        </w:tc>
        <w:tc>
          <w:tcPr>
            <w:tcW w:w="2040" w:type="dxa"/>
            <w:tcBorders>
              <w:top w:val="nil"/>
              <w:left w:val="nil"/>
              <w:bottom w:val="nil"/>
              <w:right w:val="single" w:sz="4" w:space="0" w:color="auto"/>
            </w:tcBorders>
            <w:shd w:val="clear" w:color="auto" w:fill="auto"/>
            <w:noWrap/>
            <w:vAlign w:val="bottom"/>
            <w:hideMark/>
          </w:tcPr>
          <w:p w14:paraId="03E4DD01"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2 351 973</w:t>
            </w:r>
          </w:p>
        </w:tc>
      </w:tr>
      <w:tr w:rsidR="006F21BB" w:rsidRPr="006F21BB" w14:paraId="062854E2" w14:textId="77777777" w:rsidTr="006F21BB">
        <w:trPr>
          <w:trHeight w:val="300"/>
        </w:trPr>
        <w:tc>
          <w:tcPr>
            <w:tcW w:w="4320" w:type="dxa"/>
            <w:tcBorders>
              <w:top w:val="nil"/>
              <w:left w:val="single" w:sz="4" w:space="0" w:color="auto"/>
              <w:bottom w:val="single" w:sz="4" w:space="0" w:color="auto"/>
              <w:right w:val="single" w:sz="4" w:space="0" w:color="auto"/>
            </w:tcBorders>
            <w:shd w:val="clear" w:color="000000" w:fill="FABF8F"/>
            <w:noWrap/>
            <w:vAlign w:val="bottom"/>
            <w:hideMark/>
          </w:tcPr>
          <w:p w14:paraId="3D5061A7" w14:textId="77777777" w:rsidR="006F21BB" w:rsidRPr="006F21BB" w:rsidRDefault="006F21BB" w:rsidP="006F21BB">
            <w:pPr>
              <w:spacing w:after="0" w:line="240" w:lineRule="auto"/>
              <w:rPr>
                <w:rFonts w:ascii="Arial" w:hAnsi="Arial" w:cs="Arial"/>
                <w:color w:val="000000"/>
                <w:sz w:val="20"/>
                <w:szCs w:val="20"/>
              </w:rPr>
            </w:pPr>
            <w:r w:rsidRPr="006F21BB">
              <w:rPr>
                <w:rFonts w:ascii="Arial" w:hAnsi="Arial" w:cs="Arial"/>
                <w:color w:val="000000"/>
                <w:sz w:val="20"/>
                <w:szCs w:val="20"/>
              </w:rPr>
              <w:t>32 Zacatecas</w:t>
            </w:r>
          </w:p>
        </w:tc>
        <w:tc>
          <w:tcPr>
            <w:tcW w:w="2040" w:type="dxa"/>
            <w:tcBorders>
              <w:top w:val="nil"/>
              <w:left w:val="nil"/>
              <w:bottom w:val="single" w:sz="4" w:space="0" w:color="auto"/>
              <w:right w:val="single" w:sz="4" w:space="0" w:color="auto"/>
            </w:tcBorders>
            <w:shd w:val="clear" w:color="auto" w:fill="auto"/>
            <w:noWrap/>
            <w:vAlign w:val="bottom"/>
            <w:hideMark/>
          </w:tcPr>
          <w:p w14:paraId="4FBF1603"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1 627 144</w:t>
            </w:r>
          </w:p>
        </w:tc>
        <w:tc>
          <w:tcPr>
            <w:tcW w:w="2040" w:type="dxa"/>
            <w:tcBorders>
              <w:top w:val="nil"/>
              <w:left w:val="nil"/>
              <w:bottom w:val="single" w:sz="4" w:space="0" w:color="auto"/>
              <w:right w:val="single" w:sz="4" w:space="0" w:color="auto"/>
            </w:tcBorders>
            <w:shd w:val="clear" w:color="auto" w:fill="auto"/>
            <w:noWrap/>
            <w:vAlign w:val="bottom"/>
            <w:hideMark/>
          </w:tcPr>
          <w:p w14:paraId="70BC62D4" w14:textId="77777777" w:rsidR="006F21BB" w:rsidRPr="006F21BB" w:rsidRDefault="006F21BB" w:rsidP="006F21BB">
            <w:pPr>
              <w:spacing w:after="0" w:line="240" w:lineRule="auto"/>
              <w:jc w:val="right"/>
              <w:rPr>
                <w:rFonts w:ascii="Arial" w:hAnsi="Arial" w:cs="Arial"/>
                <w:color w:val="000000"/>
                <w:sz w:val="20"/>
                <w:szCs w:val="20"/>
              </w:rPr>
            </w:pPr>
            <w:r w:rsidRPr="006F21BB">
              <w:rPr>
                <w:rFonts w:ascii="Arial" w:hAnsi="Arial" w:cs="Arial"/>
                <w:color w:val="000000"/>
                <w:sz w:val="20"/>
                <w:szCs w:val="20"/>
              </w:rPr>
              <w:t>1 629 817</w:t>
            </w:r>
          </w:p>
        </w:tc>
      </w:tr>
    </w:tbl>
    <w:p w14:paraId="51DFA953" w14:textId="4C5F6549" w:rsidR="00180DC3" w:rsidRPr="00BD7ACC" w:rsidRDefault="004E6655" w:rsidP="00BD7ACC">
      <w:pPr>
        <w:ind w:left="-567" w:right="-142"/>
        <w:jc w:val="both"/>
        <w:rPr>
          <w:rFonts w:ascii="Arial" w:hAnsi="Arial"/>
          <w:color w:val="000000"/>
          <w:sz w:val="24"/>
          <w:szCs w:val="24"/>
          <w:lang w:eastAsia="es-ES"/>
        </w:rPr>
      </w:pPr>
      <w:r w:rsidRPr="00BD7ACC">
        <w:rPr>
          <w:rFonts w:ascii="Arial" w:hAnsi="Arial"/>
          <w:color w:val="000000"/>
          <w:sz w:val="24"/>
          <w:szCs w:val="24"/>
          <w:lang w:eastAsia="es-ES"/>
        </w:rPr>
        <w:lastRenderedPageBreak/>
        <w:t>P</w:t>
      </w:r>
      <w:r w:rsidR="00180DC3" w:rsidRPr="00BD7ACC">
        <w:rPr>
          <w:rFonts w:ascii="Arial" w:hAnsi="Arial"/>
          <w:color w:val="000000"/>
          <w:sz w:val="24"/>
          <w:szCs w:val="24"/>
          <w:lang w:eastAsia="es-ES"/>
        </w:rPr>
        <w:t xml:space="preserve">ara las tasas </w:t>
      </w:r>
      <w:r w:rsidR="000D1720" w:rsidRPr="00BD7ACC">
        <w:rPr>
          <w:rFonts w:ascii="Arial" w:hAnsi="Arial"/>
          <w:color w:val="000000"/>
          <w:sz w:val="24"/>
          <w:szCs w:val="24"/>
          <w:lang w:eastAsia="es-ES"/>
        </w:rPr>
        <w:t xml:space="preserve">de </w:t>
      </w:r>
      <w:r w:rsidR="00180DC3" w:rsidRPr="00BD7ACC">
        <w:rPr>
          <w:rFonts w:ascii="Arial" w:hAnsi="Arial"/>
          <w:color w:val="000000"/>
          <w:sz w:val="24"/>
          <w:szCs w:val="24"/>
          <w:lang w:eastAsia="es-ES"/>
        </w:rPr>
        <w:t>1990</w:t>
      </w:r>
      <w:r w:rsidR="000D1720" w:rsidRPr="00BD7ACC">
        <w:rPr>
          <w:rFonts w:ascii="Arial" w:hAnsi="Arial"/>
          <w:color w:val="000000"/>
          <w:sz w:val="24"/>
          <w:szCs w:val="24"/>
          <w:lang w:eastAsia="es-ES"/>
        </w:rPr>
        <w:t xml:space="preserve"> a </w:t>
      </w:r>
      <w:r w:rsidR="00180DC3" w:rsidRPr="00BD7ACC">
        <w:rPr>
          <w:rFonts w:ascii="Arial" w:hAnsi="Arial"/>
          <w:color w:val="000000"/>
          <w:sz w:val="24"/>
          <w:szCs w:val="24"/>
          <w:lang w:eastAsia="es-ES"/>
        </w:rPr>
        <w:t xml:space="preserve">2019 se utilizaron los datos </w:t>
      </w:r>
      <w:r w:rsidR="006213A3">
        <w:rPr>
          <w:rFonts w:ascii="Arial" w:hAnsi="Arial"/>
          <w:color w:val="000000"/>
          <w:sz w:val="24"/>
          <w:szCs w:val="24"/>
          <w:lang w:eastAsia="es-ES"/>
        </w:rPr>
        <w:t xml:space="preserve">que publicó </w:t>
      </w:r>
      <w:r w:rsidR="00180DC3" w:rsidRPr="00BD7ACC">
        <w:rPr>
          <w:rFonts w:ascii="Arial" w:hAnsi="Arial"/>
          <w:color w:val="000000"/>
          <w:sz w:val="24"/>
          <w:szCs w:val="24"/>
          <w:lang w:eastAsia="es-ES"/>
        </w:rPr>
        <w:t>el CONAPO referentes a las Proyecciones de la Población de México y de las Entidades Federativas, 2016-2050 y a la Conciliación Demográfica de México, 1950-2015</w:t>
      </w:r>
      <w:r w:rsidR="00FD62EB">
        <w:rPr>
          <w:rFonts w:ascii="Arial" w:hAnsi="Arial"/>
          <w:color w:val="000000"/>
          <w:sz w:val="24"/>
          <w:szCs w:val="24"/>
          <w:lang w:eastAsia="es-ES"/>
        </w:rPr>
        <w:t xml:space="preserve">. Están disponibles </w:t>
      </w:r>
      <w:r w:rsidR="000D1720" w:rsidRPr="00BD7ACC">
        <w:rPr>
          <w:rFonts w:ascii="Arial" w:hAnsi="Arial"/>
          <w:color w:val="000000"/>
          <w:sz w:val="24"/>
          <w:szCs w:val="24"/>
          <w:lang w:eastAsia="es-ES"/>
        </w:rPr>
        <w:t>en:</w:t>
      </w:r>
    </w:p>
    <w:p w14:paraId="6506D191" w14:textId="6E7CE6B4" w:rsidR="004E6655" w:rsidRPr="00BD7ACC" w:rsidRDefault="00102963" w:rsidP="00BD7ACC">
      <w:pPr>
        <w:ind w:left="-567" w:right="-142"/>
        <w:jc w:val="both"/>
        <w:rPr>
          <w:rFonts w:ascii="Arial" w:hAnsi="Arial"/>
          <w:color w:val="000000"/>
          <w:sz w:val="24"/>
          <w:szCs w:val="24"/>
          <w:lang w:eastAsia="es-ES"/>
        </w:rPr>
      </w:pPr>
      <w:hyperlink r:id="rId30" w:history="1">
        <w:r w:rsidR="000D1720" w:rsidRPr="00BD7ACC">
          <w:rPr>
            <w:rStyle w:val="Hipervnculo"/>
            <w:rFonts w:ascii="Arial" w:hAnsi="Arial"/>
            <w:sz w:val="24"/>
            <w:szCs w:val="24"/>
            <w:lang w:eastAsia="es-ES"/>
          </w:rPr>
          <w:t>https://datos.gob.mx/busca/dataset/proyecciones-de-la-poblacion-de-mexico-y-de-las-entidades-federativas-2016-2050</w:t>
        </w:r>
      </w:hyperlink>
    </w:p>
    <w:p w14:paraId="5C8F167E" w14:textId="77777777" w:rsidR="000D1720" w:rsidRPr="004E6655" w:rsidRDefault="000D1720" w:rsidP="00DC57AF">
      <w:pPr>
        <w:jc w:val="both"/>
        <w:rPr>
          <w:rFonts w:ascii="Arial" w:hAnsi="Arial"/>
          <w:color w:val="000000"/>
          <w:sz w:val="23"/>
          <w:szCs w:val="23"/>
          <w:lang w:eastAsia="es-ES"/>
        </w:rPr>
      </w:pPr>
    </w:p>
    <w:sectPr w:rsidR="000D1720" w:rsidRPr="004E6655" w:rsidSect="00C32FE2">
      <w:headerReference w:type="default" r:id="rId31"/>
      <w:type w:val="continuous"/>
      <w:pgSz w:w="12240" w:h="15840" w:code="1"/>
      <w:pgMar w:top="1339" w:right="1325" w:bottom="851" w:left="1701" w:header="284" w:footer="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A2848" w14:textId="77777777" w:rsidR="00102963" w:rsidRDefault="00102963" w:rsidP="00897C5A">
      <w:pPr>
        <w:spacing w:after="0" w:line="240" w:lineRule="auto"/>
      </w:pPr>
      <w:r>
        <w:separator/>
      </w:r>
    </w:p>
  </w:endnote>
  <w:endnote w:type="continuationSeparator" w:id="0">
    <w:p w14:paraId="52033632" w14:textId="77777777" w:rsidR="00102963" w:rsidRDefault="00102963" w:rsidP="00897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0030" w14:textId="77777777" w:rsidR="002B05C3" w:rsidRPr="007801C7" w:rsidRDefault="002B05C3" w:rsidP="007801C7">
    <w:pPr>
      <w:pStyle w:val="Piedepgina"/>
      <w:tabs>
        <w:tab w:val="left" w:pos="9356"/>
      </w:tabs>
      <w:ind w:left="-567" w:right="142"/>
      <w:jc w:val="center"/>
      <w:rPr>
        <w:rFonts w:ascii="Arial" w:hAnsi="Arial" w:cs="Arial"/>
        <w:b/>
        <w:color w:val="002060"/>
        <w:sz w:val="20"/>
        <w:szCs w:val="20"/>
      </w:rPr>
    </w:pPr>
    <w:r w:rsidRPr="007801C7">
      <w:rPr>
        <w:rFonts w:ascii="Arial" w:hAnsi="Arial" w:cs="Arial"/>
        <w:b/>
        <w:color w:val="002060"/>
        <w:sz w:val="20"/>
        <w:szCs w:val="20"/>
      </w:rPr>
      <w:t>COMUN</w:t>
    </w:r>
    <w:r>
      <w:rPr>
        <w:rFonts w:ascii="Arial" w:hAnsi="Arial" w:cs="Arial"/>
        <w:b/>
        <w:color w:val="002060"/>
        <w:sz w:val="20"/>
        <w:szCs w:val="20"/>
      </w:rPr>
      <w:t>IC</w:t>
    </w:r>
    <w:r w:rsidRPr="007801C7">
      <w:rPr>
        <w:rFonts w:ascii="Arial" w:hAnsi="Arial" w:cs="Arial"/>
        <w:b/>
        <w:color w:val="002060"/>
        <w:sz w:val="20"/>
        <w:szCs w:val="20"/>
      </w:rPr>
      <w:t>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AFC29" w14:textId="77777777" w:rsidR="00102963" w:rsidRDefault="00102963" w:rsidP="00897C5A">
      <w:pPr>
        <w:spacing w:after="0" w:line="240" w:lineRule="auto"/>
      </w:pPr>
      <w:r>
        <w:separator/>
      </w:r>
    </w:p>
  </w:footnote>
  <w:footnote w:type="continuationSeparator" w:id="0">
    <w:p w14:paraId="5C99E702" w14:textId="77777777" w:rsidR="00102963" w:rsidRDefault="00102963" w:rsidP="00897C5A">
      <w:pPr>
        <w:spacing w:after="0" w:line="240" w:lineRule="auto"/>
      </w:pPr>
      <w:r>
        <w:continuationSeparator/>
      </w:r>
    </w:p>
  </w:footnote>
  <w:footnote w:id="1">
    <w:p w14:paraId="326D427C" w14:textId="38AE3B8E" w:rsidR="002B05C3" w:rsidRPr="00F750EB" w:rsidRDefault="002B05C3" w:rsidP="00F750EB">
      <w:pPr>
        <w:tabs>
          <w:tab w:val="left" w:pos="284"/>
        </w:tabs>
        <w:spacing w:after="0" w:line="240" w:lineRule="auto"/>
        <w:ind w:left="284" w:hanging="284"/>
        <w:jc w:val="both"/>
        <w:rPr>
          <w:rFonts w:ascii="Arial" w:hAnsi="Arial" w:cs="Arial"/>
          <w:color w:val="000000"/>
          <w:sz w:val="16"/>
          <w:szCs w:val="16"/>
        </w:rPr>
      </w:pPr>
      <w:r w:rsidRPr="00F750EB">
        <w:rPr>
          <w:rStyle w:val="Refdenotaalpie"/>
          <w:rFonts w:ascii="Arial" w:hAnsi="Arial" w:cs="Arial"/>
          <w:color w:val="000000"/>
          <w:sz w:val="16"/>
          <w:szCs w:val="16"/>
        </w:rPr>
        <w:footnoteRef/>
      </w:r>
      <w:r w:rsidRPr="00F750EB">
        <w:rPr>
          <w:rFonts w:ascii="Arial" w:hAnsi="Arial" w:cs="Arial"/>
          <w:color w:val="000000"/>
          <w:sz w:val="16"/>
          <w:szCs w:val="16"/>
        </w:rPr>
        <w:t xml:space="preserve"> </w:t>
      </w:r>
      <w:r w:rsidRPr="00F750EB">
        <w:rPr>
          <w:rFonts w:ascii="Arial" w:hAnsi="Arial" w:cs="Arial"/>
          <w:color w:val="000000"/>
          <w:sz w:val="16"/>
          <w:szCs w:val="16"/>
        </w:rPr>
        <w:tab/>
        <w:t>Cifras preliminares con corte al 15 de julio de 2022</w:t>
      </w:r>
      <w:r>
        <w:rPr>
          <w:rFonts w:ascii="Arial" w:hAnsi="Arial" w:cs="Arial"/>
          <w:color w:val="000000"/>
          <w:sz w:val="16"/>
          <w:szCs w:val="16"/>
        </w:rPr>
        <w:t xml:space="preserve">: aún no </w:t>
      </w:r>
      <w:r w:rsidRPr="00F750EB">
        <w:rPr>
          <w:rFonts w:ascii="Arial" w:hAnsi="Arial" w:cs="Arial"/>
          <w:color w:val="000000"/>
          <w:sz w:val="16"/>
          <w:szCs w:val="16"/>
        </w:rPr>
        <w:t xml:space="preserve">concluyen los procesos de generación de las estadísticas de defunciones registradas. </w:t>
      </w:r>
    </w:p>
  </w:footnote>
  <w:footnote w:id="2">
    <w:p w14:paraId="249C642B" w14:textId="0F2F7CE0" w:rsidR="002B05C3" w:rsidRPr="00F750EB" w:rsidRDefault="002B05C3" w:rsidP="00A43E2F">
      <w:pPr>
        <w:pStyle w:val="Textonotapie"/>
        <w:tabs>
          <w:tab w:val="left" w:pos="284"/>
        </w:tabs>
        <w:ind w:left="284" w:hanging="284"/>
        <w:jc w:val="both"/>
        <w:rPr>
          <w:rFonts w:ascii="Arial" w:hAnsi="Arial" w:cs="Arial"/>
          <w:sz w:val="16"/>
          <w:szCs w:val="16"/>
        </w:rPr>
      </w:pPr>
      <w:r w:rsidRPr="00F750EB">
        <w:rPr>
          <w:rStyle w:val="Refdenotaalpie"/>
          <w:rFonts w:ascii="Arial" w:hAnsi="Arial" w:cs="Arial"/>
          <w:sz w:val="16"/>
          <w:szCs w:val="16"/>
        </w:rPr>
        <w:footnoteRef/>
      </w:r>
      <w:r w:rsidRPr="00F750EB">
        <w:rPr>
          <w:rFonts w:ascii="Arial" w:hAnsi="Arial" w:cs="Arial"/>
          <w:sz w:val="16"/>
          <w:szCs w:val="16"/>
        </w:rPr>
        <w:t xml:space="preserve"> </w:t>
      </w:r>
      <w:r w:rsidRPr="00F750EB">
        <w:rPr>
          <w:rFonts w:ascii="Arial" w:hAnsi="Arial" w:cs="Arial"/>
          <w:sz w:val="16"/>
          <w:szCs w:val="16"/>
        </w:rPr>
        <w:tab/>
      </w:r>
      <w:r w:rsidRPr="00884725">
        <w:rPr>
          <w:rFonts w:ascii="Arial" w:hAnsi="Arial" w:cs="Arial"/>
          <w:sz w:val="16"/>
          <w:szCs w:val="16"/>
        </w:rPr>
        <w:t>Las</w:t>
      </w:r>
      <w:r w:rsidRPr="00012CD6">
        <w:rPr>
          <w:rFonts w:ascii="Arial" w:hAnsi="Arial" w:cs="Arial"/>
          <w:sz w:val="16"/>
          <w:szCs w:val="16"/>
        </w:rPr>
        <w:t xml:space="preserve"> estadísticas de homicidio que publica el INEGI</w:t>
      </w:r>
      <w:r>
        <w:rPr>
          <w:rFonts w:ascii="Arial" w:hAnsi="Arial" w:cs="Arial"/>
          <w:sz w:val="16"/>
          <w:szCs w:val="16"/>
        </w:rPr>
        <w:t xml:space="preserve"> </w:t>
      </w:r>
      <w:r w:rsidRPr="00012CD6">
        <w:rPr>
          <w:rFonts w:ascii="Arial" w:hAnsi="Arial" w:cs="Arial"/>
          <w:sz w:val="16"/>
          <w:szCs w:val="16"/>
        </w:rPr>
        <w:t>se gen</w:t>
      </w:r>
      <w:r w:rsidRPr="00816B13">
        <w:rPr>
          <w:rFonts w:ascii="Arial" w:hAnsi="Arial" w:cs="Arial"/>
          <w:sz w:val="16"/>
          <w:szCs w:val="16"/>
        </w:rPr>
        <w:t xml:space="preserve">eran a partir de las causas de muerte que conforme a la CIE-10 </w:t>
      </w:r>
      <w:r>
        <w:rPr>
          <w:rFonts w:ascii="Arial" w:hAnsi="Arial" w:cs="Arial"/>
          <w:sz w:val="16"/>
          <w:szCs w:val="16"/>
        </w:rPr>
        <w:t xml:space="preserve">se identifican </w:t>
      </w:r>
      <w:r w:rsidRPr="00816B13">
        <w:rPr>
          <w:rFonts w:ascii="Arial" w:hAnsi="Arial" w:cs="Arial"/>
          <w:sz w:val="16"/>
          <w:szCs w:val="16"/>
        </w:rPr>
        <w:t>como agresiones (homicidios) en el programa de las Estadísticas de Defunciones Registradas</w:t>
      </w:r>
      <w:r>
        <w:rPr>
          <w:rFonts w:ascii="Arial" w:hAnsi="Arial" w:cs="Arial"/>
          <w:sz w:val="16"/>
          <w:szCs w:val="16"/>
        </w:rPr>
        <w:t>.</w:t>
      </w:r>
    </w:p>
  </w:footnote>
  <w:footnote w:id="3">
    <w:p w14:paraId="56FD51DF" w14:textId="2BD65007" w:rsidR="002B05C3" w:rsidRPr="00BD7ACC" w:rsidRDefault="002B05C3">
      <w:pPr>
        <w:pStyle w:val="Textonotapie"/>
        <w:rPr>
          <w:rFonts w:ascii="Arial" w:hAnsi="Arial" w:cs="Arial"/>
          <w:sz w:val="16"/>
          <w:szCs w:val="16"/>
        </w:rPr>
      </w:pPr>
      <w:r w:rsidRPr="00BD7ACC">
        <w:rPr>
          <w:rStyle w:val="Refdenotaalpie"/>
          <w:rFonts w:ascii="Arial" w:hAnsi="Arial" w:cs="Arial"/>
          <w:sz w:val="16"/>
          <w:szCs w:val="16"/>
        </w:rPr>
        <w:t>P</w:t>
      </w:r>
      <w:r w:rsidRPr="00BD7ACC">
        <w:rPr>
          <w:rFonts w:ascii="Arial" w:hAnsi="Arial" w:cs="Arial"/>
          <w:sz w:val="16"/>
          <w:szCs w:val="16"/>
        </w:rPr>
        <w:t xml:space="preserve"> Preliminar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DC3A" w14:textId="74DC71AB" w:rsidR="002B05C3" w:rsidRPr="00AF4CA1" w:rsidRDefault="002B05C3" w:rsidP="00BD7ACC">
    <w:pPr>
      <w:pStyle w:val="Encabezado"/>
      <w:tabs>
        <w:tab w:val="clear" w:pos="4419"/>
        <w:tab w:val="clear" w:pos="8838"/>
      </w:tabs>
      <w:ind w:right="-137"/>
      <w:jc w:val="right"/>
      <w:rPr>
        <w:rFonts w:ascii="Arial" w:hAnsi="Arial" w:cs="Arial"/>
        <w:b/>
        <w:color w:val="002060"/>
        <w:sz w:val="24"/>
        <w:szCs w:val="24"/>
      </w:rPr>
    </w:pPr>
    <w:r w:rsidRPr="00B2477D">
      <w:rPr>
        <w:rFonts w:ascii="Arial" w:hAnsi="Arial" w:cs="Arial"/>
        <w:noProof/>
        <w:sz w:val="24"/>
        <w:szCs w:val="24"/>
      </w:rPr>
      <w:drawing>
        <wp:anchor distT="0" distB="0" distL="114300" distR="114300" simplePos="0" relativeHeight="251657728" behindDoc="0" locked="0" layoutInCell="1" allowOverlap="1" wp14:anchorId="6328E1DA" wp14:editId="6E1A988C">
          <wp:simplePos x="0" y="0"/>
          <wp:positionH relativeFrom="margin">
            <wp:posOffset>-60325</wp:posOffset>
          </wp:positionH>
          <wp:positionV relativeFrom="margin">
            <wp:posOffset>-976630</wp:posOffset>
          </wp:positionV>
          <wp:extent cx="701040" cy="7302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477D">
      <w:rPr>
        <w:rFonts w:ascii="Arial" w:hAnsi="Arial" w:cs="Arial"/>
        <w:b/>
        <w:color w:val="002060"/>
        <w:sz w:val="24"/>
        <w:szCs w:val="24"/>
      </w:rPr>
      <w:t>C</w:t>
    </w:r>
    <w:r w:rsidRPr="00AF4CA1">
      <w:rPr>
        <w:rFonts w:ascii="Arial" w:hAnsi="Arial" w:cs="Arial"/>
        <w:b/>
        <w:color w:val="002060"/>
        <w:sz w:val="24"/>
        <w:szCs w:val="24"/>
      </w:rPr>
      <w:t>OMUNICADO DE PRENSA NÚM</w:t>
    </w:r>
    <w:r>
      <w:rPr>
        <w:rFonts w:ascii="Arial" w:hAnsi="Arial" w:cs="Arial"/>
        <w:b/>
        <w:color w:val="002060"/>
        <w:sz w:val="24"/>
        <w:szCs w:val="24"/>
      </w:rPr>
      <w:t>. 376</w:t>
    </w:r>
    <w:r w:rsidRPr="006D0683">
      <w:rPr>
        <w:rFonts w:ascii="Arial" w:hAnsi="Arial" w:cs="Arial"/>
        <w:b/>
        <w:color w:val="002060"/>
        <w:sz w:val="24"/>
        <w:szCs w:val="24"/>
      </w:rPr>
      <w:t>/</w:t>
    </w:r>
    <w:r>
      <w:rPr>
        <w:rFonts w:ascii="Arial" w:hAnsi="Arial" w:cs="Arial"/>
        <w:b/>
        <w:color w:val="002060"/>
        <w:sz w:val="24"/>
        <w:szCs w:val="24"/>
      </w:rPr>
      <w:t>22</w:t>
    </w:r>
  </w:p>
  <w:p w14:paraId="1371A644" w14:textId="1DFBDA1C" w:rsidR="002B05C3" w:rsidRPr="00AF4CA1" w:rsidRDefault="002B05C3" w:rsidP="00BD7ACC">
    <w:pPr>
      <w:pStyle w:val="Encabezado"/>
      <w:tabs>
        <w:tab w:val="clear" w:pos="4419"/>
        <w:tab w:val="clear" w:pos="8838"/>
      </w:tabs>
      <w:ind w:left="567" w:right="-137" w:hanging="11"/>
      <w:jc w:val="right"/>
      <w:rPr>
        <w:rFonts w:ascii="Arial" w:hAnsi="Arial" w:cs="Arial"/>
        <w:b/>
        <w:color w:val="002060"/>
        <w:sz w:val="24"/>
        <w:szCs w:val="24"/>
        <w:lang w:val="pt-BR"/>
      </w:rPr>
    </w:pPr>
    <w:r>
      <w:rPr>
        <w:rFonts w:ascii="Arial" w:hAnsi="Arial" w:cs="Arial"/>
        <w:b/>
        <w:color w:val="002060"/>
        <w:sz w:val="24"/>
        <w:szCs w:val="24"/>
        <w:lang w:val="pt-BR"/>
      </w:rPr>
      <w:t xml:space="preserve">26 DE JULIO </w:t>
    </w:r>
    <w:r w:rsidRPr="00AF4CA1">
      <w:rPr>
        <w:rFonts w:ascii="Arial" w:hAnsi="Arial" w:cs="Arial"/>
        <w:b/>
        <w:color w:val="002060"/>
        <w:sz w:val="24"/>
        <w:szCs w:val="24"/>
        <w:lang w:val="pt-BR"/>
      </w:rPr>
      <w:t>DE 20</w:t>
    </w:r>
    <w:r>
      <w:rPr>
        <w:rFonts w:ascii="Arial" w:hAnsi="Arial" w:cs="Arial"/>
        <w:b/>
        <w:color w:val="002060"/>
        <w:sz w:val="24"/>
        <w:szCs w:val="24"/>
        <w:lang w:val="pt-BR"/>
      </w:rPr>
      <w:t>22</w:t>
    </w:r>
  </w:p>
  <w:p w14:paraId="0A0448A9" w14:textId="6315828C" w:rsidR="002B05C3" w:rsidRPr="00C94368" w:rsidRDefault="002B05C3" w:rsidP="00BD7ACC">
    <w:pPr>
      <w:pStyle w:val="Encabezado"/>
      <w:tabs>
        <w:tab w:val="clear" w:pos="4419"/>
        <w:tab w:val="clear" w:pos="8838"/>
      </w:tabs>
      <w:ind w:left="567" w:right="-137" w:hanging="11"/>
      <w:jc w:val="right"/>
      <w:rPr>
        <w:rFonts w:ascii="Arial" w:hAnsi="Arial" w:cs="Arial"/>
        <w:b/>
        <w:color w:val="002060"/>
        <w:sz w:val="24"/>
        <w:szCs w:val="24"/>
        <w:lang w:val="pt-BR"/>
      </w:rPr>
    </w:pPr>
    <w:r w:rsidRPr="00AF4CA1">
      <w:rPr>
        <w:rFonts w:ascii="Arial" w:hAnsi="Arial" w:cs="Arial"/>
        <w:b/>
        <w:color w:val="002060"/>
        <w:sz w:val="24"/>
        <w:szCs w:val="24"/>
        <w:lang w:val="pt-BR"/>
      </w:rPr>
      <w:t xml:space="preserve">PÁGINA </w:t>
    </w:r>
    <w:r w:rsidRPr="00AF4CA1">
      <w:rPr>
        <w:rFonts w:ascii="Arial" w:hAnsi="Arial" w:cs="Arial"/>
        <w:b/>
        <w:color w:val="002060"/>
        <w:sz w:val="24"/>
        <w:szCs w:val="24"/>
      </w:rPr>
      <w:fldChar w:fldCharType="begin"/>
    </w:r>
    <w:r w:rsidRPr="00AF4CA1">
      <w:rPr>
        <w:rFonts w:ascii="Arial" w:hAnsi="Arial" w:cs="Arial"/>
        <w:b/>
        <w:color w:val="002060"/>
        <w:sz w:val="24"/>
        <w:szCs w:val="24"/>
        <w:lang w:val="pt-BR"/>
      </w:rPr>
      <w:instrText xml:space="preserve">\PAGE </w:instrText>
    </w:r>
    <w:r w:rsidRPr="00AF4CA1">
      <w:rPr>
        <w:rFonts w:ascii="Arial" w:hAnsi="Arial" w:cs="Arial"/>
        <w:color w:val="002060"/>
        <w:sz w:val="24"/>
        <w:szCs w:val="24"/>
      </w:rPr>
      <w:fldChar w:fldCharType="separate"/>
    </w:r>
    <w:r>
      <w:rPr>
        <w:rFonts w:ascii="Arial" w:hAnsi="Arial" w:cs="Arial"/>
        <w:b/>
        <w:noProof/>
        <w:color w:val="002060"/>
        <w:sz w:val="24"/>
        <w:szCs w:val="24"/>
        <w:lang w:val="pt-BR"/>
      </w:rPr>
      <w:t>2</w:t>
    </w:r>
    <w:r w:rsidRPr="00AF4CA1">
      <w:rPr>
        <w:rFonts w:ascii="Arial" w:hAnsi="Arial" w:cs="Arial"/>
        <w:color w:val="002060"/>
        <w:sz w:val="24"/>
        <w:szCs w:val="24"/>
      </w:rPr>
      <w:fldChar w:fldCharType="end"/>
    </w:r>
    <w:r w:rsidRPr="00AF4CA1">
      <w:rPr>
        <w:rFonts w:ascii="Arial" w:hAnsi="Arial" w:cs="Arial"/>
        <w:b/>
        <w:color w:val="002060"/>
        <w:sz w:val="24"/>
        <w:szCs w:val="24"/>
        <w:lang w:val="pt-BR"/>
      </w:rPr>
      <w:t>/</w:t>
    </w:r>
    <w:r>
      <w:rPr>
        <w:rFonts w:ascii="Arial" w:hAnsi="Arial" w:cs="Arial"/>
        <w:b/>
        <w:color w:val="002060"/>
        <w:sz w:val="24"/>
        <w:szCs w:val="24"/>
        <w:lang w:val="pt-BR"/>
      </w:rPr>
      <w:t>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E2AF3" w14:textId="1FD9BB8D" w:rsidR="002B05C3" w:rsidRPr="009615F8" w:rsidRDefault="002B05C3" w:rsidP="00BD7ACC">
    <w:pPr>
      <w:pStyle w:val="Default"/>
      <w:spacing w:after="120"/>
      <w:ind w:left="-567" w:right="-142"/>
      <w:jc w:val="center"/>
    </w:pPr>
    <w:r>
      <w:rPr>
        <w:noProof/>
      </w:rPr>
      <w:drawing>
        <wp:inline distT="0" distB="0" distL="0" distR="0" wp14:anchorId="268444C7" wp14:editId="506723EA">
          <wp:extent cx="736600" cy="7683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768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75CBB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3B1908"/>
    <w:multiLevelType w:val="hybridMultilevel"/>
    <w:tmpl w:val="E98C68AE"/>
    <w:lvl w:ilvl="0" w:tplc="792E5C2E">
      <w:numFmt w:val="bullet"/>
      <w:lvlText w:val=""/>
      <w:lvlJc w:val="left"/>
      <w:pPr>
        <w:ind w:left="405" w:hanging="360"/>
      </w:pPr>
      <w:rPr>
        <w:rFonts w:ascii="Symbol" w:eastAsia="Times New Roman" w:hAnsi="Symbol" w:cs="Times New Roman"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2" w15:restartNumberingAfterBreak="0">
    <w:nsid w:val="5E440FF0"/>
    <w:multiLevelType w:val="hybridMultilevel"/>
    <w:tmpl w:val="1562A1AE"/>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6" w:nlCheck="1" w:checkStyle="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5A"/>
    <w:rsid w:val="0000092E"/>
    <w:rsid w:val="0000138E"/>
    <w:rsid w:val="00001BD8"/>
    <w:rsid w:val="0000492F"/>
    <w:rsid w:val="00012CD6"/>
    <w:rsid w:val="000149E5"/>
    <w:rsid w:val="0001547E"/>
    <w:rsid w:val="00021AE0"/>
    <w:rsid w:val="00021B3C"/>
    <w:rsid w:val="0002243E"/>
    <w:rsid w:val="00023B9D"/>
    <w:rsid w:val="0002510D"/>
    <w:rsid w:val="0002575D"/>
    <w:rsid w:val="00026564"/>
    <w:rsid w:val="00027A6A"/>
    <w:rsid w:val="0003137F"/>
    <w:rsid w:val="000377F1"/>
    <w:rsid w:val="00037C2A"/>
    <w:rsid w:val="00037F93"/>
    <w:rsid w:val="00040E58"/>
    <w:rsid w:val="00041F54"/>
    <w:rsid w:val="000423A2"/>
    <w:rsid w:val="000462E3"/>
    <w:rsid w:val="00052823"/>
    <w:rsid w:val="00054323"/>
    <w:rsid w:val="00055D45"/>
    <w:rsid w:val="0005656E"/>
    <w:rsid w:val="00062369"/>
    <w:rsid w:val="00063252"/>
    <w:rsid w:val="00066A8A"/>
    <w:rsid w:val="000709EE"/>
    <w:rsid w:val="0007214A"/>
    <w:rsid w:val="00073F87"/>
    <w:rsid w:val="0008037F"/>
    <w:rsid w:val="000810A9"/>
    <w:rsid w:val="00087871"/>
    <w:rsid w:val="00091046"/>
    <w:rsid w:val="0009342E"/>
    <w:rsid w:val="000A3195"/>
    <w:rsid w:val="000A4D04"/>
    <w:rsid w:val="000A5F6F"/>
    <w:rsid w:val="000A7F8A"/>
    <w:rsid w:val="000B1051"/>
    <w:rsid w:val="000B4DA5"/>
    <w:rsid w:val="000B5A66"/>
    <w:rsid w:val="000B626A"/>
    <w:rsid w:val="000B7491"/>
    <w:rsid w:val="000B7A6A"/>
    <w:rsid w:val="000C0143"/>
    <w:rsid w:val="000C2D52"/>
    <w:rsid w:val="000C6739"/>
    <w:rsid w:val="000D1720"/>
    <w:rsid w:val="000D7DE6"/>
    <w:rsid w:val="000E07A1"/>
    <w:rsid w:val="000E0F31"/>
    <w:rsid w:val="000E3EE7"/>
    <w:rsid w:val="000E446F"/>
    <w:rsid w:val="000E6BE9"/>
    <w:rsid w:val="000F5AFD"/>
    <w:rsid w:val="000F6436"/>
    <w:rsid w:val="000F67F6"/>
    <w:rsid w:val="000F6D4F"/>
    <w:rsid w:val="000F7630"/>
    <w:rsid w:val="0010196A"/>
    <w:rsid w:val="00102963"/>
    <w:rsid w:val="001101B1"/>
    <w:rsid w:val="00110D70"/>
    <w:rsid w:val="00115BDE"/>
    <w:rsid w:val="0011732F"/>
    <w:rsid w:val="0012074D"/>
    <w:rsid w:val="00120BD0"/>
    <w:rsid w:val="00121DA5"/>
    <w:rsid w:val="00121F5D"/>
    <w:rsid w:val="0012206C"/>
    <w:rsid w:val="00122516"/>
    <w:rsid w:val="00123093"/>
    <w:rsid w:val="00124969"/>
    <w:rsid w:val="0012742F"/>
    <w:rsid w:val="0013245C"/>
    <w:rsid w:val="001328BE"/>
    <w:rsid w:val="001330A9"/>
    <w:rsid w:val="00136037"/>
    <w:rsid w:val="00136B12"/>
    <w:rsid w:val="0014082D"/>
    <w:rsid w:val="0014275A"/>
    <w:rsid w:val="00145413"/>
    <w:rsid w:val="00146A49"/>
    <w:rsid w:val="0015112C"/>
    <w:rsid w:val="00151289"/>
    <w:rsid w:val="0015785D"/>
    <w:rsid w:val="00163C8E"/>
    <w:rsid w:val="00173488"/>
    <w:rsid w:val="00176679"/>
    <w:rsid w:val="0017782D"/>
    <w:rsid w:val="00180961"/>
    <w:rsid w:val="00180DC3"/>
    <w:rsid w:val="0018345B"/>
    <w:rsid w:val="00186F65"/>
    <w:rsid w:val="00187599"/>
    <w:rsid w:val="0018762E"/>
    <w:rsid w:val="001912F5"/>
    <w:rsid w:val="001A4DEC"/>
    <w:rsid w:val="001A65DB"/>
    <w:rsid w:val="001A7393"/>
    <w:rsid w:val="001B130B"/>
    <w:rsid w:val="001B14CF"/>
    <w:rsid w:val="001B2C33"/>
    <w:rsid w:val="001B3A38"/>
    <w:rsid w:val="001B54EA"/>
    <w:rsid w:val="001B6F78"/>
    <w:rsid w:val="001C6169"/>
    <w:rsid w:val="001D06F5"/>
    <w:rsid w:val="001D1E30"/>
    <w:rsid w:val="001D3A7A"/>
    <w:rsid w:val="001D4064"/>
    <w:rsid w:val="001D5C48"/>
    <w:rsid w:val="001E0151"/>
    <w:rsid w:val="001E0711"/>
    <w:rsid w:val="001E081A"/>
    <w:rsid w:val="001E15AB"/>
    <w:rsid w:val="001E35AE"/>
    <w:rsid w:val="001E5034"/>
    <w:rsid w:val="001E556D"/>
    <w:rsid w:val="001E5F9B"/>
    <w:rsid w:val="001F37E8"/>
    <w:rsid w:val="001F57AE"/>
    <w:rsid w:val="001F632D"/>
    <w:rsid w:val="001F67E8"/>
    <w:rsid w:val="001F7086"/>
    <w:rsid w:val="00201A99"/>
    <w:rsid w:val="00201F28"/>
    <w:rsid w:val="002025AF"/>
    <w:rsid w:val="002042E7"/>
    <w:rsid w:val="00212185"/>
    <w:rsid w:val="002146A2"/>
    <w:rsid w:val="00214CFD"/>
    <w:rsid w:val="00215361"/>
    <w:rsid w:val="00225A3D"/>
    <w:rsid w:val="00226B82"/>
    <w:rsid w:val="002316CE"/>
    <w:rsid w:val="002336ED"/>
    <w:rsid w:val="002359A0"/>
    <w:rsid w:val="00237018"/>
    <w:rsid w:val="00240004"/>
    <w:rsid w:val="00241026"/>
    <w:rsid w:val="00241691"/>
    <w:rsid w:val="0024763E"/>
    <w:rsid w:val="002478A1"/>
    <w:rsid w:val="0025213B"/>
    <w:rsid w:val="00253E5D"/>
    <w:rsid w:val="00255F10"/>
    <w:rsid w:val="00257069"/>
    <w:rsid w:val="00257F93"/>
    <w:rsid w:val="00262B59"/>
    <w:rsid w:val="002635A4"/>
    <w:rsid w:val="00265382"/>
    <w:rsid w:val="00266F5E"/>
    <w:rsid w:val="00271090"/>
    <w:rsid w:val="00271BE8"/>
    <w:rsid w:val="00271CEA"/>
    <w:rsid w:val="0027271B"/>
    <w:rsid w:val="002732F7"/>
    <w:rsid w:val="00274516"/>
    <w:rsid w:val="00274518"/>
    <w:rsid w:val="00274953"/>
    <w:rsid w:val="0027628F"/>
    <w:rsid w:val="00277C7B"/>
    <w:rsid w:val="00284CCA"/>
    <w:rsid w:val="0028651C"/>
    <w:rsid w:val="00287482"/>
    <w:rsid w:val="00290C5F"/>
    <w:rsid w:val="00293470"/>
    <w:rsid w:val="002938C3"/>
    <w:rsid w:val="00294CC0"/>
    <w:rsid w:val="00296931"/>
    <w:rsid w:val="002969F4"/>
    <w:rsid w:val="002A10DD"/>
    <w:rsid w:val="002A11B7"/>
    <w:rsid w:val="002A1A30"/>
    <w:rsid w:val="002A6940"/>
    <w:rsid w:val="002A7F8C"/>
    <w:rsid w:val="002B05C3"/>
    <w:rsid w:val="002B1615"/>
    <w:rsid w:val="002B37FB"/>
    <w:rsid w:val="002B4347"/>
    <w:rsid w:val="002B4878"/>
    <w:rsid w:val="002B48B9"/>
    <w:rsid w:val="002B6426"/>
    <w:rsid w:val="002B6C25"/>
    <w:rsid w:val="002B6F8A"/>
    <w:rsid w:val="002C0465"/>
    <w:rsid w:val="002D211C"/>
    <w:rsid w:val="002D3BC0"/>
    <w:rsid w:val="002D3FA4"/>
    <w:rsid w:val="002D6498"/>
    <w:rsid w:val="002D6D01"/>
    <w:rsid w:val="002D7298"/>
    <w:rsid w:val="002E00EA"/>
    <w:rsid w:val="002E1BA7"/>
    <w:rsid w:val="002E1E43"/>
    <w:rsid w:val="002E6420"/>
    <w:rsid w:val="002E6755"/>
    <w:rsid w:val="002F62FE"/>
    <w:rsid w:val="002F6F47"/>
    <w:rsid w:val="00302C7E"/>
    <w:rsid w:val="003043CA"/>
    <w:rsid w:val="00304CB2"/>
    <w:rsid w:val="003057A2"/>
    <w:rsid w:val="003129EF"/>
    <w:rsid w:val="003176E6"/>
    <w:rsid w:val="00320807"/>
    <w:rsid w:val="003209EB"/>
    <w:rsid w:val="00320C48"/>
    <w:rsid w:val="00320EE6"/>
    <w:rsid w:val="00325F16"/>
    <w:rsid w:val="00326961"/>
    <w:rsid w:val="00326A73"/>
    <w:rsid w:val="00330734"/>
    <w:rsid w:val="00331198"/>
    <w:rsid w:val="003341FD"/>
    <w:rsid w:val="00334CE1"/>
    <w:rsid w:val="00341486"/>
    <w:rsid w:val="00342316"/>
    <w:rsid w:val="003435FF"/>
    <w:rsid w:val="003448A3"/>
    <w:rsid w:val="0034633A"/>
    <w:rsid w:val="00346E2E"/>
    <w:rsid w:val="003508E1"/>
    <w:rsid w:val="00352C37"/>
    <w:rsid w:val="00353E1B"/>
    <w:rsid w:val="00353EFF"/>
    <w:rsid w:val="003546C6"/>
    <w:rsid w:val="00355262"/>
    <w:rsid w:val="00361AC7"/>
    <w:rsid w:val="003632F3"/>
    <w:rsid w:val="00367D94"/>
    <w:rsid w:val="00373A4F"/>
    <w:rsid w:val="00375E9E"/>
    <w:rsid w:val="00376B0C"/>
    <w:rsid w:val="00377B9D"/>
    <w:rsid w:val="00381E42"/>
    <w:rsid w:val="00383344"/>
    <w:rsid w:val="003852A4"/>
    <w:rsid w:val="003869D3"/>
    <w:rsid w:val="00386AE4"/>
    <w:rsid w:val="00393EA5"/>
    <w:rsid w:val="0039524F"/>
    <w:rsid w:val="003A0916"/>
    <w:rsid w:val="003A0E33"/>
    <w:rsid w:val="003A2C74"/>
    <w:rsid w:val="003A4047"/>
    <w:rsid w:val="003A66CE"/>
    <w:rsid w:val="003B123B"/>
    <w:rsid w:val="003B14B0"/>
    <w:rsid w:val="003B2A44"/>
    <w:rsid w:val="003B3181"/>
    <w:rsid w:val="003B3305"/>
    <w:rsid w:val="003B42BE"/>
    <w:rsid w:val="003B58AB"/>
    <w:rsid w:val="003B6A06"/>
    <w:rsid w:val="003B7E03"/>
    <w:rsid w:val="003C0A99"/>
    <w:rsid w:val="003C2F94"/>
    <w:rsid w:val="003C3970"/>
    <w:rsid w:val="003D144E"/>
    <w:rsid w:val="003D1D9A"/>
    <w:rsid w:val="003D3111"/>
    <w:rsid w:val="003D54E4"/>
    <w:rsid w:val="003D68FD"/>
    <w:rsid w:val="003D7326"/>
    <w:rsid w:val="003D7515"/>
    <w:rsid w:val="003E234F"/>
    <w:rsid w:val="003E2D45"/>
    <w:rsid w:val="003E3EF7"/>
    <w:rsid w:val="003F069E"/>
    <w:rsid w:val="003F6513"/>
    <w:rsid w:val="0040005E"/>
    <w:rsid w:val="0040080C"/>
    <w:rsid w:val="004011D3"/>
    <w:rsid w:val="00401FAC"/>
    <w:rsid w:val="0040442D"/>
    <w:rsid w:val="004053C2"/>
    <w:rsid w:val="004059D5"/>
    <w:rsid w:val="00406225"/>
    <w:rsid w:val="00407B30"/>
    <w:rsid w:val="0041058A"/>
    <w:rsid w:val="0041391E"/>
    <w:rsid w:val="00414E77"/>
    <w:rsid w:val="00415FAA"/>
    <w:rsid w:val="00427FD7"/>
    <w:rsid w:val="00431CE8"/>
    <w:rsid w:val="00435734"/>
    <w:rsid w:val="00435AAC"/>
    <w:rsid w:val="00440F29"/>
    <w:rsid w:val="00441A2A"/>
    <w:rsid w:val="004423D0"/>
    <w:rsid w:val="00442614"/>
    <w:rsid w:val="00442A70"/>
    <w:rsid w:val="00443A22"/>
    <w:rsid w:val="00445424"/>
    <w:rsid w:val="00447439"/>
    <w:rsid w:val="00460AB0"/>
    <w:rsid w:val="00462FB3"/>
    <w:rsid w:val="00463D05"/>
    <w:rsid w:val="00465938"/>
    <w:rsid w:val="00467417"/>
    <w:rsid w:val="004677A7"/>
    <w:rsid w:val="00471093"/>
    <w:rsid w:val="00472C34"/>
    <w:rsid w:val="00476316"/>
    <w:rsid w:val="00477E70"/>
    <w:rsid w:val="00480BFE"/>
    <w:rsid w:val="00485737"/>
    <w:rsid w:val="00486438"/>
    <w:rsid w:val="0048787C"/>
    <w:rsid w:val="00487C84"/>
    <w:rsid w:val="004900C7"/>
    <w:rsid w:val="00492D15"/>
    <w:rsid w:val="004953A8"/>
    <w:rsid w:val="00496893"/>
    <w:rsid w:val="004A0A16"/>
    <w:rsid w:val="004A1C59"/>
    <w:rsid w:val="004A2BB8"/>
    <w:rsid w:val="004A672D"/>
    <w:rsid w:val="004B2560"/>
    <w:rsid w:val="004B25A4"/>
    <w:rsid w:val="004B5311"/>
    <w:rsid w:val="004B568E"/>
    <w:rsid w:val="004B7621"/>
    <w:rsid w:val="004C4F26"/>
    <w:rsid w:val="004C7A29"/>
    <w:rsid w:val="004D5567"/>
    <w:rsid w:val="004D5979"/>
    <w:rsid w:val="004E2CFD"/>
    <w:rsid w:val="004E3CBA"/>
    <w:rsid w:val="004E6655"/>
    <w:rsid w:val="004E6FB5"/>
    <w:rsid w:val="004E715D"/>
    <w:rsid w:val="004E7D8D"/>
    <w:rsid w:val="004F6670"/>
    <w:rsid w:val="005017F3"/>
    <w:rsid w:val="00504BEF"/>
    <w:rsid w:val="00505521"/>
    <w:rsid w:val="00506E45"/>
    <w:rsid w:val="005122EF"/>
    <w:rsid w:val="00515B58"/>
    <w:rsid w:val="005164D3"/>
    <w:rsid w:val="00521548"/>
    <w:rsid w:val="00525B20"/>
    <w:rsid w:val="00527874"/>
    <w:rsid w:val="00527F93"/>
    <w:rsid w:val="005330CD"/>
    <w:rsid w:val="00536774"/>
    <w:rsid w:val="00536DB8"/>
    <w:rsid w:val="00537FB8"/>
    <w:rsid w:val="0054167B"/>
    <w:rsid w:val="00542B4B"/>
    <w:rsid w:val="00544B00"/>
    <w:rsid w:val="00546EBD"/>
    <w:rsid w:val="005470C8"/>
    <w:rsid w:val="005549DA"/>
    <w:rsid w:val="00560E02"/>
    <w:rsid w:val="00561C4A"/>
    <w:rsid w:val="005628E4"/>
    <w:rsid w:val="005629AE"/>
    <w:rsid w:val="00562B07"/>
    <w:rsid w:val="005655B3"/>
    <w:rsid w:val="005701A0"/>
    <w:rsid w:val="0057072F"/>
    <w:rsid w:val="0057228D"/>
    <w:rsid w:val="0057282E"/>
    <w:rsid w:val="00572F9B"/>
    <w:rsid w:val="00580BBF"/>
    <w:rsid w:val="00581977"/>
    <w:rsid w:val="00583543"/>
    <w:rsid w:val="0059039C"/>
    <w:rsid w:val="00591497"/>
    <w:rsid w:val="0059290A"/>
    <w:rsid w:val="00592D46"/>
    <w:rsid w:val="00595F0B"/>
    <w:rsid w:val="005A0934"/>
    <w:rsid w:val="005A552E"/>
    <w:rsid w:val="005A5663"/>
    <w:rsid w:val="005A60A3"/>
    <w:rsid w:val="005A7261"/>
    <w:rsid w:val="005B0F6D"/>
    <w:rsid w:val="005B0FEE"/>
    <w:rsid w:val="005B25CD"/>
    <w:rsid w:val="005B45B6"/>
    <w:rsid w:val="005C17AF"/>
    <w:rsid w:val="005C381B"/>
    <w:rsid w:val="005C46F3"/>
    <w:rsid w:val="005C58D0"/>
    <w:rsid w:val="005D29B3"/>
    <w:rsid w:val="005D3B46"/>
    <w:rsid w:val="005D43C6"/>
    <w:rsid w:val="005D5664"/>
    <w:rsid w:val="005D58F6"/>
    <w:rsid w:val="005D6843"/>
    <w:rsid w:val="005E35D9"/>
    <w:rsid w:val="005E3D5D"/>
    <w:rsid w:val="005E7FE9"/>
    <w:rsid w:val="005F146A"/>
    <w:rsid w:val="005F3882"/>
    <w:rsid w:val="005F5C18"/>
    <w:rsid w:val="005F67A2"/>
    <w:rsid w:val="005F7451"/>
    <w:rsid w:val="006016E6"/>
    <w:rsid w:val="00606FD4"/>
    <w:rsid w:val="00607432"/>
    <w:rsid w:val="0061024C"/>
    <w:rsid w:val="00613736"/>
    <w:rsid w:val="00620D48"/>
    <w:rsid w:val="006213A3"/>
    <w:rsid w:val="00622AFC"/>
    <w:rsid w:val="00622D35"/>
    <w:rsid w:val="00623D6C"/>
    <w:rsid w:val="00623FDE"/>
    <w:rsid w:val="0062451F"/>
    <w:rsid w:val="00624866"/>
    <w:rsid w:val="0062672A"/>
    <w:rsid w:val="00631008"/>
    <w:rsid w:val="00633960"/>
    <w:rsid w:val="00640279"/>
    <w:rsid w:val="00644A5A"/>
    <w:rsid w:val="00650028"/>
    <w:rsid w:val="0065032F"/>
    <w:rsid w:val="00651270"/>
    <w:rsid w:val="00651CFD"/>
    <w:rsid w:val="006523FA"/>
    <w:rsid w:val="006529A3"/>
    <w:rsid w:val="00654C43"/>
    <w:rsid w:val="00655121"/>
    <w:rsid w:val="00656174"/>
    <w:rsid w:val="00657E1D"/>
    <w:rsid w:val="006612CD"/>
    <w:rsid w:val="00661627"/>
    <w:rsid w:val="00661C79"/>
    <w:rsid w:val="006628F5"/>
    <w:rsid w:val="00664522"/>
    <w:rsid w:val="006656A8"/>
    <w:rsid w:val="006660D3"/>
    <w:rsid w:val="0066756A"/>
    <w:rsid w:val="00667919"/>
    <w:rsid w:val="0067258F"/>
    <w:rsid w:val="00675DF0"/>
    <w:rsid w:val="00676176"/>
    <w:rsid w:val="006764D3"/>
    <w:rsid w:val="00682866"/>
    <w:rsid w:val="006853DC"/>
    <w:rsid w:val="00685FAA"/>
    <w:rsid w:val="00690813"/>
    <w:rsid w:val="00690A06"/>
    <w:rsid w:val="006951FC"/>
    <w:rsid w:val="00695F31"/>
    <w:rsid w:val="006960FF"/>
    <w:rsid w:val="006A09B9"/>
    <w:rsid w:val="006A1B2E"/>
    <w:rsid w:val="006A1EF1"/>
    <w:rsid w:val="006A2D1C"/>
    <w:rsid w:val="006A57DE"/>
    <w:rsid w:val="006A6F23"/>
    <w:rsid w:val="006B05D6"/>
    <w:rsid w:val="006B2682"/>
    <w:rsid w:val="006B36FA"/>
    <w:rsid w:val="006B5447"/>
    <w:rsid w:val="006B7CCD"/>
    <w:rsid w:val="006C3DEE"/>
    <w:rsid w:val="006C6903"/>
    <w:rsid w:val="006C7E6C"/>
    <w:rsid w:val="006D0683"/>
    <w:rsid w:val="006D1A6C"/>
    <w:rsid w:val="006D3CF6"/>
    <w:rsid w:val="006D5CBA"/>
    <w:rsid w:val="006E236A"/>
    <w:rsid w:val="006E303F"/>
    <w:rsid w:val="006E36D6"/>
    <w:rsid w:val="006E55DF"/>
    <w:rsid w:val="006F21BB"/>
    <w:rsid w:val="006F22FC"/>
    <w:rsid w:val="006F4B1E"/>
    <w:rsid w:val="006F78F6"/>
    <w:rsid w:val="00700003"/>
    <w:rsid w:val="00704047"/>
    <w:rsid w:val="00705DAA"/>
    <w:rsid w:val="00715987"/>
    <w:rsid w:val="00716A42"/>
    <w:rsid w:val="00717479"/>
    <w:rsid w:val="00720434"/>
    <w:rsid w:val="0072066A"/>
    <w:rsid w:val="00720954"/>
    <w:rsid w:val="0072528A"/>
    <w:rsid w:val="00730397"/>
    <w:rsid w:val="007342F3"/>
    <w:rsid w:val="007353C2"/>
    <w:rsid w:val="007406E4"/>
    <w:rsid w:val="0074082A"/>
    <w:rsid w:val="007410A0"/>
    <w:rsid w:val="00741276"/>
    <w:rsid w:val="0074251B"/>
    <w:rsid w:val="007450D6"/>
    <w:rsid w:val="0074562C"/>
    <w:rsid w:val="00746D08"/>
    <w:rsid w:val="00746ED0"/>
    <w:rsid w:val="0075218F"/>
    <w:rsid w:val="00752BDA"/>
    <w:rsid w:val="00753795"/>
    <w:rsid w:val="00754F0D"/>
    <w:rsid w:val="00762748"/>
    <w:rsid w:val="00763665"/>
    <w:rsid w:val="00764501"/>
    <w:rsid w:val="00766320"/>
    <w:rsid w:val="00770F38"/>
    <w:rsid w:val="007717CB"/>
    <w:rsid w:val="00771D23"/>
    <w:rsid w:val="007724D1"/>
    <w:rsid w:val="0077381F"/>
    <w:rsid w:val="007746F3"/>
    <w:rsid w:val="007757AC"/>
    <w:rsid w:val="00776126"/>
    <w:rsid w:val="007801C7"/>
    <w:rsid w:val="00790C8A"/>
    <w:rsid w:val="00796909"/>
    <w:rsid w:val="007A1450"/>
    <w:rsid w:val="007A4017"/>
    <w:rsid w:val="007A5DCF"/>
    <w:rsid w:val="007A6D9E"/>
    <w:rsid w:val="007B23E9"/>
    <w:rsid w:val="007B2473"/>
    <w:rsid w:val="007B2BBC"/>
    <w:rsid w:val="007B2CCB"/>
    <w:rsid w:val="007B3205"/>
    <w:rsid w:val="007B35E2"/>
    <w:rsid w:val="007B7282"/>
    <w:rsid w:val="007C110A"/>
    <w:rsid w:val="007C1B4A"/>
    <w:rsid w:val="007C1D6F"/>
    <w:rsid w:val="007C36AD"/>
    <w:rsid w:val="007C4AA0"/>
    <w:rsid w:val="007C7378"/>
    <w:rsid w:val="007D169E"/>
    <w:rsid w:val="007D2D80"/>
    <w:rsid w:val="007D5822"/>
    <w:rsid w:val="007D7348"/>
    <w:rsid w:val="007E4299"/>
    <w:rsid w:val="007E4F7E"/>
    <w:rsid w:val="007E5751"/>
    <w:rsid w:val="007E6C09"/>
    <w:rsid w:val="007F0062"/>
    <w:rsid w:val="007F0EF1"/>
    <w:rsid w:val="007F1285"/>
    <w:rsid w:val="007F2EE3"/>
    <w:rsid w:val="007F4DF3"/>
    <w:rsid w:val="007F55EB"/>
    <w:rsid w:val="007F6535"/>
    <w:rsid w:val="00803C5B"/>
    <w:rsid w:val="0081265E"/>
    <w:rsid w:val="00816138"/>
    <w:rsid w:val="00816B13"/>
    <w:rsid w:val="00816F27"/>
    <w:rsid w:val="0082210B"/>
    <w:rsid w:val="00822F94"/>
    <w:rsid w:val="0082370E"/>
    <w:rsid w:val="00824ABF"/>
    <w:rsid w:val="008250C4"/>
    <w:rsid w:val="0082739A"/>
    <w:rsid w:val="008277F8"/>
    <w:rsid w:val="008300C2"/>
    <w:rsid w:val="0083213D"/>
    <w:rsid w:val="00832B9F"/>
    <w:rsid w:val="00834D18"/>
    <w:rsid w:val="00835267"/>
    <w:rsid w:val="00836290"/>
    <w:rsid w:val="00842481"/>
    <w:rsid w:val="0084564E"/>
    <w:rsid w:val="00846671"/>
    <w:rsid w:val="0084677F"/>
    <w:rsid w:val="00846EDC"/>
    <w:rsid w:val="00847B28"/>
    <w:rsid w:val="008509B9"/>
    <w:rsid w:val="008514E3"/>
    <w:rsid w:val="00851FCF"/>
    <w:rsid w:val="00857214"/>
    <w:rsid w:val="008658F2"/>
    <w:rsid w:val="00865BFE"/>
    <w:rsid w:val="00866F2B"/>
    <w:rsid w:val="00871F9D"/>
    <w:rsid w:val="00873331"/>
    <w:rsid w:val="00881FB5"/>
    <w:rsid w:val="00882A5F"/>
    <w:rsid w:val="00884725"/>
    <w:rsid w:val="00885DA6"/>
    <w:rsid w:val="0088722C"/>
    <w:rsid w:val="00890A1F"/>
    <w:rsid w:val="008919BC"/>
    <w:rsid w:val="00891C5D"/>
    <w:rsid w:val="008949F7"/>
    <w:rsid w:val="00895DF1"/>
    <w:rsid w:val="00896239"/>
    <w:rsid w:val="0089742A"/>
    <w:rsid w:val="00897C5A"/>
    <w:rsid w:val="008B276A"/>
    <w:rsid w:val="008B5F30"/>
    <w:rsid w:val="008B6E6B"/>
    <w:rsid w:val="008B6EEB"/>
    <w:rsid w:val="008C07FD"/>
    <w:rsid w:val="008C5915"/>
    <w:rsid w:val="008C7D47"/>
    <w:rsid w:val="008D4028"/>
    <w:rsid w:val="008D453C"/>
    <w:rsid w:val="008D52AC"/>
    <w:rsid w:val="008E08CA"/>
    <w:rsid w:val="008E21D3"/>
    <w:rsid w:val="008E2866"/>
    <w:rsid w:val="008E3AEF"/>
    <w:rsid w:val="008E51F5"/>
    <w:rsid w:val="008F269B"/>
    <w:rsid w:val="0090555E"/>
    <w:rsid w:val="009104CA"/>
    <w:rsid w:val="009133D6"/>
    <w:rsid w:val="00917DFF"/>
    <w:rsid w:val="00920959"/>
    <w:rsid w:val="00922A98"/>
    <w:rsid w:val="0092348B"/>
    <w:rsid w:val="009235CC"/>
    <w:rsid w:val="00932906"/>
    <w:rsid w:val="00932912"/>
    <w:rsid w:val="00936AFC"/>
    <w:rsid w:val="0094104D"/>
    <w:rsid w:val="009426A3"/>
    <w:rsid w:val="0094560B"/>
    <w:rsid w:val="0094661F"/>
    <w:rsid w:val="00953688"/>
    <w:rsid w:val="00953B46"/>
    <w:rsid w:val="009562B4"/>
    <w:rsid w:val="009567C4"/>
    <w:rsid w:val="0095745A"/>
    <w:rsid w:val="00957908"/>
    <w:rsid w:val="009615F8"/>
    <w:rsid w:val="009635DA"/>
    <w:rsid w:val="00963621"/>
    <w:rsid w:val="00965EB4"/>
    <w:rsid w:val="00971D7B"/>
    <w:rsid w:val="00981DE8"/>
    <w:rsid w:val="00984132"/>
    <w:rsid w:val="00985B8E"/>
    <w:rsid w:val="00986688"/>
    <w:rsid w:val="009904DD"/>
    <w:rsid w:val="00990FB1"/>
    <w:rsid w:val="009942A7"/>
    <w:rsid w:val="00996EDB"/>
    <w:rsid w:val="00997B4A"/>
    <w:rsid w:val="009A0E80"/>
    <w:rsid w:val="009A4A88"/>
    <w:rsid w:val="009A5272"/>
    <w:rsid w:val="009A5A9F"/>
    <w:rsid w:val="009A5FD2"/>
    <w:rsid w:val="009A7C0D"/>
    <w:rsid w:val="009B2DC0"/>
    <w:rsid w:val="009B35BA"/>
    <w:rsid w:val="009B7965"/>
    <w:rsid w:val="009C087E"/>
    <w:rsid w:val="009C09BE"/>
    <w:rsid w:val="009C288A"/>
    <w:rsid w:val="009D02A0"/>
    <w:rsid w:val="009D168E"/>
    <w:rsid w:val="009D6A71"/>
    <w:rsid w:val="009D6F18"/>
    <w:rsid w:val="009E1966"/>
    <w:rsid w:val="009E2FAF"/>
    <w:rsid w:val="009E4520"/>
    <w:rsid w:val="009E5134"/>
    <w:rsid w:val="009E5518"/>
    <w:rsid w:val="009E7A71"/>
    <w:rsid w:val="009F58D3"/>
    <w:rsid w:val="00A0482B"/>
    <w:rsid w:val="00A06D10"/>
    <w:rsid w:val="00A07746"/>
    <w:rsid w:val="00A07F9A"/>
    <w:rsid w:val="00A124E8"/>
    <w:rsid w:val="00A14D9F"/>
    <w:rsid w:val="00A153AF"/>
    <w:rsid w:val="00A157FC"/>
    <w:rsid w:val="00A162A6"/>
    <w:rsid w:val="00A17AED"/>
    <w:rsid w:val="00A206BE"/>
    <w:rsid w:val="00A20791"/>
    <w:rsid w:val="00A21410"/>
    <w:rsid w:val="00A22317"/>
    <w:rsid w:val="00A2275D"/>
    <w:rsid w:val="00A24FA3"/>
    <w:rsid w:val="00A3038A"/>
    <w:rsid w:val="00A3074A"/>
    <w:rsid w:val="00A34C89"/>
    <w:rsid w:val="00A42E1F"/>
    <w:rsid w:val="00A438E3"/>
    <w:rsid w:val="00A43910"/>
    <w:rsid w:val="00A43ABD"/>
    <w:rsid w:val="00A43E2F"/>
    <w:rsid w:val="00A45368"/>
    <w:rsid w:val="00A46D6B"/>
    <w:rsid w:val="00A470A6"/>
    <w:rsid w:val="00A47AF8"/>
    <w:rsid w:val="00A5067A"/>
    <w:rsid w:val="00A515CB"/>
    <w:rsid w:val="00A52B74"/>
    <w:rsid w:val="00A54F3E"/>
    <w:rsid w:val="00A55B5B"/>
    <w:rsid w:val="00A56801"/>
    <w:rsid w:val="00A60E55"/>
    <w:rsid w:val="00A6268C"/>
    <w:rsid w:val="00A659F7"/>
    <w:rsid w:val="00A65D84"/>
    <w:rsid w:val="00A73A38"/>
    <w:rsid w:val="00A74891"/>
    <w:rsid w:val="00A8163A"/>
    <w:rsid w:val="00A817C4"/>
    <w:rsid w:val="00A8184B"/>
    <w:rsid w:val="00A84554"/>
    <w:rsid w:val="00A86080"/>
    <w:rsid w:val="00A86544"/>
    <w:rsid w:val="00A96A62"/>
    <w:rsid w:val="00A97FC9"/>
    <w:rsid w:val="00AA0A13"/>
    <w:rsid w:val="00AA15F4"/>
    <w:rsid w:val="00AA1860"/>
    <w:rsid w:val="00AA4829"/>
    <w:rsid w:val="00AA5A98"/>
    <w:rsid w:val="00AA6011"/>
    <w:rsid w:val="00AB0C2B"/>
    <w:rsid w:val="00AB2238"/>
    <w:rsid w:val="00AB64BD"/>
    <w:rsid w:val="00AC09C1"/>
    <w:rsid w:val="00AC18D1"/>
    <w:rsid w:val="00AC33A3"/>
    <w:rsid w:val="00AC3F79"/>
    <w:rsid w:val="00AC499B"/>
    <w:rsid w:val="00AC6587"/>
    <w:rsid w:val="00AC7979"/>
    <w:rsid w:val="00AD0EA2"/>
    <w:rsid w:val="00AD6CAE"/>
    <w:rsid w:val="00AD7F7B"/>
    <w:rsid w:val="00AE1BEC"/>
    <w:rsid w:val="00AE27C4"/>
    <w:rsid w:val="00AE319D"/>
    <w:rsid w:val="00AE409B"/>
    <w:rsid w:val="00AE7244"/>
    <w:rsid w:val="00AF0FE4"/>
    <w:rsid w:val="00AF1B2D"/>
    <w:rsid w:val="00AF4C9A"/>
    <w:rsid w:val="00AF6352"/>
    <w:rsid w:val="00AF65B1"/>
    <w:rsid w:val="00AF6B48"/>
    <w:rsid w:val="00AF71BA"/>
    <w:rsid w:val="00AF791C"/>
    <w:rsid w:val="00B00C05"/>
    <w:rsid w:val="00B02B2D"/>
    <w:rsid w:val="00B0317F"/>
    <w:rsid w:val="00B04CAF"/>
    <w:rsid w:val="00B10A99"/>
    <w:rsid w:val="00B143A4"/>
    <w:rsid w:val="00B15F4D"/>
    <w:rsid w:val="00B2477D"/>
    <w:rsid w:val="00B24AEA"/>
    <w:rsid w:val="00B25E6B"/>
    <w:rsid w:val="00B30507"/>
    <w:rsid w:val="00B337D0"/>
    <w:rsid w:val="00B33E19"/>
    <w:rsid w:val="00B4059A"/>
    <w:rsid w:val="00B45C95"/>
    <w:rsid w:val="00B46942"/>
    <w:rsid w:val="00B4766E"/>
    <w:rsid w:val="00B50244"/>
    <w:rsid w:val="00B512D9"/>
    <w:rsid w:val="00B51E37"/>
    <w:rsid w:val="00B530D9"/>
    <w:rsid w:val="00B55DEB"/>
    <w:rsid w:val="00B578DF"/>
    <w:rsid w:val="00B61433"/>
    <w:rsid w:val="00B6319B"/>
    <w:rsid w:val="00B6332B"/>
    <w:rsid w:val="00B6379E"/>
    <w:rsid w:val="00B652CB"/>
    <w:rsid w:val="00B671E4"/>
    <w:rsid w:val="00B70772"/>
    <w:rsid w:val="00B70EBF"/>
    <w:rsid w:val="00B71E85"/>
    <w:rsid w:val="00B742FB"/>
    <w:rsid w:val="00B74C27"/>
    <w:rsid w:val="00B74D12"/>
    <w:rsid w:val="00B80B51"/>
    <w:rsid w:val="00B812CB"/>
    <w:rsid w:val="00B832CB"/>
    <w:rsid w:val="00B8545A"/>
    <w:rsid w:val="00B86505"/>
    <w:rsid w:val="00B874F4"/>
    <w:rsid w:val="00B903D5"/>
    <w:rsid w:val="00B91013"/>
    <w:rsid w:val="00B94047"/>
    <w:rsid w:val="00B94418"/>
    <w:rsid w:val="00B94F0E"/>
    <w:rsid w:val="00B96D03"/>
    <w:rsid w:val="00B97126"/>
    <w:rsid w:val="00BA113E"/>
    <w:rsid w:val="00BA1E00"/>
    <w:rsid w:val="00BB09AA"/>
    <w:rsid w:val="00BB2D81"/>
    <w:rsid w:val="00BB54CF"/>
    <w:rsid w:val="00BC1C83"/>
    <w:rsid w:val="00BC46E3"/>
    <w:rsid w:val="00BD068E"/>
    <w:rsid w:val="00BD7ACC"/>
    <w:rsid w:val="00BE3984"/>
    <w:rsid w:val="00BE50BD"/>
    <w:rsid w:val="00BE7336"/>
    <w:rsid w:val="00BE73E5"/>
    <w:rsid w:val="00BF6F95"/>
    <w:rsid w:val="00BF734A"/>
    <w:rsid w:val="00BF7E04"/>
    <w:rsid w:val="00BF7F0A"/>
    <w:rsid w:val="00C007AB"/>
    <w:rsid w:val="00C02606"/>
    <w:rsid w:val="00C02727"/>
    <w:rsid w:val="00C05CCE"/>
    <w:rsid w:val="00C127A3"/>
    <w:rsid w:val="00C1287C"/>
    <w:rsid w:val="00C13EE7"/>
    <w:rsid w:val="00C219FE"/>
    <w:rsid w:val="00C21D72"/>
    <w:rsid w:val="00C310A2"/>
    <w:rsid w:val="00C32FE2"/>
    <w:rsid w:val="00C334C6"/>
    <w:rsid w:val="00C34D88"/>
    <w:rsid w:val="00C36A85"/>
    <w:rsid w:val="00C44E5E"/>
    <w:rsid w:val="00C47791"/>
    <w:rsid w:val="00C53529"/>
    <w:rsid w:val="00C5364E"/>
    <w:rsid w:val="00C53C15"/>
    <w:rsid w:val="00C54BA0"/>
    <w:rsid w:val="00C560E6"/>
    <w:rsid w:val="00C569B4"/>
    <w:rsid w:val="00C56CF7"/>
    <w:rsid w:val="00C615F9"/>
    <w:rsid w:val="00C61ACD"/>
    <w:rsid w:val="00C72827"/>
    <w:rsid w:val="00C75535"/>
    <w:rsid w:val="00C7577D"/>
    <w:rsid w:val="00C770AC"/>
    <w:rsid w:val="00C803E3"/>
    <w:rsid w:val="00C94368"/>
    <w:rsid w:val="00C943A3"/>
    <w:rsid w:val="00C9630D"/>
    <w:rsid w:val="00C9694A"/>
    <w:rsid w:val="00CA5116"/>
    <w:rsid w:val="00CA5720"/>
    <w:rsid w:val="00CA69B5"/>
    <w:rsid w:val="00CB0B35"/>
    <w:rsid w:val="00CB4452"/>
    <w:rsid w:val="00CB48BE"/>
    <w:rsid w:val="00CC11E9"/>
    <w:rsid w:val="00CC4596"/>
    <w:rsid w:val="00CD0C85"/>
    <w:rsid w:val="00CD451B"/>
    <w:rsid w:val="00CD49DD"/>
    <w:rsid w:val="00CD5CB2"/>
    <w:rsid w:val="00CE09A4"/>
    <w:rsid w:val="00CE11D3"/>
    <w:rsid w:val="00CE12E6"/>
    <w:rsid w:val="00CE3F8B"/>
    <w:rsid w:val="00CF0DA4"/>
    <w:rsid w:val="00CF1210"/>
    <w:rsid w:val="00CF20E2"/>
    <w:rsid w:val="00CF38A6"/>
    <w:rsid w:val="00CF4BAB"/>
    <w:rsid w:val="00CF575D"/>
    <w:rsid w:val="00D02FFF"/>
    <w:rsid w:val="00D04007"/>
    <w:rsid w:val="00D074B2"/>
    <w:rsid w:val="00D109F8"/>
    <w:rsid w:val="00D14495"/>
    <w:rsid w:val="00D15465"/>
    <w:rsid w:val="00D15D11"/>
    <w:rsid w:val="00D222CF"/>
    <w:rsid w:val="00D229CC"/>
    <w:rsid w:val="00D25D32"/>
    <w:rsid w:val="00D30D51"/>
    <w:rsid w:val="00D3244C"/>
    <w:rsid w:val="00D36135"/>
    <w:rsid w:val="00D36BB5"/>
    <w:rsid w:val="00D43323"/>
    <w:rsid w:val="00D50FEC"/>
    <w:rsid w:val="00D57966"/>
    <w:rsid w:val="00D618B6"/>
    <w:rsid w:val="00D63DE2"/>
    <w:rsid w:val="00D64960"/>
    <w:rsid w:val="00D702BF"/>
    <w:rsid w:val="00D728D9"/>
    <w:rsid w:val="00D72ACC"/>
    <w:rsid w:val="00D73BFD"/>
    <w:rsid w:val="00D745B5"/>
    <w:rsid w:val="00D80796"/>
    <w:rsid w:val="00D81A03"/>
    <w:rsid w:val="00D85EB2"/>
    <w:rsid w:val="00D923A6"/>
    <w:rsid w:val="00D96715"/>
    <w:rsid w:val="00D96CF8"/>
    <w:rsid w:val="00D97FF3"/>
    <w:rsid w:val="00DA25AE"/>
    <w:rsid w:val="00DA3F51"/>
    <w:rsid w:val="00DA47BD"/>
    <w:rsid w:val="00DA6166"/>
    <w:rsid w:val="00DB0143"/>
    <w:rsid w:val="00DB0E88"/>
    <w:rsid w:val="00DB3297"/>
    <w:rsid w:val="00DB47FA"/>
    <w:rsid w:val="00DB6A85"/>
    <w:rsid w:val="00DB70AB"/>
    <w:rsid w:val="00DB7EA2"/>
    <w:rsid w:val="00DC3F29"/>
    <w:rsid w:val="00DC57AF"/>
    <w:rsid w:val="00DC5DA3"/>
    <w:rsid w:val="00DC62D1"/>
    <w:rsid w:val="00DC6E80"/>
    <w:rsid w:val="00DD5DB4"/>
    <w:rsid w:val="00DD6DC7"/>
    <w:rsid w:val="00DE4669"/>
    <w:rsid w:val="00DF1A80"/>
    <w:rsid w:val="00DF2735"/>
    <w:rsid w:val="00DF5A48"/>
    <w:rsid w:val="00E01726"/>
    <w:rsid w:val="00E01E8D"/>
    <w:rsid w:val="00E02C95"/>
    <w:rsid w:val="00E02CC5"/>
    <w:rsid w:val="00E03836"/>
    <w:rsid w:val="00E12DE6"/>
    <w:rsid w:val="00E130B1"/>
    <w:rsid w:val="00E13E85"/>
    <w:rsid w:val="00E14110"/>
    <w:rsid w:val="00E15D36"/>
    <w:rsid w:val="00E1752B"/>
    <w:rsid w:val="00E1768B"/>
    <w:rsid w:val="00E20919"/>
    <w:rsid w:val="00E24437"/>
    <w:rsid w:val="00E259C0"/>
    <w:rsid w:val="00E32A11"/>
    <w:rsid w:val="00E33B5C"/>
    <w:rsid w:val="00E34073"/>
    <w:rsid w:val="00E34B41"/>
    <w:rsid w:val="00E3500A"/>
    <w:rsid w:val="00E36EAE"/>
    <w:rsid w:val="00E37B87"/>
    <w:rsid w:val="00E41E53"/>
    <w:rsid w:val="00E42D0F"/>
    <w:rsid w:val="00E440D1"/>
    <w:rsid w:val="00E44E7B"/>
    <w:rsid w:val="00E522EA"/>
    <w:rsid w:val="00E53A5B"/>
    <w:rsid w:val="00E54E8F"/>
    <w:rsid w:val="00E55D27"/>
    <w:rsid w:val="00E57FE8"/>
    <w:rsid w:val="00E612E6"/>
    <w:rsid w:val="00E63BBA"/>
    <w:rsid w:val="00E70E2C"/>
    <w:rsid w:val="00E81116"/>
    <w:rsid w:val="00E82518"/>
    <w:rsid w:val="00E8385C"/>
    <w:rsid w:val="00E858C3"/>
    <w:rsid w:val="00E911C1"/>
    <w:rsid w:val="00E9141B"/>
    <w:rsid w:val="00E91A92"/>
    <w:rsid w:val="00E9764E"/>
    <w:rsid w:val="00EA24EE"/>
    <w:rsid w:val="00EA7A43"/>
    <w:rsid w:val="00EB1455"/>
    <w:rsid w:val="00EB4D63"/>
    <w:rsid w:val="00EB73F3"/>
    <w:rsid w:val="00EC0125"/>
    <w:rsid w:val="00EC07F8"/>
    <w:rsid w:val="00EC1AE2"/>
    <w:rsid w:val="00EC6810"/>
    <w:rsid w:val="00EC6B2B"/>
    <w:rsid w:val="00EC6C3D"/>
    <w:rsid w:val="00ED060D"/>
    <w:rsid w:val="00ED2A63"/>
    <w:rsid w:val="00ED4848"/>
    <w:rsid w:val="00ED6645"/>
    <w:rsid w:val="00EE35D7"/>
    <w:rsid w:val="00EE44B3"/>
    <w:rsid w:val="00EE47EA"/>
    <w:rsid w:val="00EF03A4"/>
    <w:rsid w:val="00EF18E4"/>
    <w:rsid w:val="00EF6870"/>
    <w:rsid w:val="00F00142"/>
    <w:rsid w:val="00F008A4"/>
    <w:rsid w:val="00F01EEE"/>
    <w:rsid w:val="00F02398"/>
    <w:rsid w:val="00F051BB"/>
    <w:rsid w:val="00F0659E"/>
    <w:rsid w:val="00F117DF"/>
    <w:rsid w:val="00F12844"/>
    <w:rsid w:val="00F16A72"/>
    <w:rsid w:val="00F21551"/>
    <w:rsid w:val="00F30D57"/>
    <w:rsid w:val="00F330F6"/>
    <w:rsid w:val="00F36C11"/>
    <w:rsid w:val="00F44A83"/>
    <w:rsid w:val="00F45F01"/>
    <w:rsid w:val="00F4778F"/>
    <w:rsid w:val="00F5223D"/>
    <w:rsid w:val="00F5337B"/>
    <w:rsid w:val="00F54823"/>
    <w:rsid w:val="00F61ACE"/>
    <w:rsid w:val="00F66C6C"/>
    <w:rsid w:val="00F707F2"/>
    <w:rsid w:val="00F71FDC"/>
    <w:rsid w:val="00F728F7"/>
    <w:rsid w:val="00F72CCD"/>
    <w:rsid w:val="00F73372"/>
    <w:rsid w:val="00F750EB"/>
    <w:rsid w:val="00F77B94"/>
    <w:rsid w:val="00F8216A"/>
    <w:rsid w:val="00F9029F"/>
    <w:rsid w:val="00F92A95"/>
    <w:rsid w:val="00FA1D05"/>
    <w:rsid w:val="00FA2256"/>
    <w:rsid w:val="00FB1DF2"/>
    <w:rsid w:val="00FB2D47"/>
    <w:rsid w:val="00FB3718"/>
    <w:rsid w:val="00FB7663"/>
    <w:rsid w:val="00FC2776"/>
    <w:rsid w:val="00FC2B29"/>
    <w:rsid w:val="00FC4A41"/>
    <w:rsid w:val="00FC4C3D"/>
    <w:rsid w:val="00FC743D"/>
    <w:rsid w:val="00FD073E"/>
    <w:rsid w:val="00FD4C21"/>
    <w:rsid w:val="00FD59EB"/>
    <w:rsid w:val="00FD62EB"/>
    <w:rsid w:val="00FE05ED"/>
    <w:rsid w:val="00FE39CD"/>
    <w:rsid w:val="00FE58B2"/>
    <w:rsid w:val="00FE69AB"/>
    <w:rsid w:val="00FE701E"/>
    <w:rsid w:val="00FF02BB"/>
    <w:rsid w:val="00FF1476"/>
    <w:rsid w:val="00FF22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DE343"/>
  <w15:chartTrackingRefBased/>
  <w15:docId w15:val="{133756BE-1C6B-4E1D-97CD-7F27A046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9BE"/>
    <w:pPr>
      <w:spacing w:after="200" w:line="276" w:lineRule="auto"/>
    </w:pPr>
    <w:rPr>
      <w:rFonts w:eastAsia="Times New Roman"/>
      <w:sz w:val="22"/>
      <w:szCs w:val="22"/>
    </w:rPr>
  </w:style>
  <w:style w:type="paragraph" w:styleId="Ttulo1">
    <w:name w:val="heading 1"/>
    <w:basedOn w:val="Normal"/>
    <w:next w:val="Normal"/>
    <w:link w:val="Ttulo1Car"/>
    <w:uiPriority w:val="9"/>
    <w:qFormat/>
    <w:rsid w:val="00443A22"/>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qFormat/>
    <w:rsid w:val="00897C5A"/>
    <w:pPr>
      <w:spacing w:before="240" w:after="0" w:line="240" w:lineRule="auto"/>
      <w:jc w:val="center"/>
      <w:outlineLvl w:val="1"/>
    </w:pPr>
    <w:rPr>
      <w:rFonts w:ascii="Arial" w:hAnsi="Arial"/>
      <w:b/>
      <w:color w:val="000000"/>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0">
    <w:name w:val="p0"/>
    <w:basedOn w:val="Normal"/>
    <w:rsid w:val="00897C5A"/>
    <w:pPr>
      <w:spacing w:before="240" w:after="0" w:line="240" w:lineRule="auto"/>
      <w:jc w:val="both"/>
    </w:pPr>
    <w:rPr>
      <w:rFonts w:ascii="Arial" w:hAnsi="Arial"/>
      <w:color w:val="0000FF"/>
      <w:sz w:val="24"/>
      <w:szCs w:val="20"/>
      <w:lang w:val="es-ES_tradnl" w:eastAsia="es-ES"/>
    </w:rPr>
  </w:style>
  <w:style w:type="paragraph" w:styleId="Textodeglobo">
    <w:name w:val="Balloon Text"/>
    <w:basedOn w:val="Normal"/>
    <w:link w:val="TextodegloboCar"/>
    <w:uiPriority w:val="99"/>
    <w:semiHidden/>
    <w:unhideWhenUsed/>
    <w:rsid w:val="00897C5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7C5A"/>
    <w:rPr>
      <w:rFonts w:ascii="Tahoma" w:eastAsia="Times New Roman" w:hAnsi="Tahoma" w:cs="Tahoma"/>
      <w:sz w:val="16"/>
      <w:szCs w:val="16"/>
      <w:lang w:eastAsia="es-MX"/>
    </w:rPr>
  </w:style>
  <w:style w:type="paragraph" w:styleId="Encabezado">
    <w:name w:val="header"/>
    <w:basedOn w:val="Normal"/>
    <w:link w:val="EncabezadoCar"/>
    <w:unhideWhenUsed/>
    <w:rsid w:val="00897C5A"/>
    <w:pPr>
      <w:tabs>
        <w:tab w:val="center" w:pos="4419"/>
        <w:tab w:val="right" w:pos="8838"/>
      </w:tabs>
      <w:spacing w:after="0" w:line="240" w:lineRule="auto"/>
    </w:pPr>
  </w:style>
  <w:style w:type="character" w:customStyle="1" w:styleId="EncabezadoCar">
    <w:name w:val="Encabezado Car"/>
    <w:link w:val="Encabezado"/>
    <w:rsid w:val="00897C5A"/>
    <w:rPr>
      <w:rFonts w:ascii="Calibri" w:eastAsia="Times New Roman" w:hAnsi="Calibri" w:cs="Times New Roman"/>
      <w:lang w:eastAsia="es-MX"/>
    </w:rPr>
  </w:style>
  <w:style w:type="paragraph" w:styleId="Piedepgina">
    <w:name w:val="footer"/>
    <w:basedOn w:val="Normal"/>
    <w:link w:val="PiedepginaCar"/>
    <w:uiPriority w:val="99"/>
    <w:unhideWhenUsed/>
    <w:rsid w:val="00897C5A"/>
    <w:pPr>
      <w:tabs>
        <w:tab w:val="center" w:pos="4419"/>
        <w:tab w:val="right" w:pos="8838"/>
      </w:tabs>
      <w:spacing w:after="0" w:line="240" w:lineRule="auto"/>
    </w:pPr>
  </w:style>
  <w:style w:type="character" w:customStyle="1" w:styleId="PiedepginaCar">
    <w:name w:val="Pie de página Car"/>
    <w:link w:val="Piedepgina"/>
    <w:uiPriority w:val="99"/>
    <w:rsid w:val="00897C5A"/>
    <w:rPr>
      <w:rFonts w:ascii="Calibri" w:eastAsia="Times New Roman" w:hAnsi="Calibri" w:cs="Times New Roman"/>
      <w:lang w:eastAsia="es-MX"/>
    </w:rPr>
  </w:style>
  <w:style w:type="character" w:customStyle="1" w:styleId="Ttulo2Car">
    <w:name w:val="Título 2 Car"/>
    <w:link w:val="Ttulo2"/>
    <w:rsid w:val="00897C5A"/>
    <w:rPr>
      <w:rFonts w:ascii="Arial" w:eastAsia="Times New Roman" w:hAnsi="Arial" w:cs="Times New Roman"/>
      <w:b/>
      <w:color w:val="000000"/>
      <w:sz w:val="28"/>
      <w:szCs w:val="20"/>
      <w:lang w:val="es-ES_tradnl" w:eastAsia="es-ES"/>
    </w:rPr>
  </w:style>
  <w:style w:type="paragraph" w:customStyle="1" w:styleId="Default">
    <w:name w:val="Default"/>
    <w:rsid w:val="00897C5A"/>
    <w:pPr>
      <w:autoSpaceDE w:val="0"/>
      <w:autoSpaceDN w:val="0"/>
      <w:adjustRightInd w:val="0"/>
    </w:pPr>
    <w:rPr>
      <w:rFonts w:ascii="Arial" w:eastAsia="Times New Roman" w:hAnsi="Arial" w:cs="Arial"/>
      <w:color w:val="000000"/>
      <w:sz w:val="24"/>
      <w:szCs w:val="24"/>
    </w:rPr>
  </w:style>
  <w:style w:type="character" w:styleId="Hipervnculo">
    <w:name w:val="Hyperlink"/>
    <w:uiPriority w:val="99"/>
    <w:unhideWhenUsed/>
    <w:rsid w:val="00932912"/>
    <w:rPr>
      <w:color w:val="0563C1"/>
      <w:u w:val="single"/>
    </w:rPr>
  </w:style>
  <w:style w:type="table" w:styleId="Tablaconcuadrcula">
    <w:name w:val="Table Grid"/>
    <w:basedOn w:val="Tablanormal"/>
    <w:uiPriority w:val="39"/>
    <w:rsid w:val="004426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661627"/>
    <w:rPr>
      <w:sz w:val="20"/>
      <w:szCs w:val="20"/>
    </w:rPr>
  </w:style>
  <w:style w:type="character" w:customStyle="1" w:styleId="TextonotapieCar">
    <w:name w:val="Texto nota pie Car"/>
    <w:link w:val="Textonotapie"/>
    <w:uiPriority w:val="99"/>
    <w:rsid w:val="00661627"/>
    <w:rPr>
      <w:rFonts w:eastAsia="Times New Roman"/>
    </w:rPr>
  </w:style>
  <w:style w:type="character" w:styleId="Refdenotaalpie">
    <w:name w:val="footnote reference"/>
    <w:uiPriority w:val="99"/>
    <w:semiHidden/>
    <w:unhideWhenUsed/>
    <w:rsid w:val="00661627"/>
    <w:rPr>
      <w:vertAlign w:val="superscript"/>
    </w:rPr>
  </w:style>
  <w:style w:type="character" w:styleId="Hipervnculovisitado">
    <w:name w:val="FollowedHyperlink"/>
    <w:uiPriority w:val="99"/>
    <w:semiHidden/>
    <w:unhideWhenUsed/>
    <w:rsid w:val="0067258F"/>
    <w:rPr>
      <w:color w:val="954F72"/>
      <w:u w:val="single"/>
    </w:rPr>
  </w:style>
  <w:style w:type="character" w:styleId="Refdecomentario">
    <w:name w:val="annotation reference"/>
    <w:uiPriority w:val="99"/>
    <w:semiHidden/>
    <w:unhideWhenUsed/>
    <w:rsid w:val="00AC6587"/>
    <w:rPr>
      <w:sz w:val="16"/>
      <w:szCs w:val="16"/>
    </w:rPr>
  </w:style>
  <w:style w:type="paragraph" w:styleId="Textocomentario">
    <w:name w:val="annotation text"/>
    <w:basedOn w:val="Normal"/>
    <w:link w:val="TextocomentarioCar"/>
    <w:uiPriority w:val="99"/>
    <w:unhideWhenUsed/>
    <w:rsid w:val="00AC6587"/>
    <w:rPr>
      <w:sz w:val="20"/>
      <w:szCs w:val="20"/>
    </w:rPr>
  </w:style>
  <w:style w:type="character" w:customStyle="1" w:styleId="TextocomentarioCar">
    <w:name w:val="Texto comentario Car"/>
    <w:link w:val="Textocomentario"/>
    <w:uiPriority w:val="99"/>
    <w:rsid w:val="00AC6587"/>
    <w:rPr>
      <w:rFonts w:eastAsia="Times New Roman"/>
    </w:rPr>
  </w:style>
  <w:style w:type="paragraph" w:styleId="Asuntodelcomentario">
    <w:name w:val="annotation subject"/>
    <w:basedOn w:val="Textocomentario"/>
    <w:next w:val="Textocomentario"/>
    <w:link w:val="AsuntodelcomentarioCar"/>
    <w:uiPriority w:val="99"/>
    <w:semiHidden/>
    <w:unhideWhenUsed/>
    <w:rsid w:val="00AC6587"/>
    <w:rPr>
      <w:b/>
      <w:bCs/>
    </w:rPr>
  </w:style>
  <w:style w:type="character" w:customStyle="1" w:styleId="AsuntodelcomentarioCar">
    <w:name w:val="Asunto del comentario Car"/>
    <w:link w:val="Asuntodelcomentario"/>
    <w:uiPriority w:val="99"/>
    <w:semiHidden/>
    <w:rsid w:val="00AC6587"/>
    <w:rPr>
      <w:rFonts w:eastAsia="Times New Roman"/>
      <w:b/>
      <w:bCs/>
    </w:rPr>
  </w:style>
  <w:style w:type="paragraph" w:styleId="NormalWeb">
    <w:name w:val="Normal (Web)"/>
    <w:basedOn w:val="Normal"/>
    <w:uiPriority w:val="99"/>
    <w:unhideWhenUsed/>
    <w:rsid w:val="00CF4BAB"/>
    <w:pPr>
      <w:spacing w:before="100" w:beforeAutospacing="1" w:after="100" w:afterAutospacing="1" w:line="240" w:lineRule="auto"/>
    </w:pPr>
    <w:rPr>
      <w:rFonts w:ascii="Times New Roman" w:hAnsi="Times New Roman"/>
      <w:sz w:val="24"/>
      <w:szCs w:val="24"/>
    </w:rPr>
  </w:style>
  <w:style w:type="paragraph" w:styleId="Revisin">
    <w:name w:val="Revision"/>
    <w:hidden/>
    <w:uiPriority w:val="99"/>
    <w:semiHidden/>
    <w:rsid w:val="00342316"/>
    <w:rPr>
      <w:rFonts w:eastAsia="Times New Roman"/>
      <w:sz w:val="22"/>
      <w:szCs w:val="22"/>
    </w:rPr>
  </w:style>
  <w:style w:type="character" w:customStyle="1" w:styleId="Ttulo1Car">
    <w:name w:val="Título 1 Car"/>
    <w:link w:val="Ttulo1"/>
    <w:uiPriority w:val="9"/>
    <w:rsid w:val="00443A22"/>
    <w:rPr>
      <w:rFonts w:ascii="Calibri Light" w:eastAsia="Times New Roman" w:hAnsi="Calibri Light" w:cs="Times New Roman"/>
      <w:b/>
      <w:bCs/>
      <w:kern w:val="32"/>
      <w:sz w:val="32"/>
      <w:szCs w:val="32"/>
    </w:rPr>
  </w:style>
  <w:style w:type="character" w:customStyle="1" w:styleId="Mencinsinresolver1">
    <w:name w:val="Mención sin resolver1"/>
    <w:uiPriority w:val="99"/>
    <w:semiHidden/>
    <w:unhideWhenUsed/>
    <w:rsid w:val="00F117DF"/>
    <w:rPr>
      <w:color w:val="605E5C"/>
      <w:shd w:val="clear" w:color="auto" w:fill="E1DFDD"/>
    </w:rPr>
  </w:style>
  <w:style w:type="paragraph" w:styleId="Textonotaalfinal">
    <w:name w:val="endnote text"/>
    <w:basedOn w:val="Normal"/>
    <w:link w:val="TextonotaalfinalCar"/>
    <w:uiPriority w:val="99"/>
    <w:semiHidden/>
    <w:unhideWhenUsed/>
    <w:rsid w:val="007D734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D7348"/>
    <w:rPr>
      <w:rFonts w:eastAsia="Times New Roman"/>
    </w:rPr>
  </w:style>
  <w:style w:type="character" w:styleId="Refdenotaalfinal">
    <w:name w:val="endnote reference"/>
    <w:basedOn w:val="Fuentedeprrafopredeter"/>
    <w:uiPriority w:val="99"/>
    <w:semiHidden/>
    <w:unhideWhenUsed/>
    <w:rsid w:val="007D7348"/>
    <w:rPr>
      <w:vertAlign w:val="superscript"/>
    </w:rPr>
  </w:style>
  <w:style w:type="paragraph" w:styleId="Sinespaciado">
    <w:name w:val="No Spacing"/>
    <w:uiPriority w:val="1"/>
    <w:qFormat/>
    <w:rsid w:val="004E3CBA"/>
    <w:rPr>
      <w:rFonts w:eastAsia="Times New Roman"/>
      <w:sz w:val="22"/>
      <w:szCs w:val="22"/>
    </w:rPr>
  </w:style>
  <w:style w:type="paragraph" w:styleId="Prrafodelista">
    <w:name w:val="List Paragraph"/>
    <w:basedOn w:val="Normal"/>
    <w:uiPriority w:val="34"/>
    <w:qFormat/>
    <w:rsid w:val="00B67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4315">
      <w:bodyDiv w:val="1"/>
      <w:marLeft w:val="0"/>
      <w:marRight w:val="0"/>
      <w:marTop w:val="0"/>
      <w:marBottom w:val="0"/>
      <w:divBdr>
        <w:top w:val="none" w:sz="0" w:space="0" w:color="auto"/>
        <w:left w:val="none" w:sz="0" w:space="0" w:color="auto"/>
        <w:bottom w:val="none" w:sz="0" w:space="0" w:color="auto"/>
        <w:right w:val="none" w:sz="0" w:space="0" w:color="auto"/>
      </w:divBdr>
    </w:div>
    <w:div w:id="51587223">
      <w:bodyDiv w:val="1"/>
      <w:marLeft w:val="0"/>
      <w:marRight w:val="0"/>
      <w:marTop w:val="0"/>
      <w:marBottom w:val="0"/>
      <w:divBdr>
        <w:top w:val="none" w:sz="0" w:space="0" w:color="auto"/>
        <w:left w:val="none" w:sz="0" w:space="0" w:color="auto"/>
        <w:bottom w:val="none" w:sz="0" w:space="0" w:color="auto"/>
        <w:right w:val="none" w:sz="0" w:space="0" w:color="auto"/>
      </w:divBdr>
    </w:div>
    <w:div w:id="67502179">
      <w:bodyDiv w:val="1"/>
      <w:marLeft w:val="0"/>
      <w:marRight w:val="0"/>
      <w:marTop w:val="0"/>
      <w:marBottom w:val="0"/>
      <w:divBdr>
        <w:top w:val="none" w:sz="0" w:space="0" w:color="auto"/>
        <w:left w:val="none" w:sz="0" w:space="0" w:color="auto"/>
        <w:bottom w:val="none" w:sz="0" w:space="0" w:color="auto"/>
        <w:right w:val="none" w:sz="0" w:space="0" w:color="auto"/>
      </w:divBdr>
    </w:div>
    <w:div w:id="68507683">
      <w:bodyDiv w:val="1"/>
      <w:marLeft w:val="0"/>
      <w:marRight w:val="0"/>
      <w:marTop w:val="0"/>
      <w:marBottom w:val="0"/>
      <w:divBdr>
        <w:top w:val="none" w:sz="0" w:space="0" w:color="auto"/>
        <w:left w:val="none" w:sz="0" w:space="0" w:color="auto"/>
        <w:bottom w:val="none" w:sz="0" w:space="0" w:color="auto"/>
        <w:right w:val="none" w:sz="0" w:space="0" w:color="auto"/>
      </w:divBdr>
    </w:div>
    <w:div w:id="115491505">
      <w:bodyDiv w:val="1"/>
      <w:marLeft w:val="0"/>
      <w:marRight w:val="0"/>
      <w:marTop w:val="0"/>
      <w:marBottom w:val="0"/>
      <w:divBdr>
        <w:top w:val="none" w:sz="0" w:space="0" w:color="auto"/>
        <w:left w:val="none" w:sz="0" w:space="0" w:color="auto"/>
        <w:bottom w:val="none" w:sz="0" w:space="0" w:color="auto"/>
        <w:right w:val="none" w:sz="0" w:space="0" w:color="auto"/>
      </w:divBdr>
    </w:div>
    <w:div w:id="138814328">
      <w:bodyDiv w:val="1"/>
      <w:marLeft w:val="0"/>
      <w:marRight w:val="0"/>
      <w:marTop w:val="0"/>
      <w:marBottom w:val="0"/>
      <w:divBdr>
        <w:top w:val="none" w:sz="0" w:space="0" w:color="auto"/>
        <w:left w:val="none" w:sz="0" w:space="0" w:color="auto"/>
        <w:bottom w:val="none" w:sz="0" w:space="0" w:color="auto"/>
        <w:right w:val="none" w:sz="0" w:space="0" w:color="auto"/>
      </w:divBdr>
    </w:div>
    <w:div w:id="151989577">
      <w:bodyDiv w:val="1"/>
      <w:marLeft w:val="0"/>
      <w:marRight w:val="0"/>
      <w:marTop w:val="0"/>
      <w:marBottom w:val="0"/>
      <w:divBdr>
        <w:top w:val="none" w:sz="0" w:space="0" w:color="auto"/>
        <w:left w:val="none" w:sz="0" w:space="0" w:color="auto"/>
        <w:bottom w:val="none" w:sz="0" w:space="0" w:color="auto"/>
        <w:right w:val="none" w:sz="0" w:space="0" w:color="auto"/>
      </w:divBdr>
    </w:div>
    <w:div w:id="194346528">
      <w:bodyDiv w:val="1"/>
      <w:marLeft w:val="0"/>
      <w:marRight w:val="0"/>
      <w:marTop w:val="0"/>
      <w:marBottom w:val="0"/>
      <w:divBdr>
        <w:top w:val="none" w:sz="0" w:space="0" w:color="auto"/>
        <w:left w:val="none" w:sz="0" w:space="0" w:color="auto"/>
        <w:bottom w:val="none" w:sz="0" w:space="0" w:color="auto"/>
        <w:right w:val="none" w:sz="0" w:space="0" w:color="auto"/>
      </w:divBdr>
    </w:div>
    <w:div w:id="220942558">
      <w:bodyDiv w:val="1"/>
      <w:marLeft w:val="0"/>
      <w:marRight w:val="0"/>
      <w:marTop w:val="0"/>
      <w:marBottom w:val="0"/>
      <w:divBdr>
        <w:top w:val="none" w:sz="0" w:space="0" w:color="auto"/>
        <w:left w:val="none" w:sz="0" w:space="0" w:color="auto"/>
        <w:bottom w:val="none" w:sz="0" w:space="0" w:color="auto"/>
        <w:right w:val="none" w:sz="0" w:space="0" w:color="auto"/>
      </w:divBdr>
    </w:div>
    <w:div w:id="237251778">
      <w:bodyDiv w:val="1"/>
      <w:marLeft w:val="0"/>
      <w:marRight w:val="0"/>
      <w:marTop w:val="0"/>
      <w:marBottom w:val="0"/>
      <w:divBdr>
        <w:top w:val="none" w:sz="0" w:space="0" w:color="auto"/>
        <w:left w:val="none" w:sz="0" w:space="0" w:color="auto"/>
        <w:bottom w:val="none" w:sz="0" w:space="0" w:color="auto"/>
        <w:right w:val="none" w:sz="0" w:space="0" w:color="auto"/>
      </w:divBdr>
    </w:div>
    <w:div w:id="260379250">
      <w:bodyDiv w:val="1"/>
      <w:marLeft w:val="0"/>
      <w:marRight w:val="0"/>
      <w:marTop w:val="0"/>
      <w:marBottom w:val="0"/>
      <w:divBdr>
        <w:top w:val="none" w:sz="0" w:space="0" w:color="auto"/>
        <w:left w:val="none" w:sz="0" w:space="0" w:color="auto"/>
        <w:bottom w:val="none" w:sz="0" w:space="0" w:color="auto"/>
        <w:right w:val="none" w:sz="0" w:space="0" w:color="auto"/>
      </w:divBdr>
    </w:div>
    <w:div w:id="262734039">
      <w:bodyDiv w:val="1"/>
      <w:marLeft w:val="0"/>
      <w:marRight w:val="0"/>
      <w:marTop w:val="0"/>
      <w:marBottom w:val="0"/>
      <w:divBdr>
        <w:top w:val="none" w:sz="0" w:space="0" w:color="auto"/>
        <w:left w:val="none" w:sz="0" w:space="0" w:color="auto"/>
        <w:bottom w:val="none" w:sz="0" w:space="0" w:color="auto"/>
        <w:right w:val="none" w:sz="0" w:space="0" w:color="auto"/>
      </w:divBdr>
    </w:div>
    <w:div w:id="296301686">
      <w:bodyDiv w:val="1"/>
      <w:marLeft w:val="0"/>
      <w:marRight w:val="0"/>
      <w:marTop w:val="0"/>
      <w:marBottom w:val="0"/>
      <w:divBdr>
        <w:top w:val="none" w:sz="0" w:space="0" w:color="auto"/>
        <w:left w:val="none" w:sz="0" w:space="0" w:color="auto"/>
        <w:bottom w:val="none" w:sz="0" w:space="0" w:color="auto"/>
        <w:right w:val="none" w:sz="0" w:space="0" w:color="auto"/>
      </w:divBdr>
    </w:div>
    <w:div w:id="303435069">
      <w:bodyDiv w:val="1"/>
      <w:marLeft w:val="0"/>
      <w:marRight w:val="0"/>
      <w:marTop w:val="0"/>
      <w:marBottom w:val="0"/>
      <w:divBdr>
        <w:top w:val="none" w:sz="0" w:space="0" w:color="auto"/>
        <w:left w:val="none" w:sz="0" w:space="0" w:color="auto"/>
        <w:bottom w:val="none" w:sz="0" w:space="0" w:color="auto"/>
        <w:right w:val="none" w:sz="0" w:space="0" w:color="auto"/>
      </w:divBdr>
    </w:div>
    <w:div w:id="324359081">
      <w:bodyDiv w:val="1"/>
      <w:marLeft w:val="0"/>
      <w:marRight w:val="0"/>
      <w:marTop w:val="0"/>
      <w:marBottom w:val="0"/>
      <w:divBdr>
        <w:top w:val="none" w:sz="0" w:space="0" w:color="auto"/>
        <w:left w:val="none" w:sz="0" w:space="0" w:color="auto"/>
        <w:bottom w:val="none" w:sz="0" w:space="0" w:color="auto"/>
        <w:right w:val="none" w:sz="0" w:space="0" w:color="auto"/>
      </w:divBdr>
    </w:div>
    <w:div w:id="335769479">
      <w:bodyDiv w:val="1"/>
      <w:marLeft w:val="0"/>
      <w:marRight w:val="0"/>
      <w:marTop w:val="0"/>
      <w:marBottom w:val="0"/>
      <w:divBdr>
        <w:top w:val="none" w:sz="0" w:space="0" w:color="auto"/>
        <w:left w:val="none" w:sz="0" w:space="0" w:color="auto"/>
        <w:bottom w:val="none" w:sz="0" w:space="0" w:color="auto"/>
        <w:right w:val="none" w:sz="0" w:space="0" w:color="auto"/>
      </w:divBdr>
    </w:div>
    <w:div w:id="349180522">
      <w:bodyDiv w:val="1"/>
      <w:marLeft w:val="0"/>
      <w:marRight w:val="0"/>
      <w:marTop w:val="0"/>
      <w:marBottom w:val="0"/>
      <w:divBdr>
        <w:top w:val="none" w:sz="0" w:space="0" w:color="auto"/>
        <w:left w:val="none" w:sz="0" w:space="0" w:color="auto"/>
        <w:bottom w:val="none" w:sz="0" w:space="0" w:color="auto"/>
        <w:right w:val="none" w:sz="0" w:space="0" w:color="auto"/>
      </w:divBdr>
    </w:div>
    <w:div w:id="367679494">
      <w:bodyDiv w:val="1"/>
      <w:marLeft w:val="0"/>
      <w:marRight w:val="0"/>
      <w:marTop w:val="0"/>
      <w:marBottom w:val="0"/>
      <w:divBdr>
        <w:top w:val="none" w:sz="0" w:space="0" w:color="auto"/>
        <w:left w:val="none" w:sz="0" w:space="0" w:color="auto"/>
        <w:bottom w:val="none" w:sz="0" w:space="0" w:color="auto"/>
        <w:right w:val="none" w:sz="0" w:space="0" w:color="auto"/>
      </w:divBdr>
    </w:div>
    <w:div w:id="405080224">
      <w:bodyDiv w:val="1"/>
      <w:marLeft w:val="0"/>
      <w:marRight w:val="0"/>
      <w:marTop w:val="0"/>
      <w:marBottom w:val="0"/>
      <w:divBdr>
        <w:top w:val="none" w:sz="0" w:space="0" w:color="auto"/>
        <w:left w:val="none" w:sz="0" w:space="0" w:color="auto"/>
        <w:bottom w:val="none" w:sz="0" w:space="0" w:color="auto"/>
        <w:right w:val="none" w:sz="0" w:space="0" w:color="auto"/>
      </w:divBdr>
    </w:div>
    <w:div w:id="461776770">
      <w:bodyDiv w:val="1"/>
      <w:marLeft w:val="0"/>
      <w:marRight w:val="0"/>
      <w:marTop w:val="0"/>
      <w:marBottom w:val="0"/>
      <w:divBdr>
        <w:top w:val="none" w:sz="0" w:space="0" w:color="auto"/>
        <w:left w:val="none" w:sz="0" w:space="0" w:color="auto"/>
        <w:bottom w:val="none" w:sz="0" w:space="0" w:color="auto"/>
        <w:right w:val="none" w:sz="0" w:space="0" w:color="auto"/>
      </w:divBdr>
    </w:div>
    <w:div w:id="462963063">
      <w:bodyDiv w:val="1"/>
      <w:marLeft w:val="0"/>
      <w:marRight w:val="0"/>
      <w:marTop w:val="0"/>
      <w:marBottom w:val="0"/>
      <w:divBdr>
        <w:top w:val="none" w:sz="0" w:space="0" w:color="auto"/>
        <w:left w:val="none" w:sz="0" w:space="0" w:color="auto"/>
        <w:bottom w:val="none" w:sz="0" w:space="0" w:color="auto"/>
        <w:right w:val="none" w:sz="0" w:space="0" w:color="auto"/>
      </w:divBdr>
    </w:div>
    <w:div w:id="471211348">
      <w:bodyDiv w:val="1"/>
      <w:marLeft w:val="0"/>
      <w:marRight w:val="0"/>
      <w:marTop w:val="0"/>
      <w:marBottom w:val="0"/>
      <w:divBdr>
        <w:top w:val="none" w:sz="0" w:space="0" w:color="auto"/>
        <w:left w:val="none" w:sz="0" w:space="0" w:color="auto"/>
        <w:bottom w:val="none" w:sz="0" w:space="0" w:color="auto"/>
        <w:right w:val="none" w:sz="0" w:space="0" w:color="auto"/>
      </w:divBdr>
    </w:div>
    <w:div w:id="504974010">
      <w:bodyDiv w:val="1"/>
      <w:marLeft w:val="0"/>
      <w:marRight w:val="0"/>
      <w:marTop w:val="0"/>
      <w:marBottom w:val="0"/>
      <w:divBdr>
        <w:top w:val="none" w:sz="0" w:space="0" w:color="auto"/>
        <w:left w:val="none" w:sz="0" w:space="0" w:color="auto"/>
        <w:bottom w:val="none" w:sz="0" w:space="0" w:color="auto"/>
        <w:right w:val="none" w:sz="0" w:space="0" w:color="auto"/>
      </w:divBdr>
    </w:div>
    <w:div w:id="538779690">
      <w:bodyDiv w:val="1"/>
      <w:marLeft w:val="0"/>
      <w:marRight w:val="0"/>
      <w:marTop w:val="0"/>
      <w:marBottom w:val="0"/>
      <w:divBdr>
        <w:top w:val="none" w:sz="0" w:space="0" w:color="auto"/>
        <w:left w:val="none" w:sz="0" w:space="0" w:color="auto"/>
        <w:bottom w:val="none" w:sz="0" w:space="0" w:color="auto"/>
        <w:right w:val="none" w:sz="0" w:space="0" w:color="auto"/>
      </w:divBdr>
    </w:div>
    <w:div w:id="583302301">
      <w:bodyDiv w:val="1"/>
      <w:marLeft w:val="0"/>
      <w:marRight w:val="0"/>
      <w:marTop w:val="0"/>
      <w:marBottom w:val="0"/>
      <w:divBdr>
        <w:top w:val="none" w:sz="0" w:space="0" w:color="auto"/>
        <w:left w:val="none" w:sz="0" w:space="0" w:color="auto"/>
        <w:bottom w:val="none" w:sz="0" w:space="0" w:color="auto"/>
        <w:right w:val="none" w:sz="0" w:space="0" w:color="auto"/>
      </w:divBdr>
    </w:div>
    <w:div w:id="597755389">
      <w:bodyDiv w:val="1"/>
      <w:marLeft w:val="0"/>
      <w:marRight w:val="0"/>
      <w:marTop w:val="0"/>
      <w:marBottom w:val="0"/>
      <w:divBdr>
        <w:top w:val="none" w:sz="0" w:space="0" w:color="auto"/>
        <w:left w:val="none" w:sz="0" w:space="0" w:color="auto"/>
        <w:bottom w:val="none" w:sz="0" w:space="0" w:color="auto"/>
        <w:right w:val="none" w:sz="0" w:space="0" w:color="auto"/>
      </w:divBdr>
    </w:div>
    <w:div w:id="603999173">
      <w:bodyDiv w:val="1"/>
      <w:marLeft w:val="0"/>
      <w:marRight w:val="0"/>
      <w:marTop w:val="0"/>
      <w:marBottom w:val="0"/>
      <w:divBdr>
        <w:top w:val="none" w:sz="0" w:space="0" w:color="auto"/>
        <w:left w:val="none" w:sz="0" w:space="0" w:color="auto"/>
        <w:bottom w:val="none" w:sz="0" w:space="0" w:color="auto"/>
        <w:right w:val="none" w:sz="0" w:space="0" w:color="auto"/>
      </w:divBdr>
    </w:div>
    <w:div w:id="637341307">
      <w:bodyDiv w:val="1"/>
      <w:marLeft w:val="0"/>
      <w:marRight w:val="0"/>
      <w:marTop w:val="0"/>
      <w:marBottom w:val="0"/>
      <w:divBdr>
        <w:top w:val="none" w:sz="0" w:space="0" w:color="auto"/>
        <w:left w:val="none" w:sz="0" w:space="0" w:color="auto"/>
        <w:bottom w:val="none" w:sz="0" w:space="0" w:color="auto"/>
        <w:right w:val="none" w:sz="0" w:space="0" w:color="auto"/>
      </w:divBdr>
    </w:div>
    <w:div w:id="637955982">
      <w:bodyDiv w:val="1"/>
      <w:marLeft w:val="0"/>
      <w:marRight w:val="0"/>
      <w:marTop w:val="0"/>
      <w:marBottom w:val="0"/>
      <w:divBdr>
        <w:top w:val="none" w:sz="0" w:space="0" w:color="auto"/>
        <w:left w:val="none" w:sz="0" w:space="0" w:color="auto"/>
        <w:bottom w:val="none" w:sz="0" w:space="0" w:color="auto"/>
        <w:right w:val="none" w:sz="0" w:space="0" w:color="auto"/>
      </w:divBdr>
    </w:div>
    <w:div w:id="668757768">
      <w:bodyDiv w:val="1"/>
      <w:marLeft w:val="0"/>
      <w:marRight w:val="0"/>
      <w:marTop w:val="0"/>
      <w:marBottom w:val="0"/>
      <w:divBdr>
        <w:top w:val="none" w:sz="0" w:space="0" w:color="auto"/>
        <w:left w:val="none" w:sz="0" w:space="0" w:color="auto"/>
        <w:bottom w:val="none" w:sz="0" w:space="0" w:color="auto"/>
        <w:right w:val="none" w:sz="0" w:space="0" w:color="auto"/>
      </w:divBdr>
    </w:div>
    <w:div w:id="706951574">
      <w:bodyDiv w:val="1"/>
      <w:marLeft w:val="0"/>
      <w:marRight w:val="0"/>
      <w:marTop w:val="0"/>
      <w:marBottom w:val="0"/>
      <w:divBdr>
        <w:top w:val="none" w:sz="0" w:space="0" w:color="auto"/>
        <w:left w:val="none" w:sz="0" w:space="0" w:color="auto"/>
        <w:bottom w:val="none" w:sz="0" w:space="0" w:color="auto"/>
        <w:right w:val="none" w:sz="0" w:space="0" w:color="auto"/>
      </w:divBdr>
    </w:div>
    <w:div w:id="725569946">
      <w:bodyDiv w:val="1"/>
      <w:marLeft w:val="0"/>
      <w:marRight w:val="0"/>
      <w:marTop w:val="0"/>
      <w:marBottom w:val="0"/>
      <w:divBdr>
        <w:top w:val="none" w:sz="0" w:space="0" w:color="auto"/>
        <w:left w:val="none" w:sz="0" w:space="0" w:color="auto"/>
        <w:bottom w:val="none" w:sz="0" w:space="0" w:color="auto"/>
        <w:right w:val="none" w:sz="0" w:space="0" w:color="auto"/>
      </w:divBdr>
    </w:div>
    <w:div w:id="737090895">
      <w:bodyDiv w:val="1"/>
      <w:marLeft w:val="0"/>
      <w:marRight w:val="0"/>
      <w:marTop w:val="0"/>
      <w:marBottom w:val="0"/>
      <w:divBdr>
        <w:top w:val="none" w:sz="0" w:space="0" w:color="auto"/>
        <w:left w:val="none" w:sz="0" w:space="0" w:color="auto"/>
        <w:bottom w:val="none" w:sz="0" w:space="0" w:color="auto"/>
        <w:right w:val="none" w:sz="0" w:space="0" w:color="auto"/>
      </w:divBdr>
    </w:div>
    <w:div w:id="751852791">
      <w:bodyDiv w:val="1"/>
      <w:marLeft w:val="0"/>
      <w:marRight w:val="0"/>
      <w:marTop w:val="0"/>
      <w:marBottom w:val="0"/>
      <w:divBdr>
        <w:top w:val="none" w:sz="0" w:space="0" w:color="auto"/>
        <w:left w:val="none" w:sz="0" w:space="0" w:color="auto"/>
        <w:bottom w:val="none" w:sz="0" w:space="0" w:color="auto"/>
        <w:right w:val="none" w:sz="0" w:space="0" w:color="auto"/>
      </w:divBdr>
    </w:div>
    <w:div w:id="752703557">
      <w:bodyDiv w:val="1"/>
      <w:marLeft w:val="0"/>
      <w:marRight w:val="0"/>
      <w:marTop w:val="0"/>
      <w:marBottom w:val="0"/>
      <w:divBdr>
        <w:top w:val="none" w:sz="0" w:space="0" w:color="auto"/>
        <w:left w:val="none" w:sz="0" w:space="0" w:color="auto"/>
        <w:bottom w:val="none" w:sz="0" w:space="0" w:color="auto"/>
        <w:right w:val="none" w:sz="0" w:space="0" w:color="auto"/>
      </w:divBdr>
    </w:div>
    <w:div w:id="929236254">
      <w:bodyDiv w:val="1"/>
      <w:marLeft w:val="0"/>
      <w:marRight w:val="0"/>
      <w:marTop w:val="0"/>
      <w:marBottom w:val="0"/>
      <w:divBdr>
        <w:top w:val="none" w:sz="0" w:space="0" w:color="auto"/>
        <w:left w:val="none" w:sz="0" w:space="0" w:color="auto"/>
        <w:bottom w:val="none" w:sz="0" w:space="0" w:color="auto"/>
        <w:right w:val="none" w:sz="0" w:space="0" w:color="auto"/>
      </w:divBdr>
    </w:div>
    <w:div w:id="960266213">
      <w:bodyDiv w:val="1"/>
      <w:marLeft w:val="0"/>
      <w:marRight w:val="0"/>
      <w:marTop w:val="0"/>
      <w:marBottom w:val="0"/>
      <w:divBdr>
        <w:top w:val="none" w:sz="0" w:space="0" w:color="auto"/>
        <w:left w:val="none" w:sz="0" w:space="0" w:color="auto"/>
        <w:bottom w:val="none" w:sz="0" w:space="0" w:color="auto"/>
        <w:right w:val="none" w:sz="0" w:space="0" w:color="auto"/>
      </w:divBdr>
    </w:div>
    <w:div w:id="966274492">
      <w:bodyDiv w:val="1"/>
      <w:marLeft w:val="0"/>
      <w:marRight w:val="0"/>
      <w:marTop w:val="0"/>
      <w:marBottom w:val="0"/>
      <w:divBdr>
        <w:top w:val="none" w:sz="0" w:space="0" w:color="auto"/>
        <w:left w:val="none" w:sz="0" w:space="0" w:color="auto"/>
        <w:bottom w:val="none" w:sz="0" w:space="0" w:color="auto"/>
        <w:right w:val="none" w:sz="0" w:space="0" w:color="auto"/>
      </w:divBdr>
    </w:div>
    <w:div w:id="976951655">
      <w:bodyDiv w:val="1"/>
      <w:marLeft w:val="0"/>
      <w:marRight w:val="0"/>
      <w:marTop w:val="0"/>
      <w:marBottom w:val="0"/>
      <w:divBdr>
        <w:top w:val="none" w:sz="0" w:space="0" w:color="auto"/>
        <w:left w:val="none" w:sz="0" w:space="0" w:color="auto"/>
        <w:bottom w:val="none" w:sz="0" w:space="0" w:color="auto"/>
        <w:right w:val="none" w:sz="0" w:space="0" w:color="auto"/>
      </w:divBdr>
    </w:div>
    <w:div w:id="993875975">
      <w:bodyDiv w:val="1"/>
      <w:marLeft w:val="0"/>
      <w:marRight w:val="0"/>
      <w:marTop w:val="0"/>
      <w:marBottom w:val="0"/>
      <w:divBdr>
        <w:top w:val="none" w:sz="0" w:space="0" w:color="auto"/>
        <w:left w:val="none" w:sz="0" w:space="0" w:color="auto"/>
        <w:bottom w:val="none" w:sz="0" w:space="0" w:color="auto"/>
        <w:right w:val="none" w:sz="0" w:space="0" w:color="auto"/>
      </w:divBdr>
    </w:div>
    <w:div w:id="1085955404">
      <w:bodyDiv w:val="1"/>
      <w:marLeft w:val="0"/>
      <w:marRight w:val="0"/>
      <w:marTop w:val="0"/>
      <w:marBottom w:val="0"/>
      <w:divBdr>
        <w:top w:val="none" w:sz="0" w:space="0" w:color="auto"/>
        <w:left w:val="none" w:sz="0" w:space="0" w:color="auto"/>
        <w:bottom w:val="none" w:sz="0" w:space="0" w:color="auto"/>
        <w:right w:val="none" w:sz="0" w:space="0" w:color="auto"/>
      </w:divBdr>
    </w:div>
    <w:div w:id="1096558519">
      <w:bodyDiv w:val="1"/>
      <w:marLeft w:val="0"/>
      <w:marRight w:val="0"/>
      <w:marTop w:val="0"/>
      <w:marBottom w:val="0"/>
      <w:divBdr>
        <w:top w:val="none" w:sz="0" w:space="0" w:color="auto"/>
        <w:left w:val="none" w:sz="0" w:space="0" w:color="auto"/>
        <w:bottom w:val="none" w:sz="0" w:space="0" w:color="auto"/>
        <w:right w:val="none" w:sz="0" w:space="0" w:color="auto"/>
      </w:divBdr>
    </w:div>
    <w:div w:id="1104423852">
      <w:bodyDiv w:val="1"/>
      <w:marLeft w:val="0"/>
      <w:marRight w:val="0"/>
      <w:marTop w:val="0"/>
      <w:marBottom w:val="0"/>
      <w:divBdr>
        <w:top w:val="none" w:sz="0" w:space="0" w:color="auto"/>
        <w:left w:val="none" w:sz="0" w:space="0" w:color="auto"/>
        <w:bottom w:val="none" w:sz="0" w:space="0" w:color="auto"/>
        <w:right w:val="none" w:sz="0" w:space="0" w:color="auto"/>
      </w:divBdr>
    </w:div>
    <w:div w:id="1118452223">
      <w:bodyDiv w:val="1"/>
      <w:marLeft w:val="0"/>
      <w:marRight w:val="0"/>
      <w:marTop w:val="0"/>
      <w:marBottom w:val="0"/>
      <w:divBdr>
        <w:top w:val="none" w:sz="0" w:space="0" w:color="auto"/>
        <w:left w:val="none" w:sz="0" w:space="0" w:color="auto"/>
        <w:bottom w:val="none" w:sz="0" w:space="0" w:color="auto"/>
        <w:right w:val="none" w:sz="0" w:space="0" w:color="auto"/>
      </w:divBdr>
    </w:div>
    <w:div w:id="1158301101">
      <w:bodyDiv w:val="1"/>
      <w:marLeft w:val="0"/>
      <w:marRight w:val="0"/>
      <w:marTop w:val="0"/>
      <w:marBottom w:val="0"/>
      <w:divBdr>
        <w:top w:val="none" w:sz="0" w:space="0" w:color="auto"/>
        <w:left w:val="none" w:sz="0" w:space="0" w:color="auto"/>
        <w:bottom w:val="none" w:sz="0" w:space="0" w:color="auto"/>
        <w:right w:val="none" w:sz="0" w:space="0" w:color="auto"/>
      </w:divBdr>
    </w:div>
    <w:div w:id="1161043295">
      <w:bodyDiv w:val="1"/>
      <w:marLeft w:val="0"/>
      <w:marRight w:val="0"/>
      <w:marTop w:val="0"/>
      <w:marBottom w:val="0"/>
      <w:divBdr>
        <w:top w:val="none" w:sz="0" w:space="0" w:color="auto"/>
        <w:left w:val="none" w:sz="0" w:space="0" w:color="auto"/>
        <w:bottom w:val="none" w:sz="0" w:space="0" w:color="auto"/>
        <w:right w:val="none" w:sz="0" w:space="0" w:color="auto"/>
      </w:divBdr>
    </w:div>
    <w:div w:id="1161459685">
      <w:bodyDiv w:val="1"/>
      <w:marLeft w:val="0"/>
      <w:marRight w:val="0"/>
      <w:marTop w:val="0"/>
      <w:marBottom w:val="0"/>
      <w:divBdr>
        <w:top w:val="none" w:sz="0" w:space="0" w:color="auto"/>
        <w:left w:val="none" w:sz="0" w:space="0" w:color="auto"/>
        <w:bottom w:val="none" w:sz="0" w:space="0" w:color="auto"/>
        <w:right w:val="none" w:sz="0" w:space="0" w:color="auto"/>
      </w:divBdr>
    </w:div>
    <w:div w:id="1199203050">
      <w:bodyDiv w:val="1"/>
      <w:marLeft w:val="0"/>
      <w:marRight w:val="0"/>
      <w:marTop w:val="0"/>
      <w:marBottom w:val="0"/>
      <w:divBdr>
        <w:top w:val="none" w:sz="0" w:space="0" w:color="auto"/>
        <w:left w:val="none" w:sz="0" w:space="0" w:color="auto"/>
        <w:bottom w:val="none" w:sz="0" w:space="0" w:color="auto"/>
        <w:right w:val="none" w:sz="0" w:space="0" w:color="auto"/>
      </w:divBdr>
    </w:div>
    <w:div w:id="1233075996">
      <w:bodyDiv w:val="1"/>
      <w:marLeft w:val="0"/>
      <w:marRight w:val="0"/>
      <w:marTop w:val="0"/>
      <w:marBottom w:val="0"/>
      <w:divBdr>
        <w:top w:val="none" w:sz="0" w:space="0" w:color="auto"/>
        <w:left w:val="none" w:sz="0" w:space="0" w:color="auto"/>
        <w:bottom w:val="none" w:sz="0" w:space="0" w:color="auto"/>
        <w:right w:val="none" w:sz="0" w:space="0" w:color="auto"/>
      </w:divBdr>
    </w:div>
    <w:div w:id="1243183106">
      <w:bodyDiv w:val="1"/>
      <w:marLeft w:val="0"/>
      <w:marRight w:val="0"/>
      <w:marTop w:val="0"/>
      <w:marBottom w:val="0"/>
      <w:divBdr>
        <w:top w:val="none" w:sz="0" w:space="0" w:color="auto"/>
        <w:left w:val="none" w:sz="0" w:space="0" w:color="auto"/>
        <w:bottom w:val="none" w:sz="0" w:space="0" w:color="auto"/>
        <w:right w:val="none" w:sz="0" w:space="0" w:color="auto"/>
      </w:divBdr>
    </w:div>
    <w:div w:id="1273786292">
      <w:bodyDiv w:val="1"/>
      <w:marLeft w:val="0"/>
      <w:marRight w:val="0"/>
      <w:marTop w:val="0"/>
      <w:marBottom w:val="0"/>
      <w:divBdr>
        <w:top w:val="none" w:sz="0" w:space="0" w:color="auto"/>
        <w:left w:val="none" w:sz="0" w:space="0" w:color="auto"/>
        <w:bottom w:val="none" w:sz="0" w:space="0" w:color="auto"/>
        <w:right w:val="none" w:sz="0" w:space="0" w:color="auto"/>
      </w:divBdr>
    </w:div>
    <w:div w:id="1300261073">
      <w:bodyDiv w:val="1"/>
      <w:marLeft w:val="0"/>
      <w:marRight w:val="0"/>
      <w:marTop w:val="0"/>
      <w:marBottom w:val="0"/>
      <w:divBdr>
        <w:top w:val="none" w:sz="0" w:space="0" w:color="auto"/>
        <w:left w:val="none" w:sz="0" w:space="0" w:color="auto"/>
        <w:bottom w:val="none" w:sz="0" w:space="0" w:color="auto"/>
        <w:right w:val="none" w:sz="0" w:space="0" w:color="auto"/>
      </w:divBdr>
    </w:div>
    <w:div w:id="1301377873">
      <w:bodyDiv w:val="1"/>
      <w:marLeft w:val="0"/>
      <w:marRight w:val="0"/>
      <w:marTop w:val="0"/>
      <w:marBottom w:val="0"/>
      <w:divBdr>
        <w:top w:val="none" w:sz="0" w:space="0" w:color="auto"/>
        <w:left w:val="none" w:sz="0" w:space="0" w:color="auto"/>
        <w:bottom w:val="none" w:sz="0" w:space="0" w:color="auto"/>
        <w:right w:val="none" w:sz="0" w:space="0" w:color="auto"/>
      </w:divBdr>
    </w:div>
    <w:div w:id="1386875160">
      <w:bodyDiv w:val="1"/>
      <w:marLeft w:val="0"/>
      <w:marRight w:val="0"/>
      <w:marTop w:val="0"/>
      <w:marBottom w:val="0"/>
      <w:divBdr>
        <w:top w:val="none" w:sz="0" w:space="0" w:color="auto"/>
        <w:left w:val="none" w:sz="0" w:space="0" w:color="auto"/>
        <w:bottom w:val="none" w:sz="0" w:space="0" w:color="auto"/>
        <w:right w:val="none" w:sz="0" w:space="0" w:color="auto"/>
      </w:divBdr>
    </w:div>
    <w:div w:id="1400441630">
      <w:bodyDiv w:val="1"/>
      <w:marLeft w:val="0"/>
      <w:marRight w:val="0"/>
      <w:marTop w:val="0"/>
      <w:marBottom w:val="0"/>
      <w:divBdr>
        <w:top w:val="none" w:sz="0" w:space="0" w:color="auto"/>
        <w:left w:val="none" w:sz="0" w:space="0" w:color="auto"/>
        <w:bottom w:val="none" w:sz="0" w:space="0" w:color="auto"/>
        <w:right w:val="none" w:sz="0" w:space="0" w:color="auto"/>
      </w:divBdr>
    </w:div>
    <w:div w:id="1425107024">
      <w:bodyDiv w:val="1"/>
      <w:marLeft w:val="0"/>
      <w:marRight w:val="0"/>
      <w:marTop w:val="0"/>
      <w:marBottom w:val="0"/>
      <w:divBdr>
        <w:top w:val="none" w:sz="0" w:space="0" w:color="auto"/>
        <w:left w:val="none" w:sz="0" w:space="0" w:color="auto"/>
        <w:bottom w:val="none" w:sz="0" w:space="0" w:color="auto"/>
        <w:right w:val="none" w:sz="0" w:space="0" w:color="auto"/>
      </w:divBdr>
    </w:div>
    <w:div w:id="1465656260">
      <w:bodyDiv w:val="1"/>
      <w:marLeft w:val="0"/>
      <w:marRight w:val="0"/>
      <w:marTop w:val="0"/>
      <w:marBottom w:val="0"/>
      <w:divBdr>
        <w:top w:val="none" w:sz="0" w:space="0" w:color="auto"/>
        <w:left w:val="none" w:sz="0" w:space="0" w:color="auto"/>
        <w:bottom w:val="none" w:sz="0" w:space="0" w:color="auto"/>
        <w:right w:val="none" w:sz="0" w:space="0" w:color="auto"/>
      </w:divBdr>
    </w:div>
    <w:div w:id="1527018517">
      <w:bodyDiv w:val="1"/>
      <w:marLeft w:val="0"/>
      <w:marRight w:val="0"/>
      <w:marTop w:val="0"/>
      <w:marBottom w:val="0"/>
      <w:divBdr>
        <w:top w:val="none" w:sz="0" w:space="0" w:color="auto"/>
        <w:left w:val="none" w:sz="0" w:space="0" w:color="auto"/>
        <w:bottom w:val="none" w:sz="0" w:space="0" w:color="auto"/>
        <w:right w:val="none" w:sz="0" w:space="0" w:color="auto"/>
      </w:divBdr>
    </w:div>
    <w:div w:id="1528326695">
      <w:bodyDiv w:val="1"/>
      <w:marLeft w:val="0"/>
      <w:marRight w:val="0"/>
      <w:marTop w:val="0"/>
      <w:marBottom w:val="0"/>
      <w:divBdr>
        <w:top w:val="none" w:sz="0" w:space="0" w:color="auto"/>
        <w:left w:val="none" w:sz="0" w:space="0" w:color="auto"/>
        <w:bottom w:val="none" w:sz="0" w:space="0" w:color="auto"/>
        <w:right w:val="none" w:sz="0" w:space="0" w:color="auto"/>
      </w:divBdr>
    </w:div>
    <w:div w:id="1584533282">
      <w:bodyDiv w:val="1"/>
      <w:marLeft w:val="0"/>
      <w:marRight w:val="0"/>
      <w:marTop w:val="0"/>
      <w:marBottom w:val="0"/>
      <w:divBdr>
        <w:top w:val="none" w:sz="0" w:space="0" w:color="auto"/>
        <w:left w:val="none" w:sz="0" w:space="0" w:color="auto"/>
        <w:bottom w:val="none" w:sz="0" w:space="0" w:color="auto"/>
        <w:right w:val="none" w:sz="0" w:space="0" w:color="auto"/>
      </w:divBdr>
    </w:div>
    <w:div w:id="1586114185">
      <w:bodyDiv w:val="1"/>
      <w:marLeft w:val="0"/>
      <w:marRight w:val="0"/>
      <w:marTop w:val="0"/>
      <w:marBottom w:val="0"/>
      <w:divBdr>
        <w:top w:val="none" w:sz="0" w:space="0" w:color="auto"/>
        <w:left w:val="none" w:sz="0" w:space="0" w:color="auto"/>
        <w:bottom w:val="none" w:sz="0" w:space="0" w:color="auto"/>
        <w:right w:val="none" w:sz="0" w:space="0" w:color="auto"/>
      </w:divBdr>
    </w:div>
    <w:div w:id="1590650554">
      <w:bodyDiv w:val="1"/>
      <w:marLeft w:val="0"/>
      <w:marRight w:val="0"/>
      <w:marTop w:val="0"/>
      <w:marBottom w:val="0"/>
      <w:divBdr>
        <w:top w:val="none" w:sz="0" w:space="0" w:color="auto"/>
        <w:left w:val="none" w:sz="0" w:space="0" w:color="auto"/>
        <w:bottom w:val="none" w:sz="0" w:space="0" w:color="auto"/>
        <w:right w:val="none" w:sz="0" w:space="0" w:color="auto"/>
      </w:divBdr>
    </w:div>
    <w:div w:id="1611233592">
      <w:bodyDiv w:val="1"/>
      <w:marLeft w:val="0"/>
      <w:marRight w:val="0"/>
      <w:marTop w:val="0"/>
      <w:marBottom w:val="0"/>
      <w:divBdr>
        <w:top w:val="none" w:sz="0" w:space="0" w:color="auto"/>
        <w:left w:val="none" w:sz="0" w:space="0" w:color="auto"/>
        <w:bottom w:val="none" w:sz="0" w:space="0" w:color="auto"/>
        <w:right w:val="none" w:sz="0" w:space="0" w:color="auto"/>
      </w:divBdr>
    </w:div>
    <w:div w:id="1611546454">
      <w:bodyDiv w:val="1"/>
      <w:marLeft w:val="0"/>
      <w:marRight w:val="0"/>
      <w:marTop w:val="0"/>
      <w:marBottom w:val="0"/>
      <w:divBdr>
        <w:top w:val="none" w:sz="0" w:space="0" w:color="auto"/>
        <w:left w:val="none" w:sz="0" w:space="0" w:color="auto"/>
        <w:bottom w:val="none" w:sz="0" w:space="0" w:color="auto"/>
        <w:right w:val="none" w:sz="0" w:space="0" w:color="auto"/>
      </w:divBdr>
    </w:div>
    <w:div w:id="1650791965">
      <w:bodyDiv w:val="1"/>
      <w:marLeft w:val="0"/>
      <w:marRight w:val="0"/>
      <w:marTop w:val="0"/>
      <w:marBottom w:val="0"/>
      <w:divBdr>
        <w:top w:val="none" w:sz="0" w:space="0" w:color="auto"/>
        <w:left w:val="none" w:sz="0" w:space="0" w:color="auto"/>
        <w:bottom w:val="none" w:sz="0" w:space="0" w:color="auto"/>
        <w:right w:val="none" w:sz="0" w:space="0" w:color="auto"/>
      </w:divBdr>
    </w:div>
    <w:div w:id="1659112283">
      <w:bodyDiv w:val="1"/>
      <w:marLeft w:val="0"/>
      <w:marRight w:val="0"/>
      <w:marTop w:val="0"/>
      <w:marBottom w:val="0"/>
      <w:divBdr>
        <w:top w:val="none" w:sz="0" w:space="0" w:color="auto"/>
        <w:left w:val="none" w:sz="0" w:space="0" w:color="auto"/>
        <w:bottom w:val="none" w:sz="0" w:space="0" w:color="auto"/>
        <w:right w:val="none" w:sz="0" w:space="0" w:color="auto"/>
      </w:divBdr>
    </w:div>
    <w:div w:id="1674339943">
      <w:bodyDiv w:val="1"/>
      <w:marLeft w:val="0"/>
      <w:marRight w:val="0"/>
      <w:marTop w:val="0"/>
      <w:marBottom w:val="0"/>
      <w:divBdr>
        <w:top w:val="none" w:sz="0" w:space="0" w:color="auto"/>
        <w:left w:val="none" w:sz="0" w:space="0" w:color="auto"/>
        <w:bottom w:val="none" w:sz="0" w:space="0" w:color="auto"/>
        <w:right w:val="none" w:sz="0" w:space="0" w:color="auto"/>
      </w:divBdr>
    </w:div>
    <w:div w:id="1675836445">
      <w:bodyDiv w:val="1"/>
      <w:marLeft w:val="0"/>
      <w:marRight w:val="0"/>
      <w:marTop w:val="0"/>
      <w:marBottom w:val="0"/>
      <w:divBdr>
        <w:top w:val="none" w:sz="0" w:space="0" w:color="auto"/>
        <w:left w:val="none" w:sz="0" w:space="0" w:color="auto"/>
        <w:bottom w:val="none" w:sz="0" w:space="0" w:color="auto"/>
        <w:right w:val="none" w:sz="0" w:space="0" w:color="auto"/>
      </w:divBdr>
    </w:div>
    <w:div w:id="1678997243">
      <w:bodyDiv w:val="1"/>
      <w:marLeft w:val="0"/>
      <w:marRight w:val="0"/>
      <w:marTop w:val="0"/>
      <w:marBottom w:val="0"/>
      <w:divBdr>
        <w:top w:val="none" w:sz="0" w:space="0" w:color="auto"/>
        <w:left w:val="none" w:sz="0" w:space="0" w:color="auto"/>
        <w:bottom w:val="none" w:sz="0" w:space="0" w:color="auto"/>
        <w:right w:val="none" w:sz="0" w:space="0" w:color="auto"/>
      </w:divBdr>
    </w:div>
    <w:div w:id="1724212632">
      <w:bodyDiv w:val="1"/>
      <w:marLeft w:val="0"/>
      <w:marRight w:val="0"/>
      <w:marTop w:val="0"/>
      <w:marBottom w:val="0"/>
      <w:divBdr>
        <w:top w:val="none" w:sz="0" w:space="0" w:color="auto"/>
        <w:left w:val="none" w:sz="0" w:space="0" w:color="auto"/>
        <w:bottom w:val="none" w:sz="0" w:space="0" w:color="auto"/>
        <w:right w:val="none" w:sz="0" w:space="0" w:color="auto"/>
      </w:divBdr>
    </w:div>
    <w:div w:id="1735347323">
      <w:bodyDiv w:val="1"/>
      <w:marLeft w:val="0"/>
      <w:marRight w:val="0"/>
      <w:marTop w:val="0"/>
      <w:marBottom w:val="0"/>
      <w:divBdr>
        <w:top w:val="none" w:sz="0" w:space="0" w:color="auto"/>
        <w:left w:val="none" w:sz="0" w:space="0" w:color="auto"/>
        <w:bottom w:val="none" w:sz="0" w:space="0" w:color="auto"/>
        <w:right w:val="none" w:sz="0" w:space="0" w:color="auto"/>
      </w:divBdr>
    </w:div>
    <w:div w:id="1744183625">
      <w:bodyDiv w:val="1"/>
      <w:marLeft w:val="0"/>
      <w:marRight w:val="0"/>
      <w:marTop w:val="0"/>
      <w:marBottom w:val="0"/>
      <w:divBdr>
        <w:top w:val="none" w:sz="0" w:space="0" w:color="auto"/>
        <w:left w:val="none" w:sz="0" w:space="0" w:color="auto"/>
        <w:bottom w:val="none" w:sz="0" w:space="0" w:color="auto"/>
        <w:right w:val="none" w:sz="0" w:space="0" w:color="auto"/>
      </w:divBdr>
    </w:div>
    <w:div w:id="1787431966">
      <w:bodyDiv w:val="1"/>
      <w:marLeft w:val="0"/>
      <w:marRight w:val="0"/>
      <w:marTop w:val="0"/>
      <w:marBottom w:val="0"/>
      <w:divBdr>
        <w:top w:val="none" w:sz="0" w:space="0" w:color="auto"/>
        <w:left w:val="none" w:sz="0" w:space="0" w:color="auto"/>
        <w:bottom w:val="none" w:sz="0" w:space="0" w:color="auto"/>
        <w:right w:val="none" w:sz="0" w:space="0" w:color="auto"/>
      </w:divBdr>
    </w:div>
    <w:div w:id="1826118626">
      <w:bodyDiv w:val="1"/>
      <w:marLeft w:val="0"/>
      <w:marRight w:val="0"/>
      <w:marTop w:val="0"/>
      <w:marBottom w:val="0"/>
      <w:divBdr>
        <w:top w:val="none" w:sz="0" w:space="0" w:color="auto"/>
        <w:left w:val="none" w:sz="0" w:space="0" w:color="auto"/>
        <w:bottom w:val="none" w:sz="0" w:space="0" w:color="auto"/>
        <w:right w:val="none" w:sz="0" w:space="0" w:color="auto"/>
      </w:divBdr>
    </w:div>
    <w:div w:id="1904440981">
      <w:bodyDiv w:val="1"/>
      <w:marLeft w:val="0"/>
      <w:marRight w:val="0"/>
      <w:marTop w:val="0"/>
      <w:marBottom w:val="0"/>
      <w:divBdr>
        <w:top w:val="none" w:sz="0" w:space="0" w:color="auto"/>
        <w:left w:val="none" w:sz="0" w:space="0" w:color="auto"/>
        <w:bottom w:val="none" w:sz="0" w:space="0" w:color="auto"/>
        <w:right w:val="none" w:sz="0" w:space="0" w:color="auto"/>
      </w:divBdr>
    </w:div>
    <w:div w:id="1912424993">
      <w:bodyDiv w:val="1"/>
      <w:marLeft w:val="0"/>
      <w:marRight w:val="0"/>
      <w:marTop w:val="0"/>
      <w:marBottom w:val="0"/>
      <w:divBdr>
        <w:top w:val="none" w:sz="0" w:space="0" w:color="auto"/>
        <w:left w:val="none" w:sz="0" w:space="0" w:color="auto"/>
        <w:bottom w:val="none" w:sz="0" w:space="0" w:color="auto"/>
        <w:right w:val="none" w:sz="0" w:space="0" w:color="auto"/>
      </w:divBdr>
    </w:div>
    <w:div w:id="1979452436">
      <w:bodyDiv w:val="1"/>
      <w:marLeft w:val="0"/>
      <w:marRight w:val="0"/>
      <w:marTop w:val="0"/>
      <w:marBottom w:val="0"/>
      <w:divBdr>
        <w:top w:val="none" w:sz="0" w:space="0" w:color="auto"/>
        <w:left w:val="none" w:sz="0" w:space="0" w:color="auto"/>
        <w:bottom w:val="none" w:sz="0" w:space="0" w:color="auto"/>
        <w:right w:val="none" w:sz="0" w:space="0" w:color="auto"/>
      </w:divBdr>
    </w:div>
    <w:div w:id="1984771466">
      <w:bodyDiv w:val="1"/>
      <w:marLeft w:val="0"/>
      <w:marRight w:val="0"/>
      <w:marTop w:val="0"/>
      <w:marBottom w:val="0"/>
      <w:divBdr>
        <w:top w:val="none" w:sz="0" w:space="0" w:color="auto"/>
        <w:left w:val="none" w:sz="0" w:space="0" w:color="auto"/>
        <w:bottom w:val="none" w:sz="0" w:space="0" w:color="auto"/>
        <w:right w:val="none" w:sz="0" w:space="0" w:color="auto"/>
      </w:divBdr>
    </w:div>
    <w:div w:id="1988435385">
      <w:bodyDiv w:val="1"/>
      <w:marLeft w:val="0"/>
      <w:marRight w:val="0"/>
      <w:marTop w:val="0"/>
      <w:marBottom w:val="0"/>
      <w:divBdr>
        <w:top w:val="none" w:sz="0" w:space="0" w:color="auto"/>
        <w:left w:val="none" w:sz="0" w:space="0" w:color="auto"/>
        <w:bottom w:val="none" w:sz="0" w:space="0" w:color="auto"/>
        <w:right w:val="none" w:sz="0" w:space="0" w:color="auto"/>
      </w:divBdr>
    </w:div>
    <w:div w:id="1993101428">
      <w:bodyDiv w:val="1"/>
      <w:marLeft w:val="0"/>
      <w:marRight w:val="0"/>
      <w:marTop w:val="0"/>
      <w:marBottom w:val="0"/>
      <w:divBdr>
        <w:top w:val="none" w:sz="0" w:space="0" w:color="auto"/>
        <w:left w:val="none" w:sz="0" w:space="0" w:color="auto"/>
        <w:bottom w:val="none" w:sz="0" w:space="0" w:color="auto"/>
        <w:right w:val="none" w:sz="0" w:space="0" w:color="auto"/>
      </w:divBdr>
    </w:div>
    <w:div w:id="2058120934">
      <w:bodyDiv w:val="1"/>
      <w:marLeft w:val="0"/>
      <w:marRight w:val="0"/>
      <w:marTop w:val="0"/>
      <w:marBottom w:val="0"/>
      <w:divBdr>
        <w:top w:val="none" w:sz="0" w:space="0" w:color="auto"/>
        <w:left w:val="none" w:sz="0" w:space="0" w:color="auto"/>
        <w:bottom w:val="none" w:sz="0" w:space="0" w:color="auto"/>
        <w:right w:val="none" w:sz="0" w:space="0" w:color="auto"/>
      </w:divBdr>
    </w:div>
    <w:div w:id="2082025897">
      <w:bodyDiv w:val="1"/>
      <w:marLeft w:val="0"/>
      <w:marRight w:val="0"/>
      <w:marTop w:val="0"/>
      <w:marBottom w:val="0"/>
      <w:divBdr>
        <w:top w:val="none" w:sz="0" w:space="0" w:color="auto"/>
        <w:left w:val="none" w:sz="0" w:space="0" w:color="auto"/>
        <w:bottom w:val="none" w:sz="0" w:space="0" w:color="auto"/>
        <w:right w:val="none" w:sz="0" w:space="0" w:color="auto"/>
      </w:divBdr>
    </w:div>
    <w:div w:id="2083984823">
      <w:bodyDiv w:val="1"/>
      <w:marLeft w:val="0"/>
      <w:marRight w:val="0"/>
      <w:marTop w:val="0"/>
      <w:marBottom w:val="0"/>
      <w:divBdr>
        <w:top w:val="none" w:sz="0" w:space="0" w:color="auto"/>
        <w:left w:val="none" w:sz="0" w:space="0" w:color="auto"/>
        <w:bottom w:val="none" w:sz="0" w:space="0" w:color="auto"/>
        <w:right w:val="none" w:sz="0" w:space="0" w:color="auto"/>
      </w:divBdr>
    </w:div>
    <w:div w:id="20995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www.facebook.com/INEGIInforma/" TargetMode="External"/><Relationship Id="rId26" Type="http://schemas.openxmlformats.org/officeDocument/2006/relationships/hyperlink" Target="http://www.inegi.org.mx/"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mailto:comunicacionsocial@inegi.org.mx" TargetMode="External"/><Relationship Id="rId25" Type="http://schemas.openxmlformats.org/officeDocument/2006/relationships/image" Target="media/image4.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egi.org.mx/sistemas/olap/proyectos/bd/continuas/mortalidad/defuncioneshom.asp?s=est&amp;c=28820&amp;proy=mortgral_dh" TargetMode="External"/><Relationship Id="rId20" Type="http://schemas.openxmlformats.org/officeDocument/2006/relationships/hyperlink" Target="https://www.instagram.com/inegi_inform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www.youtube.com/user/INEGIInform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image" Target="media/image3.jpe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jpe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hyperlink" Target="https://twitter.com/INEGI_INFORMA" TargetMode="External"/><Relationship Id="rId27" Type="http://schemas.openxmlformats.org/officeDocument/2006/relationships/image" Target="media/image5.png"/><Relationship Id="rId30" Type="http://schemas.openxmlformats.org/officeDocument/2006/relationships/hyperlink" Target="https://datos.gob.mx/busca/dataset/proyecciones-de-la-poblacion-de-mexico-y-de-las-entidades-federativas-2016-2050"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2" Type="http://schemas.openxmlformats.org/officeDocument/2006/relationships/oleObject" Target="file:///D:\Defunciones%202021\Bolet&#237;n%20enero-junio2021\Homicidios%20publicaci&#243;n%20julio.2022\Cuadros%20y%20gr&#225;ficas%20Homi2020_pub27.01.2022.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Defunciones%202021\Bolet&#237;n%20enero-junio2021\Homicidios%20publicaci&#243;n%20julio.2022\Cuadros%20y%20gr&#225;ficas%20Homi2020_pub27.01.2022.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3.xml"/><Relationship Id="rId4" Type="http://schemas.openxmlformats.org/officeDocument/2006/relationships/oleObject" Target="file:///D:\Defunciones%202021\Bolet&#237;n%20enero-junio2021\Homicidios%20publicaci&#243;n%20julio.2022\Cuadros%20y%20gr&#225;ficas%20julio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cked"/>
        <c:varyColors val="0"/>
        <c:ser>
          <c:idx val="0"/>
          <c:order val="0"/>
          <c:marker>
            <c:symbol val="none"/>
          </c:marker>
          <c:cat>
            <c:strRef>
              <c:f>'TASA x SEXO'!$A$9:$A$40</c:f>
              <c:strCach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2021p</c:v>
                </c:pt>
              </c:strCache>
            </c:strRef>
          </c:cat>
          <c:val>
            <c:numRef>
              <c:f>'TASA x SEXO'!$B$9:$B$40</c:f>
              <c:numCache>
                <c:formatCode>#,##0</c:formatCode>
                <c:ptCount val="32"/>
                <c:pt idx="0">
                  <c:v>14493</c:v>
                </c:pt>
                <c:pt idx="1">
                  <c:v>15128</c:v>
                </c:pt>
                <c:pt idx="2">
                  <c:v>16594</c:v>
                </c:pt>
                <c:pt idx="3">
                  <c:v>16040</c:v>
                </c:pt>
                <c:pt idx="4">
                  <c:v>15839</c:v>
                </c:pt>
                <c:pt idx="5">
                  <c:v>15612</c:v>
                </c:pt>
                <c:pt idx="6">
                  <c:v>14505</c:v>
                </c:pt>
                <c:pt idx="7">
                  <c:v>13552</c:v>
                </c:pt>
                <c:pt idx="8">
                  <c:v>13656</c:v>
                </c:pt>
                <c:pt idx="9">
                  <c:v>12249</c:v>
                </c:pt>
                <c:pt idx="10">
                  <c:v>10737</c:v>
                </c:pt>
                <c:pt idx="11">
                  <c:v>10285</c:v>
                </c:pt>
                <c:pt idx="12">
                  <c:v>10088</c:v>
                </c:pt>
                <c:pt idx="13">
                  <c:v>10087</c:v>
                </c:pt>
                <c:pt idx="14">
                  <c:v>9329</c:v>
                </c:pt>
                <c:pt idx="15">
                  <c:v>9921</c:v>
                </c:pt>
                <c:pt idx="16">
                  <c:v>10452</c:v>
                </c:pt>
                <c:pt idx="17">
                  <c:v>8867</c:v>
                </c:pt>
                <c:pt idx="18">
                  <c:v>14006</c:v>
                </c:pt>
                <c:pt idx="19">
                  <c:v>19803</c:v>
                </c:pt>
                <c:pt idx="20">
                  <c:v>25757</c:v>
                </c:pt>
                <c:pt idx="21">
                  <c:v>27213</c:v>
                </c:pt>
                <c:pt idx="22">
                  <c:v>25967</c:v>
                </c:pt>
                <c:pt idx="23">
                  <c:v>23063</c:v>
                </c:pt>
                <c:pt idx="24">
                  <c:v>20010</c:v>
                </c:pt>
                <c:pt idx="25">
                  <c:v>20762</c:v>
                </c:pt>
                <c:pt idx="26">
                  <c:v>24559</c:v>
                </c:pt>
                <c:pt idx="27">
                  <c:v>32079</c:v>
                </c:pt>
                <c:pt idx="28">
                  <c:v>36685</c:v>
                </c:pt>
                <c:pt idx="29">
                  <c:v>36661</c:v>
                </c:pt>
                <c:pt idx="30">
                  <c:v>36773</c:v>
                </c:pt>
                <c:pt idx="31">
                  <c:v>35625</c:v>
                </c:pt>
              </c:numCache>
            </c:numRef>
          </c:val>
          <c:smooth val="0"/>
          <c:extLst>
            <c:ext xmlns:c16="http://schemas.microsoft.com/office/drawing/2014/chart" uri="{C3380CC4-5D6E-409C-BE32-E72D297353CC}">
              <c16:uniqueId val="{00000000-A718-47C9-951D-94B2E089D078}"/>
            </c:ext>
          </c:extLst>
        </c:ser>
        <c:dLbls>
          <c:showLegendKey val="0"/>
          <c:showVal val="0"/>
          <c:showCatName val="0"/>
          <c:showSerName val="0"/>
          <c:showPercent val="0"/>
          <c:showBubbleSize val="0"/>
        </c:dLbls>
        <c:smooth val="0"/>
        <c:axId val="469366736"/>
        <c:axId val="1"/>
      </c:lineChart>
      <c:catAx>
        <c:axId val="469366736"/>
        <c:scaling>
          <c:orientation val="minMax"/>
        </c:scaling>
        <c:delete val="0"/>
        <c:axPos val="b"/>
        <c:numFmt formatCode="General" sourceLinked="1"/>
        <c:majorTickMark val="out"/>
        <c:minorTickMark val="none"/>
        <c:tickLblPos val="nextTo"/>
        <c:txPr>
          <a:bodyPr rot="-2700000" vert="horz"/>
          <a:lstStyle/>
          <a:p>
            <a:pPr>
              <a:defRPr sz="800" b="0" i="0" u="none" strike="noStrike" baseline="0">
                <a:solidFill>
                  <a:srgbClr val="000000"/>
                </a:solidFill>
                <a:latin typeface="Arial"/>
                <a:ea typeface="Arial"/>
                <a:cs typeface="Arial"/>
              </a:defRPr>
            </a:pPr>
            <a:endParaRPr lang="es-MX"/>
          </a:p>
        </c:txPr>
        <c:crossAx val="1"/>
        <c:crosses val="autoZero"/>
        <c:auto val="1"/>
        <c:lblAlgn val="ctr"/>
        <c:lblOffset val="100"/>
        <c:noMultiLvlLbl val="0"/>
      </c:catAx>
      <c:valAx>
        <c:axId val="1"/>
        <c:scaling>
          <c:orientation val="minMax"/>
        </c:scaling>
        <c:delete val="0"/>
        <c:axPos val="l"/>
        <c:majorGridlines/>
        <c:numFmt formatCode="###\ ##0" sourceLinked="0"/>
        <c:majorTickMark val="out"/>
        <c:minorTickMark val="none"/>
        <c:tickLblPos val="nextTo"/>
        <c:txPr>
          <a:bodyPr rot="0" vert="horz"/>
          <a:lstStyle/>
          <a:p>
            <a:pPr>
              <a:defRPr sz="850" b="0" i="0" u="none" strike="noStrike" baseline="0">
                <a:solidFill>
                  <a:srgbClr val="000000"/>
                </a:solidFill>
                <a:latin typeface="Arial"/>
                <a:ea typeface="Arial"/>
                <a:cs typeface="Arial"/>
              </a:defRPr>
            </a:pPr>
            <a:endParaRPr lang="es-MX"/>
          </a:p>
        </c:txPr>
        <c:crossAx val="469366736"/>
        <c:crosses val="autoZero"/>
        <c:crossBetween val="between"/>
      </c:valAx>
      <c:spPr>
        <a:noFill/>
        <a:ln>
          <a:solidFill>
            <a:schemeClr val="tx1">
              <a:lumMod val="85000"/>
              <a:lumOff val="15000"/>
            </a:schemeClr>
          </a:solidFill>
        </a:ln>
      </c:spPr>
    </c:plotArea>
    <c:plotVisOnly val="1"/>
    <c:dispBlanksAs val="zero"/>
    <c:showDLblsOverMax val="0"/>
  </c:chart>
  <c:txPr>
    <a:bodyPr/>
    <a:lstStyle/>
    <a:p>
      <a:pPr>
        <a:defRPr sz="850" b="0" i="0" u="none" strike="noStrike" baseline="0">
          <a:solidFill>
            <a:srgbClr val="000000"/>
          </a:solidFill>
          <a:latin typeface="Arial"/>
          <a:ea typeface="Arial"/>
          <a:cs typeface="Arial"/>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9876698745990086E-2"/>
          <c:y val="7.4487895716946001E-2"/>
          <c:w val="0.93037021483425686"/>
          <c:h val="0.7775351544744058"/>
        </c:manualLayout>
      </c:layout>
      <c:lineChart>
        <c:grouping val="stacked"/>
        <c:varyColors val="0"/>
        <c:ser>
          <c:idx val="0"/>
          <c:order val="0"/>
          <c:marker>
            <c:symbol val="none"/>
          </c:marker>
          <c:cat>
            <c:strRef>
              <c:f>'Gráficas 1_5'!$A$5:$A$36</c:f>
              <c:strCach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2021p</c:v>
                </c:pt>
              </c:strCache>
            </c:strRef>
          </c:cat>
          <c:val>
            <c:numRef>
              <c:f>'Gráficas 1_5'!$I$5:$I$36</c:f>
              <c:numCache>
                <c:formatCode>0</c:formatCode>
                <c:ptCount val="32"/>
                <c:pt idx="0">
                  <c:v>17.218811772249619</c:v>
                </c:pt>
                <c:pt idx="1">
                  <c:v>17.642241328741594</c:v>
                </c:pt>
                <c:pt idx="2">
                  <c:v>19.005332545388175</c:v>
                </c:pt>
                <c:pt idx="3">
                  <c:v>18.052724219111631</c:v>
                </c:pt>
                <c:pt idx="4">
                  <c:v>17.52824829543346</c:v>
                </c:pt>
                <c:pt idx="5">
                  <c:v>16.998406154442147</c:v>
                </c:pt>
                <c:pt idx="6">
                  <c:v>15.54749315403842</c:v>
                </c:pt>
                <c:pt idx="7">
                  <c:v>14.307350714983775</c:v>
                </c:pt>
                <c:pt idx="8">
                  <c:v>14.207690297321097</c:v>
                </c:pt>
                <c:pt idx="9">
                  <c:v>12.565321411668775</c:v>
                </c:pt>
                <c:pt idx="10">
                  <c:v>10.869028810214884</c:v>
                </c:pt>
                <c:pt idx="11">
                  <c:v>10.27418138973842</c:v>
                </c:pt>
                <c:pt idx="12">
                  <c:v>9.9395050861486016</c:v>
                </c:pt>
                <c:pt idx="13">
                  <c:v>9.8036286624551838</c:v>
                </c:pt>
                <c:pt idx="14">
                  <c:v>8.9467549067901384</c:v>
                </c:pt>
                <c:pt idx="15">
                  <c:v>9.3887188821956524</c:v>
                </c:pt>
                <c:pt idx="16">
                  <c:v>9.7540589441738881</c:v>
                </c:pt>
                <c:pt idx="17">
                  <c:v>8.1539497343529259</c:v>
                </c:pt>
                <c:pt idx="18">
                  <c:v>12.685967488526426</c:v>
                </c:pt>
                <c:pt idx="19">
                  <c:v>17.666204072552922</c:v>
                </c:pt>
                <c:pt idx="20">
                  <c:v>22.643781042505541</c:v>
                </c:pt>
                <c:pt idx="21">
                  <c:v>23.588108715446019</c:v>
                </c:pt>
                <c:pt idx="22">
                  <c:v>22.206226722778432</c:v>
                </c:pt>
                <c:pt idx="23">
                  <c:v>19.470016904209231</c:v>
                </c:pt>
                <c:pt idx="24">
                  <c:v>16.683840906328271</c:v>
                </c:pt>
                <c:pt idx="25">
                  <c:v>17.109498482873196</c:v>
                </c:pt>
                <c:pt idx="26">
                  <c:v>20.01301143179818</c:v>
                </c:pt>
                <c:pt idx="27">
                  <c:v>25.861457866949632</c:v>
                </c:pt>
                <c:pt idx="28">
                  <c:v>29</c:v>
                </c:pt>
                <c:pt idx="29">
                  <c:v>29</c:v>
                </c:pt>
                <c:pt idx="30">
                  <c:v>29</c:v>
                </c:pt>
                <c:pt idx="31">
                  <c:v>28</c:v>
                </c:pt>
              </c:numCache>
            </c:numRef>
          </c:val>
          <c:smooth val="0"/>
          <c:extLst>
            <c:ext xmlns:c16="http://schemas.microsoft.com/office/drawing/2014/chart" uri="{C3380CC4-5D6E-409C-BE32-E72D297353CC}">
              <c16:uniqueId val="{00000000-6366-4CEE-BFDC-C197BA76943C}"/>
            </c:ext>
          </c:extLst>
        </c:ser>
        <c:dLbls>
          <c:showLegendKey val="0"/>
          <c:showVal val="0"/>
          <c:showCatName val="0"/>
          <c:showSerName val="0"/>
          <c:showPercent val="0"/>
          <c:showBubbleSize val="0"/>
        </c:dLbls>
        <c:smooth val="0"/>
        <c:axId val="8509232"/>
        <c:axId val="1"/>
      </c:lineChart>
      <c:catAx>
        <c:axId val="8509232"/>
        <c:scaling>
          <c:orientation val="minMax"/>
        </c:scaling>
        <c:delete val="0"/>
        <c:axPos val="b"/>
        <c:numFmt formatCode="General" sourceLinked="1"/>
        <c:majorTickMark val="out"/>
        <c:minorTickMark val="none"/>
        <c:tickLblPos val="nextTo"/>
        <c:txPr>
          <a:bodyPr rot="-2700000" vert="horz"/>
          <a:lstStyle/>
          <a:p>
            <a:pPr>
              <a:defRPr sz="800" b="0" i="0" u="none" strike="noStrike" baseline="0">
                <a:solidFill>
                  <a:srgbClr val="000000"/>
                </a:solidFill>
                <a:latin typeface="Arial"/>
                <a:ea typeface="Arial"/>
                <a:cs typeface="Arial"/>
              </a:defRPr>
            </a:pPr>
            <a:endParaRPr lang="es-MX"/>
          </a:p>
        </c:txPr>
        <c:crossAx val="1"/>
        <c:crosses val="autoZero"/>
        <c:auto val="1"/>
        <c:lblAlgn val="ctr"/>
        <c:lblOffset val="100"/>
        <c:noMultiLvlLbl val="0"/>
      </c:catAx>
      <c:valAx>
        <c:axId val="1"/>
        <c:scaling>
          <c:orientation val="minMax"/>
          <c:max val="35"/>
        </c:scaling>
        <c:delete val="0"/>
        <c:axPos val="l"/>
        <c:majorGridlines/>
        <c:numFmt formatCode="0" sourceLinked="1"/>
        <c:majorTickMark val="out"/>
        <c:minorTickMark val="none"/>
        <c:tickLblPos val="nextTo"/>
        <c:txPr>
          <a:bodyPr rot="0" vert="horz"/>
          <a:lstStyle/>
          <a:p>
            <a:pPr>
              <a:defRPr sz="900" b="0" i="0" u="none" strike="noStrike" baseline="0">
                <a:solidFill>
                  <a:srgbClr val="000000"/>
                </a:solidFill>
                <a:latin typeface="Arial"/>
                <a:ea typeface="Arial"/>
                <a:cs typeface="Arial"/>
              </a:defRPr>
            </a:pPr>
            <a:endParaRPr lang="es-MX"/>
          </a:p>
        </c:txPr>
        <c:crossAx val="8509232"/>
        <c:crosses val="autoZero"/>
        <c:crossBetween val="between"/>
      </c:valAx>
      <c:spPr>
        <a:noFill/>
        <a:ln>
          <a:solidFill>
            <a:schemeClr val="tx1">
              <a:lumMod val="85000"/>
              <a:lumOff val="15000"/>
            </a:schemeClr>
          </a:solidFill>
        </a:ln>
      </c:spPr>
    </c:plotArea>
    <c:plotVisOnly val="1"/>
    <c:dispBlanksAs val="zero"/>
    <c:showDLblsOverMax val="0"/>
  </c:chart>
  <c:txPr>
    <a:bodyPr/>
    <a:lstStyle/>
    <a:p>
      <a:pPr>
        <a:defRPr sz="900" b="0" i="0" u="none" strike="noStrike" baseline="0">
          <a:solidFill>
            <a:srgbClr val="000000"/>
          </a:solidFill>
          <a:latin typeface="Arial"/>
          <a:ea typeface="Arial"/>
          <a:cs typeface="Arial"/>
        </a:defRPr>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9903460633268286E-2"/>
          <c:y val="6.2142256740140747E-2"/>
          <c:w val="0.90351209520270459"/>
          <c:h val="0.78909971017373381"/>
        </c:manualLayout>
      </c:layout>
      <c:lineChart>
        <c:grouping val="stacked"/>
        <c:varyColors val="0"/>
        <c:ser>
          <c:idx val="0"/>
          <c:order val="0"/>
          <c:marker>
            <c:symbol val="none"/>
          </c:marker>
          <c:cat>
            <c:strRef>
              <c:f>'TASA x SEXO'!$A$9:$A$40</c:f>
              <c:strCach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2021p</c:v>
                </c:pt>
              </c:strCache>
            </c:strRef>
          </c:cat>
          <c:val>
            <c:numRef>
              <c:f>'TASA x SEXO'!$J$9:$J$40</c:f>
              <c:numCache>
                <c:formatCode>0</c:formatCode>
                <c:ptCount val="32"/>
                <c:pt idx="0">
                  <c:v>31.058204569192178</c:v>
                </c:pt>
                <c:pt idx="1">
                  <c:v>31.966682381515714</c:v>
                </c:pt>
                <c:pt idx="2">
                  <c:v>34.613268741057134</c:v>
                </c:pt>
                <c:pt idx="3">
                  <c:v>32.967282114417756</c:v>
                </c:pt>
                <c:pt idx="4">
                  <c:v>32.152768759587069</c:v>
                </c:pt>
                <c:pt idx="5">
                  <c:v>31.043470414151496</c:v>
                </c:pt>
                <c:pt idx="6">
                  <c:v>28.32562327838416</c:v>
                </c:pt>
                <c:pt idx="7">
                  <c:v>26.067758172797141</c:v>
                </c:pt>
                <c:pt idx="8">
                  <c:v>25.593831411143825</c:v>
                </c:pt>
                <c:pt idx="9">
                  <c:v>22.580800975861006</c:v>
                </c:pt>
                <c:pt idx="10">
                  <c:v>19.451844468309108</c:v>
                </c:pt>
                <c:pt idx="11">
                  <c:v>18.28361645131567</c:v>
                </c:pt>
                <c:pt idx="12">
                  <c:v>17.66653348653567</c:v>
                </c:pt>
                <c:pt idx="13">
                  <c:v>17.354607827792488</c:v>
                </c:pt>
                <c:pt idx="14">
                  <c:v>15.88601565493922</c:v>
                </c:pt>
                <c:pt idx="15">
                  <c:v>16.64443735364349</c:v>
                </c:pt>
                <c:pt idx="16">
                  <c:v>17.438941769231473</c:v>
                </c:pt>
                <c:pt idx="17">
                  <c:v>14.617259577378482</c:v>
                </c:pt>
                <c:pt idx="18">
                  <c:v>23.279965730646278</c:v>
                </c:pt>
                <c:pt idx="19">
                  <c:v>32.520597335444059</c:v>
                </c:pt>
                <c:pt idx="20">
                  <c:v>41.825638370878366</c:v>
                </c:pt>
                <c:pt idx="21">
                  <c:v>42.95337770934136</c:v>
                </c:pt>
                <c:pt idx="22">
                  <c:v>40.152370788226186</c:v>
                </c:pt>
                <c:pt idx="23">
                  <c:v>34.9698498851944</c:v>
                </c:pt>
                <c:pt idx="24">
                  <c:v>29.80678720452168</c:v>
                </c:pt>
                <c:pt idx="25">
                  <c:v>30.787845188286283</c:v>
                </c:pt>
                <c:pt idx="26">
                  <c:v>36.06741886420032</c:v>
                </c:pt>
                <c:pt idx="27">
                  <c:v>46.956951792157945</c:v>
                </c:pt>
                <c:pt idx="28">
                  <c:v>53.390266438694383</c:v>
                </c:pt>
                <c:pt idx="29">
                  <c:v>52</c:v>
                </c:pt>
                <c:pt idx="30">
                  <c:v>52</c:v>
                </c:pt>
                <c:pt idx="31">
                  <c:v>50</c:v>
                </c:pt>
              </c:numCache>
            </c:numRef>
          </c:val>
          <c:smooth val="0"/>
          <c:extLst>
            <c:ext xmlns:c16="http://schemas.microsoft.com/office/drawing/2014/chart" uri="{C3380CC4-5D6E-409C-BE32-E72D297353CC}">
              <c16:uniqueId val="{00000000-90B9-493A-910D-063E977B39D4}"/>
            </c:ext>
          </c:extLst>
        </c:ser>
        <c:dLbls>
          <c:showLegendKey val="0"/>
          <c:showVal val="0"/>
          <c:showCatName val="0"/>
          <c:showSerName val="0"/>
          <c:showPercent val="0"/>
          <c:showBubbleSize val="0"/>
        </c:dLbls>
        <c:smooth val="0"/>
        <c:axId val="469365904"/>
        <c:axId val="1"/>
      </c:lineChart>
      <c:catAx>
        <c:axId val="469365904"/>
        <c:scaling>
          <c:orientation val="minMax"/>
        </c:scaling>
        <c:delete val="0"/>
        <c:axPos val="b"/>
        <c:numFmt formatCode="General" sourceLinked="1"/>
        <c:majorTickMark val="out"/>
        <c:minorTickMark val="none"/>
        <c:tickLblPos val="nextTo"/>
        <c:txPr>
          <a:bodyPr rot="-2700000" vert="horz"/>
          <a:lstStyle/>
          <a:p>
            <a:pPr>
              <a:defRPr sz="800" b="0" i="0" u="none" strike="noStrike" baseline="0">
                <a:solidFill>
                  <a:srgbClr val="000000"/>
                </a:solidFill>
                <a:latin typeface="Arial"/>
                <a:ea typeface="Arial"/>
                <a:cs typeface="Arial"/>
              </a:defRPr>
            </a:pPr>
            <a:endParaRPr lang="es-MX"/>
          </a:p>
        </c:txPr>
        <c:crossAx val="1"/>
        <c:crosses val="autoZero"/>
        <c:auto val="1"/>
        <c:lblAlgn val="ctr"/>
        <c:lblOffset val="100"/>
        <c:noMultiLvlLbl val="0"/>
      </c:catAx>
      <c:valAx>
        <c:axId val="1"/>
        <c:scaling>
          <c:orientation val="minMax"/>
          <c:max val="65"/>
          <c:min val="0"/>
        </c:scaling>
        <c:delete val="0"/>
        <c:axPos val="l"/>
        <c:majorGridlines/>
        <c:numFmt formatCode="0" sourceLinked="1"/>
        <c:majorTickMark val="out"/>
        <c:minorTickMark val="none"/>
        <c:tickLblPos val="nextTo"/>
        <c:txPr>
          <a:bodyPr rot="0" vert="horz"/>
          <a:lstStyle/>
          <a:p>
            <a:pPr>
              <a:defRPr sz="900" b="0" i="0" u="none" strike="noStrike" baseline="0">
                <a:solidFill>
                  <a:srgbClr val="000000"/>
                </a:solidFill>
                <a:latin typeface="Arial"/>
                <a:ea typeface="Arial"/>
                <a:cs typeface="Arial"/>
              </a:defRPr>
            </a:pPr>
            <a:endParaRPr lang="es-MX"/>
          </a:p>
        </c:txPr>
        <c:crossAx val="469365904"/>
        <c:crosses val="autoZero"/>
        <c:crossBetween val="between"/>
        <c:majorUnit val="5"/>
      </c:valAx>
      <c:spPr>
        <a:noFill/>
        <a:ln>
          <a:solidFill>
            <a:schemeClr val="tx1">
              <a:lumMod val="85000"/>
              <a:lumOff val="15000"/>
            </a:schemeClr>
          </a:solidFill>
        </a:ln>
      </c:spPr>
    </c:plotArea>
    <c:plotVisOnly val="1"/>
    <c:dispBlanksAs val="zero"/>
    <c:showDLblsOverMax val="0"/>
  </c:chart>
  <c:spPr>
    <a:ln>
      <a:solidFill>
        <a:sysClr val="window" lastClr="FFFFFF">
          <a:lumMod val="75000"/>
        </a:sysClr>
      </a:solidFill>
    </a:ln>
  </c:spPr>
  <c:txPr>
    <a:bodyPr/>
    <a:lstStyle/>
    <a:p>
      <a:pPr>
        <a:defRPr sz="900" b="0" i="0" u="none" strike="noStrike" baseline="0">
          <a:solidFill>
            <a:srgbClr val="000000"/>
          </a:solidFill>
          <a:latin typeface="Arial"/>
          <a:ea typeface="Arial"/>
          <a:cs typeface="Arial"/>
        </a:defRPr>
      </a:pPr>
      <a:endParaRPr lang="es-MX"/>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8372128731621615E-2"/>
          <c:y val="4.0849231247878225E-2"/>
          <c:w val="0.91021707223887305"/>
          <c:h val="0.82899231057813794"/>
        </c:manualLayout>
      </c:layout>
      <c:lineChart>
        <c:grouping val="stacked"/>
        <c:varyColors val="0"/>
        <c:ser>
          <c:idx val="0"/>
          <c:order val="0"/>
          <c:marker>
            <c:symbol val="none"/>
          </c:marker>
          <c:cat>
            <c:strRef>
              <c:f>'Gráficas 1_5'!$A$5:$A$36</c:f>
              <c:strCach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2021p</c:v>
                </c:pt>
              </c:strCache>
            </c:strRef>
          </c:cat>
          <c:val>
            <c:numRef>
              <c:f>'Gráficas 1_5'!$K$5:$K$36</c:f>
              <c:numCache>
                <c:formatCode>0</c:formatCode>
                <c:ptCount val="32"/>
                <c:pt idx="0">
                  <c:v>3.5714604804613601</c:v>
                </c:pt>
                <c:pt idx="1">
                  <c:v>3.5385186672084088</c:v>
                </c:pt>
                <c:pt idx="2">
                  <c:v>3.6749268818614489</c:v>
                </c:pt>
                <c:pt idx="3">
                  <c:v>3.453803466039671</c:v>
                </c:pt>
                <c:pt idx="4">
                  <c:v>3.2259617004909624</c:v>
                </c:pt>
                <c:pt idx="5">
                  <c:v>3.277453432867051</c:v>
                </c:pt>
                <c:pt idx="6">
                  <c:v>3.0870703976802147</c:v>
                </c:pt>
                <c:pt idx="7">
                  <c:v>2.8512049181578276</c:v>
                </c:pt>
                <c:pt idx="8">
                  <c:v>3.137490275009732</c:v>
                </c:pt>
                <c:pt idx="9">
                  <c:v>2.8485040770955803</c:v>
                </c:pt>
                <c:pt idx="10">
                  <c:v>2.5554837008204476</c:v>
                </c:pt>
                <c:pt idx="11">
                  <c:v>2.5158233415538485</c:v>
                </c:pt>
                <c:pt idx="12">
                  <c:v>2.4758569134203667</c:v>
                </c:pt>
                <c:pt idx="13">
                  <c:v>2.509126136001615</c:v>
                </c:pt>
                <c:pt idx="14">
                  <c:v>2.2673528636516265</c:v>
                </c:pt>
                <c:pt idx="15">
                  <c:v>2.4045068281412578</c:v>
                </c:pt>
                <c:pt idx="16">
                  <c:v>2.3717834080813605</c:v>
                </c:pt>
                <c:pt idx="17">
                  <c:v>1.9496841430676424</c:v>
                </c:pt>
                <c:pt idx="18">
                  <c:v>2.5268938195847821</c:v>
                </c:pt>
                <c:pt idx="19">
                  <c:v>3.3627980240443378</c:v>
                </c:pt>
                <c:pt idx="20">
                  <c:v>4.1634327458221208</c:v>
                </c:pt>
                <c:pt idx="21">
                  <c:v>4.5725758802242531</c:v>
                </c:pt>
                <c:pt idx="22">
                  <c:v>4.6306892159340141</c:v>
                </c:pt>
                <c:pt idx="23">
                  <c:v>4.3796744403407049</c:v>
                </c:pt>
                <c:pt idx="24">
                  <c:v>3.9336837121611237</c:v>
                </c:pt>
                <c:pt idx="25">
                  <c:v>3.8477998956750521</c:v>
                </c:pt>
                <c:pt idx="26">
                  <c:v>4.4918220335958594</c:v>
                </c:pt>
                <c:pt idx="27">
                  <c:v>5.4185565594067873</c:v>
                </c:pt>
                <c:pt idx="28">
                  <c:v>5.8662642167592134</c:v>
                </c:pt>
                <c:pt idx="29">
                  <c:v>6.0263102855680053</c:v>
                </c:pt>
                <c:pt idx="30">
                  <c:v>6.1129247683260202</c:v>
                </c:pt>
                <c:pt idx="31">
                  <c:v>6.1056538186076184</c:v>
                </c:pt>
              </c:numCache>
            </c:numRef>
          </c:val>
          <c:smooth val="0"/>
          <c:extLst>
            <c:ext xmlns:c16="http://schemas.microsoft.com/office/drawing/2014/chart" uri="{C3380CC4-5D6E-409C-BE32-E72D297353CC}">
              <c16:uniqueId val="{00000000-B63A-46B6-B113-48705FD99C88}"/>
            </c:ext>
          </c:extLst>
        </c:ser>
        <c:dLbls>
          <c:showLegendKey val="0"/>
          <c:showVal val="0"/>
          <c:showCatName val="0"/>
          <c:showSerName val="0"/>
          <c:showPercent val="0"/>
          <c:showBubbleSize val="0"/>
        </c:dLbls>
        <c:smooth val="0"/>
        <c:axId val="8512560"/>
        <c:axId val="1"/>
      </c:lineChart>
      <c:catAx>
        <c:axId val="8512560"/>
        <c:scaling>
          <c:orientation val="minMax"/>
        </c:scaling>
        <c:delete val="0"/>
        <c:axPos val="b"/>
        <c:numFmt formatCode="General" sourceLinked="1"/>
        <c:majorTickMark val="out"/>
        <c:minorTickMark val="none"/>
        <c:tickLblPos val="nextTo"/>
        <c:txPr>
          <a:bodyPr rot="-2700000" vert="horz"/>
          <a:lstStyle/>
          <a:p>
            <a:pPr>
              <a:defRPr sz="800" b="0" i="0" u="none" strike="noStrike" baseline="0">
                <a:solidFill>
                  <a:srgbClr val="000000"/>
                </a:solidFill>
                <a:latin typeface="Arial"/>
                <a:ea typeface="Arial"/>
                <a:cs typeface="Arial"/>
              </a:defRPr>
            </a:pPr>
            <a:endParaRPr lang="es-MX"/>
          </a:p>
        </c:txPr>
        <c:crossAx val="1"/>
        <c:crosses val="autoZero"/>
        <c:auto val="1"/>
        <c:lblAlgn val="ctr"/>
        <c:lblOffset val="100"/>
        <c:noMultiLvlLbl val="0"/>
      </c:catAx>
      <c:valAx>
        <c:axId val="1"/>
        <c:scaling>
          <c:orientation val="minMax"/>
          <c:max val="7"/>
        </c:scaling>
        <c:delete val="0"/>
        <c:axPos val="l"/>
        <c:majorGridlines/>
        <c:numFmt formatCode="0" sourceLinked="1"/>
        <c:majorTickMark val="out"/>
        <c:minorTickMark val="none"/>
        <c:tickLblPos val="nextTo"/>
        <c:txPr>
          <a:bodyPr rot="0" vert="horz"/>
          <a:lstStyle/>
          <a:p>
            <a:pPr>
              <a:defRPr sz="900" b="0" i="0" u="none" strike="noStrike" baseline="0">
                <a:solidFill>
                  <a:srgbClr val="000000"/>
                </a:solidFill>
                <a:latin typeface="Arial"/>
                <a:ea typeface="Arial"/>
                <a:cs typeface="Arial"/>
              </a:defRPr>
            </a:pPr>
            <a:endParaRPr lang="es-MX"/>
          </a:p>
        </c:txPr>
        <c:crossAx val="8512560"/>
        <c:crosses val="autoZero"/>
        <c:crossBetween val="between"/>
        <c:majorUnit val="1"/>
        <c:minorUnit val="0.1"/>
      </c:valAx>
      <c:spPr>
        <a:ln>
          <a:solidFill>
            <a:sysClr val="windowText" lastClr="000000">
              <a:lumMod val="85000"/>
              <a:lumOff val="15000"/>
            </a:sysClr>
          </a:solidFill>
        </a:ln>
      </c:spPr>
    </c:plotArea>
    <c:plotVisOnly val="1"/>
    <c:dispBlanksAs val="zero"/>
    <c:showDLblsOverMax val="0"/>
  </c:chart>
  <c:txPr>
    <a:bodyPr/>
    <a:lstStyle/>
    <a:p>
      <a:pPr>
        <a:defRPr sz="900" b="0" i="0" u="none" strike="noStrike" baseline="0">
          <a:solidFill>
            <a:srgbClr val="000000"/>
          </a:solidFill>
          <a:latin typeface="Arial"/>
          <a:ea typeface="Arial"/>
          <a:cs typeface="Arial"/>
        </a:defRPr>
      </a:pPr>
      <a:endParaRPr lang="es-MX"/>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004839930655302E-2"/>
          <c:y val="5.0694328472590061E-2"/>
          <c:w val="0.89726082831769893"/>
          <c:h val="0.74300452636659087"/>
        </c:manualLayout>
      </c:layout>
      <c:lineChart>
        <c:grouping val="standard"/>
        <c:varyColors val="0"/>
        <c:ser>
          <c:idx val="0"/>
          <c:order val="0"/>
          <c:tx>
            <c:v>Hombres</c:v>
          </c:tx>
          <c:spPr>
            <a:ln w="28575" cap="rnd">
              <a:solidFill>
                <a:srgbClr val="B7A1C6"/>
              </a:solidFill>
              <a:round/>
            </a:ln>
            <a:effectLst/>
          </c:spPr>
          <c:marker>
            <c:symbol val="none"/>
          </c:marker>
          <c:cat>
            <c:strRef>
              <c:f>'TASA x SEXO'!$A$9:$A$40</c:f>
              <c:strCach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2021p</c:v>
                </c:pt>
              </c:strCache>
            </c:strRef>
          </c:cat>
          <c:val>
            <c:numRef>
              <c:f>'TASA x SEXO'!$J$9:$J$40</c:f>
              <c:numCache>
                <c:formatCode>0</c:formatCode>
                <c:ptCount val="32"/>
                <c:pt idx="0">
                  <c:v>31.058204569192178</c:v>
                </c:pt>
                <c:pt idx="1">
                  <c:v>31.966682381515714</c:v>
                </c:pt>
                <c:pt idx="2">
                  <c:v>34.613268741057134</c:v>
                </c:pt>
                <c:pt idx="3">
                  <c:v>32.967282114417756</c:v>
                </c:pt>
                <c:pt idx="4">
                  <c:v>32.152768759587069</c:v>
                </c:pt>
                <c:pt idx="5">
                  <c:v>31.043470414151496</c:v>
                </c:pt>
                <c:pt idx="6">
                  <c:v>28.32562327838416</c:v>
                </c:pt>
                <c:pt idx="7">
                  <c:v>26.067758172797141</c:v>
                </c:pt>
                <c:pt idx="8">
                  <c:v>25.593831411143825</c:v>
                </c:pt>
                <c:pt idx="9">
                  <c:v>22.580800975861006</c:v>
                </c:pt>
                <c:pt idx="10">
                  <c:v>19.451844468309108</c:v>
                </c:pt>
                <c:pt idx="11">
                  <c:v>18.28361645131567</c:v>
                </c:pt>
                <c:pt idx="12">
                  <c:v>17.66653348653567</c:v>
                </c:pt>
                <c:pt idx="13">
                  <c:v>17.354607827792488</c:v>
                </c:pt>
                <c:pt idx="14">
                  <c:v>15.88601565493922</c:v>
                </c:pt>
                <c:pt idx="15">
                  <c:v>16.64443735364349</c:v>
                </c:pt>
                <c:pt idx="16">
                  <c:v>17.438941769231473</c:v>
                </c:pt>
                <c:pt idx="17">
                  <c:v>14.617259577378482</c:v>
                </c:pt>
                <c:pt idx="18">
                  <c:v>23.279965730646278</c:v>
                </c:pt>
                <c:pt idx="19">
                  <c:v>32.520597335444059</c:v>
                </c:pt>
                <c:pt idx="20">
                  <c:v>41.825638370878366</c:v>
                </c:pt>
                <c:pt idx="21">
                  <c:v>42.95337770934136</c:v>
                </c:pt>
                <c:pt idx="22">
                  <c:v>40.152370788226186</c:v>
                </c:pt>
                <c:pt idx="23">
                  <c:v>34.9698498851944</c:v>
                </c:pt>
                <c:pt idx="24">
                  <c:v>29.80678720452168</c:v>
                </c:pt>
                <c:pt idx="25">
                  <c:v>30.787845188286283</c:v>
                </c:pt>
                <c:pt idx="26">
                  <c:v>36.06741886420032</c:v>
                </c:pt>
                <c:pt idx="27">
                  <c:v>46.956951792157945</c:v>
                </c:pt>
                <c:pt idx="28">
                  <c:v>53.390266438694383</c:v>
                </c:pt>
                <c:pt idx="29">
                  <c:v>52.486677774329934</c:v>
                </c:pt>
                <c:pt idx="30">
                  <c:v>51.681679595770504</c:v>
                </c:pt>
                <c:pt idx="31">
                  <c:v>50.110727376987796</c:v>
                </c:pt>
              </c:numCache>
            </c:numRef>
          </c:val>
          <c:smooth val="0"/>
          <c:extLst>
            <c:ext xmlns:c16="http://schemas.microsoft.com/office/drawing/2014/chart" uri="{C3380CC4-5D6E-409C-BE32-E72D297353CC}">
              <c16:uniqueId val="{00000000-2F7C-4C00-96A9-6CD58B0B31ED}"/>
            </c:ext>
          </c:extLst>
        </c:ser>
        <c:ser>
          <c:idx val="1"/>
          <c:order val="1"/>
          <c:tx>
            <c:v>Mujeres</c:v>
          </c:tx>
          <c:spPr>
            <a:ln w="28575" cap="rnd">
              <a:solidFill>
                <a:srgbClr val="D34845"/>
              </a:solidFill>
              <a:round/>
            </a:ln>
            <a:effectLst/>
          </c:spPr>
          <c:marker>
            <c:symbol val="none"/>
          </c:marker>
          <c:cat>
            <c:strRef>
              <c:f>'TASA x SEXO'!$A$9:$A$40</c:f>
              <c:strCach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2021p</c:v>
                </c:pt>
              </c:strCache>
            </c:strRef>
          </c:cat>
          <c:val>
            <c:numRef>
              <c:f>'TASA x SEXO'!$K$9:$K$40</c:f>
              <c:numCache>
                <c:formatCode>0</c:formatCode>
                <c:ptCount val="32"/>
                <c:pt idx="0">
                  <c:v>3.5714604804613601</c:v>
                </c:pt>
                <c:pt idx="1">
                  <c:v>3.5385186672084088</c:v>
                </c:pt>
                <c:pt idx="2">
                  <c:v>3.6749268818614489</c:v>
                </c:pt>
                <c:pt idx="3">
                  <c:v>3.453803466039671</c:v>
                </c:pt>
                <c:pt idx="4">
                  <c:v>3.2259617004909624</c:v>
                </c:pt>
                <c:pt idx="5">
                  <c:v>3.277453432867051</c:v>
                </c:pt>
                <c:pt idx="6">
                  <c:v>3.0870703976802147</c:v>
                </c:pt>
                <c:pt idx="7">
                  <c:v>2.8512049181578276</c:v>
                </c:pt>
                <c:pt idx="8">
                  <c:v>3.137490275009732</c:v>
                </c:pt>
                <c:pt idx="9">
                  <c:v>2.8485040770955803</c:v>
                </c:pt>
                <c:pt idx="10">
                  <c:v>2.5554837008204476</c:v>
                </c:pt>
                <c:pt idx="11">
                  <c:v>2.5158233415538485</c:v>
                </c:pt>
                <c:pt idx="12">
                  <c:v>2.4758569134203667</c:v>
                </c:pt>
                <c:pt idx="13">
                  <c:v>2.509126136001615</c:v>
                </c:pt>
                <c:pt idx="14">
                  <c:v>2.2673528636516265</c:v>
                </c:pt>
                <c:pt idx="15">
                  <c:v>2.4045068281412578</c:v>
                </c:pt>
                <c:pt idx="16">
                  <c:v>2.3717834080813605</c:v>
                </c:pt>
                <c:pt idx="17">
                  <c:v>1.9496841430676424</c:v>
                </c:pt>
                <c:pt idx="18">
                  <c:v>2.5268938195847821</c:v>
                </c:pt>
                <c:pt idx="19">
                  <c:v>3.3627980240443378</c:v>
                </c:pt>
                <c:pt idx="20">
                  <c:v>4.1634327458221208</c:v>
                </c:pt>
                <c:pt idx="21">
                  <c:v>4.5725758802242531</c:v>
                </c:pt>
                <c:pt idx="22">
                  <c:v>4.6306892159340141</c:v>
                </c:pt>
                <c:pt idx="23">
                  <c:v>4.3796744403407049</c:v>
                </c:pt>
                <c:pt idx="24">
                  <c:v>3.9336837121611237</c:v>
                </c:pt>
                <c:pt idx="25">
                  <c:v>3.8477998956750521</c:v>
                </c:pt>
                <c:pt idx="26">
                  <c:v>4.4918220335958594</c:v>
                </c:pt>
                <c:pt idx="27">
                  <c:v>5.4185565594067873</c:v>
                </c:pt>
                <c:pt idx="28">
                  <c:v>5.8662642167592134</c:v>
                </c:pt>
                <c:pt idx="29">
                  <c:v>6.0263102855680053</c:v>
                </c:pt>
                <c:pt idx="30">
                  <c:v>6.0667238434052395</c:v>
                </c:pt>
                <c:pt idx="31">
                  <c:v>6.1056538186076184</c:v>
                </c:pt>
              </c:numCache>
            </c:numRef>
          </c:val>
          <c:smooth val="0"/>
          <c:extLst>
            <c:ext xmlns:c16="http://schemas.microsoft.com/office/drawing/2014/chart" uri="{C3380CC4-5D6E-409C-BE32-E72D297353CC}">
              <c16:uniqueId val="{00000001-2F7C-4C00-96A9-6CD58B0B31ED}"/>
            </c:ext>
          </c:extLst>
        </c:ser>
        <c:dLbls>
          <c:showLegendKey val="0"/>
          <c:showVal val="0"/>
          <c:showCatName val="0"/>
          <c:showSerName val="0"/>
          <c:showPercent val="0"/>
          <c:showBubbleSize val="0"/>
        </c:dLbls>
        <c:smooth val="0"/>
        <c:axId val="961237536"/>
        <c:axId val="961251264"/>
      </c:lineChart>
      <c:catAx>
        <c:axId val="961237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61251264"/>
        <c:crosses val="autoZero"/>
        <c:auto val="0"/>
        <c:lblAlgn val="ctr"/>
        <c:lblOffset val="100"/>
        <c:noMultiLvlLbl val="0"/>
      </c:catAx>
      <c:valAx>
        <c:axId val="961251264"/>
        <c:scaling>
          <c:orientation val="minMax"/>
        </c:scaling>
        <c:delete val="0"/>
        <c:axPos val="l"/>
        <c:majorGridlines>
          <c:spPr>
            <a:ln w="9525" cap="flat" cmpd="sng" algn="ctr">
              <a:solidFill>
                <a:schemeClr val="bg1">
                  <a:lumMod val="6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61237536"/>
        <c:crosses val="autoZero"/>
        <c:crossBetween val="between"/>
      </c:valAx>
      <c:spPr>
        <a:noFill/>
        <a:ln>
          <a:solidFill>
            <a:schemeClr val="bg1">
              <a:lumMod val="65000"/>
            </a:scheme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0.00293</cdr:x>
      <cdr:y>0.37448</cdr:y>
    </cdr:from>
    <cdr:to>
      <cdr:x>0.03623</cdr:x>
      <cdr:y>0.61772</cdr:y>
    </cdr:to>
    <cdr:sp macro="" textlink="">
      <cdr:nvSpPr>
        <cdr:cNvPr id="2" name="CuadroTexto 1"/>
        <cdr:cNvSpPr txBox="1"/>
      </cdr:nvSpPr>
      <cdr:spPr>
        <a:xfrm xmlns:a="http://schemas.openxmlformats.org/drawingml/2006/main" rot="16200000">
          <a:off x="-283493" y="1578335"/>
          <a:ext cx="826247" cy="2204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50">
              <a:latin typeface="Arial" panose="020B0604020202020204" pitchFamily="34" charset="0"/>
              <a:cs typeface="Arial" panose="020B0604020202020204" pitchFamily="34" charset="0"/>
            </a:rPr>
            <a:t>Tasa</a:t>
          </a:r>
        </a:p>
      </cdr:txBody>
    </cdr:sp>
  </cdr:relSizeAnchor>
</c:userShapes>
</file>

<file path=word/drawings/drawing2.xml><?xml version="1.0" encoding="utf-8"?>
<c:userShapes xmlns:c="http://schemas.openxmlformats.org/drawingml/2006/chart">
  <cdr:relSizeAnchor xmlns:cdr="http://schemas.openxmlformats.org/drawingml/2006/chartDrawing">
    <cdr:from>
      <cdr:x>0.00297</cdr:x>
      <cdr:y>0.33928</cdr:y>
    </cdr:from>
    <cdr:to>
      <cdr:x>0.03676</cdr:x>
      <cdr:y>0.58088</cdr:y>
    </cdr:to>
    <cdr:sp macro="" textlink="">
      <cdr:nvSpPr>
        <cdr:cNvPr id="2" name="CuadroTexto 1"/>
        <cdr:cNvSpPr txBox="1"/>
      </cdr:nvSpPr>
      <cdr:spPr>
        <a:xfrm xmlns:a="http://schemas.openxmlformats.org/drawingml/2006/main" rot="16200000">
          <a:off x="-283493" y="1463197"/>
          <a:ext cx="826247" cy="2204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50">
              <a:latin typeface="Arial" panose="020B0604020202020204" pitchFamily="34" charset="0"/>
              <a:cs typeface="Arial" panose="020B0604020202020204" pitchFamily="34" charset="0"/>
            </a:rPr>
            <a:t>Tasa</a:t>
          </a:r>
        </a:p>
      </cdr:txBody>
    </cdr:sp>
  </cdr:relSizeAnchor>
</c:userShapes>
</file>

<file path=word/drawings/drawing3.xml><?xml version="1.0" encoding="utf-8"?>
<c:userShapes xmlns:c="http://schemas.openxmlformats.org/drawingml/2006/chart">
  <cdr:relSizeAnchor xmlns:cdr="http://schemas.openxmlformats.org/drawingml/2006/chartDrawing">
    <cdr:from>
      <cdr:x>0.01237</cdr:x>
      <cdr:y>0.31843</cdr:y>
    </cdr:from>
    <cdr:to>
      <cdr:x>0.04163</cdr:x>
      <cdr:y>0.53006</cdr:y>
    </cdr:to>
    <cdr:sp macro="" textlink="">
      <cdr:nvSpPr>
        <cdr:cNvPr id="2" name="CuadroTexto 1">
          <a:extLst xmlns:a="http://schemas.openxmlformats.org/drawingml/2006/main">
            <a:ext uri="{FF2B5EF4-FFF2-40B4-BE49-F238E27FC236}">
              <a16:creationId xmlns:a16="http://schemas.microsoft.com/office/drawing/2014/main" id="{60F3D2C1-18A3-650F-8D56-7782BE09E2D3}"/>
            </a:ext>
          </a:extLst>
        </cdr:cNvPr>
        <cdr:cNvSpPr txBox="1"/>
      </cdr:nvSpPr>
      <cdr:spPr>
        <a:xfrm xmlns:a="http://schemas.openxmlformats.org/drawingml/2006/main" rot="16200000">
          <a:off x="-198688" y="1482563"/>
          <a:ext cx="793020" cy="2143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50">
              <a:latin typeface="Arial" panose="020B0604020202020204" pitchFamily="34" charset="0"/>
              <a:cs typeface="Arial" panose="020B0604020202020204" pitchFamily="34" charset="0"/>
            </a:rPr>
            <a:t>Tasa</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360ADD2F1DFF4A9942B708C9B52C3A" ma:contentTypeVersion="12" ma:contentTypeDescription="Create a new document." ma:contentTypeScope="" ma:versionID="df36a9489d2a9a6a719aace5570be654">
  <xsd:schema xmlns:xsd="http://www.w3.org/2001/XMLSchema" xmlns:xs="http://www.w3.org/2001/XMLSchema" xmlns:p="http://schemas.microsoft.com/office/2006/metadata/properties" xmlns:ns3="abd82f08-da84-4abc-b6c0-90d2c08ae21d" xmlns:ns4="3863571c-1a6a-4417-8f19-59236f1e02e9" targetNamespace="http://schemas.microsoft.com/office/2006/metadata/properties" ma:root="true" ma:fieldsID="fe64d11ed34c1133c8bb373ec3dae916" ns3:_="" ns4:_="">
    <xsd:import namespace="abd82f08-da84-4abc-b6c0-90d2c08ae21d"/>
    <xsd:import namespace="3863571c-1a6a-4417-8f19-59236f1e02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82f08-da84-4abc-b6c0-90d2c08ae2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3571c-1a6a-4417-8f19-59236f1e02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3A28-92EC-40A3-8861-8B23411A2D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B089A-5AD6-4763-A558-F3D0602F7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82f08-da84-4abc-b6c0-90d2c08ae21d"/>
    <ds:schemaRef ds:uri="3863571c-1a6a-4417-8f19-59236f1e0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140D0-0F14-4D2D-8ECB-CF6568A97F94}">
  <ds:schemaRefs>
    <ds:schemaRef ds:uri="http://schemas.microsoft.com/sharepoint/v3/contenttype/forms"/>
  </ds:schemaRefs>
</ds:datastoreItem>
</file>

<file path=customXml/itemProps4.xml><?xml version="1.0" encoding="utf-8"?>
<ds:datastoreItem xmlns:ds="http://schemas.openxmlformats.org/officeDocument/2006/customXml" ds:itemID="{857FEAB1-FDE6-4382-86FE-949D2007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3156</Words>
  <Characters>17358</Characters>
  <Application>Microsoft Office Word</Application>
  <DocSecurity>0</DocSecurity>
  <Lines>144</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Comunicado. Datos preliminares revelan que en 2021 se registraron 35 625 homicidios</vt:lpstr>
      <vt:lpstr>DATOS PRELIMINARES REVELAN QUE DE ENERO A JUNIO DE 2019 SE REGISTRARON 17 198 HOMICIDIOS</vt:lpstr>
    </vt:vector>
  </TitlesOfParts>
  <Company>INEGI</Company>
  <LinksUpToDate>false</LinksUpToDate>
  <CharactersWithSpaces>20474</CharactersWithSpaces>
  <SharedDoc>false</SharedDoc>
  <HLinks>
    <vt:vector size="42" baseType="variant">
      <vt:variant>
        <vt:i4>262227</vt:i4>
      </vt:variant>
      <vt:variant>
        <vt:i4>18</vt:i4>
      </vt:variant>
      <vt:variant>
        <vt:i4>0</vt:i4>
      </vt:variant>
      <vt:variant>
        <vt:i4>5</vt:i4>
      </vt:variant>
      <vt:variant>
        <vt:lpwstr>http://www.inegi.org.mx/</vt:lpwstr>
      </vt:variant>
      <vt:variant>
        <vt:lpwstr/>
      </vt:variant>
      <vt:variant>
        <vt:i4>5701657</vt:i4>
      </vt:variant>
      <vt:variant>
        <vt:i4>15</vt:i4>
      </vt:variant>
      <vt:variant>
        <vt:i4>0</vt:i4>
      </vt:variant>
      <vt:variant>
        <vt:i4>5</vt:i4>
      </vt:variant>
      <vt:variant>
        <vt:lpwstr>https://www.youtube.com/user/INEGIInforma</vt:lpwstr>
      </vt:variant>
      <vt:variant>
        <vt:lpwstr/>
      </vt:variant>
      <vt:variant>
        <vt:i4>2293837</vt:i4>
      </vt:variant>
      <vt:variant>
        <vt:i4>12</vt:i4>
      </vt:variant>
      <vt:variant>
        <vt:i4>0</vt:i4>
      </vt:variant>
      <vt:variant>
        <vt:i4>5</vt:i4>
      </vt:variant>
      <vt:variant>
        <vt:lpwstr>https://twitter.com/INEGI_INFORMA</vt:lpwstr>
      </vt:variant>
      <vt:variant>
        <vt:lpwstr/>
      </vt:variant>
      <vt:variant>
        <vt:i4>3080275</vt:i4>
      </vt:variant>
      <vt:variant>
        <vt:i4>9</vt:i4>
      </vt:variant>
      <vt:variant>
        <vt:i4>0</vt:i4>
      </vt:variant>
      <vt:variant>
        <vt:i4>5</vt:i4>
      </vt:variant>
      <vt:variant>
        <vt:lpwstr>https://www.instagram.com/inegi_informa/</vt:lpwstr>
      </vt:variant>
      <vt:variant>
        <vt:lpwstr/>
      </vt:variant>
      <vt:variant>
        <vt:i4>6291507</vt:i4>
      </vt:variant>
      <vt:variant>
        <vt:i4>6</vt:i4>
      </vt:variant>
      <vt:variant>
        <vt:i4>0</vt:i4>
      </vt:variant>
      <vt:variant>
        <vt:i4>5</vt:i4>
      </vt:variant>
      <vt:variant>
        <vt:lpwstr>https://www.facebook.com/INEGIInforma/</vt:lpwstr>
      </vt:variant>
      <vt:variant>
        <vt:lpwstr/>
      </vt:variant>
      <vt:variant>
        <vt:i4>6225973</vt:i4>
      </vt:variant>
      <vt:variant>
        <vt:i4>3</vt:i4>
      </vt:variant>
      <vt:variant>
        <vt:i4>0</vt:i4>
      </vt:variant>
      <vt:variant>
        <vt:i4>5</vt:i4>
      </vt:variant>
      <vt:variant>
        <vt:lpwstr>mailto:comunicacionsocial@inegi.org.mx</vt:lpwstr>
      </vt:variant>
      <vt:variant>
        <vt:lpwstr/>
      </vt:variant>
      <vt:variant>
        <vt:i4>4784175</vt:i4>
      </vt:variant>
      <vt:variant>
        <vt:i4>0</vt:i4>
      </vt:variant>
      <vt:variant>
        <vt:i4>0</vt:i4>
      </vt:variant>
      <vt:variant>
        <vt:i4>5</vt:i4>
      </vt:variant>
      <vt:variant>
        <vt:lpwstr>https://www.inegi.org.mx/sistemas/olap/proyectos/bd/continuas/mortalidad/defuncioneshom.asp?s=est&amp;c=28820&amp;proy=mortgral_dh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Datos preliminares revelan que en 2021 se registraron 35 625 homicidios</dc:title>
  <dc:subject/>
  <dc:creator>INEGI</dc:creator>
  <cp:keywords/>
  <cp:lastModifiedBy>GUILLEN MEDINA MOISES</cp:lastModifiedBy>
  <cp:revision>8</cp:revision>
  <cp:lastPrinted>2022-01-25T14:47:00Z</cp:lastPrinted>
  <dcterms:created xsi:type="dcterms:W3CDTF">2022-07-25T23:39:00Z</dcterms:created>
  <dcterms:modified xsi:type="dcterms:W3CDTF">2022-07-26T00:33:00Z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0x0101002C360ADD2F1DFF4A9942B708C9B52C3A</vt:lpwstr>
  </property>
</Properties>
</file>