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B813C" w14:textId="4A06FD11" w:rsidR="001330D5" w:rsidRPr="00AB71F5" w:rsidRDefault="00454CCA" w:rsidP="00242E34">
      <w:pPr>
        <w:pStyle w:val="Ttulo10"/>
        <w:ind w:right="51"/>
        <w:rPr>
          <w:szCs w:val="22"/>
        </w:rPr>
      </w:pPr>
      <w:r w:rsidRPr="00AB71F5">
        <w:rPr>
          <w:szCs w:val="22"/>
        </w:rPr>
        <w:t>ENCUESTA ANUAL DE COMERCIO</w:t>
      </w:r>
    </w:p>
    <w:p w14:paraId="40E9C57F" w14:textId="5D9170E2" w:rsidR="009813FF" w:rsidRDefault="00454CCA" w:rsidP="00242E34">
      <w:pPr>
        <w:pStyle w:val="Profesin"/>
        <w:ind w:right="51"/>
        <w:rPr>
          <w:caps w:val="0"/>
          <w:sz w:val="24"/>
          <w:szCs w:val="22"/>
        </w:rPr>
      </w:pPr>
      <w:r w:rsidRPr="00454CCA">
        <w:rPr>
          <w:caps w:val="0"/>
          <w:sz w:val="24"/>
          <w:szCs w:val="22"/>
        </w:rPr>
        <w:t xml:space="preserve">CIFRAS </w:t>
      </w:r>
      <w:r>
        <w:rPr>
          <w:caps w:val="0"/>
          <w:sz w:val="24"/>
          <w:szCs w:val="22"/>
        </w:rPr>
        <w:t xml:space="preserve">DE </w:t>
      </w:r>
      <w:r w:rsidRPr="00454CCA">
        <w:rPr>
          <w:caps w:val="0"/>
          <w:sz w:val="24"/>
          <w:szCs w:val="22"/>
        </w:rPr>
        <w:t>2021</w:t>
      </w:r>
    </w:p>
    <w:p w14:paraId="2FA487A3" w14:textId="77777777" w:rsidR="00C27792" w:rsidRPr="00AB71F5" w:rsidRDefault="00C27792" w:rsidP="00242E34">
      <w:pPr>
        <w:pStyle w:val="Profesin"/>
        <w:ind w:right="51"/>
        <w:rPr>
          <w:bCs w:val="0"/>
          <w:sz w:val="24"/>
          <w:szCs w:val="22"/>
        </w:rPr>
      </w:pPr>
    </w:p>
    <w:p w14:paraId="12ED72C9" w14:textId="30E3E1E5" w:rsidR="00C27792" w:rsidRDefault="001D1314" w:rsidP="00AB71F5">
      <w:pPr>
        <w:pStyle w:val="Default"/>
        <w:numPr>
          <w:ilvl w:val="0"/>
          <w:numId w:val="39"/>
        </w:numPr>
        <w:tabs>
          <w:tab w:val="left" w:pos="3261"/>
          <w:tab w:val="left" w:pos="4253"/>
        </w:tabs>
        <w:ind w:left="426" w:right="476" w:hanging="284"/>
        <w:jc w:val="both"/>
        <w:rPr>
          <w:color w:val="auto"/>
          <w:lang w:eastAsia="es-ES"/>
        </w:rPr>
      </w:pPr>
      <w:r w:rsidRPr="00C27792">
        <w:rPr>
          <w:color w:val="auto"/>
          <w:lang w:eastAsia="es-ES"/>
        </w:rPr>
        <w:t>En el</w:t>
      </w:r>
      <w:r w:rsidR="00AB71F5">
        <w:rPr>
          <w:color w:val="auto"/>
          <w:lang w:eastAsia="es-ES"/>
        </w:rPr>
        <w:t xml:space="preserve"> sector</w:t>
      </w:r>
      <w:r w:rsidRPr="00C27792">
        <w:rPr>
          <w:color w:val="auto"/>
          <w:lang w:eastAsia="es-ES"/>
        </w:rPr>
        <w:t xml:space="preserve"> Comercio al por mayor, la participación de los hombres ocupados que dependen de la razón social fue de 47.8 </w:t>
      </w:r>
      <w:r w:rsidR="00C27792" w:rsidRPr="00C27792">
        <w:rPr>
          <w:color w:val="auto"/>
          <w:lang w:eastAsia="es-ES"/>
        </w:rPr>
        <w:t>%</w:t>
      </w:r>
      <w:r w:rsidRPr="00C27792">
        <w:rPr>
          <w:color w:val="auto"/>
          <w:lang w:eastAsia="es-ES"/>
        </w:rPr>
        <w:t xml:space="preserve"> y la de mujeres, de 20.6 </w:t>
      </w:r>
      <w:r w:rsidR="00C27792">
        <w:rPr>
          <w:color w:val="auto"/>
          <w:lang w:eastAsia="es-ES"/>
        </w:rPr>
        <w:t xml:space="preserve">por ciento. </w:t>
      </w:r>
      <w:r w:rsidRPr="00C27792">
        <w:rPr>
          <w:color w:val="auto"/>
          <w:lang w:eastAsia="es-ES"/>
        </w:rPr>
        <w:t>En Comercio al por menor, la</w:t>
      </w:r>
      <w:r w:rsidR="00C27792">
        <w:rPr>
          <w:color w:val="auto"/>
          <w:lang w:eastAsia="es-ES"/>
        </w:rPr>
        <w:t xml:space="preserve">s mujeres participaron con </w:t>
      </w:r>
      <w:r w:rsidRPr="00C27792">
        <w:rPr>
          <w:color w:val="auto"/>
          <w:lang w:eastAsia="es-ES"/>
        </w:rPr>
        <w:t>45.8 %</w:t>
      </w:r>
      <w:r w:rsidR="00C27792">
        <w:rPr>
          <w:color w:val="auto"/>
          <w:lang w:eastAsia="es-ES"/>
        </w:rPr>
        <w:t xml:space="preserve"> y</w:t>
      </w:r>
      <w:r w:rsidRPr="00C27792">
        <w:rPr>
          <w:color w:val="auto"/>
          <w:lang w:eastAsia="es-ES"/>
        </w:rPr>
        <w:t xml:space="preserve"> los hombres</w:t>
      </w:r>
      <w:r w:rsidR="00AB71F5">
        <w:rPr>
          <w:color w:val="auto"/>
          <w:lang w:eastAsia="es-ES"/>
        </w:rPr>
        <w:t>,</w:t>
      </w:r>
      <w:r w:rsidRPr="00C27792">
        <w:rPr>
          <w:color w:val="auto"/>
          <w:lang w:eastAsia="es-ES"/>
        </w:rPr>
        <w:t xml:space="preserve"> </w:t>
      </w:r>
      <w:r w:rsidR="00C27792">
        <w:rPr>
          <w:color w:val="auto"/>
          <w:lang w:eastAsia="es-ES"/>
        </w:rPr>
        <w:t xml:space="preserve">con </w:t>
      </w:r>
      <w:r w:rsidRPr="00C27792">
        <w:rPr>
          <w:color w:val="auto"/>
          <w:lang w:eastAsia="es-ES"/>
        </w:rPr>
        <w:t xml:space="preserve">43.7 por ciento. </w:t>
      </w:r>
    </w:p>
    <w:p w14:paraId="0114BD19" w14:textId="242CBE09" w:rsidR="00C27792" w:rsidRPr="003E5105" w:rsidRDefault="00C27792" w:rsidP="00AB71F5">
      <w:pPr>
        <w:pStyle w:val="Default"/>
        <w:numPr>
          <w:ilvl w:val="0"/>
          <w:numId w:val="39"/>
        </w:numPr>
        <w:tabs>
          <w:tab w:val="left" w:pos="3261"/>
          <w:tab w:val="left" w:pos="4253"/>
        </w:tabs>
        <w:ind w:left="426" w:right="476" w:hanging="284"/>
        <w:jc w:val="both"/>
        <w:rPr>
          <w:color w:val="auto"/>
          <w:lang w:eastAsia="es-ES"/>
        </w:rPr>
      </w:pPr>
      <w:r w:rsidRPr="004F6F67">
        <w:t xml:space="preserve">La </w:t>
      </w:r>
      <w:r w:rsidRPr="003E5105">
        <w:rPr>
          <w:i/>
          <w:iCs/>
        </w:rPr>
        <w:t>venta directa en el establecimiento</w:t>
      </w:r>
      <w:r w:rsidRPr="004F6F67">
        <w:t xml:space="preserve"> </w:t>
      </w:r>
      <w:r>
        <w:t>fue</w:t>
      </w:r>
      <w:r w:rsidRPr="004F6F67">
        <w:t xml:space="preserve"> la</w:t>
      </w:r>
      <w:r>
        <w:t xml:space="preserve"> </w:t>
      </w:r>
      <w:r w:rsidRPr="004F6F67">
        <w:t xml:space="preserve">forma </w:t>
      </w:r>
      <w:r>
        <w:t xml:space="preserve">más empleada por </w:t>
      </w:r>
      <w:r w:rsidRPr="004F6F67">
        <w:t>las empresas comerciales</w:t>
      </w:r>
      <w:r w:rsidR="00AB71F5">
        <w:t>. En</w:t>
      </w:r>
      <w:r>
        <w:t xml:space="preserve"> </w:t>
      </w:r>
      <w:r w:rsidR="00AB71F5">
        <w:t>C</w:t>
      </w:r>
      <w:r w:rsidR="00AB71F5" w:rsidRPr="004F6F67">
        <w:t>omercio al por menor</w:t>
      </w:r>
      <w:r w:rsidR="00392648">
        <w:t>,</w:t>
      </w:r>
      <w:r w:rsidR="00AB71F5">
        <w:t xml:space="preserve"> el porcentaje fue </w:t>
      </w:r>
      <w:r>
        <w:t xml:space="preserve">82.3 % </w:t>
      </w:r>
      <w:r w:rsidR="00AB71F5">
        <w:t>y en Come</w:t>
      </w:r>
      <w:r w:rsidR="00AB71F5" w:rsidRPr="004F6F67">
        <w:t>rcio al por mayor</w:t>
      </w:r>
      <w:r w:rsidR="00AB71F5">
        <w:t xml:space="preserve">, </w:t>
      </w:r>
      <w:r>
        <w:t xml:space="preserve">55.0 </w:t>
      </w:r>
      <w:r w:rsidR="00AB71F5">
        <w:t>por ciento</w:t>
      </w:r>
      <w:r>
        <w:t>.</w:t>
      </w:r>
    </w:p>
    <w:p w14:paraId="4E11480F" w14:textId="63E0C183" w:rsidR="00AB71F5" w:rsidRPr="003E5105" w:rsidRDefault="00AB71F5" w:rsidP="00AB71F5">
      <w:pPr>
        <w:pStyle w:val="Default"/>
        <w:numPr>
          <w:ilvl w:val="0"/>
          <w:numId w:val="39"/>
        </w:numPr>
        <w:tabs>
          <w:tab w:val="left" w:pos="3261"/>
          <w:tab w:val="left" w:pos="4253"/>
        </w:tabs>
        <w:ind w:left="426" w:right="476" w:hanging="284"/>
        <w:jc w:val="both"/>
        <w:rPr>
          <w:color w:val="auto"/>
          <w:lang w:eastAsia="es-ES"/>
        </w:rPr>
      </w:pPr>
      <w:r>
        <w:t>Del personal del sector Comercio al por mayor que recibió</w:t>
      </w:r>
      <w:r w:rsidR="004059BD">
        <w:t xml:space="preserve"> </w:t>
      </w:r>
      <w:r>
        <w:t>capacitación,</w:t>
      </w:r>
      <w:r w:rsidR="004059BD">
        <w:t xml:space="preserve">         </w:t>
      </w:r>
      <w:r>
        <w:t xml:space="preserve">43.8 % correspondió a hombres y 35.9 %, a mujeres. En Comercio al por menor, los porcentajes fueron 50.3 y 20.9 %, respectivamente. </w:t>
      </w:r>
    </w:p>
    <w:p w14:paraId="30277CE2" w14:textId="77777777" w:rsidR="00AB71F5" w:rsidRPr="00AB71F5" w:rsidRDefault="00AB71F5" w:rsidP="002C75B9">
      <w:pPr>
        <w:pStyle w:val="Default"/>
        <w:tabs>
          <w:tab w:val="left" w:pos="3261"/>
          <w:tab w:val="left" w:pos="4253"/>
        </w:tabs>
        <w:ind w:left="426" w:right="476"/>
        <w:jc w:val="both"/>
      </w:pPr>
    </w:p>
    <w:p w14:paraId="156C984F" w14:textId="77777777" w:rsidR="00C27792" w:rsidRPr="00AB71F5" w:rsidRDefault="00C27792" w:rsidP="002C75B9">
      <w:pPr>
        <w:pStyle w:val="Default"/>
        <w:tabs>
          <w:tab w:val="left" w:pos="3261"/>
          <w:tab w:val="left" w:pos="4253"/>
        </w:tabs>
        <w:ind w:right="476"/>
        <w:jc w:val="both"/>
        <w:rPr>
          <w:b/>
          <w:spacing w:val="25"/>
          <w:szCs w:val="22"/>
        </w:rPr>
      </w:pPr>
    </w:p>
    <w:p w14:paraId="49782A51" w14:textId="6AD1CACD" w:rsidR="0080353B" w:rsidRDefault="009813FF" w:rsidP="0080353B">
      <w:pPr>
        <w:ind w:left="-426" w:right="-233"/>
        <w:rPr>
          <w:noProof/>
          <w:lang w:eastAsia="es-MX"/>
        </w:rPr>
      </w:pPr>
      <w:r w:rsidRPr="00AB71F5">
        <w:rPr>
          <w:lang w:val="es-MX"/>
        </w:rPr>
        <w:t>El Instituto Nacional de Estadística y Geografía (INEGI)</w:t>
      </w:r>
      <w:r w:rsidR="00185115" w:rsidRPr="00AB71F5">
        <w:rPr>
          <w:lang w:val="es-MX"/>
        </w:rPr>
        <w:t xml:space="preserve"> da a conocer </w:t>
      </w:r>
      <w:r w:rsidR="007C2097" w:rsidRPr="00AB71F5">
        <w:rPr>
          <w:lang w:val="es-MX"/>
        </w:rPr>
        <w:t xml:space="preserve">los resultados de la </w:t>
      </w:r>
      <w:r w:rsidR="00185115" w:rsidRPr="00AB71F5">
        <w:rPr>
          <w:lang w:val="es-MX"/>
        </w:rPr>
        <w:t>Encuesta Anual de</w:t>
      </w:r>
      <w:r w:rsidR="002961D6" w:rsidRPr="00AB71F5">
        <w:rPr>
          <w:lang w:val="es-MX"/>
        </w:rPr>
        <w:t xml:space="preserve">l Comercio </w:t>
      </w:r>
      <w:r w:rsidR="00185115" w:rsidRPr="00AB71F5">
        <w:rPr>
          <w:lang w:val="es-MX"/>
        </w:rPr>
        <w:t>(EA</w:t>
      </w:r>
      <w:r w:rsidR="002961D6" w:rsidRPr="00AB71F5">
        <w:rPr>
          <w:lang w:val="es-MX"/>
        </w:rPr>
        <w:t>C)</w:t>
      </w:r>
      <w:r w:rsidR="0080353B">
        <w:rPr>
          <w:lang w:val="es-MX"/>
        </w:rPr>
        <w:t>,</w:t>
      </w:r>
      <w:r w:rsidR="00E95E51" w:rsidRPr="00AB71F5">
        <w:rPr>
          <w:lang w:val="es-MX"/>
        </w:rPr>
        <w:t xml:space="preserve"> </w:t>
      </w:r>
      <w:r w:rsidR="00185115" w:rsidRPr="00AB71F5">
        <w:rPr>
          <w:lang w:val="es-MX"/>
        </w:rPr>
        <w:t xml:space="preserve">con información </w:t>
      </w:r>
      <w:r w:rsidR="00454CCA" w:rsidRPr="00AB71F5">
        <w:rPr>
          <w:lang w:val="es-MX"/>
        </w:rPr>
        <w:t xml:space="preserve">preliminar </w:t>
      </w:r>
      <w:r w:rsidR="00185115" w:rsidRPr="00AB71F5">
        <w:rPr>
          <w:lang w:val="es-MX"/>
        </w:rPr>
        <w:t>referida</w:t>
      </w:r>
      <w:r w:rsidR="0080353B">
        <w:rPr>
          <w:lang w:val="es-MX"/>
        </w:rPr>
        <w:t xml:space="preserve"> a</w:t>
      </w:r>
      <w:r w:rsidR="00ED0D53" w:rsidRPr="00AB71F5">
        <w:rPr>
          <w:lang w:val="es-MX"/>
        </w:rPr>
        <w:t xml:space="preserve"> </w:t>
      </w:r>
      <w:r w:rsidR="00185115" w:rsidRPr="00AB71F5">
        <w:rPr>
          <w:lang w:val="es-MX"/>
        </w:rPr>
        <w:t>20</w:t>
      </w:r>
      <w:r w:rsidR="00A9338B" w:rsidRPr="00AB71F5">
        <w:rPr>
          <w:lang w:val="es-MX"/>
        </w:rPr>
        <w:t>2</w:t>
      </w:r>
      <w:r w:rsidR="0068182C" w:rsidRPr="00AB71F5">
        <w:rPr>
          <w:lang w:val="es-MX"/>
        </w:rPr>
        <w:t>1</w:t>
      </w:r>
      <w:r w:rsidR="0080353B">
        <w:rPr>
          <w:noProof/>
          <w:lang w:eastAsia="es-MX"/>
        </w:rPr>
        <w:t xml:space="preserve">. Su objetivo principal es </w:t>
      </w:r>
      <w:r w:rsidR="0080353B" w:rsidRPr="00AB71F5">
        <w:rPr>
          <w:noProof/>
          <w:lang w:eastAsia="es-MX"/>
        </w:rPr>
        <w:t xml:space="preserve">captar y generar información estadística básica e indicadores económicos </w:t>
      </w:r>
      <w:r w:rsidR="0080353B">
        <w:rPr>
          <w:noProof/>
          <w:lang w:eastAsia="es-MX"/>
        </w:rPr>
        <w:t>para</w:t>
      </w:r>
      <w:r w:rsidR="0080353B" w:rsidRPr="00AB71F5">
        <w:rPr>
          <w:noProof/>
          <w:lang w:eastAsia="es-MX"/>
        </w:rPr>
        <w:t xml:space="preserve"> conocer las tendencias, factores y dinámica sobre el comportamiento de la actividad comercial en México.</w:t>
      </w:r>
    </w:p>
    <w:p w14:paraId="0D90F860" w14:textId="77777777" w:rsidR="0080353B" w:rsidRPr="00AB71F5" w:rsidRDefault="0080353B" w:rsidP="00AB71F5">
      <w:pPr>
        <w:ind w:left="-426" w:right="-233"/>
        <w:rPr>
          <w:noProof/>
          <w:lang w:eastAsia="es-MX"/>
        </w:rPr>
      </w:pPr>
    </w:p>
    <w:p w14:paraId="64BFDF72" w14:textId="77777777" w:rsidR="00465CC5" w:rsidRPr="00AB71F5" w:rsidRDefault="00465CC5" w:rsidP="0080353B">
      <w:pPr>
        <w:pStyle w:val="Default"/>
        <w:tabs>
          <w:tab w:val="left" w:pos="3261"/>
          <w:tab w:val="left" w:pos="4253"/>
        </w:tabs>
        <w:ind w:left="-426" w:right="-233"/>
        <w:jc w:val="both"/>
        <w:rPr>
          <w:rFonts w:ascii="Arial Negrita" w:hAnsi="Arial Negrita"/>
          <w:b/>
          <w:bCs/>
          <w:smallCaps/>
          <w:color w:val="auto"/>
          <w:lang w:eastAsia="es-ES"/>
        </w:rPr>
      </w:pPr>
      <w:r w:rsidRPr="00AB71F5">
        <w:rPr>
          <w:rFonts w:ascii="Arial Negrita" w:hAnsi="Arial Negrita"/>
          <w:b/>
          <w:bCs/>
          <w:smallCaps/>
          <w:color w:val="auto"/>
          <w:lang w:eastAsia="es-ES"/>
        </w:rPr>
        <w:t>Principales resultados</w:t>
      </w:r>
    </w:p>
    <w:p w14:paraId="2FEC073C" w14:textId="77777777" w:rsidR="00BB68FA" w:rsidRPr="00AB71F5" w:rsidRDefault="00BB68FA" w:rsidP="0080353B">
      <w:pPr>
        <w:pStyle w:val="Default"/>
        <w:tabs>
          <w:tab w:val="left" w:pos="3261"/>
          <w:tab w:val="left" w:pos="4253"/>
        </w:tabs>
        <w:ind w:left="-426" w:right="-233"/>
        <w:jc w:val="both"/>
        <w:rPr>
          <w:b/>
          <w:bCs/>
          <w:color w:val="auto"/>
          <w:lang w:eastAsia="es-ES"/>
        </w:rPr>
      </w:pPr>
      <w:bookmarkStart w:id="0" w:name="_Hlk121231537"/>
    </w:p>
    <w:p w14:paraId="7F2DBD84" w14:textId="5CBD3035" w:rsidR="004059BD" w:rsidRDefault="00BB68FA" w:rsidP="004059BD">
      <w:pPr>
        <w:pStyle w:val="Default"/>
        <w:tabs>
          <w:tab w:val="left" w:pos="3261"/>
          <w:tab w:val="left" w:pos="4253"/>
        </w:tabs>
        <w:ind w:left="-426" w:right="-233"/>
        <w:jc w:val="both"/>
        <w:rPr>
          <w:color w:val="auto"/>
          <w:lang w:eastAsia="es-ES"/>
        </w:rPr>
      </w:pPr>
      <w:r w:rsidRPr="00AB71F5">
        <w:rPr>
          <w:color w:val="auto"/>
          <w:lang w:eastAsia="es-ES"/>
        </w:rPr>
        <w:t>E</w:t>
      </w:r>
      <w:r w:rsidR="00620E60" w:rsidRPr="00AB71F5">
        <w:rPr>
          <w:color w:val="auto"/>
          <w:lang w:eastAsia="es-ES"/>
        </w:rPr>
        <w:t>n el</w:t>
      </w:r>
      <w:r w:rsidR="00280023" w:rsidRPr="00AB71F5">
        <w:rPr>
          <w:color w:val="auto"/>
          <w:lang w:eastAsia="es-ES"/>
        </w:rPr>
        <w:t xml:space="preserve"> </w:t>
      </w:r>
      <w:r w:rsidR="004059BD">
        <w:rPr>
          <w:color w:val="auto"/>
          <w:lang w:eastAsia="es-ES"/>
        </w:rPr>
        <w:t xml:space="preserve">sector </w:t>
      </w:r>
      <w:r w:rsidR="00DB4520">
        <w:rPr>
          <w:color w:val="auto"/>
          <w:lang w:eastAsia="es-ES"/>
        </w:rPr>
        <w:t>C</w:t>
      </w:r>
      <w:r w:rsidR="00280023" w:rsidRPr="00AB71F5">
        <w:rPr>
          <w:color w:val="auto"/>
          <w:lang w:eastAsia="es-ES"/>
        </w:rPr>
        <w:t>omercio al por</w:t>
      </w:r>
      <w:r w:rsidR="0080353B">
        <w:rPr>
          <w:color w:val="auto"/>
          <w:lang w:eastAsia="es-ES"/>
        </w:rPr>
        <w:t xml:space="preserve"> mayor, </w:t>
      </w:r>
      <w:r w:rsidR="00E61A50">
        <w:rPr>
          <w:color w:val="auto"/>
          <w:lang w:eastAsia="es-ES"/>
        </w:rPr>
        <w:t xml:space="preserve">la </w:t>
      </w:r>
      <w:r w:rsidR="00E61A50" w:rsidRPr="004F6F67">
        <w:rPr>
          <w:color w:val="auto"/>
          <w:lang w:eastAsia="es-ES"/>
        </w:rPr>
        <w:t>participación de</w:t>
      </w:r>
      <w:r w:rsidR="00E61A50">
        <w:rPr>
          <w:color w:val="auto"/>
          <w:lang w:eastAsia="es-ES"/>
        </w:rPr>
        <w:t xml:space="preserve"> los hombres ocupados que</w:t>
      </w:r>
      <w:r w:rsidR="00E61A50" w:rsidRPr="004F6F67">
        <w:rPr>
          <w:color w:val="auto"/>
          <w:lang w:eastAsia="es-ES"/>
        </w:rPr>
        <w:t xml:space="preserve"> depende</w:t>
      </w:r>
      <w:r w:rsidR="00E61A50">
        <w:rPr>
          <w:color w:val="auto"/>
          <w:lang w:eastAsia="es-ES"/>
        </w:rPr>
        <w:t>n</w:t>
      </w:r>
      <w:r w:rsidR="00E61A50" w:rsidRPr="004F6F67">
        <w:rPr>
          <w:color w:val="auto"/>
          <w:lang w:eastAsia="es-ES"/>
        </w:rPr>
        <w:t xml:space="preserve"> de la razón social</w:t>
      </w:r>
      <w:r w:rsidR="00E61A50">
        <w:rPr>
          <w:color w:val="auto"/>
          <w:lang w:eastAsia="es-ES"/>
        </w:rPr>
        <w:t xml:space="preserve"> </w:t>
      </w:r>
      <w:r w:rsidR="0080353B">
        <w:rPr>
          <w:color w:val="auto"/>
          <w:lang w:eastAsia="es-ES"/>
        </w:rPr>
        <w:t>fue</w:t>
      </w:r>
      <w:r w:rsidR="00E61A50">
        <w:rPr>
          <w:color w:val="auto"/>
          <w:lang w:eastAsia="es-ES"/>
        </w:rPr>
        <w:t xml:space="preserve"> de</w:t>
      </w:r>
      <w:r w:rsidR="0080353B">
        <w:rPr>
          <w:color w:val="auto"/>
          <w:lang w:eastAsia="es-ES"/>
        </w:rPr>
        <w:t xml:space="preserve"> </w:t>
      </w:r>
      <w:r w:rsidR="00905BC3" w:rsidRPr="00AB71F5">
        <w:rPr>
          <w:color w:val="auto"/>
          <w:lang w:eastAsia="es-ES"/>
        </w:rPr>
        <w:t>47.8</w:t>
      </w:r>
      <w:r w:rsidR="0080353B">
        <w:rPr>
          <w:color w:val="auto"/>
          <w:lang w:eastAsia="es-ES"/>
        </w:rPr>
        <w:t xml:space="preserve"> </w:t>
      </w:r>
      <w:r w:rsidR="00C27792">
        <w:rPr>
          <w:color w:val="auto"/>
          <w:lang w:eastAsia="es-ES"/>
        </w:rPr>
        <w:t>%</w:t>
      </w:r>
      <w:r w:rsidR="00E61A50">
        <w:rPr>
          <w:color w:val="auto"/>
          <w:lang w:eastAsia="es-ES"/>
        </w:rPr>
        <w:t xml:space="preserve"> y la de </w:t>
      </w:r>
      <w:r w:rsidR="0080353B">
        <w:rPr>
          <w:color w:val="auto"/>
          <w:lang w:eastAsia="es-ES"/>
        </w:rPr>
        <w:t>mujeres</w:t>
      </w:r>
      <w:r w:rsidR="00E61A50">
        <w:rPr>
          <w:color w:val="auto"/>
          <w:lang w:eastAsia="es-ES"/>
        </w:rPr>
        <w:t>, de</w:t>
      </w:r>
      <w:r w:rsidR="0080353B">
        <w:rPr>
          <w:color w:val="auto"/>
          <w:lang w:eastAsia="es-ES"/>
        </w:rPr>
        <w:t xml:space="preserve"> 20.6 % </w:t>
      </w:r>
      <w:r w:rsidR="00620E60" w:rsidRPr="00AB71F5">
        <w:rPr>
          <w:color w:val="auto"/>
          <w:lang w:eastAsia="es-ES"/>
        </w:rPr>
        <w:t>del promedio de contratación</w:t>
      </w:r>
      <w:r w:rsidR="0080353B">
        <w:rPr>
          <w:color w:val="auto"/>
          <w:lang w:eastAsia="es-ES"/>
        </w:rPr>
        <w:t>. Del personal ocupado no dependiente</w:t>
      </w:r>
      <w:r w:rsidR="00E61A50">
        <w:rPr>
          <w:color w:val="auto"/>
          <w:lang w:eastAsia="es-ES"/>
        </w:rPr>
        <w:t>,</w:t>
      </w:r>
      <w:r w:rsidR="0080353B">
        <w:rPr>
          <w:color w:val="auto"/>
          <w:lang w:eastAsia="es-ES"/>
        </w:rPr>
        <w:t xml:space="preserve"> </w:t>
      </w:r>
      <w:r w:rsidR="00E61A50">
        <w:rPr>
          <w:color w:val="auto"/>
          <w:lang w:eastAsia="es-ES"/>
        </w:rPr>
        <w:t xml:space="preserve">el porcentaje de hombres fue </w:t>
      </w:r>
      <w:r w:rsidR="007163A2" w:rsidRPr="00AB71F5">
        <w:rPr>
          <w:color w:val="auto"/>
          <w:lang w:eastAsia="es-ES"/>
        </w:rPr>
        <w:t>20.8</w:t>
      </w:r>
      <w:r w:rsidR="00E61A50">
        <w:rPr>
          <w:color w:val="auto"/>
          <w:lang w:eastAsia="es-ES"/>
        </w:rPr>
        <w:t xml:space="preserve"> </w:t>
      </w:r>
      <w:r w:rsidR="00280023" w:rsidRPr="00AB71F5">
        <w:rPr>
          <w:color w:val="auto"/>
          <w:lang w:eastAsia="es-ES"/>
        </w:rPr>
        <w:t xml:space="preserve">% </w:t>
      </w:r>
      <w:r w:rsidR="00E61A50">
        <w:rPr>
          <w:color w:val="auto"/>
          <w:lang w:eastAsia="es-ES"/>
        </w:rPr>
        <w:t xml:space="preserve">y el de mujeres, 10.8 por ciento. </w:t>
      </w:r>
      <w:r w:rsidR="004059BD">
        <w:rPr>
          <w:color w:val="auto"/>
          <w:lang w:eastAsia="es-ES"/>
        </w:rPr>
        <w:t xml:space="preserve">Por su parte, en el sector Comercio al por menor, la </w:t>
      </w:r>
      <w:r w:rsidR="004059BD" w:rsidRPr="00AB71F5">
        <w:rPr>
          <w:color w:val="auto"/>
          <w:lang w:eastAsia="es-ES"/>
        </w:rPr>
        <w:t>distribución del personal que depende de la razón social</w:t>
      </w:r>
      <w:r w:rsidR="004059BD">
        <w:rPr>
          <w:color w:val="auto"/>
          <w:lang w:eastAsia="es-ES"/>
        </w:rPr>
        <w:t xml:space="preserve"> fue la siguiente: </w:t>
      </w:r>
      <w:r w:rsidR="004059BD" w:rsidRPr="00AB71F5">
        <w:rPr>
          <w:color w:val="auto"/>
          <w:lang w:eastAsia="es-ES"/>
        </w:rPr>
        <w:t>45.8</w:t>
      </w:r>
      <w:r w:rsidR="004059BD">
        <w:rPr>
          <w:color w:val="auto"/>
          <w:lang w:eastAsia="es-ES"/>
        </w:rPr>
        <w:t xml:space="preserve"> </w:t>
      </w:r>
      <w:r w:rsidR="004059BD" w:rsidRPr="00AB71F5">
        <w:rPr>
          <w:color w:val="auto"/>
          <w:lang w:eastAsia="es-ES"/>
        </w:rPr>
        <w:t>%</w:t>
      </w:r>
      <w:r w:rsidR="004059BD">
        <w:rPr>
          <w:color w:val="auto"/>
          <w:lang w:eastAsia="es-ES"/>
        </w:rPr>
        <w:t xml:space="preserve"> correspondió a mujeres y 43.7 %, a hombres. </w:t>
      </w:r>
    </w:p>
    <w:bookmarkEnd w:id="0"/>
    <w:p w14:paraId="3E0549D3" w14:textId="0E6E3F0C" w:rsidR="004059BD" w:rsidRDefault="004059BD" w:rsidP="004059BD">
      <w:pPr>
        <w:pStyle w:val="Default"/>
        <w:tabs>
          <w:tab w:val="left" w:pos="3261"/>
          <w:tab w:val="left" w:pos="4253"/>
        </w:tabs>
        <w:ind w:left="-426" w:right="-233"/>
        <w:jc w:val="both"/>
        <w:rPr>
          <w:color w:val="auto"/>
          <w:lang w:eastAsia="es-ES"/>
        </w:rPr>
      </w:pPr>
    </w:p>
    <w:p w14:paraId="36756CF4" w14:textId="5EA5051C" w:rsidR="004059BD" w:rsidRDefault="004059BD" w:rsidP="004059BD">
      <w:pPr>
        <w:pStyle w:val="Default"/>
        <w:tabs>
          <w:tab w:val="left" w:pos="3261"/>
          <w:tab w:val="left" w:pos="4253"/>
        </w:tabs>
        <w:ind w:left="-426" w:right="-233"/>
        <w:jc w:val="both"/>
        <w:rPr>
          <w:color w:val="auto"/>
          <w:lang w:eastAsia="es-ES"/>
        </w:rPr>
      </w:pPr>
    </w:p>
    <w:p w14:paraId="7BC1DFB4" w14:textId="70A2961A" w:rsidR="004059BD" w:rsidRDefault="004059BD" w:rsidP="004059BD">
      <w:pPr>
        <w:pStyle w:val="Default"/>
        <w:tabs>
          <w:tab w:val="left" w:pos="3261"/>
          <w:tab w:val="left" w:pos="4253"/>
        </w:tabs>
        <w:ind w:left="-426" w:right="-233"/>
        <w:jc w:val="both"/>
        <w:rPr>
          <w:color w:val="auto"/>
          <w:lang w:eastAsia="es-ES"/>
        </w:rPr>
      </w:pPr>
    </w:p>
    <w:p w14:paraId="28654A2C" w14:textId="140802A2" w:rsidR="004059BD" w:rsidRDefault="004059BD" w:rsidP="004059BD">
      <w:pPr>
        <w:pStyle w:val="Default"/>
        <w:tabs>
          <w:tab w:val="left" w:pos="3261"/>
          <w:tab w:val="left" w:pos="4253"/>
        </w:tabs>
        <w:ind w:left="-426" w:right="-233"/>
        <w:jc w:val="both"/>
        <w:rPr>
          <w:color w:val="auto"/>
          <w:lang w:eastAsia="es-ES"/>
        </w:rPr>
      </w:pPr>
    </w:p>
    <w:p w14:paraId="1259ADE3" w14:textId="65F8C617" w:rsidR="004059BD" w:rsidRDefault="004059BD" w:rsidP="004059BD">
      <w:pPr>
        <w:pStyle w:val="Default"/>
        <w:tabs>
          <w:tab w:val="left" w:pos="3261"/>
          <w:tab w:val="left" w:pos="4253"/>
        </w:tabs>
        <w:ind w:left="-426" w:right="-233"/>
        <w:jc w:val="both"/>
        <w:rPr>
          <w:color w:val="auto"/>
          <w:lang w:eastAsia="es-ES"/>
        </w:rPr>
      </w:pPr>
    </w:p>
    <w:p w14:paraId="13D44AE8" w14:textId="29AD1109" w:rsidR="004059BD" w:rsidRDefault="004059BD" w:rsidP="004059BD">
      <w:pPr>
        <w:pStyle w:val="Default"/>
        <w:tabs>
          <w:tab w:val="left" w:pos="3261"/>
          <w:tab w:val="left" w:pos="4253"/>
        </w:tabs>
        <w:ind w:left="-426" w:right="-233"/>
        <w:jc w:val="both"/>
        <w:rPr>
          <w:color w:val="auto"/>
          <w:lang w:eastAsia="es-ES"/>
        </w:rPr>
      </w:pPr>
    </w:p>
    <w:p w14:paraId="6F7358B0" w14:textId="31087BD3" w:rsidR="004059BD" w:rsidRDefault="004059BD" w:rsidP="004059BD">
      <w:pPr>
        <w:pStyle w:val="Default"/>
        <w:tabs>
          <w:tab w:val="left" w:pos="3261"/>
          <w:tab w:val="left" w:pos="4253"/>
        </w:tabs>
        <w:ind w:left="-426" w:right="-233"/>
        <w:jc w:val="both"/>
        <w:rPr>
          <w:color w:val="auto"/>
          <w:lang w:eastAsia="es-ES"/>
        </w:rPr>
      </w:pPr>
    </w:p>
    <w:p w14:paraId="2D832DA3" w14:textId="687B5088" w:rsidR="004059BD" w:rsidRDefault="004059BD" w:rsidP="004059BD">
      <w:pPr>
        <w:pStyle w:val="Default"/>
        <w:tabs>
          <w:tab w:val="left" w:pos="3261"/>
          <w:tab w:val="left" w:pos="4253"/>
        </w:tabs>
        <w:ind w:left="-426" w:right="-233"/>
        <w:jc w:val="both"/>
        <w:rPr>
          <w:color w:val="auto"/>
          <w:lang w:eastAsia="es-ES"/>
        </w:rPr>
      </w:pPr>
    </w:p>
    <w:p w14:paraId="5DCD62EC" w14:textId="73A57992" w:rsidR="004059BD" w:rsidRDefault="004059BD" w:rsidP="004059BD">
      <w:pPr>
        <w:pStyle w:val="Default"/>
        <w:tabs>
          <w:tab w:val="left" w:pos="3261"/>
          <w:tab w:val="left" w:pos="4253"/>
        </w:tabs>
        <w:ind w:left="-426" w:right="-233"/>
        <w:jc w:val="both"/>
        <w:rPr>
          <w:color w:val="auto"/>
          <w:lang w:eastAsia="es-ES"/>
        </w:rPr>
      </w:pPr>
    </w:p>
    <w:p w14:paraId="2E35CD2D" w14:textId="66000057" w:rsidR="004059BD" w:rsidRDefault="004059BD" w:rsidP="004059BD">
      <w:pPr>
        <w:pStyle w:val="Default"/>
        <w:tabs>
          <w:tab w:val="left" w:pos="3261"/>
          <w:tab w:val="left" w:pos="4253"/>
        </w:tabs>
        <w:ind w:left="-426" w:right="-233"/>
        <w:jc w:val="both"/>
        <w:rPr>
          <w:color w:val="auto"/>
          <w:lang w:eastAsia="es-ES"/>
        </w:rPr>
      </w:pPr>
    </w:p>
    <w:p w14:paraId="2919FC3F" w14:textId="1F610184" w:rsidR="004059BD" w:rsidRDefault="004059BD" w:rsidP="004059BD">
      <w:pPr>
        <w:pStyle w:val="Default"/>
        <w:tabs>
          <w:tab w:val="left" w:pos="3261"/>
          <w:tab w:val="left" w:pos="4253"/>
        </w:tabs>
        <w:ind w:left="-426" w:right="-233"/>
        <w:jc w:val="both"/>
        <w:rPr>
          <w:color w:val="auto"/>
          <w:lang w:eastAsia="es-ES"/>
        </w:rPr>
      </w:pPr>
    </w:p>
    <w:p w14:paraId="6783F86C" w14:textId="789955AD" w:rsidR="004059BD" w:rsidRDefault="004059BD" w:rsidP="004059BD">
      <w:pPr>
        <w:pStyle w:val="Default"/>
        <w:tabs>
          <w:tab w:val="left" w:pos="3261"/>
          <w:tab w:val="left" w:pos="4253"/>
        </w:tabs>
        <w:ind w:left="-426" w:right="-233"/>
        <w:jc w:val="both"/>
        <w:rPr>
          <w:color w:val="auto"/>
          <w:lang w:eastAsia="es-ES"/>
        </w:rPr>
      </w:pPr>
    </w:p>
    <w:p w14:paraId="2D78D4F2" w14:textId="26634207" w:rsidR="004059BD" w:rsidRDefault="004059BD" w:rsidP="004059BD">
      <w:pPr>
        <w:pStyle w:val="Default"/>
        <w:tabs>
          <w:tab w:val="left" w:pos="3261"/>
          <w:tab w:val="left" w:pos="4253"/>
        </w:tabs>
        <w:ind w:left="-426" w:right="-233"/>
        <w:jc w:val="both"/>
        <w:rPr>
          <w:color w:val="auto"/>
          <w:lang w:eastAsia="es-ES"/>
        </w:rPr>
      </w:pPr>
    </w:p>
    <w:p w14:paraId="48E8DECF" w14:textId="77777777" w:rsidR="004059BD" w:rsidRDefault="004059BD" w:rsidP="004059BD">
      <w:pPr>
        <w:pStyle w:val="Default"/>
        <w:tabs>
          <w:tab w:val="left" w:pos="3261"/>
          <w:tab w:val="left" w:pos="4253"/>
        </w:tabs>
        <w:ind w:left="-426" w:right="-233"/>
        <w:jc w:val="both"/>
        <w:rPr>
          <w:color w:val="auto"/>
          <w:lang w:eastAsia="es-ES"/>
        </w:rPr>
      </w:pPr>
    </w:p>
    <w:p w14:paraId="49A805B0" w14:textId="18CC7667" w:rsidR="00E61A50" w:rsidRDefault="00E61A50" w:rsidP="0080353B">
      <w:pPr>
        <w:pStyle w:val="Default"/>
        <w:tabs>
          <w:tab w:val="left" w:pos="3261"/>
          <w:tab w:val="left" w:pos="4253"/>
        </w:tabs>
        <w:ind w:left="-426" w:right="-233"/>
        <w:jc w:val="both"/>
        <w:rPr>
          <w:color w:val="auto"/>
          <w:lang w:eastAsia="es-ES"/>
        </w:rPr>
      </w:pPr>
    </w:p>
    <w:p w14:paraId="69434605" w14:textId="77777777" w:rsidR="00E61A50" w:rsidRDefault="00E61A50" w:rsidP="0080353B">
      <w:pPr>
        <w:pStyle w:val="Default"/>
        <w:tabs>
          <w:tab w:val="left" w:pos="3261"/>
          <w:tab w:val="left" w:pos="4253"/>
        </w:tabs>
        <w:ind w:left="-426" w:right="-233"/>
        <w:jc w:val="both"/>
        <w:rPr>
          <w:color w:val="auto"/>
          <w:lang w:eastAsia="es-ES"/>
        </w:rPr>
      </w:pPr>
    </w:p>
    <w:p w14:paraId="441DA513" w14:textId="40529C06" w:rsidR="0080353B" w:rsidRDefault="0080353B" w:rsidP="0080353B">
      <w:pPr>
        <w:pStyle w:val="Default"/>
        <w:tabs>
          <w:tab w:val="left" w:pos="3261"/>
          <w:tab w:val="left" w:pos="4253"/>
        </w:tabs>
        <w:ind w:left="-426" w:right="-233"/>
        <w:jc w:val="both"/>
        <w:rPr>
          <w:color w:val="auto"/>
          <w:lang w:eastAsia="es-ES"/>
        </w:rPr>
      </w:pPr>
    </w:p>
    <w:p w14:paraId="3C386F04" w14:textId="04609571" w:rsidR="0080353B" w:rsidRPr="00AB71F5" w:rsidRDefault="00E61A50" w:rsidP="00AB71F5">
      <w:pPr>
        <w:pStyle w:val="Default"/>
        <w:tabs>
          <w:tab w:val="left" w:pos="3261"/>
          <w:tab w:val="left" w:pos="4253"/>
        </w:tabs>
        <w:ind w:left="-426" w:right="-233"/>
        <w:jc w:val="center"/>
        <w:rPr>
          <w:color w:val="auto"/>
          <w:sz w:val="20"/>
          <w:szCs w:val="20"/>
          <w:lang w:eastAsia="es-ES"/>
        </w:rPr>
      </w:pPr>
      <w:r w:rsidRPr="00AB71F5">
        <w:rPr>
          <w:color w:val="auto"/>
          <w:sz w:val="20"/>
          <w:szCs w:val="20"/>
          <w:lang w:eastAsia="es-ES"/>
        </w:rPr>
        <w:lastRenderedPageBreak/>
        <w:t>Gráfica 1</w:t>
      </w:r>
    </w:p>
    <w:p w14:paraId="3517AA42" w14:textId="5BC51D53" w:rsidR="00C8542E" w:rsidRDefault="00E61A50" w:rsidP="003E704F">
      <w:pPr>
        <w:pStyle w:val="Default"/>
        <w:tabs>
          <w:tab w:val="left" w:pos="3261"/>
          <w:tab w:val="left" w:pos="4253"/>
        </w:tabs>
        <w:ind w:right="-233"/>
        <w:jc w:val="center"/>
        <w:rPr>
          <w:b/>
          <w:spacing w:val="-1"/>
          <w:sz w:val="18"/>
          <w:szCs w:val="18"/>
        </w:rPr>
      </w:pPr>
      <w:r w:rsidRPr="00AB71F5">
        <w:rPr>
          <w:b/>
          <w:smallCaps/>
          <w:color w:val="auto"/>
          <w:sz w:val="22"/>
          <w:lang w:eastAsia="es-ES"/>
        </w:rPr>
        <w:t xml:space="preserve">Total de personal ocupado </w:t>
      </w:r>
      <w:r w:rsidR="003F2656">
        <w:rPr>
          <w:b/>
          <w:smallCaps/>
          <w:color w:val="auto"/>
          <w:sz w:val="22"/>
          <w:lang w:eastAsia="es-ES"/>
        </w:rPr>
        <w:t>según</w:t>
      </w:r>
      <w:r w:rsidRPr="00AB71F5">
        <w:rPr>
          <w:b/>
          <w:smallCaps/>
          <w:color w:val="auto"/>
          <w:sz w:val="22"/>
          <w:lang w:eastAsia="es-ES"/>
        </w:rPr>
        <w:t xml:space="preserve"> sector y condición contractual, 2021</w:t>
      </w:r>
      <w:r w:rsidRPr="00AB71F5">
        <w:rPr>
          <w:b/>
          <w:smallCaps/>
          <w:color w:val="auto"/>
          <w:sz w:val="22"/>
          <w:vertAlign w:val="superscript"/>
          <w:lang w:eastAsia="es-ES"/>
        </w:rPr>
        <w:t>P</w:t>
      </w:r>
    </w:p>
    <w:p w14:paraId="7621DC88" w14:textId="21B98E55" w:rsidR="00C8542E" w:rsidRDefault="00E27C8B" w:rsidP="00AB71F5">
      <w:pPr>
        <w:ind w:left="121"/>
        <w:jc w:val="center"/>
        <w:rPr>
          <w:b/>
          <w:spacing w:val="-1"/>
          <w:sz w:val="18"/>
          <w:szCs w:val="18"/>
          <w:lang w:val="es-MX"/>
        </w:rPr>
      </w:pPr>
      <w:r>
        <w:rPr>
          <w:noProof/>
        </w:rPr>
        <w:drawing>
          <wp:inline distT="0" distB="0" distL="0" distR="0" wp14:anchorId="05A6741B" wp14:editId="0038BC9B">
            <wp:extent cx="5883275" cy="2880000"/>
            <wp:effectExtent l="0" t="0" r="3175" b="15875"/>
            <wp:docPr id="5" name="Gráfico 5">
              <a:extLst xmlns:a="http://schemas.openxmlformats.org/drawingml/2006/main">
                <a:ext uri="{FF2B5EF4-FFF2-40B4-BE49-F238E27FC236}">
                  <a16:creationId xmlns:a16="http://schemas.microsoft.com/office/drawing/2014/main" id="{A2596D8E-75AB-40BF-8280-E47512C1C0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2C8BC9" w14:textId="5D51C48A" w:rsidR="00BE2CD0" w:rsidRPr="00AB71F5" w:rsidRDefault="00BE2CD0" w:rsidP="00242E34">
      <w:pPr>
        <w:ind w:left="121"/>
        <w:rPr>
          <w:spacing w:val="-1"/>
          <w:sz w:val="16"/>
          <w:szCs w:val="16"/>
          <w:lang w:val="es-MX"/>
        </w:rPr>
      </w:pPr>
      <w:r w:rsidRPr="00AB71F5">
        <w:rPr>
          <w:spacing w:val="-1"/>
          <w:sz w:val="16"/>
          <w:szCs w:val="16"/>
          <w:lang w:val="es-MX"/>
        </w:rPr>
        <w:t xml:space="preserve">Fuente INEGI. Encuesta Anual del Comercio, </w:t>
      </w:r>
      <w:r w:rsidR="00ED4928" w:rsidRPr="00AB71F5">
        <w:rPr>
          <w:spacing w:val="-1"/>
          <w:sz w:val="16"/>
          <w:szCs w:val="16"/>
          <w:lang w:val="es-MX"/>
        </w:rPr>
        <w:t>Serie 2013</w:t>
      </w:r>
    </w:p>
    <w:p w14:paraId="28FB87F8" w14:textId="77777777" w:rsidR="00BE2CD0" w:rsidRDefault="00BE2CD0" w:rsidP="00242E34">
      <w:pPr>
        <w:ind w:left="121"/>
        <w:rPr>
          <w:b/>
          <w:spacing w:val="-1"/>
          <w:sz w:val="18"/>
          <w:szCs w:val="18"/>
          <w:lang w:val="es-MX"/>
        </w:rPr>
      </w:pPr>
    </w:p>
    <w:p w14:paraId="1C0A76EA" w14:textId="77777777" w:rsidR="003F2656" w:rsidRDefault="003F2656" w:rsidP="00E61A50">
      <w:pPr>
        <w:ind w:left="-426" w:right="-233"/>
      </w:pPr>
    </w:p>
    <w:p w14:paraId="549C08CA" w14:textId="3833510B" w:rsidR="00BE2CD0" w:rsidRPr="00AB71F5" w:rsidRDefault="003F2656" w:rsidP="00AB71F5">
      <w:pPr>
        <w:ind w:left="-426" w:right="-233"/>
        <w:rPr>
          <w:b/>
          <w:spacing w:val="-1"/>
          <w:lang w:val="es-MX"/>
        </w:rPr>
      </w:pPr>
      <w:r>
        <w:t xml:space="preserve">Del total del personal ocupado en </w:t>
      </w:r>
      <w:r w:rsidR="00DB4520">
        <w:t>C</w:t>
      </w:r>
      <w:r>
        <w:t xml:space="preserve">omercio al por mayor, </w:t>
      </w:r>
      <w:r w:rsidR="005F3E7A" w:rsidRPr="00AB71F5">
        <w:t>99.</w:t>
      </w:r>
      <w:r w:rsidR="007163A2" w:rsidRPr="00AB71F5">
        <w:t>8</w:t>
      </w:r>
      <w:r>
        <w:t xml:space="preserve"> </w:t>
      </w:r>
      <w:r w:rsidR="00F531D4" w:rsidRPr="00AB71F5">
        <w:t>%</w:t>
      </w:r>
      <w:r w:rsidR="00BB68FA" w:rsidRPr="00AB71F5">
        <w:t xml:space="preserve"> </w:t>
      </w:r>
      <w:r w:rsidR="005F3E7A" w:rsidRPr="00AB71F5">
        <w:t>recibió una remuneración fija y periódica por su trabajo</w:t>
      </w:r>
      <w:r>
        <w:t>. E</w:t>
      </w:r>
      <w:r w:rsidR="005F3E7A" w:rsidRPr="00AB71F5">
        <w:t xml:space="preserve">n </w:t>
      </w:r>
      <w:r w:rsidR="00DB4520">
        <w:t>C</w:t>
      </w:r>
      <w:r w:rsidR="005F3E7A" w:rsidRPr="00AB71F5">
        <w:t>omercio al por menor</w:t>
      </w:r>
      <w:r w:rsidR="004059BD">
        <w:t>,</w:t>
      </w:r>
      <w:r w:rsidR="005F3E7A" w:rsidRPr="00AB71F5">
        <w:t xml:space="preserve"> </w:t>
      </w:r>
      <w:r w:rsidR="007E38BA" w:rsidRPr="00AB71F5">
        <w:t>es</w:t>
      </w:r>
      <w:r>
        <w:t xml:space="preserve">e porcentaje </w:t>
      </w:r>
      <w:r w:rsidR="007E38BA" w:rsidRPr="00AB71F5">
        <w:t>fue</w:t>
      </w:r>
      <w:r w:rsidR="00280023" w:rsidRPr="00AB71F5">
        <w:t xml:space="preserve"> </w:t>
      </w:r>
      <w:r w:rsidR="00C2456C" w:rsidRPr="00AB71F5">
        <w:t>50.</w:t>
      </w:r>
      <w:r w:rsidR="007163A2" w:rsidRPr="00AB71F5">
        <w:t>5</w:t>
      </w:r>
      <w:r>
        <w:t xml:space="preserve"> por ciento.</w:t>
      </w:r>
    </w:p>
    <w:p w14:paraId="010A031B" w14:textId="77777777" w:rsidR="00BE2CD0" w:rsidRDefault="00BE2CD0" w:rsidP="00242E34">
      <w:pPr>
        <w:ind w:left="121"/>
        <w:rPr>
          <w:b/>
          <w:spacing w:val="-1"/>
          <w:sz w:val="18"/>
          <w:szCs w:val="18"/>
          <w:lang w:val="es-MX"/>
        </w:rPr>
      </w:pPr>
    </w:p>
    <w:p w14:paraId="32A452CE" w14:textId="3C55397F" w:rsidR="003F2656" w:rsidRPr="004F6F67" w:rsidRDefault="003F2656" w:rsidP="003F2656">
      <w:pPr>
        <w:pStyle w:val="Default"/>
        <w:tabs>
          <w:tab w:val="left" w:pos="3261"/>
          <w:tab w:val="left" w:pos="4253"/>
        </w:tabs>
        <w:ind w:left="-426" w:right="-233"/>
        <w:jc w:val="center"/>
        <w:rPr>
          <w:color w:val="auto"/>
          <w:sz w:val="20"/>
          <w:szCs w:val="20"/>
          <w:lang w:eastAsia="es-ES"/>
        </w:rPr>
      </w:pPr>
      <w:r w:rsidRPr="003F2656">
        <w:rPr>
          <w:sz w:val="20"/>
          <w:szCs w:val="20"/>
        </w:rPr>
        <w:t xml:space="preserve"> </w:t>
      </w:r>
      <w:r w:rsidRPr="004F6F67">
        <w:rPr>
          <w:color w:val="auto"/>
          <w:sz w:val="20"/>
          <w:szCs w:val="20"/>
          <w:lang w:eastAsia="es-ES"/>
        </w:rPr>
        <w:t xml:space="preserve">Gráfica </w:t>
      </w:r>
      <w:r>
        <w:rPr>
          <w:color w:val="auto"/>
          <w:sz w:val="20"/>
          <w:szCs w:val="20"/>
          <w:lang w:eastAsia="es-ES"/>
        </w:rPr>
        <w:t>2</w:t>
      </w:r>
    </w:p>
    <w:p w14:paraId="2169A034" w14:textId="77777777" w:rsidR="003F2656" w:rsidRDefault="003F2656" w:rsidP="003F2656">
      <w:pPr>
        <w:pStyle w:val="Default"/>
        <w:tabs>
          <w:tab w:val="left" w:pos="3261"/>
          <w:tab w:val="left" w:pos="4253"/>
        </w:tabs>
        <w:ind w:left="-426" w:right="-233"/>
        <w:jc w:val="center"/>
        <w:rPr>
          <w:b/>
          <w:smallCaps/>
          <w:color w:val="auto"/>
          <w:sz w:val="22"/>
          <w:lang w:eastAsia="es-ES"/>
        </w:rPr>
      </w:pPr>
      <w:r w:rsidRPr="004F6F67">
        <w:rPr>
          <w:b/>
          <w:smallCaps/>
          <w:color w:val="auto"/>
          <w:sz w:val="22"/>
          <w:lang w:eastAsia="es-ES"/>
        </w:rPr>
        <w:t xml:space="preserve">Total de personal ocupado </w:t>
      </w:r>
      <w:r>
        <w:rPr>
          <w:b/>
          <w:smallCaps/>
          <w:color w:val="auto"/>
          <w:sz w:val="22"/>
          <w:lang w:eastAsia="es-ES"/>
        </w:rPr>
        <w:t>dependiente de la razón social</w:t>
      </w:r>
    </w:p>
    <w:p w14:paraId="65097FE7" w14:textId="7B44845A" w:rsidR="003F2656" w:rsidRPr="004F6F67" w:rsidRDefault="003F2656" w:rsidP="003F2656">
      <w:pPr>
        <w:pStyle w:val="Default"/>
        <w:tabs>
          <w:tab w:val="left" w:pos="3261"/>
          <w:tab w:val="left" w:pos="4253"/>
        </w:tabs>
        <w:ind w:left="-426" w:right="-233"/>
        <w:jc w:val="center"/>
        <w:rPr>
          <w:b/>
          <w:smallCaps/>
          <w:color w:val="auto"/>
          <w:sz w:val="22"/>
          <w:lang w:eastAsia="es-ES"/>
        </w:rPr>
      </w:pPr>
      <w:r>
        <w:rPr>
          <w:b/>
          <w:smallCaps/>
          <w:color w:val="auto"/>
          <w:sz w:val="22"/>
          <w:lang w:eastAsia="es-ES"/>
        </w:rPr>
        <w:t>según</w:t>
      </w:r>
      <w:r w:rsidRPr="004F6F67">
        <w:rPr>
          <w:b/>
          <w:smallCaps/>
          <w:color w:val="auto"/>
          <w:sz w:val="22"/>
          <w:lang w:eastAsia="es-ES"/>
        </w:rPr>
        <w:t xml:space="preserve"> sector y </w:t>
      </w:r>
      <w:r>
        <w:rPr>
          <w:b/>
          <w:smallCaps/>
          <w:color w:val="auto"/>
          <w:sz w:val="22"/>
          <w:lang w:eastAsia="es-ES"/>
        </w:rPr>
        <w:t>modalidad de pago</w:t>
      </w:r>
      <w:r w:rsidRPr="004F6F67">
        <w:rPr>
          <w:b/>
          <w:smallCaps/>
          <w:color w:val="auto"/>
          <w:sz w:val="22"/>
          <w:lang w:eastAsia="es-ES"/>
        </w:rPr>
        <w:t>, 2021</w:t>
      </w:r>
      <w:r w:rsidRPr="004F6F67">
        <w:rPr>
          <w:b/>
          <w:smallCaps/>
          <w:color w:val="auto"/>
          <w:sz w:val="22"/>
          <w:vertAlign w:val="superscript"/>
          <w:lang w:eastAsia="es-ES"/>
        </w:rPr>
        <w:t>P</w:t>
      </w:r>
    </w:p>
    <w:p w14:paraId="5D6F8DA4" w14:textId="7875741E" w:rsidR="00BE2CD0" w:rsidRDefault="007A5069" w:rsidP="005F3E7A">
      <w:pPr>
        <w:ind w:left="121"/>
        <w:jc w:val="center"/>
        <w:rPr>
          <w:b/>
          <w:spacing w:val="-1"/>
          <w:sz w:val="18"/>
          <w:szCs w:val="18"/>
          <w:lang w:val="es-MX"/>
        </w:rPr>
      </w:pPr>
      <w:r>
        <w:rPr>
          <w:noProof/>
          <w:lang w:val="en-US" w:eastAsia="en-US"/>
        </w:rPr>
        <w:drawing>
          <wp:inline distT="0" distB="0" distL="0" distR="0" wp14:anchorId="4CF490F8" wp14:editId="7374F98F">
            <wp:extent cx="5883275" cy="2880000"/>
            <wp:effectExtent l="0" t="0" r="3175" b="15875"/>
            <wp:docPr id="2" name="Gráfico 2">
              <a:extLst xmlns:a="http://schemas.openxmlformats.org/drawingml/2006/main">
                <a:ext uri="{FF2B5EF4-FFF2-40B4-BE49-F238E27FC236}">
                  <a16:creationId xmlns:a16="http://schemas.microsoft.com/office/drawing/2014/main" id="{AF587433-5D2B-4B54-A578-FCF866E3D8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99B81A" w14:textId="77777777" w:rsidR="00BE2CD0" w:rsidRPr="00AB71F5" w:rsidRDefault="00BE2CD0" w:rsidP="00AB71F5">
      <w:pPr>
        <w:ind w:left="851" w:hanging="567"/>
        <w:rPr>
          <w:spacing w:val="-1"/>
          <w:sz w:val="16"/>
          <w:szCs w:val="16"/>
          <w:lang w:val="es-MX"/>
        </w:rPr>
      </w:pPr>
      <w:r w:rsidRPr="00AB71F5">
        <w:rPr>
          <w:spacing w:val="-1"/>
          <w:sz w:val="16"/>
          <w:szCs w:val="16"/>
          <w:lang w:val="es-MX"/>
        </w:rPr>
        <w:t>Fuente INEGI. Encuesta Anual del Comercio, Serie 2013</w:t>
      </w:r>
    </w:p>
    <w:p w14:paraId="73388A05" w14:textId="77777777" w:rsidR="005F3E7A" w:rsidRDefault="005F3E7A" w:rsidP="0075192D">
      <w:pPr>
        <w:ind w:left="121"/>
        <w:jc w:val="right"/>
        <w:rPr>
          <w:b/>
          <w:spacing w:val="-1"/>
          <w:sz w:val="18"/>
          <w:szCs w:val="18"/>
          <w:lang w:val="es-MX"/>
        </w:rPr>
      </w:pPr>
    </w:p>
    <w:p w14:paraId="63EEDE73" w14:textId="6C6CCCA6" w:rsidR="00E90648" w:rsidRDefault="00E90648" w:rsidP="0075192D">
      <w:pPr>
        <w:ind w:left="121"/>
        <w:jc w:val="right"/>
        <w:rPr>
          <w:b/>
          <w:spacing w:val="-1"/>
          <w:sz w:val="18"/>
          <w:szCs w:val="18"/>
          <w:lang w:val="es-MX"/>
        </w:rPr>
      </w:pPr>
    </w:p>
    <w:p w14:paraId="24F3F085" w14:textId="0F0AA509" w:rsidR="003E5105" w:rsidRDefault="003E5105" w:rsidP="0075192D">
      <w:pPr>
        <w:ind w:left="121"/>
        <w:jc w:val="right"/>
        <w:rPr>
          <w:b/>
          <w:spacing w:val="-1"/>
          <w:sz w:val="18"/>
          <w:szCs w:val="18"/>
          <w:lang w:val="es-MX"/>
        </w:rPr>
      </w:pPr>
    </w:p>
    <w:p w14:paraId="2669F1D5" w14:textId="0B123951" w:rsidR="003E5105" w:rsidRDefault="003E5105" w:rsidP="0075192D">
      <w:pPr>
        <w:ind w:left="121"/>
        <w:jc w:val="right"/>
        <w:rPr>
          <w:b/>
          <w:spacing w:val="-1"/>
          <w:sz w:val="18"/>
          <w:szCs w:val="18"/>
          <w:lang w:val="es-MX"/>
        </w:rPr>
      </w:pPr>
    </w:p>
    <w:p w14:paraId="552D95F1" w14:textId="12B4C8C6" w:rsidR="003E5105" w:rsidRDefault="003E5105" w:rsidP="0075192D">
      <w:pPr>
        <w:ind w:left="121"/>
        <w:jc w:val="right"/>
        <w:rPr>
          <w:b/>
          <w:spacing w:val="-1"/>
          <w:sz w:val="18"/>
          <w:szCs w:val="18"/>
          <w:lang w:val="es-MX"/>
        </w:rPr>
      </w:pPr>
    </w:p>
    <w:p w14:paraId="3C870801" w14:textId="77777777" w:rsidR="003E5105" w:rsidRDefault="003E5105" w:rsidP="0075192D">
      <w:pPr>
        <w:ind w:left="121"/>
        <w:jc w:val="right"/>
        <w:rPr>
          <w:b/>
          <w:spacing w:val="-1"/>
          <w:sz w:val="18"/>
          <w:szCs w:val="18"/>
          <w:lang w:val="es-MX"/>
        </w:rPr>
      </w:pPr>
    </w:p>
    <w:p w14:paraId="521435DD" w14:textId="77777777" w:rsidR="003E5105" w:rsidRDefault="003E5105" w:rsidP="00AB71F5">
      <w:pPr>
        <w:ind w:left="-426" w:right="-233"/>
        <w:rPr>
          <w:lang w:val="es-MX"/>
        </w:rPr>
      </w:pPr>
    </w:p>
    <w:p w14:paraId="5DD8D65D" w14:textId="4ADD3466" w:rsidR="00B43102" w:rsidRPr="00AB71F5" w:rsidRDefault="00424CB4" w:rsidP="00AB71F5">
      <w:pPr>
        <w:ind w:left="-426" w:right="-233"/>
        <w:rPr>
          <w:lang w:val="es-MX"/>
        </w:rPr>
      </w:pPr>
      <w:r>
        <w:rPr>
          <w:lang w:val="es-MX"/>
        </w:rPr>
        <w:t>En 2021, l</w:t>
      </w:r>
      <w:r w:rsidR="00B43102" w:rsidRPr="00AB71F5">
        <w:rPr>
          <w:lang w:val="es-MX"/>
        </w:rPr>
        <w:t xml:space="preserve">os ingresos de </w:t>
      </w:r>
      <w:r w:rsidR="00DB4520">
        <w:rPr>
          <w:lang w:val="es-MX"/>
        </w:rPr>
        <w:t>C</w:t>
      </w:r>
      <w:r w:rsidR="00B43102" w:rsidRPr="00AB71F5">
        <w:rPr>
          <w:lang w:val="es-MX"/>
        </w:rPr>
        <w:t xml:space="preserve">omercio al por mayor </w:t>
      </w:r>
      <w:r>
        <w:rPr>
          <w:lang w:val="es-MX"/>
        </w:rPr>
        <w:t>se focalizaron</w:t>
      </w:r>
      <w:r w:rsidR="00B43102" w:rsidRPr="00AB71F5">
        <w:rPr>
          <w:lang w:val="es-MX"/>
        </w:rPr>
        <w:t xml:space="preserve"> en la rama de </w:t>
      </w:r>
      <w:r w:rsidR="00B43102" w:rsidRPr="00AB71F5">
        <w:rPr>
          <w:i/>
          <w:lang w:val="es-MX"/>
        </w:rPr>
        <w:t>abarrotes, alimentos, bebidas, hielo y tabaco</w:t>
      </w:r>
      <w:r w:rsidR="00B43102" w:rsidRPr="00AB71F5">
        <w:rPr>
          <w:lang w:val="es-MX"/>
        </w:rPr>
        <w:t xml:space="preserve"> </w:t>
      </w:r>
      <w:r>
        <w:rPr>
          <w:lang w:val="es-MX"/>
        </w:rPr>
        <w:t>con</w:t>
      </w:r>
      <w:r w:rsidR="00B43102" w:rsidRPr="00AB71F5">
        <w:rPr>
          <w:lang w:val="es-MX"/>
        </w:rPr>
        <w:t xml:space="preserve"> 3</w:t>
      </w:r>
      <w:r w:rsidR="0085576D" w:rsidRPr="00AB71F5">
        <w:rPr>
          <w:lang w:val="es-MX"/>
        </w:rPr>
        <w:t>6.3</w:t>
      </w:r>
      <w:r>
        <w:rPr>
          <w:lang w:val="es-MX"/>
        </w:rPr>
        <w:t xml:space="preserve"> por ciento. </w:t>
      </w:r>
      <w:r w:rsidR="004059BD">
        <w:rPr>
          <w:lang w:val="es-MX"/>
        </w:rPr>
        <w:t>S</w:t>
      </w:r>
      <w:r>
        <w:rPr>
          <w:lang w:val="es-MX"/>
        </w:rPr>
        <w:t>igui</w:t>
      </w:r>
      <w:r w:rsidR="002E16F2">
        <w:rPr>
          <w:lang w:val="es-MX"/>
        </w:rPr>
        <w:t xml:space="preserve">ó </w:t>
      </w:r>
      <w:r w:rsidR="0099727D">
        <w:rPr>
          <w:i/>
          <w:lang w:val="es-MX"/>
        </w:rPr>
        <w:t>C</w:t>
      </w:r>
      <w:r w:rsidRPr="00AB71F5">
        <w:rPr>
          <w:i/>
          <w:lang w:val="es-MX"/>
        </w:rPr>
        <w:t>omercio al por mayor de</w:t>
      </w:r>
      <w:r w:rsidR="00B43102" w:rsidRPr="00AB71F5">
        <w:rPr>
          <w:i/>
          <w:lang w:val="es-MX"/>
        </w:rPr>
        <w:t xml:space="preserve"> materias primas agropecuarias y forestales, para la industria, y materiales de desecho</w:t>
      </w:r>
      <w:r w:rsidR="004059BD">
        <w:rPr>
          <w:iCs/>
          <w:lang w:val="es-MX"/>
        </w:rPr>
        <w:t>,</w:t>
      </w:r>
      <w:r w:rsidR="00B43102" w:rsidRPr="00AB71F5">
        <w:rPr>
          <w:lang w:val="es-MX"/>
        </w:rPr>
        <w:t xml:space="preserve"> </w:t>
      </w:r>
      <w:r>
        <w:rPr>
          <w:lang w:val="es-MX"/>
        </w:rPr>
        <w:t>con</w:t>
      </w:r>
      <w:r w:rsidR="00B43102" w:rsidRPr="00AB71F5">
        <w:rPr>
          <w:lang w:val="es-MX"/>
        </w:rPr>
        <w:t xml:space="preserve"> </w:t>
      </w:r>
      <w:r w:rsidR="0085576D" w:rsidRPr="00AB71F5">
        <w:rPr>
          <w:lang w:val="es-MX"/>
        </w:rPr>
        <w:t>30.7</w:t>
      </w:r>
      <w:r>
        <w:rPr>
          <w:lang w:val="es-MX"/>
        </w:rPr>
        <w:t xml:space="preserve"> por ciento. L</w:t>
      </w:r>
      <w:r w:rsidR="00B43102" w:rsidRPr="00AB71F5">
        <w:rPr>
          <w:lang w:val="es-MX"/>
        </w:rPr>
        <w:t xml:space="preserve">a rama que comercializa a través de </w:t>
      </w:r>
      <w:r w:rsidR="0099727D">
        <w:rPr>
          <w:i/>
          <w:lang w:val="es-MX"/>
        </w:rPr>
        <w:t>I</w:t>
      </w:r>
      <w:r w:rsidR="00B43102" w:rsidRPr="00AB71F5">
        <w:rPr>
          <w:i/>
          <w:lang w:val="es-MX"/>
        </w:rPr>
        <w:t xml:space="preserve">ntermediación </w:t>
      </w:r>
      <w:r w:rsidR="00F30963" w:rsidRPr="00AB71F5">
        <w:rPr>
          <w:i/>
          <w:lang w:val="es-MX"/>
        </w:rPr>
        <w:t>de comercio al por mayor</w:t>
      </w:r>
      <w:r w:rsidR="00F30963">
        <w:rPr>
          <w:lang w:val="es-MX"/>
        </w:rPr>
        <w:t xml:space="preserve"> </w:t>
      </w:r>
      <w:r>
        <w:rPr>
          <w:lang w:val="es-MX"/>
        </w:rPr>
        <w:t>participó con</w:t>
      </w:r>
      <w:r w:rsidR="00532A4C">
        <w:rPr>
          <w:lang w:val="es-MX"/>
        </w:rPr>
        <w:t xml:space="preserve"> </w:t>
      </w:r>
      <w:r>
        <w:rPr>
          <w:lang w:val="es-MX"/>
        </w:rPr>
        <w:t>0.1 por ciento.</w:t>
      </w:r>
      <w:r w:rsidR="00B43102" w:rsidRPr="00AB71F5">
        <w:rPr>
          <w:lang w:val="es-MX"/>
        </w:rPr>
        <w:t xml:space="preserve"> </w:t>
      </w:r>
    </w:p>
    <w:p w14:paraId="75BD4029" w14:textId="77777777" w:rsidR="00424CB4" w:rsidRDefault="00424CB4" w:rsidP="00B43102">
      <w:pPr>
        <w:ind w:left="121"/>
        <w:jc w:val="right"/>
        <w:rPr>
          <w:b/>
          <w:spacing w:val="-1"/>
          <w:sz w:val="18"/>
          <w:szCs w:val="18"/>
          <w:lang w:val="es-MX"/>
        </w:rPr>
      </w:pPr>
    </w:p>
    <w:p w14:paraId="0CAEC9C6" w14:textId="77777777" w:rsidR="00424CB4" w:rsidRDefault="00424CB4" w:rsidP="00424CB4">
      <w:pPr>
        <w:pStyle w:val="Default"/>
        <w:tabs>
          <w:tab w:val="left" w:pos="3261"/>
          <w:tab w:val="left" w:pos="4253"/>
        </w:tabs>
        <w:ind w:left="-426" w:right="-233"/>
        <w:jc w:val="center"/>
        <w:rPr>
          <w:color w:val="auto"/>
          <w:sz w:val="20"/>
          <w:szCs w:val="20"/>
          <w:lang w:eastAsia="es-ES"/>
        </w:rPr>
      </w:pPr>
    </w:p>
    <w:p w14:paraId="7B888DD5" w14:textId="77777777" w:rsidR="00424CB4" w:rsidRDefault="00424CB4" w:rsidP="002C75B9">
      <w:pPr>
        <w:pStyle w:val="Default"/>
        <w:tabs>
          <w:tab w:val="left" w:pos="3261"/>
          <w:tab w:val="left" w:pos="4253"/>
        </w:tabs>
        <w:ind w:right="-233"/>
        <w:rPr>
          <w:color w:val="auto"/>
          <w:sz w:val="20"/>
          <w:szCs w:val="20"/>
          <w:lang w:eastAsia="es-ES"/>
        </w:rPr>
      </w:pPr>
    </w:p>
    <w:p w14:paraId="78535ECD" w14:textId="79C42B1C" w:rsidR="00424CB4" w:rsidRPr="004F6F67" w:rsidRDefault="00424CB4" w:rsidP="00424CB4">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sidR="00532A4C">
        <w:rPr>
          <w:color w:val="auto"/>
          <w:sz w:val="20"/>
          <w:szCs w:val="20"/>
          <w:lang w:eastAsia="es-ES"/>
        </w:rPr>
        <w:t>3</w:t>
      </w:r>
    </w:p>
    <w:p w14:paraId="1C8183A3" w14:textId="5103FBFD" w:rsidR="00424CB4" w:rsidRPr="004F6F67" w:rsidRDefault="00424CB4" w:rsidP="00424CB4">
      <w:pPr>
        <w:pStyle w:val="Default"/>
        <w:tabs>
          <w:tab w:val="left" w:pos="3261"/>
          <w:tab w:val="left" w:pos="4253"/>
        </w:tabs>
        <w:ind w:left="-426" w:right="-233"/>
        <w:jc w:val="center"/>
        <w:rPr>
          <w:b/>
          <w:smallCaps/>
          <w:color w:val="auto"/>
          <w:sz w:val="22"/>
          <w:lang w:eastAsia="es-ES"/>
        </w:rPr>
      </w:pPr>
      <w:r>
        <w:rPr>
          <w:b/>
          <w:smallCaps/>
          <w:color w:val="auto"/>
          <w:sz w:val="22"/>
          <w:lang w:eastAsia="es-ES"/>
        </w:rPr>
        <w:t>Ingresos del comercio al por mayor según subsector de actividad</w:t>
      </w:r>
      <w:r w:rsidRPr="004F6F67">
        <w:rPr>
          <w:b/>
          <w:smallCaps/>
          <w:color w:val="auto"/>
          <w:sz w:val="22"/>
          <w:lang w:eastAsia="es-ES"/>
        </w:rPr>
        <w:t>, 2021</w:t>
      </w:r>
      <w:r w:rsidRPr="004F6F67">
        <w:rPr>
          <w:b/>
          <w:smallCaps/>
          <w:color w:val="auto"/>
          <w:sz w:val="22"/>
          <w:vertAlign w:val="superscript"/>
          <w:lang w:eastAsia="es-ES"/>
        </w:rPr>
        <w:t>P</w:t>
      </w:r>
    </w:p>
    <w:p w14:paraId="62A49FE6" w14:textId="718EAE22" w:rsidR="00B43102" w:rsidRDefault="00B43102" w:rsidP="00B43102">
      <w:pPr>
        <w:ind w:left="121"/>
        <w:jc w:val="right"/>
        <w:rPr>
          <w:b/>
          <w:spacing w:val="-1"/>
          <w:sz w:val="18"/>
          <w:szCs w:val="18"/>
          <w:lang w:val="es-MX"/>
        </w:rPr>
      </w:pPr>
    </w:p>
    <w:p w14:paraId="60972CE5" w14:textId="0A3B5E48" w:rsidR="00B43102" w:rsidRDefault="00C06936" w:rsidP="0015208D">
      <w:pPr>
        <w:ind w:left="121" w:hanging="547"/>
        <w:jc w:val="center"/>
        <w:rPr>
          <w:b/>
          <w:spacing w:val="-1"/>
          <w:sz w:val="18"/>
          <w:szCs w:val="18"/>
          <w:lang w:val="es-MX"/>
        </w:rPr>
      </w:pPr>
      <w:r>
        <w:rPr>
          <w:noProof/>
          <w:lang w:val="en-US" w:eastAsia="en-US"/>
        </w:rPr>
        <w:drawing>
          <wp:inline distT="0" distB="0" distL="0" distR="0" wp14:anchorId="229C9972" wp14:editId="39B85033">
            <wp:extent cx="6267450" cy="2867025"/>
            <wp:effectExtent l="0" t="0" r="0" b="9525"/>
            <wp:docPr id="26" name="Gráfico 26">
              <a:extLst xmlns:a="http://schemas.openxmlformats.org/drawingml/2006/main">
                <a:ext uri="{FF2B5EF4-FFF2-40B4-BE49-F238E27FC236}">
                  <a16:creationId xmlns:a16="http://schemas.microsoft.com/office/drawing/2014/main" id="{1925E4EC-C2D3-43E0-B991-A215CFF128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A22E13" w14:textId="77777777" w:rsidR="00B43102" w:rsidRPr="00AB71F5" w:rsidRDefault="00B43102" w:rsidP="00AB71F5">
      <w:pPr>
        <w:ind w:left="121" w:hanging="405"/>
        <w:rPr>
          <w:spacing w:val="-1"/>
          <w:sz w:val="16"/>
          <w:szCs w:val="16"/>
          <w:lang w:val="es-MX"/>
        </w:rPr>
      </w:pPr>
      <w:r w:rsidRPr="00AB71F5">
        <w:rPr>
          <w:spacing w:val="-1"/>
          <w:sz w:val="16"/>
          <w:szCs w:val="16"/>
          <w:lang w:val="es-MX"/>
        </w:rPr>
        <w:t>Fuente INEGI. Encuesta Anual del Comercio, Serie 2013</w:t>
      </w:r>
    </w:p>
    <w:p w14:paraId="42CE636C" w14:textId="77777777" w:rsidR="00B43102" w:rsidRDefault="00B43102" w:rsidP="00CA07B2">
      <w:pPr>
        <w:rPr>
          <w:b/>
          <w:spacing w:val="-1"/>
          <w:sz w:val="18"/>
          <w:szCs w:val="18"/>
          <w:lang w:val="es-MX"/>
        </w:rPr>
      </w:pPr>
    </w:p>
    <w:p w14:paraId="7373B1D0" w14:textId="0686FC1F" w:rsidR="00B43102" w:rsidRPr="00AB71F5" w:rsidRDefault="00532A4C" w:rsidP="00AB71F5">
      <w:pPr>
        <w:ind w:left="-426" w:right="-233"/>
      </w:pPr>
      <w:r>
        <w:t xml:space="preserve">En </w:t>
      </w:r>
      <w:r w:rsidR="00DB4520">
        <w:t>C</w:t>
      </w:r>
      <w:r w:rsidR="00721DED" w:rsidRPr="00AB71F5">
        <w:t>omercio al por menor</w:t>
      </w:r>
      <w:r w:rsidR="00620E60" w:rsidRPr="00AB71F5">
        <w:t>,</w:t>
      </w:r>
      <w:r w:rsidR="00721DED" w:rsidRPr="00AB71F5">
        <w:t xml:space="preserve"> la mayor contribución a los ingresos del sector en general </w:t>
      </w:r>
      <w:r w:rsidR="00F30963">
        <w:t>correspondió</w:t>
      </w:r>
      <w:r w:rsidR="00186C75">
        <w:t xml:space="preserve"> a</w:t>
      </w:r>
      <w:r w:rsidR="00F30963">
        <w:t xml:space="preserve"> </w:t>
      </w:r>
      <w:r w:rsidR="004059BD">
        <w:rPr>
          <w:i/>
        </w:rPr>
        <w:t>C</w:t>
      </w:r>
      <w:r w:rsidR="00F30963" w:rsidRPr="00AB71F5">
        <w:rPr>
          <w:i/>
        </w:rPr>
        <w:t>omercio</w:t>
      </w:r>
      <w:r w:rsidR="00721DED" w:rsidRPr="00AB71F5">
        <w:rPr>
          <w:i/>
        </w:rPr>
        <w:t xml:space="preserve"> de vehículos de motor, refacciones, combustibles y lubricantes</w:t>
      </w:r>
      <w:r w:rsidR="004059BD">
        <w:rPr>
          <w:iCs/>
        </w:rPr>
        <w:t>,</w:t>
      </w:r>
      <w:r w:rsidR="00721DED" w:rsidRPr="00AB71F5">
        <w:t xml:space="preserve"> con</w:t>
      </w:r>
      <w:r w:rsidR="00F30963">
        <w:t xml:space="preserve"> </w:t>
      </w:r>
      <w:r w:rsidR="00721DED" w:rsidRPr="00AB71F5">
        <w:t>3</w:t>
      </w:r>
      <w:r w:rsidR="0085576D" w:rsidRPr="00AB71F5">
        <w:t>4.4</w:t>
      </w:r>
      <w:r>
        <w:t xml:space="preserve"> </w:t>
      </w:r>
      <w:r w:rsidR="00721DED" w:rsidRPr="00AB71F5">
        <w:t xml:space="preserve">% </w:t>
      </w:r>
      <w:r>
        <w:t>y</w:t>
      </w:r>
      <w:r w:rsidR="00721DED" w:rsidRPr="00532A4C">
        <w:t xml:space="preserve"> </w:t>
      </w:r>
      <w:r w:rsidR="00F30963">
        <w:t>a</w:t>
      </w:r>
      <w:r w:rsidR="004059BD">
        <w:rPr>
          <w:i/>
        </w:rPr>
        <w:t xml:space="preserve"> C</w:t>
      </w:r>
      <w:r w:rsidR="00721DED" w:rsidRPr="00AB71F5">
        <w:rPr>
          <w:i/>
        </w:rPr>
        <w:t>omercio al por menor en tiendas de autoservicio y departamentales</w:t>
      </w:r>
      <w:r w:rsidR="004059BD">
        <w:t>,</w:t>
      </w:r>
      <w:r>
        <w:t xml:space="preserve"> </w:t>
      </w:r>
      <w:r w:rsidR="00721DED" w:rsidRPr="00AB71F5">
        <w:t>con 2</w:t>
      </w:r>
      <w:r w:rsidR="0085576D" w:rsidRPr="00AB71F5">
        <w:t>4.7</w:t>
      </w:r>
      <w:r>
        <w:t xml:space="preserve"> por ciento</w:t>
      </w:r>
      <w:r w:rsidR="00721DED" w:rsidRPr="00AB71F5">
        <w:t>.</w:t>
      </w:r>
    </w:p>
    <w:p w14:paraId="35DE70D8" w14:textId="616645AF" w:rsidR="008C1C68" w:rsidRDefault="008C1C68" w:rsidP="007D5590">
      <w:pPr>
        <w:rPr>
          <w:b/>
          <w:spacing w:val="-1"/>
          <w:sz w:val="18"/>
          <w:szCs w:val="18"/>
          <w:lang w:val="es-MX"/>
        </w:rPr>
      </w:pPr>
    </w:p>
    <w:p w14:paraId="2B8C3041" w14:textId="5B312E66" w:rsidR="004059BD" w:rsidRDefault="004059BD" w:rsidP="007D5590">
      <w:pPr>
        <w:rPr>
          <w:b/>
          <w:spacing w:val="-1"/>
          <w:sz w:val="18"/>
          <w:szCs w:val="18"/>
          <w:lang w:val="es-MX"/>
        </w:rPr>
      </w:pPr>
    </w:p>
    <w:p w14:paraId="202295B2" w14:textId="6722CE54" w:rsidR="004059BD" w:rsidRDefault="004059BD" w:rsidP="007D5590">
      <w:pPr>
        <w:rPr>
          <w:b/>
          <w:spacing w:val="-1"/>
          <w:sz w:val="18"/>
          <w:szCs w:val="18"/>
          <w:lang w:val="es-MX"/>
        </w:rPr>
      </w:pPr>
    </w:p>
    <w:p w14:paraId="3D524767" w14:textId="67AAD8DD" w:rsidR="003E5105" w:rsidRDefault="003E5105" w:rsidP="007D5590">
      <w:pPr>
        <w:rPr>
          <w:b/>
          <w:spacing w:val="-1"/>
          <w:sz w:val="18"/>
          <w:szCs w:val="18"/>
          <w:lang w:val="es-MX"/>
        </w:rPr>
      </w:pPr>
    </w:p>
    <w:p w14:paraId="204E821C" w14:textId="2A4940A5" w:rsidR="003E5105" w:rsidRDefault="003E5105" w:rsidP="007D5590">
      <w:pPr>
        <w:rPr>
          <w:b/>
          <w:spacing w:val="-1"/>
          <w:sz w:val="18"/>
          <w:szCs w:val="18"/>
          <w:lang w:val="es-MX"/>
        </w:rPr>
      </w:pPr>
    </w:p>
    <w:p w14:paraId="5741CD43" w14:textId="1D3DFCDC" w:rsidR="003E5105" w:rsidRDefault="003E5105" w:rsidP="007D5590">
      <w:pPr>
        <w:rPr>
          <w:b/>
          <w:spacing w:val="-1"/>
          <w:sz w:val="18"/>
          <w:szCs w:val="18"/>
          <w:lang w:val="es-MX"/>
        </w:rPr>
      </w:pPr>
    </w:p>
    <w:p w14:paraId="6E1A32C0" w14:textId="5DDCAFA8" w:rsidR="003E5105" w:rsidRDefault="003E5105" w:rsidP="007D5590">
      <w:pPr>
        <w:rPr>
          <w:b/>
          <w:spacing w:val="-1"/>
          <w:sz w:val="18"/>
          <w:szCs w:val="18"/>
          <w:lang w:val="es-MX"/>
        </w:rPr>
      </w:pPr>
    </w:p>
    <w:p w14:paraId="764B9C1D" w14:textId="60BB0F52" w:rsidR="003E5105" w:rsidRDefault="003E5105" w:rsidP="007D5590">
      <w:pPr>
        <w:rPr>
          <w:b/>
          <w:spacing w:val="-1"/>
          <w:sz w:val="18"/>
          <w:szCs w:val="18"/>
          <w:lang w:val="es-MX"/>
        </w:rPr>
      </w:pPr>
    </w:p>
    <w:p w14:paraId="0347A7CA" w14:textId="78D8CF41" w:rsidR="003E5105" w:rsidRDefault="003E5105" w:rsidP="007D5590">
      <w:pPr>
        <w:rPr>
          <w:b/>
          <w:spacing w:val="-1"/>
          <w:sz w:val="18"/>
          <w:szCs w:val="18"/>
          <w:lang w:val="es-MX"/>
        </w:rPr>
      </w:pPr>
    </w:p>
    <w:p w14:paraId="3093E188" w14:textId="2B753CA3" w:rsidR="003E5105" w:rsidRDefault="003E5105" w:rsidP="007D5590">
      <w:pPr>
        <w:rPr>
          <w:b/>
          <w:spacing w:val="-1"/>
          <w:sz w:val="18"/>
          <w:szCs w:val="18"/>
          <w:lang w:val="es-MX"/>
        </w:rPr>
      </w:pPr>
    </w:p>
    <w:p w14:paraId="4BA3F921" w14:textId="44F11583" w:rsidR="003E5105" w:rsidRDefault="003E5105" w:rsidP="007D5590">
      <w:pPr>
        <w:rPr>
          <w:b/>
          <w:spacing w:val="-1"/>
          <w:sz w:val="18"/>
          <w:szCs w:val="18"/>
          <w:lang w:val="es-MX"/>
        </w:rPr>
      </w:pPr>
    </w:p>
    <w:p w14:paraId="6FD31A67" w14:textId="098127F4" w:rsidR="003E5105" w:rsidRDefault="003E5105" w:rsidP="007D5590">
      <w:pPr>
        <w:rPr>
          <w:b/>
          <w:spacing w:val="-1"/>
          <w:sz w:val="18"/>
          <w:szCs w:val="18"/>
          <w:lang w:val="es-MX"/>
        </w:rPr>
      </w:pPr>
    </w:p>
    <w:p w14:paraId="3AE673EA" w14:textId="1EF2C22D" w:rsidR="003E5105" w:rsidRDefault="003E5105" w:rsidP="007D5590">
      <w:pPr>
        <w:rPr>
          <w:b/>
          <w:spacing w:val="-1"/>
          <w:sz w:val="18"/>
          <w:szCs w:val="18"/>
          <w:lang w:val="es-MX"/>
        </w:rPr>
      </w:pPr>
    </w:p>
    <w:p w14:paraId="621003CC" w14:textId="714BB487" w:rsidR="003E5105" w:rsidRDefault="003E5105" w:rsidP="007D5590">
      <w:pPr>
        <w:rPr>
          <w:b/>
          <w:spacing w:val="-1"/>
          <w:sz w:val="18"/>
          <w:szCs w:val="18"/>
          <w:lang w:val="es-MX"/>
        </w:rPr>
      </w:pPr>
    </w:p>
    <w:p w14:paraId="0059A492" w14:textId="7285E426" w:rsidR="003E5105" w:rsidRDefault="003E5105" w:rsidP="007D5590">
      <w:pPr>
        <w:rPr>
          <w:b/>
          <w:spacing w:val="-1"/>
          <w:sz w:val="18"/>
          <w:szCs w:val="18"/>
          <w:lang w:val="es-MX"/>
        </w:rPr>
      </w:pPr>
    </w:p>
    <w:p w14:paraId="158E7E71" w14:textId="77777777" w:rsidR="003E5105" w:rsidRDefault="003E5105" w:rsidP="007D5590">
      <w:pPr>
        <w:rPr>
          <w:b/>
          <w:spacing w:val="-1"/>
          <w:sz w:val="18"/>
          <w:szCs w:val="18"/>
          <w:lang w:val="es-MX"/>
        </w:rPr>
      </w:pPr>
    </w:p>
    <w:p w14:paraId="5FBB913A" w14:textId="77777777" w:rsidR="004059BD" w:rsidRDefault="004059BD" w:rsidP="007D5590">
      <w:pPr>
        <w:rPr>
          <w:b/>
          <w:spacing w:val="-1"/>
          <w:sz w:val="18"/>
          <w:szCs w:val="18"/>
          <w:lang w:val="es-MX"/>
        </w:rPr>
      </w:pPr>
    </w:p>
    <w:p w14:paraId="62233A0B" w14:textId="06E6122F" w:rsidR="00532A4C" w:rsidRPr="004F6F67" w:rsidRDefault="00532A4C" w:rsidP="00532A4C">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Pr>
          <w:color w:val="auto"/>
          <w:sz w:val="20"/>
          <w:szCs w:val="20"/>
          <w:lang w:eastAsia="es-ES"/>
        </w:rPr>
        <w:t>4</w:t>
      </w:r>
    </w:p>
    <w:p w14:paraId="387978EB" w14:textId="20E6FB71" w:rsidR="00B43102" w:rsidRPr="00AB71F5" w:rsidRDefault="00532A4C" w:rsidP="00AB71F5">
      <w:pPr>
        <w:pStyle w:val="Default"/>
        <w:tabs>
          <w:tab w:val="left" w:pos="3261"/>
          <w:tab w:val="left" w:pos="4253"/>
        </w:tabs>
        <w:ind w:left="-426" w:right="-233"/>
        <w:jc w:val="center"/>
        <w:rPr>
          <w:b/>
          <w:smallCaps/>
          <w:sz w:val="22"/>
        </w:rPr>
      </w:pPr>
      <w:r>
        <w:rPr>
          <w:b/>
          <w:smallCaps/>
          <w:color w:val="auto"/>
          <w:sz w:val="22"/>
          <w:lang w:eastAsia="es-ES"/>
        </w:rPr>
        <w:t>Ingresos del comercio al por menor según subsector de actividad</w:t>
      </w:r>
      <w:r w:rsidRPr="004F6F67">
        <w:rPr>
          <w:b/>
          <w:smallCaps/>
          <w:color w:val="auto"/>
          <w:sz w:val="22"/>
          <w:lang w:eastAsia="es-ES"/>
        </w:rPr>
        <w:t>, 2021</w:t>
      </w:r>
      <w:r w:rsidRPr="004F6F67">
        <w:rPr>
          <w:b/>
          <w:smallCaps/>
          <w:color w:val="auto"/>
          <w:sz w:val="22"/>
          <w:vertAlign w:val="superscript"/>
          <w:lang w:eastAsia="es-ES"/>
        </w:rPr>
        <w:t>P</w:t>
      </w:r>
    </w:p>
    <w:p w14:paraId="27209F9F" w14:textId="72548D2C" w:rsidR="00B43102" w:rsidRDefault="00E81182" w:rsidP="00B43102">
      <w:pPr>
        <w:ind w:left="121"/>
        <w:rPr>
          <w:b/>
          <w:spacing w:val="-1"/>
          <w:sz w:val="18"/>
          <w:szCs w:val="18"/>
          <w:lang w:val="es-MX"/>
        </w:rPr>
      </w:pPr>
      <w:r>
        <w:rPr>
          <w:noProof/>
        </w:rPr>
        <w:drawing>
          <wp:inline distT="0" distB="0" distL="0" distR="0" wp14:anchorId="3945099E" wp14:editId="48386569">
            <wp:extent cx="5883275" cy="3097530"/>
            <wp:effectExtent l="0" t="0" r="3175" b="7620"/>
            <wp:docPr id="6" name="Gráfico 6">
              <a:extLst xmlns:a="http://schemas.openxmlformats.org/drawingml/2006/main">
                <a:ext uri="{FF2B5EF4-FFF2-40B4-BE49-F238E27FC236}">
                  <a16:creationId xmlns:a16="http://schemas.microsoft.com/office/drawing/2014/main" id="{E0416889-FB39-43BC-88E8-0FD9824849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E704F" w:rsidDel="00E81182">
        <w:rPr>
          <w:noProof/>
          <w:lang w:val="es-MX" w:eastAsia="en-US"/>
        </w:rPr>
        <w:t xml:space="preserve"> </w:t>
      </w:r>
    </w:p>
    <w:p w14:paraId="29985ED8" w14:textId="5356F5C0" w:rsidR="00B43102" w:rsidRPr="00AB71F5" w:rsidRDefault="00B43102" w:rsidP="00B43102">
      <w:pPr>
        <w:ind w:left="121"/>
        <w:rPr>
          <w:spacing w:val="-1"/>
          <w:sz w:val="16"/>
          <w:szCs w:val="16"/>
          <w:lang w:val="es-MX"/>
        </w:rPr>
      </w:pPr>
      <w:r w:rsidRPr="00AB71F5">
        <w:rPr>
          <w:spacing w:val="-1"/>
          <w:sz w:val="16"/>
          <w:szCs w:val="16"/>
          <w:lang w:val="es-MX"/>
        </w:rPr>
        <w:t>Fuente INEGI. Encuesta Anual del Comercio, Serie 2013</w:t>
      </w:r>
    </w:p>
    <w:p w14:paraId="4A1EB605" w14:textId="77777777" w:rsidR="007D5590" w:rsidRDefault="007D5590" w:rsidP="00B43102">
      <w:pPr>
        <w:ind w:left="121"/>
        <w:rPr>
          <w:b/>
          <w:spacing w:val="-1"/>
          <w:sz w:val="18"/>
          <w:szCs w:val="18"/>
          <w:lang w:val="es-MX"/>
        </w:rPr>
      </w:pPr>
    </w:p>
    <w:p w14:paraId="557B5444" w14:textId="046B8B74" w:rsidR="00B43102" w:rsidRDefault="00427DD7" w:rsidP="00427DD7">
      <w:pPr>
        <w:ind w:left="-426" w:right="-233"/>
        <w:rPr>
          <w:lang w:val="es-MX"/>
        </w:rPr>
      </w:pPr>
      <w:r>
        <w:rPr>
          <w:lang w:val="es-MX"/>
        </w:rPr>
        <w:t>Las</w:t>
      </w:r>
      <w:r w:rsidR="00B43102" w:rsidRPr="00AB71F5">
        <w:rPr>
          <w:lang w:val="es-MX"/>
        </w:rPr>
        <w:t xml:space="preserve"> empresas invirt</w:t>
      </w:r>
      <w:r>
        <w:rPr>
          <w:lang w:val="es-MX"/>
        </w:rPr>
        <w:t>ieron,</w:t>
      </w:r>
      <w:r w:rsidR="00B43102" w:rsidRPr="00AB71F5">
        <w:rPr>
          <w:lang w:val="es-MX"/>
        </w:rPr>
        <w:t xml:space="preserve"> en mayor p</w:t>
      </w:r>
      <w:r w:rsidR="00897B71">
        <w:rPr>
          <w:lang w:val="es-MX"/>
        </w:rPr>
        <w:t>orcentaje</w:t>
      </w:r>
      <w:r>
        <w:rPr>
          <w:lang w:val="es-MX"/>
        </w:rPr>
        <w:t>,</w:t>
      </w:r>
      <w:r w:rsidR="00B43102" w:rsidRPr="00AB71F5">
        <w:rPr>
          <w:lang w:val="es-MX"/>
        </w:rPr>
        <w:t xml:space="preserve"> en </w:t>
      </w:r>
      <w:r w:rsidR="00B43102" w:rsidRPr="00AB71F5">
        <w:rPr>
          <w:i/>
          <w:lang w:val="es-MX"/>
        </w:rPr>
        <w:t>bienes inmuebles</w:t>
      </w:r>
      <w:r>
        <w:rPr>
          <w:lang w:val="es-MX"/>
        </w:rPr>
        <w:t xml:space="preserve">. En </w:t>
      </w:r>
      <w:r w:rsidR="00DB4520">
        <w:rPr>
          <w:lang w:val="es-MX"/>
        </w:rPr>
        <w:t>C</w:t>
      </w:r>
      <w:r>
        <w:rPr>
          <w:lang w:val="es-MX"/>
        </w:rPr>
        <w:t>omercio al por mayor</w:t>
      </w:r>
      <w:r w:rsidR="00F30963">
        <w:rPr>
          <w:lang w:val="es-MX"/>
        </w:rPr>
        <w:t>,</w:t>
      </w:r>
      <w:r>
        <w:rPr>
          <w:lang w:val="es-MX"/>
        </w:rPr>
        <w:t xml:space="preserve"> </w:t>
      </w:r>
      <w:r w:rsidR="00D96068">
        <w:rPr>
          <w:lang w:val="es-MX"/>
        </w:rPr>
        <w:t>este rubro fue de</w:t>
      </w:r>
      <w:r w:rsidR="000F0ADA" w:rsidRPr="00AB71F5">
        <w:rPr>
          <w:lang w:val="es-MX"/>
        </w:rPr>
        <w:t xml:space="preserve"> 3</w:t>
      </w:r>
      <w:r w:rsidR="0028558E" w:rsidRPr="00AB71F5">
        <w:rPr>
          <w:lang w:val="es-MX"/>
        </w:rPr>
        <w:t>1</w:t>
      </w:r>
      <w:r w:rsidR="00D96068">
        <w:rPr>
          <w:lang w:val="es-MX"/>
        </w:rPr>
        <w:t xml:space="preserve">.0 </w:t>
      </w:r>
      <w:r w:rsidR="00FE05F0" w:rsidRPr="00AB71F5">
        <w:rPr>
          <w:lang w:val="es-MX"/>
        </w:rPr>
        <w:t xml:space="preserve">% </w:t>
      </w:r>
      <w:r w:rsidR="00D96068">
        <w:rPr>
          <w:lang w:val="es-MX"/>
        </w:rPr>
        <w:t xml:space="preserve">y en </w:t>
      </w:r>
      <w:r w:rsidR="00DB4520">
        <w:rPr>
          <w:lang w:val="es-MX"/>
        </w:rPr>
        <w:t>C</w:t>
      </w:r>
      <w:r w:rsidR="00D96068">
        <w:rPr>
          <w:lang w:val="es-MX"/>
        </w:rPr>
        <w:t xml:space="preserve">omercio al por menor, de </w:t>
      </w:r>
      <w:r w:rsidR="00B43102" w:rsidRPr="00AB71F5">
        <w:rPr>
          <w:lang w:val="es-MX"/>
        </w:rPr>
        <w:t>5</w:t>
      </w:r>
      <w:r w:rsidR="009A7DC4" w:rsidRPr="00AB71F5">
        <w:rPr>
          <w:lang w:val="es-MX"/>
        </w:rPr>
        <w:t>3.8</w:t>
      </w:r>
      <w:r w:rsidR="00D96068">
        <w:rPr>
          <w:lang w:val="es-MX"/>
        </w:rPr>
        <w:t xml:space="preserve"> por ciento</w:t>
      </w:r>
      <w:r w:rsidR="000F0ADA" w:rsidRPr="00AB71F5">
        <w:rPr>
          <w:lang w:val="es-MX"/>
        </w:rPr>
        <w:t>. El rubro de menor inversión para ambos sectore</w:t>
      </w:r>
      <w:r w:rsidR="00620E60" w:rsidRPr="00AB71F5">
        <w:rPr>
          <w:lang w:val="es-MX"/>
        </w:rPr>
        <w:t xml:space="preserve">s </w:t>
      </w:r>
      <w:r w:rsidR="00300409" w:rsidRPr="00AB71F5">
        <w:rPr>
          <w:lang w:val="es-MX"/>
        </w:rPr>
        <w:t>comerciales</w:t>
      </w:r>
      <w:r w:rsidR="000F0ADA" w:rsidRPr="00AB71F5">
        <w:rPr>
          <w:lang w:val="es-MX"/>
        </w:rPr>
        <w:t xml:space="preserve"> </w:t>
      </w:r>
      <w:r w:rsidR="00D96068">
        <w:rPr>
          <w:lang w:val="es-MX"/>
        </w:rPr>
        <w:t>fue</w:t>
      </w:r>
      <w:r w:rsidR="00D96068" w:rsidRPr="00AB71F5">
        <w:rPr>
          <w:lang w:val="es-MX"/>
        </w:rPr>
        <w:t xml:space="preserve"> </w:t>
      </w:r>
      <w:r w:rsidR="000F0ADA" w:rsidRPr="00AB71F5">
        <w:rPr>
          <w:lang w:val="es-MX"/>
        </w:rPr>
        <w:t xml:space="preserve">el de </w:t>
      </w:r>
      <w:r w:rsidR="000F0ADA" w:rsidRPr="00AB71F5">
        <w:rPr>
          <w:i/>
          <w:lang w:val="es-MX"/>
        </w:rPr>
        <w:t>equipo de cómputo</w:t>
      </w:r>
      <w:r w:rsidR="00F30963">
        <w:rPr>
          <w:lang w:val="es-MX"/>
        </w:rPr>
        <w:t xml:space="preserve"> y periféricos</w:t>
      </w:r>
      <w:r w:rsidR="000F0ADA" w:rsidRPr="00AB71F5">
        <w:rPr>
          <w:lang w:val="es-MX"/>
        </w:rPr>
        <w:t xml:space="preserve">, con participaciones de </w:t>
      </w:r>
      <w:r w:rsidR="009A7DC4" w:rsidRPr="00AB71F5">
        <w:rPr>
          <w:lang w:val="es-MX"/>
        </w:rPr>
        <w:t>8.0</w:t>
      </w:r>
      <w:r w:rsidR="000F0ADA" w:rsidRPr="00AB71F5">
        <w:rPr>
          <w:lang w:val="es-MX"/>
        </w:rPr>
        <w:t xml:space="preserve"> y 6.</w:t>
      </w:r>
      <w:r w:rsidR="009A7DC4" w:rsidRPr="00AB71F5">
        <w:rPr>
          <w:lang w:val="es-MX"/>
        </w:rPr>
        <w:t>0</w:t>
      </w:r>
      <w:r w:rsidR="00D96068">
        <w:rPr>
          <w:lang w:val="es-MX"/>
        </w:rPr>
        <w:t xml:space="preserve"> </w:t>
      </w:r>
      <w:r w:rsidR="000F0ADA" w:rsidRPr="00AB71F5">
        <w:rPr>
          <w:lang w:val="es-MX"/>
        </w:rPr>
        <w:t>%, respectivamente</w:t>
      </w:r>
      <w:r w:rsidR="00D96068">
        <w:rPr>
          <w:lang w:val="es-MX"/>
        </w:rPr>
        <w:t>.</w:t>
      </w:r>
    </w:p>
    <w:p w14:paraId="2050990D" w14:textId="4F0C3A00" w:rsidR="00D96068" w:rsidRDefault="00D96068" w:rsidP="00427DD7">
      <w:pPr>
        <w:ind w:left="-426" w:right="-233"/>
        <w:rPr>
          <w:lang w:val="es-MX"/>
        </w:rPr>
      </w:pPr>
    </w:p>
    <w:p w14:paraId="4D4F71E5" w14:textId="282CDABA" w:rsidR="00D96068" w:rsidRPr="004F6F67" w:rsidRDefault="00D96068" w:rsidP="00D96068">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Pr>
          <w:color w:val="auto"/>
          <w:sz w:val="20"/>
          <w:szCs w:val="20"/>
          <w:lang w:eastAsia="es-ES"/>
        </w:rPr>
        <w:t>5</w:t>
      </w:r>
    </w:p>
    <w:p w14:paraId="775C9FB3" w14:textId="5848F26B" w:rsidR="00B43102" w:rsidRDefault="00D96068" w:rsidP="00AB71F5">
      <w:pPr>
        <w:pStyle w:val="Default"/>
        <w:jc w:val="center"/>
        <w:rPr>
          <w:b/>
          <w:spacing w:val="-1"/>
          <w:sz w:val="18"/>
          <w:szCs w:val="18"/>
        </w:rPr>
      </w:pPr>
      <w:r>
        <w:rPr>
          <w:b/>
          <w:smallCaps/>
          <w:color w:val="auto"/>
          <w:sz w:val="22"/>
          <w:lang w:eastAsia="es-ES"/>
        </w:rPr>
        <w:t>Total de activos fijos según sector y tipo de activo</w:t>
      </w:r>
      <w:r w:rsidRPr="004F6F67">
        <w:rPr>
          <w:b/>
          <w:smallCaps/>
          <w:color w:val="auto"/>
          <w:sz w:val="22"/>
          <w:lang w:eastAsia="es-ES"/>
        </w:rPr>
        <w:t>, 2021</w:t>
      </w:r>
      <w:r w:rsidRPr="004F6F67">
        <w:rPr>
          <w:b/>
          <w:smallCaps/>
          <w:color w:val="auto"/>
          <w:sz w:val="22"/>
          <w:vertAlign w:val="superscript"/>
          <w:lang w:eastAsia="es-ES"/>
        </w:rPr>
        <w:t>P</w:t>
      </w:r>
    </w:p>
    <w:p w14:paraId="186ED00D" w14:textId="4F3C1532" w:rsidR="00B43102" w:rsidRPr="00C2456C" w:rsidRDefault="00BB1EEB" w:rsidP="00BB1EEB">
      <w:pPr>
        <w:ind w:left="121"/>
        <w:jc w:val="right"/>
        <w:rPr>
          <w:b/>
          <w:spacing w:val="-1"/>
          <w:sz w:val="18"/>
          <w:szCs w:val="18"/>
          <w:lang w:val="es-MX"/>
        </w:rPr>
      </w:pPr>
      <w:r>
        <w:rPr>
          <w:noProof/>
          <w:lang w:val="en-US" w:eastAsia="en-US"/>
        </w:rPr>
        <w:drawing>
          <wp:inline distT="0" distB="0" distL="0" distR="0" wp14:anchorId="1DEF125B" wp14:editId="157416A9">
            <wp:extent cx="5883275" cy="2268000"/>
            <wp:effectExtent l="0" t="0" r="3175" b="18415"/>
            <wp:docPr id="9" name="Gráfico 9">
              <a:extLst xmlns:a="http://schemas.openxmlformats.org/drawingml/2006/main">
                <a:ext uri="{FF2B5EF4-FFF2-40B4-BE49-F238E27FC236}">
                  <a16:creationId xmlns:a16="http://schemas.microsoft.com/office/drawing/2014/main" id="{E58BDB9D-1120-4D4B-A766-46BE58909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303A9E" w14:textId="77777777" w:rsidR="00B43102" w:rsidRPr="00AB71F5" w:rsidRDefault="00B43102" w:rsidP="00B43102">
      <w:pPr>
        <w:ind w:left="121"/>
        <w:rPr>
          <w:spacing w:val="-1"/>
          <w:sz w:val="16"/>
          <w:szCs w:val="16"/>
          <w:lang w:val="es-MX"/>
        </w:rPr>
      </w:pPr>
      <w:r w:rsidRPr="00AB71F5">
        <w:rPr>
          <w:spacing w:val="-1"/>
          <w:sz w:val="16"/>
          <w:szCs w:val="16"/>
          <w:lang w:val="es-MX"/>
        </w:rPr>
        <w:t>Fuente INEGI. Encuesta Anual del Comercio, Serie 2013</w:t>
      </w:r>
    </w:p>
    <w:p w14:paraId="4B45AC92" w14:textId="77777777" w:rsidR="00B43102" w:rsidRDefault="00B43102" w:rsidP="00B43102">
      <w:pPr>
        <w:ind w:left="121"/>
        <w:rPr>
          <w:b/>
          <w:spacing w:val="-1"/>
          <w:sz w:val="18"/>
          <w:szCs w:val="18"/>
          <w:lang w:val="es-MX"/>
        </w:rPr>
      </w:pPr>
    </w:p>
    <w:p w14:paraId="163B77BF" w14:textId="77777777" w:rsidR="00F91F71" w:rsidRDefault="00F91F71" w:rsidP="00AB71F5">
      <w:pPr>
        <w:ind w:left="-426" w:right="-233"/>
        <w:rPr>
          <w:lang w:val="es-MX"/>
        </w:rPr>
      </w:pPr>
    </w:p>
    <w:p w14:paraId="41861656" w14:textId="77777777" w:rsidR="00F91F71" w:rsidRDefault="00F91F71" w:rsidP="00AB71F5">
      <w:pPr>
        <w:ind w:left="-426" w:right="-233"/>
        <w:rPr>
          <w:lang w:val="es-MX"/>
        </w:rPr>
      </w:pPr>
    </w:p>
    <w:p w14:paraId="1D39DD1F" w14:textId="77777777" w:rsidR="00F91F71" w:rsidRDefault="00F91F71" w:rsidP="00AB71F5">
      <w:pPr>
        <w:ind w:left="-426" w:right="-233"/>
        <w:rPr>
          <w:lang w:val="es-MX"/>
        </w:rPr>
      </w:pPr>
    </w:p>
    <w:p w14:paraId="7B0B14A9" w14:textId="5013A8A7" w:rsidR="00D4134D" w:rsidRPr="00AB71F5" w:rsidRDefault="00D96068" w:rsidP="00AB71F5">
      <w:pPr>
        <w:ind w:left="-426" w:right="-233"/>
        <w:rPr>
          <w:lang w:val="es-MX"/>
        </w:rPr>
      </w:pPr>
      <w:r>
        <w:rPr>
          <w:lang w:val="es-MX"/>
        </w:rPr>
        <w:lastRenderedPageBreak/>
        <w:t>E</w:t>
      </w:r>
      <w:r w:rsidRPr="004F6F67">
        <w:rPr>
          <w:lang w:val="es-MX"/>
        </w:rPr>
        <w:t>n</w:t>
      </w:r>
      <w:r w:rsidR="0099727D">
        <w:rPr>
          <w:lang w:val="es-MX"/>
        </w:rPr>
        <w:t xml:space="preserve"> </w:t>
      </w:r>
      <w:r w:rsidR="00DB4520">
        <w:rPr>
          <w:lang w:val="es-MX"/>
        </w:rPr>
        <w:t>C</w:t>
      </w:r>
      <w:r w:rsidRPr="004F6F67">
        <w:rPr>
          <w:lang w:val="es-MX"/>
        </w:rPr>
        <w:t>omercio al por mayor</w:t>
      </w:r>
      <w:r>
        <w:rPr>
          <w:lang w:val="es-MX"/>
        </w:rPr>
        <w:t>, l</w:t>
      </w:r>
      <w:r w:rsidR="00D4134D" w:rsidRPr="00AB71F5">
        <w:rPr>
          <w:lang w:val="es-MX"/>
        </w:rPr>
        <w:t xml:space="preserve">os </w:t>
      </w:r>
      <w:r w:rsidR="00D4134D" w:rsidRPr="00AB71F5">
        <w:rPr>
          <w:i/>
          <w:lang w:val="es-MX"/>
        </w:rPr>
        <w:t>productores industriales y agropecuarios</w:t>
      </w:r>
      <w:r w:rsidR="00D4134D" w:rsidRPr="00AB71F5">
        <w:rPr>
          <w:lang w:val="es-MX"/>
        </w:rPr>
        <w:t xml:space="preserve"> </w:t>
      </w:r>
      <w:r>
        <w:rPr>
          <w:lang w:val="es-MX"/>
        </w:rPr>
        <w:t xml:space="preserve">tuvieron el </w:t>
      </w:r>
      <w:r w:rsidR="00D4134D" w:rsidRPr="00AB71F5">
        <w:rPr>
          <w:lang w:val="es-MX"/>
        </w:rPr>
        <w:t xml:space="preserve">mayor peso </w:t>
      </w:r>
      <w:r>
        <w:rPr>
          <w:lang w:val="es-MX"/>
        </w:rPr>
        <w:t xml:space="preserve">en las </w:t>
      </w:r>
      <w:r w:rsidRPr="004F6F67">
        <w:rPr>
          <w:lang w:val="es-MX"/>
        </w:rPr>
        <w:t>ventas de las mercancías</w:t>
      </w:r>
      <w:r w:rsidR="0099727D">
        <w:rPr>
          <w:lang w:val="es-MX"/>
        </w:rPr>
        <w:t>,</w:t>
      </w:r>
      <w:r w:rsidRPr="004F6F67">
        <w:rPr>
          <w:lang w:val="es-MX"/>
        </w:rPr>
        <w:t xml:space="preserve"> </w:t>
      </w:r>
      <w:r w:rsidR="00D4134D" w:rsidRPr="00AB71F5">
        <w:rPr>
          <w:lang w:val="es-MX"/>
        </w:rPr>
        <w:t>con 1</w:t>
      </w:r>
      <w:r w:rsidR="009A7DC4" w:rsidRPr="00AB71F5">
        <w:rPr>
          <w:lang w:val="es-MX"/>
        </w:rPr>
        <w:t>4.9</w:t>
      </w:r>
      <w:r>
        <w:rPr>
          <w:lang w:val="es-MX"/>
        </w:rPr>
        <w:t xml:space="preserve"> por ciento. En</w:t>
      </w:r>
      <w:r w:rsidR="00D4134D" w:rsidRPr="00AB71F5">
        <w:rPr>
          <w:lang w:val="es-MX"/>
        </w:rPr>
        <w:t xml:space="preserve"> </w:t>
      </w:r>
      <w:r w:rsidR="00DB4520">
        <w:rPr>
          <w:lang w:val="es-MX"/>
        </w:rPr>
        <w:t>C</w:t>
      </w:r>
      <w:r w:rsidR="00D4134D" w:rsidRPr="00AB71F5">
        <w:rPr>
          <w:lang w:val="es-MX"/>
        </w:rPr>
        <w:t>omercio al por menor</w:t>
      </w:r>
      <w:r>
        <w:rPr>
          <w:lang w:val="es-MX"/>
        </w:rPr>
        <w:t>,</w:t>
      </w:r>
      <w:r w:rsidR="00D4134D" w:rsidRPr="00AB71F5">
        <w:rPr>
          <w:lang w:val="es-MX"/>
        </w:rPr>
        <w:t xml:space="preserve"> participa</w:t>
      </w:r>
      <w:r>
        <w:rPr>
          <w:lang w:val="es-MX"/>
        </w:rPr>
        <w:t>ro</w:t>
      </w:r>
      <w:r w:rsidR="00D4134D" w:rsidRPr="00AB71F5">
        <w:rPr>
          <w:lang w:val="es-MX"/>
        </w:rPr>
        <w:t xml:space="preserve">n con </w:t>
      </w:r>
      <w:r w:rsidR="009A7DC4" w:rsidRPr="00AB71F5">
        <w:rPr>
          <w:lang w:val="es-MX"/>
        </w:rPr>
        <w:t>7.7</w:t>
      </w:r>
      <w:r>
        <w:rPr>
          <w:lang w:val="es-MX"/>
        </w:rPr>
        <w:t xml:space="preserve"> por ciento.</w:t>
      </w:r>
      <w:r w:rsidR="00D4134D" w:rsidRPr="00AB71F5">
        <w:rPr>
          <w:lang w:val="es-MX"/>
        </w:rPr>
        <w:t xml:space="preserve"> </w:t>
      </w:r>
      <w:r>
        <w:rPr>
          <w:lang w:val="es-MX"/>
        </w:rPr>
        <w:t>L</w:t>
      </w:r>
      <w:r w:rsidR="00D4134D" w:rsidRPr="00AB71F5">
        <w:rPr>
          <w:lang w:val="es-MX"/>
        </w:rPr>
        <w:t xml:space="preserve">as ventas a </w:t>
      </w:r>
      <w:r w:rsidR="00D4134D" w:rsidRPr="00AB71F5">
        <w:rPr>
          <w:i/>
          <w:lang w:val="es-MX"/>
        </w:rPr>
        <w:t xml:space="preserve">otros </w:t>
      </w:r>
      <w:r w:rsidR="00F30963" w:rsidRPr="00AB71F5">
        <w:rPr>
          <w:i/>
          <w:lang w:val="es-MX"/>
        </w:rPr>
        <w:t>c</w:t>
      </w:r>
      <w:r w:rsidR="00F30963" w:rsidRPr="00F30963">
        <w:rPr>
          <w:i/>
          <w:lang w:val="es-MX"/>
        </w:rPr>
        <w:t>omercios</w:t>
      </w:r>
      <w:r w:rsidR="00D4134D" w:rsidRPr="00AB71F5">
        <w:rPr>
          <w:i/>
          <w:lang w:val="es-MX"/>
        </w:rPr>
        <w:t xml:space="preserve"> al por mayor</w:t>
      </w:r>
      <w:r w:rsidR="00D4134D" w:rsidRPr="00AB71F5">
        <w:rPr>
          <w:lang w:val="es-MX"/>
        </w:rPr>
        <w:t xml:space="preserve"> </w:t>
      </w:r>
      <w:r>
        <w:rPr>
          <w:lang w:val="es-MX"/>
        </w:rPr>
        <w:t>fueron de</w:t>
      </w:r>
      <w:r w:rsidR="00D4134D" w:rsidRPr="00AB71F5">
        <w:rPr>
          <w:lang w:val="es-MX"/>
        </w:rPr>
        <w:t xml:space="preserve"> </w:t>
      </w:r>
      <w:r w:rsidR="009A7DC4" w:rsidRPr="00AB71F5">
        <w:rPr>
          <w:lang w:val="es-MX"/>
        </w:rPr>
        <w:t>50.5</w:t>
      </w:r>
      <w:r w:rsidR="00D4134D" w:rsidRPr="00AB71F5">
        <w:rPr>
          <w:lang w:val="es-MX"/>
        </w:rPr>
        <w:t xml:space="preserve"> y 1</w:t>
      </w:r>
      <w:r w:rsidR="009A7DC4" w:rsidRPr="00AB71F5">
        <w:rPr>
          <w:lang w:val="es-MX"/>
        </w:rPr>
        <w:t>3.6</w:t>
      </w:r>
      <w:r>
        <w:rPr>
          <w:lang w:val="es-MX"/>
        </w:rPr>
        <w:t xml:space="preserve"> </w:t>
      </w:r>
      <w:r w:rsidR="00D4134D" w:rsidRPr="00AB71F5">
        <w:rPr>
          <w:lang w:val="es-MX"/>
        </w:rPr>
        <w:t xml:space="preserve">% para </w:t>
      </w:r>
      <w:r w:rsidR="00DB4520">
        <w:rPr>
          <w:lang w:val="es-MX"/>
        </w:rPr>
        <w:t>C</w:t>
      </w:r>
      <w:r w:rsidR="00D4134D" w:rsidRPr="00AB71F5">
        <w:rPr>
          <w:lang w:val="es-MX"/>
        </w:rPr>
        <w:t xml:space="preserve">omercio al por mayor y </w:t>
      </w:r>
      <w:r w:rsidR="00DB4520">
        <w:rPr>
          <w:lang w:val="es-MX"/>
        </w:rPr>
        <w:t>C</w:t>
      </w:r>
      <w:r w:rsidR="00D4134D" w:rsidRPr="00AB71F5">
        <w:rPr>
          <w:lang w:val="es-MX"/>
        </w:rPr>
        <w:t>omercio al por menor, respectivamente.</w:t>
      </w:r>
    </w:p>
    <w:p w14:paraId="4BEBDEB9" w14:textId="77777777" w:rsidR="007D5590" w:rsidRDefault="007D5590" w:rsidP="00D4134D">
      <w:pPr>
        <w:ind w:left="121"/>
        <w:rPr>
          <w:sz w:val="22"/>
          <w:szCs w:val="22"/>
          <w:lang w:val="es-MX"/>
        </w:rPr>
      </w:pPr>
    </w:p>
    <w:p w14:paraId="33D357AC" w14:textId="7EB3CF9D" w:rsidR="00A75DC2" w:rsidRPr="004F6F67" w:rsidRDefault="00A75DC2">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Pr>
          <w:color w:val="auto"/>
          <w:sz w:val="20"/>
          <w:szCs w:val="20"/>
          <w:lang w:eastAsia="es-ES"/>
        </w:rPr>
        <w:t>6</w:t>
      </w:r>
    </w:p>
    <w:p w14:paraId="7A187E6D" w14:textId="56168CF8" w:rsidR="00B43102" w:rsidRDefault="00A75DC2" w:rsidP="00AB71F5">
      <w:pPr>
        <w:ind w:left="121"/>
        <w:jc w:val="center"/>
        <w:rPr>
          <w:b/>
          <w:spacing w:val="-1"/>
          <w:sz w:val="18"/>
          <w:szCs w:val="18"/>
          <w:lang w:val="es-MX"/>
        </w:rPr>
      </w:pPr>
      <w:r>
        <w:rPr>
          <w:b/>
          <w:smallCaps/>
          <w:sz w:val="22"/>
        </w:rPr>
        <w:t>Ventas netas de mercancías según sector y tipo de cliente</w:t>
      </w:r>
      <w:r w:rsidRPr="004F6F67">
        <w:rPr>
          <w:b/>
          <w:smallCaps/>
          <w:sz w:val="22"/>
        </w:rPr>
        <w:t>, 2021</w:t>
      </w:r>
      <w:r w:rsidRPr="004F6F67">
        <w:rPr>
          <w:b/>
          <w:smallCaps/>
          <w:sz w:val="22"/>
          <w:vertAlign w:val="superscript"/>
        </w:rPr>
        <w:t>P</w:t>
      </w:r>
    </w:p>
    <w:p w14:paraId="3353E5FD" w14:textId="1B70C843" w:rsidR="007D5590" w:rsidRPr="000E3592" w:rsidRDefault="007D5590" w:rsidP="00B43102">
      <w:pPr>
        <w:ind w:left="121"/>
        <w:jc w:val="right"/>
        <w:rPr>
          <w:b/>
          <w:spacing w:val="-1"/>
          <w:sz w:val="18"/>
          <w:szCs w:val="18"/>
          <w:lang w:val="es-MX"/>
        </w:rPr>
      </w:pPr>
    </w:p>
    <w:p w14:paraId="18B72000" w14:textId="78C2B0DB" w:rsidR="00B43102" w:rsidRDefault="007D5590" w:rsidP="00B43102">
      <w:pPr>
        <w:rPr>
          <w:b/>
          <w:bCs/>
          <w:sz w:val="22"/>
          <w:szCs w:val="22"/>
        </w:rPr>
      </w:pPr>
      <w:r>
        <w:rPr>
          <w:noProof/>
          <w:lang w:val="en-US" w:eastAsia="en-US"/>
        </w:rPr>
        <w:drawing>
          <wp:inline distT="0" distB="0" distL="0" distR="0" wp14:anchorId="143EA1EF" wp14:editId="336843C1">
            <wp:extent cx="5883275" cy="3240000"/>
            <wp:effectExtent l="0" t="0" r="3175" b="17780"/>
            <wp:docPr id="33" name="Gráfico 33">
              <a:extLst xmlns:a="http://schemas.openxmlformats.org/drawingml/2006/main">
                <a:ext uri="{FF2B5EF4-FFF2-40B4-BE49-F238E27FC236}">
                  <a16:creationId xmlns:a16="http://schemas.microsoft.com/office/drawing/2014/main" id="{13E4BCCA-2398-45E6-848F-294C63AA2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5351FA" w14:textId="0C5C659C" w:rsidR="00B43102" w:rsidRPr="00AB71F5" w:rsidRDefault="00B43102" w:rsidP="002E0F54">
      <w:pPr>
        <w:rPr>
          <w:spacing w:val="-1"/>
          <w:sz w:val="16"/>
          <w:szCs w:val="16"/>
          <w:lang w:val="es-MX"/>
        </w:rPr>
      </w:pPr>
      <w:r w:rsidRPr="00AB71F5">
        <w:rPr>
          <w:spacing w:val="-1"/>
          <w:sz w:val="16"/>
          <w:szCs w:val="16"/>
          <w:lang w:val="es-MX"/>
        </w:rPr>
        <w:t>Fuente INEGI. Encuesta Anual del Comercio, Serie 2013</w:t>
      </w:r>
    </w:p>
    <w:p w14:paraId="4FB2D4E2" w14:textId="77777777" w:rsidR="007D5590" w:rsidRDefault="007D5590" w:rsidP="002E0F54">
      <w:pPr>
        <w:rPr>
          <w:b/>
          <w:spacing w:val="-1"/>
          <w:sz w:val="18"/>
          <w:szCs w:val="18"/>
          <w:lang w:val="es-MX"/>
        </w:rPr>
      </w:pPr>
    </w:p>
    <w:p w14:paraId="5F76FD85" w14:textId="3F9FE3A0" w:rsidR="00D4134D" w:rsidRPr="00AB71F5" w:rsidRDefault="00D4134D" w:rsidP="00AB71F5">
      <w:pPr>
        <w:ind w:left="-426" w:right="-233"/>
        <w:rPr>
          <w:b/>
          <w:spacing w:val="-1"/>
          <w:lang w:val="es-MX"/>
        </w:rPr>
      </w:pPr>
      <w:r w:rsidRPr="00AB71F5">
        <w:rPr>
          <w:lang w:val="es-MX"/>
        </w:rPr>
        <w:t xml:space="preserve">Las formas de comercializar asumen un </w:t>
      </w:r>
      <w:r w:rsidR="00897B71">
        <w:rPr>
          <w:lang w:val="es-MX"/>
        </w:rPr>
        <w:t>papel</w:t>
      </w:r>
      <w:r w:rsidRPr="00AB71F5">
        <w:rPr>
          <w:lang w:val="es-MX"/>
        </w:rPr>
        <w:t xml:space="preserve"> importante en las empresas</w:t>
      </w:r>
      <w:r w:rsidR="00A75DC2">
        <w:rPr>
          <w:lang w:val="es-MX"/>
        </w:rPr>
        <w:t xml:space="preserve">. Así, </w:t>
      </w:r>
      <w:r w:rsidR="00C66D02">
        <w:rPr>
          <w:lang w:val="es-MX"/>
        </w:rPr>
        <w:t xml:space="preserve">a las unidades económicas </w:t>
      </w:r>
      <w:r w:rsidR="00A75DC2">
        <w:rPr>
          <w:lang w:val="es-MX"/>
        </w:rPr>
        <w:t>le</w:t>
      </w:r>
      <w:r w:rsidR="00C66D02">
        <w:rPr>
          <w:lang w:val="es-MX"/>
        </w:rPr>
        <w:t>s</w:t>
      </w:r>
      <w:r w:rsidR="00A75DC2">
        <w:rPr>
          <w:lang w:val="es-MX"/>
        </w:rPr>
        <w:t xml:space="preserve"> es posible </w:t>
      </w:r>
      <w:r w:rsidRPr="00AB71F5">
        <w:rPr>
          <w:lang w:val="es-MX"/>
        </w:rPr>
        <w:t>destacar sus productos y servicios</w:t>
      </w:r>
      <w:r w:rsidR="00A75DC2">
        <w:rPr>
          <w:lang w:val="es-MX"/>
        </w:rPr>
        <w:t>,</w:t>
      </w:r>
      <w:r w:rsidRPr="00AB71F5">
        <w:rPr>
          <w:lang w:val="es-MX"/>
        </w:rPr>
        <w:t xml:space="preserve"> romper barreras y posiciona</w:t>
      </w:r>
      <w:r w:rsidR="00897B71">
        <w:rPr>
          <w:lang w:val="es-MX"/>
        </w:rPr>
        <w:t>r</w:t>
      </w:r>
      <w:r w:rsidR="00A75DC2">
        <w:rPr>
          <w:lang w:val="es-MX"/>
        </w:rPr>
        <w:t>se</w:t>
      </w:r>
      <w:r w:rsidRPr="00AB71F5">
        <w:rPr>
          <w:lang w:val="es-MX"/>
        </w:rPr>
        <w:t xml:space="preserve"> en el mercado</w:t>
      </w:r>
      <w:r w:rsidR="00A75DC2">
        <w:rPr>
          <w:lang w:val="es-MX"/>
        </w:rPr>
        <w:t>. En 2021, la comercialización a través de</w:t>
      </w:r>
      <w:r w:rsidRPr="00AB71F5">
        <w:rPr>
          <w:lang w:val="es-MX"/>
        </w:rPr>
        <w:t xml:space="preserve"> </w:t>
      </w:r>
      <w:r w:rsidRPr="00AB71F5">
        <w:rPr>
          <w:i/>
          <w:lang w:val="es-MX"/>
        </w:rPr>
        <w:t>oficina</w:t>
      </w:r>
      <w:r w:rsidR="00897B71">
        <w:rPr>
          <w:i/>
          <w:lang w:val="es-MX"/>
        </w:rPr>
        <w:t>s</w:t>
      </w:r>
      <w:r w:rsidRPr="00AB71F5">
        <w:rPr>
          <w:i/>
          <w:lang w:val="es-MX"/>
        </w:rPr>
        <w:t xml:space="preserve"> de ventas</w:t>
      </w:r>
      <w:r w:rsidR="00A75DC2">
        <w:rPr>
          <w:lang w:val="es-MX"/>
        </w:rPr>
        <w:t>,</w:t>
      </w:r>
      <w:r w:rsidRPr="00AB71F5">
        <w:rPr>
          <w:lang w:val="es-MX"/>
        </w:rPr>
        <w:t xml:space="preserve"> en el secto</w:t>
      </w:r>
      <w:r w:rsidR="000D1832">
        <w:rPr>
          <w:lang w:val="es-MX"/>
        </w:rPr>
        <w:t xml:space="preserve">r </w:t>
      </w:r>
      <w:r w:rsidR="00DB4520">
        <w:rPr>
          <w:lang w:val="es-MX"/>
        </w:rPr>
        <w:t xml:space="preserve">Comercio </w:t>
      </w:r>
      <w:r w:rsidRPr="00AB71F5">
        <w:rPr>
          <w:lang w:val="es-MX"/>
        </w:rPr>
        <w:t>al por mayor</w:t>
      </w:r>
      <w:r w:rsidR="00A75DC2">
        <w:rPr>
          <w:lang w:val="es-MX"/>
        </w:rPr>
        <w:t xml:space="preserve">, </w:t>
      </w:r>
      <w:r w:rsidRPr="00AB71F5">
        <w:rPr>
          <w:lang w:val="es-MX"/>
        </w:rPr>
        <w:t>particip</w:t>
      </w:r>
      <w:r w:rsidR="00A75DC2">
        <w:rPr>
          <w:lang w:val="es-MX"/>
        </w:rPr>
        <w:t>ó</w:t>
      </w:r>
      <w:r w:rsidRPr="00AB71F5">
        <w:rPr>
          <w:lang w:val="es-MX"/>
        </w:rPr>
        <w:t xml:space="preserve"> con 2</w:t>
      </w:r>
      <w:r w:rsidR="009A7DC4" w:rsidRPr="00AB71F5">
        <w:rPr>
          <w:lang w:val="es-MX"/>
        </w:rPr>
        <w:t>1.8</w:t>
      </w:r>
      <w:r w:rsidR="00A75DC2">
        <w:rPr>
          <w:lang w:val="es-MX"/>
        </w:rPr>
        <w:t xml:space="preserve"> </w:t>
      </w:r>
      <w:r w:rsidRPr="00AB71F5">
        <w:rPr>
          <w:lang w:val="es-MX"/>
        </w:rPr>
        <w:t>% y en</w:t>
      </w:r>
      <w:r w:rsidR="000D1832">
        <w:rPr>
          <w:lang w:val="es-MX"/>
        </w:rPr>
        <w:t xml:space="preserve"> </w:t>
      </w:r>
      <w:r w:rsidR="00DB4520">
        <w:rPr>
          <w:lang w:val="es-MX"/>
        </w:rPr>
        <w:t>C</w:t>
      </w:r>
      <w:r w:rsidRPr="00AB71F5">
        <w:rPr>
          <w:lang w:val="es-MX"/>
        </w:rPr>
        <w:t>omercio al por menor</w:t>
      </w:r>
      <w:r w:rsidR="00A75DC2">
        <w:rPr>
          <w:lang w:val="es-MX"/>
        </w:rPr>
        <w:t>,</w:t>
      </w:r>
      <w:r w:rsidRPr="00AB71F5">
        <w:rPr>
          <w:lang w:val="es-MX"/>
        </w:rPr>
        <w:t xml:space="preserve"> con 5.</w:t>
      </w:r>
      <w:r w:rsidR="009A7DC4" w:rsidRPr="00AB71F5">
        <w:rPr>
          <w:lang w:val="es-MX"/>
        </w:rPr>
        <w:t>5</w:t>
      </w:r>
      <w:r w:rsidR="00A75DC2">
        <w:rPr>
          <w:lang w:val="es-MX"/>
        </w:rPr>
        <w:t xml:space="preserve"> por ciento. </w:t>
      </w:r>
      <w:r w:rsidR="000D1832">
        <w:rPr>
          <w:lang w:val="es-MX"/>
        </w:rPr>
        <w:t>S</w:t>
      </w:r>
      <w:r w:rsidR="00A75DC2">
        <w:rPr>
          <w:lang w:val="es-MX"/>
        </w:rPr>
        <w:t>iguieron</w:t>
      </w:r>
      <w:r w:rsidRPr="00AB71F5">
        <w:rPr>
          <w:lang w:val="es-MX"/>
        </w:rPr>
        <w:t xml:space="preserve"> </w:t>
      </w:r>
      <w:r w:rsidR="00A75DC2">
        <w:rPr>
          <w:lang w:val="es-MX"/>
        </w:rPr>
        <w:t>las</w:t>
      </w:r>
      <w:r w:rsidRPr="00AB71F5">
        <w:rPr>
          <w:lang w:val="es-MX"/>
        </w:rPr>
        <w:t xml:space="preserve"> </w:t>
      </w:r>
      <w:r w:rsidRPr="00AB71F5">
        <w:rPr>
          <w:i/>
          <w:lang w:val="es-MX"/>
        </w:rPr>
        <w:t>tiendas con</w:t>
      </w:r>
      <w:r w:rsidRPr="00AB71F5">
        <w:rPr>
          <w:lang w:val="es-MX"/>
        </w:rPr>
        <w:t xml:space="preserve"> </w:t>
      </w:r>
      <w:r w:rsidRPr="00AB71F5">
        <w:rPr>
          <w:i/>
          <w:lang w:val="es-MX"/>
        </w:rPr>
        <w:t>atención personal del vendedor en el mostrador</w:t>
      </w:r>
      <w:r w:rsidR="00A75DC2">
        <w:rPr>
          <w:lang w:val="es-MX"/>
        </w:rPr>
        <w:t>, con</w:t>
      </w:r>
      <w:r w:rsidRPr="00AB71F5">
        <w:rPr>
          <w:lang w:val="es-MX"/>
        </w:rPr>
        <w:t xml:space="preserve"> 23.</w:t>
      </w:r>
      <w:r w:rsidR="009A7DC4" w:rsidRPr="00AB71F5">
        <w:rPr>
          <w:lang w:val="es-MX"/>
        </w:rPr>
        <w:t>7</w:t>
      </w:r>
      <w:r w:rsidRPr="00AB71F5">
        <w:rPr>
          <w:lang w:val="es-MX"/>
        </w:rPr>
        <w:t xml:space="preserve"> y</w:t>
      </w:r>
      <w:r w:rsidR="00DB4520">
        <w:rPr>
          <w:lang w:val="es-MX"/>
        </w:rPr>
        <w:t xml:space="preserve"> </w:t>
      </w:r>
      <w:r w:rsidRPr="00AB71F5">
        <w:rPr>
          <w:lang w:val="es-MX"/>
        </w:rPr>
        <w:t>3</w:t>
      </w:r>
      <w:r w:rsidR="009A7DC4" w:rsidRPr="00AB71F5">
        <w:rPr>
          <w:lang w:val="es-MX"/>
        </w:rPr>
        <w:t>2.8</w:t>
      </w:r>
      <w:r w:rsidR="00A75DC2">
        <w:rPr>
          <w:lang w:val="es-MX"/>
        </w:rPr>
        <w:t xml:space="preserve"> </w:t>
      </w:r>
      <w:r w:rsidRPr="00AB71F5">
        <w:rPr>
          <w:lang w:val="es-MX"/>
        </w:rPr>
        <w:t>%</w:t>
      </w:r>
      <w:r w:rsidR="000D1832">
        <w:rPr>
          <w:lang w:val="es-MX"/>
        </w:rPr>
        <w:t xml:space="preserve">, </w:t>
      </w:r>
      <w:r w:rsidR="00C66D02">
        <w:rPr>
          <w:lang w:val="es-MX"/>
        </w:rPr>
        <w:t xml:space="preserve">respectivamente. Las </w:t>
      </w:r>
      <w:r w:rsidR="00C66D02" w:rsidRPr="00AB71F5">
        <w:rPr>
          <w:i/>
          <w:lang w:val="es-MX"/>
        </w:rPr>
        <w:t xml:space="preserve">ventas </w:t>
      </w:r>
      <w:r w:rsidRPr="00AB71F5">
        <w:rPr>
          <w:i/>
          <w:lang w:val="es-MX"/>
        </w:rPr>
        <w:t>de</w:t>
      </w:r>
      <w:r w:rsidRPr="00AB71F5">
        <w:rPr>
          <w:lang w:val="es-MX"/>
        </w:rPr>
        <w:t xml:space="preserve"> </w:t>
      </w:r>
      <w:r w:rsidRPr="00AB71F5">
        <w:rPr>
          <w:i/>
          <w:lang w:val="es-MX"/>
        </w:rPr>
        <w:t>bodega, almacén o depósito</w:t>
      </w:r>
      <w:r w:rsidRPr="00AB71F5">
        <w:rPr>
          <w:lang w:val="es-MX"/>
        </w:rPr>
        <w:t xml:space="preserve"> </w:t>
      </w:r>
      <w:r w:rsidR="00C66D02">
        <w:rPr>
          <w:lang w:val="es-MX"/>
        </w:rPr>
        <w:t xml:space="preserve">representaron 26.6 % </w:t>
      </w:r>
      <w:r w:rsidRPr="00AB71F5">
        <w:rPr>
          <w:lang w:val="es-MX"/>
        </w:rPr>
        <w:t>en el</w:t>
      </w:r>
      <w:r w:rsidR="000D1832">
        <w:rPr>
          <w:lang w:val="es-MX"/>
        </w:rPr>
        <w:t xml:space="preserve"> sector</w:t>
      </w:r>
      <w:r w:rsidRPr="00AB71F5">
        <w:rPr>
          <w:lang w:val="es-MX"/>
        </w:rPr>
        <w:t xml:space="preserve"> </w:t>
      </w:r>
      <w:r w:rsidR="000D1832">
        <w:rPr>
          <w:lang w:val="es-MX"/>
        </w:rPr>
        <w:t>C</w:t>
      </w:r>
      <w:r w:rsidRPr="00AB71F5">
        <w:rPr>
          <w:lang w:val="es-MX"/>
        </w:rPr>
        <w:t>omercio al por mayo</w:t>
      </w:r>
      <w:r w:rsidR="00C66D02">
        <w:rPr>
          <w:lang w:val="es-MX"/>
        </w:rPr>
        <w:t>r</w:t>
      </w:r>
      <w:r w:rsidRPr="00AB71F5">
        <w:rPr>
          <w:lang w:val="es-MX"/>
        </w:rPr>
        <w:t xml:space="preserve"> </w:t>
      </w:r>
      <w:r w:rsidR="00C66D02">
        <w:rPr>
          <w:lang w:val="es-MX"/>
        </w:rPr>
        <w:t xml:space="preserve">y </w:t>
      </w:r>
      <w:r w:rsidR="00492BDA" w:rsidRPr="00AB71F5">
        <w:rPr>
          <w:lang w:val="es-MX"/>
        </w:rPr>
        <w:t>3.7</w:t>
      </w:r>
      <w:r w:rsidR="00A75DC2">
        <w:rPr>
          <w:lang w:val="es-MX"/>
        </w:rPr>
        <w:t xml:space="preserve"> </w:t>
      </w:r>
      <w:r w:rsidR="00C66D02">
        <w:rPr>
          <w:lang w:val="es-MX"/>
        </w:rPr>
        <w:t xml:space="preserve">% en </w:t>
      </w:r>
      <w:r w:rsidR="00DB4520">
        <w:rPr>
          <w:lang w:val="es-MX"/>
        </w:rPr>
        <w:t>C</w:t>
      </w:r>
      <w:r w:rsidR="00C66D02">
        <w:rPr>
          <w:lang w:val="es-MX"/>
        </w:rPr>
        <w:t>omercio al por menor.</w:t>
      </w:r>
    </w:p>
    <w:p w14:paraId="4D202BD0" w14:textId="77777777" w:rsidR="00C66D02" w:rsidRDefault="00C66D02" w:rsidP="003E704F">
      <w:pPr>
        <w:pStyle w:val="Default"/>
        <w:tabs>
          <w:tab w:val="left" w:pos="3261"/>
          <w:tab w:val="left" w:pos="4253"/>
        </w:tabs>
        <w:ind w:right="-233"/>
        <w:rPr>
          <w:color w:val="auto"/>
          <w:sz w:val="20"/>
          <w:szCs w:val="20"/>
          <w:lang w:eastAsia="es-ES"/>
        </w:rPr>
      </w:pPr>
    </w:p>
    <w:p w14:paraId="12233591"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5AE78EBE"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629F2555"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4AF99B80"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02FFE324"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43494650"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4826DAFF"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0EFD3749"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35356500"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60411D2E"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282D3C58"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040C8BCB"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031FE16C"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190969CC" w14:textId="77777777" w:rsidR="00F91F71" w:rsidRDefault="00F91F71" w:rsidP="00C66D02">
      <w:pPr>
        <w:pStyle w:val="Default"/>
        <w:tabs>
          <w:tab w:val="left" w:pos="3261"/>
          <w:tab w:val="left" w:pos="4253"/>
        </w:tabs>
        <w:ind w:left="-426" w:right="-233"/>
        <w:jc w:val="center"/>
        <w:rPr>
          <w:color w:val="auto"/>
          <w:sz w:val="20"/>
          <w:szCs w:val="20"/>
          <w:lang w:eastAsia="es-ES"/>
        </w:rPr>
      </w:pPr>
    </w:p>
    <w:p w14:paraId="6249F8E5" w14:textId="79179704" w:rsidR="00C66D02" w:rsidRPr="004F6F67" w:rsidRDefault="00C66D02" w:rsidP="00C66D02">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Pr>
          <w:color w:val="auto"/>
          <w:sz w:val="20"/>
          <w:szCs w:val="20"/>
          <w:lang w:eastAsia="es-ES"/>
        </w:rPr>
        <w:t>7</w:t>
      </w:r>
    </w:p>
    <w:p w14:paraId="4ADE44AE" w14:textId="4185D3AA" w:rsidR="00C66D02" w:rsidRDefault="00C66D02" w:rsidP="00C66D02">
      <w:pPr>
        <w:ind w:left="121"/>
        <w:jc w:val="center"/>
        <w:rPr>
          <w:b/>
          <w:spacing w:val="-1"/>
          <w:sz w:val="18"/>
          <w:szCs w:val="18"/>
          <w:lang w:val="es-MX"/>
        </w:rPr>
      </w:pPr>
      <w:r>
        <w:rPr>
          <w:b/>
          <w:smallCaps/>
          <w:sz w:val="22"/>
        </w:rPr>
        <w:t>Lugar en el que realiza la actividad comercial según sector</w:t>
      </w:r>
      <w:r w:rsidRPr="004F6F67">
        <w:rPr>
          <w:b/>
          <w:smallCaps/>
          <w:sz w:val="22"/>
        </w:rPr>
        <w:t>, 2021</w:t>
      </w:r>
      <w:r w:rsidRPr="004F6F67">
        <w:rPr>
          <w:b/>
          <w:smallCaps/>
          <w:sz w:val="22"/>
          <w:vertAlign w:val="superscript"/>
        </w:rPr>
        <w:t>P</w:t>
      </w:r>
    </w:p>
    <w:p w14:paraId="06A0B7EC" w14:textId="21A04323" w:rsidR="00B43102" w:rsidRDefault="001F67F1" w:rsidP="00B43102">
      <w:pPr>
        <w:rPr>
          <w:b/>
          <w:bCs/>
          <w:sz w:val="22"/>
          <w:szCs w:val="22"/>
        </w:rPr>
      </w:pPr>
      <w:r>
        <w:rPr>
          <w:noProof/>
          <w:lang w:val="en-US" w:eastAsia="en-US"/>
        </w:rPr>
        <w:drawing>
          <wp:inline distT="0" distB="0" distL="0" distR="0" wp14:anchorId="1C3C4DEA" wp14:editId="31935778">
            <wp:extent cx="5883275" cy="2880000"/>
            <wp:effectExtent l="0" t="0" r="3175" b="15875"/>
            <wp:docPr id="36" name="Gráfico 36">
              <a:extLst xmlns:a="http://schemas.openxmlformats.org/drawingml/2006/main">
                <a:ext uri="{FF2B5EF4-FFF2-40B4-BE49-F238E27FC236}">
                  <a16:creationId xmlns:a16="http://schemas.microsoft.com/office/drawing/2014/main" id="{DCB694CF-90F7-455E-BBC1-07E31F007D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BC9AD2" w14:textId="77777777" w:rsidR="00B43102" w:rsidRPr="00AB71F5" w:rsidRDefault="00B43102" w:rsidP="00B43102">
      <w:pPr>
        <w:rPr>
          <w:spacing w:val="-1"/>
          <w:sz w:val="16"/>
          <w:szCs w:val="16"/>
          <w:lang w:val="es-MX"/>
        </w:rPr>
      </w:pPr>
      <w:r w:rsidRPr="00AB71F5">
        <w:rPr>
          <w:spacing w:val="-1"/>
          <w:sz w:val="16"/>
          <w:szCs w:val="16"/>
          <w:lang w:val="es-MX"/>
        </w:rPr>
        <w:t>Fuente INEGI. Encuesta Anual del Comercio, Serie 2013</w:t>
      </w:r>
    </w:p>
    <w:p w14:paraId="048C4C13" w14:textId="77777777" w:rsidR="00B43102" w:rsidRDefault="00B43102" w:rsidP="00B43102">
      <w:pPr>
        <w:rPr>
          <w:b/>
          <w:spacing w:val="-1"/>
          <w:sz w:val="18"/>
          <w:szCs w:val="18"/>
          <w:lang w:val="es-MX"/>
        </w:rPr>
      </w:pPr>
    </w:p>
    <w:p w14:paraId="04965992" w14:textId="0C91DF35" w:rsidR="002D50DC" w:rsidRPr="00AB71F5" w:rsidRDefault="00B43102" w:rsidP="00AB71F5">
      <w:pPr>
        <w:ind w:left="-426" w:right="-233"/>
        <w:rPr>
          <w:lang w:val="es-MX"/>
        </w:rPr>
      </w:pPr>
      <w:r w:rsidRPr="00AB71F5">
        <w:rPr>
          <w:lang w:val="es-MX"/>
        </w:rPr>
        <w:t xml:space="preserve">La </w:t>
      </w:r>
      <w:r w:rsidRPr="00AB71F5">
        <w:rPr>
          <w:i/>
          <w:lang w:val="es-MX"/>
        </w:rPr>
        <w:t>venta directa en el establecimiento</w:t>
      </w:r>
      <w:r w:rsidRPr="00AB71F5">
        <w:rPr>
          <w:lang w:val="es-MX"/>
        </w:rPr>
        <w:t xml:space="preserve"> </w:t>
      </w:r>
      <w:r w:rsidR="00625AB3">
        <w:rPr>
          <w:lang w:val="es-MX"/>
        </w:rPr>
        <w:t>fue</w:t>
      </w:r>
      <w:r w:rsidRPr="00AB71F5">
        <w:rPr>
          <w:lang w:val="es-MX"/>
        </w:rPr>
        <w:t xml:space="preserve"> la</w:t>
      </w:r>
      <w:r w:rsidR="00625AB3">
        <w:rPr>
          <w:lang w:val="es-MX"/>
        </w:rPr>
        <w:t xml:space="preserve"> </w:t>
      </w:r>
      <w:r w:rsidR="00625AB3" w:rsidRPr="004F6F67">
        <w:rPr>
          <w:lang w:val="es-MX"/>
        </w:rPr>
        <w:t xml:space="preserve">forma </w:t>
      </w:r>
      <w:r w:rsidR="00F30963">
        <w:rPr>
          <w:lang w:val="es-MX"/>
        </w:rPr>
        <w:t xml:space="preserve">más empleada por </w:t>
      </w:r>
      <w:r w:rsidR="00625AB3" w:rsidRPr="004F6F67">
        <w:rPr>
          <w:lang w:val="es-MX"/>
        </w:rPr>
        <w:t>las empresas comerciales</w:t>
      </w:r>
      <w:r w:rsidR="00625AB3">
        <w:rPr>
          <w:lang w:val="es-MX"/>
        </w:rPr>
        <w:t>. En el</w:t>
      </w:r>
      <w:r w:rsidRPr="00AB71F5">
        <w:rPr>
          <w:lang w:val="es-MX"/>
        </w:rPr>
        <w:t xml:space="preserve"> sector</w:t>
      </w:r>
      <w:r w:rsidR="009B7473" w:rsidRPr="00AB71F5">
        <w:rPr>
          <w:lang w:val="es-MX"/>
        </w:rPr>
        <w:t xml:space="preserve"> </w:t>
      </w:r>
      <w:r w:rsidR="00DB4520">
        <w:rPr>
          <w:lang w:val="es-MX"/>
        </w:rPr>
        <w:t>C</w:t>
      </w:r>
      <w:r w:rsidR="009B7473" w:rsidRPr="00AB71F5">
        <w:rPr>
          <w:lang w:val="es-MX"/>
        </w:rPr>
        <w:t xml:space="preserve">omercio al por </w:t>
      </w:r>
      <w:r w:rsidRPr="00AB71F5">
        <w:rPr>
          <w:lang w:val="es-MX"/>
        </w:rPr>
        <w:t>menor</w:t>
      </w:r>
      <w:r w:rsidR="00625AB3">
        <w:rPr>
          <w:lang w:val="es-MX"/>
        </w:rPr>
        <w:t xml:space="preserve">, esta actividad participó con </w:t>
      </w:r>
      <w:r w:rsidR="00492BDA" w:rsidRPr="00AB71F5">
        <w:rPr>
          <w:lang w:val="es-MX"/>
        </w:rPr>
        <w:t>82.3</w:t>
      </w:r>
      <w:r w:rsidR="00625AB3">
        <w:rPr>
          <w:lang w:val="es-MX"/>
        </w:rPr>
        <w:t xml:space="preserve"> </w:t>
      </w:r>
      <w:r w:rsidRPr="00AB71F5">
        <w:rPr>
          <w:lang w:val="es-MX"/>
        </w:rPr>
        <w:t xml:space="preserve">% y </w:t>
      </w:r>
      <w:r w:rsidR="00625AB3">
        <w:rPr>
          <w:lang w:val="es-MX"/>
        </w:rPr>
        <w:t>en</w:t>
      </w:r>
      <w:r w:rsidR="008E4E02" w:rsidRPr="00AB71F5">
        <w:rPr>
          <w:lang w:val="es-MX"/>
        </w:rPr>
        <w:t xml:space="preserve"> </w:t>
      </w:r>
      <w:r w:rsidR="00DB4520">
        <w:rPr>
          <w:lang w:val="es-MX"/>
        </w:rPr>
        <w:t>C</w:t>
      </w:r>
      <w:r w:rsidR="008E4E02" w:rsidRPr="00AB71F5">
        <w:rPr>
          <w:lang w:val="es-MX"/>
        </w:rPr>
        <w:t xml:space="preserve">omercio </w:t>
      </w:r>
      <w:r w:rsidRPr="00AB71F5">
        <w:rPr>
          <w:lang w:val="es-MX"/>
        </w:rPr>
        <w:t>al por m</w:t>
      </w:r>
      <w:r w:rsidR="00EE63FD" w:rsidRPr="00AB71F5">
        <w:rPr>
          <w:lang w:val="es-MX"/>
        </w:rPr>
        <w:t>ay</w:t>
      </w:r>
      <w:r w:rsidRPr="00AB71F5">
        <w:rPr>
          <w:lang w:val="es-MX"/>
        </w:rPr>
        <w:t>or</w:t>
      </w:r>
      <w:r w:rsidR="00F30963">
        <w:rPr>
          <w:lang w:val="es-MX"/>
        </w:rPr>
        <w:t>,</w:t>
      </w:r>
      <w:r w:rsidRPr="00AB71F5">
        <w:rPr>
          <w:lang w:val="es-MX"/>
        </w:rPr>
        <w:t xml:space="preserve"> </w:t>
      </w:r>
      <w:r w:rsidR="00625AB3">
        <w:rPr>
          <w:lang w:val="es-MX"/>
        </w:rPr>
        <w:t>con</w:t>
      </w:r>
      <w:r w:rsidRPr="00AB71F5">
        <w:rPr>
          <w:lang w:val="es-MX"/>
        </w:rPr>
        <w:t xml:space="preserve"> </w:t>
      </w:r>
      <w:r w:rsidR="00492BDA" w:rsidRPr="00AB71F5">
        <w:rPr>
          <w:lang w:val="es-MX"/>
        </w:rPr>
        <w:t>56.0</w:t>
      </w:r>
      <w:r w:rsidR="00625AB3">
        <w:rPr>
          <w:lang w:val="es-MX"/>
        </w:rPr>
        <w:t xml:space="preserve"> por ciento. La forma de comercialización menos frecuente fue </w:t>
      </w:r>
      <w:r w:rsidRPr="00AB71F5">
        <w:rPr>
          <w:lang w:val="es-MX"/>
        </w:rPr>
        <w:t>la venta por</w:t>
      </w:r>
      <w:r w:rsidRPr="00AB71F5">
        <w:rPr>
          <w:i/>
          <w:lang w:val="es-MX"/>
        </w:rPr>
        <w:t xml:space="preserve"> </w:t>
      </w:r>
      <w:r w:rsidR="00F00850" w:rsidRPr="00AB71F5">
        <w:rPr>
          <w:i/>
          <w:lang w:val="es-MX"/>
        </w:rPr>
        <w:t>c</w:t>
      </w:r>
      <w:r w:rsidRPr="00AB71F5">
        <w:rPr>
          <w:i/>
          <w:lang w:val="es-MX"/>
        </w:rPr>
        <w:t>atálogo o correo postal</w:t>
      </w:r>
      <w:r w:rsidR="00625AB3">
        <w:rPr>
          <w:lang w:val="es-MX"/>
        </w:rPr>
        <w:t>. En</w:t>
      </w:r>
      <w:r w:rsidR="00721DED" w:rsidRPr="00AB71F5">
        <w:rPr>
          <w:lang w:val="es-MX"/>
        </w:rPr>
        <w:t xml:space="preserve"> </w:t>
      </w:r>
      <w:r w:rsidR="00DB4520">
        <w:rPr>
          <w:lang w:val="es-MX"/>
        </w:rPr>
        <w:t>C</w:t>
      </w:r>
      <w:r w:rsidR="00721DED" w:rsidRPr="00AB71F5">
        <w:rPr>
          <w:lang w:val="es-MX"/>
        </w:rPr>
        <w:t xml:space="preserve">omercio </w:t>
      </w:r>
      <w:r w:rsidRPr="00AB71F5">
        <w:rPr>
          <w:lang w:val="es-MX"/>
        </w:rPr>
        <w:t xml:space="preserve">al por mayor </w:t>
      </w:r>
      <w:r w:rsidR="00721DED" w:rsidRPr="00AB71F5">
        <w:rPr>
          <w:lang w:val="es-MX"/>
        </w:rPr>
        <w:t>aport</w:t>
      </w:r>
      <w:r w:rsidR="00625AB3">
        <w:rPr>
          <w:lang w:val="es-MX"/>
        </w:rPr>
        <w:t>ó</w:t>
      </w:r>
      <w:r w:rsidRPr="00AB71F5">
        <w:rPr>
          <w:lang w:val="es-MX"/>
        </w:rPr>
        <w:t xml:space="preserve"> </w:t>
      </w:r>
      <w:r w:rsidR="00492BDA" w:rsidRPr="00AB71F5">
        <w:rPr>
          <w:lang w:val="es-MX"/>
        </w:rPr>
        <w:t>0.7</w:t>
      </w:r>
      <w:r w:rsidR="00F30963">
        <w:rPr>
          <w:lang w:val="es-MX"/>
        </w:rPr>
        <w:t xml:space="preserve"> </w:t>
      </w:r>
      <w:r w:rsidRPr="00AB71F5">
        <w:rPr>
          <w:lang w:val="es-MX"/>
        </w:rPr>
        <w:t>%</w:t>
      </w:r>
      <w:r w:rsidR="00F30963">
        <w:rPr>
          <w:lang w:val="es-MX"/>
        </w:rPr>
        <w:t xml:space="preserve"> y</w:t>
      </w:r>
      <w:r w:rsidRPr="00AB71F5">
        <w:rPr>
          <w:lang w:val="es-MX"/>
        </w:rPr>
        <w:t xml:space="preserve"> </w:t>
      </w:r>
      <w:r w:rsidR="00721DED" w:rsidRPr="00AB71F5">
        <w:rPr>
          <w:lang w:val="es-MX"/>
        </w:rPr>
        <w:t xml:space="preserve">en </w:t>
      </w:r>
      <w:r w:rsidR="00DB4520">
        <w:rPr>
          <w:lang w:val="es-MX"/>
        </w:rPr>
        <w:t>C</w:t>
      </w:r>
      <w:r w:rsidR="00721DED" w:rsidRPr="00AB71F5">
        <w:rPr>
          <w:lang w:val="es-MX"/>
        </w:rPr>
        <w:t xml:space="preserve">omercio </w:t>
      </w:r>
      <w:r w:rsidRPr="00AB71F5">
        <w:rPr>
          <w:lang w:val="es-MX"/>
        </w:rPr>
        <w:t>al por menor</w:t>
      </w:r>
      <w:r w:rsidR="00F30963">
        <w:rPr>
          <w:lang w:val="es-MX"/>
        </w:rPr>
        <w:t>,</w:t>
      </w:r>
      <w:r w:rsidR="00492BDA" w:rsidRPr="00AB71F5">
        <w:rPr>
          <w:lang w:val="es-MX"/>
        </w:rPr>
        <w:t>1.5</w:t>
      </w:r>
      <w:r w:rsidR="00F30963">
        <w:rPr>
          <w:lang w:val="es-MX"/>
        </w:rPr>
        <w:t xml:space="preserve"> por ciento.</w:t>
      </w:r>
    </w:p>
    <w:p w14:paraId="66681D16" w14:textId="77777777" w:rsidR="002C75B9" w:rsidRDefault="002C75B9" w:rsidP="003E704F">
      <w:pPr>
        <w:pStyle w:val="Default"/>
        <w:tabs>
          <w:tab w:val="left" w:pos="3261"/>
          <w:tab w:val="left" w:pos="4253"/>
        </w:tabs>
        <w:ind w:right="-233"/>
        <w:rPr>
          <w:color w:val="auto"/>
          <w:sz w:val="20"/>
          <w:szCs w:val="20"/>
          <w:lang w:eastAsia="es-ES"/>
        </w:rPr>
      </w:pPr>
    </w:p>
    <w:p w14:paraId="7356814C" w14:textId="00832737" w:rsidR="00EF4F99" w:rsidRPr="004F6F67" w:rsidRDefault="00EF4F99" w:rsidP="00EF4F99">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Pr>
          <w:color w:val="auto"/>
          <w:sz w:val="20"/>
          <w:szCs w:val="20"/>
          <w:lang w:eastAsia="es-ES"/>
        </w:rPr>
        <w:t>8</w:t>
      </w:r>
    </w:p>
    <w:p w14:paraId="58AB3B7E" w14:textId="49DE5DA4" w:rsidR="00EF4F99" w:rsidRDefault="00EF4F99" w:rsidP="00EF4F99">
      <w:pPr>
        <w:ind w:left="121"/>
        <w:jc w:val="center"/>
        <w:rPr>
          <w:b/>
          <w:spacing w:val="-1"/>
          <w:sz w:val="18"/>
          <w:szCs w:val="18"/>
          <w:lang w:val="es-MX"/>
        </w:rPr>
      </w:pPr>
      <w:r>
        <w:rPr>
          <w:b/>
          <w:smallCaps/>
          <w:sz w:val="22"/>
        </w:rPr>
        <w:t>Medios de comercialización según sector y tipo de medio</w:t>
      </w:r>
      <w:r w:rsidRPr="004F6F67">
        <w:rPr>
          <w:b/>
          <w:smallCaps/>
          <w:sz w:val="22"/>
        </w:rPr>
        <w:t>, 2021</w:t>
      </w:r>
      <w:r w:rsidRPr="004F6F67">
        <w:rPr>
          <w:b/>
          <w:smallCaps/>
          <w:sz w:val="22"/>
          <w:vertAlign w:val="superscript"/>
        </w:rPr>
        <w:t>P</w:t>
      </w:r>
    </w:p>
    <w:p w14:paraId="70758CF6" w14:textId="7D079AED" w:rsidR="00B43102" w:rsidRDefault="00900442" w:rsidP="00AB71F5">
      <w:pPr>
        <w:jc w:val="right"/>
        <w:rPr>
          <w:b/>
          <w:bCs/>
          <w:sz w:val="22"/>
          <w:szCs w:val="22"/>
        </w:rPr>
      </w:pPr>
      <w:r>
        <w:rPr>
          <w:noProof/>
          <w:lang w:val="en-US" w:eastAsia="en-US"/>
        </w:rPr>
        <w:drawing>
          <wp:inline distT="0" distB="0" distL="0" distR="0" wp14:anchorId="27CF7E78" wp14:editId="7C8F67E3">
            <wp:extent cx="5883275" cy="3060000"/>
            <wp:effectExtent l="0" t="0" r="3175" b="7620"/>
            <wp:docPr id="37" name="Gráfico 37">
              <a:extLst xmlns:a="http://schemas.openxmlformats.org/drawingml/2006/main">
                <a:ext uri="{FF2B5EF4-FFF2-40B4-BE49-F238E27FC236}">
                  <a16:creationId xmlns:a16="http://schemas.microsoft.com/office/drawing/2014/main" id="{19F2EAC1-0B98-4C42-BD15-C313E10C70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AD9BBF" w14:textId="77777777" w:rsidR="00E54D51" w:rsidRPr="00AB71F5" w:rsidRDefault="00B43102" w:rsidP="00B43102">
      <w:pPr>
        <w:rPr>
          <w:spacing w:val="-1"/>
          <w:sz w:val="16"/>
          <w:szCs w:val="16"/>
          <w:lang w:val="es-MX"/>
        </w:rPr>
      </w:pPr>
      <w:r w:rsidRPr="00AB71F5">
        <w:rPr>
          <w:spacing w:val="-1"/>
          <w:sz w:val="16"/>
          <w:szCs w:val="16"/>
          <w:lang w:val="es-MX"/>
        </w:rPr>
        <w:t>Fuente INEGI. Encuesta Anual del Comercio, Serie 2013</w:t>
      </w:r>
    </w:p>
    <w:p w14:paraId="673CDB41" w14:textId="77777777" w:rsidR="00B43102" w:rsidRDefault="00B43102" w:rsidP="00B43102">
      <w:pPr>
        <w:rPr>
          <w:b/>
          <w:bCs/>
          <w:sz w:val="22"/>
          <w:szCs w:val="22"/>
        </w:rPr>
      </w:pPr>
    </w:p>
    <w:p w14:paraId="62F8F1A9" w14:textId="366B1DAB" w:rsidR="00B10044" w:rsidRPr="00F46612" w:rsidRDefault="00D4134D" w:rsidP="00F46612">
      <w:pPr>
        <w:ind w:left="-426" w:right="-233"/>
      </w:pPr>
      <w:bookmarkStart w:id="1" w:name="_Hlk90039419"/>
      <w:r w:rsidRPr="00AB71F5">
        <w:t>Al revisar la distribución del personal ocupado por nivel de estudios</w:t>
      </w:r>
      <w:r w:rsidR="00492BDA" w:rsidRPr="00AB71F5">
        <w:t>,</w:t>
      </w:r>
      <w:r w:rsidRPr="00AB71F5">
        <w:t xml:space="preserve"> </w:t>
      </w:r>
      <w:r w:rsidR="00153E8D">
        <w:t xml:space="preserve">43.8 % de los hombres contaba con </w:t>
      </w:r>
      <w:r w:rsidR="00153E8D" w:rsidRPr="00AB71F5">
        <w:rPr>
          <w:i/>
        </w:rPr>
        <w:t>educación media superior</w:t>
      </w:r>
      <w:r w:rsidR="00153E8D">
        <w:t xml:space="preserve"> en </w:t>
      </w:r>
      <w:r w:rsidR="00DB4520">
        <w:t>C</w:t>
      </w:r>
      <w:r w:rsidR="00153E8D">
        <w:t xml:space="preserve">omercio al por mayor y 37.1 % en </w:t>
      </w:r>
      <w:r w:rsidR="00DB4520">
        <w:t>C</w:t>
      </w:r>
      <w:r w:rsidR="00153E8D">
        <w:t xml:space="preserve">omercio al por menor. El porcentaje de hombres </w:t>
      </w:r>
      <w:r w:rsidR="00153E8D" w:rsidRPr="00AB71F5">
        <w:rPr>
          <w:i/>
        </w:rPr>
        <w:t>sin instrucción</w:t>
      </w:r>
      <w:r w:rsidR="00153E8D">
        <w:t xml:space="preserve"> en </w:t>
      </w:r>
      <w:r w:rsidR="00DB4520">
        <w:t>C</w:t>
      </w:r>
      <w:r w:rsidR="00153E8D">
        <w:t xml:space="preserve">omercio al por mayor fue </w:t>
      </w:r>
      <w:r w:rsidR="008F5473" w:rsidRPr="00AB71F5">
        <w:t>3.5</w:t>
      </w:r>
      <w:r w:rsidR="000D1832">
        <w:t xml:space="preserve"> </w:t>
      </w:r>
      <w:r w:rsidRPr="00AB71F5">
        <w:t xml:space="preserve">% y </w:t>
      </w:r>
      <w:r w:rsidR="00153E8D">
        <w:t xml:space="preserve">en </w:t>
      </w:r>
      <w:r w:rsidR="00DB4520">
        <w:t>C</w:t>
      </w:r>
      <w:r w:rsidR="00153E8D">
        <w:t>omercio al por menor,</w:t>
      </w:r>
      <w:r w:rsidRPr="00AB71F5">
        <w:t xml:space="preserve"> </w:t>
      </w:r>
      <w:r w:rsidR="008F5473" w:rsidRPr="00AB71F5">
        <w:t>4.6</w:t>
      </w:r>
      <w:r w:rsidR="00153E8D">
        <w:t xml:space="preserve"> por ciento. E</w:t>
      </w:r>
      <w:r w:rsidR="000D1832">
        <w:t xml:space="preserve">l porcentaje de mujeres con </w:t>
      </w:r>
      <w:r w:rsidR="000D1832" w:rsidRPr="00AB71F5">
        <w:rPr>
          <w:i/>
        </w:rPr>
        <w:t>educación superior</w:t>
      </w:r>
      <w:r w:rsidR="000D1832">
        <w:t xml:space="preserve"> en el sector </w:t>
      </w:r>
      <w:r w:rsidR="00DB4520">
        <w:t>C</w:t>
      </w:r>
      <w:r w:rsidR="00153E8D" w:rsidRPr="004F6F67">
        <w:t>omercio al por mayor</w:t>
      </w:r>
      <w:r w:rsidR="00153E8D" w:rsidRPr="00153E8D">
        <w:t xml:space="preserve"> </w:t>
      </w:r>
      <w:r w:rsidR="000D1832">
        <w:t>fue</w:t>
      </w:r>
      <w:r w:rsidR="00897B71">
        <w:t xml:space="preserve"> </w:t>
      </w:r>
      <w:r w:rsidRPr="00AB71F5">
        <w:t>12.</w:t>
      </w:r>
      <w:r w:rsidR="008F5473" w:rsidRPr="00AB71F5">
        <w:t>7</w:t>
      </w:r>
      <w:r w:rsidR="00153E8D">
        <w:t xml:space="preserve"> por ciento. E</w:t>
      </w:r>
      <w:r w:rsidR="00620E60" w:rsidRPr="00AB71F5">
        <w:t xml:space="preserve">n </w:t>
      </w:r>
      <w:r w:rsidR="00DB4520">
        <w:t>C</w:t>
      </w:r>
      <w:r w:rsidR="00BF3594" w:rsidRPr="00AB71F5">
        <w:t>omercio al por m</w:t>
      </w:r>
      <w:r w:rsidR="008F5473" w:rsidRPr="00AB71F5">
        <w:t>en</w:t>
      </w:r>
      <w:r w:rsidR="00BF3594" w:rsidRPr="00AB71F5">
        <w:t>or</w:t>
      </w:r>
      <w:r w:rsidR="00153E8D">
        <w:t>,</w:t>
      </w:r>
      <w:r w:rsidR="000D1832">
        <w:t xml:space="preserve"> fue</w:t>
      </w:r>
      <w:r w:rsidRPr="00AB71F5">
        <w:t xml:space="preserve"> </w:t>
      </w:r>
      <w:r w:rsidR="00BF3594" w:rsidRPr="00AB71F5">
        <w:t>3</w:t>
      </w:r>
      <w:r w:rsidR="008F5473" w:rsidRPr="00AB71F5">
        <w:t>3.4</w:t>
      </w:r>
      <w:r w:rsidR="000D1832">
        <w:t xml:space="preserve"> por ciento. </w:t>
      </w:r>
      <w:bookmarkEnd w:id="1"/>
    </w:p>
    <w:p w14:paraId="48CEC149" w14:textId="78B347DF" w:rsidR="00153E8D" w:rsidRPr="004F6F67" w:rsidRDefault="00153E8D" w:rsidP="00153E8D">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Pr>
          <w:color w:val="auto"/>
          <w:sz w:val="20"/>
          <w:szCs w:val="20"/>
          <w:lang w:eastAsia="es-ES"/>
        </w:rPr>
        <w:t>9</w:t>
      </w:r>
    </w:p>
    <w:p w14:paraId="3383A4A4" w14:textId="1C2E471E" w:rsidR="007E38BA" w:rsidRPr="00F46612" w:rsidRDefault="005A7BFB" w:rsidP="003E704F">
      <w:pPr>
        <w:ind w:left="121"/>
        <w:jc w:val="center"/>
        <w:rPr>
          <w:b/>
          <w:spacing w:val="-1"/>
          <w:sz w:val="18"/>
          <w:szCs w:val="18"/>
          <w:lang w:val="es-MX"/>
        </w:rPr>
      </w:pPr>
      <w:r>
        <w:rPr>
          <w:b/>
          <w:smallCaps/>
          <w:sz w:val="22"/>
        </w:rPr>
        <w:t>Personal masculino dependiente de la razón social según nivel de estudio</w:t>
      </w:r>
      <w:r w:rsidR="00153E8D" w:rsidRPr="004F6F67">
        <w:rPr>
          <w:b/>
          <w:smallCaps/>
          <w:sz w:val="22"/>
        </w:rPr>
        <w:t>, 2021</w:t>
      </w:r>
      <w:r w:rsidR="00153E8D" w:rsidRPr="004F6F67">
        <w:rPr>
          <w:b/>
          <w:smallCaps/>
          <w:sz w:val="22"/>
          <w:vertAlign w:val="superscript"/>
        </w:rPr>
        <w:t>P</w:t>
      </w:r>
      <w:r w:rsidR="007E38BA" w:rsidRPr="00043C40">
        <w:rPr>
          <w:noProof/>
        </w:rPr>
        <w:t xml:space="preserve"> </w:t>
      </w:r>
      <w:r w:rsidR="00467E75">
        <w:rPr>
          <w:noProof/>
          <w:lang w:val="en-US" w:eastAsia="en-US"/>
        </w:rPr>
        <w:drawing>
          <wp:inline distT="0" distB="0" distL="0" distR="0" wp14:anchorId="78A915D0" wp14:editId="5FD235DE">
            <wp:extent cx="5883275" cy="2628000"/>
            <wp:effectExtent l="0" t="0" r="3175" b="1270"/>
            <wp:docPr id="38" name="Gráfico 38">
              <a:extLst xmlns:a="http://schemas.openxmlformats.org/drawingml/2006/main">
                <a:ext uri="{FF2B5EF4-FFF2-40B4-BE49-F238E27FC236}">
                  <a16:creationId xmlns:a16="http://schemas.microsoft.com/office/drawing/2014/main" id="{2B6424D8-C0EF-4036-A485-1C3175EA4A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50083C" w14:textId="77777777" w:rsidR="007E38BA" w:rsidRPr="00AB71F5" w:rsidRDefault="007E38BA" w:rsidP="007E38BA">
      <w:pPr>
        <w:rPr>
          <w:spacing w:val="-1"/>
          <w:sz w:val="16"/>
          <w:szCs w:val="16"/>
          <w:lang w:val="es-MX"/>
        </w:rPr>
      </w:pPr>
      <w:r w:rsidRPr="00AB71F5">
        <w:rPr>
          <w:spacing w:val="-1"/>
          <w:sz w:val="16"/>
          <w:szCs w:val="16"/>
          <w:lang w:val="es-MX"/>
        </w:rPr>
        <w:t>Fuente INEGI. Encuesta Anual del Comercio, Serie 2013</w:t>
      </w:r>
    </w:p>
    <w:p w14:paraId="1927219A" w14:textId="77777777" w:rsidR="002D50DC" w:rsidRDefault="002D50DC" w:rsidP="007E38BA">
      <w:pPr>
        <w:jc w:val="right"/>
        <w:rPr>
          <w:b/>
          <w:bCs/>
          <w:sz w:val="22"/>
          <w:szCs w:val="22"/>
        </w:rPr>
      </w:pPr>
    </w:p>
    <w:p w14:paraId="54DEC2D2" w14:textId="4B2C5E4A" w:rsidR="005A7BFB" w:rsidRPr="004F6F67" w:rsidRDefault="005A7BFB" w:rsidP="005A7BFB">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Pr>
          <w:color w:val="auto"/>
          <w:sz w:val="20"/>
          <w:szCs w:val="20"/>
          <w:lang w:eastAsia="es-ES"/>
        </w:rPr>
        <w:t>10</w:t>
      </w:r>
    </w:p>
    <w:p w14:paraId="00E4C2D7" w14:textId="00819C1D" w:rsidR="005A7BFB" w:rsidRDefault="005A7BFB" w:rsidP="005A7BFB">
      <w:pPr>
        <w:ind w:left="121"/>
        <w:jc w:val="center"/>
        <w:rPr>
          <w:b/>
          <w:spacing w:val="-1"/>
          <w:sz w:val="18"/>
          <w:szCs w:val="18"/>
          <w:lang w:val="es-MX"/>
        </w:rPr>
      </w:pPr>
      <w:r>
        <w:rPr>
          <w:b/>
          <w:smallCaps/>
          <w:sz w:val="22"/>
        </w:rPr>
        <w:t>Personal femenino dependiente de la razón social según nivel de estudio</w:t>
      </w:r>
      <w:r w:rsidRPr="004F6F67">
        <w:rPr>
          <w:b/>
          <w:smallCaps/>
          <w:sz w:val="22"/>
        </w:rPr>
        <w:t>, 2021</w:t>
      </w:r>
      <w:r w:rsidRPr="004F6F67">
        <w:rPr>
          <w:b/>
          <w:smallCaps/>
          <w:sz w:val="22"/>
          <w:vertAlign w:val="superscript"/>
        </w:rPr>
        <w:t>P</w:t>
      </w:r>
    </w:p>
    <w:p w14:paraId="3A8E4CF0" w14:textId="07124A25" w:rsidR="007E38BA" w:rsidRDefault="00467E75" w:rsidP="007E38BA">
      <w:pPr>
        <w:rPr>
          <w:b/>
          <w:bCs/>
          <w:sz w:val="22"/>
          <w:szCs w:val="22"/>
        </w:rPr>
      </w:pPr>
      <w:r>
        <w:rPr>
          <w:noProof/>
          <w:lang w:val="en-US" w:eastAsia="en-US"/>
        </w:rPr>
        <w:drawing>
          <wp:inline distT="0" distB="0" distL="0" distR="0" wp14:anchorId="63B30EB5" wp14:editId="58AFF772">
            <wp:extent cx="5883275" cy="2700000"/>
            <wp:effectExtent l="0" t="0" r="3175" b="5715"/>
            <wp:docPr id="39" name="Gráfico 39">
              <a:extLst xmlns:a="http://schemas.openxmlformats.org/drawingml/2006/main">
                <a:ext uri="{FF2B5EF4-FFF2-40B4-BE49-F238E27FC236}">
                  <a16:creationId xmlns:a16="http://schemas.microsoft.com/office/drawing/2014/main" id="{0C56BE7E-7AFA-4EC6-B084-6011BE3FE0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2A5D25" w14:textId="77777777" w:rsidR="007E38BA" w:rsidRPr="00AB71F5" w:rsidRDefault="007E38BA" w:rsidP="007E38BA">
      <w:pPr>
        <w:rPr>
          <w:spacing w:val="-1"/>
          <w:sz w:val="16"/>
          <w:szCs w:val="16"/>
          <w:lang w:val="es-MX"/>
        </w:rPr>
      </w:pPr>
      <w:r w:rsidRPr="00AB71F5">
        <w:rPr>
          <w:spacing w:val="-1"/>
          <w:sz w:val="16"/>
          <w:szCs w:val="16"/>
          <w:lang w:val="es-MX"/>
        </w:rPr>
        <w:t>Fuente INEGI. Encuesta Anual del Comercio, Serie 2013</w:t>
      </w:r>
    </w:p>
    <w:p w14:paraId="744412A1" w14:textId="77777777" w:rsidR="007E38BA" w:rsidRDefault="007E38BA" w:rsidP="00410795">
      <w:pPr>
        <w:rPr>
          <w:b/>
          <w:spacing w:val="-1"/>
          <w:sz w:val="18"/>
          <w:szCs w:val="18"/>
          <w:lang w:val="es-MX"/>
        </w:rPr>
      </w:pPr>
    </w:p>
    <w:p w14:paraId="71C17835" w14:textId="7A1559BE" w:rsidR="007E38BA" w:rsidRPr="00AB71F5" w:rsidRDefault="005A7BFB" w:rsidP="00AB71F5">
      <w:pPr>
        <w:ind w:left="-567" w:right="-233"/>
        <w:rPr>
          <w:bCs/>
          <w:spacing w:val="-1"/>
          <w:lang w:val="es-MX"/>
        </w:rPr>
      </w:pPr>
      <w:r w:rsidRPr="00AB71F5">
        <w:rPr>
          <w:bCs/>
          <w:spacing w:val="-1"/>
          <w:lang w:val="es-MX"/>
        </w:rPr>
        <w:lastRenderedPageBreak/>
        <w:t xml:space="preserve">Del personal </w:t>
      </w:r>
      <w:r w:rsidR="00690337">
        <w:rPr>
          <w:bCs/>
          <w:spacing w:val="-1"/>
          <w:lang w:val="es-MX"/>
        </w:rPr>
        <w:t xml:space="preserve">que recibió capacitación en el sector </w:t>
      </w:r>
      <w:r w:rsidR="00DB4520">
        <w:rPr>
          <w:bCs/>
          <w:spacing w:val="-1"/>
          <w:lang w:val="es-MX"/>
        </w:rPr>
        <w:t>C</w:t>
      </w:r>
      <w:r w:rsidR="00D4134D" w:rsidRPr="00AB71F5">
        <w:rPr>
          <w:bCs/>
          <w:spacing w:val="-1"/>
          <w:lang w:val="es-MX"/>
        </w:rPr>
        <w:t>omercio al por mayor</w:t>
      </w:r>
      <w:r w:rsidR="00690337">
        <w:rPr>
          <w:bCs/>
          <w:spacing w:val="-1"/>
          <w:lang w:val="es-MX"/>
        </w:rPr>
        <w:t>,</w:t>
      </w:r>
      <w:r w:rsidR="00D4134D" w:rsidRPr="00AB71F5">
        <w:rPr>
          <w:bCs/>
          <w:spacing w:val="-1"/>
          <w:lang w:val="es-MX"/>
        </w:rPr>
        <w:t xml:space="preserve"> </w:t>
      </w:r>
      <w:r w:rsidR="00690337" w:rsidRPr="00AB71F5">
        <w:rPr>
          <w:bCs/>
          <w:spacing w:val="-1"/>
          <w:lang w:val="es-MX"/>
        </w:rPr>
        <w:t>43.8 %</w:t>
      </w:r>
      <w:r w:rsidR="00690337">
        <w:rPr>
          <w:bCs/>
          <w:spacing w:val="-1"/>
          <w:lang w:val="es-MX"/>
        </w:rPr>
        <w:t xml:space="preserve"> correspondió a hombres y </w:t>
      </w:r>
      <w:r w:rsidR="00690337" w:rsidRPr="00AB71F5">
        <w:rPr>
          <w:bCs/>
          <w:spacing w:val="-1"/>
          <w:lang w:val="es-MX"/>
        </w:rPr>
        <w:t>35.9 %</w:t>
      </w:r>
      <w:r w:rsidR="00690337">
        <w:rPr>
          <w:bCs/>
          <w:spacing w:val="-1"/>
          <w:lang w:val="es-MX"/>
        </w:rPr>
        <w:t xml:space="preserve">, a mujeres. </w:t>
      </w:r>
      <w:r w:rsidRPr="00AB71F5">
        <w:rPr>
          <w:bCs/>
          <w:spacing w:val="-1"/>
          <w:lang w:val="es-MX"/>
        </w:rPr>
        <w:t>En</w:t>
      </w:r>
      <w:r w:rsidR="00D4134D" w:rsidRPr="00AB71F5">
        <w:rPr>
          <w:bCs/>
          <w:spacing w:val="-1"/>
          <w:lang w:val="es-MX"/>
        </w:rPr>
        <w:t xml:space="preserve"> </w:t>
      </w:r>
      <w:r w:rsidR="00DB4520">
        <w:rPr>
          <w:bCs/>
          <w:spacing w:val="-1"/>
          <w:lang w:val="es-MX"/>
        </w:rPr>
        <w:t>C</w:t>
      </w:r>
      <w:r w:rsidR="00D4134D" w:rsidRPr="00AB71F5">
        <w:rPr>
          <w:bCs/>
          <w:spacing w:val="-1"/>
          <w:lang w:val="es-MX"/>
        </w:rPr>
        <w:t>omercio al por menor</w:t>
      </w:r>
      <w:r w:rsidRPr="00AB71F5">
        <w:rPr>
          <w:bCs/>
          <w:spacing w:val="-1"/>
          <w:lang w:val="es-MX"/>
        </w:rPr>
        <w:t>,</w:t>
      </w:r>
      <w:r w:rsidR="00D4134D" w:rsidRPr="00AB71F5">
        <w:rPr>
          <w:bCs/>
          <w:spacing w:val="-1"/>
          <w:lang w:val="es-MX"/>
        </w:rPr>
        <w:t xml:space="preserve"> </w:t>
      </w:r>
      <w:r w:rsidRPr="00AB71F5">
        <w:rPr>
          <w:bCs/>
          <w:spacing w:val="-1"/>
          <w:lang w:val="es-MX"/>
        </w:rPr>
        <w:t xml:space="preserve">los porcentajes fueron </w:t>
      </w:r>
      <w:r w:rsidR="008147EA" w:rsidRPr="00AB71F5">
        <w:rPr>
          <w:bCs/>
          <w:spacing w:val="-1"/>
          <w:lang w:val="es-MX"/>
        </w:rPr>
        <w:t>50.3</w:t>
      </w:r>
      <w:r w:rsidR="00690337">
        <w:rPr>
          <w:bCs/>
          <w:spacing w:val="-1"/>
          <w:lang w:val="es-MX"/>
        </w:rPr>
        <w:t xml:space="preserve"> y          </w:t>
      </w:r>
      <w:r w:rsidR="008147EA" w:rsidRPr="00AB71F5">
        <w:rPr>
          <w:bCs/>
          <w:spacing w:val="-1"/>
          <w:lang w:val="es-MX"/>
        </w:rPr>
        <w:t>20.9</w:t>
      </w:r>
      <w:r w:rsidRPr="00AB71F5">
        <w:rPr>
          <w:bCs/>
          <w:spacing w:val="-1"/>
          <w:lang w:val="es-MX"/>
        </w:rPr>
        <w:t xml:space="preserve"> </w:t>
      </w:r>
      <w:r w:rsidR="008147EA" w:rsidRPr="00AB71F5">
        <w:rPr>
          <w:bCs/>
          <w:spacing w:val="-1"/>
          <w:lang w:val="es-MX"/>
        </w:rPr>
        <w:t>%</w:t>
      </w:r>
      <w:r w:rsidR="00690337">
        <w:rPr>
          <w:bCs/>
          <w:spacing w:val="-1"/>
          <w:lang w:val="es-MX"/>
        </w:rPr>
        <w:t>, respectivamente.</w:t>
      </w:r>
    </w:p>
    <w:p w14:paraId="516305D8" w14:textId="6890F373" w:rsidR="00467E75" w:rsidRPr="00467E75" w:rsidRDefault="00467E75" w:rsidP="00467E75">
      <w:pPr>
        <w:jc w:val="right"/>
        <w:rPr>
          <w:b/>
          <w:spacing w:val="-1"/>
          <w:sz w:val="18"/>
          <w:szCs w:val="18"/>
          <w:lang w:val="es-MX"/>
        </w:rPr>
      </w:pPr>
    </w:p>
    <w:p w14:paraId="002A1BF9" w14:textId="0F9815BC" w:rsidR="005A7BFB" w:rsidRPr="004F6F67" w:rsidRDefault="005A7BFB" w:rsidP="005A7BFB">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Pr>
          <w:color w:val="auto"/>
          <w:sz w:val="20"/>
          <w:szCs w:val="20"/>
          <w:lang w:eastAsia="es-ES"/>
        </w:rPr>
        <w:t>11</w:t>
      </w:r>
    </w:p>
    <w:p w14:paraId="1BA2895B" w14:textId="77777777" w:rsidR="005A7BFB" w:rsidRDefault="005A7BFB" w:rsidP="005A7BFB">
      <w:pPr>
        <w:ind w:left="121"/>
        <w:jc w:val="center"/>
        <w:rPr>
          <w:b/>
          <w:smallCaps/>
          <w:sz w:val="22"/>
        </w:rPr>
      </w:pPr>
      <w:r>
        <w:rPr>
          <w:b/>
          <w:smallCaps/>
          <w:sz w:val="22"/>
        </w:rPr>
        <w:t xml:space="preserve">Personal de las empresas comerciales que recibió capacitación. </w:t>
      </w:r>
    </w:p>
    <w:p w14:paraId="6A7FBFD3" w14:textId="01184883" w:rsidR="005A7BFB" w:rsidRDefault="005A7BFB" w:rsidP="005A7BFB">
      <w:pPr>
        <w:ind w:left="121"/>
        <w:jc w:val="center"/>
        <w:rPr>
          <w:b/>
          <w:spacing w:val="-1"/>
          <w:sz w:val="18"/>
          <w:szCs w:val="18"/>
          <w:lang w:val="es-MX"/>
        </w:rPr>
      </w:pPr>
      <w:r>
        <w:rPr>
          <w:b/>
          <w:smallCaps/>
          <w:sz w:val="22"/>
        </w:rPr>
        <w:t>Distribución según sexo</w:t>
      </w:r>
      <w:r w:rsidRPr="004F6F67">
        <w:rPr>
          <w:b/>
          <w:smallCaps/>
          <w:sz w:val="22"/>
        </w:rPr>
        <w:t>, 2021</w:t>
      </w:r>
      <w:r w:rsidRPr="004F6F67">
        <w:rPr>
          <w:b/>
          <w:smallCaps/>
          <w:sz w:val="22"/>
          <w:vertAlign w:val="superscript"/>
        </w:rPr>
        <w:t>P</w:t>
      </w:r>
    </w:p>
    <w:p w14:paraId="5ED2FE14" w14:textId="3C26E607" w:rsidR="007E38BA" w:rsidRPr="00AB71F5" w:rsidRDefault="00293751" w:rsidP="003E704F">
      <w:pPr>
        <w:jc w:val="left"/>
        <w:rPr>
          <w:spacing w:val="-1"/>
          <w:sz w:val="16"/>
          <w:szCs w:val="16"/>
          <w:lang w:val="es-MX"/>
        </w:rPr>
      </w:pPr>
      <w:r w:rsidRPr="003E704F">
        <w:rPr>
          <w:rFonts w:asciiTheme="minorHAnsi" w:hAnsiTheme="minorHAnsi" w:cstheme="minorHAnsi"/>
          <w:noProof/>
        </w:rPr>
        <w:drawing>
          <wp:inline distT="0" distB="0" distL="0" distR="0" wp14:anchorId="73DC06DC" wp14:editId="409E4DCD">
            <wp:extent cx="5883275" cy="3161665"/>
            <wp:effectExtent l="0" t="0" r="3175" b="635"/>
            <wp:docPr id="7" name="Gráfico 7">
              <a:extLst xmlns:a="http://schemas.openxmlformats.org/drawingml/2006/main">
                <a:ext uri="{FF2B5EF4-FFF2-40B4-BE49-F238E27FC236}">
                  <a16:creationId xmlns:a16="http://schemas.microsoft.com/office/drawing/2014/main" id="{13303C7D-087E-4C5D-8880-0664CA1B1C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7E38BA" w:rsidRPr="00AB71F5">
        <w:rPr>
          <w:spacing w:val="-1"/>
          <w:sz w:val="16"/>
          <w:szCs w:val="16"/>
          <w:lang w:val="es-MX"/>
        </w:rPr>
        <w:t>Fuente INEGI. Encuesta Anual del Comercio, Serie 2013</w:t>
      </w:r>
    </w:p>
    <w:p w14:paraId="073D8935" w14:textId="77777777" w:rsidR="007E38BA" w:rsidRDefault="007E38BA" w:rsidP="007E38BA">
      <w:pPr>
        <w:rPr>
          <w:b/>
          <w:bCs/>
          <w:sz w:val="22"/>
          <w:szCs w:val="22"/>
        </w:rPr>
      </w:pPr>
    </w:p>
    <w:p w14:paraId="547653A0" w14:textId="0A7DACF0" w:rsidR="009B7473" w:rsidRPr="00AB71F5" w:rsidRDefault="005A7BFB" w:rsidP="00AB71F5">
      <w:pPr>
        <w:ind w:left="-426" w:right="-233"/>
        <w:rPr>
          <w:szCs w:val="22"/>
        </w:rPr>
      </w:pPr>
      <w:r>
        <w:rPr>
          <w:szCs w:val="22"/>
        </w:rPr>
        <w:t>D</w:t>
      </w:r>
      <w:r w:rsidR="007E38BA" w:rsidRPr="00AB71F5">
        <w:rPr>
          <w:szCs w:val="22"/>
        </w:rPr>
        <w:t xml:space="preserve">e las empresas de </w:t>
      </w:r>
      <w:r w:rsidR="00DB4520">
        <w:rPr>
          <w:szCs w:val="22"/>
        </w:rPr>
        <w:t>C</w:t>
      </w:r>
      <w:r w:rsidR="007E38BA" w:rsidRPr="00AB71F5">
        <w:rPr>
          <w:szCs w:val="22"/>
        </w:rPr>
        <w:t>omercio al por mayor</w:t>
      </w:r>
      <w:r>
        <w:rPr>
          <w:szCs w:val="22"/>
        </w:rPr>
        <w:t xml:space="preserve">, </w:t>
      </w:r>
      <w:r w:rsidRPr="004F6F67">
        <w:rPr>
          <w:szCs w:val="22"/>
        </w:rPr>
        <w:t>3.9</w:t>
      </w:r>
      <w:r>
        <w:rPr>
          <w:szCs w:val="22"/>
        </w:rPr>
        <w:t xml:space="preserve"> </w:t>
      </w:r>
      <w:r w:rsidRPr="004F6F67">
        <w:rPr>
          <w:szCs w:val="22"/>
        </w:rPr>
        <w:t xml:space="preserve">% </w:t>
      </w:r>
      <w:r w:rsidR="007E38BA" w:rsidRPr="00AB71F5">
        <w:rPr>
          <w:szCs w:val="22"/>
        </w:rPr>
        <w:t>obtuv</w:t>
      </w:r>
      <w:r>
        <w:rPr>
          <w:szCs w:val="22"/>
        </w:rPr>
        <w:t>o</w:t>
      </w:r>
      <w:r w:rsidR="007E38BA" w:rsidRPr="00AB71F5">
        <w:rPr>
          <w:szCs w:val="22"/>
        </w:rPr>
        <w:t xml:space="preserve"> ingresos mediante </w:t>
      </w:r>
      <w:r w:rsidR="007E38BA" w:rsidRPr="003E704F">
        <w:rPr>
          <w:szCs w:val="22"/>
        </w:rPr>
        <w:t>contratos con empresas de otros países</w:t>
      </w:r>
      <w:r>
        <w:rPr>
          <w:szCs w:val="22"/>
        </w:rPr>
        <w:t xml:space="preserve">. En </w:t>
      </w:r>
      <w:r w:rsidR="00DB4520">
        <w:rPr>
          <w:szCs w:val="22"/>
        </w:rPr>
        <w:t>C</w:t>
      </w:r>
      <w:r w:rsidR="007E38BA" w:rsidRPr="00AB71F5">
        <w:rPr>
          <w:szCs w:val="22"/>
        </w:rPr>
        <w:t>omercio al por menor</w:t>
      </w:r>
      <w:r w:rsidR="00690337">
        <w:rPr>
          <w:szCs w:val="22"/>
        </w:rPr>
        <w:t>,</w:t>
      </w:r>
      <w:r w:rsidR="007E38BA" w:rsidRPr="00AB71F5">
        <w:rPr>
          <w:szCs w:val="22"/>
        </w:rPr>
        <w:t xml:space="preserve"> </w:t>
      </w:r>
      <w:r>
        <w:rPr>
          <w:szCs w:val="22"/>
        </w:rPr>
        <w:t xml:space="preserve">fue nula la participación en este </w:t>
      </w:r>
      <w:r w:rsidR="007E38BA" w:rsidRPr="00AB71F5">
        <w:rPr>
          <w:szCs w:val="22"/>
        </w:rPr>
        <w:t xml:space="preserve">renglón. </w:t>
      </w:r>
    </w:p>
    <w:p w14:paraId="3C7DB182" w14:textId="77777777" w:rsidR="005A7BFB" w:rsidRDefault="005A7BFB" w:rsidP="007E38BA">
      <w:pPr>
        <w:jc w:val="right"/>
        <w:rPr>
          <w:b/>
          <w:bCs/>
          <w:sz w:val="22"/>
          <w:szCs w:val="22"/>
        </w:rPr>
      </w:pPr>
    </w:p>
    <w:p w14:paraId="4D8B1178" w14:textId="4C734AEE" w:rsidR="005A7BFB" w:rsidRPr="004F6F67" w:rsidRDefault="005A7BFB" w:rsidP="005A7BFB">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Pr>
          <w:color w:val="auto"/>
          <w:sz w:val="20"/>
          <w:szCs w:val="20"/>
          <w:lang w:eastAsia="es-ES"/>
        </w:rPr>
        <w:t>1</w:t>
      </w:r>
      <w:r w:rsidR="008C06A8">
        <w:rPr>
          <w:color w:val="auto"/>
          <w:sz w:val="20"/>
          <w:szCs w:val="20"/>
          <w:lang w:eastAsia="es-ES"/>
        </w:rPr>
        <w:t>2</w:t>
      </w:r>
    </w:p>
    <w:p w14:paraId="29A35AFB" w14:textId="0188E0F2" w:rsidR="008A3CF8" w:rsidRDefault="008C06A8" w:rsidP="008C06A8">
      <w:pPr>
        <w:ind w:left="121"/>
        <w:jc w:val="center"/>
        <w:rPr>
          <w:b/>
          <w:smallCaps/>
          <w:sz w:val="22"/>
          <w:vertAlign w:val="superscript"/>
        </w:rPr>
      </w:pPr>
      <w:r>
        <w:rPr>
          <w:b/>
          <w:smallCaps/>
          <w:sz w:val="22"/>
        </w:rPr>
        <w:t>Empresas comerciales que obtuvieron ingresos mediante contratos o programas en colaboración  con empresas ubicadas en otros países,</w:t>
      </w:r>
      <w:r w:rsidR="005A7BFB" w:rsidRPr="004F6F67">
        <w:rPr>
          <w:b/>
          <w:smallCaps/>
          <w:sz w:val="22"/>
        </w:rPr>
        <w:t xml:space="preserve"> 2021</w:t>
      </w:r>
      <w:r w:rsidR="005A7BFB" w:rsidRPr="004F6F67">
        <w:rPr>
          <w:b/>
          <w:smallCaps/>
          <w:sz w:val="22"/>
          <w:vertAlign w:val="superscript"/>
        </w:rPr>
        <w:t>P</w:t>
      </w:r>
    </w:p>
    <w:p w14:paraId="08B3A02A" w14:textId="5CFB927E" w:rsidR="007E38BA" w:rsidRDefault="00B2570E" w:rsidP="007E38BA">
      <w:pPr>
        <w:rPr>
          <w:b/>
          <w:bCs/>
          <w:sz w:val="22"/>
          <w:szCs w:val="22"/>
        </w:rPr>
      </w:pPr>
      <w:r>
        <w:rPr>
          <w:noProof/>
          <w:lang w:val="en-US" w:eastAsia="en-US"/>
        </w:rPr>
        <w:drawing>
          <wp:inline distT="0" distB="0" distL="0" distR="0" wp14:anchorId="3A2FC324" wp14:editId="4BE5AB8E">
            <wp:extent cx="5883275" cy="2268000"/>
            <wp:effectExtent l="0" t="0" r="3175" b="18415"/>
            <wp:docPr id="41" name="Gráfico 41">
              <a:extLst xmlns:a="http://schemas.openxmlformats.org/drawingml/2006/main">
                <a:ext uri="{FF2B5EF4-FFF2-40B4-BE49-F238E27FC236}">
                  <a16:creationId xmlns:a16="http://schemas.microsoft.com/office/drawing/2014/main" id="{F2ACFBDE-9B4C-4F51-BF2C-DE5CD7E1C6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141DAF" w14:textId="77777777" w:rsidR="007E38BA" w:rsidRPr="00AB71F5" w:rsidRDefault="007E38BA" w:rsidP="007E38BA">
      <w:pPr>
        <w:rPr>
          <w:spacing w:val="-1"/>
          <w:sz w:val="16"/>
          <w:szCs w:val="16"/>
          <w:lang w:val="es-MX"/>
        </w:rPr>
      </w:pPr>
      <w:r w:rsidRPr="00AB71F5">
        <w:rPr>
          <w:spacing w:val="-1"/>
          <w:sz w:val="16"/>
          <w:szCs w:val="16"/>
          <w:lang w:val="es-MX"/>
        </w:rPr>
        <w:t>Fuente INEGI. Encuesta Anual del Comercio, Serie 2013</w:t>
      </w:r>
    </w:p>
    <w:p w14:paraId="14C3A5C8" w14:textId="77777777" w:rsidR="007E38BA" w:rsidRDefault="007E38BA" w:rsidP="007E38BA">
      <w:pPr>
        <w:rPr>
          <w:b/>
          <w:bCs/>
          <w:sz w:val="22"/>
          <w:szCs w:val="22"/>
        </w:rPr>
      </w:pPr>
    </w:p>
    <w:p w14:paraId="584C8ACD" w14:textId="77777777" w:rsidR="00F91F71" w:rsidRDefault="00F91F71" w:rsidP="00AB71F5">
      <w:pPr>
        <w:ind w:left="-426" w:right="-233"/>
      </w:pPr>
    </w:p>
    <w:p w14:paraId="30BBB004" w14:textId="192C6C89" w:rsidR="007E38BA" w:rsidRPr="00AB71F5" w:rsidRDefault="00196692" w:rsidP="00AB71F5">
      <w:pPr>
        <w:ind w:left="-426" w:right="-233"/>
      </w:pPr>
      <w:r w:rsidRPr="00AB71F5">
        <w:t>En</w:t>
      </w:r>
      <w:r w:rsidR="00690337">
        <w:t xml:space="preserve"> </w:t>
      </w:r>
      <w:r w:rsidR="00DB4520">
        <w:t>C</w:t>
      </w:r>
      <w:r w:rsidR="007E38BA" w:rsidRPr="00AB71F5">
        <w:t>omercio al por mayor, la mayor parte</w:t>
      </w:r>
      <w:r w:rsidR="008C06A8">
        <w:t xml:space="preserve"> </w:t>
      </w:r>
      <w:r w:rsidR="008C06A8" w:rsidRPr="004F6F67">
        <w:t>de programas de colaboración con empresas de otros países</w:t>
      </w:r>
      <w:r w:rsidR="007E38BA" w:rsidRPr="00AB71F5">
        <w:t xml:space="preserve"> fue con </w:t>
      </w:r>
      <w:r w:rsidR="007E38BA" w:rsidRPr="003E704F">
        <w:t xml:space="preserve">empresas </w:t>
      </w:r>
      <w:r w:rsidR="00620E60" w:rsidRPr="003E704F">
        <w:t>no filiales ubicadas en el extranjero</w:t>
      </w:r>
      <w:r w:rsidR="00C85EB5" w:rsidRPr="003E704F">
        <w:t xml:space="preserve"> (54.8 %)</w:t>
      </w:r>
      <w:r w:rsidR="008C06A8">
        <w:t>. P</w:t>
      </w:r>
      <w:r w:rsidR="007E38BA" w:rsidRPr="00AB71F5">
        <w:t xml:space="preserve">ara </w:t>
      </w:r>
      <w:r w:rsidR="00DB4520">
        <w:t>C</w:t>
      </w:r>
      <w:r w:rsidR="007E38BA" w:rsidRPr="00AB71F5">
        <w:t xml:space="preserve">omercio al por menor, </w:t>
      </w:r>
      <w:r w:rsidR="008C06A8">
        <w:t>esta</w:t>
      </w:r>
      <w:r w:rsidR="007E38BA" w:rsidRPr="00AB71F5">
        <w:t xml:space="preserve"> colaboración se </w:t>
      </w:r>
      <w:r w:rsidR="008C06A8">
        <w:t>realizó</w:t>
      </w:r>
      <w:r w:rsidR="007E38BA" w:rsidRPr="00AB71F5">
        <w:t xml:space="preserve"> mayoritariamente con </w:t>
      </w:r>
      <w:r w:rsidR="00620E60" w:rsidRPr="003E704F">
        <w:t>empresas ubicadas en el extranjero y pertenecientes al mismo grupo empresarial</w:t>
      </w:r>
      <w:r w:rsidR="00C85EB5" w:rsidRPr="003E704F">
        <w:t xml:space="preserve"> (83.3 %)</w:t>
      </w:r>
      <w:r w:rsidR="00620E60" w:rsidRPr="00AB71F5">
        <w:t>.</w:t>
      </w:r>
    </w:p>
    <w:p w14:paraId="45681CA9" w14:textId="77777777" w:rsidR="008C06A8" w:rsidRDefault="008C06A8" w:rsidP="007E38BA">
      <w:pPr>
        <w:jc w:val="right"/>
        <w:rPr>
          <w:b/>
          <w:bCs/>
          <w:sz w:val="22"/>
          <w:szCs w:val="22"/>
        </w:rPr>
      </w:pPr>
    </w:p>
    <w:p w14:paraId="46206599" w14:textId="292A16E3" w:rsidR="008C06A8" w:rsidRPr="004F6F67" w:rsidRDefault="008C06A8" w:rsidP="008C06A8">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Pr>
          <w:color w:val="auto"/>
          <w:sz w:val="20"/>
          <w:szCs w:val="20"/>
          <w:lang w:eastAsia="es-ES"/>
        </w:rPr>
        <w:t>13</w:t>
      </w:r>
    </w:p>
    <w:p w14:paraId="469E431B" w14:textId="216D5441" w:rsidR="008C06A8" w:rsidRDefault="008C06A8" w:rsidP="008C06A8">
      <w:pPr>
        <w:ind w:left="121"/>
        <w:jc w:val="center"/>
        <w:rPr>
          <w:b/>
          <w:smallCaps/>
          <w:sz w:val="22"/>
        </w:rPr>
      </w:pPr>
      <w:r>
        <w:rPr>
          <w:b/>
          <w:smallCaps/>
          <w:sz w:val="22"/>
        </w:rPr>
        <w:t xml:space="preserve">Tipos de contrato o programas de colaboración con unidades económicas  </w:t>
      </w:r>
    </w:p>
    <w:p w14:paraId="2B5C526F" w14:textId="2038294A" w:rsidR="007E38BA" w:rsidRDefault="008C06A8" w:rsidP="00AB71F5">
      <w:pPr>
        <w:ind w:left="121"/>
        <w:jc w:val="center"/>
        <w:rPr>
          <w:b/>
          <w:bCs/>
          <w:sz w:val="22"/>
          <w:szCs w:val="22"/>
        </w:rPr>
      </w:pPr>
      <w:r>
        <w:rPr>
          <w:b/>
          <w:smallCaps/>
          <w:sz w:val="22"/>
        </w:rPr>
        <w:t xml:space="preserve">en otros países, </w:t>
      </w:r>
      <w:r w:rsidRPr="004F6F67">
        <w:rPr>
          <w:b/>
          <w:smallCaps/>
          <w:sz w:val="22"/>
        </w:rPr>
        <w:t>2021</w:t>
      </w:r>
      <w:r w:rsidRPr="004F6F67">
        <w:rPr>
          <w:b/>
          <w:smallCaps/>
          <w:sz w:val="22"/>
          <w:vertAlign w:val="superscript"/>
        </w:rPr>
        <w:t>P</w:t>
      </w:r>
    </w:p>
    <w:p w14:paraId="0FD34305" w14:textId="2DF53085" w:rsidR="007E38BA" w:rsidRDefault="00264346" w:rsidP="007E38BA">
      <w:pPr>
        <w:rPr>
          <w:b/>
          <w:bCs/>
          <w:sz w:val="22"/>
          <w:szCs w:val="22"/>
        </w:rPr>
      </w:pPr>
      <w:r>
        <w:rPr>
          <w:noProof/>
          <w:lang w:val="en-US" w:eastAsia="en-US"/>
        </w:rPr>
        <w:drawing>
          <wp:inline distT="0" distB="0" distL="0" distR="0" wp14:anchorId="3253274C" wp14:editId="444BB823">
            <wp:extent cx="5883275" cy="2828925"/>
            <wp:effectExtent l="0" t="0" r="3175" b="9525"/>
            <wp:docPr id="42" name="Gráfico 42">
              <a:extLst xmlns:a="http://schemas.openxmlformats.org/drawingml/2006/main">
                <a:ext uri="{FF2B5EF4-FFF2-40B4-BE49-F238E27FC236}">
                  <a16:creationId xmlns:a16="http://schemas.microsoft.com/office/drawing/2014/main" id="{42CD26F5-CAFA-49B9-8FB6-A998E197D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BED05D" w14:textId="43AC9667" w:rsidR="007E38BA" w:rsidRPr="00AB71F5" w:rsidRDefault="007E38BA" w:rsidP="007E38BA">
      <w:pPr>
        <w:rPr>
          <w:spacing w:val="-1"/>
          <w:sz w:val="16"/>
          <w:szCs w:val="16"/>
          <w:lang w:val="es-MX"/>
        </w:rPr>
      </w:pPr>
      <w:r w:rsidRPr="00AB71F5">
        <w:rPr>
          <w:spacing w:val="-1"/>
          <w:sz w:val="16"/>
          <w:szCs w:val="16"/>
          <w:lang w:val="es-MX"/>
        </w:rPr>
        <w:t>Fuente INEGI. Encuesta Anual del Comercio, Serie 2013</w:t>
      </w:r>
    </w:p>
    <w:p w14:paraId="4F12D75E" w14:textId="77777777" w:rsidR="00264346" w:rsidRDefault="00264346" w:rsidP="007E38BA">
      <w:pPr>
        <w:rPr>
          <w:b/>
          <w:spacing w:val="-1"/>
          <w:sz w:val="18"/>
          <w:szCs w:val="18"/>
          <w:lang w:val="es-MX"/>
        </w:rPr>
      </w:pPr>
    </w:p>
    <w:p w14:paraId="3EB2A5CD" w14:textId="77777777" w:rsidR="00F91F71" w:rsidRDefault="00F91F71" w:rsidP="00AB71F5">
      <w:pPr>
        <w:ind w:left="-426" w:right="-233"/>
      </w:pPr>
    </w:p>
    <w:p w14:paraId="5A5E462F" w14:textId="0B75BBCF" w:rsidR="002E2120" w:rsidRPr="00AB71F5" w:rsidRDefault="00C85EB5" w:rsidP="00AB71F5">
      <w:pPr>
        <w:ind w:left="-426" w:right="-233"/>
        <w:rPr>
          <w:b/>
          <w:bCs/>
        </w:rPr>
      </w:pPr>
      <w:r>
        <w:t xml:space="preserve">La fuente de financiamiento permite orientar las políticas públicas dirigidas a las empresas. </w:t>
      </w:r>
      <w:r w:rsidR="008C06A8">
        <w:t xml:space="preserve">En </w:t>
      </w:r>
      <w:r w:rsidR="00DB4520">
        <w:t>C</w:t>
      </w:r>
      <w:r w:rsidR="002E2120" w:rsidRPr="00AB71F5">
        <w:t>omercio al por mayor</w:t>
      </w:r>
      <w:r w:rsidR="00690337">
        <w:t>,</w:t>
      </w:r>
      <w:r w:rsidR="002E2120" w:rsidRPr="00AB71F5">
        <w:t xml:space="preserve"> </w:t>
      </w:r>
      <w:r w:rsidR="008147EA" w:rsidRPr="00AB71F5">
        <w:t>58.7</w:t>
      </w:r>
      <w:r w:rsidR="00DB4520">
        <w:t xml:space="preserve"> </w:t>
      </w:r>
      <w:r w:rsidR="002E2120" w:rsidRPr="00AB71F5">
        <w:t xml:space="preserve">% de las </w:t>
      </w:r>
      <w:r w:rsidR="008147EA" w:rsidRPr="00AB71F5">
        <w:t>unidades</w:t>
      </w:r>
      <w:r w:rsidR="002E2120" w:rsidRPr="00AB71F5">
        <w:t xml:space="preserve"> económicas recurri</w:t>
      </w:r>
      <w:r w:rsidR="008C06A8">
        <w:t>ó</w:t>
      </w:r>
      <w:r w:rsidR="002E2120" w:rsidRPr="00AB71F5">
        <w:t xml:space="preserve"> a algún banco</w:t>
      </w:r>
      <w:r w:rsidR="008C06A8">
        <w:t>. E</w:t>
      </w:r>
      <w:r w:rsidR="002E2120" w:rsidRPr="00AB71F5">
        <w:t xml:space="preserve">n </w:t>
      </w:r>
      <w:r w:rsidR="00DB4520">
        <w:t>C</w:t>
      </w:r>
      <w:r w:rsidR="002E2120" w:rsidRPr="00AB71F5">
        <w:t xml:space="preserve">omercio al por </w:t>
      </w:r>
      <w:r w:rsidR="008147EA" w:rsidRPr="00AB71F5">
        <w:t>menor</w:t>
      </w:r>
      <w:r w:rsidR="00690337">
        <w:t>,</w:t>
      </w:r>
      <w:r w:rsidR="002E2120" w:rsidRPr="00AB71F5">
        <w:t xml:space="preserve"> </w:t>
      </w:r>
      <w:r w:rsidR="008C06A8">
        <w:t xml:space="preserve">lo hizo </w:t>
      </w:r>
      <w:r w:rsidR="008147EA" w:rsidRPr="00AB71F5">
        <w:t>26.2</w:t>
      </w:r>
      <w:r w:rsidR="008C06A8">
        <w:t xml:space="preserve"> </w:t>
      </w:r>
      <w:r w:rsidR="002E2120" w:rsidRPr="00AB71F5">
        <w:t>%</w:t>
      </w:r>
      <w:r w:rsidR="008C06A8">
        <w:t xml:space="preserve"> de los negocios. </w:t>
      </w:r>
      <w:r w:rsidR="00690337">
        <w:t xml:space="preserve">De las empresas </w:t>
      </w:r>
      <w:r w:rsidR="00897B71">
        <w:t>mayoristas</w:t>
      </w:r>
      <w:r w:rsidR="00690337">
        <w:t xml:space="preserve">, </w:t>
      </w:r>
      <w:r w:rsidR="0097761E">
        <w:t>26.6 %</w:t>
      </w:r>
      <w:r w:rsidR="00690337">
        <w:t xml:space="preserve"> que </w:t>
      </w:r>
      <w:r w:rsidR="0097761E">
        <w:t xml:space="preserve">recibió </w:t>
      </w:r>
      <w:r w:rsidR="002E2120" w:rsidRPr="00AB71F5">
        <w:t>financiamiento</w:t>
      </w:r>
      <w:r w:rsidR="0097761E">
        <w:t>,</w:t>
      </w:r>
      <w:r w:rsidR="002E2120" w:rsidRPr="00AB71F5">
        <w:t xml:space="preserve"> recurri</w:t>
      </w:r>
      <w:r w:rsidR="0097761E">
        <w:t>ó</w:t>
      </w:r>
      <w:r w:rsidR="002E2120" w:rsidRPr="00AB71F5">
        <w:t xml:space="preserve"> a los propios proveedores</w:t>
      </w:r>
      <w:r w:rsidR="0097761E">
        <w:t xml:space="preserve">. En el caso de las unidades minoritas, </w:t>
      </w:r>
      <w:r w:rsidR="00690337">
        <w:t>el porcentaje fue 1</w:t>
      </w:r>
      <w:r w:rsidR="00B72C7A" w:rsidRPr="00AB71F5">
        <w:t>6.8</w:t>
      </w:r>
      <w:r w:rsidR="0097761E">
        <w:t xml:space="preserve"> por ciento</w:t>
      </w:r>
      <w:r w:rsidR="00C27792">
        <w:t>.</w:t>
      </w:r>
    </w:p>
    <w:p w14:paraId="0E49ADDA" w14:textId="77777777" w:rsidR="0097761E" w:rsidRDefault="0097761E" w:rsidP="00AB71F5">
      <w:pPr>
        <w:ind w:left="-426" w:right="-233"/>
        <w:jc w:val="right"/>
        <w:rPr>
          <w:b/>
          <w:bCs/>
          <w:sz w:val="22"/>
          <w:szCs w:val="22"/>
        </w:rPr>
      </w:pPr>
    </w:p>
    <w:p w14:paraId="2C179571" w14:textId="77777777" w:rsidR="00F91F71" w:rsidRDefault="00F91F71">
      <w:pPr>
        <w:pStyle w:val="Default"/>
        <w:tabs>
          <w:tab w:val="left" w:pos="3261"/>
          <w:tab w:val="left" w:pos="4253"/>
        </w:tabs>
        <w:ind w:left="-426" w:right="-233"/>
        <w:jc w:val="center"/>
        <w:rPr>
          <w:color w:val="auto"/>
          <w:sz w:val="20"/>
          <w:szCs w:val="20"/>
          <w:lang w:eastAsia="es-ES"/>
        </w:rPr>
      </w:pPr>
    </w:p>
    <w:p w14:paraId="1010C5B7" w14:textId="77777777" w:rsidR="00F91F71" w:rsidRDefault="00F91F71">
      <w:pPr>
        <w:pStyle w:val="Default"/>
        <w:tabs>
          <w:tab w:val="left" w:pos="3261"/>
          <w:tab w:val="left" w:pos="4253"/>
        </w:tabs>
        <w:ind w:left="-426" w:right="-233"/>
        <w:jc w:val="center"/>
        <w:rPr>
          <w:color w:val="auto"/>
          <w:sz w:val="20"/>
          <w:szCs w:val="20"/>
          <w:lang w:eastAsia="es-ES"/>
        </w:rPr>
      </w:pPr>
    </w:p>
    <w:p w14:paraId="675C3447" w14:textId="77777777" w:rsidR="00F91F71" w:rsidRDefault="00F91F71">
      <w:pPr>
        <w:pStyle w:val="Default"/>
        <w:tabs>
          <w:tab w:val="left" w:pos="3261"/>
          <w:tab w:val="left" w:pos="4253"/>
        </w:tabs>
        <w:ind w:left="-426" w:right="-233"/>
        <w:jc w:val="center"/>
        <w:rPr>
          <w:color w:val="auto"/>
          <w:sz w:val="20"/>
          <w:szCs w:val="20"/>
          <w:lang w:eastAsia="es-ES"/>
        </w:rPr>
      </w:pPr>
    </w:p>
    <w:p w14:paraId="76F2BF47" w14:textId="77777777" w:rsidR="00F91F71" w:rsidRDefault="00F91F71">
      <w:pPr>
        <w:pStyle w:val="Default"/>
        <w:tabs>
          <w:tab w:val="left" w:pos="3261"/>
          <w:tab w:val="left" w:pos="4253"/>
        </w:tabs>
        <w:ind w:left="-426" w:right="-233"/>
        <w:jc w:val="center"/>
        <w:rPr>
          <w:color w:val="auto"/>
          <w:sz w:val="20"/>
          <w:szCs w:val="20"/>
          <w:lang w:eastAsia="es-ES"/>
        </w:rPr>
      </w:pPr>
    </w:p>
    <w:p w14:paraId="0EC796B8" w14:textId="77777777" w:rsidR="00F91F71" w:rsidRDefault="00F91F71">
      <w:pPr>
        <w:pStyle w:val="Default"/>
        <w:tabs>
          <w:tab w:val="left" w:pos="3261"/>
          <w:tab w:val="left" w:pos="4253"/>
        </w:tabs>
        <w:ind w:left="-426" w:right="-233"/>
        <w:jc w:val="center"/>
        <w:rPr>
          <w:color w:val="auto"/>
          <w:sz w:val="20"/>
          <w:szCs w:val="20"/>
          <w:lang w:eastAsia="es-ES"/>
        </w:rPr>
      </w:pPr>
    </w:p>
    <w:p w14:paraId="51B6ADC7" w14:textId="77777777" w:rsidR="00F91F71" w:rsidRDefault="00F91F71">
      <w:pPr>
        <w:pStyle w:val="Default"/>
        <w:tabs>
          <w:tab w:val="left" w:pos="3261"/>
          <w:tab w:val="left" w:pos="4253"/>
        </w:tabs>
        <w:ind w:left="-426" w:right="-233"/>
        <w:jc w:val="center"/>
        <w:rPr>
          <w:color w:val="auto"/>
          <w:sz w:val="20"/>
          <w:szCs w:val="20"/>
          <w:lang w:eastAsia="es-ES"/>
        </w:rPr>
      </w:pPr>
    </w:p>
    <w:p w14:paraId="6BA833D6" w14:textId="77777777" w:rsidR="00F91F71" w:rsidRDefault="00F91F71">
      <w:pPr>
        <w:pStyle w:val="Default"/>
        <w:tabs>
          <w:tab w:val="left" w:pos="3261"/>
          <w:tab w:val="left" w:pos="4253"/>
        </w:tabs>
        <w:ind w:left="-426" w:right="-233"/>
        <w:jc w:val="center"/>
        <w:rPr>
          <w:color w:val="auto"/>
          <w:sz w:val="20"/>
          <w:szCs w:val="20"/>
          <w:lang w:eastAsia="es-ES"/>
        </w:rPr>
      </w:pPr>
    </w:p>
    <w:p w14:paraId="699452B3" w14:textId="77777777" w:rsidR="00F91F71" w:rsidRDefault="00F91F71">
      <w:pPr>
        <w:pStyle w:val="Default"/>
        <w:tabs>
          <w:tab w:val="left" w:pos="3261"/>
          <w:tab w:val="left" w:pos="4253"/>
        </w:tabs>
        <w:ind w:left="-426" w:right="-233"/>
        <w:jc w:val="center"/>
        <w:rPr>
          <w:color w:val="auto"/>
          <w:sz w:val="20"/>
          <w:szCs w:val="20"/>
          <w:lang w:eastAsia="es-ES"/>
        </w:rPr>
      </w:pPr>
    </w:p>
    <w:p w14:paraId="74D25E21" w14:textId="77777777" w:rsidR="00F91F71" w:rsidRDefault="00F91F71">
      <w:pPr>
        <w:pStyle w:val="Default"/>
        <w:tabs>
          <w:tab w:val="left" w:pos="3261"/>
          <w:tab w:val="left" w:pos="4253"/>
        </w:tabs>
        <w:ind w:left="-426" w:right="-233"/>
        <w:jc w:val="center"/>
        <w:rPr>
          <w:color w:val="auto"/>
          <w:sz w:val="20"/>
          <w:szCs w:val="20"/>
          <w:lang w:eastAsia="es-ES"/>
        </w:rPr>
      </w:pPr>
    </w:p>
    <w:p w14:paraId="44FA22D7" w14:textId="77777777" w:rsidR="00F91F71" w:rsidRDefault="00F91F71">
      <w:pPr>
        <w:pStyle w:val="Default"/>
        <w:tabs>
          <w:tab w:val="left" w:pos="3261"/>
          <w:tab w:val="left" w:pos="4253"/>
        </w:tabs>
        <w:ind w:left="-426" w:right="-233"/>
        <w:jc w:val="center"/>
        <w:rPr>
          <w:color w:val="auto"/>
          <w:sz w:val="20"/>
          <w:szCs w:val="20"/>
          <w:lang w:eastAsia="es-ES"/>
        </w:rPr>
      </w:pPr>
    </w:p>
    <w:p w14:paraId="5DFC446B" w14:textId="77777777" w:rsidR="00F91F71" w:rsidRDefault="00F91F71">
      <w:pPr>
        <w:pStyle w:val="Default"/>
        <w:tabs>
          <w:tab w:val="left" w:pos="3261"/>
          <w:tab w:val="left" w:pos="4253"/>
        </w:tabs>
        <w:ind w:left="-426" w:right="-233"/>
        <w:jc w:val="center"/>
        <w:rPr>
          <w:color w:val="auto"/>
          <w:sz w:val="20"/>
          <w:szCs w:val="20"/>
          <w:lang w:eastAsia="es-ES"/>
        </w:rPr>
      </w:pPr>
    </w:p>
    <w:p w14:paraId="06B090AD" w14:textId="77777777" w:rsidR="00F91F71" w:rsidRDefault="00F91F71">
      <w:pPr>
        <w:pStyle w:val="Default"/>
        <w:tabs>
          <w:tab w:val="left" w:pos="3261"/>
          <w:tab w:val="left" w:pos="4253"/>
        </w:tabs>
        <w:ind w:left="-426" w:right="-233"/>
        <w:jc w:val="center"/>
        <w:rPr>
          <w:color w:val="auto"/>
          <w:sz w:val="20"/>
          <w:szCs w:val="20"/>
          <w:lang w:eastAsia="es-ES"/>
        </w:rPr>
      </w:pPr>
    </w:p>
    <w:p w14:paraId="3FBB4759" w14:textId="77777777" w:rsidR="00F91F71" w:rsidRDefault="00F91F71">
      <w:pPr>
        <w:pStyle w:val="Default"/>
        <w:tabs>
          <w:tab w:val="left" w:pos="3261"/>
          <w:tab w:val="left" w:pos="4253"/>
        </w:tabs>
        <w:ind w:left="-426" w:right="-233"/>
        <w:jc w:val="center"/>
        <w:rPr>
          <w:color w:val="auto"/>
          <w:sz w:val="20"/>
          <w:szCs w:val="20"/>
          <w:lang w:eastAsia="es-ES"/>
        </w:rPr>
      </w:pPr>
    </w:p>
    <w:p w14:paraId="1ED325A6" w14:textId="77777777" w:rsidR="00F91F71" w:rsidRDefault="00F91F71">
      <w:pPr>
        <w:pStyle w:val="Default"/>
        <w:tabs>
          <w:tab w:val="left" w:pos="3261"/>
          <w:tab w:val="left" w:pos="4253"/>
        </w:tabs>
        <w:ind w:left="-426" w:right="-233"/>
        <w:jc w:val="center"/>
        <w:rPr>
          <w:color w:val="auto"/>
          <w:sz w:val="20"/>
          <w:szCs w:val="20"/>
          <w:lang w:eastAsia="es-ES"/>
        </w:rPr>
      </w:pPr>
    </w:p>
    <w:p w14:paraId="2BA3A7B7" w14:textId="2C9D2FCA" w:rsidR="00F91F71" w:rsidRDefault="00F91F71" w:rsidP="00F91F71">
      <w:pPr>
        <w:pStyle w:val="Default"/>
        <w:tabs>
          <w:tab w:val="left" w:pos="3261"/>
          <w:tab w:val="left" w:pos="4253"/>
        </w:tabs>
        <w:ind w:right="-233"/>
        <w:rPr>
          <w:color w:val="auto"/>
          <w:sz w:val="20"/>
          <w:szCs w:val="20"/>
          <w:lang w:eastAsia="es-ES"/>
        </w:rPr>
      </w:pPr>
    </w:p>
    <w:p w14:paraId="253F165A" w14:textId="77777777" w:rsidR="00F91F71" w:rsidRDefault="00F91F71" w:rsidP="00F91F71">
      <w:pPr>
        <w:pStyle w:val="Default"/>
        <w:tabs>
          <w:tab w:val="left" w:pos="3261"/>
          <w:tab w:val="left" w:pos="4253"/>
        </w:tabs>
        <w:ind w:right="-233"/>
        <w:rPr>
          <w:color w:val="auto"/>
          <w:sz w:val="20"/>
          <w:szCs w:val="20"/>
          <w:lang w:eastAsia="es-ES"/>
        </w:rPr>
      </w:pPr>
    </w:p>
    <w:p w14:paraId="1CD1830C" w14:textId="77777777" w:rsidR="00F91F71" w:rsidRDefault="00F91F71">
      <w:pPr>
        <w:pStyle w:val="Default"/>
        <w:tabs>
          <w:tab w:val="left" w:pos="3261"/>
          <w:tab w:val="left" w:pos="4253"/>
        </w:tabs>
        <w:ind w:left="-426" w:right="-233"/>
        <w:jc w:val="center"/>
        <w:rPr>
          <w:color w:val="auto"/>
          <w:sz w:val="20"/>
          <w:szCs w:val="20"/>
          <w:lang w:eastAsia="es-ES"/>
        </w:rPr>
      </w:pPr>
    </w:p>
    <w:p w14:paraId="3B9F308E" w14:textId="4065CF61" w:rsidR="0097761E" w:rsidRPr="004F6F67" w:rsidRDefault="0097761E">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Pr>
          <w:color w:val="auto"/>
          <w:sz w:val="20"/>
          <w:szCs w:val="20"/>
          <w:lang w:eastAsia="es-ES"/>
        </w:rPr>
        <w:t>14</w:t>
      </w:r>
    </w:p>
    <w:p w14:paraId="6DB75276" w14:textId="66A98995" w:rsidR="002E2120" w:rsidRPr="00057984" w:rsidRDefault="0097761E" w:rsidP="00AB71F5">
      <w:pPr>
        <w:ind w:left="-426" w:right="-233"/>
        <w:jc w:val="center"/>
        <w:rPr>
          <w:b/>
          <w:bCs/>
          <w:sz w:val="22"/>
          <w:szCs w:val="22"/>
        </w:rPr>
      </w:pPr>
      <w:r>
        <w:rPr>
          <w:b/>
          <w:smallCaps/>
          <w:sz w:val="22"/>
        </w:rPr>
        <w:t xml:space="preserve">Procedencia de crédito, préstamo o financiamiento en el comercio al por mayor, </w:t>
      </w:r>
      <w:r w:rsidRPr="004F6F67">
        <w:rPr>
          <w:b/>
          <w:smallCaps/>
          <w:sz w:val="22"/>
        </w:rPr>
        <w:t>2021</w:t>
      </w:r>
      <w:r w:rsidRPr="004F6F67">
        <w:rPr>
          <w:b/>
          <w:smallCaps/>
          <w:sz w:val="22"/>
          <w:vertAlign w:val="superscript"/>
        </w:rPr>
        <w:t>P</w:t>
      </w:r>
    </w:p>
    <w:p w14:paraId="33617402" w14:textId="2958A3D3" w:rsidR="00DB6B28" w:rsidRDefault="00DB6B28" w:rsidP="002E2120">
      <w:pPr>
        <w:rPr>
          <w:b/>
          <w:spacing w:val="-1"/>
          <w:sz w:val="18"/>
          <w:szCs w:val="18"/>
          <w:lang w:val="es-MX"/>
        </w:rPr>
      </w:pPr>
      <w:r>
        <w:rPr>
          <w:noProof/>
        </w:rPr>
        <w:drawing>
          <wp:inline distT="0" distB="0" distL="0" distR="0" wp14:anchorId="2E4F6D66" wp14:editId="7C21C95D">
            <wp:extent cx="5883275" cy="2515235"/>
            <wp:effectExtent l="0" t="0" r="3175" b="18415"/>
            <wp:docPr id="8" name="Gráfico 8">
              <a:extLst xmlns:a="http://schemas.openxmlformats.org/drawingml/2006/main">
                <a:ext uri="{FF2B5EF4-FFF2-40B4-BE49-F238E27FC236}">
                  <a16:creationId xmlns:a16="http://schemas.microsoft.com/office/drawing/2014/main" id="{FA7659E0-61B3-4DE3-B410-AE0F4105CB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EAED42" w14:textId="77777777" w:rsidR="002E2120" w:rsidRPr="00AB71F5" w:rsidRDefault="002E2120" w:rsidP="002E2120">
      <w:pPr>
        <w:rPr>
          <w:spacing w:val="-1"/>
          <w:sz w:val="16"/>
          <w:szCs w:val="18"/>
          <w:lang w:val="es-MX"/>
        </w:rPr>
      </w:pPr>
      <w:r w:rsidRPr="00AB71F5">
        <w:rPr>
          <w:spacing w:val="-1"/>
          <w:sz w:val="16"/>
          <w:szCs w:val="18"/>
          <w:lang w:val="es-MX"/>
        </w:rPr>
        <w:t>Fuente INEGI. Encuesta Anual del Comercio, Serie 2013</w:t>
      </w:r>
    </w:p>
    <w:p w14:paraId="6E9CC8F4" w14:textId="77777777" w:rsidR="002E2120" w:rsidRDefault="002E2120" w:rsidP="002E2120">
      <w:pPr>
        <w:rPr>
          <w:b/>
          <w:spacing w:val="-1"/>
          <w:sz w:val="18"/>
          <w:szCs w:val="18"/>
          <w:lang w:val="es-MX"/>
        </w:rPr>
      </w:pPr>
    </w:p>
    <w:p w14:paraId="42B28EE0" w14:textId="36D101F2" w:rsidR="0097761E" w:rsidRPr="004F6F67" w:rsidRDefault="0097761E">
      <w:pPr>
        <w:pStyle w:val="Default"/>
        <w:tabs>
          <w:tab w:val="left" w:pos="3261"/>
          <w:tab w:val="left" w:pos="4253"/>
        </w:tabs>
        <w:ind w:left="-426" w:right="-233"/>
        <w:jc w:val="center"/>
        <w:rPr>
          <w:color w:val="auto"/>
          <w:sz w:val="20"/>
          <w:szCs w:val="20"/>
          <w:lang w:eastAsia="es-ES"/>
        </w:rPr>
      </w:pPr>
      <w:r w:rsidRPr="004F6F67">
        <w:rPr>
          <w:color w:val="auto"/>
          <w:sz w:val="20"/>
          <w:szCs w:val="20"/>
          <w:lang w:eastAsia="es-ES"/>
        </w:rPr>
        <w:t xml:space="preserve">Gráfica </w:t>
      </w:r>
      <w:r>
        <w:rPr>
          <w:color w:val="auto"/>
          <w:sz w:val="20"/>
          <w:szCs w:val="20"/>
          <w:lang w:eastAsia="es-ES"/>
        </w:rPr>
        <w:t>15</w:t>
      </w:r>
    </w:p>
    <w:p w14:paraId="239DFE47" w14:textId="4F235996" w:rsidR="002E2120" w:rsidRDefault="0097761E" w:rsidP="00AB71F5">
      <w:pPr>
        <w:ind w:left="-426" w:right="-233"/>
        <w:jc w:val="center"/>
        <w:rPr>
          <w:b/>
          <w:smallCaps/>
          <w:sz w:val="22"/>
          <w:vertAlign w:val="superscript"/>
        </w:rPr>
      </w:pPr>
      <w:r>
        <w:rPr>
          <w:b/>
          <w:smallCaps/>
          <w:sz w:val="22"/>
        </w:rPr>
        <w:t xml:space="preserve">Procedencia de crédito, préstamo o financiamiento en el comercio al por menor, </w:t>
      </w:r>
      <w:r w:rsidRPr="004F6F67">
        <w:rPr>
          <w:b/>
          <w:smallCaps/>
          <w:sz w:val="22"/>
        </w:rPr>
        <w:t>2021</w:t>
      </w:r>
      <w:r w:rsidRPr="004F6F67">
        <w:rPr>
          <w:b/>
          <w:smallCaps/>
          <w:sz w:val="22"/>
          <w:vertAlign w:val="superscript"/>
        </w:rPr>
        <w:t>P</w:t>
      </w:r>
    </w:p>
    <w:p w14:paraId="1563ECC0" w14:textId="357E48EF" w:rsidR="006E59A9" w:rsidRDefault="006E59A9" w:rsidP="00AB71F5">
      <w:pPr>
        <w:ind w:left="-426" w:right="-233"/>
        <w:jc w:val="center"/>
        <w:rPr>
          <w:b/>
          <w:spacing w:val="-1"/>
          <w:sz w:val="18"/>
          <w:szCs w:val="18"/>
          <w:lang w:val="es-MX"/>
        </w:rPr>
      </w:pPr>
    </w:p>
    <w:p w14:paraId="48C0C1BB" w14:textId="60FA99C4" w:rsidR="006E59A9" w:rsidRDefault="006E59A9" w:rsidP="00AB71F5">
      <w:pPr>
        <w:ind w:left="-426" w:right="-233"/>
        <w:jc w:val="center"/>
        <w:rPr>
          <w:b/>
          <w:spacing w:val="-1"/>
          <w:sz w:val="18"/>
          <w:szCs w:val="18"/>
          <w:lang w:val="es-MX"/>
        </w:rPr>
      </w:pPr>
      <w:r>
        <w:rPr>
          <w:noProof/>
        </w:rPr>
        <w:drawing>
          <wp:inline distT="0" distB="0" distL="0" distR="0" wp14:anchorId="168A5412" wp14:editId="69E4EF16">
            <wp:extent cx="5883275" cy="2527935"/>
            <wp:effectExtent l="0" t="0" r="3175" b="5715"/>
            <wp:docPr id="10" name="Gráfico 10">
              <a:extLst xmlns:a="http://schemas.openxmlformats.org/drawingml/2006/main">
                <a:ext uri="{FF2B5EF4-FFF2-40B4-BE49-F238E27FC236}">
                  <a16:creationId xmlns:a16="http://schemas.microsoft.com/office/drawing/2014/main" id="{B093EDCC-6D70-4BF8-9FAB-F1DAD2BBB2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056B090" w14:textId="77777777" w:rsidR="002E2120" w:rsidRPr="00AB71F5" w:rsidRDefault="002E2120" w:rsidP="002E2120">
      <w:pPr>
        <w:rPr>
          <w:spacing w:val="-1"/>
          <w:sz w:val="16"/>
          <w:szCs w:val="16"/>
          <w:lang w:val="es-MX"/>
        </w:rPr>
      </w:pPr>
      <w:r w:rsidRPr="00AB71F5">
        <w:rPr>
          <w:spacing w:val="-1"/>
          <w:sz w:val="16"/>
          <w:szCs w:val="16"/>
          <w:lang w:val="es-MX"/>
        </w:rPr>
        <w:t>Fuente INEGI. Encuesta Anual del Comercio, Serie 2013</w:t>
      </w:r>
    </w:p>
    <w:p w14:paraId="2AC07A6E" w14:textId="77777777" w:rsidR="0080353B" w:rsidRDefault="0080353B" w:rsidP="00242E34">
      <w:pPr>
        <w:rPr>
          <w:b/>
          <w:bCs/>
          <w:sz w:val="22"/>
          <w:szCs w:val="22"/>
        </w:rPr>
      </w:pPr>
    </w:p>
    <w:p w14:paraId="65388D97" w14:textId="7A460D83" w:rsidR="00957E3C" w:rsidRPr="004F6F67" w:rsidRDefault="00957E3C" w:rsidP="00AB71F5">
      <w:pPr>
        <w:keepNext/>
        <w:keepLines/>
        <w:spacing w:before="240"/>
        <w:ind w:left="-426" w:right="-233"/>
        <w:rPr>
          <w:snapToGrid w:val="0"/>
          <w:lang w:val="es-MX"/>
        </w:rPr>
      </w:pPr>
      <w:r w:rsidRPr="004F6F67">
        <w:t>La información de la EAC</w:t>
      </w:r>
      <w:r w:rsidR="00DB4520">
        <w:t xml:space="preserve"> puede consultarse en</w:t>
      </w:r>
      <w:r w:rsidRPr="004F6F67">
        <w:rPr>
          <w:snapToGrid w:val="0"/>
          <w:lang w:val="es-MX"/>
        </w:rPr>
        <w:t xml:space="preserve">: </w:t>
      </w:r>
    </w:p>
    <w:p w14:paraId="459CBA10" w14:textId="77777777" w:rsidR="00957E3C" w:rsidRPr="004F6F67" w:rsidRDefault="00000000" w:rsidP="00957E3C">
      <w:pPr>
        <w:keepNext/>
        <w:keepLines/>
        <w:spacing w:before="160" w:after="240"/>
        <w:ind w:left="-426" w:right="-233"/>
      </w:pPr>
      <w:hyperlink r:id="rId23" w:history="1">
        <w:r w:rsidR="00957E3C" w:rsidRPr="004F6F67">
          <w:rPr>
            <w:rStyle w:val="Hipervnculo"/>
          </w:rPr>
          <w:t>https://www.inegi.org.mx/programas/eac/2013/</w:t>
        </w:r>
      </w:hyperlink>
    </w:p>
    <w:p w14:paraId="3F046D08" w14:textId="19A5013B" w:rsidR="00957E3C" w:rsidRDefault="00957E3C" w:rsidP="00F22E22">
      <w:pPr>
        <w:ind w:left="-426" w:right="-233"/>
        <w:rPr>
          <w:b/>
          <w:bCs/>
        </w:rPr>
      </w:pPr>
    </w:p>
    <w:p w14:paraId="6A2CEAC1" w14:textId="5836E267" w:rsidR="00F91F71" w:rsidRDefault="00F91F71" w:rsidP="00F22E22">
      <w:pPr>
        <w:ind w:left="-426" w:right="-233"/>
        <w:rPr>
          <w:b/>
          <w:bCs/>
        </w:rPr>
      </w:pPr>
    </w:p>
    <w:p w14:paraId="4C985FA9" w14:textId="0C9AB2DC" w:rsidR="00F91F71" w:rsidRDefault="00F91F71" w:rsidP="00F22E22">
      <w:pPr>
        <w:ind w:left="-426" w:right="-233"/>
        <w:rPr>
          <w:b/>
          <w:bCs/>
        </w:rPr>
      </w:pPr>
    </w:p>
    <w:p w14:paraId="25CC5AF2" w14:textId="2BC9B228" w:rsidR="00F91F71" w:rsidRDefault="00F91F71" w:rsidP="00F22E22">
      <w:pPr>
        <w:ind w:left="-426" w:right="-233"/>
        <w:rPr>
          <w:b/>
          <w:bCs/>
        </w:rPr>
      </w:pPr>
    </w:p>
    <w:p w14:paraId="73C483DE" w14:textId="77777777" w:rsidR="00F91F71" w:rsidRDefault="00F91F71" w:rsidP="00F22E22">
      <w:pPr>
        <w:ind w:left="-426" w:right="-233"/>
        <w:rPr>
          <w:b/>
          <w:bCs/>
        </w:rPr>
      </w:pPr>
    </w:p>
    <w:p w14:paraId="78B49E6A" w14:textId="77777777" w:rsidR="00F91F71" w:rsidRDefault="00F91F71" w:rsidP="00AB71F5">
      <w:pPr>
        <w:ind w:left="-426" w:right="-233"/>
        <w:rPr>
          <w:b/>
          <w:bCs/>
        </w:rPr>
      </w:pPr>
    </w:p>
    <w:p w14:paraId="0F487C5A" w14:textId="49270341" w:rsidR="00F22E22" w:rsidRDefault="00F22E22" w:rsidP="00AB71F5">
      <w:pPr>
        <w:ind w:left="-426" w:right="-233"/>
        <w:rPr>
          <w:b/>
          <w:bCs/>
        </w:rPr>
      </w:pPr>
      <w:r w:rsidRPr="00F91F71">
        <w:rPr>
          <w:b/>
          <w:bCs/>
        </w:rPr>
        <w:t>Nota al usuario</w:t>
      </w:r>
    </w:p>
    <w:p w14:paraId="0CC0526E" w14:textId="77777777" w:rsidR="00F91F71" w:rsidRPr="00F91F71" w:rsidRDefault="00F91F71" w:rsidP="00AB71F5">
      <w:pPr>
        <w:ind w:left="-426" w:right="-233"/>
        <w:rPr>
          <w:b/>
          <w:bCs/>
        </w:rPr>
      </w:pPr>
    </w:p>
    <w:p w14:paraId="69539A8F" w14:textId="05BEBA12" w:rsidR="0052062E" w:rsidRPr="00F91F71" w:rsidRDefault="0052062E" w:rsidP="00F91F71">
      <w:pPr>
        <w:ind w:left="-426"/>
        <w:rPr>
          <w:lang w:val="es-MX" w:eastAsia="es-MX"/>
        </w:rPr>
      </w:pPr>
      <w:r w:rsidRPr="00F91F71">
        <w:rPr>
          <w:lang w:val="es-MX" w:eastAsia="es-MX"/>
        </w:rPr>
        <w:t>La Tasa de no respuesta de la EAC, correspondiente a</w:t>
      </w:r>
      <w:r w:rsidR="00F91F71">
        <w:rPr>
          <w:lang w:val="es-MX" w:eastAsia="es-MX"/>
        </w:rPr>
        <w:t xml:space="preserve"> </w:t>
      </w:r>
      <w:r w:rsidRPr="00F91F71">
        <w:rPr>
          <w:lang w:val="es-MX" w:eastAsia="es-MX"/>
        </w:rPr>
        <w:t>2021, registró porcentajes apropiados conforme al diseño estadístico de la encuesta, lo que permitió la generación de estadísticas con niveles adecuados de precisión, salvo dos dominios que participa</w:t>
      </w:r>
      <w:r w:rsidR="00F91F71">
        <w:rPr>
          <w:lang w:val="es-MX" w:eastAsia="es-MX"/>
        </w:rPr>
        <w:t>ro</w:t>
      </w:r>
      <w:r w:rsidRPr="00F91F71">
        <w:rPr>
          <w:lang w:val="es-MX" w:eastAsia="es-MX"/>
        </w:rPr>
        <w:t>n con 0.06</w:t>
      </w:r>
      <w:r w:rsidR="00F91F71">
        <w:rPr>
          <w:lang w:val="es-MX" w:eastAsia="es-MX"/>
        </w:rPr>
        <w:t xml:space="preserve"> </w:t>
      </w:r>
      <w:r w:rsidRPr="00F91F71">
        <w:rPr>
          <w:lang w:val="es-MX" w:eastAsia="es-MX"/>
        </w:rPr>
        <w:t>%, en relación con la variable de ingresos del total del comercio</w:t>
      </w:r>
      <w:r w:rsidR="00F91F71">
        <w:rPr>
          <w:lang w:val="es-MX" w:eastAsia="es-MX"/>
        </w:rPr>
        <w:t>.</w:t>
      </w:r>
      <w:r w:rsidR="00186C75">
        <w:rPr>
          <w:lang w:val="es-MX" w:eastAsia="es-MX"/>
        </w:rPr>
        <w:t xml:space="preserve"> S</w:t>
      </w:r>
      <w:r w:rsidRPr="00F91F71">
        <w:rPr>
          <w:lang w:val="es-MX" w:eastAsia="es-MX"/>
        </w:rPr>
        <w:t>e recomienda el uso con reserva de las estimaciones:</w:t>
      </w:r>
    </w:p>
    <w:p w14:paraId="475D49AC" w14:textId="77777777" w:rsidR="0052062E" w:rsidRPr="00F91F71" w:rsidRDefault="0052062E" w:rsidP="00F91F71">
      <w:pPr>
        <w:ind w:left="-426"/>
        <w:rPr>
          <w:strike/>
        </w:rPr>
      </w:pPr>
    </w:p>
    <w:p w14:paraId="60E030A3" w14:textId="50F36F7C" w:rsidR="0052062E" w:rsidRPr="00F91F71" w:rsidRDefault="0052062E" w:rsidP="0052062E">
      <w:pPr>
        <w:pStyle w:val="Prrafodelista"/>
        <w:numPr>
          <w:ilvl w:val="0"/>
          <w:numId w:val="38"/>
        </w:numPr>
      </w:pPr>
      <w:r w:rsidRPr="00F91F71">
        <w:t xml:space="preserve">Intermediación de comercio al por mayor exclusivamente a través de </w:t>
      </w:r>
      <w:r w:rsidR="00F91F71">
        <w:t>i</w:t>
      </w:r>
      <w:r w:rsidRPr="00F91F71">
        <w:t>nternet y otros medios electrónicos</w:t>
      </w:r>
    </w:p>
    <w:p w14:paraId="13B6BF4D" w14:textId="77777777" w:rsidR="0052062E" w:rsidRPr="00F91F71" w:rsidRDefault="0052062E" w:rsidP="0052062E">
      <w:pPr>
        <w:pStyle w:val="Prrafodelista"/>
        <w:numPr>
          <w:ilvl w:val="0"/>
          <w:numId w:val="38"/>
        </w:numPr>
      </w:pPr>
      <w:r w:rsidRPr="00F91F71">
        <w:t>Comercio al por menor de artículos usados</w:t>
      </w:r>
    </w:p>
    <w:p w14:paraId="2B03C287" w14:textId="77777777" w:rsidR="0052062E" w:rsidRPr="00F91F71" w:rsidRDefault="0052062E" w:rsidP="00AB71F5">
      <w:pPr>
        <w:ind w:left="-426" w:right="-233"/>
        <w:rPr>
          <w:b/>
          <w:bCs/>
        </w:rPr>
      </w:pPr>
    </w:p>
    <w:p w14:paraId="6AD73294" w14:textId="77777777" w:rsidR="00F22E22" w:rsidRPr="00F91F71" w:rsidRDefault="00F22E22" w:rsidP="00AB71F5">
      <w:pPr>
        <w:ind w:left="-426" w:right="-233"/>
        <w:rPr>
          <w:b/>
          <w:bCs/>
        </w:rPr>
      </w:pPr>
    </w:p>
    <w:p w14:paraId="2F5717B7" w14:textId="0ADD2043" w:rsidR="00F22E22" w:rsidRPr="00F91F71" w:rsidRDefault="00721448" w:rsidP="00AB71F5">
      <w:pPr>
        <w:ind w:left="-426" w:right="-233"/>
      </w:pPr>
      <w:r w:rsidRPr="00F91F71">
        <w:t xml:space="preserve">Nótese que, </w:t>
      </w:r>
      <w:r w:rsidR="00F22E22" w:rsidRPr="00F91F71">
        <w:t>por la pandemia</w:t>
      </w:r>
      <w:r w:rsidRPr="00F91F71">
        <w:t xml:space="preserve">, </w:t>
      </w:r>
      <w:r w:rsidR="00F22E22" w:rsidRPr="00F91F71">
        <w:t>se mantuvieron las recomendaciones de la Secretaría de Salud en materia de sanidad</w:t>
      </w:r>
      <w:r w:rsidRPr="00F91F71">
        <w:t>. Así, s</w:t>
      </w:r>
      <w:r w:rsidR="00F22E22" w:rsidRPr="00F91F71">
        <w:t>e continuó con la estrategia de captar la información</w:t>
      </w:r>
      <w:r w:rsidRPr="00F91F71">
        <w:t xml:space="preserve"> por medios </w:t>
      </w:r>
      <w:r w:rsidR="00F22E22" w:rsidRPr="00F91F71">
        <w:t xml:space="preserve">digitales u otro tipo de alternativa, para lograr la mayor recolección </w:t>
      </w:r>
      <w:r w:rsidRPr="00F91F71">
        <w:t xml:space="preserve">posible </w:t>
      </w:r>
      <w:r w:rsidR="00F22E22" w:rsidRPr="00F91F71">
        <w:t>de datos</w:t>
      </w:r>
      <w:r w:rsidRPr="00F91F71">
        <w:t>.</w:t>
      </w:r>
      <w:r w:rsidR="00F22E22" w:rsidRPr="00F91F71">
        <w:t xml:space="preserve"> </w:t>
      </w:r>
    </w:p>
    <w:p w14:paraId="3B359D93" w14:textId="77777777" w:rsidR="00F22E22" w:rsidRPr="00F91F71" w:rsidRDefault="00F22E22" w:rsidP="00AB71F5">
      <w:pPr>
        <w:ind w:left="-426" w:right="-233"/>
        <w:rPr>
          <w:lang w:val="es-MX"/>
        </w:rPr>
      </w:pPr>
    </w:p>
    <w:p w14:paraId="15770F94" w14:textId="77777777" w:rsidR="0097761E" w:rsidRDefault="0097761E" w:rsidP="0080353B">
      <w:pPr>
        <w:ind w:left="-426" w:right="-233"/>
        <w:rPr>
          <w:lang w:val="es-MX"/>
        </w:rPr>
      </w:pPr>
    </w:p>
    <w:p w14:paraId="06DD51A8" w14:textId="482EE9F9" w:rsidR="0097761E" w:rsidRPr="00AB71F5" w:rsidRDefault="0097761E" w:rsidP="00AB71F5">
      <w:pPr>
        <w:pStyle w:val="NormalWeb"/>
        <w:spacing w:before="0" w:beforeAutospacing="0" w:after="0" w:afterAutospacing="0"/>
        <w:ind w:left="-426" w:right="-233"/>
        <w:contextualSpacing/>
        <w:jc w:val="center"/>
        <w:rPr>
          <w:rFonts w:ascii="Arial" w:hAnsi="Arial" w:cs="Arial"/>
        </w:rPr>
      </w:pPr>
      <w:r w:rsidRPr="00AB71F5">
        <w:rPr>
          <w:rFonts w:ascii="Arial" w:hAnsi="Arial" w:cs="Arial"/>
        </w:rPr>
        <w:t xml:space="preserve">Para consultas de medios y periodistas, escribir a: </w:t>
      </w:r>
      <w:hyperlink r:id="rId24" w:history="1">
        <w:r w:rsidRPr="00AB71F5">
          <w:rPr>
            <w:rStyle w:val="Hipervnculo"/>
            <w:rFonts w:ascii="Arial" w:hAnsi="Arial" w:cs="Arial"/>
          </w:rPr>
          <w:t>comunicacionsocial@inegi.org.mx</w:t>
        </w:r>
      </w:hyperlink>
    </w:p>
    <w:p w14:paraId="73924B1B" w14:textId="77777777" w:rsidR="0097761E" w:rsidRPr="00AB71F5" w:rsidRDefault="0097761E" w:rsidP="00AB71F5">
      <w:pPr>
        <w:pStyle w:val="NormalWeb"/>
        <w:spacing w:before="0" w:beforeAutospacing="0" w:after="0" w:afterAutospacing="0"/>
        <w:ind w:left="-426" w:right="-233"/>
        <w:contextualSpacing/>
        <w:jc w:val="center"/>
        <w:rPr>
          <w:rFonts w:ascii="Arial" w:hAnsi="Arial" w:cs="Arial"/>
        </w:rPr>
      </w:pPr>
      <w:r w:rsidRPr="00AB71F5">
        <w:rPr>
          <w:rFonts w:ascii="Arial" w:hAnsi="Arial" w:cs="Arial"/>
        </w:rPr>
        <w:t xml:space="preserve">o llamar al teléfono (55) 52-78-10-00, </w:t>
      </w:r>
      <w:proofErr w:type="spellStart"/>
      <w:r w:rsidRPr="00AB71F5">
        <w:rPr>
          <w:rFonts w:ascii="Arial" w:hAnsi="Arial" w:cs="Arial"/>
        </w:rPr>
        <w:t>exts</w:t>
      </w:r>
      <w:proofErr w:type="spellEnd"/>
      <w:r w:rsidRPr="00AB71F5">
        <w:rPr>
          <w:rFonts w:ascii="Arial" w:hAnsi="Arial" w:cs="Arial"/>
        </w:rPr>
        <w:t>. 1134, 1260 y 1241.</w:t>
      </w:r>
    </w:p>
    <w:p w14:paraId="4E584A09" w14:textId="77777777" w:rsidR="0097761E" w:rsidRPr="00AB71F5" w:rsidRDefault="0097761E" w:rsidP="00AB71F5">
      <w:pPr>
        <w:ind w:left="-426" w:right="-233"/>
        <w:contextualSpacing/>
        <w:jc w:val="center"/>
      </w:pPr>
    </w:p>
    <w:p w14:paraId="2C1D2598" w14:textId="77777777" w:rsidR="0097761E" w:rsidRPr="00AB71F5" w:rsidRDefault="0097761E" w:rsidP="00AB71F5">
      <w:pPr>
        <w:ind w:left="-426" w:right="-233"/>
        <w:contextualSpacing/>
        <w:jc w:val="center"/>
      </w:pPr>
      <w:r w:rsidRPr="00AB71F5">
        <w:t>Dirección de Atención a Medios / Dirección General Adjunta de Comunicación</w:t>
      </w:r>
    </w:p>
    <w:p w14:paraId="75380864" w14:textId="77777777" w:rsidR="0097761E" w:rsidRPr="00D62445" w:rsidRDefault="0097761E" w:rsidP="0097761E">
      <w:pPr>
        <w:ind w:right="-518"/>
        <w:contextualSpacing/>
        <w:rPr>
          <w:sz w:val="22"/>
          <w:szCs w:val="22"/>
        </w:rPr>
      </w:pPr>
    </w:p>
    <w:p w14:paraId="55A4D479" w14:textId="77777777" w:rsidR="0097761E" w:rsidRDefault="0097761E" w:rsidP="0097761E">
      <w:pPr>
        <w:ind w:right="-516"/>
        <w:contextualSpacing/>
        <w:rPr>
          <w:noProof/>
          <w:sz w:val="22"/>
          <w:szCs w:val="22"/>
          <w:lang w:eastAsia="es-MX"/>
        </w:rPr>
        <w:sectPr w:rsidR="0097761E" w:rsidSect="00EF4F99">
          <w:headerReference w:type="default" r:id="rId25"/>
          <w:footerReference w:type="default" r:id="rId26"/>
          <w:pgSz w:w="12242" w:h="15842" w:code="1"/>
          <w:pgMar w:top="1134" w:right="1418" w:bottom="993" w:left="1559" w:header="567" w:footer="413" w:gutter="0"/>
          <w:paperSrc w:first="7" w:other="7"/>
          <w:pgNumType w:start="1"/>
          <w:cols w:space="720"/>
          <w:docGrid w:linePitch="360"/>
        </w:sectPr>
      </w:pPr>
      <w:r>
        <w:rPr>
          <w:noProof/>
          <w:sz w:val="22"/>
          <w:szCs w:val="22"/>
          <w:lang w:eastAsia="es-MX"/>
        </w:rPr>
        <w:t xml:space="preserve">                          </w:t>
      </w:r>
      <w:r w:rsidRPr="00D62445">
        <w:rPr>
          <w:noProof/>
          <w:sz w:val="22"/>
          <w:szCs w:val="22"/>
          <w:lang w:val="en-US" w:eastAsia="en-US"/>
        </w:rPr>
        <w:drawing>
          <wp:inline distT="0" distB="0" distL="0" distR="0" wp14:anchorId="76E571D4" wp14:editId="042918D1">
            <wp:extent cx="371475" cy="365760"/>
            <wp:effectExtent l="0" t="0" r="9525" b="0"/>
            <wp:docPr id="16" name="Imagen 16" descr="C:\Users\saladeprensa\Desktop\NVOS LOGOS\F.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3874" cy="368122"/>
                    </a:xfrm>
                    <a:prstGeom prst="rect">
                      <a:avLst/>
                    </a:prstGeom>
                    <a:noFill/>
                    <a:ln>
                      <a:noFill/>
                    </a:ln>
                  </pic:spPr>
                </pic:pic>
              </a:graphicData>
            </a:graphic>
          </wp:inline>
        </w:drawing>
      </w:r>
      <w:r w:rsidRPr="00D62445">
        <w:rPr>
          <w:noProof/>
          <w:sz w:val="22"/>
          <w:szCs w:val="22"/>
          <w:lang w:eastAsia="es-MX"/>
        </w:rPr>
        <w:t xml:space="preserve"> </w:t>
      </w:r>
      <w:r w:rsidRPr="00D62445">
        <w:rPr>
          <w:noProof/>
          <w:sz w:val="22"/>
          <w:szCs w:val="22"/>
          <w:lang w:val="en-US" w:eastAsia="en-US"/>
        </w:rPr>
        <w:drawing>
          <wp:inline distT="0" distB="0" distL="0" distR="0" wp14:anchorId="2AF904C6" wp14:editId="2E38F640">
            <wp:extent cx="365760" cy="365760"/>
            <wp:effectExtent l="0" t="0" r="0" b="0"/>
            <wp:docPr id="17" name="Imagen 17" descr="C:\Users\saladeprensa\Desktop\NVOS LOGOS\I.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D62445">
        <w:rPr>
          <w:noProof/>
          <w:sz w:val="22"/>
          <w:szCs w:val="22"/>
          <w:lang w:eastAsia="es-MX"/>
        </w:rPr>
        <w:t xml:space="preserve"> </w:t>
      </w:r>
      <w:r w:rsidRPr="00D62445">
        <w:rPr>
          <w:noProof/>
          <w:sz w:val="22"/>
          <w:szCs w:val="22"/>
          <w:lang w:val="en-US" w:eastAsia="en-US"/>
        </w:rPr>
        <w:drawing>
          <wp:inline distT="0" distB="0" distL="0" distR="0" wp14:anchorId="5A4BB251" wp14:editId="2504A8B1">
            <wp:extent cx="365760" cy="365760"/>
            <wp:effectExtent l="0" t="0" r="0" b="0"/>
            <wp:docPr id="18" name="Imagen 18" descr="C:\Users\saladeprensa\Desktop\NVOS LOGOS\T.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D62445">
        <w:rPr>
          <w:noProof/>
          <w:sz w:val="22"/>
          <w:szCs w:val="22"/>
          <w:lang w:eastAsia="es-MX"/>
        </w:rPr>
        <w:t xml:space="preserve"> </w:t>
      </w:r>
      <w:r w:rsidRPr="00D62445">
        <w:rPr>
          <w:noProof/>
          <w:sz w:val="22"/>
          <w:szCs w:val="22"/>
          <w:lang w:val="en-US" w:eastAsia="en-US"/>
        </w:rPr>
        <w:drawing>
          <wp:inline distT="0" distB="0" distL="0" distR="0" wp14:anchorId="3EC84AEB" wp14:editId="24EEF130">
            <wp:extent cx="365760" cy="365760"/>
            <wp:effectExtent l="0" t="0" r="0" b="0"/>
            <wp:docPr id="19" name="Imagen 19" descr="C:\Users\saladeprensa\Desktop\NVOS LOGOS\Y.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D62445">
        <w:rPr>
          <w:noProof/>
          <w:sz w:val="22"/>
          <w:szCs w:val="22"/>
          <w:lang w:eastAsia="es-MX"/>
        </w:rPr>
        <w:t xml:space="preserve">  </w:t>
      </w:r>
      <w:r w:rsidRPr="00D62445">
        <w:rPr>
          <w:noProof/>
          <w:sz w:val="22"/>
          <w:szCs w:val="22"/>
          <w:lang w:val="en-US" w:eastAsia="en-US"/>
        </w:rPr>
        <w:drawing>
          <wp:inline distT="0" distB="0" distL="0" distR="0" wp14:anchorId="7DA793C7" wp14:editId="20DD353A">
            <wp:extent cx="2286000" cy="274320"/>
            <wp:effectExtent l="0" t="0" r="0" b="0"/>
            <wp:docPr id="21" name="Imagen 2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902BA2D" w14:textId="77777777" w:rsidR="0097761E" w:rsidRDefault="0097761E" w:rsidP="0080353B">
      <w:pPr>
        <w:ind w:left="-426" w:right="-233"/>
        <w:rPr>
          <w:lang w:val="es-MX"/>
        </w:rPr>
      </w:pPr>
    </w:p>
    <w:p w14:paraId="42CE6C6D" w14:textId="1282EFCD" w:rsidR="0097761E" w:rsidRPr="00AB71F5" w:rsidRDefault="0097761E" w:rsidP="00AB71F5">
      <w:pPr>
        <w:ind w:left="-426" w:right="-233"/>
        <w:jc w:val="center"/>
        <w:rPr>
          <w:b/>
          <w:lang w:val="es-MX"/>
        </w:rPr>
      </w:pPr>
      <w:r w:rsidRPr="00AB71F5">
        <w:rPr>
          <w:b/>
          <w:lang w:val="es-MX"/>
        </w:rPr>
        <w:t>ANEXO</w:t>
      </w:r>
    </w:p>
    <w:p w14:paraId="062ED3CE" w14:textId="4D804B72" w:rsidR="0097761E" w:rsidRPr="00AB71F5" w:rsidRDefault="0097761E" w:rsidP="00AB71F5">
      <w:pPr>
        <w:ind w:left="-426" w:right="-233"/>
        <w:jc w:val="center"/>
        <w:rPr>
          <w:b/>
          <w:lang w:val="es-MX"/>
        </w:rPr>
      </w:pPr>
    </w:p>
    <w:p w14:paraId="4DDB2470" w14:textId="3161DDB3" w:rsidR="0097761E" w:rsidRPr="00AB71F5" w:rsidRDefault="0097761E" w:rsidP="00AB71F5">
      <w:pPr>
        <w:ind w:left="-426" w:right="-233"/>
        <w:jc w:val="center"/>
        <w:rPr>
          <w:b/>
          <w:lang w:val="es-MX"/>
        </w:rPr>
      </w:pPr>
      <w:r w:rsidRPr="00AB71F5">
        <w:rPr>
          <w:b/>
          <w:lang w:val="es-MX"/>
        </w:rPr>
        <w:t>NOTA TÉCNICA</w:t>
      </w:r>
    </w:p>
    <w:p w14:paraId="7FE57DAD" w14:textId="77777777" w:rsidR="0080353B" w:rsidRDefault="0080353B" w:rsidP="00AB71F5">
      <w:pPr>
        <w:ind w:left="-426" w:right="-233"/>
        <w:rPr>
          <w:b/>
          <w:bCs/>
          <w:sz w:val="22"/>
          <w:szCs w:val="22"/>
        </w:rPr>
      </w:pPr>
    </w:p>
    <w:p w14:paraId="2F07ABFE" w14:textId="77777777" w:rsidR="002A1831" w:rsidRPr="00AB71F5" w:rsidRDefault="002A1831" w:rsidP="00AB71F5">
      <w:pPr>
        <w:ind w:left="-426" w:right="-233"/>
        <w:contextualSpacing/>
        <w:rPr>
          <w:b/>
          <w:bCs/>
          <w:noProof/>
          <w:lang w:eastAsia="es-MX"/>
        </w:rPr>
      </w:pPr>
      <w:r w:rsidRPr="00AB71F5">
        <w:rPr>
          <w:b/>
          <w:bCs/>
          <w:noProof/>
          <w:lang w:eastAsia="es-MX"/>
        </w:rPr>
        <w:t>Aspectos metodológicos</w:t>
      </w:r>
    </w:p>
    <w:p w14:paraId="545DFA33" w14:textId="77777777" w:rsidR="002A1831" w:rsidRPr="00AB71F5" w:rsidRDefault="002A1831" w:rsidP="00AB71F5">
      <w:pPr>
        <w:ind w:left="-426" w:right="-233"/>
        <w:contextualSpacing/>
        <w:rPr>
          <w:b/>
          <w:bCs/>
          <w:noProof/>
          <w:lang w:eastAsia="es-MX"/>
        </w:rPr>
      </w:pPr>
    </w:p>
    <w:p w14:paraId="345468F2" w14:textId="77777777" w:rsidR="002A1831" w:rsidRPr="00AB71F5" w:rsidRDefault="002A1831" w:rsidP="00AB71F5">
      <w:pPr>
        <w:ind w:left="-426" w:right="-233"/>
        <w:contextualSpacing/>
        <w:rPr>
          <w:noProof/>
          <w:lang w:eastAsia="es-MX"/>
        </w:rPr>
      </w:pPr>
      <w:r w:rsidRPr="00AB71F5">
        <w:rPr>
          <w:noProof/>
          <w:lang w:eastAsia="es-MX"/>
        </w:rPr>
        <w:t>El objetivo general de la Encuesta Anual del Comercio (EAC) es captar y generar información estadística básica e indicadores económicos del año de referencia, que permitan conocer las tendencias, factores y dinámica sobre el comportamiento de la actividad comercial en México.</w:t>
      </w:r>
    </w:p>
    <w:p w14:paraId="254ACD67" w14:textId="198A19CB" w:rsidR="002A1831" w:rsidRPr="00AB71F5" w:rsidRDefault="00620E60" w:rsidP="00AB71F5">
      <w:pPr>
        <w:ind w:left="-426" w:right="-233"/>
        <w:contextualSpacing/>
        <w:rPr>
          <w:noProof/>
          <w:lang w:eastAsia="es-MX"/>
        </w:rPr>
      </w:pPr>
      <w:r w:rsidRPr="00AB71F5">
        <w:rPr>
          <w:noProof/>
          <w:lang w:eastAsia="es-MX"/>
        </w:rPr>
        <w:t>En e</w:t>
      </w:r>
      <w:r w:rsidR="002A1831" w:rsidRPr="00AB71F5">
        <w:rPr>
          <w:noProof/>
          <w:lang w:eastAsia="es-MX"/>
        </w:rPr>
        <w:t>sta serie se aplica la Norma Técnica del Proceso de Producción de Información Estadística y Geográfica para el Instituto Nacional de Estadística y Geografía, que proporciona un marco normativo regulatorio de la producción de información estadística en México</w:t>
      </w:r>
      <w:r w:rsidR="00721448">
        <w:rPr>
          <w:noProof/>
          <w:lang w:eastAsia="es-MX"/>
        </w:rPr>
        <w:t>.</w:t>
      </w:r>
      <w:r w:rsidRPr="00AB71F5">
        <w:rPr>
          <w:rStyle w:val="Refdenotaalpie"/>
          <w:noProof/>
          <w:lang w:eastAsia="es-MX"/>
        </w:rPr>
        <w:footnoteReference w:id="1"/>
      </w:r>
    </w:p>
    <w:p w14:paraId="41B6B8D1" w14:textId="77777777" w:rsidR="002A1831" w:rsidRPr="00AB71F5" w:rsidRDefault="002A1831" w:rsidP="00AB71F5">
      <w:pPr>
        <w:ind w:left="-426" w:right="-233"/>
        <w:contextualSpacing/>
        <w:rPr>
          <w:noProof/>
          <w:lang w:eastAsia="es-MX"/>
        </w:rPr>
      </w:pPr>
    </w:p>
    <w:p w14:paraId="19DCFFF2" w14:textId="2C41C25B" w:rsidR="002A1831" w:rsidRPr="00AB71F5" w:rsidRDefault="002A1831" w:rsidP="00F22E22">
      <w:pPr>
        <w:ind w:left="-426" w:right="-233"/>
        <w:contextualSpacing/>
        <w:rPr>
          <w:noProof/>
          <w:lang w:eastAsia="es-MX"/>
        </w:rPr>
      </w:pPr>
      <w:r w:rsidRPr="00AB71F5">
        <w:rPr>
          <w:noProof/>
          <w:lang w:eastAsia="es-MX"/>
        </w:rPr>
        <w:t>La E</w:t>
      </w:r>
      <w:r w:rsidR="00F22E22" w:rsidRPr="00AB71F5">
        <w:rPr>
          <w:noProof/>
          <w:lang w:eastAsia="es-MX"/>
        </w:rPr>
        <w:t xml:space="preserve">AC </w:t>
      </w:r>
      <w:r w:rsidRPr="00AB71F5">
        <w:rPr>
          <w:noProof/>
          <w:lang w:eastAsia="es-MX"/>
        </w:rPr>
        <w:t>capta información económica básica de todas las actividades comerciales en el país</w:t>
      </w:r>
      <w:r w:rsidR="00F22E22" w:rsidRPr="00AB71F5">
        <w:rPr>
          <w:noProof/>
          <w:lang w:eastAsia="es-MX"/>
        </w:rPr>
        <w:t>.</w:t>
      </w:r>
      <w:r w:rsidR="00077215" w:rsidRPr="00AB71F5">
        <w:rPr>
          <w:noProof/>
          <w:lang w:eastAsia="es-MX"/>
        </w:rPr>
        <w:t xml:space="preserve"> </w:t>
      </w:r>
      <w:r w:rsidR="00F22E22" w:rsidRPr="00AB71F5">
        <w:rPr>
          <w:noProof/>
          <w:lang w:eastAsia="es-MX"/>
        </w:rPr>
        <w:t xml:space="preserve">Estas actividades están </w:t>
      </w:r>
      <w:r w:rsidRPr="00AB71F5">
        <w:rPr>
          <w:noProof/>
          <w:lang w:eastAsia="es-MX"/>
        </w:rPr>
        <w:t xml:space="preserve">agrupadas en el </w:t>
      </w:r>
      <w:r w:rsidR="00077215" w:rsidRPr="00077215">
        <w:rPr>
          <w:lang w:val="es-MX"/>
        </w:rPr>
        <w:t xml:space="preserve">Sistema de Clasificación Industrial de América del Norte, México (SCIAN) </w:t>
      </w:r>
      <w:r w:rsidRPr="00AB71F5">
        <w:rPr>
          <w:noProof/>
          <w:lang w:eastAsia="es-MX"/>
        </w:rPr>
        <w:t>2013</w:t>
      </w:r>
      <w:r w:rsidR="00077215" w:rsidRPr="00AB71F5">
        <w:rPr>
          <w:noProof/>
          <w:lang w:eastAsia="es-MX"/>
        </w:rPr>
        <w:t>,</w:t>
      </w:r>
      <w:r w:rsidRPr="00AB71F5">
        <w:rPr>
          <w:noProof/>
          <w:lang w:eastAsia="es-MX"/>
        </w:rPr>
        <w:t xml:space="preserve"> en dos sectores de actividad: 43</w:t>
      </w:r>
      <w:r w:rsidR="00721448">
        <w:rPr>
          <w:noProof/>
          <w:lang w:eastAsia="es-MX"/>
        </w:rPr>
        <w:t>,</w:t>
      </w:r>
      <w:r w:rsidRPr="00AB71F5">
        <w:rPr>
          <w:noProof/>
          <w:lang w:eastAsia="es-MX"/>
        </w:rPr>
        <w:t xml:space="preserve"> </w:t>
      </w:r>
      <w:r w:rsidR="00077215" w:rsidRPr="00AB71F5">
        <w:rPr>
          <w:noProof/>
          <w:lang w:eastAsia="es-MX"/>
        </w:rPr>
        <w:t>C</w:t>
      </w:r>
      <w:r w:rsidRPr="00AB71F5">
        <w:rPr>
          <w:noProof/>
          <w:lang w:eastAsia="es-MX"/>
        </w:rPr>
        <w:t>omercio al por mayor y 46</w:t>
      </w:r>
      <w:r w:rsidR="00721448">
        <w:rPr>
          <w:noProof/>
          <w:lang w:eastAsia="es-MX"/>
        </w:rPr>
        <w:t>,</w:t>
      </w:r>
      <w:r w:rsidRPr="00AB71F5">
        <w:rPr>
          <w:noProof/>
          <w:lang w:eastAsia="es-MX"/>
        </w:rPr>
        <w:t xml:space="preserve"> </w:t>
      </w:r>
      <w:r w:rsidR="00077215" w:rsidRPr="00AB71F5">
        <w:rPr>
          <w:noProof/>
          <w:lang w:eastAsia="es-MX"/>
        </w:rPr>
        <w:t xml:space="preserve">Comercio </w:t>
      </w:r>
      <w:r w:rsidRPr="00AB71F5">
        <w:rPr>
          <w:noProof/>
          <w:lang w:eastAsia="es-MX"/>
        </w:rPr>
        <w:t>al por menor.</w:t>
      </w:r>
    </w:p>
    <w:p w14:paraId="7312CD10" w14:textId="77777777" w:rsidR="00077215" w:rsidRPr="00AB71F5" w:rsidRDefault="00077215" w:rsidP="00AB71F5">
      <w:pPr>
        <w:ind w:left="-426" w:right="-233"/>
        <w:contextualSpacing/>
        <w:rPr>
          <w:noProof/>
          <w:lang w:eastAsia="es-MX"/>
        </w:rPr>
      </w:pPr>
    </w:p>
    <w:p w14:paraId="12BD55F9" w14:textId="177E8C85" w:rsidR="002A1831" w:rsidRPr="00AB71F5" w:rsidRDefault="002A1831" w:rsidP="00AB71F5">
      <w:pPr>
        <w:autoSpaceDE w:val="0"/>
        <w:autoSpaceDN w:val="0"/>
        <w:adjustRightInd w:val="0"/>
        <w:spacing w:before="240"/>
        <w:ind w:left="-426" w:right="-233"/>
        <w:rPr>
          <w:noProof/>
          <w:lang w:eastAsia="es-MX"/>
        </w:rPr>
      </w:pPr>
      <w:r w:rsidRPr="00AB71F5">
        <w:rPr>
          <w:lang w:eastAsia="es-MX"/>
        </w:rPr>
        <w:t xml:space="preserve">La cobertura temática que cubre el programa estadístico </w:t>
      </w:r>
      <w:r w:rsidR="00077215">
        <w:rPr>
          <w:lang w:eastAsia="es-MX"/>
        </w:rPr>
        <w:t xml:space="preserve">la </w:t>
      </w:r>
      <w:r w:rsidRPr="00AB71F5">
        <w:rPr>
          <w:lang w:eastAsia="es-MX"/>
        </w:rPr>
        <w:t>integr</w:t>
      </w:r>
      <w:r w:rsidR="00077215">
        <w:rPr>
          <w:lang w:eastAsia="es-MX"/>
        </w:rPr>
        <w:t>an</w:t>
      </w:r>
      <w:r w:rsidRPr="00AB71F5">
        <w:rPr>
          <w:lang w:eastAsia="es-MX"/>
        </w:rPr>
        <w:t xml:space="preserve"> los siguientes capítulos</w:t>
      </w:r>
      <w:r w:rsidR="00D20F9E" w:rsidRPr="00AB71F5">
        <w:rPr>
          <w:lang w:eastAsia="es-MX"/>
        </w:rPr>
        <w:t>:</w:t>
      </w:r>
      <w:r w:rsidRPr="00AB71F5">
        <w:rPr>
          <w:lang w:eastAsia="es-MX"/>
        </w:rPr>
        <w:tab/>
      </w:r>
    </w:p>
    <w:p w14:paraId="5C25070C" w14:textId="6CE177A5"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Vinculación internacional</w:t>
      </w:r>
    </w:p>
    <w:p w14:paraId="7D63A787" w14:textId="20B7F106"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Personal dependiente de la razón social</w:t>
      </w:r>
    </w:p>
    <w:p w14:paraId="0A777461" w14:textId="4BA6453A"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Personal no dependiente de la razón social</w:t>
      </w:r>
    </w:p>
    <w:p w14:paraId="1189DA08" w14:textId="44BA97F0"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Capacitación</w:t>
      </w:r>
    </w:p>
    <w:p w14:paraId="2ED6329B" w14:textId="4563B22C"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Remuneraciones</w:t>
      </w:r>
    </w:p>
    <w:p w14:paraId="33127011" w14:textId="1CB70F9D"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Consumo de bienes y servicios</w:t>
      </w:r>
    </w:p>
    <w:p w14:paraId="3F5A859C" w14:textId="35DEB468"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Gastos por comercio electrónico</w:t>
      </w:r>
    </w:p>
    <w:p w14:paraId="0B491B21" w14:textId="3BBBC05D"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Gastos fiscales, financieros y donaciones</w:t>
      </w:r>
    </w:p>
    <w:p w14:paraId="2A607EE6" w14:textId="2CCF8DAC"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Ingresos por suministro de bienes y servicios</w:t>
      </w:r>
    </w:p>
    <w:p w14:paraId="6CCDF781" w14:textId="317AC9D1"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Ingresos por comercio electrónico</w:t>
      </w:r>
    </w:p>
    <w:p w14:paraId="462DCFDA" w14:textId="7AB8D6AC" w:rsidR="00077215" w:rsidRPr="00AB71F5" w:rsidRDefault="00077215" w:rsidP="00AB71F5">
      <w:pPr>
        <w:pStyle w:val="Prrafodelista"/>
        <w:numPr>
          <w:ilvl w:val="0"/>
          <w:numId w:val="33"/>
        </w:numPr>
        <w:ind w:left="284" w:right="-233" w:hanging="284"/>
        <w:contextualSpacing/>
        <w:rPr>
          <w:noProof/>
          <w:lang w:eastAsia="es-MX"/>
        </w:rPr>
      </w:pPr>
      <w:r>
        <w:rPr>
          <w:noProof/>
          <w:lang w:eastAsia="es-MX"/>
        </w:rPr>
        <w:t>In</w:t>
      </w:r>
      <w:r w:rsidR="00D20F9E" w:rsidRPr="00AB71F5">
        <w:rPr>
          <w:noProof/>
          <w:lang w:eastAsia="es-MX"/>
        </w:rPr>
        <w:t>gresos financieros, subsidios y donaciones</w:t>
      </w:r>
    </w:p>
    <w:p w14:paraId="7D8505E4" w14:textId="2FF34C73" w:rsidR="002A1831" w:rsidRDefault="00D20F9E" w:rsidP="00077215">
      <w:pPr>
        <w:pStyle w:val="Prrafodelista"/>
        <w:numPr>
          <w:ilvl w:val="0"/>
          <w:numId w:val="33"/>
        </w:numPr>
        <w:ind w:left="284" w:right="-233" w:hanging="284"/>
        <w:contextualSpacing/>
        <w:rPr>
          <w:noProof/>
          <w:lang w:eastAsia="es-MX"/>
        </w:rPr>
      </w:pPr>
      <w:r w:rsidRPr="00AB71F5">
        <w:rPr>
          <w:noProof/>
          <w:lang w:eastAsia="es-MX"/>
        </w:rPr>
        <w:t>Existencias</w:t>
      </w:r>
    </w:p>
    <w:p w14:paraId="7FB31294" w14:textId="20107840"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Activos fijos a valor presente o costo de reposición</w:t>
      </w:r>
    </w:p>
    <w:p w14:paraId="0A2F60D8" w14:textId="32E1FB27"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Identificación de proveedores y clientes</w:t>
      </w:r>
    </w:p>
    <w:p w14:paraId="1D160468" w14:textId="226CE116" w:rsidR="00077215"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Clasificación económica</w:t>
      </w:r>
    </w:p>
    <w:p w14:paraId="1848297C" w14:textId="33411539" w:rsidR="002A1831" w:rsidRPr="00AB71F5" w:rsidRDefault="00D20F9E" w:rsidP="00AB71F5">
      <w:pPr>
        <w:pStyle w:val="Prrafodelista"/>
        <w:numPr>
          <w:ilvl w:val="0"/>
          <w:numId w:val="33"/>
        </w:numPr>
        <w:ind w:left="284" w:right="-233" w:hanging="284"/>
        <w:contextualSpacing/>
        <w:rPr>
          <w:noProof/>
          <w:lang w:eastAsia="es-MX"/>
        </w:rPr>
      </w:pPr>
      <w:r w:rsidRPr="00AB71F5">
        <w:rPr>
          <w:noProof/>
          <w:lang w:eastAsia="es-MX"/>
        </w:rPr>
        <w:t>Características generales de la empresa</w:t>
      </w:r>
    </w:p>
    <w:p w14:paraId="52FD0026" w14:textId="77777777" w:rsidR="00620E60" w:rsidRPr="00AB71F5" w:rsidRDefault="00620E60" w:rsidP="00AB71F5">
      <w:pPr>
        <w:autoSpaceDE w:val="0"/>
        <w:autoSpaceDN w:val="0"/>
        <w:adjustRightInd w:val="0"/>
        <w:spacing w:before="360"/>
        <w:ind w:left="-426" w:right="-233"/>
        <w:rPr>
          <w:lang w:eastAsia="es-MX"/>
        </w:rPr>
      </w:pPr>
      <w:r w:rsidRPr="00AB71F5">
        <w:rPr>
          <w:lang w:eastAsia="es-MX"/>
        </w:rPr>
        <w:t xml:space="preserve">Nótese que el personal ocupado que se reporta en este programa estadístico es conceptualmente diferente al que se obtiene con la definición de puestos de trabajo afiliados al Instituto Mexicano del Seguro Social (IMSS). Para mayores detalles, consúltese la sección metadatos de la EAC: </w:t>
      </w:r>
      <w:hyperlink r:id="rId37" w:history="1">
        <w:r w:rsidRPr="00AB71F5">
          <w:rPr>
            <w:rStyle w:val="Hipervnculo"/>
            <w:lang w:eastAsia="es-MX"/>
          </w:rPr>
          <w:t>https://www.inegi.org.mx/programas/eac/2013/</w:t>
        </w:r>
      </w:hyperlink>
      <w:r w:rsidRPr="00AB71F5">
        <w:rPr>
          <w:lang w:eastAsia="es-MX"/>
        </w:rPr>
        <w:t xml:space="preserve"> </w:t>
      </w:r>
    </w:p>
    <w:p w14:paraId="5A010F66" w14:textId="77777777" w:rsidR="00957E3C" w:rsidRDefault="00957E3C" w:rsidP="00F22E22">
      <w:pPr>
        <w:autoSpaceDE w:val="0"/>
        <w:autoSpaceDN w:val="0"/>
        <w:adjustRightInd w:val="0"/>
        <w:spacing w:before="360"/>
        <w:ind w:left="-426" w:right="-233"/>
        <w:rPr>
          <w:lang w:eastAsia="es-MX"/>
        </w:rPr>
      </w:pPr>
    </w:p>
    <w:p w14:paraId="46105BB7" w14:textId="77777777" w:rsidR="00957E3C" w:rsidRDefault="00957E3C" w:rsidP="00F22E22">
      <w:pPr>
        <w:autoSpaceDE w:val="0"/>
        <w:autoSpaceDN w:val="0"/>
        <w:adjustRightInd w:val="0"/>
        <w:spacing w:before="360"/>
        <w:ind w:left="-426" w:right="-233"/>
        <w:rPr>
          <w:lang w:eastAsia="es-MX"/>
        </w:rPr>
      </w:pPr>
    </w:p>
    <w:p w14:paraId="533C9525" w14:textId="0E6AE734" w:rsidR="00721448" w:rsidRPr="00077215" w:rsidRDefault="002A1831" w:rsidP="002C75B9">
      <w:pPr>
        <w:pStyle w:val="Default"/>
        <w:ind w:left="-426" w:right="-233"/>
        <w:jc w:val="both"/>
      </w:pPr>
      <w:r w:rsidRPr="00AB71F5">
        <w:t>La cobertura geográfica, de acuerdo con el diseño, permite generar información significativa a nivel nacional.</w:t>
      </w:r>
      <w:r w:rsidR="00721448" w:rsidRPr="00721448">
        <w:t xml:space="preserve"> </w:t>
      </w:r>
      <w:r w:rsidR="00721448" w:rsidRPr="00077215">
        <w:t>Cabe mencionar que la serie 2013 adopta del SCIAN 2013 la instrumentación de los nuevos diseños a partir de un marco estadístico actualizado</w:t>
      </w:r>
      <w:r w:rsidR="00721448">
        <w:t xml:space="preserve">. Además, se </w:t>
      </w:r>
      <w:r w:rsidR="00721448" w:rsidRPr="00077215">
        <w:t>aplica la «Norma Técnica del Proceso de Producción de In</w:t>
      </w:r>
      <w:r w:rsidR="00721448" w:rsidRPr="00077215">
        <w:softHyphen/>
        <w:t>formación Estadística y Geográfica para el Instituto Nacional de Estadística y Geografía» que proporciona un marco normativo regulatorio de la producción de información estadística en México.</w:t>
      </w:r>
      <w:r w:rsidR="00721448" w:rsidRPr="00721448">
        <w:rPr>
          <w:color w:val="auto"/>
          <w:lang w:eastAsia="es-ES"/>
        </w:rPr>
        <w:t xml:space="preserve"> </w:t>
      </w:r>
      <w:r w:rsidR="00721448" w:rsidRPr="00077215">
        <w:rPr>
          <w:color w:val="auto"/>
          <w:lang w:eastAsia="es-ES"/>
        </w:rPr>
        <w:t xml:space="preserve">La EAC retoma principios conceptuales y metodológicos de la </w:t>
      </w:r>
      <w:r w:rsidR="00721448" w:rsidRPr="00077215">
        <w:t>«</w:t>
      </w:r>
      <w:r w:rsidR="00721448" w:rsidRPr="00077215">
        <w:rPr>
          <w:color w:val="auto"/>
          <w:lang w:eastAsia="es-ES"/>
        </w:rPr>
        <w:t>Ley del Sistema Nacional de Información Estadística y Geográfica</w:t>
      </w:r>
      <w:r w:rsidR="00721448" w:rsidRPr="00077215">
        <w:t>»</w:t>
      </w:r>
      <w:r w:rsidR="00721448">
        <w:rPr>
          <w:color w:val="auto"/>
          <w:lang w:eastAsia="es-ES"/>
        </w:rPr>
        <w:t>, de</w:t>
      </w:r>
      <w:r w:rsidR="00721448" w:rsidRPr="00077215">
        <w:rPr>
          <w:color w:val="auto"/>
          <w:lang w:eastAsia="es-ES"/>
        </w:rPr>
        <w:t xml:space="preserve"> la </w:t>
      </w:r>
      <w:r w:rsidR="00721448" w:rsidRPr="00077215">
        <w:t>«</w:t>
      </w:r>
      <w:r w:rsidR="00721448" w:rsidRPr="00077215">
        <w:rPr>
          <w:color w:val="auto"/>
          <w:lang w:eastAsia="es-ES"/>
        </w:rPr>
        <w:t>Norma Técnica para la Generación de Estadística Básica</w:t>
      </w:r>
      <w:r w:rsidR="00721448" w:rsidRPr="00077215">
        <w:t>»</w:t>
      </w:r>
      <w:r w:rsidR="00721448" w:rsidRPr="00077215">
        <w:rPr>
          <w:color w:val="auto"/>
          <w:lang w:eastAsia="es-ES"/>
        </w:rPr>
        <w:t xml:space="preserve">, </w:t>
      </w:r>
      <w:r w:rsidR="00721448">
        <w:rPr>
          <w:color w:val="auto"/>
          <w:lang w:eastAsia="es-ES"/>
        </w:rPr>
        <w:t>d</w:t>
      </w:r>
      <w:r w:rsidR="00721448" w:rsidRPr="00077215">
        <w:rPr>
          <w:color w:val="auto"/>
          <w:lang w:eastAsia="es-ES"/>
        </w:rPr>
        <w:t xml:space="preserve">el </w:t>
      </w:r>
      <w:r w:rsidR="00721448" w:rsidRPr="00077215">
        <w:t>«</w:t>
      </w:r>
      <w:r w:rsidR="00721448" w:rsidRPr="00077215">
        <w:rPr>
          <w:color w:val="auto"/>
          <w:lang w:eastAsia="es-ES"/>
        </w:rPr>
        <w:t>Proceso Estándar para Encuestas por Muestreo</w:t>
      </w:r>
      <w:r w:rsidR="00721448" w:rsidRPr="00077215">
        <w:t>»</w:t>
      </w:r>
      <w:r w:rsidR="00721448" w:rsidRPr="00077215">
        <w:rPr>
          <w:color w:val="auto"/>
          <w:lang w:eastAsia="es-ES"/>
        </w:rPr>
        <w:t xml:space="preserve"> y</w:t>
      </w:r>
      <w:r w:rsidR="00721448">
        <w:rPr>
          <w:color w:val="auto"/>
          <w:lang w:eastAsia="es-ES"/>
        </w:rPr>
        <w:t xml:space="preserve"> de</w:t>
      </w:r>
      <w:r w:rsidR="00721448" w:rsidRPr="00077215">
        <w:rPr>
          <w:color w:val="auto"/>
          <w:lang w:eastAsia="es-ES"/>
        </w:rPr>
        <w:t xml:space="preserve"> la </w:t>
      </w:r>
      <w:r w:rsidR="00721448" w:rsidRPr="00077215">
        <w:t>«</w:t>
      </w:r>
      <w:r w:rsidR="00721448" w:rsidRPr="00077215">
        <w:rPr>
          <w:color w:val="auto"/>
          <w:lang w:eastAsia="es-ES"/>
        </w:rPr>
        <w:t>Norma para el Aseguramiento de la Calidad de la Información Estadística y Geográfica</w:t>
      </w:r>
      <w:r w:rsidR="00721448" w:rsidRPr="00077215">
        <w:t>»</w:t>
      </w:r>
      <w:r w:rsidR="00721448" w:rsidRPr="00077215">
        <w:rPr>
          <w:color w:val="auto"/>
          <w:lang w:eastAsia="es-ES"/>
        </w:rPr>
        <w:t>.</w:t>
      </w:r>
    </w:p>
    <w:p w14:paraId="51168953" w14:textId="78656198" w:rsidR="002A1831" w:rsidRPr="00AB71F5" w:rsidRDefault="002A1831" w:rsidP="00721448">
      <w:pPr>
        <w:autoSpaceDE w:val="0"/>
        <w:autoSpaceDN w:val="0"/>
        <w:adjustRightInd w:val="0"/>
        <w:spacing w:before="360"/>
        <w:ind w:left="-426" w:right="-233"/>
        <w:rPr>
          <w:lang w:eastAsia="es-MX"/>
        </w:rPr>
      </w:pPr>
      <w:r w:rsidRPr="00AB71F5">
        <w:t>Se consideran las recomendaciones internacionales sobre</w:t>
      </w:r>
      <w:r w:rsidR="00957E3C">
        <w:t xml:space="preserve"> </w:t>
      </w:r>
      <w:r w:rsidR="00957E3C" w:rsidRPr="004F6F67">
        <w:t>«</w:t>
      </w:r>
      <w:r w:rsidRPr="00AB71F5">
        <w:t>Estadísticas de Comercio, Distribución y Servicios</w:t>
      </w:r>
      <w:r w:rsidR="00957E3C" w:rsidRPr="004F6F67">
        <w:t>»</w:t>
      </w:r>
      <w:r w:rsidRPr="00AB71F5">
        <w:t xml:space="preserve"> de la Oficina de Estadística de las Naciones Unidas, Serie M, Número 57; </w:t>
      </w:r>
      <w:r w:rsidR="00957E3C" w:rsidRPr="004F6F67">
        <w:t>«</w:t>
      </w:r>
      <w:r w:rsidRPr="00AB71F5">
        <w:t>Organización y Realización de Encuestas sobre Comercio y Distribución</w:t>
      </w:r>
      <w:r w:rsidR="00957E3C" w:rsidRPr="004F6F67">
        <w:t>»</w:t>
      </w:r>
      <w:r w:rsidRPr="00AB71F5">
        <w:t xml:space="preserve"> de la Oficina de Estadística de las Naciones Unidas, Serie F, Número 19; </w:t>
      </w:r>
      <w:r w:rsidRPr="00AB71F5">
        <w:rPr>
          <w:shd w:val="clear" w:color="auto" w:fill="FFFFFF" w:themeFill="background1"/>
        </w:rPr>
        <w:t>SCIAN 2013</w:t>
      </w:r>
      <w:r w:rsidRPr="00AB71F5">
        <w:rPr>
          <w:rStyle w:val="Refdenotaalpie"/>
          <w:shd w:val="clear" w:color="auto" w:fill="FFFFFF" w:themeFill="background1"/>
        </w:rPr>
        <w:footnoteReference w:id="2"/>
      </w:r>
      <w:r w:rsidRPr="00AB71F5">
        <w:rPr>
          <w:shd w:val="clear" w:color="auto" w:fill="FFFFFF" w:themeFill="background1"/>
        </w:rPr>
        <w:t xml:space="preserve"> y la </w:t>
      </w:r>
      <w:r w:rsidR="00957E3C" w:rsidRPr="004F6F67">
        <w:t>«</w:t>
      </w:r>
      <w:r w:rsidRPr="00AB71F5">
        <w:rPr>
          <w:shd w:val="clear" w:color="auto" w:fill="FFFFFF" w:themeFill="background1"/>
        </w:rPr>
        <w:t>Clasificación Industrial Internacional Uniforme de todas las Actividades Económicas (CIIU)</w:t>
      </w:r>
      <w:r w:rsidR="00957E3C" w:rsidRPr="004F6F67">
        <w:t>»</w:t>
      </w:r>
      <w:r w:rsidRPr="00AB71F5">
        <w:rPr>
          <w:shd w:val="clear" w:color="auto" w:fill="FFFFFF" w:themeFill="background1"/>
        </w:rPr>
        <w:t xml:space="preserve"> en su cuarta revisión.</w:t>
      </w:r>
    </w:p>
    <w:p w14:paraId="689F2791" w14:textId="77777777" w:rsidR="002A1831" w:rsidRPr="00AB71F5" w:rsidRDefault="002A1831" w:rsidP="00AB71F5">
      <w:pPr>
        <w:ind w:left="-426" w:right="-233"/>
        <w:contextualSpacing/>
        <w:rPr>
          <w:noProof/>
          <w:lang w:eastAsia="es-MX"/>
        </w:rPr>
      </w:pPr>
    </w:p>
    <w:p w14:paraId="3CBDCD87" w14:textId="2ED4BF3D" w:rsidR="007C7534" w:rsidRPr="00AB71F5" w:rsidRDefault="007C7534" w:rsidP="00AB71F5">
      <w:pPr>
        <w:ind w:left="-426" w:right="-233"/>
        <w:contextualSpacing/>
        <w:rPr>
          <w:noProof/>
          <w:lang w:eastAsia="es-MX"/>
        </w:rPr>
      </w:pPr>
      <w:r w:rsidRPr="00AB71F5">
        <w:rPr>
          <w:noProof/>
          <w:lang w:eastAsia="es-MX"/>
        </w:rPr>
        <w:t xml:space="preserve">El marco de la </w:t>
      </w:r>
      <w:r w:rsidR="00957E3C">
        <w:rPr>
          <w:noProof/>
          <w:lang w:eastAsia="es-MX"/>
        </w:rPr>
        <w:t>EAC,</w:t>
      </w:r>
      <w:r w:rsidRPr="00AB71F5">
        <w:rPr>
          <w:noProof/>
          <w:lang w:eastAsia="es-MX"/>
        </w:rPr>
        <w:t xml:space="preserve"> para la serie 2013, se integró por el directorio de empresas proveniente del </w:t>
      </w:r>
      <w:r w:rsidR="00957E3C" w:rsidRPr="004F6F67">
        <w:t>«</w:t>
      </w:r>
      <w:r w:rsidRPr="00AB71F5">
        <w:rPr>
          <w:noProof/>
          <w:lang w:eastAsia="es-MX"/>
        </w:rPr>
        <w:t>Marco Estadístico Nacional de Unidades Económicas (MENUE)</w:t>
      </w:r>
      <w:r w:rsidR="00957E3C" w:rsidRPr="004F6F67">
        <w:t>»</w:t>
      </w:r>
      <w:r w:rsidR="00721448">
        <w:t xml:space="preserve">. Este </w:t>
      </w:r>
      <w:r w:rsidRPr="00AB71F5">
        <w:rPr>
          <w:noProof/>
          <w:lang w:eastAsia="es-MX"/>
        </w:rPr>
        <w:t xml:space="preserve">se alimenta </w:t>
      </w:r>
      <w:r w:rsidR="00721448">
        <w:rPr>
          <w:noProof/>
          <w:lang w:eastAsia="es-MX"/>
        </w:rPr>
        <w:t>del</w:t>
      </w:r>
      <w:r w:rsidRPr="00AB71F5">
        <w:rPr>
          <w:noProof/>
          <w:lang w:eastAsia="es-MX"/>
        </w:rPr>
        <w:t xml:space="preserve"> </w:t>
      </w:r>
      <w:r w:rsidR="00957E3C" w:rsidRPr="004F6F67">
        <w:t>«</w:t>
      </w:r>
      <w:r w:rsidRPr="00AB71F5">
        <w:rPr>
          <w:noProof/>
          <w:lang w:eastAsia="es-MX"/>
        </w:rPr>
        <w:t>Registro Estadístico de Negocios de México (RENEM)</w:t>
      </w:r>
      <w:r w:rsidR="00957E3C" w:rsidRPr="004F6F67">
        <w:t>»</w:t>
      </w:r>
      <w:r w:rsidRPr="00AB71F5">
        <w:rPr>
          <w:noProof/>
          <w:lang w:eastAsia="es-MX"/>
        </w:rPr>
        <w:t xml:space="preserve">, versión </w:t>
      </w:r>
      <w:r w:rsidR="00522977" w:rsidRPr="00AB71F5">
        <w:rPr>
          <w:noProof/>
          <w:lang w:eastAsia="es-MX"/>
        </w:rPr>
        <w:t>octubre 2018</w:t>
      </w:r>
      <w:r w:rsidRPr="00AB71F5">
        <w:rPr>
          <w:noProof/>
          <w:lang w:eastAsia="es-MX"/>
        </w:rPr>
        <w:t xml:space="preserve"> y de los resultados definitivos de los Censos Económicos 2014, cuya actividad económica correspondió al sector </w:t>
      </w:r>
      <w:r w:rsidR="00721448">
        <w:rPr>
          <w:noProof/>
          <w:lang w:eastAsia="es-MX"/>
        </w:rPr>
        <w:t>C</w:t>
      </w:r>
      <w:r w:rsidRPr="00AB71F5">
        <w:rPr>
          <w:noProof/>
          <w:lang w:eastAsia="es-MX"/>
        </w:rPr>
        <w:t xml:space="preserve">omercio. El marco está constituido por 2 </w:t>
      </w:r>
      <w:r w:rsidR="00522977" w:rsidRPr="00AB71F5">
        <w:rPr>
          <w:noProof/>
          <w:lang w:eastAsia="es-MX"/>
        </w:rPr>
        <w:t>134</w:t>
      </w:r>
      <w:r w:rsidR="00957E3C">
        <w:rPr>
          <w:noProof/>
          <w:lang w:eastAsia="es-MX"/>
        </w:rPr>
        <w:t xml:space="preserve"> </w:t>
      </w:r>
      <w:r w:rsidR="00522977" w:rsidRPr="00AB71F5">
        <w:rPr>
          <w:noProof/>
          <w:lang w:eastAsia="es-MX"/>
        </w:rPr>
        <w:t>549</w:t>
      </w:r>
      <w:r w:rsidRPr="00AB71F5">
        <w:rPr>
          <w:noProof/>
          <w:lang w:eastAsia="es-MX"/>
        </w:rPr>
        <w:t xml:space="preserve"> empresas</w:t>
      </w:r>
      <w:r w:rsidR="00721448">
        <w:rPr>
          <w:noProof/>
          <w:lang w:eastAsia="es-MX"/>
        </w:rPr>
        <w:t>.</w:t>
      </w:r>
    </w:p>
    <w:p w14:paraId="58828471" w14:textId="77777777" w:rsidR="007C7534" w:rsidRPr="00AB71F5" w:rsidRDefault="007C7534" w:rsidP="00AB71F5">
      <w:pPr>
        <w:ind w:left="-426" w:right="-233"/>
        <w:contextualSpacing/>
        <w:rPr>
          <w:noProof/>
          <w:lang w:eastAsia="es-MX"/>
        </w:rPr>
      </w:pPr>
    </w:p>
    <w:p w14:paraId="221FB912" w14:textId="096415DC" w:rsidR="007C7534" w:rsidRPr="00AB71F5" w:rsidRDefault="007C7534" w:rsidP="00AB71F5">
      <w:pPr>
        <w:ind w:left="-426" w:right="-233"/>
        <w:contextualSpacing/>
        <w:rPr>
          <w:noProof/>
          <w:lang w:eastAsia="es-MX"/>
        </w:rPr>
      </w:pPr>
      <w:r w:rsidRPr="00AB71F5">
        <w:rPr>
          <w:noProof/>
          <w:lang w:eastAsia="es-MX"/>
        </w:rPr>
        <w:t xml:space="preserve">En virtud de las características de la actividad económica en el sector </w:t>
      </w:r>
      <w:r w:rsidR="00721448">
        <w:rPr>
          <w:noProof/>
          <w:lang w:eastAsia="es-MX"/>
        </w:rPr>
        <w:t>C</w:t>
      </w:r>
      <w:r w:rsidRPr="00AB71F5">
        <w:rPr>
          <w:noProof/>
          <w:lang w:eastAsia="es-MX"/>
        </w:rPr>
        <w:t>omercio, se toman diferentes criterios para la definición del esquema de muestreo:</w:t>
      </w:r>
    </w:p>
    <w:p w14:paraId="360BAF19" w14:textId="77777777" w:rsidR="007C7534" w:rsidRPr="00AB71F5" w:rsidRDefault="007C7534" w:rsidP="00AB71F5">
      <w:pPr>
        <w:ind w:left="-426" w:right="-233"/>
        <w:contextualSpacing/>
        <w:rPr>
          <w:noProof/>
          <w:lang w:eastAsia="es-MX"/>
        </w:rPr>
      </w:pPr>
    </w:p>
    <w:p w14:paraId="5A883860" w14:textId="75D96794" w:rsidR="00721448" w:rsidRDefault="007C7534" w:rsidP="00721448">
      <w:pPr>
        <w:pStyle w:val="Prrafodelista"/>
        <w:numPr>
          <w:ilvl w:val="0"/>
          <w:numId w:val="42"/>
        </w:numPr>
        <w:ind w:right="-233"/>
        <w:contextualSpacing/>
        <w:rPr>
          <w:noProof/>
          <w:lang w:eastAsia="es-MX"/>
        </w:rPr>
      </w:pPr>
      <w:r w:rsidRPr="00AB71F5">
        <w:rPr>
          <w:noProof/>
          <w:lang w:eastAsia="es-MX"/>
        </w:rPr>
        <w:t>Diseño no probabilístico</w:t>
      </w:r>
      <w:r w:rsidR="00721448">
        <w:rPr>
          <w:noProof/>
          <w:lang w:eastAsia="es-MX"/>
        </w:rPr>
        <w:t>.</w:t>
      </w:r>
      <w:r w:rsidR="00721448" w:rsidRPr="00721448">
        <w:rPr>
          <w:noProof/>
          <w:lang w:eastAsia="es-MX"/>
        </w:rPr>
        <w:t xml:space="preserve"> </w:t>
      </w:r>
      <w:r w:rsidR="00721448" w:rsidRPr="00AB71F5">
        <w:rPr>
          <w:noProof/>
          <w:lang w:eastAsia="es-MX"/>
        </w:rPr>
        <w:t>El tamaño de la muestra para e</w:t>
      </w:r>
      <w:r w:rsidR="00721448">
        <w:rPr>
          <w:noProof/>
          <w:lang w:eastAsia="es-MX"/>
        </w:rPr>
        <w:t>ste</w:t>
      </w:r>
      <w:r w:rsidR="00721448" w:rsidRPr="00AB71F5">
        <w:rPr>
          <w:noProof/>
          <w:lang w:eastAsia="es-MX"/>
        </w:rPr>
        <w:t xml:space="preserve"> diseño </w:t>
      </w:r>
      <w:r w:rsidR="00721448">
        <w:rPr>
          <w:noProof/>
          <w:lang w:eastAsia="es-MX"/>
        </w:rPr>
        <w:t>se</w:t>
      </w:r>
      <w:r w:rsidR="00721448" w:rsidRPr="00AB71F5">
        <w:rPr>
          <w:noProof/>
          <w:lang w:eastAsia="es-MX"/>
        </w:rPr>
        <w:t xml:space="preserve"> obt</w:t>
      </w:r>
      <w:r w:rsidR="00721448">
        <w:rPr>
          <w:noProof/>
          <w:lang w:eastAsia="es-MX"/>
        </w:rPr>
        <w:t>uvo</w:t>
      </w:r>
      <w:r w:rsidR="00721448" w:rsidRPr="00AB71F5">
        <w:rPr>
          <w:noProof/>
          <w:lang w:eastAsia="es-MX"/>
        </w:rPr>
        <w:t xml:space="preserve"> al acumular tantas empresas hasta alcanzar la cobertura establecida. Se considera</w:t>
      </w:r>
      <w:r w:rsidR="00721448">
        <w:rPr>
          <w:noProof/>
          <w:lang w:eastAsia="es-MX"/>
        </w:rPr>
        <w:t>n</w:t>
      </w:r>
      <w:r w:rsidR="00721448" w:rsidRPr="00AB71F5">
        <w:rPr>
          <w:noProof/>
          <w:lang w:eastAsia="es-MX"/>
        </w:rPr>
        <w:t xml:space="preserve"> un total de 18 dominios de estudio, que representan la totalidad de</w:t>
      </w:r>
      <w:r w:rsidR="00721448">
        <w:rPr>
          <w:noProof/>
          <w:lang w:eastAsia="es-MX"/>
        </w:rPr>
        <w:t>l sector</w:t>
      </w:r>
      <w:r w:rsidR="00721448" w:rsidRPr="00AB71F5">
        <w:rPr>
          <w:noProof/>
          <w:lang w:eastAsia="es-MX"/>
        </w:rPr>
        <w:t xml:space="preserve"> Comercio al por mayor.</w:t>
      </w:r>
    </w:p>
    <w:p w14:paraId="2D571362" w14:textId="77777777" w:rsidR="00392648" w:rsidRDefault="00392648" w:rsidP="002C75B9">
      <w:pPr>
        <w:pStyle w:val="Prrafodelista"/>
        <w:ind w:left="-66" w:right="-233"/>
        <w:contextualSpacing/>
        <w:rPr>
          <w:noProof/>
          <w:lang w:eastAsia="es-MX"/>
        </w:rPr>
      </w:pPr>
    </w:p>
    <w:p w14:paraId="3A5A35FB" w14:textId="48801B52" w:rsidR="00721448" w:rsidRPr="00AB71F5" w:rsidRDefault="00721448" w:rsidP="002C75B9">
      <w:pPr>
        <w:pStyle w:val="Prrafodelista"/>
        <w:numPr>
          <w:ilvl w:val="0"/>
          <w:numId w:val="42"/>
        </w:numPr>
        <w:ind w:right="-233"/>
        <w:contextualSpacing/>
        <w:rPr>
          <w:noProof/>
          <w:lang w:eastAsia="es-MX"/>
        </w:rPr>
      </w:pPr>
      <w:r>
        <w:rPr>
          <w:noProof/>
          <w:lang w:eastAsia="es-MX"/>
        </w:rPr>
        <w:t xml:space="preserve">Diseño probabilístico. </w:t>
      </w:r>
      <w:r w:rsidRPr="00AB71F5">
        <w:rPr>
          <w:noProof/>
          <w:lang w:eastAsia="es-MX"/>
        </w:rPr>
        <w:t xml:space="preserve">Para los dominios con </w:t>
      </w:r>
      <w:r w:rsidR="00392648">
        <w:rPr>
          <w:noProof/>
          <w:lang w:eastAsia="es-MX"/>
        </w:rPr>
        <w:t xml:space="preserve">este diseño, </w:t>
      </w:r>
      <w:r w:rsidRPr="00AB71F5">
        <w:rPr>
          <w:noProof/>
          <w:lang w:eastAsia="es-MX"/>
        </w:rPr>
        <w:t>se utiliz</w:t>
      </w:r>
      <w:r>
        <w:rPr>
          <w:noProof/>
          <w:lang w:eastAsia="es-MX"/>
        </w:rPr>
        <w:t>aron,</w:t>
      </w:r>
      <w:r w:rsidRPr="00AB71F5">
        <w:rPr>
          <w:noProof/>
          <w:lang w:eastAsia="es-MX"/>
        </w:rPr>
        <w:t xml:space="preserve"> como variable de referencia</w:t>
      </w:r>
      <w:r>
        <w:rPr>
          <w:noProof/>
          <w:lang w:eastAsia="es-MX"/>
        </w:rPr>
        <w:t>,</w:t>
      </w:r>
      <w:r w:rsidRPr="00AB71F5">
        <w:rPr>
          <w:noProof/>
          <w:lang w:eastAsia="es-MX"/>
        </w:rPr>
        <w:t xml:space="preserve"> los ingresos totales</w:t>
      </w:r>
      <w:r>
        <w:rPr>
          <w:noProof/>
          <w:lang w:eastAsia="es-MX"/>
        </w:rPr>
        <w:t xml:space="preserve"> con</w:t>
      </w:r>
      <w:r w:rsidRPr="00AB71F5">
        <w:rPr>
          <w:noProof/>
          <w:lang w:eastAsia="es-MX"/>
        </w:rPr>
        <w:t xml:space="preserve"> un nivel de confianza de 95</w:t>
      </w:r>
      <w:r>
        <w:rPr>
          <w:noProof/>
          <w:lang w:eastAsia="es-MX"/>
        </w:rPr>
        <w:t xml:space="preserve"> </w:t>
      </w:r>
      <w:r w:rsidRPr="00AB71F5">
        <w:rPr>
          <w:noProof/>
          <w:lang w:eastAsia="es-MX"/>
        </w:rPr>
        <w:t>%, una tasa de no respuesta esperada de 15</w:t>
      </w:r>
      <w:r>
        <w:rPr>
          <w:noProof/>
          <w:lang w:eastAsia="es-MX"/>
        </w:rPr>
        <w:t xml:space="preserve"> </w:t>
      </w:r>
      <w:r w:rsidRPr="00AB71F5">
        <w:rPr>
          <w:noProof/>
          <w:lang w:eastAsia="es-MX"/>
        </w:rPr>
        <w:t>% y un error relativo de 10</w:t>
      </w:r>
      <w:r>
        <w:rPr>
          <w:noProof/>
          <w:lang w:eastAsia="es-MX"/>
        </w:rPr>
        <w:t xml:space="preserve"> </w:t>
      </w:r>
      <w:r w:rsidR="00392648">
        <w:rPr>
          <w:noProof/>
          <w:lang w:eastAsia="es-MX"/>
        </w:rPr>
        <w:t>por ciento</w:t>
      </w:r>
      <w:r w:rsidRPr="00AB71F5">
        <w:rPr>
          <w:noProof/>
          <w:lang w:eastAsia="es-MX"/>
        </w:rPr>
        <w:t>. Bajo este diseño</w:t>
      </w:r>
      <w:r>
        <w:rPr>
          <w:noProof/>
          <w:lang w:eastAsia="es-MX"/>
        </w:rPr>
        <w:t>,</w:t>
      </w:r>
      <w:r w:rsidRPr="00AB71F5">
        <w:rPr>
          <w:noProof/>
          <w:lang w:eastAsia="es-MX"/>
        </w:rPr>
        <w:t xml:space="preserve"> se consideran 22 dominios de estudio, que representan la totalidad del</w:t>
      </w:r>
      <w:r w:rsidR="00392648">
        <w:rPr>
          <w:noProof/>
          <w:lang w:eastAsia="es-MX"/>
        </w:rPr>
        <w:t xml:space="preserve"> sector</w:t>
      </w:r>
      <w:r w:rsidRPr="00AB71F5">
        <w:rPr>
          <w:noProof/>
          <w:lang w:eastAsia="es-MX"/>
        </w:rPr>
        <w:t xml:space="preserve"> </w:t>
      </w:r>
      <w:r>
        <w:rPr>
          <w:noProof/>
          <w:lang w:eastAsia="es-MX"/>
        </w:rPr>
        <w:t>C</w:t>
      </w:r>
      <w:r w:rsidRPr="00AB71F5">
        <w:rPr>
          <w:noProof/>
          <w:lang w:eastAsia="es-MX"/>
        </w:rPr>
        <w:t>omercio al por menor.</w:t>
      </w:r>
    </w:p>
    <w:p w14:paraId="33112664" w14:textId="72C45B19" w:rsidR="00721448" w:rsidRPr="00AB71F5" w:rsidRDefault="00721448" w:rsidP="002C75B9">
      <w:pPr>
        <w:pStyle w:val="Prrafodelista"/>
        <w:ind w:left="-66" w:right="-233"/>
        <w:contextualSpacing/>
        <w:rPr>
          <w:noProof/>
          <w:lang w:eastAsia="es-MX"/>
        </w:rPr>
      </w:pPr>
    </w:p>
    <w:p w14:paraId="6764313A" w14:textId="30677FDE" w:rsidR="00620E60" w:rsidRDefault="00620E60" w:rsidP="002C75B9">
      <w:pPr>
        <w:pStyle w:val="Prrafodelista"/>
        <w:ind w:left="-426" w:right="-233"/>
        <w:contextualSpacing/>
        <w:rPr>
          <w:noProof/>
          <w:lang w:eastAsia="es-MX"/>
        </w:rPr>
      </w:pPr>
    </w:p>
    <w:p w14:paraId="026EE704" w14:textId="77777777" w:rsidR="00957E3C" w:rsidRPr="00AB71F5" w:rsidRDefault="00957E3C" w:rsidP="00AB71F5">
      <w:pPr>
        <w:pStyle w:val="Prrafodelista"/>
        <w:ind w:left="-426" w:right="-233"/>
        <w:contextualSpacing/>
        <w:rPr>
          <w:noProof/>
          <w:lang w:eastAsia="es-MX"/>
        </w:rPr>
      </w:pPr>
    </w:p>
    <w:p w14:paraId="08D3C88E" w14:textId="77777777" w:rsidR="00957E3C" w:rsidRPr="00AB71F5" w:rsidRDefault="00957E3C" w:rsidP="00AB71F5">
      <w:pPr>
        <w:pStyle w:val="Prrafodelista"/>
        <w:ind w:left="1065" w:right="-233"/>
        <w:contextualSpacing/>
        <w:rPr>
          <w:noProof/>
          <w:lang w:eastAsia="es-MX"/>
        </w:rPr>
      </w:pPr>
    </w:p>
    <w:p w14:paraId="4B311510" w14:textId="77777777" w:rsidR="00773754" w:rsidRPr="00AB71F5" w:rsidRDefault="00773754" w:rsidP="00AB71F5">
      <w:pPr>
        <w:ind w:left="-426" w:right="-233"/>
        <w:contextualSpacing/>
        <w:rPr>
          <w:noProof/>
          <w:lang w:eastAsia="es-MX"/>
        </w:rPr>
      </w:pPr>
    </w:p>
    <w:p w14:paraId="590BB0AB" w14:textId="77777777" w:rsidR="00392648" w:rsidRDefault="00392648" w:rsidP="00AB71F5">
      <w:pPr>
        <w:ind w:left="-426" w:right="-233"/>
        <w:contextualSpacing/>
        <w:rPr>
          <w:noProof/>
          <w:lang w:eastAsia="es-MX"/>
        </w:rPr>
      </w:pPr>
    </w:p>
    <w:p w14:paraId="75047429" w14:textId="77777777" w:rsidR="00392648" w:rsidRDefault="00392648" w:rsidP="00AB71F5">
      <w:pPr>
        <w:ind w:left="-426" w:right="-233"/>
        <w:contextualSpacing/>
        <w:rPr>
          <w:noProof/>
          <w:lang w:eastAsia="es-MX"/>
        </w:rPr>
      </w:pPr>
    </w:p>
    <w:p w14:paraId="3F7D4349" w14:textId="6F112EAE" w:rsidR="00522977" w:rsidRPr="00AB71F5" w:rsidRDefault="00773754" w:rsidP="00AB71F5">
      <w:pPr>
        <w:ind w:left="-426" w:right="-233"/>
        <w:contextualSpacing/>
        <w:rPr>
          <w:noProof/>
          <w:lang w:eastAsia="es-MX"/>
        </w:rPr>
      </w:pPr>
      <w:r w:rsidRPr="00AB71F5">
        <w:rPr>
          <w:noProof/>
          <w:lang w:eastAsia="es-MX"/>
        </w:rPr>
        <w:t>A</w:t>
      </w:r>
      <w:r w:rsidR="00392648">
        <w:rPr>
          <w:noProof/>
          <w:lang w:eastAsia="es-MX"/>
        </w:rPr>
        <w:t xml:space="preserve">demás, </w:t>
      </w:r>
      <w:r w:rsidR="00522977" w:rsidRPr="00AB71F5">
        <w:rPr>
          <w:noProof/>
          <w:lang w:eastAsia="es-MX"/>
        </w:rPr>
        <w:t>se cuenta con una serie de indicadores de calidad de la información</w:t>
      </w:r>
      <w:r w:rsidR="00392648">
        <w:rPr>
          <w:noProof/>
          <w:lang w:eastAsia="es-MX"/>
        </w:rPr>
        <w:t>, que r</w:t>
      </w:r>
      <w:r w:rsidR="00522977" w:rsidRPr="00AB71F5">
        <w:rPr>
          <w:noProof/>
          <w:lang w:eastAsia="es-MX"/>
        </w:rPr>
        <w:t>epresentan un elemento de relevancia para el uso e interpretación de las estadísticas</w:t>
      </w:r>
      <w:r w:rsidR="00957E3C">
        <w:rPr>
          <w:noProof/>
          <w:lang w:eastAsia="es-MX"/>
        </w:rPr>
        <w:t xml:space="preserve">. Estos </w:t>
      </w:r>
      <w:r w:rsidR="00522977" w:rsidRPr="00AB71F5">
        <w:rPr>
          <w:noProof/>
          <w:lang w:eastAsia="es-MX"/>
        </w:rPr>
        <w:t xml:space="preserve">consisten </w:t>
      </w:r>
      <w:r w:rsidR="00522977" w:rsidRPr="00AB71F5">
        <w:t>en el análisis de cobertura de las ramas estudiadas a través del método de muestreo no probabilístico</w:t>
      </w:r>
      <w:r w:rsidR="00957E3C">
        <w:t>. E</w:t>
      </w:r>
      <w:r w:rsidR="00522977" w:rsidRPr="00AB71F5">
        <w:t>n el caso de las ramas de actividad comercial que son dominios de estudio probabilístico, las estimaciones que generan señalan el nivel de precisión en alta, moderada y baja confianza.</w:t>
      </w:r>
      <w:r w:rsidR="00522977" w:rsidRPr="00AB71F5" w:rsidDel="00522977">
        <w:rPr>
          <w:noProof/>
          <w:lang w:eastAsia="es-MX"/>
        </w:rPr>
        <w:t xml:space="preserve"> </w:t>
      </w:r>
    </w:p>
    <w:p w14:paraId="265E9DF6" w14:textId="77777777" w:rsidR="00773754" w:rsidRPr="00AB71F5" w:rsidRDefault="00773754" w:rsidP="00AB71F5">
      <w:pPr>
        <w:ind w:left="-426" w:right="-233"/>
        <w:contextualSpacing/>
        <w:rPr>
          <w:noProof/>
          <w:lang w:eastAsia="es-MX"/>
        </w:rPr>
      </w:pPr>
    </w:p>
    <w:p w14:paraId="16DE9CB1" w14:textId="77777777" w:rsidR="00773754" w:rsidRPr="00AB71F5" w:rsidRDefault="00773754" w:rsidP="00AB71F5">
      <w:pPr>
        <w:ind w:left="-426" w:right="-233"/>
        <w:contextualSpacing/>
        <w:rPr>
          <w:noProof/>
          <w:lang w:eastAsia="es-MX"/>
        </w:rPr>
      </w:pPr>
      <w:r w:rsidRPr="00AB71F5">
        <w:rPr>
          <w:noProof/>
          <w:lang w:eastAsia="es-MX"/>
        </w:rPr>
        <w:t>Entre los indicadores de precisión estadística que se calculan para las estimaciones obtenidas a partir de encuestas con diseño probabilístico, se encuentran:</w:t>
      </w:r>
    </w:p>
    <w:p w14:paraId="752E0039" w14:textId="77777777" w:rsidR="00773754" w:rsidRPr="00AB71F5" w:rsidRDefault="00773754" w:rsidP="00AB71F5">
      <w:pPr>
        <w:ind w:left="-426" w:right="-233"/>
        <w:contextualSpacing/>
        <w:rPr>
          <w:noProof/>
          <w:lang w:eastAsia="es-MX"/>
        </w:rPr>
      </w:pPr>
    </w:p>
    <w:p w14:paraId="00CB8751" w14:textId="7D8380EA" w:rsidR="00773754" w:rsidRPr="00AB71F5" w:rsidRDefault="00773754" w:rsidP="00AB71F5">
      <w:pPr>
        <w:pStyle w:val="Prrafodelista"/>
        <w:numPr>
          <w:ilvl w:val="0"/>
          <w:numId w:val="37"/>
        </w:numPr>
        <w:ind w:left="142" w:right="-233" w:hanging="426"/>
        <w:contextualSpacing/>
        <w:rPr>
          <w:noProof/>
          <w:lang w:eastAsia="es-MX"/>
        </w:rPr>
      </w:pPr>
      <w:r w:rsidRPr="00AB71F5">
        <w:rPr>
          <w:noProof/>
          <w:lang w:eastAsia="es-MX"/>
        </w:rPr>
        <w:t>Error estándar</w:t>
      </w:r>
    </w:p>
    <w:p w14:paraId="1B12E49A" w14:textId="38F591CF" w:rsidR="00773754" w:rsidRPr="00AB71F5" w:rsidRDefault="00773754" w:rsidP="00AB71F5">
      <w:pPr>
        <w:pStyle w:val="Prrafodelista"/>
        <w:numPr>
          <w:ilvl w:val="0"/>
          <w:numId w:val="37"/>
        </w:numPr>
        <w:ind w:left="142" w:right="-233" w:hanging="426"/>
        <w:contextualSpacing/>
        <w:rPr>
          <w:noProof/>
          <w:lang w:eastAsia="es-MX"/>
        </w:rPr>
      </w:pPr>
      <w:r w:rsidRPr="00AB71F5">
        <w:rPr>
          <w:noProof/>
          <w:lang w:eastAsia="es-MX"/>
        </w:rPr>
        <w:t>Coeficiente de variación</w:t>
      </w:r>
    </w:p>
    <w:p w14:paraId="3ED8A7F0" w14:textId="3FE79554" w:rsidR="00773754" w:rsidRPr="00AB71F5" w:rsidRDefault="00773754" w:rsidP="00AB71F5">
      <w:pPr>
        <w:pStyle w:val="Prrafodelista"/>
        <w:numPr>
          <w:ilvl w:val="0"/>
          <w:numId w:val="37"/>
        </w:numPr>
        <w:ind w:left="142" w:right="-233" w:hanging="426"/>
        <w:contextualSpacing/>
        <w:rPr>
          <w:noProof/>
          <w:lang w:eastAsia="es-MX"/>
        </w:rPr>
      </w:pPr>
      <w:r w:rsidRPr="00AB71F5">
        <w:rPr>
          <w:noProof/>
          <w:lang w:eastAsia="es-MX"/>
        </w:rPr>
        <w:t>Intervalo de confianza</w:t>
      </w:r>
    </w:p>
    <w:p w14:paraId="78FC165F" w14:textId="2A86D25E" w:rsidR="00522977" w:rsidRPr="00AB71F5" w:rsidRDefault="00522977" w:rsidP="00AB71F5">
      <w:pPr>
        <w:ind w:left="-426" w:right="-233"/>
        <w:contextualSpacing/>
        <w:rPr>
          <w:noProof/>
          <w:lang w:eastAsia="es-MX"/>
        </w:rPr>
      </w:pPr>
    </w:p>
    <w:p w14:paraId="6CCDF5D9" w14:textId="1BF2D4D5" w:rsidR="00522977" w:rsidRPr="00AB71F5" w:rsidRDefault="00522977" w:rsidP="00AB71F5">
      <w:pPr>
        <w:ind w:left="-426" w:right="-233"/>
        <w:contextualSpacing/>
      </w:pPr>
      <w:r w:rsidRPr="00AB71F5">
        <w:t xml:space="preserve">Con base en el análisis de la distribución de los coeficientes de variación y en las experiencias internacionales, se establecieron los </w:t>
      </w:r>
      <w:r w:rsidR="00392648" w:rsidRPr="00AB71F5">
        <w:t xml:space="preserve">siguientes </w:t>
      </w:r>
      <w:r w:rsidRPr="00AB71F5">
        <w:t xml:space="preserve">límites de aceptación </w:t>
      </w:r>
      <w:r w:rsidR="00392648" w:rsidRPr="00AB71F5">
        <w:t xml:space="preserve">para las </w:t>
      </w:r>
      <w:r w:rsidR="00392648">
        <w:t>e</w:t>
      </w:r>
      <w:r w:rsidR="00392648" w:rsidRPr="00AB71F5">
        <w:t xml:space="preserve">ncuestas </w:t>
      </w:r>
      <w:r w:rsidR="00392648">
        <w:t>e</w:t>
      </w:r>
      <w:r w:rsidR="00392648" w:rsidRPr="00AB71F5">
        <w:t>conómicas</w:t>
      </w:r>
      <w:r w:rsidRPr="00AB71F5">
        <w:t xml:space="preserve">: </w:t>
      </w:r>
    </w:p>
    <w:p w14:paraId="6E55ABE3" w14:textId="77777777" w:rsidR="00522977" w:rsidRPr="00AB71F5" w:rsidRDefault="00522977" w:rsidP="00AB71F5">
      <w:pPr>
        <w:ind w:left="-426" w:right="-233"/>
        <w:contextualSpacing/>
      </w:pPr>
    </w:p>
    <w:p w14:paraId="72E1CF6C" w14:textId="4589981D" w:rsidR="00522977" w:rsidRPr="00AB71F5" w:rsidRDefault="00522977" w:rsidP="00AB71F5">
      <w:pPr>
        <w:pStyle w:val="Prrafodelista"/>
        <w:numPr>
          <w:ilvl w:val="0"/>
          <w:numId w:val="37"/>
        </w:numPr>
        <w:ind w:left="142" w:right="-233" w:hanging="426"/>
        <w:contextualSpacing/>
        <w:rPr>
          <w:noProof/>
          <w:lang w:eastAsia="es-MX"/>
        </w:rPr>
      </w:pPr>
      <w:r w:rsidRPr="00AB71F5">
        <w:rPr>
          <w:noProof/>
          <w:lang w:eastAsia="es-MX"/>
        </w:rPr>
        <w:t>Si el coeficiente de variación se encuentra entre cero y 20</w:t>
      </w:r>
      <w:r w:rsidR="00957E3C">
        <w:rPr>
          <w:noProof/>
          <w:lang w:eastAsia="es-MX"/>
        </w:rPr>
        <w:t xml:space="preserve"> </w:t>
      </w:r>
      <w:r w:rsidRPr="00AB71F5">
        <w:rPr>
          <w:noProof/>
          <w:lang w:eastAsia="es-MX"/>
        </w:rPr>
        <w:t xml:space="preserve">%, la estimación </w:t>
      </w:r>
      <w:r w:rsidR="00957E3C">
        <w:rPr>
          <w:noProof/>
          <w:lang w:eastAsia="es-MX"/>
        </w:rPr>
        <w:t xml:space="preserve">se </w:t>
      </w:r>
      <w:r w:rsidRPr="00AB71F5">
        <w:rPr>
          <w:noProof/>
          <w:lang w:eastAsia="es-MX"/>
        </w:rPr>
        <w:t>considera alta, es decir, que tiene un alto grado de confiabilidad</w:t>
      </w:r>
      <w:r w:rsidR="00392648">
        <w:rPr>
          <w:noProof/>
          <w:lang w:eastAsia="es-MX"/>
        </w:rPr>
        <w:t>.</w:t>
      </w:r>
    </w:p>
    <w:p w14:paraId="08BB2987" w14:textId="63638187" w:rsidR="00522977" w:rsidRPr="00AB71F5" w:rsidRDefault="00522977" w:rsidP="00AB71F5">
      <w:pPr>
        <w:pStyle w:val="Prrafodelista"/>
        <w:numPr>
          <w:ilvl w:val="0"/>
          <w:numId w:val="37"/>
        </w:numPr>
        <w:ind w:left="142" w:right="-233" w:hanging="426"/>
        <w:contextualSpacing/>
        <w:rPr>
          <w:noProof/>
          <w:lang w:eastAsia="es-MX"/>
        </w:rPr>
      </w:pPr>
      <w:r w:rsidRPr="00AB71F5">
        <w:rPr>
          <w:noProof/>
          <w:lang w:eastAsia="es-MX"/>
        </w:rPr>
        <w:t>Si el coeficiente de variación es mayor o igual a 20</w:t>
      </w:r>
      <w:r w:rsidR="00957E3C">
        <w:rPr>
          <w:noProof/>
          <w:lang w:eastAsia="es-MX"/>
        </w:rPr>
        <w:t xml:space="preserve"> </w:t>
      </w:r>
      <w:r w:rsidRPr="00AB71F5">
        <w:rPr>
          <w:noProof/>
          <w:lang w:eastAsia="es-MX"/>
        </w:rPr>
        <w:t>% pero menor a 30</w:t>
      </w:r>
      <w:r w:rsidR="00957E3C">
        <w:rPr>
          <w:noProof/>
          <w:lang w:eastAsia="es-MX"/>
        </w:rPr>
        <w:t xml:space="preserve"> </w:t>
      </w:r>
      <w:r w:rsidRPr="00AB71F5">
        <w:rPr>
          <w:noProof/>
          <w:lang w:eastAsia="es-MX"/>
        </w:rPr>
        <w:t>%, la estimación se considera moderada, lo que indica que la estimación tiene un grado de confiabilidad tolerable</w:t>
      </w:r>
      <w:r w:rsidR="00392648">
        <w:rPr>
          <w:noProof/>
          <w:lang w:eastAsia="es-MX"/>
        </w:rPr>
        <w:t>.</w:t>
      </w:r>
    </w:p>
    <w:p w14:paraId="11412B88" w14:textId="370C3FD4" w:rsidR="00522977" w:rsidRPr="00AB71F5" w:rsidRDefault="00522977" w:rsidP="00AB71F5">
      <w:pPr>
        <w:pStyle w:val="Prrafodelista"/>
        <w:numPr>
          <w:ilvl w:val="0"/>
          <w:numId w:val="37"/>
        </w:numPr>
        <w:ind w:left="142" w:right="-233" w:hanging="426"/>
        <w:contextualSpacing/>
        <w:rPr>
          <w:noProof/>
          <w:lang w:eastAsia="es-MX"/>
        </w:rPr>
      </w:pPr>
      <w:r w:rsidRPr="00AB71F5">
        <w:rPr>
          <w:noProof/>
          <w:lang w:eastAsia="es-MX"/>
        </w:rPr>
        <w:t>Si el coeficiente de variación es mayor o igual a 30</w:t>
      </w:r>
      <w:r w:rsidR="00957E3C">
        <w:rPr>
          <w:noProof/>
          <w:lang w:eastAsia="es-MX"/>
        </w:rPr>
        <w:t xml:space="preserve"> </w:t>
      </w:r>
      <w:r w:rsidRPr="00AB71F5">
        <w:rPr>
          <w:noProof/>
          <w:lang w:eastAsia="es-MX"/>
        </w:rPr>
        <w:t>%, dicha estimación deberá consider</w:t>
      </w:r>
      <w:r w:rsidR="00957E3C">
        <w:rPr>
          <w:noProof/>
          <w:lang w:eastAsia="es-MX"/>
        </w:rPr>
        <w:t>arse</w:t>
      </w:r>
      <w:r w:rsidRPr="00AB71F5">
        <w:rPr>
          <w:noProof/>
          <w:lang w:eastAsia="es-MX"/>
        </w:rPr>
        <w:t xml:space="preserve"> baja. Una precisión baja requiere un uso cauteloso de la estimación en la que se analicen las causas de la alta variabilidad y se consideren otros indicadores de precisión y confiabilidad, como el intervalo de confianza</w:t>
      </w:r>
      <w:r w:rsidR="00392648">
        <w:rPr>
          <w:noProof/>
          <w:lang w:eastAsia="es-MX"/>
        </w:rPr>
        <w:t>.</w:t>
      </w:r>
    </w:p>
    <w:p w14:paraId="1F751EA0" w14:textId="0B549D9B" w:rsidR="002A1831" w:rsidRPr="00AB71F5" w:rsidRDefault="002A1831" w:rsidP="00AB71F5">
      <w:pPr>
        <w:pStyle w:val="NormalWeb"/>
        <w:spacing w:before="0" w:beforeAutospacing="0" w:after="0" w:afterAutospacing="0"/>
        <w:ind w:left="-426" w:right="-233"/>
        <w:contextualSpacing/>
        <w:jc w:val="both"/>
        <w:rPr>
          <w:noProof/>
          <w:lang w:eastAsia="es-MX"/>
        </w:rPr>
      </w:pPr>
    </w:p>
    <w:sectPr w:rsidR="002A1831" w:rsidRPr="00AB71F5" w:rsidSect="00AB71F5">
      <w:headerReference w:type="default" r:id="rId38"/>
      <w:pgSz w:w="12242" w:h="15842" w:code="1"/>
      <w:pgMar w:top="1843" w:right="1418" w:bottom="993" w:left="1559" w:header="567" w:footer="413"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1992" w14:textId="77777777" w:rsidR="00117EDF" w:rsidRDefault="00117EDF">
      <w:r>
        <w:separator/>
      </w:r>
    </w:p>
  </w:endnote>
  <w:endnote w:type="continuationSeparator" w:id="0">
    <w:p w14:paraId="5E7E9E68" w14:textId="77777777" w:rsidR="00117EDF" w:rsidRDefault="0011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641825"/>
      <w:docPartObj>
        <w:docPartGallery w:val="Page Numbers (Bottom of Page)"/>
        <w:docPartUnique/>
      </w:docPartObj>
    </w:sdtPr>
    <w:sdtEndPr>
      <w:rPr>
        <w:b/>
        <w:color w:val="002060"/>
        <w:sz w:val="20"/>
        <w:szCs w:val="20"/>
      </w:rPr>
    </w:sdtEndPr>
    <w:sdtContent>
      <w:p w14:paraId="26D7EAD5" w14:textId="54083270" w:rsidR="001D1314" w:rsidRPr="00AB71F5" w:rsidRDefault="001D1314" w:rsidP="00AB71F5">
        <w:pPr>
          <w:pStyle w:val="Piedepgina"/>
          <w:ind w:right="-233" w:hanging="426"/>
          <w:jc w:val="center"/>
          <w:rPr>
            <w:b/>
            <w:color w:val="002060"/>
            <w:sz w:val="20"/>
            <w:szCs w:val="20"/>
          </w:rPr>
        </w:pPr>
        <w:r w:rsidRPr="00AB71F5">
          <w:rPr>
            <w:b/>
            <w:color w:val="002060"/>
            <w:sz w:val="20"/>
            <w:szCs w:val="20"/>
          </w:rPr>
          <w:t>COMUNICACIÓN SOCIAL</w:t>
        </w:r>
      </w:p>
    </w:sdtContent>
  </w:sdt>
  <w:p w14:paraId="4458BDC7" w14:textId="77777777" w:rsidR="001D1314" w:rsidRDefault="001D1314" w:rsidP="003076C4">
    <w:pPr>
      <w:pStyle w:val="Piedepgina"/>
      <w:jc w:val="center"/>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018E9" w14:textId="77777777" w:rsidR="00117EDF" w:rsidRDefault="00117EDF">
      <w:r>
        <w:separator/>
      </w:r>
    </w:p>
  </w:footnote>
  <w:footnote w:type="continuationSeparator" w:id="0">
    <w:p w14:paraId="3F5F71DF" w14:textId="77777777" w:rsidR="00117EDF" w:rsidRDefault="00117EDF">
      <w:r>
        <w:continuationSeparator/>
      </w:r>
    </w:p>
  </w:footnote>
  <w:footnote w:id="1">
    <w:p w14:paraId="5C1E02AB" w14:textId="603A84C6" w:rsidR="001D1314" w:rsidRPr="00A02A6E" w:rsidRDefault="001D1314" w:rsidP="00AB71F5">
      <w:pPr>
        <w:pStyle w:val="Textonotapie"/>
        <w:ind w:left="-284" w:right="-233" w:hanging="142"/>
        <w:rPr>
          <w:lang w:val="es-MX"/>
        </w:rPr>
      </w:pPr>
      <w:r>
        <w:rPr>
          <w:rStyle w:val="Refdenotaalpie"/>
        </w:rPr>
        <w:footnoteRef/>
      </w:r>
      <w:r w:rsidR="00721448">
        <w:t xml:space="preserve"> </w:t>
      </w:r>
      <w:r w:rsidRPr="00A02A6E">
        <w:rPr>
          <w:sz w:val="16"/>
          <w:szCs w:val="16"/>
        </w:rPr>
        <w:t>https://extranet.inegi.org.mx/calidad/doc/6.-Norma-Tecnica-del-Proceso-de-Produccion-de-Informacion-Estadistica-y-Geografica-para-el-INEGI_19Nov21.pdf</w:t>
      </w:r>
    </w:p>
  </w:footnote>
  <w:footnote w:id="2">
    <w:p w14:paraId="539A5561" w14:textId="4004956B" w:rsidR="001D1314" w:rsidRDefault="001D1314" w:rsidP="002A1831">
      <w:pPr>
        <w:pStyle w:val="Textonotapie"/>
        <w:jc w:val="left"/>
        <w:rPr>
          <w:sz w:val="16"/>
        </w:rPr>
      </w:pPr>
      <w:r w:rsidRPr="00F02A43">
        <w:rPr>
          <w:rStyle w:val="Refdenotaalpie"/>
          <w:sz w:val="16"/>
        </w:rPr>
        <w:footnoteRef/>
      </w:r>
      <w:r>
        <w:t xml:space="preserve"> </w:t>
      </w:r>
      <w:r w:rsidRPr="00F02A43">
        <w:rPr>
          <w:sz w:val="16"/>
          <w:lang w:val="es-MX"/>
        </w:rPr>
        <w:t xml:space="preserve">El </w:t>
      </w:r>
      <w:r w:rsidR="00392648">
        <w:rPr>
          <w:sz w:val="16"/>
          <w:lang w:val="es-MX"/>
        </w:rPr>
        <w:t>s</w:t>
      </w:r>
      <w:r w:rsidRPr="00F02A43">
        <w:rPr>
          <w:sz w:val="16"/>
          <w:lang w:val="es-MX"/>
        </w:rPr>
        <w:t>istema completo puede consultarse en:</w:t>
      </w:r>
      <w:r w:rsidRPr="00F02A43">
        <w:rPr>
          <w:sz w:val="16"/>
        </w:rPr>
        <w:t xml:space="preserve"> </w:t>
      </w:r>
    </w:p>
    <w:p w14:paraId="62CA3D08" w14:textId="77777777" w:rsidR="001D1314" w:rsidRPr="008A2E99" w:rsidRDefault="00000000" w:rsidP="002A1831">
      <w:pPr>
        <w:pStyle w:val="Textonotapie"/>
        <w:jc w:val="left"/>
        <w:rPr>
          <w:lang w:val="es-MX"/>
        </w:rPr>
      </w:pPr>
      <w:hyperlink r:id="rId1" w:history="1">
        <w:r w:rsidR="001D1314" w:rsidRPr="003A5B83">
          <w:rPr>
            <w:rStyle w:val="Hipervnculo"/>
            <w:sz w:val="16"/>
          </w:rPr>
          <w:t>https://www.inegi.org.mx/app/biblioteca/ficha.html?upc=702825051693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BAD4" w14:textId="5F2F8027" w:rsidR="001D1314" w:rsidRPr="005367BA" w:rsidRDefault="001D1314" w:rsidP="00F91F71">
    <w:pPr>
      <w:pStyle w:val="Encabezado"/>
      <w:ind w:left="-567" w:right="-233"/>
      <w:jc w:val="right"/>
      <w:rPr>
        <w:b/>
        <w:color w:val="002060"/>
        <w:sz w:val="26"/>
        <w:lang w:val="pt-BR"/>
      </w:rPr>
    </w:pPr>
    <w:r>
      <w:rPr>
        <w:noProof/>
        <w:lang w:eastAsia="es-MX"/>
      </w:rPr>
      <w:drawing>
        <wp:anchor distT="0" distB="0" distL="114300" distR="114300" simplePos="0" relativeHeight="251659264" behindDoc="0" locked="0" layoutInCell="1" allowOverlap="1" wp14:anchorId="776F89D3" wp14:editId="7AB6C173">
          <wp:simplePos x="0" y="0"/>
          <wp:positionH relativeFrom="margin">
            <wp:posOffset>-237490</wp:posOffset>
          </wp:positionH>
          <wp:positionV relativeFrom="margin">
            <wp:posOffset>-941070</wp:posOffset>
          </wp:positionV>
          <wp:extent cx="844550" cy="876935"/>
          <wp:effectExtent l="0" t="0" r="0" b="0"/>
          <wp:wrapSquare wrapText="bothSides"/>
          <wp:docPr id="13" name="Imagen 1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76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3139">
      <w:rPr>
        <w:b/>
        <w:color w:val="002060"/>
      </w:rPr>
      <w:t xml:space="preserve"> </w:t>
    </w:r>
    <w:r>
      <w:rPr>
        <w:b/>
        <w:color w:val="002060"/>
      </w:rPr>
      <w:t>C</w:t>
    </w:r>
    <w:r w:rsidRPr="00FE1C98">
      <w:rPr>
        <w:b/>
        <w:color w:val="002060"/>
      </w:rPr>
      <w:t>OMUNICADO DE PRENSA NÚM</w:t>
    </w:r>
    <w:r w:rsidRPr="00F91F71">
      <w:rPr>
        <w:b/>
        <w:color w:val="002060"/>
      </w:rPr>
      <w:t xml:space="preserve">. </w:t>
    </w:r>
    <w:r w:rsidR="00F91F71" w:rsidRPr="00F91F71">
      <w:rPr>
        <w:b/>
        <w:color w:val="002060"/>
      </w:rPr>
      <w:t>733</w:t>
    </w:r>
    <w:r w:rsidRPr="00F91F71">
      <w:rPr>
        <w:b/>
        <w:color w:val="002060"/>
      </w:rPr>
      <w:t>/22</w:t>
    </w:r>
  </w:p>
  <w:p w14:paraId="52013A72" w14:textId="223253BC" w:rsidR="001D1314" w:rsidRPr="005367BA" w:rsidRDefault="001D1314" w:rsidP="00F91F71">
    <w:pPr>
      <w:pStyle w:val="Encabezado"/>
      <w:tabs>
        <w:tab w:val="left" w:pos="3375"/>
        <w:tab w:val="right" w:pos="8362"/>
      </w:tabs>
      <w:ind w:left="-567" w:right="-233"/>
      <w:jc w:val="right"/>
      <w:rPr>
        <w:b/>
        <w:color w:val="002060"/>
        <w:sz w:val="26"/>
        <w:lang w:val="pt-BR"/>
      </w:rPr>
    </w:pPr>
    <w:r>
      <w:rPr>
        <w:b/>
        <w:color w:val="002060"/>
        <w:lang w:val="pt-BR"/>
      </w:rPr>
      <w:tab/>
    </w:r>
    <w:r>
      <w:rPr>
        <w:b/>
        <w:color w:val="002060"/>
        <w:lang w:val="pt-BR"/>
      </w:rPr>
      <w:tab/>
    </w:r>
    <w:r>
      <w:rPr>
        <w:b/>
        <w:color w:val="002060"/>
        <w:lang w:val="pt-BR"/>
      </w:rPr>
      <w:tab/>
    </w:r>
    <w:r w:rsidRPr="0097661E">
      <w:rPr>
        <w:b/>
        <w:color w:val="002060"/>
        <w:lang w:val="pt-BR"/>
      </w:rPr>
      <w:t>7</w:t>
    </w:r>
    <w:r w:rsidRPr="005367BA">
      <w:rPr>
        <w:b/>
        <w:color w:val="002060"/>
        <w:lang w:val="pt-BR"/>
      </w:rPr>
      <w:t xml:space="preserve"> DE </w:t>
    </w:r>
    <w:r>
      <w:rPr>
        <w:b/>
        <w:color w:val="002060"/>
        <w:lang w:val="pt-BR"/>
      </w:rPr>
      <w:t>DICIEMBRE</w:t>
    </w:r>
    <w:r w:rsidRPr="005367BA">
      <w:rPr>
        <w:b/>
        <w:color w:val="002060"/>
        <w:lang w:val="pt-BR"/>
      </w:rPr>
      <w:t xml:space="preserve"> DE 202</w:t>
    </w:r>
    <w:r>
      <w:rPr>
        <w:b/>
        <w:color w:val="002060"/>
        <w:lang w:val="pt-BR"/>
      </w:rPr>
      <w:t>2</w:t>
    </w:r>
  </w:p>
  <w:p w14:paraId="142C02AE" w14:textId="2CF5EF70" w:rsidR="001D1314" w:rsidRPr="005367BA" w:rsidRDefault="001D1314" w:rsidP="00F91F71">
    <w:pPr>
      <w:pStyle w:val="Encabezado"/>
      <w:ind w:left="-567" w:right="-233"/>
      <w:jc w:val="right"/>
      <w:rPr>
        <w:b/>
        <w:color w:val="002060"/>
      </w:rPr>
    </w:pPr>
    <w:r w:rsidRPr="005367BA">
      <w:rPr>
        <w:b/>
        <w:color w:val="002060"/>
      </w:rPr>
      <w:t xml:space="preserve">PÁGINA </w:t>
    </w:r>
    <w:r w:rsidRPr="005367BA">
      <w:rPr>
        <w:b/>
        <w:color w:val="002060"/>
      </w:rPr>
      <w:fldChar w:fldCharType="begin"/>
    </w:r>
    <w:r w:rsidRPr="005367BA">
      <w:rPr>
        <w:b/>
        <w:color w:val="002060"/>
      </w:rPr>
      <w:instrText xml:space="preserve"> PAGE  \* Arabic </w:instrText>
    </w:r>
    <w:r w:rsidRPr="005367BA">
      <w:rPr>
        <w:b/>
        <w:color w:val="002060"/>
      </w:rPr>
      <w:fldChar w:fldCharType="separate"/>
    </w:r>
    <w:r>
      <w:rPr>
        <w:b/>
        <w:color w:val="002060"/>
      </w:rPr>
      <w:t>1</w:t>
    </w:r>
    <w:r w:rsidRPr="005367BA">
      <w:rPr>
        <w:b/>
        <w:color w:val="002060"/>
      </w:rPr>
      <w:fldChar w:fldCharType="end"/>
    </w:r>
    <w:r w:rsidRPr="0097661E">
      <w:rPr>
        <w:b/>
        <w:color w:val="002060"/>
      </w:rPr>
      <w:t>/</w:t>
    </w:r>
    <w:r w:rsidR="00675B0E">
      <w:rPr>
        <w:b/>
        <w:color w:val="002060"/>
      </w:rPr>
      <w:t>14</w:t>
    </w:r>
  </w:p>
  <w:p w14:paraId="787E7513" w14:textId="79F3F810" w:rsidR="001D1314" w:rsidRDefault="001D1314" w:rsidP="009813FF">
    <w:pPr>
      <w:pStyle w:val="Encabezado"/>
      <w:jc w:val="center"/>
    </w:pPr>
  </w:p>
  <w:p w14:paraId="265E4B32" w14:textId="77777777" w:rsidR="001D1314" w:rsidRDefault="001D13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0568" w14:textId="0BD1EEEC" w:rsidR="001D1314" w:rsidRPr="005367BA" w:rsidRDefault="001D1314" w:rsidP="00AB71F5">
    <w:pPr>
      <w:pStyle w:val="Encabezado"/>
      <w:ind w:left="-567" w:right="-233"/>
      <w:jc w:val="right"/>
      <w:rPr>
        <w:b/>
        <w:color w:val="002060"/>
      </w:rPr>
    </w:pPr>
    <w:r>
      <w:rPr>
        <w:noProof/>
        <w:lang w:eastAsia="es-MX"/>
      </w:rPr>
      <w:drawing>
        <wp:anchor distT="0" distB="0" distL="114300" distR="114300" simplePos="0" relativeHeight="251661312" behindDoc="0" locked="0" layoutInCell="1" allowOverlap="1" wp14:anchorId="74179FFF" wp14:editId="2B0B27DB">
          <wp:simplePos x="0" y="0"/>
          <wp:positionH relativeFrom="margin">
            <wp:posOffset>2496185</wp:posOffset>
          </wp:positionH>
          <wp:positionV relativeFrom="margin">
            <wp:posOffset>-874395</wp:posOffset>
          </wp:positionV>
          <wp:extent cx="844550" cy="876935"/>
          <wp:effectExtent l="0" t="0" r="0" b="0"/>
          <wp:wrapSquare wrapText="bothSides"/>
          <wp:docPr id="35" name="Imagen 3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76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3139">
      <w:rPr>
        <w:b/>
        <w:color w:val="002060"/>
      </w:rPr>
      <w:t xml:space="preserve"> </w:t>
    </w:r>
  </w:p>
  <w:p w14:paraId="5ADD2712" w14:textId="352D45CD" w:rsidR="001D1314" w:rsidRDefault="001D1314" w:rsidP="009813FF">
    <w:pPr>
      <w:pStyle w:val="Encabezado"/>
      <w:jc w:val="center"/>
    </w:pPr>
  </w:p>
  <w:p w14:paraId="7130B188" w14:textId="77777777" w:rsidR="001D1314" w:rsidRDefault="001D13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B47C07"/>
    <w:multiLevelType w:val="hybridMultilevel"/>
    <w:tmpl w:val="E8D60D64"/>
    <w:lvl w:ilvl="0" w:tplc="080A0005">
      <w:start w:val="1"/>
      <w:numFmt w:val="bullet"/>
      <w:lvlText w:val=""/>
      <w:lvlJc w:val="left"/>
      <w:pPr>
        <w:ind w:left="294" w:hanging="360"/>
      </w:pPr>
      <w:rPr>
        <w:rFonts w:ascii="Wingdings" w:hAnsi="Wingdings"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 w15:restartNumberingAfterBreak="0">
    <w:nsid w:val="1188512F"/>
    <w:multiLevelType w:val="hybridMultilevel"/>
    <w:tmpl w:val="3A3A4FFA"/>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A1245E"/>
    <w:multiLevelType w:val="hybridMultilevel"/>
    <w:tmpl w:val="A45C0D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2A2652"/>
    <w:multiLevelType w:val="hybridMultilevel"/>
    <w:tmpl w:val="ACFE27C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6" w15:restartNumberingAfterBreak="0">
    <w:nsid w:val="1FBF237E"/>
    <w:multiLevelType w:val="hybridMultilevel"/>
    <w:tmpl w:val="97BEF4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D6343F"/>
    <w:multiLevelType w:val="hybridMultilevel"/>
    <w:tmpl w:val="6136B654"/>
    <w:lvl w:ilvl="0" w:tplc="0E1CAEE6">
      <w:start w:val="1"/>
      <w:numFmt w:val="lowerLetter"/>
      <w:lvlText w:val="%1)"/>
      <w:lvlJc w:val="left"/>
      <w:pPr>
        <w:ind w:left="-66" w:hanging="360"/>
      </w:pPr>
      <w:rPr>
        <w:rFonts w:hint="default"/>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9"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61F2BAE"/>
    <w:multiLevelType w:val="singleLevel"/>
    <w:tmpl w:val="FFFFFFFF"/>
    <w:lvl w:ilvl="0">
      <w:numFmt w:val="decimal"/>
      <w:lvlText w:val="*"/>
      <w:lvlJc w:val="left"/>
    </w:lvl>
  </w:abstractNum>
  <w:abstractNum w:abstractNumId="12" w15:restartNumberingAfterBreak="0">
    <w:nsid w:val="2780045D"/>
    <w:multiLevelType w:val="hybridMultilevel"/>
    <w:tmpl w:val="478AD55E"/>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3AD3A01"/>
    <w:multiLevelType w:val="hybridMultilevel"/>
    <w:tmpl w:val="F93AE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BD6A92"/>
    <w:multiLevelType w:val="hybridMultilevel"/>
    <w:tmpl w:val="4906D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EE467E4"/>
    <w:multiLevelType w:val="hybridMultilevel"/>
    <w:tmpl w:val="2EBC45E0"/>
    <w:lvl w:ilvl="0" w:tplc="0C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77F74"/>
    <w:multiLevelType w:val="hybridMultilevel"/>
    <w:tmpl w:val="5C4C418C"/>
    <w:lvl w:ilvl="0" w:tplc="DC986B8C">
      <w:start w:val="16"/>
      <w:numFmt w:val="bullet"/>
      <w:lvlText w:val=""/>
      <w:lvlJc w:val="left"/>
      <w:pPr>
        <w:ind w:left="854" w:hanging="570"/>
      </w:pPr>
      <w:rPr>
        <w:rFonts w:ascii="Symbol" w:eastAsiaTheme="minorHAnsi" w:hAnsi="Symbol" w:cs="Courier New" w:hint="default"/>
        <w:sz w:val="2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F59481B"/>
    <w:multiLevelType w:val="hybridMultilevel"/>
    <w:tmpl w:val="D9F8B42C"/>
    <w:lvl w:ilvl="0" w:tplc="080A0003">
      <w:start w:val="1"/>
      <w:numFmt w:val="bullet"/>
      <w:lvlText w:val="o"/>
      <w:lvlJc w:val="left"/>
      <w:pPr>
        <w:ind w:left="-3852" w:hanging="360"/>
      </w:pPr>
      <w:rPr>
        <w:rFonts w:ascii="Courier New" w:hAnsi="Courier New" w:cs="Courier New" w:hint="default"/>
      </w:rPr>
    </w:lvl>
    <w:lvl w:ilvl="1" w:tplc="080A0003" w:tentative="1">
      <w:start w:val="1"/>
      <w:numFmt w:val="bullet"/>
      <w:lvlText w:val="o"/>
      <w:lvlJc w:val="left"/>
      <w:pPr>
        <w:ind w:left="-3132" w:hanging="360"/>
      </w:pPr>
      <w:rPr>
        <w:rFonts w:ascii="Courier New" w:hAnsi="Courier New" w:cs="Courier New" w:hint="default"/>
      </w:rPr>
    </w:lvl>
    <w:lvl w:ilvl="2" w:tplc="080A0005" w:tentative="1">
      <w:start w:val="1"/>
      <w:numFmt w:val="bullet"/>
      <w:lvlText w:val=""/>
      <w:lvlJc w:val="left"/>
      <w:pPr>
        <w:ind w:left="-2412" w:hanging="360"/>
      </w:pPr>
      <w:rPr>
        <w:rFonts w:ascii="Wingdings" w:hAnsi="Wingdings" w:hint="default"/>
      </w:rPr>
    </w:lvl>
    <w:lvl w:ilvl="3" w:tplc="080A0001" w:tentative="1">
      <w:start w:val="1"/>
      <w:numFmt w:val="bullet"/>
      <w:lvlText w:val=""/>
      <w:lvlJc w:val="left"/>
      <w:pPr>
        <w:ind w:left="-1692" w:hanging="360"/>
      </w:pPr>
      <w:rPr>
        <w:rFonts w:ascii="Symbol" w:hAnsi="Symbol" w:hint="default"/>
      </w:rPr>
    </w:lvl>
    <w:lvl w:ilvl="4" w:tplc="080A0003" w:tentative="1">
      <w:start w:val="1"/>
      <w:numFmt w:val="bullet"/>
      <w:lvlText w:val="o"/>
      <w:lvlJc w:val="left"/>
      <w:pPr>
        <w:ind w:left="-972" w:hanging="360"/>
      </w:pPr>
      <w:rPr>
        <w:rFonts w:ascii="Courier New" w:hAnsi="Courier New" w:cs="Courier New" w:hint="default"/>
      </w:rPr>
    </w:lvl>
    <w:lvl w:ilvl="5" w:tplc="080A0005" w:tentative="1">
      <w:start w:val="1"/>
      <w:numFmt w:val="bullet"/>
      <w:lvlText w:val=""/>
      <w:lvlJc w:val="left"/>
      <w:pPr>
        <w:ind w:left="-252" w:hanging="360"/>
      </w:pPr>
      <w:rPr>
        <w:rFonts w:ascii="Wingdings" w:hAnsi="Wingdings" w:hint="default"/>
      </w:rPr>
    </w:lvl>
    <w:lvl w:ilvl="6" w:tplc="080A0001" w:tentative="1">
      <w:start w:val="1"/>
      <w:numFmt w:val="bullet"/>
      <w:lvlText w:val=""/>
      <w:lvlJc w:val="left"/>
      <w:pPr>
        <w:ind w:left="468" w:hanging="360"/>
      </w:pPr>
      <w:rPr>
        <w:rFonts w:ascii="Symbol" w:hAnsi="Symbol" w:hint="default"/>
      </w:rPr>
    </w:lvl>
    <w:lvl w:ilvl="7" w:tplc="080A0003" w:tentative="1">
      <w:start w:val="1"/>
      <w:numFmt w:val="bullet"/>
      <w:lvlText w:val="o"/>
      <w:lvlJc w:val="left"/>
      <w:pPr>
        <w:ind w:left="1188" w:hanging="360"/>
      </w:pPr>
      <w:rPr>
        <w:rFonts w:ascii="Courier New" w:hAnsi="Courier New" w:cs="Courier New" w:hint="default"/>
      </w:rPr>
    </w:lvl>
    <w:lvl w:ilvl="8" w:tplc="080A0005" w:tentative="1">
      <w:start w:val="1"/>
      <w:numFmt w:val="bullet"/>
      <w:lvlText w:val=""/>
      <w:lvlJc w:val="left"/>
      <w:pPr>
        <w:ind w:left="1908" w:hanging="360"/>
      </w:pPr>
      <w:rPr>
        <w:rFonts w:ascii="Wingdings" w:hAnsi="Wingdings" w:hint="default"/>
      </w:rPr>
    </w:lvl>
  </w:abstractNum>
  <w:abstractNum w:abstractNumId="24" w15:restartNumberingAfterBreak="0">
    <w:nsid w:val="53EC5B86"/>
    <w:multiLevelType w:val="hybridMultilevel"/>
    <w:tmpl w:val="F3B89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4F08BE"/>
    <w:multiLevelType w:val="hybridMultilevel"/>
    <w:tmpl w:val="F0A81E00"/>
    <w:lvl w:ilvl="0" w:tplc="16C0127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99F6F03"/>
    <w:multiLevelType w:val="hybridMultilevel"/>
    <w:tmpl w:val="380CAB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A8601F"/>
    <w:multiLevelType w:val="hybridMultilevel"/>
    <w:tmpl w:val="7C6A84F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9"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35291C"/>
    <w:multiLevelType w:val="hybridMultilevel"/>
    <w:tmpl w:val="417C7C30"/>
    <w:lvl w:ilvl="0" w:tplc="562077BE">
      <w:numFmt w:val="bullet"/>
      <w:lvlText w:val="•"/>
      <w:lvlJc w:val="left"/>
      <w:pPr>
        <w:ind w:left="643" w:hanging="360"/>
      </w:pPr>
      <w:rPr>
        <w:rFonts w:ascii="Arial" w:eastAsia="Times New Roman" w:hAnsi="Arial" w:cs="Arial" w:hint="default"/>
      </w:rPr>
    </w:lvl>
    <w:lvl w:ilvl="1" w:tplc="080A0003" w:tentative="1">
      <w:start w:val="1"/>
      <w:numFmt w:val="bullet"/>
      <w:lvlText w:val="o"/>
      <w:lvlJc w:val="left"/>
      <w:pPr>
        <w:ind w:left="1363" w:hanging="360"/>
      </w:pPr>
      <w:rPr>
        <w:rFonts w:ascii="Courier New" w:hAnsi="Courier New" w:cs="Courier New" w:hint="default"/>
      </w:rPr>
    </w:lvl>
    <w:lvl w:ilvl="2" w:tplc="080A0005" w:tentative="1">
      <w:start w:val="1"/>
      <w:numFmt w:val="bullet"/>
      <w:lvlText w:val=""/>
      <w:lvlJc w:val="left"/>
      <w:pPr>
        <w:ind w:left="2083" w:hanging="360"/>
      </w:pPr>
      <w:rPr>
        <w:rFonts w:ascii="Wingdings" w:hAnsi="Wingdings" w:hint="default"/>
      </w:rPr>
    </w:lvl>
    <w:lvl w:ilvl="3" w:tplc="080A0001" w:tentative="1">
      <w:start w:val="1"/>
      <w:numFmt w:val="bullet"/>
      <w:lvlText w:val=""/>
      <w:lvlJc w:val="left"/>
      <w:pPr>
        <w:ind w:left="2803" w:hanging="360"/>
      </w:pPr>
      <w:rPr>
        <w:rFonts w:ascii="Symbol" w:hAnsi="Symbol" w:hint="default"/>
      </w:rPr>
    </w:lvl>
    <w:lvl w:ilvl="4" w:tplc="080A0003" w:tentative="1">
      <w:start w:val="1"/>
      <w:numFmt w:val="bullet"/>
      <w:lvlText w:val="o"/>
      <w:lvlJc w:val="left"/>
      <w:pPr>
        <w:ind w:left="3523" w:hanging="360"/>
      </w:pPr>
      <w:rPr>
        <w:rFonts w:ascii="Courier New" w:hAnsi="Courier New" w:cs="Courier New" w:hint="default"/>
      </w:rPr>
    </w:lvl>
    <w:lvl w:ilvl="5" w:tplc="080A0005" w:tentative="1">
      <w:start w:val="1"/>
      <w:numFmt w:val="bullet"/>
      <w:lvlText w:val=""/>
      <w:lvlJc w:val="left"/>
      <w:pPr>
        <w:ind w:left="4243" w:hanging="360"/>
      </w:pPr>
      <w:rPr>
        <w:rFonts w:ascii="Wingdings" w:hAnsi="Wingdings" w:hint="default"/>
      </w:rPr>
    </w:lvl>
    <w:lvl w:ilvl="6" w:tplc="080A0001" w:tentative="1">
      <w:start w:val="1"/>
      <w:numFmt w:val="bullet"/>
      <w:lvlText w:val=""/>
      <w:lvlJc w:val="left"/>
      <w:pPr>
        <w:ind w:left="4963" w:hanging="360"/>
      </w:pPr>
      <w:rPr>
        <w:rFonts w:ascii="Symbol" w:hAnsi="Symbol" w:hint="default"/>
      </w:rPr>
    </w:lvl>
    <w:lvl w:ilvl="7" w:tplc="080A0003" w:tentative="1">
      <w:start w:val="1"/>
      <w:numFmt w:val="bullet"/>
      <w:lvlText w:val="o"/>
      <w:lvlJc w:val="left"/>
      <w:pPr>
        <w:ind w:left="5683" w:hanging="360"/>
      </w:pPr>
      <w:rPr>
        <w:rFonts w:ascii="Courier New" w:hAnsi="Courier New" w:cs="Courier New" w:hint="default"/>
      </w:rPr>
    </w:lvl>
    <w:lvl w:ilvl="8" w:tplc="080A0005" w:tentative="1">
      <w:start w:val="1"/>
      <w:numFmt w:val="bullet"/>
      <w:lvlText w:val=""/>
      <w:lvlJc w:val="left"/>
      <w:pPr>
        <w:ind w:left="6403" w:hanging="360"/>
      </w:pPr>
      <w:rPr>
        <w:rFonts w:ascii="Wingdings" w:hAnsi="Wingdings" w:hint="default"/>
      </w:rPr>
    </w:lvl>
  </w:abstractNum>
  <w:abstractNum w:abstractNumId="3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2" w15:restartNumberingAfterBreak="0">
    <w:nsid w:val="69147FAF"/>
    <w:multiLevelType w:val="hybridMultilevel"/>
    <w:tmpl w:val="50FA1A06"/>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3"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1C6739"/>
    <w:multiLevelType w:val="hybridMultilevel"/>
    <w:tmpl w:val="4D0C2088"/>
    <w:lvl w:ilvl="0" w:tplc="0C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6"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05889260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05705192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796294861">
    <w:abstractNumId w:val="7"/>
  </w:num>
  <w:num w:numId="4" w16cid:durableId="670375224">
    <w:abstractNumId w:val="11"/>
  </w:num>
  <w:num w:numId="5" w16cid:durableId="1697582517">
    <w:abstractNumId w:val="14"/>
  </w:num>
  <w:num w:numId="6" w16cid:durableId="99761177">
    <w:abstractNumId w:val="3"/>
  </w:num>
  <w:num w:numId="7" w16cid:durableId="1736926740">
    <w:abstractNumId w:val="9"/>
  </w:num>
  <w:num w:numId="8" w16cid:durableId="158455899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5153997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62026325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405835714">
    <w:abstractNumId w:val="31"/>
  </w:num>
  <w:num w:numId="12" w16cid:durableId="332030660">
    <w:abstractNumId w:val="35"/>
  </w:num>
  <w:num w:numId="13" w16cid:durableId="2046100494">
    <w:abstractNumId w:val="37"/>
  </w:num>
  <w:num w:numId="14" w16cid:durableId="224880009">
    <w:abstractNumId w:val="19"/>
  </w:num>
  <w:num w:numId="15" w16cid:durableId="313336291">
    <w:abstractNumId w:val="15"/>
  </w:num>
  <w:num w:numId="16" w16cid:durableId="1772554718">
    <w:abstractNumId w:val="26"/>
  </w:num>
  <w:num w:numId="17" w16cid:durableId="294145376">
    <w:abstractNumId w:val="18"/>
  </w:num>
  <w:num w:numId="18" w16cid:durableId="1642152288">
    <w:abstractNumId w:val="22"/>
  </w:num>
  <w:num w:numId="19" w16cid:durableId="1338313495">
    <w:abstractNumId w:val="10"/>
  </w:num>
  <w:num w:numId="20" w16cid:durableId="1114180252">
    <w:abstractNumId w:val="36"/>
  </w:num>
  <w:num w:numId="21" w16cid:durableId="1236552592">
    <w:abstractNumId w:val="29"/>
  </w:num>
  <w:num w:numId="22" w16cid:durableId="674189620">
    <w:abstractNumId w:val="13"/>
  </w:num>
  <w:num w:numId="23" w16cid:durableId="1794204626">
    <w:abstractNumId w:val="33"/>
  </w:num>
  <w:num w:numId="24" w16cid:durableId="1192382304">
    <w:abstractNumId w:val="27"/>
  </w:num>
  <w:num w:numId="25" w16cid:durableId="1236818690">
    <w:abstractNumId w:val="12"/>
  </w:num>
  <w:num w:numId="26" w16cid:durableId="1547990835">
    <w:abstractNumId w:val="23"/>
  </w:num>
  <w:num w:numId="27" w16cid:durableId="1588154702">
    <w:abstractNumId w:val="2"/>
  </w:num>
  <w:num w:numId="28" w16cid:durableId="2121684008">
    <w:abstractNumId w:val="20"/>
  </w:num>
  <w:num w:numId="29" w16cid:durableId="132990816">
    <w:abstractNumId w:val="34"/>
  </w:num>
  <w:num w:numId="30" w16cid:durableId="278680098">
    <w:abstractNumId w:val="21"/>
  </w:num>
  <w:num w:numId="31" w16cid:durableId="679819400">
    <w:abstractNumId w:val="1"/>
  </w:num>
  <w:num w:numId="32" w16cid:durableId="2089302903">
    <w:abstractNumId w:val="28"/>
  </w:num>
  <w:num w:numId="33" w16cid:durableId="269512861">
    <w:abstractNumId w:val="4"/>
  </w:num>
  <w:num w:numId="34" w16cid:durableId="918369443">
    <w:abstractNumId w:val="25"/>
  </w:num>
  <w:num w:numId="35" w16cid:durableId="1926572114">
    <w:abstractNumId w:val="24"/>
  </w:num>
  <w:num w:numId="36" w16cid:durableId="1764840650">
    <w:abstractNumId w:val="32"/>
  </w:num>
  <w:num w:numId="37" w16cid:durableId="1269312636">
    <w:abstractNumId w:val="30"/>
  </w:num>
  <w:num w:numId="38" w16cid:durableId="1101488641">
    <w:abstractNumId w:val="6"/>
  </w:num>
  <w:num w:numId="39" w16cid:durableId="739865490">
    <w:abstractNumId w:val="5"/>
  </w:num>
  <w:num w:numId="40" w16cid:durableId="2114664372">
    <w:abstractNumId w:val="17"/>
  </w:num>
  <w:num w:numId="41" w16cid:durableId="1239897888">
    <w:abstractNumId w:val="16"/>
  </w:num>
  <w:num w:numId="42" w16cid:durableId="749623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694"/>
    <w:rsid w:val="0000180F"/>
    <w:rsid w:val="00001C91"/>
    <w:rsid w:val="000022A6"/>
    <w:rsid w:val="00002466"/>
    <w:rsid w:val="00002561"/>
    <w:rsid w:val="00002665"/>
    <w:rsid w:val="000027BD"/>
    <w:rsid w:val="00002AFF"/>
    <w:rsid w:val="00002B26"/>
    <w:rsid w:val="00003497"/>
    <w:rsid w:val="0000361C"/>
    <w:rsid w:val="00003C25"/>
    <w:rsid w:val="00003C68"/>
    <w:rsid w:val="00003E85"/>
    <w:rsid w:val="00004291"/>
    <w:rsid w:val="0000458A"/>
    <w:rsid w:val="00004909"/>
    <w:rsid w:val="000050C6"/>
    <w:rsid w:val="00005940"/>
    <w:rsid w:val="00005B5D"/>
    <w:rsid w:val="0000696E"/>
    <w:rsid w:val="00006B5A"/>
    <w:rsid w:val="00006B6A"/>
    <w:rsid w:val="00007512"/>
    <w:rsid w:val="000078B1"/>
    <w:rsid w:val="00007A1A"/>
    <w:rsid w:val="0001012E"/>
    <w:rsid w:val="000108E8"/>
    <w:rsid w:val="00010A59"/>
    <w:rsid w:val="000112A7"/>
    <w:rsid w:val="0001151F"/>
    <w:rsid w:val="00011840"/>
    <w:rsid w:val="000119AA"/>
    <w:rsid w:val="00011AC0"/>
    <w:rsid w:val="00011BD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0A1"/>
    <w:rsid w:val="00015302"/>
    <w:rsid w:val="00016590"/>
    <w:rsid w:val="00016B4E"/>
    <w:rsid w:val="00016D3A"/>
    <w:rsid w:val="0001718D"/>
    <w:rsid w:val="0001743D"/>
    <w:rsid w:val="000176AC"/>
    <w:rsid w:val="00017C10"/>
    <w:rsid w:val="000213A3"/>
    <w:rsid w:val="00021432"/>
    <w:rsid w:val="00021492"/>
    <w:rsid w:val="000216A3"/>
    <w:rsid w:val="00021B90"/>
    <w:rsid w:val="000228C4"/>
    <w:rsid w:val="00022CA3"/>
    <w:rsid w:val="0002368C"/>
    <w:rsid w:val="000238E1"/>
    <w:rsid w:val="00023B4F"/>
    <w:rsid w:val="0002439B"/>
    <w:rsid w:val="000248E6"/>
    <w:rsid w:val="00025201"/>
    <w:rsid w:val="00025663"/>
    <w:rsid w:val="000260EE"/>
    <w:rsid w:val="0002657A"/>
    <w:rsid w:val="00026B3C"/>
    <w:rsid w:val="00026B52"/>
    <w:rsid w:val="00027615"/>
    <w:rsid w:val="00027EEC"/>
    <w:rsid w:val="00030480"/>
    <w:rsid w:val="0003065F"/>
    <w:rsid w:val="00030D10"/>
    <w:rsid w:val="00031231"/>
    <w:rsid w:val="000314D3"/>
    <w:rsid w:val="00031737"/>
    <w:rsid w:val="00031BCF"/>
    <w:rsid w:val="00032B16"/>
    <w:rsid w:val="00033603"/>
    <w:rsid w:val="00033A14"/>
    <w:rsid w:val="00034050"/>
    <w:rsid w:val="0003447A"/>
    <w:rsid w:val="00034BC3"/>
    <w:rsid w:val="000353F3"/>
    <w:rsid w:val="00035600"/>
    <w:rsid w:val="00035A19"/>
    <w:rsid w:val="00035B2D"/>
    <w:rsid w:val="00035DA7"/>
    <w:rsid w:val="00036D72"/>
    <w:rsid w:val="00037089"/>
    <w:rsid w:val="00037177"/>
    <w:rsid w:val="00037CC4"/>
    <w:rsid w:val="00037DCD"/>
    <w:rsid w:val="00040411"/>
    <w:rsid w:val="0004066E"/>
    <w:rsid w:val="00040B73"/>
    <w:rsid w:val="00040CFD"/>
    <w:rsid w:val="00040F75"/>
    <w:rsid w:val="00041FF7"/>
    <w:rsid w:val="0004225C"/>
    <w:rsid w:val="00043535"/>
    <w:rsid w:val="00043B32"/>
    <w:rsid w:val="00043C40"/>
    <w:rsid w:val="00043E2B"/>
    <w:rsid w:val="00044296"/>
    <w:rsid w:val="00044699"/>
    <w:rsid w:val="00044700"/>
    <w:rsid w:val="000447CE"/>
    <w:rsid w:val="00044C5E"/>
    <w:rsid w:val="0004596A"/>
    <w:rsid w:val="00045AF1"/>
    <w:rsid w:val="00045E9B"/>
    <w:rsid w:val="0004612E"/>
    <w:rsid w:val="00046139"/>
    <w:rsid w:val="000465BA"/>
    <w:rsid w:val="000465BF"/>
    <w:rsid w:val="00046822"/>
    <w:rsid w:val="00046AB6"/>
    <w:rsid w:val="00046D06"/>
    <w:rsid w:val="000471CD"/>
    <w:rsid w:val="0004735D"/>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3F2A"/>
    <w:rsid w:val="00054265"/>
    <w:rsid w:val="00054A4F"/>
    <w:rsid w:val="00055047"/>
    <w:rsid w:val="000557E2"/>
    <w:rsid w:val="00055B54"/>
    <w:rsid w:val="00055CD3"/>
    <w:rsid w:val="00056553"/>
    <w:rsid w:val="000567F8"/>
    <w:rsid w:val="000569EC"/>
    <w:rsid w:val="00056F51"/>
    <w:rsid w:val="000573F5"/>
    <w:rsid w:val="00057984"/>
    <w:rsid w:val="00057A63"/>
    <w:rsid w:val="00057F37"/>
    <w:rsid w:val="000602B0"/>
    <w:rsid w:val="0006056C"/>
    <w:rsid w:val="0006144A"/>
    <w:rsid w:val="00062234"/>
    <w:rsid w:val="0006228A"/>
    <w:rsid w:val="00063034"/>
    <w:rsid w:val="00063614"/>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211"/>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7F7"/>
    <w:rsid w:val="00076EE9"/>
    <w:rsid w:val="00076EEC"/>
    <w:rsid w:val="00077215"/>
    <w:rsid w:val="0007728D"/>
    <w:rsid w:val="00077871"/>
    <w:rsid w:val="00077C46"/>
    <w:rsid w:val="00080033"/>
    <w:rsid w:val="0008027F"/>
    <w:rsid w:val="0008084D"/>
    <w:rsid w:val="00080B3C"/>
    <w:rsid w:val="000814ED"/>
    <w:rsid w:val="0008175A"/>
    <w:rsid w:val="0008195B"/>
    <w:rsid w:val="000826F7"/>
    <w:rsid w:val="00082F11"/>
    <w:rsid w:val="0008319B"/>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151"/>
    <w:rsid w:val="00087287"/>
    <w:rsid w:val="0008756B"/>
    <w:rsid w:val="00087DB7"/>
    <w:rsid w:val="0009025D"/>
    <w:rsid w:val="00090426"/>
    <w:rsid w:val="0009084F"/>
    <w:rsid w:val="00090B9C"/>
    <w:rsid w:val="00090D7B"/>
    <w:rsid w:val="00091474"/>
    <w:rsid w:val="000915F7"/>
    <w:rsid w:val="00092764"/>
    <w:rsid w:val="0009292F"/>
    <w:rsid w:val="00092F4C"/>
    <w:rsid w:val="00093974"/>
    <w:rsid w:val="000941D7"/>
    <w:rsid w:val="00094496"/>
    <w:rsid w:val="000950E7"/>
    <w:rsid w:val="00095360"/>
    <w:rsid w:val="000955AA"/>
    <w:rsid w:val="000957BC"/>
    <w:rsid w:val="00095E03"/>
    <w:rsid w:val="000962FD"/>
    <w:rsid w:val="00096737"/>
    <w:rsid w:val="00097837"/>
    <w:rsid w:val="00097C0A"/>
    <w:rsid w:val="000A0344"/>
    <w:rsid w:val="000A0823"/>
    <w:rsid w:val="000A095C"/>
    <w:rsid w:val="000A17B7"/>
    <w:rsid w:val="000A1D6D"/>
    <w:rsid w:val="000A21D6"/>
    <w:rsid w:val="000A254B"/>
    <w:rsid w:val="000A2F4F"/>
    <w:rsid w:val="000A31EF"/>
    <w:rsid w:val="000A3354"/>
    <w:rsid w:val="000A3733"/>
    <w:rsid w:val="000A3FEB"/>
    <w:rsid w:val="000A43B0"/>
    <w:rsid w:val="000A4834"/>
    <w:rsid w:val="000A4F3E"/>
    <w:rsid w:val="000A53E6"/>
    <w:rsid w:val="000A574B"/>
    <w:rsid w:val="000A5B04"/>
    <w:rsid w:val="000A5E2A"/>
    <w:rsid w:val="000A6341"/>
    <w:rsid w:val="000A643B"/>
    <w:rsid w:val="000A6ADD"/>
    <w:rsid w:val="000A707A"/>
    <w:rsid w:val="000A709A"/>
    <w:rsid w:val="000A7875"/>
    <w:rsid w:val="000A78BA"/>
    <w:rsid w:val="000A7E58"/>
    <w:rsid w:val="000B0710"/>
    <w:rsid w:val="000B0A59"/>
    <w:rsid w:val="000B1C11"/>
    <w:rsid w:val="000B1D13"/>
    <w:rsid w:val="000B239B"/>
    <w:rsid w:val="000B2782"/>
    <w:rsid w:val="000B29B8"/>
    <w:rsid w:val="000B2A27"/>
    <w:rsid w:val="000B2D2B"/>
    <w:rsid w:val="000B38D2"/>
    <w:rsid w:val="000B4A6A"/>
    <w:rsid w:val="000B50FB"/>
    <w:rsid w:val="000B515D"/>
    <w:rsid w:val="000B5A74"/>
    <w:rsid w:val="000B5FA3"/>
    <w:rsid w:val="000B6145"/>
    <w:rsid w:val="000B65EF"/>
    <w:rsid w:val="000B6AF6"/>
    <w:rsid w:val="000B6F71"/>
    <w:rsid w:val="000B74C1"/>
    <w:rsid w:val="000C1051"/>
    <w:rsid w:val="000C1F04"/>
    <w:rsid w:val="000C2892"/>
    <w:rsid w:val="000C2B3C"/>
    <w:rsid w:val="000C30D7"/>
    <w:rsid w:val="000C3105"/>
    <w:rsid w:val="000C34DD"/>
    <w:rsid w:val="000C37BC"/>
    <w:rsid w:val="000C4671"/>
    <w:rsid w:val="000C482F"/>
    <w:rsid w:val="000C4992"/>
    <w:rsid w:val="000C5299"/>
    <w:rsid w:val="000C5468"/>
    <w:rsid w:val="000C55CC"/>
    <w:rsid w:val="000C5852"/>
    <w:rsid w:val="000C5D0E"/>
    <w:rsid w:val="000C61D7"/>
    <w:rsid w:val="000C63E2"/>
    <w:rsid w:val="000C6487"/>
    <w:rsid w:val="000C6A4A"/>
    <w:rsid w:val="000C6AFD"/>
    <w:rsid w:val="000D06FA"/>
    <w:rsid w:val="000D0DDA"/>
    <w:rsid w:val="000D0ED5"/>
    <w:rsid w:val="000D0FE7"/>
    <w:rsid w:val="000D113E"/>
    <w:rsid w:val="000D1169"/>
    <w:rsid w:val="000D15C5"/>
    <w:rsid w:val="000D1832"/>
    <w:rsid w:val="000D1C34"/>
    <w:rsid w:val="000D28A5"/>
    <w:rsid w:val="000D2FC3"/>
    <w:rsid w:val="000D31C1"/>
    <w:rsid w:val="000D36B2"/>
    <w:rsid w:val="000D3893"/>
    <w:rsid w:val="000D39FD"/>
    <w:rsid w:val="000D44D4"/>
    <w:rsid w:val="000D4833"/>
    <w:rsid w:val="000D49D2"/>
    <w:rsid w:val="000D4A88"/>
    <w:rsid w:val="000D4BBC"/>
    <w:rsid w:val="000D4D90"/>
    <w:rsid w:val="000D4E26"/>
    <w:rsid w:val="000D5176"/>
    <w:rsid w:val="000D5EDB"/>
    <w:rsid w:val="000D6C0F"/>
    <w:rsid w:val="000D6F1E"/>
    <w:rsid w:val="000D706E"/>
    <w:rsid w:val="000D7265"/>
    <w:rsid w:val="000D7A95"/>
    <w:rsid w:val="000D7BBD"/>
    <w:rsid w:val="000E03C0"/>
    <w:rsid w:val="000E0648"/>
    <w:rsid w:val="000E0654"/>
    <w:rsid w:val="000E19B3"/>
    <w:rsid w:val="000E1EB3"/>
    <w:rsid w:val="000E2970"/>
    <w:rsid w:val="000E34E1"/>
    <w:rsid w:val="000E3592"/>
    <w:rsid w:val="000E3892"/>
    <w:rsid w:val="000E3CC1"/>
    <w:rsid w:val="000E3CE2"/>
    <w:rsid w:val="000E4A53"/>
    <w:rsid w:val="000E5331"/>
    <w:rsid w:val="000E5526"/>
    <w:rsid w:val="000E5D6B"/>
    <w:rsid w:val="000E5FE0"/>
    <w:rsid w:val="000E6D5D"/>
    <w:rsid w:val="000F05D5"/>
    <w:rsid w:val="000F0ADA"/>
    <w:rsid w:val="000F1DEB"/>
    <w:rsid w:val="000F25CC"/>
    <w:rsid w:val="000F276A"/>
    <w:rsid w:val="000F3413"/>
    <w:rsid w:val="000F3491"/>
    <w:rsid w:val="000F3C15"/>
    <w:rsid w:val="000F3DE6"/>
    <w:rsid w:val="000F4136"/>
    <w:rsid w:val="000F44E7"/>
    <w:rsid w:val="000F44EA"/>
    <w:rsid w:val="000F4523"/>
    <w:rsid w:val="000F49F1"/>
    <w:rsid w:val="000F4C41"/>
    <w:rsid w:val="000F4FA7"/>
    <w:rsid w:val="000F536A"/>
    <w:rsid w:val="000F541D"/>
    <w:rsid w:val="000F5AD1"/>
    <w:rsid w:val="000F69FA"/>
    <w:rsid w:val="000F741C"/>
    <w:rsid w:val="000F7577"/>
    <w:rsid w:val="000F763F"/>
    <w:rsid w:val="000F7974"/>
    <w:rsid w:val="000F7C20"/>
    <w:rsid w:val="000F7ECD"/>
    <w:rsid w:val="000F7FB5"/>
    <w:rsid w:val="00100317"/>
    <w:rsid w:val="0010087D"/>
    <w:rsid w:val="00100D31"/>
    <w:rsid w:val="001011EC"/>
    <w:rsid w:val="001013B1"/>
    <w:rsid w:val="001017C1"/>
    <w:rsid w:val="00101E92"/>
    <w:rsid w:val="00101F40"/>
    <w:rsid w:val="00102769"/>
    <w:rsid w:val="00102A6F"/>
    <w:rsid w:val="00103628"/>
    <w:rsid w:val="00103847"/>
    <w:rsid w:val="00103913"/>
    <w:rsid w:val="00105234"/>
    <w:rsid w:val="00105E2B"/>
    <w:rsid w:val="0010619C"/>
    <w:rsid w:val="0010664D"/>
    <w:rsid w:val="001070CC"/>
    <w:rsid w:val="00110510"/>
    <w:rsid w:val="0011076D"/>
    <w:rsid w:val="00110DB1"/>
    <w:rsid w:val="00110DF0"/>
    <w:rsid w:val="001114D0"/>
    <w:rsid w:val="00111703"/>
    <w:rsid w:val="00111AA3"/>
    <w:rsid w:val="00111E43"/>
    <w:rsid w:val="00111F29"/>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17EDF"/>
    <w:rsid w:val="00120112"/>
    <w:rsid w:val="00120EA1"/>
    <w:rsid w:val="00121427"/>
    <w:rsid w:val="0012181E"/>
    <w:rsid w:val="00121C3F"/>
    <w:rsid w:val="00122048"/>
    <w:rsid w:val="00122709"/>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30D5"/>
    <w:rsid w:val="00133239"/>
    <w:rsid w:val="00133603"/>
    <w:rsid w:val="00134904"/>
    <w:rsid w:val="001349AB"/>
    <w:rsid w:val="00134F4E"/>
    <w:rsid w:val="00134FB0"/>
    <w:rsid w:val="001350AC"/>
    <w:rsid w:val="001352EC"/>
    <w:rsid w:val="00135E0B"/>
    <w:rsid w:val="001361A8"/>
    <w:rsid w:val="001365A5"/>
    <w:rsid w:val="00136690"/>
    <w:rsid w:val="001368CC"/>
    <w:rsid w:val="001369CB"/>
    <w:rsid w:val="0013706F"/>
    <w:rsid w:val="0013711A"/>
    <w:rsid w:val="001372CA"/>
    <w:rsid w:val="00137AFD"/>
    <w:rsid w:val="0014012A"/>
    <w:rsid w:val="00140AD8"/>
    <w:rsid w:val="00140BE4"/>
    <w:rsid w:val="00140E33"/>
    <w:rsid w:val="001411DE"/>
    <w:rsid w:val="00141399"/>
    <w:rsid w:val="00141A0B"/>
    <w:rsid w:val="00141AF4"/>
    <w:rsid w:val="00142E09"/>
    <w:rsid w:val="0014377B"/>
    <w:rsid w:val="00143D3A"/>
    <w:rsid w:val="0014507B"/>
    <w:rsid w:val="00145842"/>
    <w:rsid w:val="00145D32"/>
    <w:rsid w:val="00145F65"/>
    <w:rsid w:val="00145FDA"/>
    <w:rsid w:val="001460E0"/>
    <w:rsid w:val="00146902"/>
    <w:rsid w:val="00146DFA"/>
    <w:rsid w:val="0014794D"/>
    <w:rsid w:val="001479A6"/>
    <w:rsid w:val="00147E53"/>
    <w:rsid w:val="0015018D"/>
    <w:rsid w:val="00150228"/>
    <w:rsid w:val="001502C3"/>
    <w:rsid w:val="001504E8"/>
    <w:rsid w:val="00150536"/>
    <w:rsid w:val="0015105E"/>
    <w:rsid w:val="0015208D"/>
    <w:rsid w:val="00152A3D"/>
    <w:rsid w:val="001531B1"/>
    <w:rsid w:val="001533B2"/>
    <w:rsid w:val="001534CA"/>
    <w:rsid w:val="00153596"/>
    <w:rsid w:val="0015369A"/>
    <w:rsid w:val="0015386A"/>
    <w:rsid w:val="00153E8D"/>
    <w:rsid w:val="001540F9"/>
    <w:rsid w:val="00154208"/>
    <w:rsid w:val="00154E90"/>
    <w:rsid w:val="00155261"/>
    <w:rsid w:val="001557A9"/>
    <w:rsid w:val="00155878"/>
    <w:rsid w:val="0015599D"/>
    <w:rsid w:val="00155A36"/>
    <w:rsid w:val="00155E44"/>
    <w:rsid w:val="00155E65"/>
    <w:rsid w:val="0015606B"/>
    <w:rsid w:val="0015669A"/>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55BD"/>
    <w:rsid w:val="00165634"/>
    <w:rsid w:val="001657C9"/>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B1A"/>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40E5"/>
    <w:rsid w:val="00174587"/>
    <w:rsid w:val="0017474C"/>
    <w:rsid w:val="00174783"/>
    <w:rsid w:val="00175CF4"/>
    <w:rsid w:val="00175EFC"/>
    <w:rsid w:val="001762E2"/>
    <w:rsid w:val="001763FA"/>
    <w:rsid w:val="001763FC"/>
    <w:rsid w:val="00176592"/>
    <w:rsid w:val="00176CB5"/>
    <w:rsid w:val="00176E7D"/>
    <w:rsid w:val="00177026"/>
    <w:rsid w:val="00177187"/>
    <w:rsid w:val="001773BC"/>
    <w:rsid w:val="00177DA2"/>
    <w:rsid w:val="00177F64"/>
    <w:rsid w:val="00180887"/>
    <w:rsid w:val="00180A83"/>
    <w:rsid w:val="001813AB"/>
    <w:rsid w:val="001819C6"/>
    <w:rsid w:val="00181B78"/>
    <w:rsid w:val="0018211C"/>
    <w:rsid w:val="001821F8"/>
    <w:rsid w:val="0018235F"/>
    <w:rsid w:val="00182CBE"/>
    <w:rsid w:val="0018302A"/>
    <w:rsid w:val="001831B3"/>
    <w:rsid w:val="001845FA"/>
    <w:rsid w:val="00185115"/>
    <w:rsid w:val="0018522B"/>
    <w:rsid w:val="001854A8"/>
    <w:rsid w:val="00185D40"/>
    <w:rsid w:val="00186C17"/>
    <w:rsid w:val="00186C75"/>
    <w:rsid w:val="00190180"/>
    <w:rsid w:val="00190A43"/>
    <w:rsid w:val="00190D0B"/>
    <w:rsid w:val="00190E61"/>
    <w:rsid w:val="001912FB"/>
    <w:rsid w:val="00191608"/>
    <w:rsid w:val="00191664"/>
    <w:rsid w:val="00192065"/>
    <w:rsid w:val="0019263A"/>
    <w:rsid w:val="001941AA"/>
    <w:rsid w:val="00194F73"/>
    <w:rsid w:val="00195EC2"/>
    <w:rsid w:val="00195F99"/>
    <w:rsid w:val="00196692"/>
    <w:rsid w:val="00196906"/>
    <w:rsid w:val="00196935"/>
    <w:rsid w:val="001A016C"/>
    <w:rsid w:val="001A0422"/>
    <w:rsid w:val="001A09FC"/>
    <w:rsid w:val="001A0AF7"/>
    <w:rsid w:val="001A102F"/>
    <w:rsid w:val="001A1454"/>
    <w:rsid w:val="001A1948"/>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6B4"/>
    <w:rsid w:val="001B1E85"/>
    <w:rsid w:val="001B1EBF"/>
    <w:rsid w:val="001B253D"/>
    <w:rsid w:val="001B277C"/>
    <w:rsid w:val="001B2C6A"/>
    <w:rsid w:val="001B2F19"/>
    <w:rsid w:val="001B2F69"/>
    <w:rsid w:val="001B35E9"/>
    <w:rsid w:val="001B35ED"/>
    <w:rsid w:val="001B369D"/>
    <w:rsid w:val="001B4262"/>
    <w:rsid w:val="001B450E"/>
    <w:rsid w:val="001B46DB"/>
    <w:rsid w:val="001B4F75"/>
    <w:rsid w:val="001B51AE"/>
    <w:rsid w:val="001B5942"/>
    <w:rsid w:val="001B5D0E"/>
    <w:rsid w:val="001B5DDB"/>
    <w:rsid w:val="001B5EDA"/>
    <w:rsid w:val="001B5FB9"/>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0CD"/>
    <w:rsid w:val="001C32C6"/>
    <w:rsid w:val="001C3C93"/>
    <w:rsid w:val="001C3E2D"/>
    <w:rsid w:val="001C48C7"/>
    <w:rsid w:val="001C49D0"/>
    <w:rsid w:val="001C4A9E"/>
    <w:rsid w:val="001C5D49"/>
    <w:rsid w:val="001C5D7D"/>
    <w:rsid w:val="001C6664"/>
    <w:rsid w:val="001C69A9"/>
    <w:rsid w:val="001C6CAB"/>
    <w:rsid w:val="001C6CC1"/>
    <w:rsid w:val="001C6F99"/>
    <w:rsid w:val="001C6FAA"/>
    <w:rsid w:val="001C7130"/>
    <w:rsid w:val="001C7E70"/>
    <w:rsid w:val="001D0068"/>
    <w:rsid w:val="001D01C6"/>
    <w:rsid w:val="001D092F"/>
    <w:rsid w:val="001D1314"/>
    <w:rsid w:val="001D190C"/>
    <w:rsid w:val="001D1AEF"/>
    <w:rsid w:val="001D1F00"/>
    <w:rsid w:val="001D244E"/>
    <w:rsid w:val="001D24F1"/>
    <w:rsid w:val="001D2A3E"/>
    <w:rsid w:val="001D2F42"/>
    <w:rsid w:val="001D2F4B"/>
    <w:rsid w:val="001D319E"/>
    <w:rsid w:val="001D31FC"/>
    <w:rsid w:val="001D3AD1"/>
    <w:rsid w:val="001D478B"/>
    <w:rsid w:val="001D4970"/>
    <w:rsid w:val="001D55CC"/>
    <w:rsid w:val="001D5F02"/>
    <w:rsid w:val="001D6186"/>
    <w:rsid w:val="001D61BE"/>
    <w:rsid w:val="001D62AF"/>
    <w:rsid w:val="001D630F"/>
    <w:rsid w:val="001D637E"/>
    <w:rsid w:val="001D6652"/>
    <w:rsid w:val="001D6997"/>
    <w:rsid w:val="001D69E5"/>
    <w:rsid w:val="001D6B3D"/>
    <w:rsid w:val="001D7104"/>
    <w:rsid w:val="001D7B5D"/>
    <w:rsid w:val="001E075F"/>
    <w:rsid w:val="001E0933"/>
    <w:rsid w:val="001E0EF0"/>
    <w:rsid w:val="001E13D8"/>
    <w:rsid w:val="001E14E8"/>
    <w:rsid w:val="001E1627"/>
    <w:rsid w:val="001E18BD"/>
    <w:rsid w:val="001E1C7A"/>
    <w:rsid w:val="001E1DBA"/>
    <w:rsid w:val="001E1EF2"/>
    <w:rsid w:val="001E24F8"/>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7358"/>
    <w:rsid w:val="001E7C72"/>
    <w:rsid w:val="001E7EDD"/>
    <w:rsid w:val="001F01E8"/>
    <w:rsid w:val="001F0204"/>
    <w:rsid w:val="001F02CD"/>
    <w:rsid w:val="001F0B7F"/>
    <w:rsid w:val="001F0CD0"/>
    <w:rsid w:val="001F0ECE"/>
    <w:rsid w:val="001F0F71"/>
    <w:rsid w:val="001F16F9"/>
    <w:rsid w:val="001F19D1"/>
    <w:rsid w:val="001F1B69"/>
    <w:rsid w:val="001F1D9A"/>
    <w:rsid w:val="001F2740"/>
    <w:rsid w:val="001F2C3A"/>
    <w:rsid w:val="001F3531"/>
    <w:rsid w:val="001F3696"/>
    <w:rsid w:val="001F37B1"/>
    <w:rsid w:val="001F42FF"/>
    <w:rsid w:val="001F44B4"/>
    <w:rsid w:val="001F44D3"/>
    <w:rsid w:val="001F4510"/>
    <w:rsid w:val="001F58D3"/>
    <w:rsid w:val="001F5BEC"/>
    <w:rsid w:val="001F605D"/>
    <w:rsid w:val="001F65A4"/>
    <w:rsid w:val="001F65E0"/>
    <w:rsid w:val="001F67F1"/>
    <w:rsid w:val="001F6CEB"/>
    <w:rsid w:val="001F6EE3"/>
    <w:rsid w:val="001F7362"/>
    <w:rsid w:val="001F74EF"/>
    <w:rsid w:val="001F7AE9"/>
    <w:rsid w:val="001F7C33"/>
    <w:rsid w:val="001F7CFD"/>
    <w:rsid w:val="001F7EA0"/>
    <w:rsid w:val="00200281"/>
    <w:rsid w:val="0020036F"/>
    <w:rsid w:val="0020072F"/>
    <w:rsid w:val="00200D1F"/>
    <w:rsid w:val="002011D5"/>
    <w:rsid w:val="00201C2D"/>
    <w:rsid w:val="00201D5A"/>
    <w:rsid w:val="00202242"/>
    <w:rsid w:val="00202C8A"/>
    <w:rsid w:val="00203367"/>
    <w:rsid w:val="0020357F"/>
    <w:rsid w:val="00203D37"/>
    <w:rsid w:val="00204157"/>
    <w:rsid w:val="00204191"/>
    <w:rsid w:val="00204438"/>
    <w:rsid w:val="00204A44"/>
    <w:rsid w:val="00204E7B"/>
    <w:rsid w:val="0020546E"/>
    <w:rsid w:val="0020551E"/>
    <w:rsid w:val="00206147"/>
    <w:rsid w:val="002064F3"/>
    <w:rsid w:val="002069A8"/>
    <w:rsid w:val="00206BA6"/>
    <w:rsid w:val="00206EE7"/>
    <w:rsid w:val="002070D4"/>
    <w:rsid w:val="002074FB"/>
    <w:rsid w:val="0020789A"/>
    <w:rsid w:val="00207C83"/>
    <w:rsid w:val="00210197"/>
    <w:rsid w:val="0021036A"/>
    <w:rsid w:val="002106F7"/>
    <w:rsid w:val="00210869"/>
    <w:rsid w:val="00210BDF"/>
    <w:rsid w:val="00210D96"/>
    <w:rsid w:val="002116AD"/>
    <w:rsid w:val="00211999"/>
    <w:rsid w:val="00212078"/>
    <w:rsid w:val="002123A4"/>
    <w:rsid w:val="002125D3"/>
    <w:rsid w:val="002126CD"/>
    <w:rsid w:val="00213773"/>
    <w:rsid w:val="00213A16"/>
    <w:rsid w:val="00213B0E"/>
    <w:rsid w:val="00213CBC"/>
    <w:rsid w:val="002141FB"/>
    <w:rsid w:val="002146CA"/>
    <w:rsid w:val="002147D6"/>
    <w:rsid w:val="0021575B"/>
    <w:rsid w:val="00215783"/>
    <w:rsid w:val="0021669B"/>
    <w:rsid w:val="00216876"/>
    <w:rsid w:val="00216B88"/>
    <w:rsid w:val="00217161"/>
    <w:rsid w:val="0022018A"/>
    <w:rsid w:val="00220ADA"/>
    <w:rsid w:val="00220B7B"/>
    <w:rsid w:val="0022180E"/>
    <w:rsid w:val="00221E07"/>
    <w:rsid w:val="002220BA"/>
    <w:rsid w:val="0022252D"/>
    <w:rsid w:val="0022272A"/>
    <w:rsid w:val="002227B3"/>
    <w:rsid w:val="00222C92"/>
    <w:rsid w:val="00222CE3"/>
    <w:rsid w:val="002235D7"/>
    <w:rsid w:val="002239C4"/>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46F"/>
    <w:rsid w:val="00233666"/>
    <w:rsid w:val="002336FE"/>
    <w:rsid w:val="00233A7D"/>
    <w:rsid w:val="00234778"/>
    <w:rsid w:val="0023482B"/>
    <w:rsid w:val="0023482C"/>
    <w:rsid w:val="00234A54"/>
    <w:rsid w:val="00234AA4"/>
    <w:rsid w:val="00234C7F"/>
    <w:rsid w:val="00234CFF"/>
    <w:rsid w:val="00234E62"/>
    <w:rsid w:val="00234F8F"/>
    <w:rsid w:val="00235BB9"/>
    <w:rsid w:val="00235EF3"/>
    <w:rsid w:val="0023613B"/>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E34"/>
    <w:rsid w:val="00242F79"/>
    <w:rsid w:val="00242FA8"/>
    <w:rsid w:val="00243010"/>
    <w:rsid w:val="0024307C"/>
    <w:rsid w:val="0024310E"/>
    <w:rsid w:val="00243204"/>
    <w:rsid w:val="00243A8E"/>
    <w:rsid w:val="00243AC5"/>
    <w:rsid w:val="0024405D"/>
    <w:rsid w:val="00244327"/>
    <w:rsid w:val="00244516"/>
    <w:rsid w:val="0024462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1F"/>
    <w:rsid w:val="00251167"/>
    <w:rsid w:val="002511BA"/>
    <w:rsid w:val="002526B9"/>
    <w:rsid w:val="00252899"/>
    <w:rsid w:val="00252C10"/>
    <w:rsid w:val="00252DD3"/>
    <w:rsid w:val="00253018"/>
    <w:rsid w:val="0025353B"/>
    <w:rsid w:val="0025394F"/>
    <w:rsid w:val="00253B97"/>
    <w:rsid w:val="00253CEC"/>
    <w:rsid w:val="002544CB"/>
    <w:rsid w:val="00254724"/>
    <w:rsid w:val="00255D8E"/>
    <w:rsid w:val="00256584"/>
    <w:rsid w:val="002565DE"/>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3F4"/>
    <w:rsid w:val="00263BDD"/>
    <w:rsid w:val="002641D9"/>
    <w:rsid w:val="00264346"/>
    <w:rsid w:val="002643C5"/>
    <w:rsid w:val="00264917"/>
    <w:rsid w:val="002651EC"/>
    <w:rsid w:val="00265564"/>
    <w:rsid w:val="00265A0E"/>
    <w:rsid w:val="00265A0F"/>
    <w:rsid w:val="00265DC2"/>
    <w:rsid w:val="0026638C"/>
    <w:rsid w:val="00266E7D"/>
    <w:rsid w:val="00266F00"/>
    <w:rsid w:val="00266F78"/>
    <w:rsid w:val="002670EF"/>
    <w:rsid w:val="002671A2"/>
    <w:rsid w:val="00267A38"/>
    <w:rsid w:val="00267F5F"/>
    <w:rsid w:val="00270965"/>
    <w:rsid w:val="00271E5D"/>
    <w:rsid w:val="00271F60"/>
    <w:rsid w:val="00272082"/>
    <w:rsid w:val="002728D2"/>
    <w:rsid w:val="0027349D"/>
    <w:rsid w:val="00273516"/>
    <w:rsid w:val="00273985"/>
    <w:rsid w:val="00273B82"/>
    <w:rsid w:val="00273E7A"/>
    <w:rsid w:val="00274372"/>
    <w:rsid w:val="0027475A"/>
    <w:rsid w:val="00274BF0"/>
    <w:rsid w:val="002752B8"/>
    <w:rsid w:val="002755FE"/>
    <w:rsid w:val="00275F56"/>
    <w:rsid w:val="00275F6F"/>
    <w:rsid w:val="002765B7"/>
    <w:rsid w:val="00276B85"/>
    <w:rsid w:val="00276EAA"/>
    <w:rsid w:val="0027769C"/>
    <w:rsid w:val="00277713"/>
    <w:rsid w:val="00277DBC"/>
    <w:rsid w:val="00277F64"/>
    <w:rsid w:val="00280023"/>
    <w:rsid w:val="00280550"/>
    <w:rsid w:val="002806EC"/>
    <w:rsid w:val="00280BFC"/>
    <w:rsid w:val="00281063"/>
    <w:rsid w:val="00281676"/>
    <w:rsid w:val="002818CB"/>
    <w:rsid w:val="00281E32"/>
    <w:rsid w:val="00282479"/>
    <w:rsid w:val="002824C4"/>
    <w:rsid w:val="0028276E"/>
    <w:rsid w:val="002827F3"/>
    <w:rsid w:val="002829BD"/>
    <w:rsid w:val="00282B3E"/>
    <w:rsid w:val="00282C1F"/>
    <w:rsid w:val="00282C6C"/>
    <w:rsid w:val="00283229"/>
    <w:rsid w:val="0028327B"/>
    <w:rsid w:val="00283440"/>
    <w:rsid w:val="0028347B"/>
    <w:rsid w:val="00283B7F"/>
    <w:rsid w:val="0028468D"/>
    <w:rsid w:val="0028470C"/>
    <w:rsid w:val="00284831"/>
    <w:rsid w:val="00284B5F"/>
    <w:rsid w:val="00284C6A"/>
    <w:rsid w:val="0028558E"/>
    <w:rsid w:val="0028596B"/>
    <w:rsid w:val="00285C70"/>
    <w:rsid w:val="00285C8C"/>
    <w:rsid w:val="00285FB9"/>
    <w:rsid w:val="00286219"/>
    <w:rsid w:val="00286A03"/>
    <w:rsid w:val="00286FF4"/>
    <w:rsid w:val="00287514"/>
    <w:rsid w:val="0028791B"/>
    <w:rsid w:val="00287C1D"/>
    <w:rsid w:val="00287E44"/>
    <w:rsid w:val="00287F79"/>
    <w:rsid w:val="002900A9"/>
    <w:rsid w:val="0029022A"/>
    <w:rsid w:val="002906E8"/>
    <w:rsid w:val="00290A6D"/>
    <w:rsid w:val="00290C43"/>
    <w:rsid w:val="00290C90"/>
    <w:rsid w:val="00290E50"/>
    <w:rsid w:val="002913BC"/>
    <w:rsid w:val="002916DB"/>
    <w:rsid w:val="0029190A"/>
    <w:rsid w:val="00292F2E"/>
    <w:rsid w:val="00293271"/>
    <w:rsid w:val="0029334B"/>
    <w:rsid w:val="00293587"/>
    <w:rsid w:val="00293751"/>
    <w:rsid w:val="002937CB"/>
    <w:rsid w:val="00293896"/>
    <w:rsid w:val="00293ED1"/>
    <w:rsid w:val="00294A06"/>
    <w:rsid w:val="00294F88"/>
    <w:rsid w:val="00294FFB"/>
    <w:rsid w:val="002954FD"/>
    <w:rsid w:val="002961D6"/>
    <w:rsid w:val="00296242"/>
    <w:rsid w:val="00296CE6"/>
    <w:rsid w:val="002973DF"/>
    <w:rsid w:val="00297864"/>
    <w:rsid w:val="00297D6A"/>
    <w:rsid w:val="002A0190"/>
    <w:rsid w:val="002A0702"/>
    <w:rsid w:val="002A0983"/>
    <w:rsid w:val="002A0AFF"/>
    <w:rsid w:val="002A0BF5"/>
    <w:rsid w:val="002A0E8F"/>
    <w:rsid w:val="002A1128"/>
    <w:rsid w:val="002A158C"/>
    <w:rsid w:val="002A1831"/>
    <w:rsid w:val="002A24EB"/>
    <w:rsid w:val="002A2C5E"/>
    <w:rsid w:val="002A2D66"/>
    <w:rsid w:val="002A428E"/>
    <w:rsid w:val="002A42C1"/>
    <w:rsid w:val="002A46FA"/>
    <w:rsid w:val="002A4DC4"/>
    <w:rsid w:val="002A5043"/>
    <w:rsid w:val="002A5227"/>
    <w:rsid w:val="002A52F6"/>
    <w:rsid w:val="002A57BC"/>
    <w:rsid w:val="002A581C"/>
    <w:rsid w:val="002A5A35"/>
    <w:rsid w:val="002A63AF"/>
    <w:rsid w:val="002A723F"/>
    <w:rsid w:val="002B00FE"/>
    <w:rsid w:val="002B0D3F"/>
    <w:rsid w:val="002B0E27"/>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6B3"/>
    <w:rsid w:val="002B4C84"/>
    <w:rsid w:val="002B5746"/>
    <w:rsid w:val="002B62F0"/>
    <w:rsid w:val="002B63D3"/>
    <w:rsid w:val="002B6815"/>
    <w:rsid w:val="002B6AB1"/>
    <w:rsid w:val="002B71D1"/>
    <w:rsid w:val="002B7246"/>
    <w:rsid w:val="002B729C"/>
    <w:rsid w:val="002C0144"/>
    <w:rsid w:val="002C0CAC"/>
    <w:rsid w:val="002C153B"/>
    <w:rsid w:val="002C169A"/>
    <w:rsid w:val="002C1C2A"/>
    <w:rsid w:val="002C1F28"/>
    <w:rsid w:val="002C254B"/>
    <w:rsid w:val="002C25DE"/>
    <w:rsid w:val="002C2686"/>
    <w:rsid w:val="002C26F6"/>
    <w:rsid w:val="002C27E8"/>
    <w:rsid w:val="002C2ACB"/>
    <w:rsid w:val="002C2F60"/>
    <w:rsid w:val="002C349A"/>
    <w:rsid w:val="002C41CB"/>
    <w:rsid w:val="002C4A37"/>
    <w:rsid w:val="002C5C58"/>
    <w:rsid w:val="002C6A1A"/>
    <w:rsid w:val="002C6B67"/>
    <w:rsid w:val="002C73EE"/>
    <w:rsid w:val="002C75B9"/>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2CA1"/>
    <w:rsid w:val="002D40A5"/>
    <w:rsid w:val="002D4377"/>
    <w:rsid w:val="002D48E1"/>
    <w:rsid w:val="002D4943"/>
    <w:rsid w:val="002D50DC"/>
    <w:rsid w:val="002D61C8"/>
    <w:rsid w:val="002D629E"/>
    <w:rsid w:val="002D6E9A"/>
    <w:rsid w:val="002D726B"/>
    <w:rsid w:val="002D75DB"/>
    <w:rsid w:val="002E0067"/>
    <w:rsid w:val="002E02D0"/>
    <w:rsid w:val="002E0489"/>
    <w:rsid w:val="002E04C0"/>
    <w:rsid w:val="002E0544"/>
    <w:rsid w:val="002E0F54"/>
    <w:rsid w:val="002E16F2"/>
    <w:rsid w:val="002E1DF4"/>
    <w:rsid w:val="002E2120"/>
    <w:rsid w:val="002E2C3B"/>
    <w:rsid w:val="002E3206"/>
    <w:rsid w:val="002E3565"/>
    <w:rsid w:val="002E3C37"/>
    <w:rsid w:val="002E4BA7"/>
    <w:rsid w:val="002E4D3D"/>
    <w:rsid w:val="002E516C"/>
    <w:rsid w:val="002E5CA7"/>
    <w:rsid w:val="002E5E64"/>
    <w:rsid w:val="002E668B"/>
    <w:rsid w:val="002E688D"/>
    <w:rsid w:val="002E6A72"/>
    <w:rsid w:val="002E7235"/>
    <w:rsid w:val="002E74C8"/>
    <w:rsid w:val="002E7DEA"/>
    <w:rsid w:val="002F0276"/>
    <w:rsid w:val="002F10E7"/>
    <w:rsid w:val="002F11F9"/>
    <w:rsid w:val="002F1274"/>
    <w:rsid w:val="002F13E0"/>
    <w:rsid w:val="002F16CB"/>
    <w:rsid w:val="002F1742"/>
    <w:rsid w:val="002F1AB0"/>
    <w:rsid w:val="002F1B2F"/>
    <w:rsid w:val="002F29D0"/>
    <w:rsid w:val="002F29E3"/>
    <w:rsid w:val="002F3247"/>
    <w:rsid w:val="002F3C64"/>
    <w:rsid w:val="002F4431"/>
    <w:rsid w:val="002F47E7"/>
    <w:rsid w:val="002F510D"/>
    <w:rsid w:val="002F5F61"/>
    <w:rsid w:val="002F72D0"/>
    <w:rsid w:val="002F7881"/>
    <w:rsid w:val="00300081"/>
    <w:rsid w:val="0030023E"/>
    <w:rsid w:val="00300409"/>
    <w:rsid w:val="0030059B"/>
    <w:rsid w:val="00300983"/>
    <w:rsid w:val="003009DC"/>
    <w:rsid w:val="00300DE8"/>
    <w:rsid w:val="00300FC5"/>
    <w:rsid w:val="003011C0"/>
    <w:rsid w:val="00301277"/>
    <w:rsid w:val="00301837"/>
    <w:rsid w:val="003019CD"/>
    <w:rsid w:val="00302947"/>
    <w:rsid w:val="00302CE7"/>
    <w:rsid w:val="0030341B"/>
    <w:rsid w:val="003034D2"/>
    <w:rsid w:val="0030373E"/>
    <w:rsid w:val="00303A1B"/>
    <w:rsid w:val="00303CEE"/>
    <w:rsid w:val="003043AA"/>
    <w:rsid w:val="003045BE"/>
    <w:rsid w:val="003055D2"/>
    <w:rsid w:val="00305B61"/>
    <w:rsid w:val="00305F53"/>
    <w:rsid w:val="003060F3"/>
    <w:rsid w:val="0030612A"/>
    <w:rsid w:val="00306639"/>
    <w:rsid w:val="003068EC"/>
    <w:rsid w:val="00306C01"/>
    <w:rsid w:val="0030759B"/>
    <w:rsid w:val="003076C4"/>
    <w:rsid w:val="003079A6"/>
    <w:rsid w:val="0031024D"/>
    <w:rsid w:val="003106C8"/>
    <w:rsid w:val="003107CE"/>
    <w:rsid w:val="00310E3F"/>
    <w:rsid w:val="00311270"/>
    <w:rsid w:val="0031165B"/>
    <w:rsid w:val="0031175D"/>
    <w:rsid w:val="003119DD"/>
    <w:rsid w:val="00312297"/>
    <w:rsid w:val="003126AF"/>
    <w:rsid w:val="0031300C"/>
    <w:rsid w:val="0031309E"/>
    <w:rsid w:val="00313367"/>
    <w:rsid w:val="0031354F"/>
    <w:rsid w:val="003136C5"/>
    <w:rsid w:val="00314614"/>
    <w:rsid w:val="00314739"/>
    <w:rsid w:val="00314773"/>
    <w:rsid w:val="00314BD5"/>
    <w:rsid w:val="00314F8A"/>
    <w:rsid w:val="003151F3"/>
    <w:rsid w:val="003152B9"/>
    <w:rsid w:val="003152FA"/>
    <w:rsid w:val="003154DB"/>
    <w:rsid w:val="00315E80"/>
    <w:rsid w:val="00316779"/>
    <w:rsid w:val="0031702D"/>
    <w:rsid w:val="0031703A"/>
    <w:rsid w:val="00317DA5"/>
    <w:rsid w:val="003201D0"/>
    <w:rsid w:val="003205E0"/>
    <w:rsid w:val="00321010"/>
    <w:rsid w:val="00321179"/>
    <w:rsid w:val="00321386"/>
    <w:rsid w:val="00321650"/>
    <w:rsid w:val="00321788"/>
    <w:rsid w:val="00321848"/>
    <w:rsid w:val="003218BC"/>
    <w:rsid w:val="00321A30"/>
    <w:rsid w:val="00321CB3"/>
    <w:rsid w:val="00322341"/>
    <w:rsid w:val="00322E0E"/>
    <w:rsid w:val="0032345B"/>
    <w:rsid w:val="003235FE"/>
    <w:rsid w:val="00323C0E"/>
    <w:rsid w:val="00324038"/>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1023"/>
    <w:rsid w:val="00331305"/>
    <w:rsid w:val="00331306"/>
    <w:rsid w:val="00331659"/>
    <w:rsid w:val="003319C5"/>
    <w:rsid w:val="00331A58"/>
    <w:rsid w:val="003320F9"/>
    <w:rsid w:val="003327BD"/>
    <w:rsid w:val="00333105"/>
    <w:rsid w:val="0033311A"/>
    <w:rsid w:val="00333676"/>
    <w:rsid w:val="003338EB"/>
    <w:rsid w:val="00334398"/>
    <w:rsid w:val="00334446"/>
    <w:rsid w:val="0033444C"/>
    <w:rsid w:val="00334512"/>
    <w:rsid w:val="00334725"/>
    <w:rsid w:val="0033493A"/>
    <w:rsid w:val="00334A38"/>
    <w:rsid w:val="00334AF1"/>
    <w:rsid w:val="003353D5"/>
    <w:rsid w:val="003353FD"/>
    <w:rsid w:val="00335A53"/>
    <w:rsid w:val="00336905"/>
    <w:rsid w:val="003379A4"/>
    <w:rsid w:val="00337A7F"/>
    <w:rsid w:val="00337BB0"/>
    <w:rsid w:val="00337CB6"/>
    <w:rsid w:val="003403AE"/>
    <w:rsid w:val="003409BD"/>
    <w:rsid w:val="00340D68"/>
    <w:rsid w:val="0034111B"/>
    <w:rsid w:val="00341DFB"/>
    <w:rsid w:val="00342559"/>
    <w:rsid w:val="00342D1A"/>
    <w:rsid w:val="00342E8E"/>
    <w:rsid w:val="0034339B"/>
    <w:rsid w:val="0034346B"/>
    <w:rsid w:val="00343574"/>
    <w:rsid w:val="0034360C"/>
    <w:rsid w:val="00343860"/>
    <w:rsid w:val="003438BC"/>
    <w:rsid w:val="00343AB5"/>
    <w:rsid w:val="003444FD"/>
    <w:rsid w:val="00344CEF"/>
    <w:rsid w:val="00344F44"/>
    <w:rsid w:val="00345034"/>
    <w:rsid w:val="0034511C"/>
    <w:rsid w:val="00345191"/>
    <w:rsid w:val="00345441"/>
    <w:rsid w:val="0034550A"/>
    <w:rsid w:val="00345B7B"/>
    <w:rsid w:val="0034620C"/>
    <w:rsid w:val="00346579"/>
    <w:rsid w:val="00346C50"/>
    <w:rsid w:val="00347186"/>
    <w:rsid w:val="003474B3"/>
    <w:rsid w:val="00347A1B"/>
    <w:rsid w:val="00347CA3"/>
    <w:rsid w:val="00347F9F"/>
    <w:rsid w:val="00350F2C"/>
    <w:rsid w:val="00351032"/>
    <w:rsid w:val="0035149A"/>
    <w:rsid w:val="00351668"/>
    <w:rsid w:val="00351B41"/>
    <w:rsid w:val="00352775"/>
    <w:rsid w:val="00352F14"/>
    <w:rsid w:val="003530B3"/>
    <w:rsid w:val="00355090"/>
    <w:rsid w:val="0035546F"/>
    <w:rsid w:val="003554BD"/>
    <w:rsid w:val="003554CE"/>
    <w:rsid w:val="00355A18"/>
    <w:rsid w:val="00356586"/>
    <w:rsid w:val="00356792"/>
    <w:rsid w:val="003571E2"/>
    <w:rsid w:val="00357895"/>
    <w:rsid w:val="00360A82"/>
    <w:rsid w:val="00361062"/>
    <w:rsid w:val="003610F5"/>
    <w:rsid w:val="003616F4"/>
    <w:rsid w:val="003617C3"/>
    <w:rsid w:val="003619AE"/>
    <w:rsid w:val="003624D9"/>
    <w:rsid w:val="00362B5E"/>
    <w:rsid w:val="003638E9"/>
    <w:rsid w:val="00363DE6"/>
    <w:rsid w:val="00363F74"/>
    <w:rsid w:val="003643A5"/>
    <w:rsid w:val="003644D1"/>
    <w:rsid w:val="00364A3C"/>
    <w:rsid w:val="00364D97"/>
    <w:rsid w:val="00365093"/>
    <w:rsid w:val="0036533F"/>
    <w:rsid w:val="00365370"/>
    <w:rsid w:val="00365607"/>
    <w:rsid w:val="00365CAF"/>
    <w:rsid w:val="003661C9"/>
    <w:rsid w:val="0036693A"/>
    <w:rsid w:val="00366AFA"/>
    <w:rsid w:val="00366B66"/>
    <w:rsid w:val="00366C31"/>
    <w:rsid w:val="00366E4E"/>
    <w:rsid w:val="00367207"/>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7FB"/>
    <w:rsid w:val="00375820"/>
    <w:rsid w:val="00375B14"/>
    <w:rsid w:val="00375C95"/>
    <w:rsid w:val="00375D85"/>
    <w:rsid w:val="003760FD"/>
    <w:rsid w:val="0037650B"/>
    <w:rsid w:val="003769D5"/>
    <w:rsid w:val="00377475"/>
    <w:rsid w:val="00377A8C"/>
    <w:rsid w:val="0038054C"/>
    <w:rsid w:val="0038061C"/>
    <w:rsid w:val="00381168"/>
    <w:rsid w:val="0038142C"/>
    <w:rsid w:val="00381BE1"/>
    <w:rsid w:val="00381E3D"/>
    <w:rsid w:val="003823DE"/>
    <w:rsid w:val="003825F4"/>
    <w:rsid w:val="00382F31"/>
    <w:rsid w:val="003830B9"/>
    <w:rsid w:val="00383181"/>
    <w:rsid w:val="003831C2"/>
    <w:rsid w:val="00383338"/>
    <w:rsid w:val="0038339B"/>
    <w:rsid w:val="00383701"/>
    <w:rsid w:val="003840B4"/>
    <w:rsid w:val="00384187"/>
    <w:rsid w:val="0038458A"/>
    <w:rsid w:val="00384744"/>
    <w:rsid w:val="00384900"/>
    <w:rsid w:val="00384D8F"/>
    <w:rsid w:val="00384DCE"/>
    <w:rsid w:val="00384EF8"/>
    <w:rsid w:val="00385ADC"/>
    <w:rsid w:val="00386891"/>
    <w:rsid w:val="00386A21"/>
    <w:rsid w:val="00386E26"/>
    <w:rsid w:val="0038735C"/>
    <w:rsid w:val="003874B4"/>
    <w:rsid w:val="00387631"/>
    <w:rsid w:val="00387823"/>
    <w:rsid w:val="00387FAE"/>
    <w:rsid w:val="00390044"/>
    <w:rsid w:val="003903FB"/>
    <w:rsid w:val="00390644"/>
    <w:rsid w:val="0039066F"/>
    <w:rsid w:val="00390D27"/>
    <w:rsid w:val="00390D50"/>
    <w:rsid w:val="00390EAD"/>
    <w:rsid w:val="00390EAF"/>
    <w:rsid w:val="003912AF"/>
    <w:rsid w:val="00391CBB"/>
    <w:rsid w:val="00391D90"/>
    <w:rsid w:val="00391DDE"/>
    <w:rsid w:val="0039208E"/>
    <w:rsid w:val="003923A6"/>
    <w:rsid w:val="0039257A"/>
    <w:rsid w:val="00392648"/>
    <w:rsid w:val="003927E1"/>
    <w:rsid w:val="00392847"/>
    <w:rsid w:val="00393231"/>
    <w:rsid w:val="0039372B"/>
    <w:rsid w:val="0039383D"/>
    <w:rsid w:val="0039394C"/>
    <w:rsid w:val="00393E76"/>
    <w:rsid w:val="00393FA8"/>
    <w:rsid w:val="00394FE8"/>
    <w:rsid w:val="00395069"/>
    <w:rsid w:val="00395344"/>
    <w:rsid w:val="003955AD"/>
    <w:rsid w:val="00395A0A"/>
    <w:rsid w:val="00396674"/>
    <w:rsid w:val="00396C46"/>
    <w:rsid w:val="00397520"/>
    <w:rsid w:val="00397BF1"/>
    <w:rsid w:val="00397FCB"/>
    <w:rsid w:val="003A0A67"/>
    <w:rsid w:val="003A1273"/>
    <w:rsid w:val="003A1596"/>
    <w:rsid w:val="003A164E"/>
    <w:rsid w:val="003A1FEA"/>
    <w:rsid w:val="003A21D8"/>
    <w:rsid w:val="003A27D5"/>
    <w:rsid w:val="003A3195"/>
    <w:rsid w:val="003A344A"/>
    <w:rsid w:val="003A3622"/>
    <w:rsid w:val="003A36D4"/>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774"/>
    <w:rsid w:val="003A79FF"/>
    <w:rsid w:val="003A7DFF"/>
    <w:rsid w:val="003A7FD9"/>
    <w:rsid w:val="003B00E9"/>
    <w:rsid w:val="003B02DF"/>
    <w:rsid w:val="003B099A"/>
    <w:rsid w:val="003B0A8B"/>
    <w:rsid w:val="003B1002"/>
    <w:rsid w:val="003B1083"/>
    <w:rsid w:val="003B12DB"/>
    <w:rsid w:val="003B1C5D"/>
    <w:rsid w:val="003B1EAD"/>
    <w:rsid w:val="003B1F1C"/>
    <w:rsid w:val="003B2120"/>
    <w:rsid w:val="003B23A8"/>
    <w:rsid w:val="003B292A"/>
    <w:rsid w:val="003B31FD"/>
    <w:rsid w:val="003B3822"/>
    <w:rsid w:val="003B3BAD"/>
    <w:rsid w:val="003B3E6E"/>
    <w:rsid w:val="003B3F02"/>
    <w:rsid w:val="003B3F64"/>
    <w:rsid w:val="003B4216"/>
    <w:rsid w:val="003B43A2"/>
    <w:rsid w:val="003B4644"/>
    <w:rsid w:val="003B4B26"/>
    <w:rsid w:val="003B4E29"/>
    <w:rsid w:val="003B5306"/>
    <w:rsid w:val="003B5757"/>
    <w:rsid w:val="003B6179"/>
    <w:rsid w:val="003B69D0"/>
    <w:rsid w:val="003B6A8D"/>
    <w:rsid w:val="003B7B4D"/>
    <w:rsid w:val="003C0125"/>
    <w:rsid w:val="003C02E0"/>
    <w:rsid w:val="003C03F7"/>
    <w:rsid w:val="003C05CD"/>
    <w:rsid w:val="003C0DCD"/>
    <w:rsid w:val="003C0FE5"/>
    <w:rsid w:val="003C1A9A"/>
    <w:rsid w:val="003C1CAF"/>
    <w:rsid w:val="003C22D4"/>
    <w:rsid w:val="003C23EF"/>
    <w:rsid w:val="003C29AF"/>
    <w:rsid w:val="003C2BDB"/>
    <w:rsid w:val="003C3481"/>
    <w:rsid w:val="003C3B78"/>
    <w:rsid w:val="003C3F73"/>
    <w:rsid w:val="003C40A2"/>
    <w:rsid w:val="003C4BB8"/>
    <w:rsid w:val="003C5027"/>
    <w:rsid w:val="003C5519"/>
    <w:rsid w:val="003C5A97"/>
    <w:rsid w:val="003C616B"/>
    <w:rsid w:val="003C681D"/>
    <w:rsid w:val="003C6A7B"/>
    <w:rsid w:val="003C6BED"/>
    <w:rsid w:val="003C6C89"/>
    <w:rsid w:val="003C7560"/>
    <w:rsid w:val="003C7965"/>
    <w:rsid w:val="003C7D06"/>
    <w:rsid w:val="003C7EF7"/>
    <w:rsid w:val="003D03D1"/>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B7E"/>
    <w:rsid w:val="003D507A"/>
    <w:rsid w:val="003D5107"/>
    <w:rsid w:val="003D6280"/>
    <w:rsid w:val="003D63C3"/>
    <w:rsid w:val="003D6659"/>
    <w:rsid w:val="003D66CB"/>
    <w:rsid w:val="003D687A"/>
    <w:rsid w:val="003D6E45"/>
    <w:rsid w:val="003D7633"/>
    <w:rsid w:val="003D7A2D"/>
    <w:rsid w:val="003D7C91"/>
    <w:rsid w:val="003E043F"/>
    <w:rsid w:val="003E04C7"/>
    <w:rsid w:val="003E07E8"/>
    <w:rsid w:val="003E07F1"/>
    <w:rsid w:val="003E0E8C"/>
    <w:rsid w:val="003E113F"/>
    <w:rsid w:val="003E1418"/>
    <w:rsid w:val="003E1F18"/>
    <w:rsid w:val="003E3102"/>
    <w:rsid w:val="003E37A4"/>
    <w:rsid w:val="003E3DD7"/>
    <w:rsid w:val="003E4435"/>
    <w:rsid w:val="003E4979"/>
    <w:rsid w:val="003E4B79"/>
    <w:rsid w:val="003E4B85"/>
    <w:rsid w:val="003E4C9F"/>
    <w:rsid w:val="003E5105"/>
    <w:rsid w:val="003E581F"/>
    <w:rsid w:val="003E5C72"/>
    <w:rsid w:val="003E5F16"/>
    <w:rsid w:val="003E634D"/>
    <w:rsid w:val="003E64BB"/>
    <w:rsid w:val="003E685D"/>
    <w:rsid w:val="003E693C"/>
    <w:rsid w:val="003E6AC1"/>
    <w:rsid w:val="003E704F"/>
    <w:rsid w:val="003E7EEA"/>
    <w:rsid w:val="003F01E7"/>
    <w:rsid w:val="003F0A73"/>
    <w:rsid w:val="003F18CF"/>
    <w:rsid w:val="003F1E48"/>
    <w:rsid w:val="003F2656"/>
    <w:rsid w:val="003F2BFE"/>
    <w:rsid w:val="003F3A44"/>
    <w:rsid w:val="003F42D2"/>
    <w:rsid w:val="003F45D9"/>
    <w:rsid w:val="003F5F0A"/>
    <w:rsid w:val="003F6DF4"/>
    <w:rsid w:val="003F7022"/>
    <w:rsid w:val="003F7263"/>
    <w:rsid w:val="003F73C7"/>
    <w:rsid w:val="003F7D77"/>
    <w:rsid w:val="0040077C"/>
    <w:rsid w:val="00400A5E"/>
    <w:rsid w:val="00400A94"/>
    <w:rsid w:val="004015B0"/>
    <w:rsid w:val="004016AD"/>
    <w:rsid w:val="00401A15"/>
    <w:rsid w:val="00401B9C"/>
    <w:rsid w:val="00401C5B"/>
    <w:rsid w:val="00401DB1"/>
    <w:rsid w:val="004020FB"/>
    <w:rsid w:val="0040230D"/>
    <w:rsid w:val="0040252B"/>
    <w:rsid w:val="004028D0"/>
    <w:rsid w:val="00402940"/>
    <w:rsid w:val="00402D71"/>
    <w:rsid w:val="00403226"/>
    <w:rsid w:val="00403827"/>
    <w:rsid w:val="004040E3"/>
    <w:rsid w:val="0040440B"/>
    <w:rsid w:val="00404D4D"/>
    <w:rsid w:val="00404D9C"/>
    <w:rsid w:val="004059BD"/>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795"/>
    <w:rsid w:val="00410DEC"/>
    <w:rsid w:val="00410E10"/>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5780"/>
    <w:rsid w:val="00415D75"/>
    <w:rsid w:val="00416787"/>
    <w:rsid w:val="004168AF"/>
    <w:rsid w:val="004170B1"/>
    <w:rsid w:val="00417281"/>
    <w:rsid w:val="0041798F"/>
    <w:rsid w:val="004203CA"/>
    <w:rsid w:val="004208D7"/>
    <w:rsid w:val="00420A0D"/>
    <w:rsid w:val="00420CA2"/>
    <w:rsid w:val="00421878"/>
    <w:rsid w:val="00421B80"/>
    <w:rsid w:val="00421C35"/>
    <w:rsid w:val="004228EE"/>
    <w:rsid w:val="00422A05"/>
    <w:rsid w:val="00422BB1"/>
    <w:rsid w:val="00422D87"/>
    <w:rsid w:val="0042325A"/>
    <w:rsid w:val="0042336F"/>
    <w:rsid w:val="004234EF"/>
    <w:rsid w:val="004242F2"/>
    <w:rsid w:val="00424529"/>
    <w:rsid w:val="004249DB"/>
    <w:rsid w:val="00424C76"/>
    <w:rsid w:val="00424CB4"/>
    <w:rsid w:val="00425554"/>
    <w:rsid w:val="0042556A"/>
    <w:rsid w:val="00425B68"/>
    <w:rsid w:val="00425C52"/>
    <w:rsid w:val="00425C9F"/>
    <w:rsid w:val="004268A5"/>
    <w:rsid w:val="00426DEC"/>
    <w:rsid w:val="004271A9"/>
    <w:rsid w:val="00427DD7"/>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936"/>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516"/>
    <w:rsid w:val="00440891"/>
    <w:rsid w:val="004412E5"/>
    <w:rsid w:val="004415FC"/>
    <w:rsid w:val="00441989"/>
    <w:rsid w:val="00441DBA"/>
    <w:rsid w:val="00442112"/>
    <w:rsid w:val="00442314"/>
    <w:rsid w:val="00442822"/>
    <w:rsid w:val="00442A1E"/>
    <w:rsid w:val="00442E6F"/>
    <w:rsid w:val="00442FFB"/>
    <w:rsid w:val="004437F3"/>
    <w:rsid w:val="00443A3A"/>
    <w:rsid w:val="00443A81"/>
    <w:rsid w:val="00443AE0"/>
    <w:rsid w:val="00443D1A"/>
    <w:rsid w:val="004442B1"/>
    <w:rsid w:val="004443FB"/>
    <w:rsid w:val="0044475F"/>
    <w:rsid w:val="0044476D"/>
    <w:rsid w:val="00445064"/>
    <w:rsid w:val="00445172"/>
    <w:rsid w:val="00446D2D"/>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4CCA"/>
    <w:rsid w:val="00454D23"/>
    <w:rsid w:val="00455AFA"/>
    <w:rsid w:val="00456308"/>
    <w:rsid w:val="004564B6"/>
    <w:rsid w:val="004566BE"/>
    <w:rsid w:val="0045682E"/>
    <w:rsid w:val="004568B4"/>
    <w:rsid w:val="00457142"/>
    <w:rsid w:val="004573A4"/>
    <w:rsid w:val="00457493"/>
    <w:rsid w:val="00457958"/>
    <w:rsid w:val="0046115F"/>
    <w:rsid w:val="0046148D"/>
    <w:rsid w:val="00461535"/>
    <w:rsid w:val="004619B9"/>
    <w:rsid w:val="004619E2"/>
    <w:rsid w:val="00461CE1"/>
    <w:rsid w:val="004627CF"/>
    <w:rsid w:val="00462977"/>
    <w:rsid w:val="00462AC9"/>
    <w:rsid w:val="00462BE1"/>
    <w:rsid w:val="00462DBA"/>
    <w:rsid w:val="004635B7"/>
    <w:rsid w:val="00464027"/>
    <w:rsid w:val="004641CB"/>
    <w:rsid w:val="0046443B"/>
    <w:rsid w:val="00464BC7"/>
    <w:rsid w:val="004651B8"/>
    <w:rsid w:val="00465475"/>
    <w:rsid w:val="00465580"/>
    <w:rsid w:val="00465972"/>
    <w:rsid w:val="00465CC5"/>
    <w:rsid w:val="00465E7E"/>
    <w:rsid w:val="00466BB5"/>
    <w:rsid w:val="004672E8"/>
    <w:rsid w:val="0046761C"/>
    <w:rsid w:val="004677E9"/>
    <w:rsid w:val="00467E75"/>
    <w:rsid w:val="00470535"/>
    <w:rsid w:val="004705A4"/>
    <w:rsid w:val="004708F6"/>
    <w:rsid w:val="00470CFF"/>
    <w:rsid w:val="00471018"/>
    <w:rsid w:val="00471183"/>
    <w:rsid w:val="0047123C"/>
    <w:rsid w:val="0047136A"/>
    <w:rsid w:val="004714F6"/>
    <w:rsid w:val="0047289C"/>
    <w:rsid w:val="00472E22"/>
    <w:rsid w:val="00472F67"/>
    <w:rsid w:val="004739A1"/>
    <w:rsid w:val="0047430D"/>
    <w:rsid w:val="00474925"/>
    <w:rsid w:val="00474FDF"/>
    <w:rsid w:val="00475688"/>
    <w:rsid w:val="004758F6"/>
    <w:rsid w:val="004759E3"/>
    <w:rsid w:val="00475B89"/>
    <w:rsid w:val="00475C51"/>
    <w:rsid w:val="00476161"/>
    <w:rsid w:val="00476503"/>
    <w:rsid w:val="00476658"/>
    <w:rsid w:val="00476E34"/>
    <w:rsid w:val="00476EE1"/>
    <w:rsid w:val="00477163"/>
    <w:rsid w:val="00477B0E"/>
    <w:rsid w:val="00477BE2"/>
    <w:rsid w:val="00480336"/>
    <w:rsid w:val="00480FCC"/>
    <w:rsid w:val="00481688"/>
    <w:rsid w:val="004820E0"/>
    <w:rsid w:val="004822CA"/>
    <w:rsid w:val="00483F95"/>
    <w:rsid w:val="0048435D"/>
    <w:rsid w:val="00484BAC"/>
    <w:rsid w:val="00484D20"/>
    <w:rsid w:val="004850C1"/>
    <w:rsid w:val="004850E9"/>
    <w:rsid w:val="00485C46"/>
    <w:rsid w:val="00486F54"/>
    <w:rsid w:val="004871B4"/>
    <w:rsid w:val="004876B9"/>
    <w:rsid w:val="004876DD"/>
    <w:rsid w:val="00487D65"/>
    <w:rsid w:val="00490324"/>
    <w:rsid w:val="0049178A"/>
    <w:rsid w:val="00491C1D"/>
    <w:rsid w:val="00491DF1"/>
    <w:rsid w:val="0049227A"/>
    <w:rsid w:val="00492535"/>
    <w:rsid w:val="00492BDA"/>
    <w:rsid w:val="00493435"/>
    <w:rsid w:val="00493C1E"/>
    <w:rsid w:val="00494B28"/>
    <w:rsid w:val="00495411"/>
    <w:rsid w:val="00495FFF"/>
    <w:rsid w:val="00496A9F"/>
    <w:rsid w:val="00496D10"/>
    <w:rsid w:val="00497352"/>
    <w:rsid w:val="00497358"/>
    <w:rsid w:val="00497FA5"/>
    <w:rsid w:val="004A03B3"/>
    <w:rsid w:val="004A04D5"/>
    <w:rsid w:val="004A0986"/>
    <w:rsid w:val="004A12D1"/>
    <w:rsid w:val="004A1B07"/>
    <w:rsid w:val="004A2E04"/>
    <w:rsid w:val="004A31AE"/>
    <w:rsid w:val="004A3226"/>
    <w:rsid w:val="004A399F"/>
    <w:rsid w:val="004A3B8F"/>
    <w:rsid w:val="004A3FDD"/>
    <w:rsid w:val="004A4096"/>
    <w:rsid w:val="004A466A"/>
    <w:rsid w:val="004A4692"/>
    <w:rsid w:val="004A4F2E"/>
    <w:rsid w:val="004A669F"/>
    <w:rsid w:val="004A6842"/>
    <w:rsid w:val="004A718C"/>
    <w:rsid w:val="004A71BE"/>
    <w:rsid w:val="004A7DBE"/>
    <w:rsid w:val="004A7F94"/>
    <w:rsid w:val="004B08AC"/>
    <w:rsid w:val="004B09D4"/>
    <w:rsid w:val="004B0A66"/>
    <w:rsid w:val="004B0D88"/>
    <w:rsid w:val="004B0DE7"/>
    <w:rsid w:val="004B1616"/>
    <w:rsid w:val="004B1CB6"/>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692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93D"/>
    <w:rsid w:val="004C5BD0"/>
    <w:rsid w:val="004C5D52"/>
    <w:rsid w:val="004C5DB0"/>
    <w:rsid w:val="004C60D8"/>
    <w:rsid w:val="004C62EE"/>
    <w:rsid w:val="004C6A0D"/>
    <w:rsid w:val="004C6D3F"/>
    <w:rsid w:val="004C7075"/>
    <w:rsid w:val="004C7B09"/>
    <w:rsid w:val="004D1000"/>
    <w:rsid w:val="004D1D27"/>
    <w:rsid w:val="004D2622"/>
    <w:rsid w:val="004D2EC3"/>
    <w:rsid w:val="004D2FF6"/>
    <w:rsid w:val="004D384E"/>
    <w:rsid w:val="004D3DDA"/>
    <w:rsid w:val="004D3FD6"/>
    <w:rsid w:val="004D405F"/>
    <w:rsid w:val="004D4F6E"/>
    <w:rsid w:val="004D55CA"/>
    <w:rsid w:val="004D5A27"/>
    <w:rsid w:val="004D5F0E"/>
    <w:rsid w:val="004D62FE"/>
    <w:rsid w:val="004D63F9"/>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E1"/>
    <w:rsid w:val="004E2B01"/>
    <w:rsid w:val="004E34C7"/>
    <w:rsid w:val="004E356A"/>
    <w:rsid w:val="004E375D"/>
    <w:rsid w:val="004E3850"/>
    <w:rsid w:val="004E3DCD"/>
    <w:rsid w:val="004E3FC1"/>
    <w:rsid w:val="004E403A"/>
    <w:rsid w:val="004E58EA"/>
    <w:rsid w:val="004E5F65"/>
    <w:rsid w:val="004E6C7A"/>
    <w:rsid w:val="004E7615"/>
    <w:rsid w:val="004E780E"/>
    <w:rsid w:val="004E79FF"/>
    <w:rsid w:val="004E7CDF"/>
    <w:rsid w:val="004F071F"/>
    <w:rsid w:val="004F078C"/>
    <w:rsid w:val="004F1324"/>
    <w:rsid w:val="004F163E"/>
    <w:rsid w:val="004F1C7D"/>
    <w:rsid w:val="004F1D24"/>
    <w:rsid w:val="004F21D2"/>
    <w:rsid w:val="004F2641"/>
    <w:rsid w:val="004F27F3"/>
    <w:rsid w:val="004F29B9"/>
    <w:rsid w:val="004F2A24"/>
    <w:rsid w:val="004F2B8E"/>
    <w:rsid w:val="004F2C85"/>
    <w:rsid w:val="004F310E"/>
    <w:rsid w:val="004F32BF"/>
    <w:rsid w:val="004F3736"/>
    <w:rsid w:val="004F3E6A"/>
    <w:rsid w:val="004F416F"/>
    <w:rsid w:val="004F469D"/>
    <w:rsid w:val="004F5346"/>
    <w:rsid w:val="004F5BA0"/>
    <w:rsid w:val="004F5C09"/>
    <w:rsid w:val="004F5E4E"/>
    <w:rsid w:val="004F61E1"/>
    <w:rsid w:val="004F63CC"/>
    <w:rsid w:val="004F6678"/>
    <w:rsid w:val="004F6B28"/>
    <w:rsid w:val="004F6B51"/>
    <w:rsid w:val="004F6C65"/>
    <w:rsid w:val="004F6D2E"/>
    <w:rsid w:val="004F788E"/>
    <w:rsid w:val="004F7F0F"/>
    <w:rsid w:val="004F7F4B"/>
    <w:rsid w:val="004F7FBC"/>
    <w:rsid w:val="005001AE"/>
    <w:rsid w:val="005007E7"/>
    <w:rsid w:val="00501141"/>
    <w:rsid w:val="005012FC"/>
    <w:rsid w:val="00501EBE"/>
    <w:rsid w:val="005032EB"/>
    <w:rsid w:val="00503551"/>
    <w:rsid w:val="005035A2"/>
    <w:rsid w:val="00503F38"/>
    <w:rsid w:val="005043FC"/>
    <w:rsid w:val="0050444E"/>
    <w:rsid w:val="00504A55"/>
    <w:rsid w:val="00505166"/>
    <w:rsid w:val="00505F08"/>
    <w:rsid w:val="005061A3"/>
    <w:rsid w:val="0050671D"/>
    <w:rsid w:val="0050672C"/>
    <w:rsid w:val="00506C4C"/>
    <w:rsid w:val="0050700E"/>
    <w:rsid w:val="005079D7"/>
    <w:rsid w:val="00507B26"/>
    <w:rsid w:val="00507B2A"/>
    <w:rsid w:val="00510A22"/>
    <w:rsid w:val="00510D8A"/>
    <w:rsid w:val="00510DCA"/>
    <w:rsid w:val="00510F8F"/>
    <w:rsid w:val="00511EBC"/>
    <w:rsid w:val="005125D5"/>
    <w:rsid w:val="00512CAF"/>
    <w:rsid w:val="00512D51"/>
    <w:rsid w:val="00512DB8"/>
    <w:rsid w:val="00512E95"/>
    <w:rsid w:val="0051301F"/>
    <w:rsid w:val="00513BC1"/>
    <w:rsid w:val="00514674"/>
    <w:rsid w:val="0051477F"/>
    <w:rsid w:val="00514962"/>
    <w:rsid w:val="00514C46"/>
    <w:rsid w:val="0051550C"/>
    <w:rsid w:val="00515B94"/>
    <w:rsid w:val="00515BCF"/>
    <w:rsid w:val="00515E20"/>
    <w:rsid w:val="00516083"/>
    <w:rsid w:val="0051635A"/>
    <w:rsid w:val="005163AF"/>
    <w:rsid w:val="0051646E"/>
    <w:rsid w:val="005166C3"/>
    <w:rsid w:val="00516EA5"/>
    <w:rsid w:val="0051734F"/>
    <w:rsid w:val="005179DA"/>
    <w:rsid w:val="00517E2A"/>
    <w:rsid w:val="0052062E"/>
    <w:rsid w:val="0052097D"/>
    <w:rsid w:val="005209A5"/>
    <w:rsid w:val="00520B3D"/>
    <w:rsid w:val="00520C1C"/>
    <w:rsid w:val="005212B1"/>
    <w:rsid w:val="00521439"/>
    <w:rsid w:val="00522133"/>
    <w:rsid w:val="0052292E"/>
    <w:rsid w:val="00522977"/>
    <w:rsid w:val="005232E0"/>
    <w:rsid w:val="0052373B"/>
    <w:rsid w:val="00523919"/>
    <w:rsid w:val="00523E00"/>
    <w:rsid w:val="0052439F"/>
    <w:rsid w:val="005243EB"/>
    <w:rsid w:val="005249FF"/>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1D12"/>
    <w:rsid w:val="00531DCF"/>
    <w:rsid w:val="005326D0"/>
    <w:rsid w:val="005327CB"/>
    <w:rsid w:val="00532800"/>
    <w:rsid w:val="00532A4C"/>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A58"/>
    <w:rsid w:val="00536AB4"/>
    <w:rsid w:val="00537127"/>
    <w:rsid w:val="0053764B"/>
    <w:rsid w:val="0054069F"/>
    <w:rsid w:val="00540814"/>
    <w:rsid w:val="00540B20"/>
    <w:rsid w:val="00541307"/>
    <w:rsid w:val="005416E2"/>
    <w:rsid w:val="005416F2"/>
    <w:rsid w:val="00541B60"/>
    <w:rsid w:val="00541DB8"/>
    <w:rsid w:val="00541F9A"/>
    <w:rsid w:val="00542599"/>
    <w:rsid w:val="005427EC"/>
    <w:rsid w:val="00542EB4"/>
    <w:rsid w:val="005437F2"/>
    <w:rsid w:val="005448B9"/>
    <w:rsid w:val="00545136"/>
    <w:rsid w:val="005452C1"/>
    <w:rsid w:val="0054569B"/>
    <w:rsid w:val="00545B42"/>
    <w:rsid w:val="0054612B"/>
    <w:rsid w:val="0054684B"/>
    <w:rsid w:val="00546D72"/>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948"/>
    <w:rsid w:val="00553DED"/>
    <w:rsid w:val="00553E30"/>
    <w:rsid w:val="0055400F"/>
    <w:rsid w:val="005548DD"/>
    <w:rsid w:val="00555500"/>
    <w:rsid w:val="005555A2"/>
    <w:rsid w:val="005558C4"/>
    <w:rsid w:val="00555FC3"/>
    <w:rsid w:val="00556027"/>
    <w:rsid w:val="00556506"/>
    <w:rsid w:val="0055659A"/>
    <w:rsid w:val="00556731"/>
    <w:rsid w:val="00556A54"/>
    <w:rsid w:val="00557401"/>
    <w:rsid w:val="0055747C"/>
    <w:rsid w:val="00557D41"/>
    <w:rsid w:val="00557F5B"/>
    <w:rsid w:val="00557FE2"/>
    <w:rsid w:val="00560729"/>
    <w:rsid w:val="00560A86"/>
    <w:rsid w:val="00561088"/>
    <w:rsid w:val="00561C64"/>
    <w:rsid w:val="0056218D"/>
    <w:rsid w:val="00562887"/>
    <w:rsid w:val="00562EAD"/>
    <w:rsid w:val="00563222"/>
    <w:rsid w:val="0056376F"/>
    <w:rsid w:val="00563AEB"/>
    <w:rsid w:val="00564654"/>
    <w:rsid w:val="00564775"/>
    <w:rsid w:val="00564C1E"/>
    <w:rsid w:val="00565AA1"/>
    <w:rsid w:val="005669A3"/>
    <w:rsid w:val="00566C28"/>
    <w:rsid w:val="00566CA0"/>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6672"/>
    <w:rsid w:val="00576D35"/>
    <w:rsid w:val="00576FE8"/>
    <w:rsid w:val="005777C8"/>
    <w:rsid w:val="00577AD5"/>
    <w:rsid w:val="00577F23"/>
    <w:rsid w:val="005801AF"/>
    <w:rsid w:val="00580A72"/>
    <w:rsid w:val="0058107B"/>
    <w:rsid w:val="005810ED"/>
    <w:rsid w:val="0058149F"/>
    <w:rsid w:val="0058161B"/>
    <w:rsid w:val="005817A5"/>
    <w:rsid w:val="005819C8"/>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4CD"/>
    <w:rsid w:val="00587597"/>
    <w:rsid w:val="00587B7F"/>
    <w:rsid w:val="0059077B"/>
    <w:rsid w:val="00590D18"/>
    <w:rsid w:val="00590EDD"/>
    <w:rsid w:val="00591988"/>
    <w:rsid w:val="00591ACB"/>
    <w:rsid w:val="00591D2D"/>
    <w:rsid w:val="005921C8"/>
    <w:rsid w:val="005922A3"/>
    <w:rsid w:val="0059239E"/>
    <w:rsid w:val="005924DB"/>
    <w:rsid w:val="005929E8"/>
    <w:rsid w:val="00592A2E"/>
    <w:rsid w:val="00592E24"/>
    <w:rsid w:val="00593155"/>
    <w:rsid w:val="0059353B"/>
    <w:rsid w:val="005937C0"/>
    <w:rsid w:val="005938DB"/>
    <w:rsid w:val="00593C6F"/>
    <w:rsid w:val="005949FB"/>
    <w:rsid w:val="00594C1A"/>
    <w:rsid w:val="005950B7"/>
    <w:rsid w:val="00595106"/>
    <w:rsid w:val="00595692"/>
    <w:rsid w:val="00595AE7"/>
    <w:rsid w:val="00595B7B"/>
    <w:rsid w:val="00596020"/>
    <w:rsid w:val="0059632F"/>
    <w:rsid w:val="00596842"/>
    <w:rsid w:val="00596A85"/>
    <w:rsid w:val="00597799"/>
    <w:rsid w:val="005977F9"/>
    <w:rsid w:val="0059796C"/>
    <w:rsid w:val="00597A95"/>
    <w:rsid w:val="00597BA8"/>
    <w:rsid w:val="005A01E7"/>
    <w:rsid w:val="005A02C8"/>
    <w:rsid w:val="005A09E5"/>
    <w:rsid w:val="005A1473"/>
    <w:rsid w:val="005A19FF"/>
    <w:rsid w:val="005A1CC0"/>
    <w:rsid w:val="005A2074"/>
    <w:rsid w:val="005A2384"/>
    <w:rsid w:val="005A24AE"/>
    <w:rsid w:val="005A2E8C"/>
    <w:rsid w:val="005A2F1D"/>
    <w:rsid w:val="005A30FC"/>
    <w:rsid w:val="005A3394"/>
    <w:rsid w:val="005A3B6C"/>
    <w:rsid w:val="005A403A"/>
    <w:rsid w:val="005A43BE"/>
    <w:rsid w:val="005A459A"/>
    <w:rsid w:val="005A4624"/>
    <w:rsid w:val="005A4726"/>
    <w:rsid w:val="005A4BA5"/>
    <w:rsid w:val="005A4D08"/>
    <w:rsid w:val="005A5011"/>
    <w:rsid w:val="005A501A"/>
    <w:rsid w:val="005A508D"/>
    <w:rsid w:val="005A5383"/>
    <w:rsid w:val="005A5A65"/>
    <w:rsid w:val="005A5B6F"/>
    <w:rsid w:val="005A60BA"/>
    <w:rsid w:val="005A761B"/>
    <w:rsid w:val="005A7BFB"/>
    <w:rsid w:val="005B0732"/>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3915"/>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0898"/>
    <w:rsid w:val="005C0F1C"/>
    <w:rsid w:val="005C12AC"/>
    <w:rsid w:val="005C15ED"/>
    <w:rsid w:val="005C1C90"/>
    <w:rsid w:val="005C1CEF"/>
    <w:rsid w:val="005C2209"/>
    <w:rsid w:val="005C2462"/>
    <w:rsid w:val="005C2D12"/>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D60"/>
    <w:rsid w:val="005D2052"/>
    <w:rsid w:val="005D205D"/>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7D2"/>
    <w:rsid w:val="005E1BB5"/>
    <w:rsid w:val="005E1BD6"/>
    <w:rsid w:val="005E20C5"/>
    <w:rsid w:val="005E20D0"/>
    <w:rsid w:val="005E2381"/>
    <w:rsid w:val="005E2A79"/>
    <w:rsid w:val="005E2D15"/>
    <w:rsid w:val="005E2EDB"/>
    <w:rsid w:val="005E2FB1"/>
    <w:rsid w:val="005E30D5"/>
    <w:rsid w:val="005E3850"/>
    <w:rsid w:val="005E3EB4"/>
    <w:rsid w:val="005E40C8"/>
    <w:rsid w:val="005E41B6"/>
    <w:rsid w:val="005E43DF"/>
    <w:rsid w:val="005E48DE"/>
    <w:rsid w:val="005E566F"/>
    <w:rsid w:val="005E631D"/>
    <w:rsid w:val="005E633A"/>
    <w:rsid w:val="005E64AF"/>
    <w:rsid w:val="005E66DC"/>
    <w:rsid w:val="005E6BE9"/>
    <w:rsid w:val="005E71A5"/>
    <w:rsid w:val="005E777B"/>
    <w:rsid w:val="005E7F2B"/>
    <w:rsid w:val="005F03D5"/>
    <w:rsid w:val="005F046C"/>
    <w:rsid w:val="005F0860"/>
    <w:rsid w:val="005F14A7"/>
    <w:rsid w:val="005F1AC1"/>
    <w:rsid w:val="005F1B20"/>
    <w:rsid w:val="005F1E18"/>
    <w:rsid w:val="005F27E0"/>
    <w:rsid w:val="005F29C0"/>
    <w:rsid w:val="005F2A66"/>
    <w:rsid w:val="005F2B32"/>
    <w:rsid w:val="005F2B4D"/>
    <w:rsid w:val="005F3176"/>
    <w:rsid w:val="005F3549"/>
    <w:rsid w:val="005F3D8C"/>
    <w:rsid w:val="005F3E7A"/>
    <w:rsid w:val="005F4D37"/>
    <w:rsid w:val="005F54B4"/>
    <w:rsid w:val="005F5576"/>
    <w:rsid w:val="005F5A4E"/>
    <w:rsid w:val="005F5A6F"/>
    <w:rsid w:val="005F5C6D"/>
    <w:rsid w:val="005F5E8E"/>
    <w:rsid w:val="005F60E6"/>
    <w:rsid w:val="005F61DD"/>
    <w:rsid w:val="005F764A"/>
    <w:rsid w:val="0060008E"/>
    <w:rsid w:val="006005C1"/>
    <w:rsid w:val="00600731"/>
    <w:rsid w:val="00600AC6"/>
    <w:rsid w:val="006011A0"/>
    <w:rsid w:val="006012AC"/>
    <w:rsid w:val="00601300"/>
    <w:rsid w:val="00601EF1"/>
    <w:rsid w:val="00602829"/>
    <w:rsid w:val="00602A78"/>
    <w:rsid w:val="00602B8C"/>
    <w:rsid w:val="00602BCA"/>
    <w:rsid w:val="0060305F"/>
    <w:rsid w:val="006034C7"/>
    <w:rsid w:val="00604617"/>
    <w:rsid w:val="00604730"/>
    <w:rsid w:val="006049CE"/>
    <w:rsid w:val="00604AE3"/>
    <w:rsid w:val="00604D1B"/>
    <w:rsid w:val="006051D5"/>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11536"/>
    <w:rsid w:val="00611BA6"/>
    <w:rsid w:val="00612797"/>
    <w:rsid w:val="00612D19"/>
    <w:rsid w:val="00613029"/>
    <w:rsid w:val="0061330F"/>
    <w:rsid w:val="00613448"/>
    <w:rsid w:val="00613641"/>
    <w:rsid w:val="00614139"/>
    <w:rsid w:val="00614483"/>
    <w:rsid w:val="0061478C"/>
    <w:rsid w:val="0061516E"/>
    <w:rsid w:val="006151BC"/>
    <w:rsid w:val="00615204"/>
    <w:rsid w:val="006154A7"/>
    <w:rsid w:val="006154F0"/>
    <w:rsid w:val="0061582E"/>
    <w:rsid w:val="00615C0E"/>
    <w:rsid w:val="00615E77"/>
    <w:rsid w:val="0061617E"/>
    <w:rsid w:val="006162A3"/>
    <w:rsid w:val="00616307"/>
    <w:rsid w:val="00616AC5"/>
    <w:rsid w:val="00616C7D"/>
    <w:rsid w:val="0061735F"/>
    <w:rsid w:val="006175DD"/>
    <w:rsid w:val="00617602"/>
    <w:rsid w:val="00617B42"/>
    <w:rsid w:val="006200B5"/>
    <w:rsid w:val="0062031E"/>
    <w:rsid w:val="006205E1"/>
    <w:rsid w:val="006208EE"/>
    <w:rsid w:val="0062091D"/>
    <w:rsid w:val="00620C44"/>
    <w:rsid w:val="00620E60"/>
    <w:rsid w:val="0062100E"/>
    <w:rsid w:val="006211A5"/>
    <w:rsid w:val="006219BC"/>
    <w:rsid w:val="00622789"/>
    <w:rsid w:val="006233C1"/>
    <w:rsid w:val="00623424"/>
    <w:rsid w:val="00623A6D"/>
    <w:rsid w:val="00624395"/>
    <w:rsid w:val="0062460B"/>
    <w:rsid w:val="00624649"/>
    <w:rsid w:val="006249A7"/>
    <w:rsid w:val="006249D1"/>
    <w:rsid w:val="00624D4F"/>
    <w:rsid w:val="00624E15"/>
    <w:rsid w:val="00625713"/>
    <w:rsid w:val="00625AB3"/>
    <w:rsid w:val="00625B22"/>
    <w:rsid w:val="00625C53"/>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716"/>
    <w:rsid w:val="0063179F"/>
    <w:rsid w:val="006317A4"/>
    <w:rsid w:val="00632259"/>
    <w:rsid w:val="00632488"/>
    <w:rsid w:val="00632765"/>
    <w:rsid w:val="00632DD8"/>
    <w:rsid w:val="0063303A"/>
    <w:rsid w:val="006338DA"/>
    <w:rsid w:val="0063390C"/>
    <w:rsid w:val="00633A5E"/>
    <w:rsid w:val="00633BD8"/>
    <w:rsid w:val="00633F2B"/>
    <w:rsid w:val="00633F74"/>
    <w:rsid w:val="0063419A"/>
    <w:rsid w:val="00634BA0"/>
    <w:rsid w:val="00634DB1"/>
    <w:rsid w:val="00634F06"/>
    <w:rsid w:val="00635AEB"/>
    <w:rsid w:val="00636EF8"/>
    <w:rsid w:val="00636FEF"/>
    <w:rsid w:val="0063715F"/>
    <w:rsid w:val="006377DB"/>
    <w:rsid w:val="00637AD6"/>
    <w:rsid w:val="006405A2"/>
    <w:rsid w:val="00640699"/>
    <w:rsid w:val="00640702"/>
    <w:rsid w:val="0064096C"/>
    <w:rsid w:val="006417E0"/>
    <w:rsid w:val="006418D2"/>
    <w:rsid w:val="006419D4"/>
    <w:rsid w:val="00641E1E"/>
    <w:rsid w:val="00642453"/>
    <w:rsid w:val="00642729"/>
    <w:rsid w:val="006433DE"/>
    <w:rsid w:val="006441EC"/>
    <w:rsid w:val="00644277"/>
    <w:rsid w:val="006443B2"/>
    <w:rsid w:val="0064457D"/>
    <w:rsid w:val="006447A9"/>
    <w:rsid w:val="00645210"/>
    <w:rsid w:val="00645933"/>
    <w:rsid w:val="006459B3"/>
    <w:rsid w:val="00645D57"/>
    <w:rsid w:val="00646970"/>
    <w:rsid w:val="00646ED1"/>
    <w:rsid w:val="00646FDD"/>
    <w:rsid w:val="00647C38"/>
    <w:rsid w:val="00647C77"/>
    <w:rsid w:val="00647D39"/>
    <w:rsid w:val="00647DCE"/>
    <w:rsid w:val="006500A2"/>
    <w:rsid w:val="00650149"/>
    <w:rsid w:val="0065058D"/>
    <w:rsid w:val="00650A97"/>
    <w:rsid w:val="00650C5E"/>
    <w:rsid w:val="00650EBA"/>
    <w:rsid w:val="00651147"/>
    <w:rsid w:val="0065131D"/>
    <w:rsid w:val="006515BF"/>
    <w:rsid w:val="00651DC1"/>
    <w:rsid w:val="00651EE7"/>
    <w:rsid w:val="00651FD6"/>
    <w:rsid w:val="0065234B"/>
    <w:rsid w:val="0065252C"/>
    <w:rsid w:val="00653278"/>
    <w:rsid w:val="006533FF"/>
    <w:rsid w:val="00653AC4"/>
    <w:rsid w:val="00653C52"/>
    <w:rsid w:val="006540C1"/>
    <w:rsid w:val="00654191"/>
    <w:rsid w:val="0065426F"/>
    <w:rsid w:val="00654642"/>
    <w:rsid w:val="00654AF4"/>
    <w:rsid w:val="00654CB8"/>
    <w:rsid w:val="006553C3"/>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081"/>
    <w:rsid w:val="0066174C"/>
    <w:rsid w:val="00662932"/>
    <w:rsid w:val="00662A70"/>
    <w:rsid w:val="00662AF9"/>
    <w:rsid w:val="00662C14"/>
    <w:rsid w:val="00662C97"/>
    <w:rsid w:val="00662CBB"/>
    <w:rsid w:val="00662F3E"/>
    <w:rsid w:val="0066337D"/>
    <w:rsid w:val="00663666"/>
    <w:rsid w:val="0066398B"/>
    <w:rsid w:val="00663A91"/>
    <w:rsid w:val="00663F53"/>
    <w:rsid w:val="006640E1"/>
    <w:rsid w:val="006647E0"/>
    <w:rsid w:val="0066486A"/>
    <w:rsid w:val="00664A42"/>
    <w:rsid w:val="0066527F"/>
    <w:rsid w:val="0066611A"/>
    <w:rsid w:val="006663EF"/>
    <w:rsid w:val="00666754"/>
    <w:rsid w:val="00666859"/>
    <w:rsid w:val="00666AEA"/>
    <w:rsid w:val="00667ADE"/>
    <w:rsid w:val="00667F38"/>
    <w:rsid w:val="00667FB2"/>
    <w:rsid w:val="0067072F"/>
    <w:rsid w:val="00670D2E"/>
    <w:rsid w:val="00671D3B"/>
    <w:rsid w:val="0067269F"/>
    <w:rsid w:val="006726CB"/>
    <w:rsid w:val="0067272F"/>
    <w:rsid w:val="0067317F"/>
    <w:rsid w:val="00673BA4"/>
    <w:rsid w:val="00674A4D"/>
    <w:rsid w:val="00674A98"/>
    <w:rsid w:val="00674C5D"/>
    <w:rsid w:val="00674ED8"/>
    <w:rsid w:val="006752CD"/>
    <w:rsid w:val="00675793"/>
    <w:rsid w:val="00675B0E"/>
    <w:rsid w:val="00675C5E"/>
    <w:rsid w:val="00676F0B"/>
    <w:rsid w:val="00677137"/>
    <w:rsid w:val="006773D1"/>
    <w:rsid w:val="0067756A"/>
    <w:rsid w:val="00677A5F"/>
    <w:rsid w:val="00677F31"/>
    <w:rsid w:val="006801BB"/>
    <w:rsid w:val="006802E3"/>
    <w:rsid w:val="00680CC6"/>
    <w:rsid w:val="0068182C"/>
    <w:rsid w:val="0068241B"/>
    <w:rsid w:val="00682DA7"/>
    <w:rsid w:val="006834C7"/>
    <w:rsid w:val="00683889"/>
    <w:rsid w:val="006842A2"/>
    <w:rsid w:val="0068432E"/>
    <w:rsid w:val="006848BB"/>
    <w:rsid w:val="006849A8"/>
    <w:rsid w:val="00685075"/>
    <w:rsid w:val="00685339"/>
    <w:rsid w:val="00685597"/>
    <w:rsid w:val="00686338"/>
    <w:rsid w:val="0068675E"/>
    <w:rsid w:val="00687039"/>
    <w:rsid w:val="0068731C"/>
    <w:rsid w:val="0068756A"/>
    <w:rsid w:val="00687633"/>
    <w:rsid w:val="00687B81"/>
    <w:rsid w:val="00690337"/>
    <w:rsid w:val="006904AD"/>
    <w:rsid w:val="006905F1"/>
    <w:rsid w:val="00691201"/>
    <w:rsid w:val="006912E6"/>
    <w:rsid w:val="006914E9"/>
    <w:rsid w:val="006915C2"/>
    <w:rsid w:val="00691815"/>
    <w:rsid w:val="00691E51"/>
    <w:rsid w:val="006920CA"/>
    <w:rsid w:val="006927F0"/>
    <w:rsid w:val="00692C4E"/>
    <w:rsid w:val="006936DB"/>
    <w:rsid w:val="00693801"/>
    <w:rsid w:val="006944B8"/>
    <w:rsid w:val="00694706"/>
    <w:rsid w:val="00694DF8"/>
    <w:rsid w:val="006956E0"/>
    <w:rsid w:val="00695D3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E3"/>
    <w:rsid w:val="006A0B03"/>
    <w:rsid w:val="006A0ECA"/>
    <w:rsid w:val="006A11F4"/>
    <w:rsid w:val="006A14A8"/>
    <w:rsid w:val="006A1501"/>
    <w:rsid w:val="006A182D"/>
    <w:rsid w:val="006A1ADF"/>
    <w:rsid w:val="006A23AC"/>
    <w:rsid w:val="006A2835"/>
    <w:rsid w:val="006A3A19"/>
    <w:rsid w:val="006A3B9E"/>
    <w:rsid w:val="006A3C1C"/>
    <w:rsid w:val="006A3D6D"/>
    <w:rsid w:val="006A3D73"/>
    <w:rsid w:val="006A40AC"/>
    <w:rsid w:val="006A43EA"/>
    <w:rsid w:val="006A471A"/>
    <w:rsid w:val="006A50B1"/>
    <w:rsid w:val="006A5290"/>
    <w:rsid w:val="006A5B75"/>
    <w:rsid w:val="006A6BE8"/>
    <w:rsid w:val="006A70AD"/>
    <w:rsid w:val="006A7444"/>
    <w:rsid w:val="006A777A"/>
    <w:rsid w:val="006A7AE9"/>
    <w:rsid w:val="006A7C9D"/>
    <w:rsid w:val="006B0264"/>
    <w:rsid w:val="006B02F4"/>
    <w:rsid w:val="006B05F6"/>
    <w:rsid w:val="006B0627"/>
    <w:rsid w:val="006B10C7"/>
    <w:rsid w:val="006B15C1"/>
    <w:rsid w:val="006B1942"/>
    <w:rsid w:val="006B19FD"/>
    <w:rsid w:val="006B1E59"/>
    <w:rsid w:val="006B2229"/>
    <w:rsid w:val="006B2995"/>
    <w:rsid w:val="006B2E08"/>
    <w:rsid w:val="006B2F13"/>
    <w:rsid w:val="006B3029"/>
    <w:rsid w:val="006B32B9"/>
    <w:rsid w:val="006B3843"/>
    <w:rsid w:val="006B3EFD"/>
    <w:rsid w:val="006B3F3A"/>
    <w:rsid w:val="006B40C8"/>
    <w:rsid w:val="006B472A"/>
    <w:rsid w:val="006B4A86"/>
    <w:rsid w:val="006B549F"/>
    <w:rsid w:val="006B5B62"/>
    <w:rsid w:val="006B65CB"/>
    <w:rsid w:val="006B689C"/>
    <w:rsid w:val="006B765D"/>
    <w:rsid w:val="006C0867"/>
    <w:rsid w:val="006C0DC8"/>
    <w:rsid w:val="006C12B3"/>
    <w:rsid w:val="006C12F3"/>
    <w:rsid w:val="006C1752"/>
    <w:rsid w:val="006C1C22"/>
    <w:rsid w:val="006C1FB2"/>
    <w:rsid w:val="006C215A"/>
    <w:rsid w:val="006C2497"/>
    <w:rsid w:val="006C24C7"/>
    <w:rsid w:val="006C2503"/>
    <w:rsid w:val="006C255C"/>
    <w:rsid w:val="006C273C"/>
    <w:rsid w:val="006C2A55"/>
    <w:rsid w:val="006C374A"/>
    <w:rsid w:val="006C3A0F"/>
    <w:rsid w:val="006C41D4"/>
    <w:rsid w:val="006C479E"/>
    <w:rsid w:val="006C5379"/>
    <w:rsid w:val="006C560D"/>
    <w:rsid w:val="006C57FE"/>
    <w:rsid w:val="006C5AB5"/>
    <w:rsid w:val="006C5B2C"/>
    <w:rsid w:val="006C6E36"/>
    <w:rsid w:val="006C6FD2"/>
    <w:rsid w:val="006C705E"/>
    <w:rsid w:val="006C7216"/>
    <w:rsid w:val="006C7266"/>
    <w:rsid w:val="006C7AF0"/>
    <w:rsid w:val="006C7E5E"/>
    <w:rsid w:val="006D045E"/>
    <w:rsid w:val="006D0B6D"/>
    <w:rsid w:val="006D1549"/>
    <w:rsid w:val="006D1A5F"/>
    <w:rsid w:val="006D29A8"/>
    <w:rsid w:val="006D381C"/>
    <w:rsid w:val="006D39EA"/>
    <w:rsid w:val="006D3CE0"/>
    <w:rsid w:val="006D4720"/>
    <w:rsid w:val="006D4801"/>
    <w:rsid w:val="006D487E"/>
    <w:rsid w:val="006D4A33"/>
    <w:rsid w:val="006D53DF"/>
    <w:rsid w:val="006D54F7"/>
    <w:rsid w:val="006D5604"/>
    <w:rsid w:val="006D599A"/>
    <w:rsid w:val="006D5CDA"/>
    <w:rsid w:val="006D6436"/>
    <w:rsid w:val="006D6E04"/>
    <w:rsid w:val="006D7902"/>
    <w:rsid w:val="006D79C4"/>
    <w:rsid w:val="006D7C9D"/>
    <w:rsid w:val="006D7D85"/>
    <w:rsid w:val="006E045E"/>
    <w:rsid w:val="006E09E9"/>
    <w:rsid w:val="006E0B21"/>
    <w:rsid w:val="006E171B"/>
    <w:rsid w:val="006E2AD6"/>
    <w:rsid w:val="006E2C6D"/>
    <w:rsid w:val="006E33D2"/>
    <w:rsid w:val="006E374B"/>
    <w:rsid w:val="006E3B50"/>
    <w:rsid w:val="006E44D3"/>
    <w:rsid w:val="006E4705"/>
    <w:rsid w:val="006E470D"/>
    <w:rsid w:val="006E49DF"/>
    <w:rsid w:val="006E4E81"/>
    <w:rsid w:val="006E58CF"/>
    <w:rsid w:val="006E59A9"/>
    <w:rsid w:val="006E6241"/>
    <w:rsid w:val="006E645F"/>
    <w:rsid w:val="006E6F3D"/>
    <w:rsid w:val="006E71C4"/>
    <w:rsid w:val="006F06C2"/>
    <w:rsid w:val="006F0DAA"/>
    <w:rsid w:val="006F106E"/>
    <w:rsid w:val="006F10B6"/>
    <w:rsid w:val="006F117D"/>
    <w:rsid w:val="006F1195"/>
    <w:rsid w:val="006F13F3"/>
    <w:rsid w:val="006F186F"/>
    <w:rsid w:val="006F1962"/>
    <w:rsid w:val="006F1DBD"/>
    <w:rsid w:val="006F1E00"/>
    <w:rsid w:val="006F23E4"/>
    <w:rsid w:val="006F2509"/>
    <w:rsid w:val="006F29C6"/>
    <w:rsid w:val="006F301F"/>
    <w:rsid w:val="006F43E8"/>
    <w:rsid w:val="006F5402"/>
    <w:rsid w:val="006F5847"/>
    <w:rsid w:val="006F5B1A"/>
    <w:rsid w:val="006F5F76"/>
    <w:rsid w:val="006F62A6"/>
    <w:rsid w:val="006F6790"/>
    <w:rsid w:val="006F6800"/>
    <w:rsid w:val="006F6A1E"/>
    <w:rsid w:val="006F72A8"/>
    <w:rsid w:val="006F7AFB"/>
    <w:rsid w:val="00700821"/>
    <w:rsid w:val="007010A7"/>
    <w:rsid w:val="007010E0"/>
    <w:rsid w:val="007010E4"/>
    <w:rsid w:val="007011D1"/>
    <w:rsid w:val="007011D8"/>
    <w:rsid w:val="00701E6C"/>
    <w:rsid w:val="00702723"/>
    <w:rsid w:val="00702C8A"/>
    <w:rsid w:val="0070303A"/>
    <w:rsid w:val="0070328F"/>
    <w:rsid w:val="00703558"/>
    <w:rsid w:val="00703E20"/>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07E92"/>
    <w:rsid w:val="00710164"/>
    <w:rsid w:val="00710167"/>
    <w:rsid w:val="00710595"/>
    <w:rsid w:val="00710870"/>
    <w:rsid w:val="007109AB"/>
    <w:rsid w:val="007109B1"/>
    <w:rsid w:val="00710A0B"/>
    <w:rsid w:val="00710A1A"/>
    <w:rsid w:val="00710E5E"/>
    <w:rsid w:val="007110B3"/>
    <w:rsid w:val="00712020"/>
    <w:rsid w:val="00712026"/>
    <w:rsid w:val="007121C0"/>
    <w:rsid w:val="00712219"/>
    <w:rsid w:val="00712638"/>
    <w:rsid w:val="0071276A"/>
    <w:rsid w:val="00712A32"/>
    <w:rsid w:val="00712B22"/>
    <w:rsid w:val="00712D93"/>
    <w:rsid w:val="007132CE"/>
    <w:rsid w:val="007139BF"/>
    <w:rsid w:val="00713C11"/>
    <w:rsid w:val="00713CBE"/>
    <w:rsid w:val="00714A38"/>
    <w:rsid w:val="00714B10"/>
    <w:rsid w:val="00714B64"/>
    <w:rsid w:val="00714BA7"/>
    <w:rsid w:val="00714F03"/>
    <w:rsid w:val="00715499"/>
    <w:rsid w:val="00715C06"/>
    <w:rsid w:val="00715E87"/>
    <w:rsid w:val="007163A2"/>
    <w:rsid w:val="00716C0F"/>
    <w:rsid w:val="00716D4E"/>
    <w:rsid w:val="0071717E"/>
    <w:rsid w:val="0072062C"/>
    <w:rsid w:val="007209B1"/>
    <w:rsid w:val="00720A2C"/>
    <w:rsid w:val="00720B85"/>
    <w:rsid w:val="00720C22"/>
    <w:rsid w:val="00720C6E"/>
    <w:rsid w:val="00720E58"/>
    <w:rsid w:val="00720E79"/>
    <w:rsid w:val="00721004"/>
    <w:rsid w:val="00721448"/>
    <w:rsid w:val="00721DED"/>
    <w:rsid w:val="00721EFB"/>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D1A"/>
    <w:rsid w:val="00725DF3"/>
    <w:rsid w:val="007262B9"/>
    <w:rsid w:val="00726401"/>
    <w:rsid w:val="00726676"/>
    <w:rsid w:val="00726B7D"/>
    <w:rsid w:val="00727285"/>
    <w:rsid w:val="00727380"/>
    <w:rsid w:val="00727D91"/>
    <w:rsid w:val="00727E44"/>
    <w:rsid w:val="00730152"/>
    <w:rsid w:val="007301B7"/>
    <w:rsid w:val="00730699"/>
    <w:rsid w:val="0073071A"/>
    <w:rsid w:val="00730DD2"/>
    <w:rsid w:val="007310E4"/>
    <w:rsid w:val="00731129"/>
    <w:rsid w:val="007314D7"/>
    <w:rsid w:val="00731607"/>
    <w:rsid w:val="00731950"/>
    <w:rsid w:val="00732006"/>
    <w:rsid w:val="00732732"/>
    <w:rsid w:val="0073397C"/>
    <w:rsid w:val="00733A16"/>
    <w:rsid w:val="00734051"/>
    <w:rsid w:val="00734519"/>
    <w:rsid w:val="0073458B"/>
    <w:rsid w:val="007345AE"/>
    <w:rsid w:val="00734B84"/>
    <w:rsid w:val="007352AF"/>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E0"/>
    <w:rsid w:val="007422F1"/>
    <w:rsid w:val="007427A3"/>
    <w:rsid w:val="00742891"/>
    <w:rsid w:val="00742A72"/>
    <w:rsid w:val="00742C3D"/>
    <w:rsid w:val="00742DAD"/>
    <w:rsid w:val="00743338"/>
    <w:rsid w:val="00743455"/>
    <w:rsid w:val="007435B8"/>
    <w:rsid w:val="00743FEF"/>
    <w:rsid w:val="007444AE"/>
    <w:rsid w:val="007447C6"/>
    <w:rsid w:val="007449FE"/>
    <w:rsid w:val="00744CEC"/>
    <w:rsid w:val="00745A05"/>
    <w:rsid w:val="00745F8E"/>
    <w:rsid w:val="00746564"/>
    <w:rsid w:val="00746721"/>
    <w:rsid w:val="00746A84"/>
    <w:rsid w:val="00747741"/>
    <w:rsid w:val="007505F4"/>
    <w:rsid w:val="00750979"/>
    <w:rsid w:val="00751313"/>
    <w:rsid w:val="007514AA"/>
    <w:rsid w:val="007515E7"/>
    <w:rsid w:val="00751760"/>
    <w:rsid w:val="007518C9"/>
    <w:rsid w:val="0075192D"/>
    <w:rsid w:val="00752147"/>
    <w:rsid w:val="0075218A"/>
    <w:rsid w:val="00752238"/>
    <w:rsid w:val="00752DE0"/>
    <w:rsid w:val="00752E14"/>
    <w:rsid w:val="00753427"/>
    <w:rsid w:val="00753B6A"/>
    <w:rsid w:val="00753DA5"/>
    <w:rsid w:val="00754E53"/>
    <w:rsid w:val="0075502B"/>
    <w:rsid w:val="00755633"/>
    <w:rsid w:val="00755B6F"/>
    <w:rsid w:val="00756309"/>
    <w:rsid w:val="0075691B"/>
    <w:rsid w:val="00756A17"/>
    <w:rsid w:val="00756B41"/>
    <w:rsid w:val="007576EC"/>
    <w:rsid w:val="00757957"/>
    <w:rsid w:val="00760978"/>
    <w:rsid w:val="00760D42"/>
    <w:rsid w:val="00760FD9"/>
    <w:rsid w:val="007614CD"/>
    <w:rsid w:val="007623B0"/>
    <w:rsid w:val="00762A7D"/>
    <w:rsid w:val="00762C65"/>
    <w:rsid w:val="007638B8"/>
    <w:rsid w:val="00763B9E"/>
    <w:rsid w:val="00764588"/>
    <w:rsid w:val="007648FE"/>
    <w:rsid w:val="00764B39"/>
    <w:rsid w:val="00765EE9"/>
    <w:rsid w:val="007664EA"/>
    <w:rsid w:val="0076652D"/>
    <w:rsid w:val="00766541"/>
    <w:rsid w:val="007667C4"/>
    <w:rsid w:val="007667FE"/>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1CE"/>
    <w:rsid w:val="00773754"/>
    <w:rsid w:val="007738F0"/>
    <w:rsid w:val="00773B3E"/>
    <w:rsid w:val="00773E65"/>
    <w:rsid w:val="007741B0"/>
    <w:rsid w:val="007745D3"/>
    <w:rsid w:val="00774644"/>
    <w:rsid w:val="007746DC"/>
    <w:rsid w:val="0077558B"/>
    <w:rsid w:val="007756E4"/>
    <w:rsid w:val="0077574B"/>
    <w:rsid w:val="00776874"/>
    <w:rsid w:val="0077726C"/>
    <w:rsid w:val="007777FB"/>
    <w:rsid w:val="00777AAB"/>
    <w:rsid w:val="00777F54"/>
    <w:rsid w:val="0078004B"/>
    <w:rsid w:val="0078042F"/>
    <w:rsid w:val="00780FF9"/>
    <w:rsid w:val="00781071"/>
    <w:rsid w:val="00781937"/>
    <w:rsid w:val="0078285C"/>
    <w:rsid w:val="00782B30"/>
    <w:rsid w:val="00783A36"/>
    <w:rsid w:val="00783FF9"/>
    <w:rsid w:val="0078404B"/>
    <w:rsid w:val="007845D4"/>
    <w:rsid w:val="00784DF0"/>
    <w:rsid w:val="007855B7"/>
    <w:rsid w:val="00785A38"/>
    <w:rsid w:val="00785C2A"/>
    <w:rsid w:val="007863C5"/>
    <w:rsid w:val="0078668F"/>
    <w:rsid w:val="00786C45"/>
    <w:rsid w:val="00786F6A"/>
    <w:rsid w:val="0078700E"/>
    <w:rsid w:val="00787339"/>
    <w:rsid w:val="00787B59"/>
    <w:rsid w:val="00787C9C"/>
    <w:rsid w:val="007900A9"/>
    <w:rsid w:val="00790B76"/>
    <w:rsid w:val="007910C3"/>
    <w:rsid w:val="00791110"/>
    <w:rsid w:val="00791250"/>
    <w:rsid w:val="0079150D"/>
    <w:rsid w:val="00791DE1"/>
    <w:rsid w:val="0079219F"/>
    <w:rsid w:val="0079276B"/>
    <w:rsid w:val="00793181"/>
    <w:rsid w:val="007936BD"/>
    <w:rsid w:val="007936C1"/>
    <w:rsid w:val="00793D45"/>
    <w:rsid w:val="00793E10"/>
    <w:rsid w:val="00793E6D"/>
    <w:rsid w:val="00795130"/>
    <w:rsid w:val="00795E20"/>
    <w:rsid w:val="00796787"/>
    <w:rsid w:val="007975BD"/>
    <w:rsid w:val="00797813"/>
    <w:rsid w:val="00797B7E"/>
    <w:rsid w:val="007A035B"/>
    <w:rsid w:val="007A05A2"/>
    <w:rsid w:val="007A10D6"/>
    <w:rsid w:val="007A12EE"/>
    <w:rsid w:val="007A138C"/>
    <w:rsid w:val="007A1834"/>
    <w:rsid w:val="007A1856"/>
    <w:rsid w:val="007A1E52"/>
    <w:rsid w:val="007A2A4D"/>
    <w:rsid w:val="007A31B2"/>
    <w:rsid w:val="007A35BF"/>
    <w:rsid w:val="007A3629"/>
    <w:rsid w:val="007A385C"/>
    <w:rsid w:val="007A38F5"/>
    <w:rsid w:val="007A3D24"/>
    <w:rsid w:val="007A4860"/>
    <w:rsid w:val="007A4CAF"/>
    <w:rsid w:val="007A4F7B"/>
    <w:rsid w:val="007A5069"/>
    <w:rsid w:val="007A5D1D"/>
    <w:rsid w:val="007A613C"/>
    <w:rsid w:val="007A61E4"/>
    <w:rsid w:val="007A704A"/>
    <w:rsid w:val="007A7242"/>
    <w:rsid w:val="007B007F"/>
    <w:rsid w:val="007B0D0F"/>
    <w:rsid w:val="007B1171"/>
    <w:rsid w:val="007B12B0"/>
    <w:rsid w:val="007B1392"/>
    <w:rsid w:val="007B1785"/>
    <w:rsid w:val="007B215A"/>
    <w:rsid w:val="007B22DC"/>
    <w:rsid w:val="007B24F0"/>
    <w:rsid w:val="007B34DC"/>
    <w:rsid w:val="007B369C"/>
    <w:rsid w:val="007B3A98"/>
    <w:rsid w:val="007B3D7A"/>
    <w:rsid w:val="007B4008"/>
    <w:rsid w:val="007B49C4"/>
    <w:rsid w:val="007B4D74"/>
    <w:rsid w:val="007B4DC6"/>
    <w:rsid w:val="007B5132"/>
    <w:rsid w:val="007B5C77"/>
    <w:rsid w:val="007B69E8"/>
    <w:rsid w:val="007B6C17"/>
    <w:rsid w:val="007B6F85"/>
    <w:rsid w:val="007B743C"/>
    <w:rsid w:val="007B7B31"/>
    <w:rsid w:val="007C0165"/>
    <w:rsid w:val="007C033F"/>
    <w:rsid w:val="007C03F9"/>
    <w:rsid w:val="007C048B"/>
    <w:rsid w:val="007C0508"/>
    <w:rsid w:val="007C057E"/>
    <w:rsid w:val="007C06A4"/>
    <w:rsid w:val="007C0CA1"/>
    <w:rsid w:val="007C1227"/>
    <w:rsid w:val="007C1541"/>
    <w:rsid w:val="007C19DF"/>
    <w:rsid w:val="007C1BAF"/>
    <w:rsid w:val="007C2097"/>
    <w:rsid w:val="007C25F8"/>
    <w:rsid w:val="007C2C3E"/>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900"/>
    <w:rsid w:val="007C69A9"/>
    <w:rsid w:val="007C6C60"/>
    <w:rsid w:val="007C6D07"/>
    <w:rsid w:val="007C745C"/>
    <w:rsid w:val="007C7534"/>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51EB"/>
    <w:rsid w:val="007D5590"/>
    <w:rsid w:val="007D58BB"/>
    <w:rsid w:val="007D6835"/>
    <w:rsid w:val="007D696D"/>
    <w:rsid w:val="007D6A93"/>
    <w:rsid w:val="007D6DAA"/>
    <w:rsid w:val="007D7635"/>
    <w:rsid w:val="007D76BB"/>
    <w:rsid w:val="007D7799"/>
    <w:rsid w:val="007D7C78"/>
    <w:rsid w:val="007D7CDE"/>
    <w:rsid w:val="007D7DC7"/>
    <w:rsid w:val="007E01AF"/>
    <w:rsid w:val="007E0772"/>
    <w:rsid w:val="007E0D31"/>
    <w:rsid w:val="007E0E04"/>
    <w:rsid w:val="007E0EF9"/>
    <w:rsid w:val="007E10F8"/>
    <w:rsid w:val="007E18BC"/>
    <w:rsid w:val="007E1B5F"/>
    <w:rsid w:val="007E21D9"/>
    <w:rsid w:val="007E23E5"/>
    <w:rsid w:val="007E2BDD"/>
    <w:rsid w:val="007E3569"/>
    <w:rsid w:val="007E38BA"/>
    <w:rsid w:val="007E45CA"/>
    <w:rsid w:val="007E48C0"/>
    <w:rsid w:val="007E49FE"/>
    <w:rsid w:val="007E4AC2"/>
    <w:rsid w:val="007E4FBE"/>
    <w:rsid w:val="007E5885"/>
    <w:rsid w:val="007E61B7"/>
    <w:rsid w:val="007E6481"/>
    <w:rsid w:val="007E64FF"/>
    <w:rsid w:val="007E697F"/>
    <w:rsid w:val="007E6BD5"/>
    <w:rsid w:val="007E6F62"/>
    <w:rsid w:val="007E6FEA"/>
    <w:rsid w:val="007E7C7B"/>
    <w:rsid w:val="007E7E0F"/>
    <w:rsid w:val="007E7F8F"/>
    <w:rsid w:val="007F015E"/>
    <w:rsid w:val="007F1063"/>
    <w:rsid w:val="007F1160"/>
    <w:rsid w:val="007F1910"/>
    <w:rsid w:val="007F1B05"/>
    <w:rsid w:val="007F21B0"/>
    <w:rsid w:val="007F2717"/>
    <w:rsid w:val="007F2DE9"/>
    <w:rsid w:val="007F3119"/>
    <w:rsid w:val="007F341B"/>
    <w:rsid w:val="007F3682"/>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3D5"/>
    <w:rsid w:val="007F7865"/>
    <w:rsid w:val="007F7C57"/>
    <w:rsid w:val="007F7FB3"/>
    <w:rsid w:val="0080026A"/>
    <w:rsid w:val="00800340"/>
    <w:rsid w:val="00800953"/>
    <w:rsid w:val="0080116C"/>
    <w:rsid w:val="00801255"/>
    <w:rsid w:val="008012A2"/>
    <w:rsid w:val="0080197B"/>
    <w:rsid w:val="00801C1F"/>
    <w:rsid w:val="008021D3"/>
    <w:rsid w:val="00802849"/>
    <w:rsid w:val="00802971"/>
    <w:rsid w:val="0080347B"/>
    <w:rsid w:val="008034C0"/>
    <w:rsid w:val="0080353B"/>
    <w:rsid w:val="008038E3"/>
    <w:rsid w:val="008038F6"/>
    <w:rsid w:val="00803FF8"/>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02B"/>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48D"/>
    <w:rsid w:val="0081450B"/>
    <w:rsid w:val="0081467F"/>
    <w:rsid w:val="008147EA"/>
    <w:rsid w:val="008150EA"/>
    <w:rsid w:val="00815339"/>
    <w:rsid w:val="0081591F"/>
    <w:rsid w:val="00815A99"/>
    <w:rsid w:val="00815E5B"/>
    <w:rsid w:val="008160D1"/>
    <w:rsid w:val="008162B3"/>
    <w:rsid w:val="0081640D"/>
    <w:rsid w:val="0081687A"/>
    <w:rsid w:val="008169A1"/>
    <w:rsid w:val="00820160"/>
    <w:rsid w:val="0082022B"/>
    <w:rsid w:val="008208BB"/>
    <w:rsid w:val="00820E0E"/>
    <w:rsid w:val="00821237"/>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480A"/>
    <w:rsid w:val="0082488C"/>
    <w:rsid w:val="008251E7"/>
    <w:rsid w:val="00825417"/>
    <w:rsid w:val="008262BC"/>
    <w:rsid w:val="008266A2"/>
    <w:rsid w:val="008267AE"/>
    <w:rsid w:val="00827284"/>
    <w:rsid w:val="00830B33"/>
    <w:rsid w:val="0083118A"/>
    <w:rsid w:val="008311FD"/>
    <w:rsid w:val="00831784"/>
    <w:rsid w:val="00832013"/>
    <w:rsid w:val="008324E8"/>
    <w:rsid w:val="00832727"/>
    <w:rsid w:val="008337C1"/>
    <w:rsid w:val="008344E7"/>
    <w:rsid w:val="00834F23"/>
    <w:rsid w:val="008353B6"/>
    <w:rsid w:val="00836A67"/>
    <w:rsid w:val="00836CEB"/>
    <w:rsid w:val="00836D07"/>
    <w:rsid w:val="00836F79"/>
    <w:rsid w:val="00837766"/>
    <w:rsid w:val="00837C13"/>
    <w:rsid w:val="00840EAF"/>
    <w:rsid w:val="008416BF"/>
    <w:rsid w:val="008416FD"/>
    <w:rsid w:val="0084188F"/>
    <w:rsid w:val="00842659"/>
    <w:rsid w:val="0084293A"/>
    <w:rsid w:val="00843445"/>
    <w:rsid w:val="0084354C"/>
    <w:rsid w:val="0084375D"/>
    <w:rsid w:val="00844119"/>
    <w:rsid w:val="0084416F"/>
    <w:rsid w:val="00844462"/>
    <w:rsid w:val="008449FE"/>
    <w:rsid w:val="00844E61"/>
    <w:rsid w:val="00845310"/>
    <w:rsid w:val="00845515"/>
    <w:rsid w:val="00845520"/>
    <w:rsid w:val="00845CE4"/>
    <w:rsid w:val="00845E57"/>
    <w:rsid w:val="00845FC4"/>
    <w:rsid w:val="008461B0"/>
    <w:rsid w:val="00846B8B"/>
    <w:rsid w:val="00846C9F"/>
    <w:rsid w:val="00846D16"/>
    <w:rsid w:val="00846F4C"/>
    <w:rsid w:val="0085027F"/>
    <w:rsid w:val="0085044B"/>
    <w:rsid w:val="008504C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1DB"/>
    <w:rsid w:val="0085576D"/>
    <w:rsid w:val="008558ED"/>
    <w:rsid w:val="00855CFC"/>
    <w:rsid w:val="00855FD5"/>
    <w:rsid w:val="00856049"/>
    <w:rsid w:val="0085632A"/>
    <w:rsid w:val="008568BB"/>
    <w:rsid w:val="00856D84"/>
    <w:rsid w:val="00856E96"/>
    <w:rsid w:val="00857822"/>
    <w:rsid w:val="00857B68"/>
    <w:rsid w:val="00857C93"/>
    <w:rsid w:val="00860D51"/>
    <w:rsid w:val="008611C1"/>
    <w:rsid w:val="0086132E"/>
    <w:rsid w:val="0086151A"/>
    <w:rsid w:val="008616ED"/>
    <w:rsid w:val="0086173C"/>
    <w:rsid w:val="00861DA4"/>
    <w:rsid w:val="00862330"/>
    <w:rsid w:val="0086264B"/>
    <w:rsid w:val="0086266B"/>
    <w:rsid w:val="008626E9"/>
    <w:rsid w:val="008626EB"/>
    <w:rsid w:val="00862EFD"/>
    <w:rsid w:val="008638FB"/>
    <w:rsid w:val="00863AF4"/>
    <w:rsid w:val="008643F1"/>
    <w:rsid w:val="0086444C"/>
    <w:rsid w:val="008644B1"/>
    <w:rsid w:val="00864768"/>
    <w:rsid w:val="008658AB"/>
    <w:rsid w:val="00865B18"/>
    <w:rsid w:val="0086672E"/>
    <w:rsid w:val="00866792"/>
    <w:rsid w:val="00866C51"/>
    <w:rsid w:val="00866CF2"/>
    <w:rsid w:val="008675EC"/>
    <w:rsid w:val="008679CE"/>
    <w:rsid w:val="00867DA7"/>
    <w:rsid w:val="008705A8"/>
    <w:rsid w:val="00870BC3"/>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4FBA"/>
    <w:rsid w:val="00875F4F"/>
    <w:rsid w:val="008762D8"/>
    <w:rsid w:val="008772AE"/>
    <w:rsid w:val="008772D9"/>
    <w:rsid w:val="00877345"/>
    <w:rsid w:val="00877456"/>
    <w:rsid w:val="00877B29"/>
    <w:rsid w:val="00877C69"/>
    <w:rsid w:val="00880298"/>
    <w:rsid w:val="008808B9"/>
    <w:rsid w:val="00880994"/>
    <w:rsid w:val="00880B30"/>
    <w:rsid w:val="00880F1D"/>
    <w:rsid w:val="0088172A"/>
    <w:rsid w:val="00881F90"/>
    <w:rsid w:val="00883600"/>
    <w:rsid w:val="00883624"/>
    <w:rsid w:val="008851C4"/>
    <w:rsid w:val="00885696"/>
    <w:rsid w:val="0088570A"/>
    <w:rsid w:val="00885DB7"/>
    <w:rsid w:val="00885E9D"/>
    <w:rsid w:val="00885F23"/>
    <w:rsid w:val="0088636E"/>
    <w:rsid w:val="008864A7"/>
    <w:rsid w:val="0088666A"/>
    <w:rsid w:val="0088688A"/>
    <w:rsid w:val="00886890"/>
    <w:rsid w:val="00886A9E"/>
    <w:rsid w:val="00886DC9"/>
    <w:rsid w:val="00886EC7"/>
    <w:rsid w:val="00887184"/>
    <w:rsid w:val="00887681"/>
    <w:rsid w:val="008879EA"/>
    <w:rsid w:val="00890139"/>
    <w:rsid w:val="00890CD4"/>
    <w:rsid w:val="00890EA8"/>
    <w:rsid w:val="00890F76"/>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5C2B"/>
    <w:rsid w:val="00896474"/>
    <w:rsid w:val="008965D2"/>
    <w:rsid w:val="00896B97"/>
    <w:rsid w:val="00896DBC"/>
    <w:rsid w:val="00897474"/>
    <w:rsid w:val="00897B59"/>
    <w:rsid w:val="00897B71"/>
    <w:rsid w:val="00897C6C"/>
    <w:rsid w:val="00897D1A"/>
    <w:rsid w:val="008A0905"/>
    <w:rsid w:val="008A0B02"/>
    <w:rsid w:val="008A0E0D"/>
    <w:rsid w:val="008A1034"/>
    <w:rsid w:val="008A155C"/>
    <w:rsid w:val="008A1766"/>
    <w:rsid w:val="008A180E"/>
    <w:rsid w:val="008A197C"/>
    <w:rsid w:val="008A1A44"/>
    <w:rsid w:val="008A2238"/>
    <w:rsid w:val="008A2545"/>
    <w:rsid w:val="008A2636"/>
    <w:rsid w:val="008A35DB"/>
    <w:rsid w:val="008A3AF9"/>
    <w:rsid w:val="008A3CF8"/>
    <w:rsid w:val="008A3FBE"/>
    <w:rsid w:val="008A4013"/>
    <w:rsid w:val="008A46F0"/>
    <w:rsid w:val="008A4BB2"/>
    <w:rsid w:val="008A4C9C"/>
    <w:rsid w:val="008A56A0"/>
    <w:rsid w:val="008A6041"/>
    <w:rsid w:val="008A60F8"/>
    <w:rsid w:val="008A66C8"/>
    <w:rsid w:val="008A69FE"/>
    <w:rsid w:val="008A6E1D"/>
    <w:rsid w:val="008A6EC7"/>
    <w:rsid w:val="008A6F36"/>
    <w:rsid w:val="008A7286"/>
    <w:rsid w:val="008A737A"/>
    <w:rsid w:val="008A7B50"/>
    <w:rsid w:val="008B0028"/>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07"/>
    <w:rsid w:val="008B70EE"/>
    <w:rsid w:val="008B715C"/>
    <w:rsid w:val="008B75B8"/>
    <w:rsid w:val="008B7AAE"/>
    <w:rsid w:val="008B7BC6"/>
    <w:rsid w:val="008C06A8"/>
    <w:rsid w:val="008C0EAD"/>
    <w:rsid w:val="008C1442"/>
    <w:rsid w:val="008C1693"/>
    <w:rsid w:val="008C19D9"/>
    <w:rsid w:val="008C1A5E"/>
    <w:rsid w:val="008C1A81"/>
    <w:rsid w:val="008C1C68"/>
    <w:rsid w:val="008C1EA9"/>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8B0"/>
    <w:rsid w:val="008D0B4C"/>
    <w:rsid w:val="008D0E91"/>
    <w:rsid w:val="008D14C4"/>
    <w:rsid w:val="008D1964"/>
    <w:rsid w:val="008D1FA4"/>
    <w:rsid w:val="008D221A"/>
    <w:rsid w:val="008D241C"/>
    <w:rsid w:val="008D24D6"/>
    <w:rsid w:val="008D24E1"/>
    <w:rsid w:val="008D26A5"/>
    <w:rsid w:val="008D3E6A"/>
    <w:rsid w:val="008D4A8F"/>
    <w:rsid w:val="008D4F71"/>
    <w:rsid w:val="008D4FFE"/>
    <w:rsid w:val="008D53E2"/>
    <w:rsid w:val="008D5908"/>
    <w:rsid w:val="008D5AF1"/>
    <w:rsid w:val="008D6291"/>
    <w:rsid w:val="008D67A5"/>
    <w:rsid w:val="008D6833"/>
    <w:rsid w:val="008D6A6E"/>
    <w:rsid w:val="008D72B3"/>
    <w:rsid w:val="008D781F"/>
    <w:rsid w:val="008D7DBE"/>
    <w:rsid w:val="008E02B7"/>
    <w:rsid w:val="008E0950"/>
    <w:rsid w:val="008E12E8"/>
    <w:rsid w:val="008E20BE"/>
    <w:rsid w:val="008E241B"/>
    <w:rsid w:val="008E3096"/>
    <w:rsid w:val="008E330C"/>
    <w:rsid w:val="008E332F"/>
    <w:rsid w:val="008E4114"/>
    <w:rsid w:val="008E4317"/>
    <w:rsid w:val="008E45EA"/>
    <w:rsid w:val="008E4A1A"/>
    <w:rsid w:val="008E4E02"/>
    <w:rsid w:val="008E5E01"/>
    <w:rsid w:val="008E69A3"/>
    <w:rsid w:val="008E7339"/>
    <w:rsid w:val="008E7CC9"/>
    <w:rsid w:val="008F016E"/>
    <w:rsid w:val="008F02A1"/>
    <w:rsid w:val="008F0E69"/>
    <w:rsid w:val="008F12FF"/>
    <w:rsid w:val="008F13AA"/>
    <w:rsid w:val="008F1F94"/>
    <w:rsid w:val="008F3D3E"/>
    <w:rsid w:val="008F3F31"/>
    <w:rsid w:val="008F42C4"/>
    <w:rsid w:val="008F4655"/>
    <w:rsid w:val="008F4779"/>
    <w:rsid w:val="008F523B"/>
    <w:rsid w:val="008F542B"/>
    <w:rsid w:val="008F5473"/>
    <w:rsid w:val="008F5670"/>
    <w:rsid w:val="008F599F"/>
    <w:rsid w:val="008F5EDB"/>
    <w:rsid w:val="008F63DF"/>
    <w:rsid w:val="008F64E5"/>
    <w:rsid w:val="008F677E"/>
    <w:rsid w:val="008F7307"/>
    <w:rsid w:val="008F76EE"/>
    <w:rsid w:val="008F7B94"/>
    <w:rsid w:val="008F7C28"/>
    <w:rsid w:val="0090034D"/>
    <w:rsid w:val="00900442"/>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400E"/>
    <w:rsid w:val="009046C9"/>
    <w:rsid w:val="009046F1"/>
    <w:rsid w:val="00904883"/>
    <w:rsid w:val="00904B0A"/>
    <w:rsid w:val="00904F84"/>
    <w:rsid w:val="009052CE"/>
    <w:rsid w:val="009055DD"/>
    <w:rsid w:val="00905BC3"/>
    <w:rsid w:val="0090616A"/>
    <w:rsid w:val="0090640F"/>
    <w:rsid w:val="00906527"/>
    <w:rsid w:val="00906BD9"/>
    <w:rsid w:val="00906C2A"/>
    <w:rsid w:val="00906C91"/>
    <w:rsid w:val="00906EA0"/>
    <w:rsid w:val="00907F4C"/>
    <w:rsid w:val="0091006A"/>
    <w:rsid w:val="00910B57"/>
    <w:rsid w:val="00911092"/>
    <w:rsid w:val="0091148A"/>
    <w:rsid w:val="00912347"/>
    <w:rsid w:val="0091268D"/>
    <w:rsid w:val="009129C1"/>
    <w:rsid w:val="00912BBD"/>
    <w:rsid w:val="00913B74"/>
    <w:rsid w:val="00913EBB"/>
    <w:rsid w:val="00913ED6"/>
    <w:rsid w:val="009141BB"/>
    <w:rsid w:val="00914ADA"/>
    <w:rsid w:val="00914AE1"/>
    <w:rsid w:val="00914B55"/>
    <w:rsid w:val="00914D9B"/>
    <w:rsid w:val="00914DC4"/>
    <w:rsid w:val="00915329"/>
    <w:rsid w:val="0091581D"/>
    <w:rsid w:val="0091588C"/>
    <w:rsid w:val="00915DB5"/>
    <w:rsid w:val="00915DF4"/>
    <w:rsid w:val="00916012"/>
    <w:rsid w:val="00916068"/>
    <w:rsid w:val="009167D2"/>
    <w:rsid w:val="00916BF5"/>
    <w:rsid w:val="00916CCB"/>
    <w:rsid w:val="00917DB8"/>
    <w:rsid w:val="00917EEB"/>
    <w:rsid w:val="00920EC8"/>
    <w:rsid w:val="00920EE1"/>
    <w:rsid w:val="00921102"/>
    <w:rsid w:val="00921305"/>
    <w:rsid w:val="00921783"/>
    <w:rsid w:val="009217D9"/>
    <w:rsid w:val="00921AC8"/>
    <w:rsid w:val="0092206F"/>
    <w:rsid w:val="00922482"/>
    <w:rsid w:val="0092287A"/>
    <w:rsid w:val="00922A2B"/>
    <w:rsid w:val="009239B9"/>
    <w:rsid w:val="00924A6C"/>
    <w:rsid w:val="00924ED4"/>
    <w:rsid w:val="00924F63"/>
    <w:rsid w:val="00925DB9"/>
    <w:rsid w:val="009271AB"/>
    <w:rsid w:val="00927281"/>
    <w:rsid w:val="009273B8"/>
    <w:rsid w:val="00927A20"/>
    <w:rsid w:val="00927EC4"/>
    <w:rsid w:val="00930298"/>
    <w:rsid w:val="009302A6"/>
    <w:rsid w:val="00930EFC"/>
    <w:rsid w:val="00931325"/>
    <w:rsid w:val="009317C4"/>
    <w:rsid w:val="009319DC"/>
    <w:rsid w:val="00931AAD"/>
    <w:rsid w:val="00931E6D"/>
    <w:rsid w:val="0093236B"/>
    <w:rsid w:val="00932D04"/>
    <w:rsid w:val="00932E9E"/>
    <w:rsid w:val="00933B8A"/>
    <w:rsid w:val="00934141"/>
    <w:rsid w:val="009341AA"/>
    <w:rsid w:val="0093429A"/>
    <w:rsid w:val="00934FE5"/>
    <w:rsid w:val="009352D3"/>
    <w:rsid w:val="009355BB"/>
    <w:rsid w:val="00935789"/>
    <w:rsid w:val="009359C5"/>
    <w:rsid w:val="00935C5F"/>
    <w:rsid w:val="00935CFA"/>
    <w:rsid w:val="009361E8"/>
    <w:rsid w:val="00936247"/>
    <w:rsid w:val="00936501"/>
    <w:rsid w:val="009366AD"/>
    <w:rsid w:val="00936839"/>
    <w:rsid w:val="00936D8A"/>
    <w:rsid w:val="009377A1"/>
    <w:rsid w:val="00937F93"/>
    <w:rsid w:val="00940850"/>
    <w:rsid w:val="00940B1D"/>
    <w:rsid w:val="00941A39"/>
    <w:rsid w:val="00941D9B"/>
    <w:rsid w:val="0094236F"/>
    <w:rsid w:val="0094243B"/>
    <w:rsid w:val="009425EB"/>
    <w:rsid w:val="009428A4"/>
    <w:rsid w:val="00943157"/>
    <w:rsid w:val="0094368C"/>
    <w:rsid w:val="00943893"/>
    <w:rsid w:val="00943B06"/>
    <w:rsid w:val="00944312"/>
    <w:rsid w:val="009443DC"/>
    <w:rsid w:val="00944AE2"/>
    <w:rsid w:val="0094526B"/>
    <w:rsid w:val="009456EB"/>
    <w:rsid w:val="00945E7E"/>
    <w:rsid w:val="00945E8F"/>
    <w:rsid w:val="009463FD"/>
    <w:rsid w:val="009467FD"/>
    <w:rsid w:val="00946D2E"/>
    <w:rsid w:val="00946E64"/>
    <w:rsid w:val="009472F6"/>
    <w:rsid w:val="009474C8"/>
    <w:rsid w:val="0094783F"/>
    <w:rsid w:val="00950ACE"/>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8A"/>
    <w:rsid w:val="00955AA9"/>
    <w:rsid w:val="00955AB2"/>
    <w:rsid w:val="00955E60"/>
    <w:rsid w:val="00955EC8"/>
    <w:rsid w:val="0095699A"/>
    <w:rsid w:val="00956B34"/>
    <w:rsid w:val="00956CCE"/>
    <w:rsid w:val="0095702D"/>
    <w:rsid w:val="00957174"/>
    <w:rsid w:val="009571A6"/>
    <w:rsid w:val="00957252"/>
    <w:rsid w:val="009572FF"/>
    <w:rsid w:val="0095752A"/>
    <w:rsid w:val="009577C1"/>
    <w:rsid w:val="00957CF7"/>
    <w:rsid w:val="00957E3C"/>
    <w:rsid w:val="0096017C"/>
    <w:rsid w:val="009602BA"/>
    <w:rsid w:val="0096109F"/>
    <w:rsid w:val="009615D7"/>
    <w:rsid w:val="00962629"/>
    <w:rsid w:val="00962D17"/>
    <w:rsid w:val="00962E03"/>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72C2"/>
    <w:rsid w:val="00967655"/>
    <w:rsid w:val="00967D86"/>
    <w:rsid w:val="009702B4"/>
    <w:rsid w:val="00970F12"/>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A1E"/>
    <w:rsid w:val="0097559A"/>
    <w:rsid w:val="00975D48"/>
    <w:rsid w:val="00976546"/>
    <w:rsid w:val="0097657D"/>
    <w:rsid w:val="00976FCF"/>
    <w:rsid w:val="009775D5"/>
    <w:rsid w:val="0097761E"/>
    <w:rsid w:val="009779CB"/>
    <w:rsid w:val="00977FE1"/>
    <w:rsid w:val="00980BAC"/>
    <w:rsid w:val="00980DF0"/>
    <w:rsid w:val="00980E28"/>
    <w:rsid w:val="00980F3F"/>
    <w:rsid w:val="009813FF"/>
    <w:rsid w:val="00981D1C"/>
    <w:rsid w:val="00982032"/>
    <w:rsid w:val="00982214"/>
    <w:rsid w:val="009823D4"/>
    <w:rsid w:val="00982474"/>
    <w:rsid w:val="00982575"/>
    <w:rsid w:val="009825C0"/>
    <w:rsid w:val="00983285"/>
    <w:rsid w:val="00983C1E"/>
    <w:rsid w:val="00984672"/>
    <w:rsid w:val="009846BA"/>
    <w:rsid w:val="00984F97"/>
    <w:rsid w:val="0098545B"/>
    <w:rsid w:val="0098569D"/>
    <w:rsid w:val="009858E8"/>
    <w:rsid w:val="00985A09"/>
    <w:rsid w:val="00986277"/>
    <w:rsid w:val="009866A3"/>
    <w:rsid w:val="0098693D"/>
    <w:rsid w:val="00986E60"/>
    <w:rsid w:val="00987F62"/>
    <w:rsid w:val="00990343"/>
    <w:rsid w:val="009905E1"/>
    <w:rsid w:val="0099064C"/>
    <w:rsid w:val="0099078A"/>
    <w:rsid w:val="0099097F"/>
    <w:rsid w:val="00992097"/>
    <w:rsid w:val="009920A3"/>
    <w:rsid w:val="009925E9"/>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EBD"/>
    <w:rsid w:val="0099625A"/>
    <w:rsid w:val="009965BC"/>
    <w:rsid w:val="0099662E"/>
    <w:rsid w:val="00997258"/>
    <w:rsid w:val="0099727D"/>
    <w:rsid w:val="009973BE"/>
    <w:rsid w:val="00997C19"/>
    <w:rsid w:val="009A0217"/>
    <w:rsid w:val="009A0415"/>
    <w:rsid w:val="009A04CD"/>
    <w:rsid w:val="009A177E"/>
    <w:rsid w:val="009A1AE9"/>
    <w:rsid w:val="009A22E6"/>
    <w:rsid w:val="009A2486"/>
    <w:rsid w:val="009A2690"/>
    <w:rsid w:val="009A3307"/>
    <w:rsid w:val="009A3520"/>
    <w:rsid w:val="009A3547"/>
    <w:rsid w:val="009A35C6"/>
    <w:rsid w:val="009A37DE"/>
    <w:rsid w:val="009A39FF"/>
    <w:rsid w:val="009A3B53"/>
    <w:rsid w:val="009A3CB5"/>
    <w:rsid w:val="009A3EAF"/>
    <w:rsid w:val="009A3F33"/>
    <w:rsid w:val="009A42EC"/>
    <w:rsid w:val="009A54A5"/>
    <w:rsid w:val="009A5501"/>
    <w:rsid w:val="009A5984"/>
    <w:rsid w:val="009A5AE0"/>
    <w:rsid w:val="009A5F64"/>
    <w:rsid w:val="009A5FE2"/>
    <w:rsid w:val="009A6129"/>
    <w:rsid w:val="009A6621"/>
    <w:rsid w:val="009A6AEA"/>
    <w:rsid w:val="009A6CC5"/>
    <w:rsid w:val="009A7DC4"/>
    <w:rsid w:val="009B052F"/>
    <w:rsid w:val="009B1F3A"/>
    <w:rsid w:val="009B1F90"/>
    <w:rsid w:val="009B2766"/>
    <w:rsid w:val="009B2852"/>
    <w:rsid w:val="009B29EA"/>
    <w:rsid w:val="009B2B90"/>
    <w:rsid w:val="009B2DA5"/>
    <w:rsid w:val="009B32F0"/>
    <w:rsid w:val="009B3996"/>
    <w:rsid w:val="009B3EB4"/>
    <w:rsid w:val="009B3F21"/>
    <w:rsid w:val="009B42BE"/>
    <w:rsid w:val="009B5400"/>
    <w:rsid w:val="009B5973"/>
    <w:rsid w:val="009B5B48"/>
    <w:rsid w:val="009B62E6"/>
    <w:rsid w:val="009B6580"/>
    <w:rsid w:val="009B67C4"/>
    <w:rsid w:val="009B6A3F"/>
    <w:rsid w:val="009B6C5A"/>
    <w:rsid w:val="009B6D42"/>
    <w:rsid w:val="009B716C"/>
    <w:rsid w:val="009B71E1"/>
    <w:rsid w:val="009B73E9"/>
    <w:rsid w:val="009B7473"/>
    <w:rsid w:val="009C0425"/>
    <w:rsid w:val="009C0448"/>
    <w:rsid w:val="009C0615"/>
    <w:rsid w:val="009C0CF8"/>
    <w:rsid w:val="009C125A"/>
    <w:rsid w:val="009C1EB2"/>
    <w:rsid w:val="009C2675"/>
    <w:rsid w:val="009C2839"/>
    <w:rsid w:val="009C2DC4"/>
    <w:rsid w:val="009C2F03"/>
    <w:rsid w:val="009C3042"/>
    <w:rsid w:val="009C386A"/>
    <w:rsid w:val="009C3E9C"/>
    <w:rsid w:val="009C4A32"/>
    <w:rsid w:val="009C5FDA"/>
    <w:rsid w:val="009C63AB"/>
    <w:rsid w:val="009C69D0"/>
    <w:rsid w:val="009C69F4"/>
    <w:rsid w:val="009C6F83"/>
    <w:rsid w:val="009C7041"/>
    <w:rsid w:val="009C7163"/>
    <w:rsid w:val="009C77A3"/>
    <w:rsid w:val="009C7A73"/>
    <w:rsid w:val="009D1082"/>
    <w:rsid w:val="009D1216"/>
    <w:rsid w:val="009D203A"/>
    <w:rsid w:val="009D20AC"/>
    <w:rsid w:val="009D20C9"/>
    <w:rsid w:val="009D21C8"/>
    <w:rsid w:val="009D26D8"/>
    <w:rsid w:val="009D30F9"/>
    <w:rsid w:val="009D3192"/>
    <w:rsid w:val="009D31C0"/>
    <w:rsid w:val="009D322C"/>
    <w:rsid w:val="009D334F"/>
    <w:rsid w:val="009D33C0"/>
    <w:rsid w:val="009D372A"/>
    <w:rsid w:val="009D3A26"/>
    <w:rsid w:val="009D3BAC"/>
    <w:rsid w:val="009D3EDD"/>
    <w:rsid w:val="009D43D2"/>
    <w:rsid w:val="009D48BA"/>
    <w:rsid w:val="009D4B7E"/>
    <w:rsid w:val="009D4D48"/>
    <w:rsid w:val="009D4DC6"/>
    <w:rsid w:val="009D5106"/>
    <w:rsid w:val="009D5E95"/>
    <w:rsid w:val="009D5E99"/>
    <w:rsid w:val="009D66B9"/>
    <w:rsid w:val="009D6B77"/>
    <w:rsid w:val="009D6C4C"/>
    <w:rsid w:val="009D6CE1"/>
    <w:rsid w:val="009D74C2"/>
    <w:rsid w:val="009E076D"/>
    <w:rsid w:val="009E14B2"/>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0E0B"/>
    <w:rsid w:val="009F231C"/>
    <w:rsid w:val="009F2512"/>
    <w:rsid w:val="009F2800"/>
    <w:rsid w:val="009F2C7D"/>
    <w:rsid w:val="009F40CE"/>
    <w:rsid w:val="009F47DF"/>
    <w:rsid w:val="009F4CDA"/>
    <w:rsid w:val="009F4DCF"/>
    <w:rsid w:val="009F59BF"/>
    <w:rsid w:val="009F5F68"/>
    <w:rsid w:val="009F6595"/>
    <w:rsid w:val="009F6BC3"/>
    <w:rsid w:val="009F749A"/>
    <w:rsid w:val="009F776E"/>
    <w:rsid w:val="009F7973"/>
    <w:rsid w:val="00A00F42"/>
    <w:rsid w:val="00A0117B"/>
    <w:rsid w:val="00A01519"/>
    <w:rsid w:val="00A0195A"/>
    <w:rsid w:val="00A01F31"/>
    <w:rsid w:val="00A02A6E"/>
    <w:rsid w:val="00A02D3C"/>
    <w:rsid w:val="00A032EA"/>
    <w:rsid w:val="00A0408F"/>
    <w:rsid w:val="00A04E68"/>
    <w:rsid w:val="00A05174"/>
    <w:rsid w:val="00A05442"/>
    <w:rsid w:val="00A055FE"/>
    <w:rsid w:val="00A05975"/>
    <w:rsid w:val="00A05EAA"/>
    <w:rsid w:val="00A0608D"/>
    <w:rsid w:val="00A060BE"/>
    <w:rsid w:val="00A0695E"/>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739"/>
    <w:rsid w:val="00A15566"/>
    <w:rsid w:val="00A15B2D"/>
    <w:rsid w:val="00A163CD"/>
    <w:rsid w:val="00A16778"/>
    <w:rsid w:val="00A16863"/>
    <w:rsid w:val="00A16B57"/>
    <w:rsid w:val="00A16F55"/>
    <w:rsid w:val="00A172C9"/>
    <w:rsid w:val="00A17B66"/>
    <w:rsid w:val="00A17F66"/>
    <w:rsid w:val="00A20224"/>
    <w:rsid w:val="00A21424"/>
    <w:rsid w:val="00A21997"/>
    <w:rsid w:val="00A21C53"/>
    <w:rsid w:val="00A2366C"/>
    <w:rsid w:val="00A2390C"/>
    <w:rsid w:val="00A23A98"/>
    <w:rsid w:val="00A23E1D"/>
    <w:rsid w:val="00A23EF1"/>
    <w:rsid w:val="00A24217"/>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0B1C"/>
    <w:rsid w:val="00A313B3"/>
    <w:rsid w:val="00A31D00"/>
    <w:rsid w:val="00A32051"/>
    <w:rsid w:val="00A323A5"/>
    <w:rsid w:val="00A32AE0"/>
    <w:rsid w:val="00A32B77"/>
    <w:rsid w:val="00A32BB4"/>
    <w:rsid w:val="00A32D56"/>
    <w:rsid w:val="00A33037"/>
    <w:rsid w:val="00A33CCF"/>
    <w:rsid w:val="00A35316"/>
    <w:rsid w:val="00A35D65"/>
    <w:rsid w:val="00A36CF6"/>
    <w:rsid w:val="00A36EC5"/>
    <w:rsid w:val="00A371D7"/>
    <w:rsid w:val="00A37EDA"/>
    <w:rsid w:val="00A4035D"/>
    <w:rsid w:val="00A413A3"/>
    <w:rsid w:val="00A41619"/>
    <w:rsid w:val="00A41F7F"/>
    <w:rsid w:val="00A41FD3"/>
    <w:rsid w:val="00A4317F"/>
    <w:rsid w:val="00A43270"/>
    <w:rsid w:val="00A433D9"/>
    <w:rsid w:val="00A4539E"/>
    <w:rsid w:val="00A459C0"/>
    <w:rsid w:val="00A45F7E"/>
    <w:rsid w:val="00A46080"/>
    <w:rsid w:val="00A461CB"/>
    <w:rsid w:val="00A4666A"/>
    <w:rsid w:val="00A46AC1"/>
    <w:rsid w:val="00A46C6C"/>
    <w:rsid w:val="00A46EB1"/>
    <w:rsid w:val="00A47A54"/>
    <w:rsid w:val="00A47C2F"/>
    <w:rsid w:val="00A47C59"/>
    <w:rsid w:val="00A500DE"/>
    <w:rsid w:val="00A5052A"/>
    <w:rsid w:val="00A50FEC"/>
    <w:rsid w:val="00A512C7"/>
    <w:rsid w:val="00A51FC3"/>
    <w:rsid w:val="00A53152"/>
    <w:rsid w:val="00A532FC"/>
    <w:rsid w:val="00A53624"/>
    <w:rsid w:val="00A53792"/>
    <w:rsid w:val="00A537F8"/>
    <w:rsid w:val="00A539AA"/>
    <w:rsid w:val="00A539C1"/>
    <w:rsid w:val="00A54F72"/>
    <w:rsid w:val="00A56245"/>
    <w:rsid w:val="00A565B6"/>
    <w:rsid w:val="00A567E2"/>
    <w:rsid w:val="00A56806"/>
    <w:rsid w:val="00A57F15"/>
    <w:rsid w:val="00A57F41"/>
    <w:rsid w:val="00A60066"/>
    <w:rsid w:val="00A60179"/>
    <w:rsid w:val="00A601D9"/>
    <w:rsid w:val="00A6027E"/>
    <w:rsid w:val="00A61399"/>
    <w:rsid w:val="00A61782"/>
    <w:rsid w:val="00A61FDA"/>
    <w:rsid w:val="00A6279F"/>
    <w:rsid w:val="00A63850"/>
    <w:rsid w:val="00A64787"/>
    <w:rsid w:val="00A648E9"/>
    <w:rsid w:val="00A64A59"/>
    <w:rsid w:val="00A65177"/>
    <w:rsid w:val="00A65268"/>
    <w:rsid w:val="00A65DDA"/>
    <w:rsid w:val="00A66008"/>
    <w:rsid w:val="00A6654A"/>
    <w:rsid w:val="00A667EF"/>
    <w:rsid w:val="00A66B03"/>
    <w:rsid w:val="00A66C0D"/>
    <w:rsid w:val="00A6764D"/>
    <w:rsid w:val="00A67934"/>
    <w:rsid w:val="00A67D4A"/>
    <w:rsid w:val="00A70080"/>
    <w:rsid w:val="00A7022A"/>
    <w:rsid w:val="00A703AE"/>
    <w:rsid w:val="00A70415"/>
    <w:rsid w:val="00A709AE"/>
    <w:rsid w:val="00A70DCB"/>
    <w:rsid w:val="00A70E5B"/>
    <w:rsid w:val="00A70F76"/>
    <w:rsid w:val="00A71120"/>
    <w:rsid w:val="00A71D6E"/>
    <w:rsid w:val="00A71FD1"/>
    <w:rsid w:val="00A720C2"/>
    <w:rsid w:val="00A722DC"/>
    <w:rsid w:val="00A7248F"/>
    <w:rsid w:val="00A72733"/>
    <w:rsid w:val="00A72BC8"/>
    <w:rsid w:val="00A72C04"/>
    <w:rsid w:val="00A72E13"/>
    <w:rsid w:val="00A72FE2"/>
    <w:rsid w:val="00A73341"/>
    <w:rsid w:val="00A748ED"/>
    <w:rsid w:val="00A74BC3"/>
    <w:rsid w:val="00A74E4C"/>
    <w:rsid w:val="00A7504B"/>
    <w:rsid w:val="00A75386"/>
    <w:rsid w:val="00A7593A"/>
    <w:rsid w:val="00A7597F"/>
    <w:rsid w:val="00A75D3F"/>
    <w:rsid w:val="00A75DC2"/>
    <w:rsid w:val="00A75E69"/>
    <w:rsid w:val="00A7678C"/>
    <w:rsid w:val="00A768C8"/>
    <w:rsid w:val="00A76C21"/>
    <w:rsid w:val="00A77134"/>
    <w:rsid w:val="00A77727"/>
    <w:rsid w:val="00A77A4F"/>
    <w:rsid w:val="00A800E8"/>
    <w:rsid w:val="00A81122"/>
    <w:rsid w:val="00A817C8"/>
    <w:rsid w:val="00A818D7"/>
    <w:rsid w:val="00A820F1"/>
    <w:rsid w:val="00A8226A"/>
    <w:rsid w:val="00A82941"/>
    <w:rsid w:val="00A831CD"/>
    <w:rsid w:val="00A834D6"/>
    <w:rsid w:val="00A83BBE"/>
    <w:rsid w:val="00A83D38"/>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38B"/>
    <w:rsid w:val="00A93738"/>
    <w:rsid w:val="00A93A74"/>
    <w:rsid w:val="00A94084"/>
    <w:rsid w:val="00A9446E"/>
    <w:rsid w:val="00A94EF9"/>
    <w:rsid w:val="00A94F9F"/>
    <w:rsid w:val="00A96125"/>
    <w:rsid w:val="00A96852"/>
    <w:rsid w:val="00A96C21"/>
    <w:rsid w:val="00A9775E"/>
    <w:rsid w:val="00A9791D"/>
    <w:rsid w:val="00A97D4A"/>
    <w:rsid w:val="00A97DB8"/>
    <w:rsid w:val="00AA0209"/>
    <w:rsid w:val="00AA03A6"/>
    <w:rsid w:val="00AA1128"/>
    <w:rsid w:val="00AA125C"/>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67F"/>
    <w:rsid w:val="00AA568A"/>
    <w:rsid w:val="00AA5789"/>
    <w:rsid w:val="00AA583C"/>
    <w:rsid w:val="00AA6012"/>
    <w:rsid w:val="00AA65CF"/>
    <w:rsid w:val="00AA6760"/>
    <w:rsid w:val="00AA6A88"/>
    <w:rsid w:val="00AA7457"/>
    <w:rsid w:val="00AB02DD"/>
    <w:rsid w:val="00AB045C"/>
    <w:rsid w:val="00AB05BB"/>
    <w:rsid w:val="00AB090C"/>
    <w:rsid w:val="00AB0E69"/>
    <w:rsid w:val="00AB0F9A"/>
    <w:rsid w:val="00AB1160"/>
    <w:rsid w:val="00AB1411"/>
    <w:rsid w:val="00AB142E"/>
    <w:rsid w:val="00AB1739"/>
    <w:rsid w:val="00AB1C10"/>
    <w:rsid w:val="00AB212D"/>
    <w:rsid w:val="00AB2837"/>
    <w:rsid w:val="00AB32C1"/>
    <w:rsid w:val="00AB3552"/>
    <w:rsid w:val="00AB49C3"/>
    <w:rsid w:val="00AB55F8"/>
    <w:rsid w:val="00AB5DF2"/>
    <w:rsid w:val="00AB6C4D"/>
    <w:rsid w:val="00AB7135"/>
    <w:rsid w:val="00AB71F5"/>
    <w:rsid w:val="00AB7866"/>
    <w:rsid w:val="00AC0843"/>
    <w:rsid w:val="00AC0F49"/>
    <w:rsid w:val="00AC13AC"/>
    <w:rsid w:val="00AC19D1"/>
    <w:rsid w:val="00AC1C78"/>
    <w:rsid w:val="00AC1D3B"/>
    <w:rsid w:val="00AC226A"/>
    <w:rsid w:val="00AC246C"/>
    <w:rsid w:val="00AC2526"/>
    <w:rsid w:val="00AC2FB2"/>
    <w:rsid w:val="00AC32FB"/>
    <w:rsid w:val="00AC3728"/>
    <w:rsid w:val="00AC3ADE"/>
    <w:rsid w:val="00AC3BC7"/>
    <w:rsid w:val="00AC3EC8"/>
    <w:rsid w:val="00AC3F17"/>
    <w:rsid w:val="00AC3F58"/>
    <w:rsid w:val="00AC45B8"/>
    <w:rsid w:val="00AC4C92"/>
    <w:rsid w:val="00AC4E28"/>
    <w:rsid w:val="00AC4E71"/>
    <w:rsid w:val="00AC4F7E"/>
    <w:rsid w:val="00AC539B"/>
    <w:rsid w:val="00AC5700"/>
    <w:rsid w:val="00AC5A64"/>
    <w:rsid w:val="00AC699C"/>
    <w:rsid w:val="00AC7042"/>
    <w:rsid w:val="00AC752F"/>
    <w:rsid w:val="00AC7B8D"/>
    <w:rsid w:val="00AC7E49"/>
    <w:rsid w:val="00AD0190"/>
    <w:rsid w:val="00AD0219"/>
    <w:rsid w:val="00AD0271"/>
    <w:rsid w:val="00AD08CB"/>
    <w:rsid w:val="00AD099F"/>
    <w:rsid w:val="00AD1C10"/>
    <w:rsid w:val="00AD1DEC"/>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235"/>
    <w:rsid w:val="00AD734C"/>
    <w:rsid w:val="00AD7922"/>
    <w:rsid w:val="00AE0289"/>
    <w:rsid w:val="00AE0413"/>
    <w:rsid w:val="00AE05BF"/>
    <w:rsid w:val="00AE099B"/>
    <w:rsid w:val="00AE09E9"/>
    <w:rsid w:val="00AE0D8D"/>
    <w:rsid w:val="00AE15AD"/>
    <w:rsid w:val="00AE2354"/>
    <w:rsid w:val="00AE23C8"/>
    <w:rsid w:val="00AE265A"/>
    <w:rsid w:val="00AE308D"/>
    <w:rsid w:val="00AE36D1"/>
    <w:rsid w:val="00AE3DDB"/>
    <w:rsid w:val="00AE44DB"/>
    <w:rsid w:val="00AE46C8"/>
    <w:rsid w:val="00AE48EE"/>
    <w:rsid w:val="00AE4A64"/>
    <w:rsid w:val="00AE4D3A"/>
    <w:rsid w:val="00AE53DE"/>
    <w:rsid w:val="00AE5771"/>
    <w:rsid w:val="00AE59FC"/>
    <w:rsid w:val="00AE5EBB"/>
    <w:rsid w:val="00AE6362"/>
    <w:rsid w:val="00AE6749"/>
    <w:rsid w:val="00AE6AAF"/>
    <w:rsid w:val="00AE6E97"/>
    <w:rsid w:val="00AE710B"/>
    <w:rsid w:val="00AE758E"/>
    <w:rsid w:val="00AF00A4"/>
    <w:rsid w:val="00AF059D"/>
    <w:rsid w:val="00AF077D"/>
    <w:rsid w:val="00AF089F"/>
    <w:rsid w:val="00AF0992"/>
    <w:rsid w:val="00AF0C7C"/>
    <w:rsid w:val="00AF0D62"/>
    <w:rsid w:val="00AF0EB3"/>
    <w:rsid w:val="00AF0FB3"/>
    <w:rsid w:val="00AF1281"/>
    <w:rsid w:val="00AF14C8"/>
    <w:rsid w:val="00AF1B67"/>
    <w:rsid w:val="00AF1FFD"/>
    <w:rsid w:val="00AF23D9"/>
    <w:rsid w:val="00AF23F0"/>
    <w:rsid w:val="00AF290E"/>
    <w:rsid w:val="00AF29FA"/>
    <w:rsid w:val="00AF2A09"/>
    <w:rsid w:val="00AF2A5F"/>
    <w:rsid w:val="00AF2FA9"/>
    <w:rsid w:val="00AF31FE"/>
    <w:rsid w:val="00AF37D5"/>
    <w:rsid w:val="00AF381B"/>
    <w:rsid w:val="00AF391B"/>
    <w:rsid w:val="00AF3D92"/>
    <w:rsid w:val="00AF3F63"/>
    <w:rsid w:val="00AF40FC"/>
    <w:rsid w:val="00AF4345"/>
    <w:rsid w:val="00AF463B"/>
    <w:rsid w:val="00AF4BEE"/>
    <w:rsid w:val="00AF4C88"/>
    <w:rsid w:val="00AF4CC5"/>
    <w:rsid w:val="00AF4EB1"/>
    <w:rsid w:val="00AF5319"/>
    <w:rsid w:val="00AF5B60"/>
    <w:rsid w:val="00AF608B"/>
    <w:rsid w:val="00AF6414"/>
    <w:rsid w:val="00AF6A59"/>
    <w:rsid w:val="00AF7BDD"/>
    <w:rsid w:val="00B00F8C"/>
    <w:rsid w:val="00B00FEC"/>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81C"/>
    <w:rsid w:val="00B06DA3"/>
    <w:rsid w:val="00B06EF8"/>
    <w:rsid w:val="00B077D1"/>
    <w:rsid w:val="00B07DDC"/>
    <w:rsid w:val="00B10044"/>
    <w:rsid w:val="00B10713"/>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F7"/>
    <w:rsid w:val="00B14793"/>
    <w:rsid w:val="00B15075"/>
    <w:rsid w:val="00B15774"/>
    <w:rsid w:val="00B15D17"/>
    <w:rsid w:val="00B15DB9"/>
    <w:rsid w:val="00B16245"/>
    <w:rsid w:val="00B17694"/>
    <w:rsid w:val="00B1780E"/>
    <w:rsid w:val="00B17EE1"/>
    <w:rsid w:val="00B200D3"/>
    <w:rsid w:val="00B204CA"/>
    <w:rsid w:val="00B2060E"/>
    <w:rsid w:val="00B2086A"/>
    <w:rsid w:val="00B20DCF"/>
    <w:rsid w:val="00B20F8A"/>
    <w:rsid w:val="00B215EB"/>
    <w:rsid w:val="00B22522"/>
    <w:rsid w:val="00B2288A"/>
    <w:rsid w:val="00B244D9"/>
    <w:rsid w:val="00B24D66"/>
    <w:rsid w:val="00B2570E"/>
    <w:rsid w:val="00B258AF"/>
    <w:rsid w:val="00B2649C"/>
    <w:rsid w:val="00B264B0"/>
    <w:rsid w:val="00B269F0"/>
    <w:rsid w:val="00B26CDB"/>
    <w:rsid w:val="00B26ECF"/>
    <w:rsid w:val="00B27444"/>
    <w:rsid w:val="00B27734"/>
    <w:rsid w:val="00B27771"/>
    <w:rsid w:val="00B27787"/>
    <w:rsid w:val="00B278D7"/>
    <w:rsid w:val="00B27F6C"/>
    <w:rsid w:val="00B3091E"/>
    <w:rsid w:val="00B30932"/>
    <w:rsid w:val="00B31602"/>
    <w:rsid w:val="00B319FE"/>
    <w:rsid w:val="00B32072"/>
    <w:rsid w:val="00B3232C"/>
    <w:rsid w:val="00B32565"/>
    <w:rsid w:val="00B331B8"/>
    <w:rsid w:val="00B33786"/>
    <w:rsid w:val="00B337A4"/>
    <w:rsid w:val="00B3388C"/>
    <w:rsid w:val="00B33AAC"/>
    <w:rsid w:val="00B34725"/>
    <w:rsid w:val="00B3558D"/>
    <w:rsid w:val="00B355F0"/>
    <w:rsid w:val="00B3578C"/>
    <w:rsid w:val="00B36730"/>
    <w:rsid w:val="00B36762"/>
    <w:rsid w:val="00B36D9E"/>
    <w:rsid w:val="00B37311"/>
    <w:rsid w:val="00B373FB"/>
    <w:rsid w:val="00B37975"/>
    <w:rsid w:val="00B37E18"/>
    <w:rsid w:val="00B4106F"/>
    <w:rsid w:val="00B41A1B"/>
    <w:rsid w:val="00B41BE7"/>
    <w:rsid w:val="00B424F7"/>
    <w:rsid w:val="00B42568"/>
    <w:rsid w:val="00B43102"/>
    <w:rsid w:val="00B4316E"/>
    <w:rsid w:val="00B4339F"/>
    <w:rsid w:val="00B433C1"/>
    <w:rsid w:val="00B4381B"/>
    <w:rsid w:val="00B4383C"/>
    <w:rsid w:val="00B43E26"/>
    <w:rsid w:val="00B4403D"/>
    <w:rsid w:val="00B444C8"/>
    <w:rsid w:val="00B44DBE"/>
    <w:rsid w:val="00B451C5"/>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2CC"/>
    <w:rsid w:val="00B54B6F"/>
    <w:rsid w:val="00B54BD8"/>
    <w:rsid w:val="00B5596C"/>
    <w:rsid w:val="00B569B2"/>
    <w:rsid w:val="00B56FBD"/>
    <w:rsid w:val="00B5715A"/>
    <w:rsid w:val="00B57327"/>
    <w:rsid w:val="00B57859"/>
    <w:rsid w:val="00B57BD2"/>
    <w:rsid w:val="00B57E9C"/>
    <w:rsid w:val="00B6002D"/>
    <w:rsid w:val="00B60035"/>
    <w:rsid w:val="00B6010B"/>
    <w:rsid w:val="00B61262"/>
    <w:rsid w:val="00B61C96"/>
    <w:rsid w:val="00B6210A"/>
    <w:rsid w:val="00B6220A"/>
    <w:rsid w:val="00B629F3"/>
    <w:rsid w:val="00B62BBA"/>
    <w:rsid w:val="00B640CF"/>
    <w:rsid w:val="00B655BB"/>
    <w:rsid w:val="00B65828"/>
    <w:rsid w:val="00B65DE3"/>
    <w:rsid w:val="00B65E01"/>
    <w:rsid w:val="00B66011"/>
    <w:rsid w:val="00B665BB"/>
    <w:rsid w:val="00B66800"/>
    <w:rsid w:val="00B6680A"/>
    <w:rsid w:val="00B668CA"/>
    <w:rsid w:val="00B66AB0"/>
    <w:rsid w:val="00B677D7"/>
    <w:rsid w:val="00B7093C"/>
    <w:rsid w:val="00B7095E"/>
    <w:rsid w:val="00B70C27"/>
    <w:rsid w:val="00B70ED8"/>
    <w:rsid w:val="00B71089"/>
    <w:rsid w:val="00B710E0"/>
    <w:rsid w:val="00B7140E"/>
    <w:rsid w:val="00B7162D"/>
    <w:rsid w:val="00B71E56"/>
    <w:rsid w:val="00B727DF"/>
    <w:rsid w:val="00B72C7A"/>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3F"/>
    <w:rsid w:val="00B76A7D"/>
    <w:rsid w:val="00B76CE1"/>
    <w:rsid w:val="00B77241"/>
    <w:rsid w:val="00B772EF"/>
    <w:rsid w:val="00B776D5"/>
    <w:rsid w:val="00B77B7E"/>
    <w:rsid w:val="00B80744"/>
    <w:rsid w:val="00B80979"/>
    <w:rsid w:val="00B813FD"/>
    <w:rsid w:val="00B818AA"/>
    <w:rsid w:val="00B81B66"/>
    <w:rsid w:val="00B81BC2"/>
    <w:rsid w:val="00B81C75"/>
    <w:rsid w:val="00B81D30"/>
    <w:rsid w:val="00B81D8F"/>
    <w:rsid w:val="00B81EEF"/>
    <w:rsid w:val="00B81F26"/>
    <w:rsid w:val="00B84075"/>
    <w:rsid w:val="00B840BB"/>
    <w:rsid w:val="00B8488B"/>
    <w:rsid w:val="00B84AB9"/>
    <w:rsid w:val="00B84C9F"/>
    <w:rsid w:val="00B84E83"/>
    <w:rsid w:val="00B8525F"/>
    <w:rsid w:val="00B852F9"/>
    <w:rsid w:val="00B85552"/>
    <w:rsid w:val="00B856E9"/>
    <w:rsid w:val="00B85774"/>
    <w:rsid w:val="00B86429"/>
    <w:rsid w:val="00B8648F"/>
    <w:rsid w:val="00B86589"/>
    <w:rsid w:val="00B866C7"/>
    <w:rsid w:val="00B86EFB"/>
    <w:rsid w:val="00B872F1"/>
    <w:rsid w:val="00B87563"/>
    <w:rsid w:val="00B87726"/>
    <w:rsid w:val="00B87EBC"/>
    <w:rsid w:val="00B87FF0"/>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A36"/>
    <w:rsid w:val="00B95CCC"/>
    <w:rsid w:val="00B95D58"/>
    <w:rsid w:val="00B95F44"/>
    <w:rsid w:val="00B9615D"/>
    <w:rsid w:val="00B964FA"/>
    <w:rsid w:val="00B96D3C"/>
    <w:rsid w:val="00B9732C"/>
    <w:rsid w:val="00B97577"/>
    <w:rsid w:val="00BA0FE9"/>
    <w:rsid w:val="00BA139F"/>
    <w:rsid w:val="00BA1839"/>
    <w:rsid w:val="00BA1A0B"/>
    <w:rsid w:val="00BA1E85"/>
    <w:rsid w:val="00BA20CC"/>
    <w:rsid w:val="00BA24BB"/>
    <w:rsid w:val="00BA2A0D"/>
    <w:rsid w:val="00BA359B"/>
    <w:rsid w:val="00BA3A93"/>
    <w:rsid w:val="00BA44BC"/>
    <w:rsid w:val="00BA4D05"/>
    <w:rsid w:val="00BA5165"/>
    <w:rsid w:val="00BA5599"/>
    <w:rsid w:val="00BA561A"/>
    <w:rsid w:val="00BA5886"/>
    <w:rsid w:val="00BA5A40"/>
    <w:rsid w:val="00BA5E8B"/>
    <w:rsid w:val="00BA5FD5"/>
    <w:rsid w:val="00BA60D1"/>
    <w:rsid w:val="00BA62AB"/>
    <w:rsid w:val="00BA7E0B"/>
    <w:rsid w:val="00BB0DE3"/>
    <w:rsid w:val="00BB0EA0"/>
    <w:rsid w:val="00BB10CD"/>
    <w:rsid w:val="00BB10F0"/>
    <w:rsid w:val="00BB122E"/>
    <w:rsid w:val="00BB15E2"/>
    <w:rsid w:val="00BB1EEB"/>
    <w:rsid w:val="00BB25BB"/>
    <w:rsid w:val="00BB4735"/>
    <w:rsid w:val="00BB4A6F"/>
    <w:rsid w:val="00BB56B1"/>
    <w:rsid w:val="00BB5759"/>
    <w:rsid w:val="00BB59B3"/>
    <w:rsid w:val="00BB5A30"/>
    <w:rsid w:val="00BB5B98"/>
    <w:rsid w:val="00BB5EA1"/>
    <w:rsid w:val="00BB68FA"/>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63"/>
    <w:rsid w:val="00BC54D1"/>
    <w:rsid w:val="00BC5F78"/>
    <w:rsid w:val="00BC6308"/>
    <w:rsid w:val="00BC634B"/>
    <w:rsid w:val="00BC63FE"/>
    <w:rsid w:val="00BC666D"/>
    <w:rsid w:val="00BC67A4"/>
    <w:rsid w:val="00BC6B4D"/>
    <w:rsid w:val="00BC6C4F"/>
    <w:rsid w:val="00BC6DF0"/>
    <w:rsid w:val="00BC76AA"/>
    <w:rsid w:val="00BD1290"/>
    <w:rsid w:val="00BD1CFB"/>
    <w:rsid w:val="00BD2B8F"/>
    <w:rsid w:val="00BD3201"/>
    <w:rsid w:val="00BD33CC"/>
    <w:rsid w:val="00BD35B9"/>
    <w:rsid w:val="00BD36EC"/>
    <w:rsid w:val="00BD419E"/>
    <w:rsid w:val="00BD4A52"/>
    <w:rsid w:val="00BD4D8D"/>
    <w:rsid w:val="00BD51CA"/>
    <w:rsid w:val="00BD5CD2"/>
    <w:rsid w:val="00BD6352"/>
    <w:rsid w:val="00BD64E7"/>
    <w:rsid w:val="00BD6BFF"/>
    <w:rsid w:val="00BD719B"/>
    <w:rsid w:val="00BD77DE"/>
    <w:rsid w:val="00BD79C2"/>
    <w:rsid w:val="00BE1F2E"/>
    <w:rsid w:val="00BE1FA7"/>
    <w:rsid w:val="00BE23BB"/>
    <w:rsid w:val="00BE2891"/>
    <w:rsid w:val="00BE2AD7"/>
    <w:rsid w:val="00BE2BAA"/>
    <w:rsid w:val="00BE2CD0"/>
    <w:rsid w:val="00BE39D5"/>
    <w:rsid w:val="00BE4F8D"/>
    <w:rsid w:val="00BE590A"/>
    <w:rsid w:val="00BE5B76"/>
    <w:rsid w:val="00BE7348"/>
    <w:rsid w:val="00BE770F"/>
    <w:rsid w:val="00BE778C"/>
    <w:rsid w:val="00BE7CC7"/>
    <w:rsid w:val="00BE7E4D"/>
    <w:rsid w:val="00BE7F15"/>
    <w:rsid w:val="00BF0028"/>
    <w:rsid w:val="00BF01D4"/>
    <w:rsid w:val="00BF03B4"/>
    <w:rsid w:val="00BF0409"/>
    <w:rsid w:val="00BF1D3C"/>
    <w:rsid w:val="00BF1E87"/>
    <w:rsid w:val="00BF20FB"/>
    <w:rsid w:val="00BF2554"/>
    <w:rsid w:val="00BF2997"/>
    <w:rsid w:val="00BF3535"/>
    <w:rsid w:val="00BF3594"/>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418"/>
    <w:rsid w:val="00C03815"/>
    <w:rsid w:val="00C03F13"/>
    <w:rsid w:val="00C041F4"/>
    <w:rsid w:val="00C04926"/>
    <w:rsid w:val="00C04C59"/>
    <w:rsid w:val="00C0503D"/>
    <w:rsid w:val="00C0524E"/>
    <w:rsid w:val="00C05428"/>
    <w:rsid w:val="00C0552E"/>
    <w:rsid w:val="00C058A3"/>
    <w:rsid w:val="00C05E05"/>
    <w:rsid w:val="00C06936"/>
    <w:rsid w:val="00C06CBE"/>
    <w:rsid w:val="00C06FEC"/>
    <w:rsid w:val="00C0711F"/>
    <w:rsid w:val="00C073D8"/>
    <w:rsid w:val="00C077E1"/>
    <w:rsid w:val="00C101B5"/>
    <w:rsid w:val="00C107BE"/>
    <w:rsid w:val="00C10BD0"/>
    <w:rsid w:val="00C10C03"/>
    <w:rsid w:val="00C10F4C"/>
    <w:rsid w:val="00C112F7"/>
    <w:rsid w:val="00C1161D"/>
    <w:rsid w:val="00C12CC4"/>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1A"/>
    <w:rsid w:val="00C15CAE"/>
    <w:rsid w:val="00C160D9"/>
    <w:rsid w:val="00C16B32"/>
    <w:rsid w:val="00C16FF1"/>
    <w:rsid w:val="00C17089"/>
    <w:rsid w:val="00C1715B"/>
    <w:rsid w:val="00C1757F"/>
    <w:rsid w:val="00C179C2"/>
    <w:rsid w:val="00C17A66"/>
    <w:rsid w:val="00C17A78"/>
    <w:rsid w:val="00C17B74"/>
    <w:rsid w:val="00C17BCC"/>
    <w:rsid w:val="00C20358"/>
    <w:rsid w:val="00C20A09"/>
    <w:rsid w:val="00C20AEB"/>
    <w:rsid w:val="00C20F22"/>
    <w:rsid w:val="00C21FF8"/>
    <w:rsid w:val="00C220F2"/>
    <w:rsid w:val="00C22286"/>
    <w:rsid w:val="00C223A0"/>
    <w:rsid w:val="00C23398"/>
    <w:rsid w:val="00C2398F"/>
    <w:rsid w:val="00C23BBD"/>
    <w:rsid w:val="00C2414B"/>
    <w:rsid w:val="00C2455C"/>
    <w:rsid w:val="00C2456C"/>
    <w:rsid w:val="00C24638"/>
    <w:rsid w:val="00C26495"/>
    <w:rsid w:val="00C26A62"/>
    <w:rsid w:val="00C27194"/>
    <w:rsid w:val="00C2725D"/>
    <w:rsid w:val="00C273ED"/>
    <w:rsid w:val="00C27447"/>
    <w:rsid w:val="00C27645"/>
    <w:rsid w:val="00C27792"/>
    <w:rsid w:val="00C27891"/>
    <w:rsid w:val="00C27CBD"/>
    <w:rsid w:val="00C27D45"/>
    <w:rsid w:val="00C300F5"/>
    <w:rsid w:val="00C30AED"/>
    <w:rsid w:val="00C31073"/>
    <w:rsid w:val="00C314B5"/>
    <w:rsid w:val="00C3154A"/>
    <w:rsid w:val="00C32570"/>
    <w:rsid w:val="00C32C1E"/>
    <w:rsid w:val="00C32D53"/>
    <w:rsid w:val="00C32F69"/>
    <w:rsid w:val="00C3312E"/>
    <w:rsid w:val="00C335B1"/>
    <w:rsid w:val="00C33CD5"/>
    <w:rsid w:val="00C340CF"/>
    <w:rsid w:val="00C34101"/>
    <w:rsid w:val="00C34760"/>
    <w:rsid w:val="00C34868"/>
    <w:rsid w:val="00C348FE"/>
    <w:rsid w:val="00C34FBC"/>
    <w:rsid w:val="00C35087"/>
    <w:rsid w:val="00C3523B"/>
    <w:rsid w:val="00C35947"/>
    <w:rsid w:val="00C36FFE"/>
    <w:rsid w:val="00C37C15"/>
    <w:rsid w:val="00C37F31"/>
    <w:rsid w:val="00C40000"/>
    <w:rsid w:val="00C4013D"/>
    <w:rsid w:val="00C40A83"/>
    <w:rsid w:val="00C40D37"/>
    <w:rsid w:val="00C40DA1"/>
    <w:rsid w:val="00C4101C"/>
    <w:rsid w:val="00C411CD"/>
    <w:rsid w:val="00C412E1"/>
    <w:rsid w:val="00C416FD"/>
    <w:rsid w:val="00C41E73"/>
    <w:rsid w:val="00C41FA0"/>
    <w:rsid w:val="00C4202A"/>
    <w:rsid w:val="00C4271F"/>
    <w:rsid w:val="00C42A6C"/>
    <w:rsid w:val="00C42B60"/>
    <w:rsid w:val="00C43E4A"/>
    <w:rsid w:val="00C43FD4"/>
    <w:rsid w:val="00C4445E"/>
    <w:rsid w:val="00C44846"/>
    <w:rsid w:val="00C451E7"/>
    <w:rsid w:val="00C45206"/>
    <w:rsid w:val="00C4569D"/>
    <w:rsid w:val="00C45A51"/>
    <w:rsid w:val="00C464C0"/>
    <w:rsid w:val="00C469E3"/>
    <w:rsid w:val="00C46D75"/>
    <w:rsid w:val="00C47155"/>
    <w:rsid w:val="00C47487"/>
    <w:rsid w:val="00C47987"/>
    <w:rsid w:val="00C47CD2"/>
    <w:rsid w:val="00C47D56"/>
    <w:rsid w:val="00C510DE"/>
    <w:rsid w:val="00C52447"/>
    <w:rsid w:val="00C536E4"/>
    <w:rsid w:val="00C538AE"/>
    <w:rsid w:val="00C53C32"/>
    <w:rsid w:val="00C53E7A"/>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02"/>
    <w:rsid w:val="00C66D68"/>
    <w:rsid w:val="00C66E74"/>
    <w:rsid w:val="00C67029"/>
    <w:rsid w:val="00C70B38"/>
    <w:rsid w:val="00C70B43"/>
    <w:rsid w:val="00C70CAA"/>
    <w:rsid w:val="00C71A56"/>
    <w:rsid w:val="00C730CC"/>
    <w:rsid w:val="00C747FA"/>
    <w:rsid w:val="00C7532A"/>
    <w:rsid w:val="00C75721"/>
    <w:rsid w:val="00C760A6"/>
    <w:rsid w:val="00C762B7"/>
    <w:rsid w:val="00C76668"/>
    <w:rsid w:val="00C76825"/>
    <w:rsid w:val="00C77C4B"/>
    <w:rsid w:val="00C77D50"/>
    <w:rsid w:val="00C80651"/>
    <w:rsid w:val="00C80DC6"/>
    <w:rsid w:val="00C815E4"/>
    <w:rsid w:val="00C8282D"/>
    <w:rsid w:val="00C8290C"/>
    <w:rsid w:val="00C833A9"/>
    <w:rsid w:val="00C83E1B"/>
    <w:rsid w:val="00C84DCF"/>
    <w:rsid w:val="00C8512B"/>
    <w:rsid w:val="00C8542E"/>
    <w:rsid w:val="00C858C8"/>
    <w:rsid w:val="00C85A79"/>
    <w:rsid w:val="00C85B02"/>
    <w:rsid w:val="00C85EB5"/>
    <w:rsid w:val="00C86242"/>
    <w:rsid w:val="00C8634A"/>
    <w:rsid w:val="00C86550"/>
    <w:rsid w:val="00C86B76"/>
    <w:rsid w:val="00C86D64"/>
    <w:rsid w:val="00C86D89"/>
    <w:rsid w:val="00C87827"/>
    <w:rsid w:val="00C87A20"/>
    <w:rsid w:val="00C87CDD"/>
    <w:rsid w:val="00C909EE"/>
    <w:rsid w:val="00C90E27"/>
    <w:rsid w:val="00C910ED"/>
    <w:rsid w:val="00C914C9"/>
    <w:rsid w:val="00C9156F"/>
    <w:rsid w:val="00C91E4A"/>
    <w:rsid w:val="00C91E57"/>
    <w:rsid w:val="00C922E8"/>
    <w:rsid w:val="00C93188"/>
    <w:rsid w:val="00C93C96"/>
    <w:rsid w:val="00C94540"/>
    <w:rsid w:val="00C945D9"/>
    <w:rsid w:val="00C947A8"/>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7B2"/>
    <w:rsid w:val="00CA0A27"/>
    <w:rsid w:val="00CA13BF"/>
    <w:rsid w:val="00CA13F7"/>
    <w:rsid w:val="00CA145B"/>
    <w:rsid w:val="00CA1463"/>
    <w:rsid w:val="00CA14DE"/>
    <w:rsid w:val="00CA17E2"/>
    <w:rsid w:val="00CA1D0C"/>
    <w:rsid w:val="00CA25F5"/>
    <w:rsid w:val="00CA2A57"/>
    <w:rsid w:val="00CA2C4B"/>
    <w:rsid w:val="00CA30A9"/>
    <w:rsid w:val="00CA35EC"/>
    <w:rsid w:val="00CA3D36"/>
    <w:rsid w:val="00CA3EC4"/>
    <w:rsid w:val="00CA4249"/>
    <w:rsid w:val="00CA47B4"/>
    <w:rsid w:val="00CA4D37"/>
    <w:rsid w:val="00CA4EF3"/>
    <w:rsid w:val="00CA575F"/>
    <w:rsid w:val="00CA6F7C"/>
    <w:rsid w:val="00CA702A"/>
    <w:rsid w:val="00CA703D"/>
    <w:rsid w:val="00CA7AA1"/>
    <w:rsid w:val="00CA7C3E"/>
    <w:rsid w:val="00CB0652"/>
    <w:rsid w:val="00CB0A8A"/>
    <w:rsid w:val="00CB138C"/>
    <w:rsid w:val="00CB1BD3"/>
    <w:rsid w:val="00CB214A"/>
    <w:rsid w:val="00CB21EF"/>
    <w:rsid w:val="00CB222B"/>
    <w:rsid w:val="00CB26B1"/>
    <w:rsid w:val="00CB2714"/>
    <w:rsid w:val="00CB2824"/>
    <w:rsid w:val="00CB2C75"/>
    <w:rsid w:val="00CB2F95"/>
    <w:rsid w:val="00CB30E7"/>
    <w:rsid w:val="00CB3270"/>
    <w:rsid w:val="00CB332C"/>
    <w:rsid w:val="00CB441D"/>
    <w:rsid w:val="00CB44FC"/>
    <w:rsid w:val="00CB492B"/>
    <w:rsid w:val="00CB4DA4"/>
    <w:rsid w:val="00CB557A"/>
    <w:rsid w:val="00CB5A32"/>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964"/>
    <w:rsid w:val="00CC2B9C"/>
    <w:rsid w:val="00CC326E"/>
    <w:rsid w:val="00CC346D"/>
    <w:rsid w:val="00CC38EE"/>
    <w:rsid w:val="00CC46B8"/>
    <w:rsid w:val="00CC500C"/>
    <w:rsid w:val="00CC566D"/>
    <w:rsid w:val="00CC6071"/>
    <w:rsid w:val="00CC6AA6"/>
    <w:rsid w:val="00CC6ACF"/>
    <w:rsid w:val="00CC722F"/>
    <w:rsid w:val="00CC726E"/>
    <w:rsid w:val="00CC7476"/>
    <w:rsid w:val="00CC75EE"/>
    <w:rsid w:val="00CC78B5"/>
    <w:rsid w:val="00CC7B99"/>
    <w:rsid w:val="00CD0BAE"/>
    <w:rsid w:val="00CD1017"/>
    <w:rsid w:val="00CD1264"/>
    <w:rsid w:val="00CD129C"/>
    <w:rsid w:val="00CD12BA"/>
    <w:rsid w:val="00CD181E"/>
    <w:rsid w:val="00CD1ABF"/>
    <w:rsid w:val="00CD2C45"/>
    <w:rsid w:val="00CD387C"/>
    <w:rsid w:val="00CD45E4"/>
    <w:rsid w:val="00CD474C"/>
    <w:rsid w:val="00CD5589"/>
    <w:rsid w:val="00CD55E5"/>
    <w:rsid w:val="00CD5CCC"/>
    <w:rsid w:val="00CD6B16"/>
    <w:rsid w:val="00CD6B5E"/>
    <w:rsid w:val="00CD7092"/>
    <w:rsid w:val="00CD7422"/>
    <w:rsid w:val="00CD764C"/>
    <w:rsid w:val="00CD7CC1"/>
    <w:rsid w:val="00CE078F"/>
    <w:rsid w:val="00CE0950"/>
    <w:rsid w:val="00CE0FC5"/>
    <w:rsid w:val="00CE11D8"/>
    <w:rsid w:val="00CE1251"/>
    <w:rsid w:val="00CE1648"/>
    <w:rsid w:val="00CE1A90"/>
    <w:rsid w:val="00CE1C5C"/>
    <w:rsid w:val="00CE1CA9"/>
    <w:rsid w:val="00CE1E07"/>
    <w:rsid w:val="00CE2567"/>
    <w:rsid w:val="00CE2A65"/>
    <w:rsid w:val="00CE2AFC"/>
    <w:rsid w:val="00CE3037"/>
    <w:rsid w:val="00CE32AD"/>
    <w:rsid w:val="00CE3361"/>
    <w:rsid w:val="00CE3958"/>
    <w:rsid w:val="00CE3A6B"/>
    <w:rsid w:val="00CE3F49"/>
    <w:rsid w:val="00CE453B"/>
    <w:rsid w:val="00CE49B0"/>
    <w:rsid w:val="00CE4EA8"/>
    <w:rsid w:val="00CE5261"/>
    <w:rsid w:val="00CE52F6"/>
    <w:rsid w:val="00CE584B"/>
    <w:rsid w:val="00CE5A0A"/>
    <w:rsid w:val="00CE5C82"/>
    <w:rsid w:val="00CE64F3"/>
    <w:rsid w:val="00CE6C5C"/>
    <w:rsid w:val="00CE72F6"/>
    <w:rsid w:val="00CE7FF2"/>
    <w:rsid w:val="00CF0A5E"/>
    <w:rsid w:val="00CF0E8B"/>
    <w:rsid w:val="00CF0EE3"/>
    <w:rsid w:val="00CF1090"/>
    <w:rsid w:val="00CF12DA"/>
    <w:rsid w:val="00CF140F"/>
    <w:rsid w:val="00CF1AB9"/>
    <w:rsid w:val="00CF1B03"/>
    <w:rsid w:val="00CF1B1E"/>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63E0"/>
    <w:rsid w:val="00CF72BD"/>
    <w:rsid w:val="00CF747E"/>
    <w:rsid w:val="00CF757A"/>
    <w:rsid w:val="00CF767E"/>
    <w:rsid w:val="00CF78C0"/>
    <w:rsid w:val="00CF78E3"/>
    <w:rsid w:val="00D01011"/>
    <w:rsid w:val="00D015A8"/>
    <w:rsid w:val="00D01BA7"/>
    <w:rsid w:val="00D024F9"/>
    <w:rsid w:val="00D027F9"/>
    <w:rsid w:val="00D02E81"/>
    <w:rsid w:val="00D03109"/>
    <w:rsid w:val="00D032AA"/>
    <w:rsid w:val="00D0355C"/>
    <w:rsid w:val="00D03A3E"/>
    <w:rsid w:val="00D03B1A"/>
    <w:rsid w:val="00D03E97"/>
    <w:rsid w:val="00D040BB"/>
    <w:rsid w:val="00D04742"/>
    <w:rsid w:val="00D056E9"/>
    <w:rsid w:val="00D05CB6"/>
    <w:rsid w:val="00D06325"/>
    <w:rsid w:val="00D06C16"/>
    <w:rsid w:val="00D07684"/>
    <w:rsid w:val="00D076A6"/>
    <w:rsid w:val="00D07F59"/>
    <w:rsid w:val="00D102EA"/>
    <w:rsid w:val="00D104B0"/>
    <w:rsid w:val="00D104B2"/>
    <w:rsid w:val="00D10986"/>
    <w:rsid w:val="00D11BB2"/>
    <w:rsid w:val="00D12C7B"/>
    <w:rsid w:val="00D12F1F"/>
    <w:rsid w:val="00D13207"/>
    <w:rsid w:val="00D13358"/>
    <w:rsid w:val="00D1342C"/>
    <w:rsid w:val="00D1345E"/>
    <w:rsid w:val="00D142FA"/>
    <w:rsid w:val="00D14873"/>
    <w:rsid w:val="00D14C06"/>
    <w:rsid w:val="00D14DAF"/>
    <w:rsid w:val="00D15455"/>
    <w:rsid w:val="00D1564A"/>
    <w:rsid w:val="00D156E5"/>
    <w:rsid w:val="00D15AF0"/>
    <w:rsid w:val="00D161CF"/>
    <w:rsid w:val="00D16747"/>
    <w:rsid w:val="00D17088"/>
    <w:rsid w:val="00D175C7"/>
    <w:rsid w:val="00D17E09"/>
    <w:rsid w:val="00D200D2"/>
    <w:rsid w:val="00D20886"/>
    <w:rsid w:val="00D20987"/>
    <w:rsid w:val="00D20AD4"/>
    <w:rsid w:val="00D20F9E"/>
    <w:rsid w:val="00D22106"/>
    <w:rsid w:val="00D22E00"/>
    <w:rsid w:val="00D235B3"/>
    <w:rsid w:val="00D2366E"/>
    <w:rsid w:val="00D24218"/>
    <w:rsid w:val="00D24286"/>
    <w:rsid w:val="00D25126"/>
    <w:rsid w:val="00D251E6"/>
    <w:rsid w:val="00D2558D"/>
    <w:rsid w:val="00D25830"/>
    <w:rsid w:val="00D259B0"/>
    <w:rsid w:val="00D26097"/>
    <w:rsid w:val="00D261C5"/>
    <w:rsid w:val="00D2631F"/>
    <w:rsid w:val="00D26391"/>
    <w:rsid w:val="00D26982"/>
    <w:rsid w:val="00D2699D"/>
    <w:rsid w:val="00D27255"/>
    <w:rsid w:val="00D27747"/>
    <w:rsid w:val="00D27A59"/>
    <w:rsid w:val="00D27BF7"/>
    <w:rsid w:val="00D30729"/>
    <w:rsid w:val="00D30EAF"/>
    <w:rsid w:val="00D31495"/>
    <w:rsid w:val="00D314F6"/>
    <w:rsid w:val="00D31A4F"/>
    <w:rsid w:val="00D31D6C"/>
    <w:rsid w:val="00D31D99"/>
    <w:rsid w:val="00D322C6"/>
    <w:rsid w:val="00D32309"/>
    <w:rsid w:val="00D32CDD"/>
    <w:rsid w:val="00D32E0D"/>
    <w:rsid w:val="00D3326D"/>
    <w:rsid w:val="00D33977"/>
    <w:rsid w:val="00D33C40"/>
    <w:rsid w:val="00D33E2B"/>
    <w:rsid w:val="00D34097"/>
    <w:rsid w:val="00D3544C"/>
    <w:rsid w:val="00D35797"/>
    <w:rsid w:val="00D36DC1"/>
    <w:rsid w:val="00D3719F"/>
    <w:rsid w:val="00D371C8"/>
    <w:rsid w:val="00D37FC8"/>
    <w:rsid w:val="00D4061B"/>
    <w:rsid w:val="00D4072A"/>
    <w:rsid w:val="00D4091E"/>
    <w:rsid w:val="00D40BD8"/>
    <w:rsid w:val="00D4134D"/>
    <w:rsid w:val="00D417E2"/>
    <w:rsid w:val="00D422BF"/>
    <w:rsid w:val="00D431DA"/>
    <w:rsid w:val="00D43450"/>
    <w:rsid w:val="00D43463"/>
    <w:rsid w:val="00D43D75"/>
    <w:rsid w:val="00D43F48"/>
    <w:rsid w:val="00D43F90"/>
    <w:rsid w:val="00D44156"/>
    <w:rsid w:val="00D44198"/>
    <w:rsid w:val="00D441FB"/>
    <w:rsid w:val="00D445B3"/>
    <w:rsid w:val="00D453B5"/>
    <w:rsid w:val="00D45529"/>
    <w:rsid w:val="00D45977"/>
    <w:rsid w:val="00D45B74"/>
    <w:rsid w:val="00D46DBF"/>
    <w:rsid w:val="00D46F26"/>
    <w:rsid w:val="00D47186"/>
    <w:rsid w:val="00D47568"/>
    <w:rsid w:val="00D47591"/>
    <w:rsid w:val="00D4798C"/>
    <w:rsid w:val="00D50F4A"/>
    <w:rsid w:val="00D51089"/>
    <w:rsid w:val="00D516E3"/>
    <w:rsid w:val="00D5228C"/>
    <w:rsid w:val="00D52E06"/>
    <w:rsid w:val="00D5354C"/>
    <w:rsid w:val="00D53650"/>
    <w:rsid w:val="00D5401D"/>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445"/>
    <w:rsid w:val="00D62A24"/>
    <w:rsid w:val="00D62FAC"/>
    <w:rsid w:val="00D635B0"/>
    <w:rsid w:val="00D636FB"/>
    <w:rsid w:val="00D637A9"/>
    <w:rsid w:val="00D63BE1"/>
    <w:rsid w:val="00D65280"/>
    <w:rsid w:val="00D658AA"/>
    <w:rsid w:val="00D6616F"/>
    <w:rsid w:val="00D666DA"/>
    <w:rsid w:val="00D6699B"/>
    <w:rsid w:val="00D7009E"/>
    <w:rsid w:val="00D70BDA"/>
    <w:rsid w:val="00D70C63"/>
    <w:rsid w:val="00D710C5"/>
    <w:rsid w:val="00D71705"/>
    <w:rsid w:val="00D71888"/>
    <w:rsid w:val="00D71B45"/>
    <w:rsid w:val="00D7222C"/>
    <w:rsid w:val="00D722C1"/>
    <w:rsid w:val="00D72437"/>
    <w:rsid w:val="00D726A5"/>
    <w:rsid w:val="00D727AC"/>
    <w:rsid w:val="00D72AC2"/>
    <w:rsid w:val="00D72CAE"/>
    <w:rsid w:val="00D73044"/>
    <w:rsid w:val="00D74503"/>
    <w:rsid w:val="00D74660"/>
    <w:rsid w:val="00D74797"/>
    <w:rsid w:val="00D74968"/>
    <w:rsid w:val="00D749D2"/>
    <w:rsid w:val="00D74D9B"/>
    <w:rsid w:val="00D750A2"/>
    <w:rsid w:val="00D75650"/>
    <w:rsid w:val="00D756E8"/>
    <w:rsid w:val="00D7595D"/>
    <w:rsid w:val="00D762F9"/>
    <w:rsid w:val="00D77C4A"/>
    <w:rsid w:val="00D801E1"/>
    <w:rsid w:val="00D801EB"/>
    <w:rsid w:val="00D80747"/>
    <w:rsid w:val="00D8099F"/>
    <w:rsid w:val="00D809FF"/>
    <w:rsid w:val="00D80E48"/>
    <w:rsid w:val="00D810F2"/>
    <w:rsid w:val="00D81181"/>
    <w:rsid w:val="00D81285"/>
    <w:rsid w:val="00D81B9A"/>
    <w:rsid w:val="00D822C6"/>
    <w:rsid w:val="00D82713"/>
    <w:rsid w:val="00D82890"/>
    <w:rsid w:val="00D8307F"/>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20E8"/>
    <w:rsid w:val="00D92722"/>
    <w:rsid w:val="00D9277E"/>
    <w:rsid w:val="00D92A2B"/>
    <w:rsid w:val="00D92BF2"/>
    <w:rsid w:val="00D93295"/>
    <w:rsid w:val="00D9335B"/>
    <w:rsid w:val="00D93DAF"/>
    <w:rsid w:val="00D941AE"/>
    <w:rsid w:val="00D94370"/>
    <w:rsid w:val="00D948DE"/>
    <w:rsid w:val="00D94E5E"/>
    <w:rsid w:val="00D94F2C"/>
    <w:rsid w:val="00D9574A"/>
    <w:rsid w:val="00D958D8"/>
    <w:rsid w:val="00D95F59"/>
    <w:rsid w:val="00D96068"/>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DA8"/>
    <w:rsid w:val="00DA22C1"/>
    <w:rsid w:val="00DA24B0"/>
    <w:rsid w:val="00DA2582"/>
    <w:rsid w:val="00DA2694"/>
    <w:rsid w:val="00DA3CDB"/>
    <w:rsid w:val="00DA3CF1"/>
    <w:rsid w:val="00DA4B0E"/>
    <w:rsid w:val="00DA50E4"/>
    <w:rsid w:val="00DA53AE"/>
    <w:rsid w:val="00DA5BEB"/>
    <w:rsid w:val="00DA5F20"/>
    <w:rsid w:val="00DA6199"/>
    <w:rsid w:val="00DA6758"/>
    <w:rsid w:val="00DA6BFD"/>
    <w:rsid w:val="00DA70DD"/>
    <w:rsid w:val="00DA7645"/>
    <w:rsid w:val="00DA7E15"/>
    <w:rsid w:val="00DA7FC8"/>
    <w:rsid w:val="00DB02FF"/>
    <w:rsid w:val="00DB0B44"/>
    <w:rsid w:val="00DB10BD"/>
    <w:rsid w:val="00DB1433"/>
    <w:rsid w:val="00DB147B"/>
    <w:rsid w:val="00DB197C"/>
    <w:rsid w:val="00DB1AAF"/>
    <w:rsid w:val="00DB26B5"/>
    <w:rsid w:val="00DB289D"/>
    <w:rsid w:val="00DB30B9"/>
    <w:rsid w:val="00DB33A2"/>
    <w:rsid w:val="00DB3AA0"/>
    <w:rsid w:val="00DB3C49"/>
    <w:rsid w:val="00DB41B9"/>
    <w:rsid w:val="00DB42C2"/>
    <w:rsid w:val="00DB444B"/>
    <w:rsid w:val="00DB4520"/>
    <w:rsid w:val="00DB4628"/>
    <w:rsid w:val="00DB4714"/>
    <w:rsid w:val="00DB4788"/>
    <w:rsid w:val="00DB4D04"/>
    <w:rsid w:val="00DB510A"/>
    <w:rsid w:val="00DB5178"/>
    <w:rsid w:val="00DB52E9"/>
    <w:rsid w:val="00DB5386"/>
    <w:rsid w:val="00DB53D5"/>
    <w:rsid w:val="00DB5ABE"/>
    <w:rsid w:val="00DB5B8E"/>
    <w:rsid w:val="00DB6292"/>
    <w:rsid w:val="00DB67E7"/>
    <w:rsid w:val="00DB68BB"/>
    <w:rsid w:val="00DB68E2"/>
    <w:rsid w:val="00DB6A53"/>
    <w:rsid w:val="00DB6B28"/>
    <w:rsid w:val="00DB6EFF"/>
    <w:rsid w:val="00DB6F4C"/>
    <w:rsid w:val="00DB7F10"/>
    <w:rsid w:val="00DC025E"/>
    <w:rsid w:val="00DC0AF9"/>
    <w:rsid w:val="00DC1365"/>
    <w:rsid w:val="00DC1524"/>
    <w:rsid w:val="00DC1889"/>
    <w:rsid w:val="00DC1CA3"/>
    <w:rsid w:val="00DC2A33"/>
    <w:rsid w:val="00DC2ABE"/>
    <w:rsid w:val="00DC2D60"/>
    <w:rsid w:val="00DC3214"/>
    <w:rsid w:val="00DC3579"/>
    <w:rsid w:val="00DC3E0F"/>
    <w:rsid w:val="00DC41FA"/>
    <w:rsid w:val="00DC43AE"/>
    <w:rsid w:val="00DC466F"/>
    <w:rsid w:val="00DC4790"/>
    <w:rsid w:val="00DC4841"/>
    <w:rsid w:val="00DC5132"/>
    <w:rsid w:val="00DC51EE"/>
    <w:rsid w:val="00DC5533"/>
    <w:rsid w:val="00DC5770"/>
    <w:rsid w:val="00DC59D7"/>
    <w:rsid w:val="00DC6CED"/>
    <w:rsid w:val="00DC6E13"/>
    <w:rsid w:val="00DC6E1B"/>
    <w:rsid w:val="00DC6E7B"/>
    <w:rsid w:val="00DC724A"/>
    <w:rsid w:val="00DC728F"/>
    <w:rsid w:val="00DC7EBE"/>
    <w:rsid w:val="00DD0345"/>
    <w:rsid w:val="00DD083E"/>
    <w:rsid w:val="00DD0C4B"/>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65E"/>
    <w:rsid w:val="00DD5A2A"/>
    <w:rsid w:val="00DD662B"/>
    <w:rsid w:val="00DD694A"/>
    <w:rsid w:val="00DD6C92"/>
    <w:rsid w:val="00DD71F9"/>
    <w:rsid w:val="00DE01AB"/>
    <w:rsid w:val="00DE0B85"/>
    <w:rsid w:val="00DE12BD"/>
    <w:rsid w:val="00DE1532"/>
    <w:rsid w:val="00DE15B5"/>
    <w:rsid w:val="00DE179B"/>
    <w:rsid w:val="00DE19A4"/>
    <w:rsid w:val="00DE1E23"/>
    <w:rsid w:val="00DE2927"/>
    <w:rsid w:val="00DE292D"/>
    <w:rsid w:val="00DE2AA3"/>
    <w:rsid w:val="00DE3086"/>
    <w:rsid w:val="00DE30D1"/>
    <w:rsid w:val="00DE30DD"/>
    <w:rsid w:val="00DE3162"/>
    <w:rsid w:val="00DE36EB"/>
    <w:rsid w:val="00DE3B74"/>
    <w:rsid w:val="00DE40F7"/>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F0A8D"/>
    <w:rsid w:val="00DF0DC8"/>
    <w:rsid w:val="00DF0E97"/>
    <w:rsid w:val="00DF11F0"/>
    <w:rsid w:val="00DF1861"/>
    <w:rsid w:val="00DF1956"/>
    <w:rsid w:val="00DF1AD2"/>
    <w:rsid w:val="00DF1D62"/>
    <w:rsid w:val="00DF2170"/>
    <w:rsid w:val="00DF2F00"/>
    <w:rsid w:val="00DF2FC2"/>
    <w:rsid w:val="00DF3193"/>
    <w:rsid w:val="00DF3D62"/>
    <w:rsid w:val="00DF50ED"/>
    <w:rsid w:val="00DF572E"/>
    <w:rsid w:val="00DF596A"/>
    <w:rsid w:val="00DF633F"/>
    <w:rsid w:val="00DF66C5"/>
    <w:rsid w:val="00DF6DA6"/>
    <w:rsid w:val="00DF708D"/>
    <w:rsid w:val="00DF7EB8"/>
    <w:rsid w:val="00E0031E"/>
    <w:rsid w:val="00E00B10"/>
    <w:rsid w:val="00E00FD5"/>
    <w:rsid w:val="00E0148E"/>
    <w:rsid w:val="00E01956"/>
    <w:rsid w:val="00E01B27"/>
    <w:rsid w:val="00E01D7A"/>
    <w:rsid w:val="00E01F0A"/>
    <w:rsid w:val="00E02047"/>
    <w:rsid w:val="00E023E5"/>
    <w:rsid w:val="00E026B6"/>
    <w:rsid w:val="00E0280B"/>
    <w:rsid w:val="00E02837"/>
    <w:rsid w:val="00E0287C"/>
    <w:rsid w:val="00E02FC0"/>
    <w:rsid w:val="00E03532"/>
    <w:rsid w:val="00E03CB3"/>
    <w:rsid w:val="00E0443C"/>
    <w:rsid w:val="00E04B4F"/>
    <w:rsid w:val="00E05F38"/>
    <w:rsid w:val="00E06B6A"/>
    <w:rsid w:val="00E06C61"/>
    <w:rsid w:val="00E06FD6"/>
    <w:rsid w:val="00E074C1"/>
    <w:rsid w:val="00E079C6"/>
    <w:rsid w:val="00E07B79"/>
    <w:rsid w:val="00E07CDC"/>
    <w:rsid w:val="00E07EAA"/>
    <w:rsid w:val="00E1006A"/>
    <w:rsid w:val="00E105B9"/>
    <w:rsid w:val="00E1069C"/>
    <w:rsid w:val="00E1079E"/>
    <w:rsid w:val="00E10BB0"/>
    <w:rsid w:val="00E10F6A"/>
    <w:rsid w:val="00E112FA"/>
    <w:rsid w:val="00E11820"/>
    <w:rsid w:val="00E11BF7"/>
    <w:rsid w:val="00E12CED"/>
    <w:rsid w:val="00E13D2C"/>
    <w:rsid w:val="00E13EE3"/>
    <w:rsid w:val="00E14058"/>
    <w:rsid w:val="00E148CD"/>
    <w:rsid w:val="00E14E22"/>
    <w:rsid w:val="00E14FF5"/>
    <w:rsid w:val="00E15524"/>
    <w:rsid w:val="00E15713"/>
    <w:rsid w:val="00E15DBF"/>
    <w:rsid w:val="00E16682"/>
    <w:rsid w:val="00E1678A"/>
    <w:rsid w:val="00E17549"/>
    <w:rsid w:val="00E17BAE"/>
    <w:rsid w:val="00E17E85"/>
    <w:rsid w:val="00E17E99"/>
    <w:rsid w:val="00E2002A"/>
    <w:rsid w:val="00E2055A"/>
    <w:rsid w:val="00E20655"/>
    <w:rsid w:val="00E20A30"/>
    <w:rsid w:val="00E21F2D"/>
    <w:rsid w:val="00E22A26"/>
    <w:rsid w:val="00E22D0D"/>
    <w:rsid w:val="00E22DD9"/>
    <w:rsid w:val="00E22F54"/>
    <w:rsid w:val="00E2336E"/>
    <w:rsid w:val="00E23655"/>
    <w:rsid w:val="00E23A40"/>
    <w:rsid w:val="00E23AB9"/>
    <w:rsid w:val="00E23AC4"/>
    <w:rsid w:val="00E23B6E"/>
    <w:rsid w:val="00E23ED2"/>
    <w:rsid w:val="00E2446C"/>
    <w:rsid w:val="00E24C6F"/>
    <w:rsid w:val="00E24EFC"/>
    <w:rsid w:val="00E251F2"/>
    <w:rsid w:val="00E256F7"/>
    <w:rsid w:val="00E25957"/>
    <w:rsid w:val="00E25995"/>
    <w:rsid w:val="00E25D57"/>
    <w:rsid w:val="00E261F6"/>
    <w:rsid w:val="00E26257"/>
    <w:rsid w:val="00E264AD"/>
    <w:rsid w:val="00E27074"/>
    <w:rsid w:val="00E27C8B"/>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A1E"/>
    <w:rsid w:val="00E40A57"/>
    <w:rsid w:val="00E411CA"/>
    <w:rsid w:val="00E41804"/>
    <w:rsid w:val="00E418D0"/>
    <w:rsid w:val="00E41CF2"/>
    <w:rsid w:val="00E41D23"/>
    <w:rsid w:val="00E4297F"/>
    <w:rsid w:val="00E438F7"/>
    <w:rsid w:val="00E43E29"/>
    <w:rsid w:val="00E43EE5"/>
    <w:rsid w:val="00E44ACD"/>
    <w:rsid w:val="00E44CB9"/>
    <w:rsid w:val="00E44F65"/>
    <w:rsid w:val="00E45200"/>
    <w:rsid w:val="00E45343"/>
    <w:rsid w:val="00E45B97"/>
    <w:rsid w:val="00E46852"/>
    <w:rsid w:val="00E46A71"/>
    <w:rsid w:val="00E46AB1"/>
    <w:rsid w:val="00E479FF"/>
    <w:rsid w:val="00E5043C"/>
    <w:rsid w:val="00E51353"/>
    <w:rsid w:val="00E51392"/>
    <w:rsid w:val="00E515B1"/>
    <w:rsid w:val="00E51662"/>
    <w:rsid w:val="00E5269A"/>
    <w:rsid w:val="00E52E68"/>
    <w:rsid w:val="00E535D1"/>
    <w:rsid w:val="00E536FC"/>
    <w:rsid w:val="00E53AA6"/>
    <w:rsid w:val="00E53C1D"/>
    <w:rsid w:val="00E53C6C"/>
    <w:rsid w:val="00E53CB2"/>
    <w:rsid w:val="00E53D6A"/>
    <w:rsid w:val="00E540EA"/>
    <w:rsid w:val="00E54898"/>
    <w:rsid w:val="00E54BB0"/>
    <w:rsid w:val="00E54D51"/>
    <w:rsid w:val="00E5540A"/>
    <w:rsid w:val="00E55558"/>
    <w:rsid w:val="00E55BB8"/>
    <w:rsid w:val="00E56344"/>
    <w:rsid w:val="00E57E87"/>
    <w:rsid w:val="00E60DE1"/>
    <w:rsid w:val="00E6106B"/>
    <w:rsid w:val="00E61076"/>
    <w:rsid w:val="00E61812"/>
    <w:rsid w:val="00E61A50"/>
    <w:rsid w:val="00E62446"/>
    <w:rsid w:val="00E62CF0"/>
    <w:rsid w:val="00E62E5D"/>
    <w:rsid w:val="00E62EB8"/>
    <w:rsid w:val="00E635BC"/>
    <w:rsid w:val="00E63A9F"/>
    <w:rsid w:val="00E6441B"/>
    <w:rsid w:val="00E65073"/>
    <w:rsid w:val="00E65E8C"/>
    <w:rsid w:val="00E66766"/>
    <w:rsid w:val="00E66800"/>
    <w:rsid w:val="00E668F9"/>
    <w:rsid w:val="00E66C08"/>
    <w:rsid w:val="00E66D78"/>
    <w:rsid w:val="00E66D94"/>
    <w:rsid w:val="00E66FCA"/>
    <w:rsid w:val="00E67132"/>
    <w:rsid w:val="00E673C1"/>
    <w:rsid w:val="00E67ACF"/>
    <w:rsid w:val="00E67C5C"/>
    <w:rsid w:val="00E67E55"/>
    <w:rsid w:val="00E70504"/>
    <w:rsid w:val="00E709F4"/>
    <w:rsid w:val="00E71198"/>
    <w:rsid w:val="00E7146F"/>
    <w:rsid w:val="00E71591"/>
    <w:rsid w:val="00E717B9"/>
    <w:rsid w:val="00E71E4F"/>
    <w:rsid w:val="00E72486"/>
    <w:rsid w:val="00E724EF"/>
    <w:rsid w:val="00E7264E"/>
    <w:rsid w:val="00E72651"/>
    <w:rsid w:val="00E72694"/>
    <w:rsid w:val="00E73957"/>
    <w:rsid w:val="00E73C90"/>
    <w:rsid w:val="00E73D3A"/>
    <w:rsid w:val="00E7412C"/>
    <w:rsid w:val="00E743A1"/>
    <w:rsid w:val="00E74BC5"/>
    <w:rsid w:val="00E74F05"/>
    <w:rsid w:val="00E7518B"/>
    <w:rsid w:val="00E7533D"/>
    <w:rsid w:val="00E7593F"/>
    <w:rsid w:val="00E760A9"/>
    <w:rsid w:val="00E76497"/>
    <w:rsid w:val="00E76C33"/>
    <w:rsid w:val="00E8011B"/>
    <w:rsid w:val="00E801FE"/>
    <w:rsid w:val="00E80768"/>
    <w:rsid w:val="00E80E1E"/>
    <w:rsid w:val="00E81171"/>
    <w:rsid w:val="00E81182"/>
    <w:rsid w:val="00E815B2"/>
    <w:rsid w:val="00E81735"/>
    <w:rsid w:val="00E81A2A"/>
    <w:rsid w:val="00E82135"/>
    <w:rsid w:val="00E823C3"/>
    <w:rsid w:val="00E82862"/>
    <w:rsid w:val="00E82CA0"/>
    <w:rsid w:val="00E82E17"/>
    <w:rsid w:val="00E849FF"/>
    <w:rsid w:val="00E84AD4"/>
    <w:rsid w:val="00E8534F"/>
    <w:rsid w:val="00E854EA"/>
    <w:rsid w:val="00E85EC9"/>
    <w:rsid w:val="00E85EE8"/>
    <w:rsid w:val="00E86213"/>
    <w:rsid w:val="00E86BAE"/>
    <w:rsid w:val="00E87452"/>
    <w:rsid w:val="00E876A3"/>
    <w:rsid w:val="00E87DC5"/>
    <w:rsid w:val="00E87E99"/>
    <w:rsid w:val="00E87F24"/>
    <w:rsid w:val="00E903A5"/>
    <w:rsid w:val="00E90648"/>
    <w:rsid w:val="00E90A19"/>
    <w:rsid w:val="00E913FF"/>
    <w:rsid w:val="00E91460"/>
    <w:rsid w:val="00E915F1"/>
    <w:rsid w:val="00E91C42"/>
    <w:rsid w:val="00E92341"/>
    <w:rsid w:val="00E93635"/>
    <w:rsid w:val="00E94F06"/>
    <w:rsid w:val="00E95243"/>
    <w:rsid w:val="00E9568A"/>
    <w:rsid w:val="00E956CB"/>
    <w:rsid w:val="00E95E51"/>
    <w:rsid w:val="00E960B8"/>
    <w:rsid w:val="00E96AEE"/>
    <w:rsid w:val="00E96D1C"/>
    <w:rsid w:val="00E977CB"/>
    <w:rsid w:val="00E977CE"/>
    <w:rsid w:val="00E97990"/>
    <w:rsid w:val="00E97D2F"/>
    <w:rsid w:val="00E97E19"/>
    <w:rsid w:val="00E97EA7"/>
    <w:rsid w:val="00E97FB1"/>
    <w:rsid w:val="00EA0463"/>
    <w:rsid w:val="00EA096F"/>
    <w:rsid w:val="00EA0BEE"/>
    <w:rsid w:val="00EA0D7F"/>
    <w:rsid w:val="00EA1514"/>
    <w:rsid w:val="00EA16E1"/>
    <w:rsid w:val="00EA1767"/>
    <w:rsid w:val="00EA1AA6"/>
    <w:rsid w:val="00EA1F8E"/>
    <w:rsid w:val="00EA2360"/>
    <w:rsid w:val="00EA272B"/>
    <w:rsid w:val="00EA2F5D"/>
    <w:rsid w:val="00EA301E"/>
    <w:rsid w:val="00EA35F1"/>
    <w:rsid w:val="00EA36F7"/>
    <w:rsid w:val="00EA3BA1"/>
    <w:rsid w:val="00EA449C"/>
    <w:rsid w:val="00EA4953"/>
    <w:rsid w:val="00EA4F1E"/>
    <w:rsid w:val="00EA4F7D"/>
    <w:rsid w:val="00EA5931"/>
    <w:rsid w:val="00EA5F9C"/>
    <w:rsid w:val="00EA633B"/>
    <w:rsid w:val="00EA659C"/>
    <w:rsid w:val="00EA7206"/>
    <w:rsid w:val="00EA7B31"/>
    <w:rsid w:val="00EB01C6"/>
    <w:rsid w:val="00EB02C9"/>
    <w:rsid w:val="00EB079F"/>
    <w:rsid w:val="00EB0A68"/>
    <w:rsid w:val="00EB0E6A"/>
    <w:rsid w:val="00EB0FE6"/>
    <w:rsid w:val="00EB16EB"/>
    <w:rsid w:val="00EB182C"/>
    <w:rsid w:val="00EB19D9"/>
    <w:rsid w:val="00EB2287"/>
    <w:rsid w:val="00EB269D"/>
    <w:rsid w:val="00EB30E8"/>
    <w:rsid w:val="00EB344E"/>
    <w:rsid w:val="00EB374D"/>
    <w:rsid w:val="00EB425C"/>
    <w:rsid w:val="00EB45D7"/>
    <w:rsid w:val="00EB47B3"/>
    <w:rsid w:val="00EB4926"/>
    <w:rsid w:val="00EB4AF2"/>
    <w:rsid w:val="00EB4B58"/>
    <w:rsid w:val="00EB4E5F"/>
    <w:rsid w:val="00EB5197"/>
    <w:rsid w:val="00EB52A9"/>
    <w:rsid w:val="00EB52B7"/>
    <w:rsid w:val="00EB5629"/>
    <w:rsid w:val="00EB5734"/>
    <w:rsid w:val="00EB5A33"/>
    <w:rsid w:val="00EB6C0E"/>
    <w:rsid w:val="00EB701C"/>
    <w:rsid w:val="00EB745D"/>
    <w:rsid w:val="00EB75EB"/>
    <w:rsid w:val="00EB7605"/>
    <w:rsid w:val="00EB7658"/>
    <w:rsid w:val="00EB76CB"/>
    <w:rsid w:val="00EB7D1E"/>
    <w:rsid w:val="00EC089D"/>
    <w:rsid w:val="00EC0DD3"/>
    <w:rsid w:val="00EC101A"/>
    <w:rsid w:val="00EC1243"/>
    <w:rsid w:val="00EC1394"/>
    <w:rsid w:val="00EC20D7"/>
    <w:rsid w:val="00EC226A"/>
    <w:rsid w:val="00EC229B"/>
    <w:rsid w:val="00EC237C"/>
    <w:rsid w:val="00EC28DD"/>
    <w:rsid w:val="00EC2EE6"/>
    <w:rsid w:val="00EC3012"/>
    <w:rsid w:val="00EC3713"/>
    <w:rsid w:val="00EC37A0"/>
    <w:rsid w:val="00EC3FA5"/>
    <w:rsid w:val="00EC484F"/>
    <w:rsid w:val="00EC552D"/>
    <w:rsid w:val="00EC5B93"/>
    <w:rsid w:val="00EC5E86"/>
    <w:rsid w:val="00EC6F7C"/>
    <w:rsid w:val="00EC7275"/>
    <w:rsid w:val="00EC774B"/>
    <w:rsid w:val="00EC782F"/>
    <w:rsid w:val="00EC7D0C"/>
    <w:rsid w:val="00ED0D53"/>
    <w:rsid w:val="00ED12C2"/>
    <w:rsid w:val="00ED13EB"/>
    <w:rsid w:val="00ED1462"/>
    <w:rsid w:val="00ED14A1"/>
    <w:rsid w:val="00ED17FA"/>
    <w:rsid w:val="00ED1856"/>
    <w:rsid w:val="00ED1BDF"/>
    <w:rsid w:val="00ED24B6"/>
    <w:rsid w:val="00ED25D2"/>
    <w:rsid w:val="00ED2DA3"/>
    <w:rsid w:val="00ED35C0"/>
    <w:rsid w:val="00ED3F38"/>
    <w:rsid w:val="00ED3F87"/>
    <w:rsid w:val="00ED4124"/>
    <w:rsid w:val="00ED455E"/>
    <w:rsid w:val="00ED4928"/>
    <w:rsid w:val="00ED5030"/>
    <w:rsid w:val="00ED547D"/>
    <w:rsid w:val="00ED596C"/>
    <w:rsid w:val="00ED5ACF"/>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3FD"/>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BF4"/>
    <w:rsid w:val="00EF1D2F"/>
    <w:rsid w:val="00EF20C3"/>
    <w:rsid w:val="00EF231B"/>
    <w:rsid w:val="00EF2449"/>
    <w:rsid w:val="00EF2467"/>
    <w:rsid w:val="00EF256C"/>
    <w:rsid w:val="00EF2736"/>
    <w:rsid w:val="00EF3393"/>
    <w:rsid w:val="00EF3A43"/>
    <w:rsid w:val="00EF3C6A"/>
    <w:rsid w:val="00EF3F0C"/>
    <w:rsid w:val="00EF3F1A"/>
    <w:rsid w:val="00EF3F5E"/>
    <w:rsid w:val="00EF4186"/>
    <w:rsid w:val="00EF463E"/>
    <w:rsid w:val="00EF4BD9"/>
    <w:rsid w:val="00EF4F99"/>
    <w:rsid w:val="00EF541D"/>
    <w:rsid w:val="00EF5712"/>
    <w:rsid w:val="00EF571F"/>
    <w:rsid w:val="00EF579C"/>
    <w:rsid w:val="00EF57BB"/>
    <w:rsid w:val="00EF585C"/>
    <w:rsid w:val="00EF5B95"/>
    <w:rsid w:val="00EF5D00"/>
    <w:rsid w:val="00EF5D0E"/>
    <w:rsid w:val="00EF5E2E"/>
    <w:rsid w:val="00EF60B7"/>
    <w:rsid w:val="00EF613D"/>
    <w:rsid w:val="00EF76F3"/>
    <w:rsid w:val="00EF79E4"/>
    <w:rsid w:val="00F00809"/>
    <w:rsid w:val="00F00850"/>
    <w:rsid w:val="00F00922"/>
    <w:rsid w:val="00F009EE"/>
    <w:rsid w:val="00F00BEE"/>
    <w:rsid w:val="00F0102C"/>
    <w:rsid w:val="00F0106B"/>
    <w:rsid w:val="00F01260"/>
    <w:rsid w:val="00F0137B"/>
    <w:rsid w:val="00F0139C"/>
    <w:rsid w:val="00F020E1"/>
    <w:rsid w:val="00F0221D"/>
    <w:rsid w:val="00F02A43"/>
    <w:rsid w:val="00F02DE5"/>
    <w:rsid w:val="00F0324F"/>
    <w:rsid w:val="00F03408"/>
    <w:rsid w:val="00F039A0"/>
    <w:rsid w:val="00F03AA2"/>
    <w:rsid w:val="00F0424C"/>
    <w:rsid w:val="00F043F9"/>
    <w:rsid w:val="00F04503"/>
    <w:rsid w:val="00F0481E"/>
    <w:rsid w:val="00F04E02"/>
    <w:rsid w:val="00F05558"/>
    <w:rsid w:val="00F0595E"/>
    <w:rsid w:val="00F05A7B"/>
    <w:rsid w:val="00F05C14"/>
    <w:rsid w:val="00F05DCD"/>
    <w:rsid w:val="00F05DD8"/>
    <w:rsid w:val="00F06454"/>
    <w:rsid w:val="00F064FE"/>
    <w:rsid w:val="00F06CB2"/>
    <w:rsid w:val="00F06E6D"/>
    <w:rsid w:val="00F06E72"/>
    <w:rsid w:val="00F070D2"/>
    <w:rsid w:val="00F07C8A"/>
    <w:rsid w:val="00F07D8B"/>
    <w:rsid w:val="00F07FAE"/>
    <w:rsid w:val="00F104D0"/>
    <w:rsid w:val="00F10840"/>
    <w:rsid w:val="00F116B0"/>
    <w:rsid w:val="00F116E1"/>
    <w:rsid w:val="00F11B5E"/>
    <w:rsid w:val="00F11E4F"/>
    <w:rsid w:val="00F1272B"/>
    <w:rsid w:val="00F13033"/>
    <w:rsid w:val="00F13232"/>
    <w:rsid w:val="00F132E7"/>
    <w:rsid w:val="00F13357"/>
    <w:rsid w:val="00F13A85"/>
    <w:rsid w:val="00F13C6A"/>
    <w:rsid w:val="00F13C93"/>
    <w:rsid w:val="00F14145"/>
    <w:rsid w:val="00F14212"/>
    <w:rsid w:val="00F14A1F"/>
    <w:rsid w:val="00F14C85"/>
    <w:rsid w:val="00F14D95"/>
    <w:rsid w:val="00F150C2"/>
    <w:rsid w:val="00F15B8F"/>
    <w:rsid w:val="00F15D2C"/>
    <w:rsid w:val="00F15EBF"/>
    <w:rsid w:val="00F16582"/>
    <w:rsid w:val="00F16B9D"/>
    <w:rsid w:val="00F16CE1"/>
    <w:rsid w:val="00F16F1D"/>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E22"/>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D6D"/>
    <w:rsid w:val="00F3000C"/>
    <w:rsid w:val="00F30616"/>
    <w:rsid w:val="00F30963"/>
    <w:rsid w:val="00F30C62"/>
    <w:rsid w:val="00F319F9"/>
    <w:rsid w:val="00F32AF9"/>
    <w:rsid w:val="00F33B96"/>
    <w:rsid w:val="00F346B1"/>
    <w:rsid w:val="00F347FD"/>
    <w:rsid w:val="00F3484E"/>
    <w:rsid w:val="00F34C58"/>
    <w:rsid w:val="00F34E84"/>
    <w:rsid w:val="00F34FB3"/>
    <w:rsid w:val="00F3559E"/>
    <w:rsid w:val="00F362E4"/>
    <w:rsid w:val="00F36323"/>
    <w:rsid w:val="00F36F16"/>
    <w:rsid w:val="00F37507"/>
    <w:rsid w:val="00F40042"/>
    <w:rsid w:val="00F4024E"/>
    <w:rsid w:val="00F407D5"/>
    <w:rsid w:val="00F415F2"/>
    <w:rsid w:val="00F42037"/>
    <w:rsid w:val="00F4208C"/>
    <w:rsid w:val="00F423F6"/>
    <w:rsid w:val="00F42415"/>
    <w:rsid w:val="00F424D3"/>
    <w:rsid w:val="00F4284C"/>
    <w:rsid w:val="00F43628"/>
    <w:rsid w:val="00F436F0"/>
    <w:rsid w:val="00F443B0"/>
    <w:rsid w:val="00F444E7"/>
    <w:rsid w:val="00F447EA"/>
    <w:rsid w:val="00F44943"/>
    <w:rsid w:val="00F44D2D"/>
    <w:rsid w:val="00F44E5A"/>
    <w:rsid w:val="00F453DF"/>
    <w:rsid w:val="00F45632"/>
    <w:rsid w:val="00F46612"/>
    <w:rsid w:val="00F46D66"/>
    <w:rsid w:val="00F4737E"/>
    <w:rsid w:val="00F47601"/>
    <w:rsid w:val="00F47D5F"/>
    <w:rsid w:val="00F47E5F"/>
    <w:rsid w:val="00F50623"/>
    <w:rsid w:val="00F5087C"/>
    <w:rsid w:val="00F50BAD"/>
    <w:rsid w:val="00F50E4E"/>
    <w:rsid w:val="00F511EE"/>
    <w:rsid w:val="00F51D28"/>
    <w:rsid w:val="00F51E10"/>
    <w:rsid w:val="00F51E4D"/>
    <w:rsid w:val="00F531D4"/>
    <w:rsid w:val="00F53312"/>
    <w:rsid w:val="00F53398"/>
    <w:rsid w:val="00F533F9"/>
    <w:rsid w:val="00F539AC"/>
    <w:rsid w:val="00F53B8D"/>
    <w:rsid w:val="00F53D94"/>
    <w:rsid w:val="00F5420D"/>
    <w:rsid w:val="00F54768"/>
    <w:rsid w:val="00F54ADC"/>
    <w:rsid w:val="00F54AE2"/>
    <w:rsid w:val="00F553E8"/>
    <w:rsid w:val="00F55455"/>
    <w:rsid w:val="00F55AA3"/>
    <w:rsid w:val="00F55C08"/>
    <w:rsid w:val="00F55DFC"/>
    <w:rsid w:val="00F5602A"/>
    <w:rsid w:val="00F567D1"/>
    <w:rsid w:val="00F56C88"/>
    <w:rsid w:val="00F57256"/>
    <w:rsid w:val="00F5738E"/>
    <w:rsid w:val="00F577B3"/>
    <w:rsid w:val="00F57BDA"/>
    <w:rsid w:val="00F57F43"/>
    <w:rsid w:val="00F60058"/>
    <w:rsid w:val="00F6066A"/>
    <w:rsid w:val="00F60688"/>
    <w:rsid w:val="00F606A1"/>
    <w:rsid w:val="00F6088F"/>
    <w:rsid w:val="00F60D88"/>
    <w:rsid w:val="00F60DC0"/>
    <w:rsid w:val="00F61248"/>
    <w:rsid w:val="00F61281"/>
    <w:rsid w:val="00F613C3"/>
    <w:rsid w:val="00F6145D"/>
    <w:rsid w:val="00F617DF"/>
    <w:rsid w:val="00F6199F"/>
    <w:rsid w:val="00F62450"/>
    <w:rsid w:val="00F626F5"/>
    <w:rsid w:val="00F629DE"/>
    <w:rsid w:val="00F638B4"/>
    <w:rsid w:val="00F6394E"/>
    <w:rsid w:val="00F643C2"/>
    <w:rsid w:val="00F64A0B"/>
    <w:rsid w:val="00F64B59"/>
    <w:rsid w:val="00F6557B"/>
    <w:rsid w:val="00F6667A"/>
    <w:rsid w:val="00F666B5"/>
    <w:rsid w:val="00F666D0"/>
    <w:rsid w:val="00F67275"/>
    <w:rsid w:val="00F67EF9"/>
    <w:rsid w:val="00F7130B"/>
    <w:rsid w:val="00F713D0"/>
    <w:rsid w:val="00F713E2"/>
    <w:rsid w:val="00F7187B"/>
    <w:rsid w:val="00F718A4"/>
    <w:rsid w:val="00F71F96"/>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5FC9"/>
    <w:rsid w:val="00F7609A"/>
    <w:rsid w:val="00F7643C"/>
    <w:rsid w:val="00F764B7"/>
    <w:rsid w:val="00F76924"/>
    <w:rsid w:val="00F76FD6"/>
    <w:rsid w:val="00F770FE"/>
    <w:rsid w:val="00F77293"/>
    <w:rsid w:val="00F77477"/>
    <w:rsid w:val="00F77C33"/>
    <w:rsid w:val="00F77D71"/>
    <w:rsid w:val="00F808F0"/>
    <w:rsid w:val="00F80927"/>
    <w:rsid w:val="00F81382"/>
    <w:rsid w:val="00F8190B"/>
    <w:rsid w:val="00F819E1"/>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59AF"/>
    <w:rsid w:val="00F86769"/>
    <w:rsid w:val="00F8676D"/>
    <w:rsid w:val="00F86823"/>
    <w:rsid w:val="00F86C16"/>
    <w:rsid w:val="00F8725C"/>
    <w:rsid w:val="00F8798B"/>
    <w:rsid w:val="00F9034D"/>
    <w:rsid w:val="00F90624"/>
    <w:rsid w:val="00F907AF"/>
    <w:rsid w:val="00F90E09"/>
    <w:rsid w:val="00F91CBC"/>
    <w:rsid w:val="00F91E36"/>
    <w:rsid w:val="00F91F71"/>
    <w:rsid w:val="00F922ED"/>
    <w:rsid w:val="00F92998"/>
    <w:rsid w:val="00F92DC6"/>
    <w:rsid w:val="00F92E83"/>
    <w:rsid w:val="00F9348E"/>
    <w:rsid w:val="00F93667"/>
    <w:rsid w:val="00F93A0A"/>
    <w:rsid w:val="00F93D46"/>
    <w:rsid w:val="00F94A71"/>
    <w:rsid w:val="00F94CCA"/>
    <w:rsid w:val="00F9535C"/>
    <w:rsid w:val="00F95780"/>
    <w:rsid w:val="00F95EFB"/>
    <w:rsid w:val="00F9624E"/>
    <w:rsid w:val="00F96923"/>
    <w:rsid w:val="00F96B96"/>
    <w:rsid w:val="00F96E26"/>
    <w:rsid w:val="00F96ECB"/>
    <w:rsid w:val="00F970DB"/>
    <w:rsid w:val="00F97441"/>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AEC"/>
    <w:rsid w:val="00FA5C1A"/>
    <w:rsid w:val="00FA62C1"/>
    <w:rsid w:val="00FA6B17"/>
    <w:rsid w:val="00FA7860"/>
    <w:rsid w:val="00FA7B83"/>
    <w:rsid w:val="00FB0060"/>
    <w:rsid w:val="00FB012F"/>
    <w:rsid w:val="00FB0A08"/>
    <w:rsid w:val="00FB0AD3"/>
    <w:rsid w:val="00FB0B2B"/>
    <w:rsid w:val="00FB0D58"/>
    <w:rsid w:val="00FB0F16"/>
    <w:rsid w:val="00FB185F"/>
    <w:rsid w:val="00FB21EE"/>
    <w:rsid w:val="00FB2506"/>
    <w:rsid w:val="00FB294D"/>
    <w:rsid w:val="00FB306B"/>
    <w:rsid w:val="00FB3784"/>
    <w:rsid w:val="00FB39B3"/>
    <w:rsid w:val="00FB466E"/>
    <w:rsid w:val="00FB4D3B"/>
    <w:rsid w:val="00FB4F6A"/>
    <w:rsid w:val="00FB50C2"/>
    <w:rsid w:val="00FB529D"/>
    <w:rsid w:val="00FB56C5"/>
    <w:rsid w:val="00FB57EF"/>
    <w:rsid w:val="00FB59E5"/>
    <w:rsid w:val="00FB5C5F"/>
    <w:rsid w:val="00FB5FB0"/>
    <w:rsid w:val="00FB614E"/>
    <w:rsid w:val="00FB6501"/>
    <w:rsid w:val="00FB6F0E"/>
    <w:rsid w:val="00FB7C8D"/>
    <w:rsid w:val="00FB7F71"/>
    <w:rsid w:val="00FC06BF"/>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6B8"/>
    <w:rsid w:val="00FC6947"/>
    <w:rsid w:val="00FC69DF"/>
    <w:rsid w:val="00FC6E6C"/>
    <w:rsid w:val="00FC6E74"/>
    <w:rsid w:val="00FC7186"/>
    <w:rsid w:val="00FC742F"/>
    <w:rsid w:val="00FC7C6E"/>
    <w:rsid w:val="00FC7C89"/>
    <w:rsid w:val="00FD0E51"/>
    <w:rsid w:val="00FD0F61"/>
    <w:rsid w:val="00FD1280"/>
    <w:rsid w:val="00FD143C"/>
    <w:rsid w:val="00FD1946"/>
    <w:rsid w:val="00FD2965"/>
    <w:rsid w:val="00FD2A64"/>
    <w:rsid w:val="00FD2CC3"/>
    <w:rsid w:val="00FD2F74"/>
    <w:rsid w:val="00FD3162"/>
    <w:rsid w:val="00FD3487"/>
    <w:rsid w:val="00FD3520"/>
    <w:rsid w:val="00FD3D58"/>
    <w:rsid w:val="00FD3D61"/>
    <w:rsid w:val="00FD3EC6"/>
    <w:rsid w:val="00FD40CD"/>
    <w:rsid w:val="00FD41C7"/>
    <w:rsid w:val="00FD436D"/>
    <w:rsid w:val="00FD491D"/>
    <w:rsid w:val="00FD49DB"/>
    <w:rsid w:val="00FD5062"/>
    <w:rsid w:val="00FD55A1"/>
    <w:rsid w:val="00FD595E"/>
    <w:rsid w:val="00FD715A"/>
    <w:rsid w:val="00FD7446"/>
    <w:rsid w:val="00FD764D"/>
    <w:rsid w:val="00FD7B35"/>
    <w:rsid w:val="00FD7C6C"/>
    <w:rsid w:val="00FD7CDC"/>
    <w:rsid w:val="00FD7F20"/>
    <w:rsid w:val="00FE01A6"/>
    <w:rsid w:val="00FE0206"/>
    <w:rsid w:val="00FE02F8"/>
    <w:rsid w:val="00FE05F0"/>
    <w:rsid w:val="00FE0BA6"/>
    <w:rsid w:val="00FE1445"/>
    <w:rsid w:val="00FE153E"/>
    <w:rsid w:val="00FE1710"/>
    <w:rsid w:val="00FE18EF"/>
    <w:rsid w:val="00FE1CE2"/>
    <w:rsid w:val="00FE1DFC"/>
    <w:rsid w:val="00FE235B"/>
    <w:rsid w:val="00FE27FE"/>
    <w:rsid w:val="00FE2852"/>
    <w:rsid w:val="00FE2EAE"/>
    <w:rsid w:val="00FE2F5F"/>
    <w:rsid w:val="00FE3406"/>
    <w:rsid w:val="00FE393B"/>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1744"/>
    <w:rsid w:val="00FF1A0D"/>
    <w:rsid w:val="00FF1AB4"/>
    <w:rsid w:val="00FF1BFD"/>
    <w:rsid w:val="00FF1E2A"/>
    <w:rsid w:val="00FF2265"/>
    <w:rsid w:val="00FF25FF"/>
    <w:rsid w:val="00FF2A52"/>
    <w:rsid w:val="00FF2D52"/>
    <w:rsid w:val="00FF2F34"/>
    <w:rsid w:val="00FF3496"/>
    <w:rsid w:val="00FF3CA1"/>
    <w:rsid w:val="00FF4177"/>
    <w:rsid w:val="00FF4675"/>
    <w:rsid w:val="00FF48C8"/>
    <w:rsid w:val="00FF4E8E"/>
    <w:rsid w:val="00FF4FB4"/>
    <w:rsid w:val="00FF6584"/>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D9872"/>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314"/>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9813FF"/>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9813FF"/>
    <w:rPr>
      <w:rFonts w:ascii="Arial" w:hAnsi="Arial" w:cs="Arial"/>
      <w:sz w:val="24"/>
      <w:szCs w:val="24"/>
      <w:lang w:val="es-ES_tradnl" w:eastAsia="es-ES"/>
    </w:rPr>
  </w:style>
  <w:style w:type="paragraph" w:styleId="Revisin">
    <w:name w:val="Revision"/>
    <w:hidden/>
    <w:uiPriority w:val="99"/>
    <w:semiHidden/>
    <w:rsid w:val="00D17088"/>
    <w:rPr>
      <w:rFonts w:ascii="Arial" w:hAnsi="Arial" w:cs="Arial"/>
      <w:sz w:val="24"/>
      <w:szCs w:val="24"/>
      <w:lang w:val="es-ES_tradnl" w:eastAsia="es-ES"/>
    </w:rPr>
  </w:style>
  <w:style w:type="paragraph" w:customStyle="1" w:styleId="Pa27">
    <w:name w:val="Pa27"/>
    <w:basedOn w:val="Default"/>
    <w:next w:val="Default"/>
    <w:uiPriority w:val="99"/>
    <w:rsid w:val="00185115"/>
    <w:pPr>
      <w:spacing w:line="221" w:lineRule="atLeast"/>
    </w:pPr>
    <w:rPr>
      <w:rFonts w:eastAsiaTheme="minorHAnsi"/>
      <w:color w:val="auto"/>
      <w:lang w:val="en-US" w:eastAsia="en-US"/>
    </w:rPr>
  </w:style>
  <w:style w:type="character" w:customStyle="1" w:styleId="A1">
    <w:name w:val="A1"/>
    <w:uiPriority w:val="99"/>
    <w:rsid w:val="0078042F"/>
    <w:rPr>
      <w:color w:val="000000"/>
      <w:sz w:val="20"/>
      <w:szCs w:val="20"/>
    </w:rPr>
  </w:style>
  <w:style w:type="character" w:customStyle="1" w:styleId="Mencinsinresolver3">
    <w:name w:val="Mención sin resolver3"/>
    <w:basedOn w:val="Fuentedeprrafopredeter"/>
    <w:uiPriority w:val="99"/>
    <w:semiHidden/>
    <w:unhideWhenUsed/>
    <w:rsid w:val="003055D2"/>
    <w:rPr>
      <w:color w:val="605E5C"/>
      <w:shd w:val="clear" w:color="auto" w:fill="E1DFDD"/>
    </w:rPr>
  </w:style>
  <w:style w:type="character" w:styleId="Refdecomentario">
    <w:name w:val="annotation reference"/>
    <w:basedOn w:val="Fuentedeprrafopredeter"/>
    <w:semiHidden/>
    <w:unhideWhenUsed/>
    <w:rsid w:val="0028558E"/>
    <w:rPr>
      <w:sz w:val="16"/>
      <w:szCs w:val="16"/>
    </w:rPr>
  </w:style>
  <w:style w:type="paragraph" w:styleId="Asuntodelcomentario">
    <w:name w:val="annotation subject"/>
    <w:basedOn w:val="Textocomentario"/>
    <w:next w:val="Textocomentario"/>
    <w:link w:val="AsuntodelcomentarioCar"/>
    <w:semiHidden/>
    <w:unhideWhenUsed/>
    <w:rsid w:val="0028558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8558E"/>
    <w:rPr>
      <w:rFonts w:ascii="Arial" w:hAnsi="Arial" w:cs="Arial"/>
      <w:b/>
      <w:bCs/>
      <w:lang w:val="es-ES_tradnl" w:eastAsia="es-ES"/>
    </w:rPr>
  </w:style>
  <w:style w:type="character" w:styleId="Mencinsinresolver">
    <w:name w:val="Unresolved Mention"/>
    <w:basedOn w:val="Fuentedeprrafopredeter"/>
    <w:uiPriority w:val="99"/>
    <w:semiHidden/>
    <w:unhideWhenUsed/>
    <w:rsid w:val="006B5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7479">
      <w:bodyDiv w:val="1"/>
      <w:marLeft w:val="0"/>
      <w:marRight w:val="0"/>
      <w:marTop w:val="0"/>
      <w:marBottom w:val="0"/>
      <w:divBdr>
        <w:top w:val="none" w:sz="0" w:space="0" w:color="auto"/>
        <w:left w:val="none" w:sz="0" w:space="0" w:color="auto"/>
        <w:bottom w:val="none" w:sz="0" w:space="0" w:color="auto"/>
        <w:right w:val="none" w:sz="0" w:space="0" w:color="auto"/>
      </w:divBdr>
    </w:div>
    <w:div w:id="46732738">
      <w:bodyDiv w:val="1"/>
      <w:marLeft w:val="0"/>
      <w:marRight w:val="0"/>
      <w:marTop w:val="0"/>
      <w:marBottom w:val="0"/>
      <w:divBdr>
        <w:top w:val="none" w:sz="0" w:space="0" w:color="auto"/>
        <w:left w:val="none" w:sz="0" w:space="0" w:color="auto"/>
        <w:bottom w:val="none" w:sz="0" w:space="0" w:color="auto"/>
        <w:right w:val="none" w:sz="0" w:space="0" w:color="auto"/>
      </w:divBdr>
    </w:div>
    <w:div w:id="85420654">
      <w:bodyDiv w:val="1"/>
      <w:marLeft w:val="0"/>
      <w:marRight w:val="0"/>
      <w:marTop w:val="0"/>
      <w:marBottom w:val="0"/>
      <w:divBdr>
        <w:top w:val="none" w:sz="0" w:space="0" w:color="auto"/>
        <w:left w:val="none" w:sz="0" w:space="0" w:color="auto"/>
        <w:bottom w:val="none" w:sz="0" w:space="0" w:color="auto"/>
        <w:right w:val="none" w:sz="0" w:space="0" w:color="auto"/>
      </w:divBdr>
    </w:div>
    <w:div w:id="140510825">
      <w:bodyDiv w:val="1"/>
      <w:marLeft w:val="0"/>
      <w:marRight w:val="0"/>
      <w:marTop w:val="0"/>
      <w:marBottom w:val="0"/>
      <w:divBdr>
        <w:top w:val="none" w:sz="0" w:space="0" w:color="auto"/>
        <w:left w:val="none" w:sz="0" w:space="0" w:color="auto"/>
        <w:bottom w:val="none" w:sz="0" w:space="0" w:color="auto"/>
        <w:right w:val="none" w:sz="0" w:space="0" w:color="auto"/>
      </w:divBdr>
    </w:div>
    <w:div w:id="167717520">
      <w:bodyDiv w:val="1"/>
      <w:marLeft w:val="0"/>
      <w:marRight w:val="0"/>
      <w:marTop w:val="0"/>
      <w:marBottom w:val="0"/>
      <w:divBdr>
        <w:top w:val="none" w:sz="0" w:space="0" w:color="auto"/>
        <w:left w:val="none" w:sz="0" w:space="0" w:color="auto"/>
        <w:bottom w:val="none" w:sz="0" w:space="0" w:color="auto"/>
        <w:right w:val="none" w:sz="0" w:space="0" w:color="auto"/>
      </w:divBdr>
    </w:div>
    <w:div w:id="252131231">
      <w:bodyDiv w:val="1"/>
      <w:marLeft w:val="0"/>
      <w:marRight w:val="0"/>
      <w:marTop w:val="0"/>
      <w:marBottom w:val="0"/>
      <w:divBdr>
        <w:top w:val="none" w:sz="0" w:space="0" w:color="auto"/>
        <w:left w:val="none" w:sz="0" w:space="0" w:color="auto"/>
        <w:bottom w:val="none" w:sz="0" w:space="0" w:color="auto"/>
        <w:right w:val="none" w:sz="0" w:space="0" w:color="auto"/>
      </w:divBdr>
    </w:div>
    <w:div w:id="369378576">
      <w:bodyDiv w:val="1"/>
      <w:marLeft w:val="0"/>
      <w:marRight w:val="0"/>
      <w:marTop w:val="0"/>
      <w:marBottom w:val="0"/>
      <w:divBdr>
        <w:top w:val="none" w:sz="0" w:space="0" w:color="auto"/>
        <w:left w:val="none" w:sz="0" w:space="0" w:color="auto"/>
        <w:bottom w:val="none" w:sz="0" w:space="0" w:color="auto"/>
        <w:right w:val="none" w:sz="0" w:space="0" w:color="auto"/>
      </w:divBdr>
    </w:div>
    <w:div w:id="42415771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4516830">
      <w:bodyDiv w:val="1"/>
      <w:marLeft w:val="0"/>
      <w:marRight w:val="0"/>
      <w:marTop w:val="0"/>
      <w:marBottom w:val="0"/>
      <w:divBdr>
        <w:top w:val="none" w:sz="0" w:space="0" w:color="auto"/>
        <w:left w:val="none" w:sz="0" w:space="0" w:color="auto"/>
        <w:bottom w:val="none" w:sz="0" w:space="0" w:color="auto"/>
        <w:right w:val="none" w:sz="0" w:space="0" w:color="auto"/>
      </w:divBdr>
    </w:div>
    <w:div w:id="507527364">
      <w:bodyDiv w:val="1"/>
      <w:marLeft w:val="0"/>
      <w:marRight w:val="0"/>
      <w:marTop w:val="0"/>
      <w:marBottom w:val="0"/>
      <w:divBdr>
        <w:top w:val="none" w:sz="0" w:space="0" w:color="auto"/>
        <w:left w:val="none" w:sz="0" w:space="0" w:color="auto"/>
        <w:bottom w:val="none" w:sz="0" w:space="0" w:color="auto"/>
        <w:right w:val="none" w:sz="0" w:space="0" w:color="auto"/>
      </w:divBdr>
    </w:div>
    <w:div w:id="535047730">
      <w:bodyDiv w:val="1"/>
      <w:marLeft w:val="0"/>
      <w:marRight w:val="0"/>
      <w:marTop w:val="0"/>
      <w:marBottom w:val="0"/>
      <w:divBdr>
        <w:top w:val="none" w:sz="0" w:space="0" w:color="auto"/>
        <w:left w:val="none" w:sz="0" w:space="0" w:color="auto"/>
        <w:bottom w:val="none" w:sz="0" w:space="0" w:color="auto"/>
        <w:right w:val="none" w:sz="0" w:space="0" w:color="auto"/>
      </w:divBdr>
    </w:div>
    <w:div w:id="554859047">
      <w:bodyDiv w:val="1"/>
      <w:marLeft w:val="0"/>
      <w:marRight w:val="0"/>
      <w:marTop w:val="0"/>
      <w:marBottom w:val="0"/>
      <w:divBdr>
        <w:top w:val="none" w:sz="0" w:space="0" w:color="auto"/>
        <w:left w:val="none" w:sz="0" w:space="0" w:color="auto"/>
        <w:bottom w:val="none" w:sz="0" w:space="0" w:color="auto"/>
        <w:right w:val="none" w:sz="0" w:space="0" w:color="auto"/>
      </w:divBdr>
    </w:div>
    <w:div w:id="59945967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373301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093975">
      <w:bodyDiv w:val="1"/>
      <w:marLeft w:val="0"/>
      <w:marRight w:val="0"/>
      <w:marTop w:val="0"/>
      <w:marBottom w:val="0"/>
      <w:divBdr>
        <w:top w:val="none" w:sz="0" w:space="0" w:color="auto"/>
        <w:left w:val="none" w:sz="0" w:space="0" w:color="auto"/>
        <w:bottom w:val="none" w:sz="0" w:space="0" w:color="auto"/>
        <w:right w:val="none" w:sz="0" w:space="0" w:color="auto"/>
      </w:divBdr>
    </w:div>
    <w:div w:id="68428587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7078077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95546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2945644">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965937">
      <w:bodyDiv w:val="1"/>
      <w:marLeft w:val="0"/>
      <w:marRight w:val="0"/>
      <w:marTop w:val="0"/>
      <w:marBottom w:val="0"/>
      <w:divBdr>
        <w:top w:val="none" w:sz="0" w:space="0" w:color="auto"/>
        <w:left w:val="none" w:sz="0" w:space="0" w:color="auto"/>
        <w:bottom w:val="none" w:sz="0" w:space="0" w:color="auto"/>
        <w:right w:val="none" w:sz="0" w:space="0" w:color="auto"/>
      </w:divBdr>
    </w:div>
    <w:div w:id="1202128470">
      <w:bodyDiv w:val="1"/>
      <w:marLeft w:val="0"/>
      <w:marRight w:val="0"/>
      <w:marTop w:val="0"/>
      <w:marBottom w:val="0"/>
      <w:divBdr>
        <w:top w:val="none" w:sz="0" w:space="0" w:color="auto"/>
        <w:left w:val="none" w:sz="0" w:space="0" w:color="auto"/>
        <w:bottom w:val="none" w:sz="0" w:space="0" w:color="auto"/>
        <w:right w:val="none" w:sz="0" w:space="0" w:color="auto"/>
      </w:divBdr>
    </w:div>
    <w:div w:id="1232693601">
      <w:bodyDiv w:val="1"/>
      <w:marLeft w:val="0"/>
      <w:marRight w:val="0"/>
      <w:marTop w:val="0"/>
      <w:marBottom w:val="0"/>
      <w:divBdr>
        <w:top w:val="none" w:sz="0" w:space="0" w:color="auto"/>
        <w:left w:val="none" w:sz="0" w:space="0" w:color="auto"/>
        <w:bottom w:val="none" w:sz="0" w:space="0" w:color="auto"/>
        <w:right w:val="none" w:sz="0" w:space="0" w:color="auto"/>
      </w:divBdr>
    </w:div>
    <w:div w:id="1233080250">
      <w:bodyDiv w:val="1"/>
      <w:marLeft w:val="0"/>
      <w:marRight w:val="0"/>
      <w:marTop w:val="0"/>
      <w:marBottom w:val="0"/>
      <w:divBdr>
        <w:top w:val="none" w:sz="0" w:space="0" w:color="auto"/>
        <w:left w:val="none" w:sz="0" w:space="0" w:color="auto"/>
        <w:bottom w:val="none" w:sz="0" w:space="0" w:color="auto"/>
        <w:right w:val="none" w:sz="0" w:space="0" w:color="auto"/>
      </w:divBdr>
    </w:div>
    <w:div w:id="1247110263">
      <w:bodyDiv w:val="1"/>
      <w:marLeft w:val="0"/>
      <w:marRight w:val="0"/>
      <w:marTop w:val="0"/>
      <w:marBottom w:val="0"/>
      <w:divBdr>
        <w:top w:val="none" w:sz="0" w:space="0" w:color="auto"/>
        <w:left w:val="none" w:sz="0" w:space="0" w:color="auto"/>
        <w:bottom w:val="none" w:sz="0" w:space="0" w:color="auto"/>
        <w:right w:val="none" w:sz="0" w:space="0" w:color="auto"/>
      </w:divBdr>
    </w:div>
    <w:div w:id="1337807846">
      <w:bodyDiv w:val="1"/>
      <w:marLeft w:val="0"/>
      <w:marRight w:val="0"/>
      <w:marTop w:val="0"/>
      <w:marBottom w:val="0"/>
      <w:divBdr>
        <w:top w:val="none" w:sz="0" w:space="0" w:color="auto"/>
        <w:left w:val="none" w:sz="0" w:space="0" w:color="auto"/>
        <w:bottom w:val="none" w:sz="0" w:space="0" w:color="auto"/>
        <w:right w:val="none" w:sz="0" w:space="0" w:color="auto"/>
      </w:divBdr>
    </w:div>
    <w:div w:id="1367178870">
      <w:bodyDiv w:val="1"/>
      <w:marLeft w:val="0"/>
      <w:marRight w:val="0"/>
      <w:marTop w:val="0"/>
      <w:marBottom w:val="0"/>
      <w:divBdr>
        <w:top w:val="none" w:sz="0" w:space="0" w:color="auto"/>
        <w:left w:val="none" w:sz="0" w:space="0" w:color="auto"/>
        <w:bottom w:val="none" w:sz="0" w:space="0" w:color="auto"/>
        <w:right w:val="none" w:sz="0" w:space="0" w:color="auto"/>
      </w:divBdr>
    </w:div>
    <w:div w:id="141134733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039601">
      <w:bodyDiv w:val="1"/>
      <w:marLeft w:val="0"/>
      <w:marRight w:val="0"/>
      <w:marTop w:val="0"/>
      <w:marBottom w:val="0"/>
      <w:divBdr>
        <w:top w:val="none" w:sz="0" w:space="0" w:color="auto"/>
        <w:left w:val="none" w:sz="0" w:space="0" w:color="auto"/>
        <w:bottom w:val="none" w:sz="0" w:space="0" w:color="auto"/>
        <w:right w:val="none" w:sz="0" w:space="0" w:color="auto"/>
      </w:divBdr>
    </w:div>
    <w:div w:id="1451363799">
      <w:bodyDiv w:val="1"/>
      <w:marLeft w:val="0"/>
      <w:marRight w:val="0"/>
      <w:marTop w:val="0"/>
      <w:marBottom w:val="0"/>
      <w:divBdr>
        <w:top w:val="none" w:sz="0" w:space="0" w:color="auto"/>
        <w:left w:val="none" w:sz="0" w:space="0" w:color="auto"/>
        <w:bottom w:val="none" w:sz="0" w:space="0" w:color="auto"/>
        <w:right w:val="none" w:sz="0" w:space="0" w:color="auto"/>
      </w:divBdr>
    </w:div>
    <w:div w:id="1457796126">
      <w:bodyDiv w:val="1"/>
      <w:marLeft w:val="0"/>
      <w:marRight w:val="0"/>
      <w:marTop w:val="0"/>
      <w:marBottom w:val="0"/>
      <w:divBdr>
        <w:top w:val="none" w:sz="0" w:space="0" w:color="auto"/>
        <w:left w:val="none" w:sz="0" w:space="0" w:color="auto"/>
        <w:bottom w:val="none" w:sz="0" w:space="0" w:color="auto"/>
        <w:right w:val="none" w:sz="0" w:space="0" w:color="auto"/>
      </w:divBdr>
    </w:div>
    <w:div w:id="147772455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7989333">
      <w:bodyDiv w:val="1"/>
      <w:marLeft w:val="0"/>
      <w:marRight w:val="0"/>
      <w:marTop w:val="0"/>
      <w:marBottom w:val="0"/>
      <w:divBdr>
        <w:top w:val="none" w:sz="0" w:space="0" w:color="auto"/>
        <w:left w:val="none" w:sz="0" w:space="0" w:color="auto"/>
        <w:bottom w:val="none" w:sz="0" w:space="0" w:color="auto"/>
        <w:right w:val="none" w:sz="0" w:space="0" w:color="auto"/>
      </w:divBdr>
    </w:div>
    <w:div w:id="1558779362">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06419458">
      <w:bodyDiv w:val="1"/>
      <w:marLeft w:val="0"/>
      <w:marRight w:val="0"/>
      <w:marTop w:val="0"/>
      <w:marBottom w:val="0"/>
      <w:divBdr>
        <w:top w:val="none" w:sz="0" w:space="0" w:color="auto"/>
        <w:left w:val="none" w:sz="0" w:space="0" w:color="auto"/>
        <w:bottom w:val="none" w:sz="0" w:space="0" w:color="auto"/>
        <w:right w:val="none" w:sz="0" w:space="0" w:color="auto"/>
      </w:divBdr>
    </w:div>
    <w:div w:id="160742605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56396331">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6597373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2399320">
      <w:bodyDiv w:val="1"/>
      <w:marLeft w:val="0"/>
      <w:marRight w:val="0"/>
      <w:marTop w:val="0"/>
      <w:marBottom w:val="0"/>
      <w:divBdr>
        <w:top w:val="none" w:sz="0" w:space="0" w:color="auto"/>
        <w:left w:val="none" w:sz="0" w:space="0" w:color="auto"/>
        <w:bottom w:val="none" w:sz="0" w:space="0" w:color="auto"/>
        <w:right w:val="none" w:sz="0" w:space="0" w:color="auto"/>
      </w:divBdr>
    </w:div>
    <w:div w:id="1927955667">
      <w:bodyDiv w:val="1"/>
      <w:marLeft w:val="0"/>
      <w:marRight w:val="0"/>
      <w:marTop w:val="0"/>
      <w:marBottom w:val="0"/>
      <w:divBdr>
        <w:top w:val="none" w:sz="0" w:space="0" w:color="auto"/>
        <w:left w:val="none" w:sz="0" w:space="0" w:color="auto"/>
        <w:bottom w:val="none" w:sz="0" w:space="0" w:color="auto"/>
        <w:right w:val="none" w:sz="0" w:space="0" w:color="auto"/>
      </w:divBdr>
    </w:div>
    <w:div w:id="1945963093">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1971200657">
      <w:bodyDiv w:val="1"/>
      <w:marLeft w:val="0"/>
      <w:marRight w:val="0"/>
      <w:marTop w:val="0"/>
      <w:marBottom w:val="0"/>
      <w:divBdr>
        <w:top w:val="none" w:sz="0" w:space="0" w:color="auto"/>
        <w:left w:val="none" w:sz="0" w:space="0" w:color="auto"/>
        <w:bottom w:val="none" w:sz="0" w:space="0" w:color="auto"/>
        <w:right w:val="none" w:sz="0" w:space="0" w:color="auto"/>
      </w:divBdr>
    </w:div>
    <w:div w:id="2008247258">
      <w:bodyDiv w:val="1"/>
      <w:marLeft w:val="0"/>
      <w:marRight w:val="0"/>
      <w:marTop w:val="0"/>
      <w:marBottom w:val="0"/>
      <w:divBdr>
        <w:top w:val="none" w:sz="0" w:space="0" w:color="auto"/>
        <w:left w:val="none" w:sz="0" w:space="0" w:color="auto"/>
        <w:bottom w:val="none" w:sz="0" w:space="0" w:color="auto"/>
        <w:right w:val="none" w:sz="0" w:space="0" w:color="auto"/>
      </w:divBdr>
    </w:div>
    <w:div w:id="2042243886">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chart" Target="charts/chart14.xml"/><Relationship Id="rId34"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33" Type="http://schemas.openxmlformats.org/officeDocument/2006/relationships/hyperlink" Target="https://www.youtube.com/user/INEGIInforma"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www.instagram.com/inegi_infor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mailto:comunicacionsocial@inegi.org.mx" TargetMode="External"/><Relationship Id="rId32" Type="http://schemas.openxmlformats.org/officeDocument/2006/relationships/image" Target="media/image4.jpeg"/><Relationship Id="rId37" Type="http://schemas.openxmlformats.org/officeDocument/2006/relationships/hyperlink" Target="https://www.inegi.org.mx/programas/eac/201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www.inegi.org.mx/programas/eac/2013/" TargetMode="External"/><Relationship Id="rId28" Type="http://schemas.openxmlformats.org/officeDocument/2006/relationships/image" Target="media/image2.jpeg"/><Relationship Id="rId36" Type="http://schemas.openxmlformats.org/officeDocument/2006/relationships/image" Target="media/image6.png"/><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twitter.com/INEGI_INFOR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www.facebook.com/INEGIInforma/" TargetMode="External"/><Relationship Id="rId30" Type="http://schemas.openxmlformats.org/officeDocument/2006/relationships/image" Target="media/image3.jpeg"/><Relationship Id="rId35" Type="http://schemas.openxmlformats.org/officeDocument/2006/relationships/hyperlink" Target="http://www.inegi.org.mx/" TargetMode="External"/><Relationship Id="rId8" Type="http://schemas.openxmlformats.org/officeDocument/2006/relationships/chart" Target="charts/chart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Gr&#225;ficas_Nota%20Tecnica_Borrador_Wor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_Nota%20Tecnica_Borrador_Wor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Gr&#225;ficas_Nota%20Tecnica_Borrador_Wor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_Nota%20Tecnica_Borrador_Wor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_Nota%20Tecnica_Borrador_Word.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Gr&#225;ficas_Nota%20Tecnica_Borrador_Word.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Gr&#225;ficas_Nota%20Tecnica_Borrador_Word.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_Nota%20Tecnica_Borrador_Wor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_Nota%20Tecnica_Borrador_Wor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Gr&#225;ficas_Nota%20Tecnica_Borrador_Wor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Gr&#225;ficas_Nota%20Tecnica_Borrador_Wor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_Nota%20Tecnica_Borrador_Wor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_Nota%20Tecnica_Borrador_Wor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_Nota%20Tecnica_Borrador_Wor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esktop\Instituto%20Nacional%20de%20Estad&#237;stica%20y%20Geograf&#237;a\Encuesta%20Anual%20del%20Comercio%20(EAC)\2022\Nota%20Tecnica\Gr&#225;ficas_Nota%20Tecnica_Borrador_Wor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1.8609565716410998E-2"/>
          <c:y val="3.178396783592629E-2"/>
          <c:w val="0.61422157132405797"/>
          <c:h val="0.8705979343799054"/>
        </c:manualLayout>
      </c:layout>
      <c:barChart>
        <c:barDir val="col"/>
        <c:grouping val="stacked"/>
        <c:varyColors val="0"/>
        <c:ser>
          <c:idx val="0"/>
          <c:order val="0"/>
          <c:tx>
            <c:strRef>
              <c:f>Gráfica_1!$C$10</c:f>
              <c:strCache>
                <c:ptCount val="1"/>
                <c:pt idx="0">
                  <c:v>Personal dependiente de la razón social - Hombres</c:v>
                </c:pt>
              </c:strCache>
            </c:strRef>
          </c:tx>
          <c:spPr>
            <a:solidFill>
              <a:schemeClr val="accent5">
                <a:shade val="58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Gráfica_1!$B$11:$B$12</c:f>
              <c:strCache>
                <c:ptCount val="2"/>
                <c:pt idx="0">
                  <c:v>Comercio al por mayor</c:v>
                </c:pt>
                <c:pt idx="1">
                  <c:v>Comercio al por menor</c:v>
                </c:pt>
              </c:strCache>
            </c:strRef>
          </c:cat>
          <c:val>
            <c:numRef>
              <c:f>Gráfica_1!$C$11:$C$12</c:f>
              <c:numCache>
                <c:formatCode>0.0%</c:formatCode>
                <c:ptCount val="2"/>
                <c:pt idx="0">
                  <c:v>0.47799999999999998</c:v>
                </c:pt>
                <c:pt idx="1">
                  <c:v>0.43738143492576753</c:v>
                </c:pt>
              </c:numCache>
            </c:numRef>
          </c:val>
          <c:extLst>
            <c:ext xmlns:c16="http://schemas.microsoft.com/office/drawing/2014/chart" uri="{C3380CC4-5D6E-409C-BE32-E72D297353CC}">
              <c16:uniqueId val="{00000000-0818-4881-B4B1-56B76C5FBB26}"/>
            </c:ext>
          </c:extLst>
        </c:ser>
        <c:ser>
          <c:idx val="1"/>
          <c:order val="1"/>
          <c:tx>
            <c:strRef>
              <c:f>Gráfica_1!$D$10</c:f>
              <c:strCache>
                <c:ptCount val="1"/>
                <c:pt idx="0">
                  <c:v>Personal dependiente de la razón social - Mujeres</c:v>
                </c:pt>
              </c:strCache>
            </c:strRef>
          </c:tx>
          <c:spPr>
            <a:solidFill>
              <a:schemeClr val="accent5">
                <a:shade val="86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Gráfica_1!$B$11:$B$12</c:f>
              <c:strCache>
                <c:ptCount val="2"/>
                <c:pt idx="0">
                  <c:v>Comercio al por mayor</c:v>
                </c:pt>
                <c:pt idx="1">
                  <c:v>Comercio al por menor</c:v>
                </c:pt>
              </c:strCache>
            </c:strRef>
          </c:cat>
          <c:val>
            <c:numRef>
              <c:f>Gráfica_1!$D$11:$D$12</c:f>
              <c:numCache>
                <c:formatCode>0.0%</c:formatCode>
                <c:ptCount val="2"/>
                <c:pt idx="0">
                  <c:v>0.20640092362558457</c:v>
                </c:pt>
                <c:pt idx="1">
                  <c:v>0.45759683966284143</c:v>
                </c:pt>
              </c:numCache>
            </c:numRef>
          </c:val>
          <c:extLst>
            <c:ext xmlns:c16="http://schemas.microsoft.com/office/drawing/2014/chart" uri="{C3380CC4-5D6E-409C-BE32-E72D297353CC}">
              <c16:uniqueId val="{00000001-0818-4881-B4B1-56B76C5FBB26}"/>
            </c:ext>
          </c:extLst>
        </c:ser>
        <c:ser>
          <c:idx val="2"/>
          <c:order val="2"/>
          <c:tx>
            <c:strRef>
              <c:f>Gráfica_1!$E$10</c:f>
              <c:strCache>
                <c:ptCount val="1"/>
                <c:pt idx="0">
                  <c:v>Personal no dependiente de la razón social - Hombres</c:v>
                </c:pt>
              </c:strCache>
            </c:strRef>
          </c:tx>
          <c:spPr>
            <a:solidFill>
              <a:schemeClr val="accent5">
                <a:tint val="86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Gráfica_1!$B$11:$B$12</c:f>
              <c:strCache>
                <c:ptCount val="2"/>
                <c:pt idx="0">
                  <c:v>Comercio al por mayor</c:v>
                </c:pt>
                <c:pt idx="1">
                  <c:v>Comercio al por menor</c:v>
                </c:pt>
              </c:strCache>
            </c:strRef>
          </c:cat>
          <c:val>
            <c:numRef>
              <c:f>Gráfica_1!$E$11:$E$12</c:f>
              <c:numCache>
                <c:formatCode>0.0%</c:formatCode>
                <c:ptCount val="2"/>
                <c:pt idx="0">
                  <c:v>0.20789012822033853</c:v>
                </c:pt>
                <c:pt idx="1">
                  <c:v>5.6984320970471618E-2</c:v>
                </c:pt>
              </c:numCache>
            </c:numRef>
          </c:val>
          <c:extLst>
            <c:ext xmlns:c16="http://schemas.microsoft.com/office/drawing/2014/chart" uri="{C3380CC4-5D6E-409C-BE32-E72D297353CC}">
              <c16:uniqueId val="{00000002-0818-4881-B4B1-56B76C5FBB26}"/>
            </c:ext>
          </c:extLst>
        </c:ser>
        <c:ser>
          <c:idx val="3"/>
          <c:order val="3"/>
          <c:tx>
            <c:strRef>
              <c:f>Gráfica_1!$F$10</c:f>
              <c:strCache>
                <c:ptCount val="1"/>
                <c:pt idx="0">
                  <c:v>Personal no dependiente de la razón social - Mujeres</c:v>
                </c:pt>
              </c:strCache>
            </c:strRef>
          </c:tx>
          <c:spPr>
            <a:solidFill>
              <a:schemeClr val="accent5">
                <a:tint val="58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Gráfica_1!$B$11:$B$12</c:f>
              <c:strCache>
                <c:ptCount val="2"/>
                <c:pt idx="0">
                  <c:v>Comercio al por mayor</c:v>
                </c:pt>
                <c:pt idx="1">
                  <c:v>Comercio al por menor</c:v>
                </c:pt>
              </c:strCache>
            </c:strRef>
          </c:cat>
          <c:val>
            <c:numRef>
              <c:f>Gráfica_1!$F$11:$F$12</c:f>
              <c:numCache>
                <c:formatCode>0.0%</c:formatCode>
                <c:ptCount val="2"/>
                <c:pt idx="0">
                  <c:v>0.1075025100446053</c:v>
                </c:pt>
                <c:pt idx="1">
                  <c:v>4.8037404440919404E-2</c:v>
                </c:pt>
              </c:numCache>
            </c:numRef>
          </c:val>
          <c:extLst>
            <c:ext xmlns:c16="http://schemas.microsoft.com/office/drawing/2014/chart" uri="{C3380CC4-5D6E-409C-BE32-E72D297353CC}">
              <c16:uniqueId val="{00000003-0818-4881-B4B1-56B76C5FBB26}"/>
            </c:ext>
          </c:extLst>
        </c:ser>
        <c:dLbls>
          <c:dLblPos val="ctr"/>
          <c:showLegendKey val="0"/>
          <c:showVal val="1"/>
          <c:showCatName val="0"/>
          <c:showSerName val="0"/>
          <c:showPercent val="0"/>
          <c:showBubbleSize val="0"/>
        </c:dLbls>
        <c:gapWidth val="150"/>
        <c:overlap val="100"/>
        <c:axId val="1676323792"/>
        <c:axId val="1680058464"/>
      </c:barChart>
      <c:catAx>
        <c:axId val="16763237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1680058464"/>
        <c:crosses val="autoZero"/>
        <c:auto val="1"/>
        <c:lblAlgn val="ctr"/>
        <c:lblOffset val="0"/>
        <c:noMultiLvlLbl val="0"/>
      </c:catAx>
      <c:valAx>
        <c:axId val="1680058464"/>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1676323792"/>
        <c:crosses val="autoZero"/>
        <c:crossBetween val="between"/>
      </c:valAx>
      <c:spPr>
        <a:noFill/>
        <a:ln>
          <a:noFill/>
        </a:ln>
        <a:effectLst/>
      </c:spPr>
    </c:plotArea>
    <c:legend>
      <c:legendPos val="r"/>
      <c:layout>
        <c:manualLayout>
          <c:xMode val="edge"/>
          <c:yMode val="edge"/>
          <c:x val="0.64907341147308362"/>
          <c:y val="0.2809080352678418"/>
          <c:w val="0.33400880151199724"/>
          <c:h val="0.491988250241692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563488888888889"/>
          <c:y val="3.7819725604165376E-2"/>
          <c:w val="0.80660944444444449"/>
          <c:h val="0.58206406274021671"/>
        </c:manualLayout>
      </c:layout>
      <c:barChart>
        <c:barDir val="bar"/>
        <c:grouping val="percentStacked"/>
        <c:varyColors val="0"/>
        <c:ser>
          <c:idx val="0"/>
          <c:order val="0"/>
          <c:tx>
            <c:strRef>
              <c:f>Gráfica_13_14!$G$4</c:f>
              <c:strCache>
                <c:ptCount val="1"/>
                <c:pt idx="0">
                  <c:v>Sin instrucción</c:v>
                </c:pt>
              </c:strCache>
            </c:strRef>
          </c:tx>
          <c:spPr>
            <a:solidFill>
              <a:schemeClr val="accent5">
                <a:shade val="58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Gráfica_13_14!$A$8:$A$9</c:f>
              <c:strCache>
                <c:ptCount val="2"/>
                <c:pt idx="0">
                  <c:v>Comercio al por menor</c:v>
                </c:pt>
                <c:pt idx="1">
                  <c:v>Comercio al por mayor</c:v>
                </c:pt>
              </c:strCache>
            </c:strRef>
          </c:cat>
          <c:val>
            <c:numRef>
              <c:f>Gráfica_13_14!$G$8:$G$9</c:f>
              <c:numCache>
                <c:formatCode>0.0%</c:formatCode>
                <c:ptCount val="2"/>
                <c:pt idx="0">
                  <c:v>5.6291390728476824E-2</c:v>
                </c:pt>
                <c:pt idx="1">
                  <c:v>4.1095890410958902E-2</c:v>
                </c:pt>
              </c:numCache>
            </c:numRef>
          </c:val>
          <c:extLst>
            <c:ext xmlns:c16="http://schemas.microsoft.com/office/drawing/2014/chart" uri="{C3380CC4-5D6E-409C-BE32-E72D297353CC}">
              <c16:uniqueId val="{00000000-CAC5-4CBF-8DD7-5F0917427699}"/>
            </c:ext>
          </c:extLst>
        </c:ser>
        <c:ser>
          <c:idx val="1"/>
          <c:order val="1"/>
          <c:tx>
            <c:strRef>
              <c:f>Gráfica_13_14!$H$4</c:f>
              <c:strCache>
                <c:ptCount val="1"/>
                <c:pt idx="0">
                  <c:v>Educación básica (preescolar, primaria, secundaria, formacion para el trabajo)</c:v>
                </c:pt>
              </c:strCache>
            </c:strRef>
          </c:tx>
          <c:spPr>
            <a:solidFill>
              <a:schemeClr val="accent5">
                <a:shade val="86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Gráfica_13_14!$A$8:$A$9</c:f>
              <c:strCache>
                <c:ptCount val="2"/>
                <c:pt idx="0">
                  <c:v>Comercio al por menor</c:v>
                </c:pt>
                <c:pt idx="1">
                  <c:v>Comercio al por mayor</c:v>
                </c:pt>
              </c:strCache>
            </c:strRef>
          </c:cat>
          <c:val>
            <c:numRef>
              <c:f>Gráfica_13_14!$H$8:$H$9</c:f>
              <c:numCache>
                <c:formatCode>0.0%</c:formatCode>
                <c:ptCount val="2"/>
                <c:pt idx="0">
                  <c:v>0.2185430463576159</c:v>
                </c:pt>
                <c:pt idx="1">
                  <c:v>0.40508806262230918</c:v>
                </c:pt>
              </c:numCache>
            </c:numRef>
          </c:val>
          <c:extLst>
            <c:ext xmlns:c16="http://schemas.microsoft.com/office/drawing/2014/chart" uri="{C3380CC4-5D6E-409C-BE32-E72D297353CC}">
              <c16:uniqueId val="{00000001-CAC5-4CBF-8DD7-5F0917427699}"/>
            </c:ext>
          </c:extLst>
        </c:ser>
        <c:ser>
          <c:idx val="2"/>
          <c:order val="2"/>
          <c:tx>
            <c:strRef>
              <c:f>Gráfica_13_14!$I$4</c:f>
              <c:strCache>
                <c:ptCount val="1"/>
                <c:pt idx="0">
                  <c:v>Educación media superior (bachillerato general, bachillerato bivalente, profesional técnico)</c:v>
                </c:pt>
              </c:strCache>
            </c:strRef>
          </c:tx>
          <c:spPr>
            <a:solidFill>
              <a:schemeClr val="accent5">
                <a:tint val="86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Gráfica_13_14!$A$8:$A$9</c:f>
              <c:strCache>
                <c:ptCount val="2"/>
                <c:pt idx="0">
                  <c:v>Comercio al por menor</c:v>
                </c:pt>
                <c:pt idx="1">
                  <c:v>Comercio al por mayor</c:v>
                </c:pt>
              </c:strCache>
            </c:strRef>
          </c:cat>
          <c:val>
            <c:numRef>
              <c:f>Gráfica_13_14!$I$8:$I$9</c:f>
              <c:numCache>
                <c:formatCode>0.0%</c:formatCode>
                <c:ptCount val="2"/>
                <c:pt idx="0">
                  <c:v>0.39072847682119211</c:v>
                </c:pt>
                <c:pt idx="1">
                  <c:v>0.42661448140900193</c:v>
                </c:pt>
              </c:numCache>
            </c:numRef>
          </c:val>
          <c:extLst>
            <c:ext xmlns:c16="http://schemas.microsoft.com/office/drawing/2014/chart" uri="{C3380CC4-5D6E-409C-BE32-E72D297353CC}">
              <c16:uniqueId val="{00000002-CAC5-4CBF-8DD7-5F0917427699}"/>
            </c:ext>
          </c:extLst>
        </c:ser>
        <c:ser>
          <c:idx val="3"/>
          <c:order val="3"/>
          <c:tx>
            <c:strRef>
              <c:f>Gráfica_13_14!$J$4</c:f>
              <c:strCache>
                <c:ptCount val="1"/>
                <c:pt idx="0">
                  <c:v>Educación superior (licenciatura, ingeniería, especialidad, posgrado)</c:v>
                </c:pt>
              </c:strCache>
            </c:strRef>
          </c:tx>
          <c:spPr>
            <a:solidFill>
              <a:schemeClr val="accent5">
                <a:tint val="58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Gráfica_13_14!$A$8:$A$9</c:f>
              <c:strCache>
                <c:ptCount val="2"/>
                <c:pt idx="0">
                  <c:v>Comercio al por menor</c:v>
                </c:pt>
                <c:pt idx="1">
                  <c:v>Comercio al por mayor</c:v>
                </c:pt>
              </c:strCache>
            </c:strRef>
          </c:cat>
          <c:val>
            <c:numRef>
              <c:f>Gráfica_13_14!$J$8:$J$9</c:f>
              <c:numCache>
                <c:formatCode>0.0%</c:formatCode>
                <c:ptCount val="2"/>
                <c:pt idx="0">
                  <c:v>0.33443708609271522</c:v>
                </c:pt>
                <c:pt idx="1">
                  <c:v>0.12720156555772993</c:v>
                </c:pt>
              </c:numCache>
            </c:numRef>
          </c:val>
          <c:extLst>
            <c:ext xmlns:c16="http://schemas.microsoft.com/office/drawing/2014/chart" uri="{C3380CC4-5D6E-409C-BE32-E72D297353CC}">
              <c16:uniqueId val="{00000003-CAC5-4CBF-8DD7-5F0917427699}"/>
            </c:ext>
          </c:extLst>
        </c:ser>
        <c:dLbls>
          <c:showLegendKey val="0"/>
          <c:showVal val="1"/>
          <c:showCatName val="0"/>
          <c:showSerName val="0"/>
          <c:showPercent val="0"/>
          <c:showBubbleSize val="0"/>
        </c:dLbls>
        <c:gapWidth val="219"/>
        <c:overlap val="100"/>
        <c:axId val="156293039"/>
        <c:axId val="156305103"/>
      </c:barChart>
      <c:catAx>
        <c:axId val="1562930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156305103"/>
        <c:crosses val="autoZero"/>
        <c:auto val="1"/>
        <c:lblAlgn val="ctr"/>
        <c:lblOffset val="100"/>
        <c:noMultiLvlLbl val="0"/>
      </c:catAx>
      <c:valAx>
        <c:axId val="15630510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56293039"/>
        <c:crosses val="autoZero"/>
        <c:crossBetween val="between"/>
      </c:valAx>
      <c:spPr>
        <a:noFill/>
        <a:ln>
          <a:noFill/>
        </a:ln>
        <a:effectLst/>
      </c:spPr>
    </c:plotArea>
    <c:legend>
      <c:legendPos val="b"/>
      <c:layout>
        <c:manualLayout>
          <c:xMode val="edge"/>
          <c:yMode val="edge"/>
          <c:x val="0.14373218997922077"/>
          <c:y val="0.6447576021945739"/>
          <c:w val="0.75134087731748045"/>
          <c:h val="0.328351457832061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5056402777777775"/>
          <c:y val="3.0506078284701258E-2"/>
          <c:w val="0.81133694444444449"/>
          <c:h val="0.68516651827439023"/>
        </c:manualLayout>
      </c:layout>
      <c:barChart>
        <c:barDir val="bar"/>
        <c:grouping val="percentStacked"/>
        <c:varyColors val="0"/>
        <c:ser>
          <c:idx val="0"/>
          <c:order val="0"/>
          <c:tx>
            <c:strRef>
              <c:f>Gráfica_15!$C$4:$C$5</c:f>
              <c:strCache>
                <c:ptCount val="2"/>
                <c:pt idx="0">
                  <c:v>Hombres.</c:v>
                </c:pt>
                <c:pt idx="1">
                  <c:v>Personal de producción, ventas o servicios</c:v>
                </c:pt>
              </c:strCache>
            </c:strRef>
          </c:tx>
          <c:spPr>
            <a:solidFill>
              <a:schemeClr val="accent5">
                <a:shade val="58000"/>
              </a:schemeClr>
            </a:solidFill>
            <a:ln>
              <a:noFill/>
            </a:ln>
            <a:effectLst/>
          </c:spPr>
          <c:invertIfNegative val="0"/>
          <c:dLbls>
            <c:numFmt formatCode="0.0\ %"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Gráfica_15!$A$6:$A$7</c:f>
              <c:strCache>
                <c:ptCount val="2"/>
                <c:pt idx="0">
                  <c:v>Comercio al por menor</c:v>
                </c:pt>
                <c:pt idx="1">
                  <c:v>Comercio al por mayor</c:v>
                </c:pt>
              </c:strCache>
            </c:strRef>
          </c:cat>
          <c:val>
            <c:numRef>
              <c:f>Gráfica_15!$C$6:$C$7</c:f>
              <c:numCache>
                <c:formatCode>0.0%</c:formatCode>
                <c:ptCount val="2"/>
                <c:pt idx="0">
                  <c:v>0.503</c:v>
                </c:pt>
                <c:pt idx="1">
                  <c:v>0.438</c:v>
                </c:pt>
              </c:numCache>
            </c:numRef>
          </c:val>
          <c:extLst>
            <c:ext xmlns:c16="http://schemas.microsoft.com/office/drawing/2014/chart" uri="{C3380CC4-5D6E-409C-BE32-E72D297353CC}">
              <c16:uniqueId val="{00000000-56ED-4A91-99C4-A58D602263EC}"/>
            </c:ext>
          </c:extLst>
        </c:ser>
        <c:ser>
          <c:idx val="1"/>
          <c:order val="1"/>
          <c:tx>
            <c:strRef>
              <c:f>Gráfica_15!$D$4:$D$5</c:f>
              <c:strCache>
                <c:ptCount val="2"/>
                <c:pt idx="0">
                  <c:v>Hombres.</c:v>
                </c:pt>
                <c:pt idx="1">
                  <c:v>Personal administrativo, contable o de dirección</c:v>
                </c:pt>
              </c:strCache>
            </c:strRef>
          </c:tx>
          <c:spPr>
            <a:solidFill>
              <a:schemeClr val="accent5">
                <a:shade val="86000"/>
              </a:schemeClr>
            </a:solidFill>
            <a:ln>
              <a:noFill/>
            </a:ln>
            <a:effectLst/>
          </c:spPr>
          <c:invertIfNegative val="0"/>
          <c:dLbls>
            <c:numFmt formatCode="0.0\ %"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Gráfica_15!$A$6:$A$7</c:f>
              <c:strCache>
                <c:ptCount val="2"/>
                <c:pt idx="0">
                  <c:v>Comercio al por menor</c:v>
                </c:pt>
                <c:pt idx="1">
                  <c:v>Comercio al por mayor</c:v>
                </c:pt>
              </c:strCache>
            </c:strRef>
          </c:cat>
          <c:val>
            <c:numRef>
              <c:f>Gráfica_15!$D$6:$D$7</c:f>
              <c:numCache>
                <c:formatCode>0.0%</c:formatCode>
                <c:ptCount val="2"/>
                <c:pt idx="0">
                  <c:v>0.17199999999999999</c:v>
                </c:pt>
                <c:pt idx="1">
                  <c:v>9.5000000000000001E-2</c:v>
                </c:pt>
              </c:numCache>
            </c:numRef>
          </c:val>
          <c:extLst>
            <c:ext xmlns:c16="http://schemas.microsoft.com/office/drawing/2014/chart" uri="{C3380CC4-5D6E-409C-BE32-E72D297353CC}">
              <c16:uniqueId val="{00000001-56ED-4A91-99C4-A58D602263EC}"/>
            </c:ext>
          </c:extLst>
        </c:ser>
        <c:ser>
          <c:idx val="2"/>
          <c:order val="2"/>
          <c:tx>
            <c:strRef>
              <c:f>Gráfica_15!$E$4:$E$5</c:f>
              <c:strCache>
                <c:ptCount val="2"/>
                <c:pt idx="0">
                  <c:v>Mujeres.</c:v>
                </c:pt>
                <c:pt idx="1">
                  <c:v>Personal de producción, ventas o servicios</c:v>
                </c:pt>
              </c:strCache>
            </c:strRef>
          </c:tx>
          <c:spPr>
            <a:solidFill>
              <a:schemeClr val="accent5">
                <a:tint val="86000"/>
              </a:schemeClr>
            </a:solidFill>
            <a:ln>
              <a:noFill/>
            </a:ln>
            <a:effectLst/>
          </c:spPr>
          <c:invertIfNegative val="0"/>
          <c:dLbls>
            <c:numFmt formatCode="0.0\ %"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Gráfica_15!$A$6:$A$7</c:f>
              <c:strCache>
                <c:ptCount val="2"/>
                <c:pt idx="0">
                  <c:v>Comercio al por menor</c:v>
                </c:pt>
                <c:pt idx="1">
                  <c:v>Comercio al por mayor</c:v>
                </c:pt>
              </c:strCache>
            </c:strRef>
          </c:cat>
          <c:val>
            <c:numRef>
              <c:f>Gráfica_15!$E$6:$E$7</c:f>
              <c:numCache>
                <c:formatCode>0.0%</c:formatCode>
                <c:ptCount val="2"/>
                <c:pt idx="0">
                  <c:v>0.20899999999999999</c:v>
                </c:pt>
                <c:pt idx="1">
                  <c:v>0.35899999999999999</c:v>
                </c:pt>
              </c:numCache>
            </c:numRef>
          </c:val>
          <c:extLst>
            <c:ext xmlns:c16="http://schemas.microsoft.com/office/drawing/2014/chart" uri="{C3380CC4-5D6E-409C-BE32-E72D297353CC}">
              <c16:uniqueId val="{00000002-56ED-4A91-99C4-A58D602263EC}"/>
            </c:ext>
          </c:extLst>
        </c:ser>
        <c:ser>
          <c:idx val="3"/>
          <c:order val="3"/>
          <c:tx>
            <c:strRef>
              <c:f>Gráfica_15!$F$4:$F$5</c:f>
              <c:strCache>
                <c:ptCount val="2"/>
                <c:pt idx="0">
                  <c:v>Mujeres.</c:v>
                </c:pt>
                <c:pt idx="1">
                  <c:v>Personal administrativo, contable o de dirección</c:v>
                </c:pt>
              </c:strCache>
            </c:strRef>
          </c:tx>
          <c:spPr>
            <a:solidFill>
              <a:schemeClr val="accent5">
                <a:tint val="58000"/>
              </a:schemeClr>
            </a:solidFill>
            <a:ln>
              <a:noFill/>
            </a:ln>
            <a:effectLst/>
          </c:spPr>
          <c:invertIfNegative val="0"/>
          <c:dLbls>
            <c:numFmt formatCode="0.0\ %"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Gráfica_15!$A$6:$A$7</c:f>
              <c:strCache>
                <c:ptCount val="2"/>
                <c:pt idx="0">
                  <c:v>Comercio al por menor</c:v>
                </c:pt>
                <c:pt idx="1">
                  <c:v>Comercio al por mayor</c:v>
                </c:pt>
              </c:strCache>
            </c:strRef>
          </c:cat>
          <c:val>
            <c:numRef>
              <c:f>Gráfica_15!$F$6:$F$7</c:f>
              <c:numCache>
                <c:formatCode>0.0%</c:formatCode>
                <c:ptCount val="2"/>
                <c:pt idx="0">
                  <c:v>0.11600000000000001</c:v>
                </c:pt>
                <c:pt idx="1">
                  <c:v>0.108</c:v>
                </c:pt>
              </c:numCache>
            </c:numRef>
          </c:val>
          <c:extLst>
            <c:ext xmlns:c16="http://schemas.microsoft.com/office/drawing/2014/chart" uri="{C3380CC4-5D6E-409C-BE32-E72D297353CC}">
              <c16:uniqueId val="{00000003-56ED-4A91-99C4-A58D602263EC}"/>
            </c:ext>
          </c:extLst>
        </c:ser>
        <c:dLbls>
          <c:showLegendKey val="0"/>
          <c:showVal val="1"/>
          <c:showCatName val="0"/>
          <c:showSerName val="0"/>
          <c:showPercent val="0"/>
          <c:showBubbleSize val="0"/>
        </c:dLbls>
        <c:gapWidth val="219"/>
        <c:overlap val="100"/>
        <c:axId val="156306767"/>
        <c:axId val="156295535"/>
      </c:barChart>
      <c:catAx>
        <c:axId val="156306767"/>
        <c:scaling>
          <c:orientation val="minMax"/>
        </c:scaling>
        <c:delete val="0"/>
        <c:axPos val="l"/>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156295535"/>
        <c:crosses val="autoZero"/>
        <c:auto val="1"/>
        <c:lblAlgn val="ctr"/>
        <c:lblOffset val="100"/>
        <c:noMultiLvlLbl val="0"/>
      </c:catAx>
      <c:valAx>
        <c:axId val="156295535"/>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56306767"/>
        <c:crosses val="autoZero"/>
        <c:crossBetween val="between"/>
      </c:valAx>
      <c:spPr>
        <a:noFill/>
        <a:ln>
          <a:noFill/>
        </a:ln>
        <a:effectLst/>
      </c:spPr>
    </c:plotArea>
    <c:legend>
      <c:legendPos val="b"/>
      <c:layout>
        <c:manualLayout>
          <c:xMode val="edge"/>
          <c:yMode val="edge"/>
          <c:x val="0.15712499999999999"/>
          <c:y val="0.72714693049390111"/>
          <c:w val="0.78981944444444441"/>
          <c:h val="0.258938249308513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9.7342721528400428E-2"/>
          <c:y val="3.6186074612418052E-2"/>
          <c:w val="0.82270655270655269"/>
          <c:h val="0.76470429994906475"/>
        </c:manualLayout>
      </c:layout>
      <c:barChart>
        <c:barDir val="col"/>
        <c:grouping val="clustered"/>
        <c:varyColors val="0"/>
        <c:ser>
          <c:idx val="0"/>
          <c:order val="0"/>
          <c:tx>
            <c:strRef>
              <c:f>Gráficas_16!$A$5</c:f>
              <c:strCache>
                <c:ptCount val="1"/>
                <c:pt idx="0">
                  <c:v>Comercio al por mayor</c:v>
                </c:pt>
              </c:strCache>
            </c:strRef>
          </c:tx>
          <c:spPr>
            <a:solidFill>
              <a:schemeClr val="accent5">
                <a:shade val="76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Gráficas_16!$B$4:$C$4</c:f>
              <c:strCache>
                <c:ptCount val="2"/>
                <c:pt idx="0">
                  <c:v>No</c:v>
                </c:pt>
                <c:pt idx="1">
                  <c:v>Sí</c:v>
                </c:pt>
              </c:strCache>
            </c:strRef>
          </c:cat>
          <c:val>
            <c:numRef>
              <c:f>Gráficas_16!$B$5:$C$5</c:f>
              <c:numCache>
                <c:formatCode>0.0%</c:formatCode>
                <c:ptCount val="2"/>
                <c:pt idx="0">
                  <c:v>0.96099999999999997</c:v>
                </c:pt>
                <c:pt idx="1">
                  <c:v>3.9E-2</c:v>
                </c:pt>
              </c:numCache>
            </c:numRef>
          </c:val>
          <c:extLst>
            <c:ext xmlns:c16="http://schemas.microsoft.com/office/drawing/2014/chart" uri="{C3380CC4-5D6E-409C-BE32-E72D297353CC}">
              <c16:uniqueId val="{00000000-B024-478E-BD7D-F0C357C01414}"/>
            </c:ext>
          </c:extLst>
        </c:ser>
        <c:ser>
          <c:idx val="1"/>
          <c:order val="1"/>
          <c:tx>
            <c:strRef>
              <c:f>Gráficas_16!$A$6</c:f>
              <c:strCache>
                <c:ptCount val="1"/>
                <c:pt idx="0">
                  <c:v>Comercio al por menor</c:v>
                </c:pt>
              </c:strCache>
            </c:strRef>
          </c:tx>
          <c:spPr>
            <a:solidFill>
              <a:schemeClr val="accent5">
                <a:tint val="77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Gráficas_16!$B$4:$C$4</c:f>
              <c:strCache>
                <c:ptCount val="2"/>
                <c:pt idx="0">
                  <c:v>No</c:v>
                </c:pt>
                <c:pt idx="1">
                  <c:v>Sí</c:v>
                </c:pt>
              </c:strCache>
            </c:strRef>
          </c:cat>
          <c:val>
            <c:numRef>
              <c:f>Gráficas_16!$B$6:$C$6</c:f>
              <c:numCache>
                <c:formatCode>0.0%</c:formatCode>
                <c:ptCount val="2"/>
                <c:pt idx="0" formatCode="0%">
                  <c:v>1</c:v>
                </c:pt>
                <c:pt idx="1">
                  <c:v>0</c:v>
                </c:pt>
              </c:numCache>
            </c:numRef>
          </c:val>
          <c:extLst>
            <c:ext xmlns:c16="http://schemas.microsoft.com/office/drawing/2014/chart" uri="{C3380CC4-5D6E-409C-BE32-E72D297353CC}">
              <c16:uniqueId val="{00000001-B024-478E-BD7D-F0C357C01414}"/>
            </c:ext>
          </c:extLst>
        </c:ser>
        <c:dLbls>
          <c:dLblPos val="ctr"/>
          <c:showLegendKey val="0"/>
          <c:showVal val="1"/>
          <c:showCatName val="0"/>
          <c:showSerName val="0"/>
          <c:showPercent val="0"/>
          <c:showBubbleSize val="0"/>
        </c:dLbls>
        <c:gapWidth val="219"/>
        <c:overlap val="-27"/>
        <c:axId val="96780079"/>
        <c:axId val="7080751"/>
      </c:barChart>
      <c:catAx>
        <c:axId val="9678007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crossAx val="7080751"/>
        <c:crosses val="autoZero"/>
        <c:auto val="1"/>
        <c:lblAlgn val="ctr"/>
        <c:lblOffset val="0"/>
        <c:noMultiLvlLbl val="0"/>
      </c:catAx>
      <c:valAx>
        <c:axId val="7080751"/>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96780079"/>
        <c:crosses val="autoZero"/>
        <c:crossBetween val="between"/>
      </c:valAx>
      <c:spPr>
        <a:noFill/>
        <a:ln>
          <a:noFill/>
        </a:ln>
        <a:effectLst/>
      </c:spPr>
    </c:plotArea>
    <c:legend>
      <c:legendPos val="b"/>
      <c:layout>
        <c:manualLayout>
          <c:xMode val="edge"/>
          <c:yMode val="edge"/>
          <c:x val="0.2774611079713255"/>
          <c:y val="0.91356024045381423"/>
          <c:w val="0.4526082621082621"/>
          <c:h val="5.799318181818181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45335966916600323"/>
          <c:y val="4.0661381973717929E-2"/>
          <c:w val="0.51286685149821576"/>
          <c:h val="0.80856897938262784"/>
        </c:manualLayout>
      </c:layout>
      <c:barChart>
        <c:barDir val="bar"/>
        <c:grouping val="clustered"/>
        <c:varyColors val="0"/>
        <c:ser>
          <c:idx val="1"/>
          <c:order val="0"/>
          <c:tx>
            <c:strRef>
              <c:f>Gráfica_17!$A$5</c:f>
              <c:strCache>
                <c:ptCount val="1"/>
                <c:pt idx="0">
                  <c:v>Comercio al por menor</c:v>
                </c:pt>
              </c:strCache>
            </c:strRef>
          </c:tx>
          <c:spPr>
            <a:solidFill>
              <a:schemeClr val="accent5">
                <a:tint val="77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Gráfica_17!$B$3:$D$3</c:f>
              <c:strCache>
                <c:ptCount val="3"/>
                <c:pt idx="0">
                  <c:v>Empresas no filiales ubicadas en el extranjero</c:v>
                </c:pt>
                <c:pt idx="1">
                  <c:v>Filiales de empresas mexicanas ubicadas en el extranjero</c:v>
                </c:pt>
                <c:pt idx="2">
                  <c:v>Empresas ubicadas en el extranjero y pertenecientes al mismo grupo empresarial</c:v>
                </c:pt>
              </c:strCache>
            </c:strRef>
          </c:cat>
          <c:val>
            <c:numRef>
              <c:f>Gráfica_17!$B$5:$D$5</c:f>
              <c:numCache>
                <c:formatCode>0.0%</c:formatCode>
                <c:ptCount val="3"/>
                <c:pt idx="0">
                  <c:v>0.16300000000000001</c:v>
                </c:pt>
                <c:pt idx="1">
                  <c:v>4.0000000000000001E-3</c:v>
                </c:pt>
                <c:pt idx="2">
                  <c:v>0.83299999999999996</c:v>
                </c:pt>
              </c:numCache>
            </c:numRef>
          </c:val>
          <c:extLst>
            <c:ext xmlns:c16="http://schemas.microsoft.com/office/drawing/2014/chart" uri="{C3380CC4-5D6E-409C-BE32-E72D297353CC}">
              <c16:uniqueId val="{00000000-8734-4377-9F20-9362253C982F}"/>
            </c:ext>
          </c:extLst>
        </c:ser>
        <c:ser>
          <c:idx val="0"/>
          <c:order val="1"/>
          <c:tx>
            <c:strRef>
              <c:f>Gráfica_17!$A$4</c:f>
              <c:strCache>
                <c:ptCount val="1"/>
                <c:pt idx="0">
                  <c:v>Comercio al por mayor</c:v>
                </c:pt>
              </c:strCache>
            </c:strRef>
          </c:tx>
          <c:spPr>
            <a:solidFill>
              <a:schemeClr val="accent5">
                <a:shade val="76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Gráfica_17!$B$3:$D$3</c:f>
              <c:strCache>
                <c:ptCount val="3"/>
                <c:pt idx="0">
                  <c:v>Empresas no filiales ubicadas en el extranjero</c:v>
                </c:pt>
                <c:pt idx="1">
                  <c:v>Filiales de empresas mexicanas ubicadas en el extranjero</c:v>
                </c:pt>
                <c:pt idx="2">
                  <c:v>Empresas ubicadas en el extranjero y pertenecientes al mismo grupo empresarial</c:v>
                </c:pt>
              </c:strCache>
            </c:strRef>
          </c:cat>
          <c:val>
            <c:numRef>
              <c:f>Gráfica_17!$B$4:$D$4</c:f>
              <c:numCache>
                <c:formatCode>0.0%</c:formatCode>
                <c:ptCount val="3"/>
                <c:pt idx="0">
                  <c:v>0.54800000000000004</c:v>
                </c:pt>
                <c:pt idx="1">
                  <c:v>9.6000000000000002E-2</c:v>
                </c:pt>
                <c:pt idx="2">
                  <c:v>0.35599999999999998</c:v>
                </c:pt>
              </c:numCache>
            </c:numRef>
          </c:val>
          <c:extLst>
            <c:ext xmlns:c16="http://schemas.microsoft.com/office/drawing/2014/chart" uri="{C3380CC4-5D6E-409C-BE32-E72D297353CC}">
              <c16:uniqueId val="{00000001-8734-4377-9F20-9362253C982F}"/>
            </c:ext>
          </c:extLst>
        </c:ser>
        <c:dLbls>
          <c:dLblPos val="outEnd"/>
          <c:showLegendKey val="0"/>
          <c:showVal val="1"/>
          <c:showCatName val="0"/>
          <c:showSerName val="0"/>
          <c:showPercent val="0"/>
          <c:showBubbleSize val="0"/>
        </c:dLbls>
        <c:gapWidth val="182"/>
        <c:axId val="10667375"/>
        <c:axId val="10667791"/>
      </c:barChart>
      <c:catAx>
        <c:axId val="106673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667791"/>
        <c:crosses val="autoZero"/>
        <c:auto val="1"/>
        <c:lblAlgn val="ctr"/>
        <c:lblOffset val="100"/>
        <c:noMultiLvlLbl val="0"/>
      </c:catAx>
      <c:valAx>
        <c:axId val="10667791"/>
        <c:scaling>
          <c:orientation val="minMax"/>
          <c:max val="1"/>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0667375"/>
        <c:crosses val="autoZero"/>
        <c:crossBetween val="between"/>
      </c:valAx>
      <c:spPr>
        <a:noFill/>
        <a:ln>
          <a:noFill/>
        </a:ln>
        <a:effectLst/>
      </c:spPr>
    </c:plotArea>
    <c:legend>
      <c:legendPos val="b"/>
      <c:layout>
        <c:manualLayout>
          <c:xMode val="edge"/>
          <c:yMode val="edge"/>
          <c:x val="0.26074388839549401"/>
          <c:y val="0.89395017541999167"/>
          <c:w val="0.4526082621082621"/>
          <c:h val="4.814906832298136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8998330011770656"/>
          <c:y val="0.12407797224317799"/>
          <c:w val="0.32240019376962659"/>
          <c:h val="0.73193771018759868"/>
        </c:manualLayout>
      </c:layout>
      <c:pieChart>
        <c:varyColors val="1"/>
        <c:ser>
          <c:idx val="0"/>
          <c:order val="0"/>
          <c:tx>
            <c:strRef>
              <c:f>Gráfica_18_19!$A$5</c:f>
              <c:strCache>
                <c:ptCount val="1"/>
                <c:pt idx="0">
                  <c:v>43</c:v>
                </c:pt>
              </c:strCache>
            </c:strRef>
          </c:tx>
          <c:dPt>
            <c:idx val="0"/>
            <c:bubble3D val="0"/>
            <c:spPr>
              <a:solidFill>
                <a:schemeClr val="accent5">
                  <a:shade val="45000"/>
                </a:schemeClr>
              </a:solidFill>
              <a:ln w="19050">
                <a:solidFill>
                  <a:schemeClr val="lt1"/>
                </a:solidFill>
              </a:ln>
              <a:effectLst/>
            </c:spPr>
            <c:extLst>
              <c:ext xmlns:c16="http://schemas.microsoft.com/office/drawing/2014/chart" uri="{C3380CC4-5D6E-409C-BE32-E72D297353CC}">
                <c16:uniqueId val="{00000001-9A64-4839-9015-D6000FE47D5B}"/>
              </c:ext>
            </c:extLst>
          </c:dPt>
          <c:dPt>
            <c:idx val="1"/>
            <c:bubble3D val="0"/>
            <c:spPr>
              <a:solidFill>
                <a:schemeClr val="accent5">
                  <a:shade val="61000"/>
                </a:schemeClr>
              </a:solidFill>
              <a:ln w="19050">
                <a:solidFill>
                  <a:schemeClr val="lt1"/>
                </a:solidFill>
              </a:ln>
              <a:effectLst/>
            </c:spPr>
            <c:extLst>
              <c:ext xmlns:c16="http://schemas.microsoft.com/office/drawing/2014/chart" uri="{C3380CC4-5D6E-409C-BE32-E72D297353CC}">
                <c16:uniqueId val="{00000003-9A64-4839-9015-D6000FE47D5B}"/>
              </c:ext>
            </c:extLst>
          </c:dPt>
          <c:dPt>
            <c:idx val="2"/>
            <c:bubble3D val="0"/>
            <c:spPr>
              <a:solidFill>
                <a:schemeClr val="accent5">
                  <a:shade val="76000"/>
                </a:schemeClr>
              </a:solidFill>
              <a:ln w="19050">
                <a:solidFill>
                  <a:schemeClr val="lt1"/>
                </a:solidFill>
              </a:ln>
              <a:effectLst/>
            </c:spPr>
            <c:extLst>
              <c:ext xmlns:c16="http://schemas.microsoft.com/office/drawing/2014/chart" uri="{C3380CC4-5D6E-409C-BE32-E72D297353CC}">
                <c16:uniqueId val="{00000005-9A64-4839-9015-D6000FE47D5B}"/>
              </c:ext>
            </c:extLst>
          </c:dPt>
          <c:dPt>
            <c:idx val="3"/>
            <c:bubble3D val="0"/>
            <c:spPr>
              <a:solidFill>
                <a:schemeClr val="accent5">
                  <a:shade val="92000"/>
                </a:schemeClr>
              </a:solidFill>
              <a:ln w="19050">
                <a:solidFill>
                  <a:schemeClr val="lt1"/>
                </a:solidFill>
              </a:ln>
              <a:effectLst/>
            </c:spPr>
            <c:extLst>
              <c:ext xmlns:c16="http://schemas.microsoft.com/office/drawing/2014/chart" uri="{C3380CC4-5D6E-409C-BE32-E72D297353CC}">
                <c16:uniqueId val="{00000007-9A64-4839-9015-D6000FE47D5B}"/>
              </c:ext>
            </c:extLst>
          </c:dPt>
          <c:dPt>
            <c:idx val="4"/>
            <c:bubble3D val="0"/>
            <c:spPr>
              <a:solidFill>
                <a:schemeClr val="accent5">
                  <a:tint val="93000"/>
                </a:schemeClr>
              </a:solidFill>
              <a:ln w="19050">
                <a:solidFill>
                  <a:schemeClr val="lt1"/>
                </a:solidFill>
              </a:ln>
              <a:effectLst/>
            </c:spPr>
            <c:extLst>
              <c:ext xmlns:c16="http://schemas.microsoft.com/office/drawing/2014/chart" uri="{C3380CC4-5D6E-409C-BE32-E72D297353CC}">
                <c16:uniqueId val="{00000009-9A64-4839-9015-D6000FE47D5B}"/>
              </c:ext>
            </c:extLst>
          </c:dPt>
          <c:dPt>
            <c:idx val="5"/>
            <c:bubble3D val="0"/>
            <c:spPr>
              <a:solidFill>
                <a:schemeClr val="accent5">
                  <a:tint val="77000"/>
                </a:schemeClr>
              </a:solidFill>
              <a:ln w="19050">
                <a:solidFill>
                  <a:schemeClr val="lt1"/>
                </a:solidFill>
              </a:ln>
              <a:effectLst/>
            </c:spPr>
            <c:extLst>
              <c:ext xmlns:c16="http://schemas.microsoft.com/office/drawing/2014/chart" uri="{C3380CC4-5D6E-409C-BE32-E72D297353CC}">
                <c16:uniqueId val="{0000000B-9A64-4839-9015-D6000FE47D5B}"/>
              </c:ext>
            </c:extLst>
          </c:dPt>
          <c:dPt>
            <c:idx val="6"/>
            <c:bubble3D val="0"/>
            <c:spPr>
              <a:solidFill>
                <a:schemeClr val="accent5">
                  <a:tint val="62000"/>
                </a:schemeClr>
              </a:solidFill>
              <a:ln w="19050">
                <a:solidFill>
                  <a:schemeClr val="lt1"/>
                </a:solidFill>
              </a:ln>
              <a:effectLst/>
            </c:spPr>
            <c:extLst>
              <c:ext xmlns:c16="http://schemas.microsoft.com/office/drawing/2014/chart" uri="{C3380CC4-5D6E-409C-BE32-E72D297353CC}">
                <c16:uniqueId val="{0000000D-9A64-4839-9015-D6000FE47D5B}"/>
              </c:ext>
            </c:extLst>
          </c:dPt>
          <c:dPt>
            <c:idx val="7"/>
            <c:bubble3D val="0"/>
            <c:spPr>
              <a:solidFill>
                <a:schemeClr val="accent5">
                  <a:tint val="46000"/>
                </a:schemeClr>
              </a:solidFill>
              <a:ln w="19050">
                <a:solidFill>
                  <a:schemeClr val="lt1"/>
                </a:solidFill>
              </a:ln>
              <a:effectLst/>
            </c:spPr>
            <c:extLst>
              <c:ext xmlns:c16="http://schemas.microsoft.com/office/drawing/2014/chart" uri="{C3380CC4-5D6E-409C-BE32-E72D297353CC}">
                <c16:uniqueId val="{0000000F-9A64-4839-9015-D6000FE47D5B}"/>
              </c:ext>
            </c:extLst>
          </c:dPt>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Gráfica_18_19!$B$3:$I$4</c:f>
              <c:strCache>
                <c:ptCount val="8"/>
                <c:pt idx="0">
                  <c:v>Bancos</c:v>
                </c:pt>
                <c:pt idx="1">
                  <c:v>Cajas de ahorro popular</c:v>
                </c:pt>
                <c:pt idx="2">
                  <c:v>Proveedores (incluye contado comercial)</c:v>
                </c:pt>
                <c:pt idx="3">
                  <c:v>Gobierno</c:v>
                </c:pt>
                <c:pt idx="4">
                  <c:v>Prestamistas privados o agiotistas</c:v>
                </c:pt>
                <c:pt idx="5">
                  <c:v>Emisión de títulos de deuda, por ejemplo bonos</c:v>
                </c:pt>
                <c:pt idx="6">
                  <c:v>Propietarios</c:v>
                </c:pt>
                <c:pt idx="7">
                  <c:v>Otros</c:v>
                </c:pt>
              </c:strCache>
            </c:strRef>
          </c:cat>
          <c:val>
            <c:numRef>
              <c:f>Gráfica_18_19!$B$5:$I$5</c:f>
              <c:numCache>
                <c:formatCode>#,##0.00</c:formatCode>
                <c:ptCount val="8"/>
                <c:pt idx="0">
                  <c:v>82.3</c:v>
                </c:pt>
                <c:pt idx="1">
                  <c:v>0.6</c:v>
                </c:pt>
                <c:pt idx="2">
                  <c:v>37.299999999999997</c:v>
                </c:pt>
                <c:pt idx="3">
                  <c:v>0.6</c:v>
                </c:pt>
                <c:pt idx="4">
                  <c:v>2.1</c:v>
                </c:pt>
                <c:pt idx="5">
                  <c:v>0.4</c:v>
                </c:pt>
                <c:pt idx="6">
                  <c:v>12.7</c:v>
                </c:pt>
                <c:pt idx="7">
                  <c:v>4.3</c:v>
                </c:pt>
              </c:numCache>
            </c:numRef>
          </c:val>
          <c:extLst>
            <c:ext xmlns:c16="http://schemas.microsoft.com/office/drawing/2014/chart" uri="{C3380CC4-5D6E-409C-BE32-E72D297353CC}">
              <c16:uniqueId val="{00000010-9A64-4839-9015-D6000FE47D5B}"/>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8965593143274797"/>
          <c:y val="0.12187415704358326"/>
          <c:w val="0.33829073094160367"/>
          <c:h val="0.753336166574942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8719165770765434"/>
          <c:y val="0.13848579291425395"/>
          <c:w val="0.38287998517725103"/>
          <c:h val="0.72329217103570054"/>
        </c:manualLayout>
      </c:layout>
      <c:pieChart>
        <c:varyColors val="1"/>
        <c:ser>
          <c:idx val="0"/>
          <c:order val="0"/>
          <c:tx>
            <c:strRef>
              <c:f>Gráfica_18_19!$A$6</c:f>
              <c:strCache>
                <c:ptCount val="1"/>
                <c:pt idx="0">
                  <c:v>46</c:v>
                </c:pt>
              </c:strCache>
            </c:strRef>
          </c:tx>
          <c:dPt>
            <c:idx val="0"/>
            <c:bubble3D val="0"/>
            <c:spPr>
              <a:solidFill>
                <a:schemeClr val="accent5">
                  <a:shade val="45000"/>
                </a:schemeClr>
              </a:solidFill>
              <a:ln w="19050">
                <a:solidFill>
                  <a:schemeClr val="lt1"/>
                </a:solidFill>
              </a:ln>
              <a:effectLst/>
            </c:spPr>
            <c:extLst>
              <c:ext xmlns:c16="http://schemas.microsoft.com/office/drawing/2014/chart" uri="{C3380CC4-5D6E-409C-BE32-E72D297353CC}">
                <c16:uniqueId val="{00000001-A378-462D-8B93-B48569A99149}"/>
              </c:ext>
            </c:extLst>
          </c:dPt>
          <c:dPt>
            <c:idx val="1"/>
            <c:bubble3D val="0"/>
            <c:spPr>
              <a:solidFill>
                <a:schemeClr val="accent5">
                  <a:shade val="61000"/>
                </a:schemeClr>
              </a:solidFill>
              <a:ln w="19050">
                <a:solidFill>
                  <a:schemeClr val="lt1"/>
                </a:solidFill>
              </a:ln>
              <a:effectLst/>
            </c:spPr>
            <c:extLst>
              <c:ext xmlns:c16="http://schemas.microsoft.com/office/drawing/2014/chart" uri="{C3380CC4-5D6E-409C-BE32-E72D297353CC}">
                <c16:uniqueId val="{00000003-A378-462D-8B93-B48569A99149}"/>
              </c:ext>
            </c:extLst>
          </c:dPt>
          <c:dPt>
            <c:idx val="2"/>
            <c:bubble3D val="0"/>
            <c:spPr>
              <a:solidFill>
                <a:schemeClr val="accent5">
                  <a:shade val="76000"/>
                </a:schemeClr>
              </a:solidFill>
              <a:ln w="19050">
                <a:solidFill>
                  <a:schemeClr val="lt1"/>
                </a:solidFill>
              </a:ln>
              <a:effectLst/>
            </c:spPr>
            <c:extLst>
              <c:ext xmlns:c16="http://schemas.microsoft.com/office/drawing/2014/chart" uri="{C3380CC4-5D6E-409C-BE32-E72D297353CC}">
                <c16:uniqueId val="{00000005-A378-462D-8B93-B48569A99149}"/>
              </c:ext>
            </c:extLst>
          </c:dPt>
          <c:dPt>
            <c:idx val="3"/>
            <c:bubble3D val="0"/>
            <c:spPr>
              <a:solidFill>
                <a:schemeClr val="accent5">
                  <a:shade val="92000"/>
                </a:schemeClr>
              </a:solidFill>
              <a:ln w="19050">
                <a:solidFill>
                  <a:schemeClr val="lt1"/>
                </a:solidFill>
              </a:ln>
              <a:effectLst/>
            </c:spPr>
            <c:extLst>
              <c:ext xmlns:c16="http://schemas.microsoft.com/office/drawing/2014/chart" uri="{C3380CC4-5D6E-409C-BE32-E72D297353CC}">
                <c16:uniqueId val="{00000007-A378-462D-8B93-B48569A99149}"/>
              </c:ext>
            </c:extLst>
          </c:dPt>
          <c:dPt>
            <c:idx val="4"/>
            <c:bubble3D val="0"/>
            <c:spPr>
              <a:solidFill>
                <a:schemeClr val="accent5">
                  <a:tint val="93000"/>
                </a:schemeClr>
              </a:solidFill>
              <a:ln w="19050">
                <a:solidFill>
                  <a:schemeClr val="lt1"/>
                </a:solidFill>
              </a:ln>
              <a:effectLst/>
            </c:spPr>
            <c:extLst>
              <c:ext xmlns:c16="http://schemas.microsoft.com/office/drawing/2014/chart" uri="{C3380CC4-5D6E-409C-BE32-E72D297353CC}">
                <c16:uniqueId val="{00000009-A378-462D-8B93-B48569A99149}"/>
              </c:ext>
            </c:extLst>
          </c:dPt>
          <c:dPt>
            <c:idx val="5"/>
            <c:bubble3D val="0"/>
            <c:spPr>
              <a:solidFill>
                <a:schemeClr val="accent5">
                  <a:tint val="77000"/>
                </a:schemeClr>
              </a:solidFill>
              <a:ln w="19050">
                <a:solidFill>
                  <a:schemeClr val="lt1"/>
                </a:solidFill>
              </a:ln>
              <a:effectLst/>
            </c:spPr>
            <c:extLst>
              <c:ext xmlns:c16="http://schemas.microsoft.com/office/drawing/2014/chart" uri="{C3380CC4-5D6E-409C-BE32-E72D297353CC}">
                <c16:uniqueId val="{0000000B-A378-462D-8B93-B48569A99149}"/>
              </c:ext>
            </c:extLst>
          </c:dPt>
          <c:dPt>
            <c:idx val="6"/>
            <c:bubble3D val="0"/>
            <c:spPr>
              <a:solidFill>
                <a:schemeClr val="accent5">
                  <a:tint val="62000"/>
                </a:schemeClr>
              </a:solidFill>
              <a:ln w="19050">
                <a:solidFill>
                  <a:schemeClr val="lt1"/>
                </a:solidFill>
              </a:ln>
              <a:effectLst/>
            </c:spPr>
            <c:extLst>
              <c:ext xmlns:c16="http://schemas.microsoft.com/office/drawing/2014/chart" uri="{C3380CC4-5D6E-409C-BE32-E72D297353CC}">
                <c16:uniqueId val="{0000000D-A378-462D-8B93-B48569A99149}"/>
              </c:ext>
            </c:extLst>
          </c:dPt>
          <c:dPt>
            <c:idx val="7"/>
            <c:bubble3D val="0"/>
            <c:spPr>
              <a:solidFill>
                <a:schemeClr val="accent5">
                  <a:tint val="46000"/>
                </a:schemeClr>
              </a:solidFill>
              <a:ln w="19050">
                <a:solidFill>
                  <a:schemeClr val="lt1"/>
                </a:solidFill>
              </a:ln>
              <a:effectLst/>
            </c:spPr>
            <c:extLst>
              <c:ext xmlns:c16="http://schemas.microsoft.com/office/drawing/2014/chart" uri="{C3380CC4-5D6E-409C-BE32-E72D297353CC}">
                <c16:uniqueId val="{0000000F-A378-462D-8B93-B48569A99149}"/>
              </c:ext>
            </c:extLst>
          </c:dPt>
          <c:dLbls>
            <c:numFmt formatCode="0.0\ %"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s-MX"/>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Gráfica_18_19!$B$3:$I$4</c:f>
              <c:strCache>
                <c:ptCount val="8"/>
                <c:pt idx="0">
                  <c:v>Bancos</c:v>
                </c:pt>
                <c:pt idx="1">
                  <c:v>Cajas de ahorro popular</c:v>
                </c:pt>
                <c:pt idx="2">
                  <c:v>Proveedores (incluye contado comercial)</c:v>
                </c:pt>
                <c:pt idx="3">
                  <c:v>Gobierno</c:v>
                </c:pt>
                <c:pt idx="4">
                  <c:v>Prestamistas privados o agiotistas</c:v>
                </c:pt>
                <c:pt idx="5">
                  <c:v>Emisión de títulos de deuda, por ejemplo bonos</c:v>
                </c:pt>
                <c:pt idx="6">
                  <c:v>Propietarios</c:v>
                </c:pt>
                <c:pt idx="7">
                  <c:v>Otros</c:v>
                </c:pt>
              </c:strCache>
            </c:strRef>
          </c:cat>
          <c:val>
            <c:numRef>
              <c:f>Gráfica_18_19!$B$6:$I$6</c:f>
              <c:numCache>
                <c:formatCode>#,##0.00</c:formatCode>
                <c:ptCount val="8"/>
                <c:pt idx="0">
                  <c:v>33.4</c:v>
                </c:pt>
                <c:pt idx="1">
                  <c:v>14</c:v>
                </c:pt>
                <c:pt idx="2">
                  <c:v>21.5</c:v>
                </c:pt>
                <c:pt idx="3">
                  <c:v>3.3</c:v>
                </c:pt>
                <c:pt idx="4">
                  <c:v>26.3</c:v>
                </c:pt>
                <c:pt idx="5">
                  <c:v>0.2</c:v>
                </c:pt>
                <c:pt idx="6">
                  <c:v>16.5</c:v>
                </c:pt>
                <c:pt idx="7">
                  <c:v>12.4</c:v>
                </c:pt>
              </c:numCache>
            </c:numRef>
          </c:val>
          <c:extLst>
            <c:ext xmlns:c16="http://schemas.microsoft.com/office/drawing/2014/chart" uri="{C3380CC4-5D6E-409C-BE32-E72D297353CC}">
              <c16:uniqueId val="{00000010-A378-462D-8B93-B48569A99149}"/>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256084847746739"/>
          <c:y val="0.18038048189851114"/>
          <c:w val="0.33829073094160367"/>
          <c:h val="0.753336166574942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5.9139351767075625E-2"/>
          <c:y val="4.3452227431108693E-2"/>
          <c:w val="0.87407472098188088"/>
          <c:h val="0.80465462048457814"/>
        </c:manualLayout>
      </c:layout>
      <c:barChart>
        <c:barDir val="col"/>
        <c:grouping val="stacked"/>
        <c:varyColors val="0"/>
        <c:ser>
          <c:idx val="0"/>
          <c:order val="0"/>
          <c:tx>
            <c:strRef>
              <c:f>Gráfica_2!$E$9</c:f>
              <c:strCache>
                <c:ptCount val="1"/>
                <c:pt idx="0">
                  <c:v>Remunerado</c:v>
                </c:pt>
              </c:strCache>
            </c:strRef>
          </c:tx>
          <c:spPr>
            <a:solidFill>
              <a:schemeClr val="accent5">
                <a:shade val="76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Gráfica_2!$D$10:$D$11</c:f>
              <c:strCache>
                <c:ptCount val="2"/>
                <c:pt idx="0">
                  <c:v>Comercio al por mayor</c:v>
                </c:pt>
                <c:pt idx="1">
                  <c:v>Comercio al por menor</c:v>
                </c:pt>
              </c:strCache>
            </c:strRef>
          </c:cat>
          <c:val>
            <c:numRef>
              <c:f>Gráfica_2!$E$10:$E$11</c:f>
              <c:numCache>
                <c:formatCode>0.0%</c:formatCode>
                <c:ptCount val="2"/>
                <c:pt idx="0">
                  <c:v>0.99801872127339841</c:v>
                </c:pt>
                <c:pt idx="1">
                  <c:v>0.50528367229337612</c:v>
                </c:pt>
              </c:numCache>
            </c:numRef>
          </c:val>
          <c:extLst>
            <c:ext xmlns:c16="http://schemas.microsoft.com/office/drawing/2014/chart" uri="{C3380CC4-5D6E-409C-BE32-E72D297353CC}">
              <c16:uniqueId val="{00000000-82F7-41BE-B14C-D0457848E7F9}"/>
            </c:ext>
          </c:extLst>
        </c:ser>
        <c:ser>
          <c:idx val="1"/>
          <c:order val="1"/>
          <c:tx>
            <c:strRef>
              <c:f>Gráfica_2!$F$9</c:f>
              <c:strCache>
                <c:ptCount val="1"/>
                <c:pt idx="0">
                  <c:v>No remunerado</c:v>
                </c:pt>
              </c:strCache>
            </c:strRef>
          </c:tx>
          <c:spPr>
            <a:solidFill>
              <a:schemeClr val="accent5">
                <a:tint val="77000"/>
              </a:schemeClr>
            </a:solidFill>
            <a:ln>
              <a:noFill/>
            </a:ln>
            <a:effectLst/>
          </c:spPr>
          <c:invertIfNegative val="0"/>
          <c:dLbls>
            <c:dLbl>
              <c:idx val="0"/>
              <c:layout>
                <c:manualLayout>
                  <c:x val="-4.3728375784254716E-17"/>
                  <c:y val="-2.248453789671486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F7-41BE-B14C-D0457848E7F9}"/>
                </c:ext>
              </c:extLst>
            </c:dLbl>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Gráfica_2!$D$10:$D$11</c:f>
              <c:strCache>
                <c:ptCount val="2"/>
                <c:pt idx="0">
                  <c:v>Comercio al por mayor</c:v>
                </c:pt>
                <c:pt idx="1">
                  <c:v>Comercio al por menor</c:v>
                </c:pt>
              </c:strCache>
            </c:strRef>
          </c:cat>
          <c:val>
            <c:numRef>
              <c:f>Gráfica_2!$F$10:$F$11</c:f>
              <c:numCache>
                <c:formatCode>0.0%</c:formatCode>
                <c:ptCount val="2"/>
                <c:pt idx="0">
                  <c:v>1.9812787266016412E-3</c:v>
                </c:pt>
                <c:pt idx="1">
                  <c:v>0.49470975928694655</c:v>
                </c:pt>
              </c:numCache>
            </c:numRef>
          </c:val>
          <c:extLst>
            <c:ext xmlns:c16="http://schemas.microsoft.com/office/drawing/2014/chart" uri="{C3380CC4-5D6E-409C-BE32-E72D297353CC}">
              <c16:uniqueId val="{00000002-82F7-41BE-B14C-D0457848E7F9}"/>
            </c:ext>
          </c:extLst>
        </c:ser>
        <c:dLbls>
          <c:showLegendKey val="0"/>
          <c:showVal val="0"/>
          <c:showCatName val="0"/>
          <c:showSerName val="0"/>
          <c:showPercent val="0"/>
          <c:showBubbleSize val="0"/>
        </c:dLbls>
        <c:gapWidth val="75"/>
        <c:overlap val="100"/>
        <c:axId val="1552473920"/>
        <c:axId val="1548608672"/>
      </c:barChart>
      <c:catAx>
        <c:axId val="1552473920"/>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1548608672"/>
        <c:crosses val="autoZero"/>
        <c:auto val="1"/>
        <c:lblAlgn val="ctr"/>
        <c:lblOffset val="10"/>
        <c:noMultiLvlLbl val="0"/>
      </c:catAx>
      <c:valAx>
        <c:axId val="1548608672"/>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1552473920"/>
        <c:crosses val="autoZero"/>
        <c:crossBetween val="between"/>
      </c:valAx>
      <c:spPr>
        <a:noFill/>
        <a:ln>
          <a:noFill/>
        </a:ln>
        <a:effectLst/>
      </c:spPr>
    </c:plotArea>
    <c:legend>
      <c:legendPos val="b"/>
      <c:layout>
        <c:manualLayout>
          <c:xMode val="edge"/>
          <c:yMode val="edge"/>
          <c:x val="0.3163624001937696"/>
          <c:y val="0.90994863599660814"/>
          <c:w val="0.35909343174679198"/>
          <c:h val="7.3409937747780901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54306903126470885"/>
          <c:y val="2.7926509186351707E-2"/>
          <c:w val="0.43839631748159141"/>
          <c:h val="0.93195978409675539"/>
        </c:manualLayout>
      </c:layout>
      <c:barChart>
        <c:barDir val="bar"/>
        <c:grouping val="clustered"/>
        <c:varyColors val="0"/>
        <c:ser>
          <c:idx val="0"/>
          <c:order val="0"/>
          <c:spPr>
            <a:solidFill>
              <a:schemeClr val="accent5"/>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Gráfica_7_8!$B$5:$B$11</c:f>
              <c:strCache>
                <c:ptCount val="7"/>
                <c:pt idx="0">
                  <c:v>Comercio al por mayor de abarrotes, alimentos, bebidas, hielo y tabaco</c:v>
                </c:pt>
                <c:pt idx="1">
                  <c:v>Comercio al por mayor de productos textiles y calzado</c:v>
                </c:pt>
                <c:pt idx="2">
                  <c:v>Comercio al por mayor de productos farmacéuticos, de perfumería, artículos para el esparcimiento, electrodomésticos menores y aparatos de línea blanca</c:v>
                </c:pt>
                <c:pt idx="3">
                  <c:v>Comercio al por mayor de materias primas agropecuarias y forestales, para la industria, y materiales de desecho</c:v>
                </c:pt>
                <c:pt idx="4">
                  <c:v>Comercio al por mayor de maquinaria, equipo y mobiliario para actividades agropecuarias, industriales, de servicios y comerciales, y de otra maquinaria y equipo de uso general</c:v>
                </c:pt>
                <c:pt idx="5">
                  <c:v>Comercio al por mayor de camiones y de partes y refacciones nuevas para automóviles, camionetas y camiones</c:v>
                </c:pt>
                <c:pt idx="6">
                  <c:v>Intermediación de comercio al por mayor</c:v>
                </c:pt>
              </c:strCache>
            </c:strRef>
          </c:cat>
          <c:val>
            <c:numRef>
              <c:f>Gráfica_7_8!$D$5:$D$11</c:f>
              <c:numCache>
                <c:formatCode>0.0%</c:formatCode>
                <c:ptCount val="7"/>
                <c:pt idx="0">
                  <c:v>0.36256745349774194</c:v>
                </c:pt>
                <c:pt idx="1">
                  <c:v>1.7049110730156421E-2</c:v>
                </c:pt>
                <c:pt idx="2">
                  <c:v>0.13878585905367652</c:v>
                </c:pt>
                <c:pt idx="3">
                  <c:v>0.30685948617970898</c:v>
                </c:pt>
                <c:pt idx="4">
                  <c:v>0.13851867029611081</c:v>
                </c:pt>
                <c:pt idx="5">
                  <c:v>3.5018684452199217E-2</c:v>
                </c:pt>
                <c:pt idx="6">
                  <c:v>1.2007357904061304E-3</c:v>
                </c:pt>
              </c:numCache>
            </c:numRef>
          </c:val>
          <c:extLst>
            <c:ext xmlns:c16="http://schemas.microsoft.com/office/drawing/2014/chart" uri="{C3380CC4-5D6E-409C-BE32-E72D297353CC}">
              <c16:uniqueId val="{00000000-9E41-4A47-85C3-743F583E6812}"/>
            </c:ext>
          </c:extLst>
        </c:ser>
        <c:dLbls>
          <c:dLblPos val="inEnd"/>
          <c:showLegendKey val="0"/>
          <c:showVal val="1"/>
          <c:showCatName val="0"/>
          <c:showSerName val="0"/>
          <c:showPercent val="0"/>
          <c:showBubbleSize val="0"/>
        </c:dLbls>
        <c:gapWidth val="100"/>
        <c:axId val="1746332096"/>
        <c:axId val="1756705232"/>
      </c:barChart>
      <c:catAx>
        <c:axId val="1746332096"/>
        <c:scaling>
          <c:orientation val="minMax"/>
        </c:scaling>
        <c:delete val="0"/>
        <c:axPos val="l"/>
        <c:numFmt formatCode="@" sourceLinked="0"/>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crossAx val="1756705232"/>
        <c:crosses val="autoZero"/>
        <c:auto val="1"/>
        <c:lblAlgn val="ctr"/>
        <c:lblOffset val="100"/>
        <c:noMultiLvlLbl val="0"/>
      </c:catAx>
      <c:valAx>
        <c:axId val="1756705232"/>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746332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51088842343194318"/>
          <c:y val="5.2762039431417933E-2"/>
          <c:w val="0.47613735338689972"/>
          <c:h val="0.91895252023386376"/>
        </c:manualLayout>
      </c:layout>
      <c:barChart>
        <c:barDir val="bar"/>
        <c:grouping val="clustered"/>
        <c:varyColors val="0"/>
        <c:ser>
          <c:idx val="0"/>
          <c:order val="0"/>
          <c:spPr>
            <a:solidFill>
              <a:schemeClr val="accent5"/>
            </a:solidFill>
            <a:ln>
              <a:noFill/>
            </a:ln>
            <a:effectLst/>
          </c:spPr>
          <c:invertIfNegative val="0"/>
          <c:dLbls>
            <c:numFmt formatCode="0.0\ %" sourceLinked="0"/>
            <c:spPr>
              <a:noFill/>
              <a:ln>
                <a:noFill/>
              </a:ln>
              <a:effectLst/>
            </c:spPr>
            <c:txPr>
              <a:bodyPr rot="0" spcFirstLastPara="1" vertOverflow="ellipsis" vert="horz" wrap="square" anchor="ctr" anchorCtr="0"/>
              <a:lstStyle/>
              <a:p>
                <a:pPr algn="ctr">
                  <a:defRPr lang="es-MX" sz="8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Gráfica_7_8!$B$14:$B$22</c:f>
              <c:strCache>
                <c:ptCount val="9"/>
                <c:pt idx="0">
                  <c:v>Comercio al por menor de abarrotes, alimentos, bebidas, hielo y tabaco</c:v>
                </c:pt>
                <c:pt idx="1">
                  <c:v>Comercio al por menor en tiendas de autoservicio y departamentales</c:v>
                </c:pt>
                <c:pt idx="2">
                  <c:v>Comercio al por menor de productos textiles, bisutería, accesorios de vestir y calzado</c:v>
                </c:pt>
                <c:pt idx="3">
                  <c:v>Comercio al por menor de artículos para el cuidado de la salud</c:v>
                </c:pt>
                <c:pt idx="4">
                  <c:v>Comercio al por menor de artículos de papelería, para el esparcimiento y otros artículos de uso personal</c:v>
                </c:pt>
                <c:pt idx="5">
                  <c:v>Comercio al por menor de enseres domésticos, computadoras, artículos para la decoración de interiores y artículos usados</c:v>
                </c:pt>
                <c:pt idx="6">
                  <c:v>Comercio al por menor de artículos de ferretería, tlapalería y vidrios</c:v>
                </c:pt>
                <c:pt idx="7">
                  <c:v>Comercio al por menor de vehículos de motor, refacciones, combustibles y lubricantes</c:v>
                </c:pt>
                <c:pt idx="8">
                  <c:v>Comercio al por menor exclusivamente a través de internet, y catálogos impresos, televisión y similares</c:v>
                </c:pt>
              </c:strCache>
            </c:strRef>
          </c:cat>
          <c:val>
            <c:numRef>
              <c:f>Gráfica_7_8!$D$14:$D$22</c:f>
              <c:numCache>
                <c:formatCode>0.0%</c:formatCode>
                <c:ptCount val="9"/>
                <c:pt idx="0">
                  <c:v>0.12780352701044154</c:v>
                </c:pt>
                <c:pt idx="1">
                  <c:v>0.24699875209507921</c:v>
                </c:pt>
                <c:pt idx="2">
                  <c:v>3.6819306235629935E-2</c:v>
                </c:pt>
                <c:pt idx="3">
                  <c:v>5.1508791924138611E-2</c:v>
                </c:pt>
                <c:pt idx="4">
                  <c:v>3.088983494960483E-2</c:v>
                </c:pt>
                <c:pt idx="5">
                  <c:v>5.3819882928457387E-2</c:v>
                </c:pt>
                <c:pt idx="6">
                  <c:v>0.10028791125256153</c:v>
                </c:pt>
                <c:pt idx="7">
                  <c:v>0.34352092640700782</c:v>
                </c:pt>
                <c:pt idx="8">
                  <c:v>8.3510671970791189E-3</c:v>
                </c:pt>
              </c:numCache>
            </c:numRef>
          </c:val>
          <c:extLst>
            <c:ext xmlns:c16="http://schemas.microsoft.com/office/drawing/2014/chart" uri="{C3380CC4-5D6E-409C-BE32-E72D297353CC}">
              <c16:uniqueId val="{00000000-24B0-498F-B511-2F00E995A0EE}"/>
            </c:ext>
          </c:extLst>
        </c:ser>
        <c:dLbls>
          <c:dLblPos val="inEnd"/>
          <c:showLegendKey val="0"/>
          <c:showVal val="1"/>
          <c:showCatName val="0"/>
          <c:showSerName val="0"/>
          <c:showPercent val="0"/>
          <c:showBubbleSize val="0"/>
        </c:dLbls>
        <c:gapWidth val="140"/>
        <c:axId val="1746332096"/>
        <c:axId val="1756705232"/>
      </c:barChart>
      <c:catAx>
        <c:axId val="1746332096"/>
        <c:scaling>
          <c:orientation val="minMax"/>
        </c:scaling>
        <c:delete val="0"/>
        <c:axPos val="l"/>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MX" sz="800" b="0" i="0" u="none" strike="noStrike" kern="1200" baseline="0">
                <a:solidFill>
                  <a:schemeClr val="tx1">
                    <a:lumMod val="65000"/>
                    <a:lumOff val="35000"/>
                  </a:schemeClr>
                </a:solidFill>
                <a:latin typeface="+mn-lt"/>
                <a:ea typeface="+mn-ea"/>
                <a:cs typeface="+mn-cs"/>
              </a:defRPr>
            </a:pPr>
            <a:endParaRPr lang="es-MX"/>
          </a:p>
        </c:txPr>
        <c:crossAx val="1756705232"/>
        <c:crosses val="autoZero"/>
        <c:auto val="1"/>
        <c:lblAlgn val="ctr"/>
        <c:lblOffset val="100"/>
        <c:noMultiLvlLbl val="0"/>
      </c:catAx>
      <c:valAx>
        <c:axId val="1756705232"/>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746332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ctr">
        <a:defRPr lang="es-MX" sz="1000" b="0" i="0" u="none" strike="noStrike" kern="1200" baseline="0">
          <a:solidFill>
            <a:schemeClr val="tx1"/>
          </a:solidFill>
          <a:latin typeface="+mn-lt"/>
          <a:ea typeface="+mn-ea"/>
          <a:cs typeface="+mn-cs"/>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2.1275309356247517E-2"/>
          <c:y val="3.6796856567670018E-2"/>
          <c:w val="0.62125959273544895"/>
          <c:h val="0.86798951307227745"/>
        </c:manualLayout>
      </c:layout>
      <c:barChart>
        <c:barDir val="col"/>
        <c:grouping val="stacked"/>
        <c:varyColors val="0"/>
        <c:ser>
          <c:idx val="0"/>
          <c:order val="0"/>
          <c:tx>
            <c:strRef>
              <c:f>Gráfica_9!$D$8</c:f>
              <c:strCache>
                <c:ptCount val="1"/>
                <c:pt idx="0">
                  <c:v>Maquinaria y equipo de producción</c:v>
                </c:pt>
              </c:strCache>
            </c:strRef>
          </c:tx>
          <c:spPr>
            <a:solidFill>
              <a:schemeClr val="accent5">
                <a:shade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Gráfica_9!$C$9:$C$10</c:f>
              <c:strCache>
                <c:ptCount val="2"/>
                <c:pt idx="0">
                  <c:v>Comercio al por mayor</c:v>
                </c:pt>
                <c:pt idx="1">
                  <c:v>Comercio al por menor</c:v>
                </c:pt>
              </c:strCache>
            </c:strRef>
          </c:cat>
          <c:val>
            <c:numRef>
              <c:f>Gráfica_9!$D$9:$D$10</c:f>
              <c:numCache>
                <c:formatCode>0.0%</c:formatCode>
                <c:ptCount val="2"/>
                <c:pt idx="0">
                  <c:v>0.29679867847830271</c:v>
                </c:pt>
                <c:pt idx="1">
                  <c:v>0.11508753106006024</c:v>
                </c:pt>
              </c:numCache>
            </c:numRef>
          </c:val>
          <c:extLst>
            <c:ext xmlns:c16="http://schemas.microsoft.com/office/drawing/2014/chart" uri="{C3380CC4-5D6E-409C-BE32-E72D297353CC}">
              <c16:uniqueId val="{00000000-63AE-4E17-BB65-DA9789F1C51B}"/>
            </c:ext>
          </c:extLst>
        </c:ser>
        <c:ser>
          <c:idx val="1"/>
          <c:order val="1"/>
          <c:tx>
            <c:strRef>
              <c:f>Gráfica_9!$E$8</c:f>
              <c:strCache>
                <c:ptCount val="1"/>
                <c:pt idx="0">
                  <c:v>Bienes inmuebles</c:v>
                </c:pt>
              </c:strCache>
            </c:strRef>
          </c:tx>
          <c:spPr>
            <a:solidFill>
              <a:schemeClr val="accent5">
                <a:shade val="76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Gráfica_9!$C$9:$C$10</c:f>
              <c:strCache>
                <c:ptCount val="2"/>
                <c:pt idx="0">
                  <c:v>Comercio al por mayor</c:v>
                </c:pt>
                <c:pt idx="1">
                  <c:v>Comercio al por menor</c:v>
                </c:pt>
              </c:strCache>
            </c:strRef>
          </c:cat>
          <c:val>
            <c:numRef>
              <c:f>Gráfica_9!$E$9:$E$10</c:f>
              <c:numCache>
                <c:formatCode>0.0%</c:formatCode>
                <c:ptCount val="2"/>
                <c:pt idx="0">
                  <c:v>0.31039591597529881</c:v>
                </c:pt>
                <c:pt idx="1">
                  <c:v>0.53784575478912444</c:v>
                </c:pt>
              </c:numCache>
            </c:numRef>
          </c:val>
          <c:extLst>
            <c:ext xmlns:c16="http://schemas.microsoft.com/office/drawing/2014/chart" uri="{C3380CC4-5D6E-409C-BE32-E72D297353CC}">
              <c16:uniqueId val="{00000001-63AE-4E17-BB65-DA9789F1C51B}"/>
            </c:ext>
          </c:extLst>
        </c:ser>
        <c:ser>
          <c:idx val="2"/>
          <c:order val="2"/>
          <c:tx>
            <c:strRef>
              <c:f>Gráfica_9!$F$8</c:f>
              <c:strCache>
                <c:ptCount val="1"/>
                <c:pt idx="0">
                  <c:v>Unidades y equipo de transporte</c:v>
                </c:pt>
              </c:strCache>
            </c:strRef>
          </c:tx>
          <c:spPr>
            <a:solidFill>
              <a:schemeClr val="accent5"/>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Gráfica_9!$C$9:$C$10</c:f>
              <c:strCache>
                <c:ptCount val="2"/>
                <c:pt idx="0">
                  <c:v>Comercio al por mayor</c:v>
                </c:pt>
                <c:pt idx="1">
                  <c:v>Comercio al por menor</c:v>
                </c:pt>
              </c:strCache>
            </c:strRef>
          </c:cat>
          <c:val>
            <c:numRef>
              <c:f>Gráfica_9!$F$9:$F$10</c:f>
              <c:numCache>
                <c:formatCode>0.0%</c:formatCode>
                <c:ptCount val="2"/>
                <c:pt idx="0">
                  <c:v>0.21226733045802673</c:v>
                </c:pt>
                <c:pt idx="1">
                  <c:v>0.12265728253208125</c:v>
                </c:pt>
              </c:numCache>
            </c:numRef>
          </c:val>
          <c:extLst>
            <c:ext xmlns:c16="http://schemas.microsoft.com/office/drawing/2014/chart" uri="{C3380CC4-5D6E-409C-BE32-E72D297353CC}">
              <c16:uniqueId val="{00000002-63AE-4E17-BB65-DA9789F1C51B}"/>
            </c:ext>
          </c:extLst>
        </c:ser>
        <c:ser>
          <c:idx val="3"/>
          <c:order val="3"/>
          <c:tx>
            <c:strRef>
              <c:f>Gráfica_9!$G$8</c:f>
              <c:strCache>
                <c:ptCount val="1"/>
                <c:pt idx="0">
                  <c:v>Equipo de cómputo y periféricos</c:v>
                </c:pt>
              </c:strCache>
            </c:strRef>
          </c:tx>
          <c:spPr>
            <a:solidFill>
              <a:schemeClr val="accent5">
                <a:tint val="77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Gráfica_9!$C$9:$C$10</c:f>
              <c:strCache>
                <c:ptCount val="2"/>
                <c:pt idx="0">
                  <c:v>Comercio al por mayor</c:v>
                </c:pt>
                <c:pt idx="1">
                  <c:v>Comercio al por menor</c:v>
                </c:pt>
              </c:strCache>
            </c:strRef>
          </c:cat>
          <c:val>
            <c:numRef>
              <c:f>Gráfica_9!$G$9:$G$10</c:f>
              <c:numCache>
                <c:formatCode>0.0%</c:formatCode>
                <c:ptCount val="2"/>
                <c:pt idx="0">
                  <c:v>7.9869883926176208E-2</c:v>
                </c:pt>
                <c:pt idx="1">
                  <c:v>5.9909814133178585E-2</c:v>
                </c:pt>
              </c:numCache>
            </c:numRef>
          </c:val>
          <c:extLst>
            <c:ext xmlns:c16="http://schemas.microsoft.com/office/drawing/2014/chart" uri="{C3380CC4-5D6E-409C-BE32-E72D297353CC}">
              <c16:uniqueId val="{00000003-63AE-4E17-BB65-DA9789F1C51B}"/>
            </c:ext>
          </c:extLst>
        </c:ser>
        <c:ser>
          <c:idx val="4"/>
          <c:order val="4"/>
          <c:tx>
            <c:strRef>
              <c:f>Gráfica_9!$H$8</c:f>
              <c:strCache>
                <c:ptCount val="1"/>
                <c:pt idx="0">
                  <c:v>Mobiliario, equipo de oficina y otros activos fijos</c:v>
                </c:pt>
              </c:strCache>
            </c:strRef>
          </c:tx>
          <c:spPr>
            <a:solidFill>
              <a:schemeClr val="accent5">
                <a:tint val="54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Gráfica_9!$C$9:$C$10</c:f>
              <c:strCache>
                <c:ptCount val="2"/>
                <c:pt idx="0">
                  <c:v>Comercio al por mayor</c:v>
                </c:pt>
                <c:pt idx="1">
                  <c:v>Comercio al por menor</c:v>
                </c:pt>
              </c:strCache>
            </c:strRef>
          </c:cat>
          <c:val>
            <c:numRef>
              <c:f>Gráfica_9!$H$9:$H$10</c:f>
              <c:numCache>
                <c:formatCode>0.0%</c:formatCode>
                <c:ptCount val="2"/>
                <c:pt idx="0">
                  <c:v>0.10066819116219552</c:v>
                </c:pt>
                <c:pt idx="1">
                  <c:v>0.16449976862167873</c:v>
                </c:pt>
              </c:numCache>
            </c:numRef>
          </c:val>
          <c:extLst>
            <c:ext xmlns:c16="http://schemas.microsoft.com/office/drawing/2014/chart" uri="{C3380CC4-5D6E-409C-BE32-E72D297353CC}">
              <c16:uniqueId val="{00000004-63AE-4E17-BB65-DA9789F1C51B}"/>
            </c:ext>
          </c:extLst>
        </c:ser>
        <c:dLbls>
          <c:dLblPos val="ctr"/>
          <c:showLegendKey val="0"/>
          <c:showVal val="1"/>
          <c:showCatName val="0"/>
          <c:showSerName val="0"/>
          <c:showPercent val="0"/>
          <c:showBubbleSize val="0"/>
        </c:dLbls>
        <c:gapWidth val="55"/>
        <c:overlap val="100"/>
        <c:axId val="1767480064"/>
        <c:axId val="1767660240"/>
      </c:barChart>
      <c:catAx>
        <c:axId val="176748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MX"/>
          </a:p>
        </c:txPr>
        <c:crossAx val="1767660240"/>
        <c:crosses val="autoZero"/>
        <c:auto val="1"/>
        <c:lblAlgn val="ctr"/>
        <c:lblOffset val="0"/>
        <c:noMultiLvlLbl val="0"/>
      </c:catAx>
      <c:valAx>
        <c:axId val="1767660240"/>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767480064"/>
        <c:crosses val="autoZero"/>
        <c:crossBetween val="between"/>
      </c:valAx>
      <c:spPr>
        <a:noFill/>
        <a:ln>
          <a:noFill/>
        </a:ln>
        <a:effectLst/>
      </c:spPr>
    </c:plotArea>
    <c:legend>
      <c:legendPos val="r"/>
      <c:layout>
        <c:manualLayout>
          <c:xMode val="edge"/>
          <c:yMode val="edge"/>
          <c:x val="0.65517556123077714"/>
          <c:y val="0.24767122881693424"/>
          <c:w val="0.3245850743577392"/>
          <c:h val="0.56507934740396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2.2761472139242175E-2"/>
          <c:y val="2.5204751170143223E-2"/>
          <c:w val="0.6626894427919382"/>
          <c:h val="0.87786495534149833"/>
        </c:manualLayout>
      </c:layout>
      <c:barChart>
        <c:barDir val="col"/>
        <c:grouping val="stacked"/>
        <c:varyColors val="0"/>
        <c:ser>
          <c:idx val="0"/>
          <c:order val="0"/>
          <c:tx>
            <c:strRef>
              <c:f>Gráfica_10!$D$8</c:f>
              <c:strCache>
                <c:ptCount val="1"/>
                <c:pt idx="0">
                  <c:v>Otros clientes</c:v>
                </c:pt>
              </c:strCache>
            </c:strRef>
          </c:tx>
          <c:spPr>
            <a:solidFill>
              <a:schemeClr val="accent5">
                <a:shade val="50000"/>
              </a:schemeClr>
            </a:solidFill>
            <a:ln>
              <a:noFill/>
            </a:ln>
            <a:effectLst/>
          </c:spPr>
          <c:invertIfNegative val="0"/>
          <c:dLbls>
            <c:dLbl>
              <c:idx val="0"/>
              <c:layout>
                <c:manualLayout>
                  <c:x val="0"/>
                  <c:y val="-1.507868700017714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04-4677-B298-C1566801ABFD}"/>
                </c:ext>
              </c:extLst>
            </c:dLbl>
            <c:dLbl>
              <c:idx val="1"/>
              <c:layout>
                <c:manualLayout>
                  <c:x val="-6.8675437163201602E-17"/>
                  <c:y val="-1.507868700017725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04-4677-B298-C1566801ABFD}"/>
                </c:ext>
              </c:extLst>
            </c:dLbl>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Gráfica_10!$C$9:$C$10</c:f>
              <c:strCache>
                <c:ptCount val="2"/>
                <c:pt idx="0">
                  <c:v>Comercio al por mayor</c:v>
                </c:pt>
                <c:pt idx="1">
                  <c:v>Comercio al por menor</c:v>
                </c:pt>
              </c:strCache>
            </c:strRef>
          </c:cat>
          <c:val>
            <c:numRef>
              <c:f>Gráfica_10!$D$9:$D$10</c:f>
              <c:numCache>
                <c:formatCode>0.0%</c:formatCode>
                <c:ptCount val="2"/>
                <c:pt idx="0">
                  <c:v>2.4E-2</c:v>
                </c:pt>
                <c:pt idx="1">
                  <c:v>0.01</c:v>
                </c:pt>
              </c:numCache>
            </c:numRef>
          </c:val>
          <c:extLst>
            <c:ext xmlns:c16="http://schemas.microsoft.com/office/drawing/2014/chart" uri="{C3380CC4-5D6E-409C-BE32-E72D297353CC}">
              <c16:uniqueId val="{00000002-A604-4677-B298-C1566801ABFD}"/>
            </c:ext>
          </c:extLst>
        </c:ser>
        <c:ser>
          <c:idx val="1"/>
          <c:order val="1"/>
          <c:tx>
            <c:strRef>
              <c:f>Gráfica_10!$E$8</c:f>
              <c:strCache>
                <c:ptCount val="1"/>
                <c:pt idx="0">
                  <c:v>Consumidores finales</c:v>
                </c:pt>
              </c:strCache>
            </c:strRef>
          </c:tx>
          <c:spPr>
            <a:solidFill>
              <a:schemeClr val="accent5">
                <a:shade val="70000"/>
              </a:schemeClr>
            </a:solidFill>
            <a:ln>
              <a:noFill/>
            </a:ln>
            <a:effectLst/>
          </c:spPr>
          <c:invertIfNegative val="0"/>
          <c:dLbls>
            <c:dLbl>
              <c:idx val="0"/>
              <c:layout>
                <c:manualLayout>
                  <c:x val="0"/>
                  <c:y val="-1.507868700017714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04-4677-B298-C1566801ABFD}"/>
                </c:ext>
              </c:extLst>
            </c:dLbl>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Gráfica_10!$C$9:$C$10</c:f>
              <c:strCache>
                <c:ptCount val="2"/>
                <c:pt idx="0">
                  <c:v>Comercio al por mayor</c:v>
                </c:pt>
                <c:pt idx="1">
                  <c:v>Comercio al por menor</c:v>
                </c:pt>
              </c:strCache>
            </c:strRef>
          </c:cat>
          <c:val>
            <c:numRef>
              <c:f>Gráfica_10!$E$9:$E$10</c:f>
              <c:numCache>
                <c:formatCode>0.0%</c:formatCode>
                <c:ptCount val="2"/>
                <c:pt idx="0">
                  <c:v>9.6999999999999989E-2</c:v>
                </c:pt>
                <c:pt idx="1">
                  <c:v>0.40200000000000002</c:v>
                </c:pt>
              </c:numCache>
            </c:numRef>
          </c:val>
          <c:extLst>
            <c:ext xmlns:c16="http://schemas.microsoft.com/office/drawing/2014/chart" uri="{C3380CC4-5D6E-409C-BE32-E72D297353CC}">
              <c16:uniqueId val="{00000004-A604-4677-B298-C1566801ABFD}"/>
            </c:ext>
          </c:extLst>
        </c:ser>
        <c:ser>
          <c:idx val="2"/>
          <c:order val="2"/>
          <c:tx>
            <c:strRef>
              <c:f>Gráfica_10!$F$8</c:f>
              <c:strCache>
                <c:ptCount val="1"/>
                <c:pt idx="0">
                  <c:v>Comercios al por menor</c:v>
                </c:pt>
              </c:strCache>
            </c:strRef>
          </c:tx>
          <c:spPr>
            <a:solidFill>
              <a:schemeClr val="accent5">
                <a:shade val="90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Gráfica_10!$C$9:$C$10</c:f>
              <c:strCache>
                <c:ptCount val="2"/>
                <c:pt idx="0">
                  <c:v>Comercio al por mayor</c:v>
                </c:pt>
                <c:pt idx="1">
                  <c:v>Comercio al por menor</c:v>
                </c:pt>
              </c:strCache>
            </c:strRef>
          </c:cat>
          <c:val>
            <c:numRef>
              <c:f>Gráfica_10!$F$9:$F$10</c:f>
              <c:numCache>
                <c:formatCode>0.0%</c:formatCode>
                <c:ptCount val="2"/>
                <c:pt idx="0">
                  <c:v>0.17800000000000002</c:v>
                </c:pt>
                <c:pt idx="1">
                  <c:v>0.34600000000000003</c:v>
                </c:pt>
              </c:numCache>
            </c:numRef>
          </c:val>
          <c:extLst>
            <c:ext xmlns:c16="http://schemas.microsoft.com/office/drawing/2014/chart" uri="{C3380CC4-5D6E-409C-BE32-E72D297353CC}">
              <c16:uniqueId val="{00000005-A604-4677-B298-C1566801ABFD}"/>
            </c:ext>
          </c:extLst>
        </c:ser>
        <c:ser>
          <c:idx val="3"/>
          <c:order val="3"/>
          <c:tx>
            <c:strRef>
              <c:f>Gráfica_10!$G$8</c:f>
              <c:strCache>
                <c:ptCount val="1"/>
                <c:pt idx="0">
                  <c:v>Comercios al por mayor</c:v>
                </c:pt>
              </c:strCache>
            </c:strRef>
          </c:tx>
          <c:spPr>
            <a:solidFill>
              <a:schemeClr val="accent5">
                <a:tint val="90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Gráfica_10!$C$9:$C$10</c:f>
              <c:strCache>
                <c:ptCount val="2"/>
                <c:pt idx="0">
                  <c:v>Comercio al por mayor</c:v>
                </c:pt>
                <c:pt idx="1">
                  <c:v>Comercio al por menor</c:v>
                </c:pt>
              </c:strCache>
            </c:strRef>
          </c:cat>
          <c:val>
            <c:numRef>
              <c:f>Gráfica_10!$G$9:$G$10</c:f>
              <c:numCache>
                <c:formatCode>0.0%</c:formatCode>
                <c:ptCount val="2"/>
                <c:pt idx="0">
                  <c:v>0.505</c:v>
                </c:pt>
                <c:pt idx="1">
                  <c:v>0.13600000000000001</c:v>
                </c:pt>
              </c:numCache>
            </c:numRef>
          </c:val>
          <c:extLst>
            <c:ext xmlns:c16="http://schemas.microsoft.com/office/drawing/2014/chart" uri="{C3380CC4-5D6E-409C-BE32-E72D297353CC}">
              <c16:uniqueId val="{00000006-A604-4677-B298-C1566801ABFD}"/>
            </c:ext>
          </c:extLst>
        </c:ser>
        <c:ser>
          <c:idx val="4"/>
          <c:order val="4"/>
          <c:tx>
            <c:strRef>
              <c:f>Gráfica_10!$H$8</c:f>
              <c:strCache>
                <c:ptCount val="1"/>
                <c:pt idx="0">
                  <c:v>Prestadores de servicios</c:v>
                </c:pt>
              </c:strCache>
            </c:strRef>
          </c:tx>
          <c:spPr>
            <a:solidFill>
              <a:schemeClr val="accent5">
                <a:tint val="70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Gráfica_10!$C$9:$C$10</c:f>
              <c:strCache>
                <c:ptCount val="2"/>
                <c:pt idx="0">
                  <c:v>Comercio al por mayor</c:v>
                </c:pt>
                <c:pt idx="1">
                  <c:v>Comercio al por menor</c:v>
                </c:pt>
              </c:strCache>
            </c:strRef>
          </c:cat>
          <c:val>
            <c:numRef>
              <c:f>Gráfica_10!$H$9:$H$10</c:f>
              <c:numCache>
                <c:formatCode>0.0%</c:formatCode>
                <c:ptCount val="2"/>
                <c:pt idx="0">
                  <c:v>4.7E-2</c:v>
                </c:pt>
                <c:pt idx="1">
                  <c:v>2.7999999999999997E-2</c:v>
                </c:pt>
              </c:numCache>
            </c:numRef>
          </c:val>
          <c:extLst>
            <c:ext xmlns:c16="http://schemas.microsoft.com/office/drawing/2014/chart" uri="{C3380CC4-5D6E-409C-BE32-E72D297353CC}">
              <c16:uniqueId val="{00000007-A604-4677-B298-C1566801ABFD}"/>
            </c:ext>
          </c:extLst>
        </c:ser>
        <c:ser>
          <c:idx val="5"/>
          <c:order val="5"/>
          <c:tx>
            <c:strRef>
              <c:f>Gráfica_10!$I$8</c:f>
              <c:strCache>
                <c:ptCount val="1"/>
                <c:pt idx="0">
                  <c:v>Productores industriales y agropecuarios</c:v>
                </c:pt>
              </c:strCache>
            </c:strRef>
          </c:tx>
          <c:spPr>
            <a:solidFill>
              <a:schemeClr val="accent5">
                <a:tint val="50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Gráfica_10!$C$9:$C$10</c:f>
              <c:strCache>
                <c:ptCount val="2"/>
                <c:pt idx="0">
                  <c:v>Comercio al por mayor</c:v>
                </c:pt>
                <c:pt idx="1">
                  <c:v>Comercio al por menor</c:v>
                </c:pt>
              </c:strCache>
            </c:strRef>
          </c:cat>
          <c:val>
            <c:numRef>
              <c:f>Gráfica_10!$I$9:$I$10</c:f>
              <c:numCache>
                <c:formatCode>0.0%</c:formatCode>
                <c:ptCount val="2"/>
                <c:pt idx="0">
                  <c:v>0.14899999999999999</c:v>
                </c:pt>
                <c:pt idx="1">
                  <c:v>7.6999999999999999E-2</c:v>
                </c:pt>
              </c:numCache>
            </c:numRef>
          </c:val>
          <c:extLst>
            <c:ext xmlns:c16="http://schemas.microsoft.com/office/drawing/2014/chart" uri="{C3380CC4-5D6E-409C-BE32-E72D297353CC}">
              <c16:uniqueId val="{00000008-A604-4677-B298-C1566801ABFD}"/>
            </c:ext>
          </c:extLst>
        </c:ser>
        <c:dLbls>
          <c:dLblPos val="ctr"/>
          <c:showLegendKey val="0"/>
          <c:showVal val="1"/>
          <c:showCatName val="0"/>
          <c:showSerName val="0"/>
          <c:showPercent val="0"/>
          <c:showBubbleSize val="0"/>
        </c:dLbls>
        <c:gapWidth val="55"/>
        <c:overlap val="100"/>
        <c:axId val="1552444720"/>
        <c:axId val="1491690464"/>
      </c:barChart>
      <c:catAx>
        <c:axId val="155244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MX"/>
          </a:p>
        </c:txPr>
        <c:crossAx val="1491690464"/>
        <c:crosses val="autoZero"/>
        <c:auto val="1"/>
        <c:lblAlgn val="ctr"/>
        <c:lblOffset val="0"/>
        <c:noMultiLvlLbl val="0"/>
      </c:catAx>
      <c:valAx>
        <c:axId val="1491690464"/>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552444720"/>
        <c:crosses val="autoZero"/>
        <c:crossBetween val="between"/>
      </c:valAx>
      <c:spPr>
        <a:noFill/>
        <a:ln>
          <a:noFill/>
        </a:ln>
        <a:effectLst/>
      </c:spPr>
    </c:plotArea>
    <c:legend>
      <c:legendPos val="r"/>
      <c:layout>
        <c:manualLayout>
          <c:xMode val="edge"/>
          <c:yMode val="edge"/>
          <c:x val="0.68673285836124753"/>
          <c:y val="0.26642353965884641"/>
          <c:w val="0.26082347470559059"/>
          <c:h val="0.48433467179282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1.9539270436929976E-2"/>
          <c:y val="3.3168596764756843E-2"/>
          <c:w val="0.61942116764554167"/>
          <c:h val="0.86288785819580771"/>
        </c:manualLayout>
      </c:layout>
      <c:barChart>
        <c:barDir val="col"/>
        <c:grouping val="stacked"/>
        <c:varyColors val="0"/>
        <c:ser>
          <c:idx val="0"/>
          <c:order val="0"/>
          <c:tx>
            <c:strRef>
              <c:f>Gráfica_11!$D$9</c:f>
              <c:strCache>
                <c:ptCount val="1"/>
                <c:pt idx="0">
                  <c:v>Otros</c:v>
                </c:pt>
              </c:strCache>
            </c:strRef>
          </c:tx>
          <c:spPr>
            <a:solidFill>
              <a:schemeClr val="accent5">
                <a:shade val="50000"/>
              </a:schemeClr>
            </a:solidFill>
            <a:ln>
              <a:noFill/>
            </a:ln>
            <a:effectLst/>
          </c:spPr>
          <c:invertIfNegative val="0"/>
          <c:dLbls>
            <c:dLbl>
              <c:idx val="1"/>
              <c:layout>
                <c:manualLayout>
                  <c:x val="0"/>
                  <c:y val="7.792713812585090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FE-4231-9B4B-1D61F43DFE91}"/>
                </c:ext>
              </c:extLst>
            </c:dLbl>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Gráfica_11!$C$10:$C$11</c:f>
              <c:strCache>
                <c:ptCount val="2"/>
                <c:pt idx="0">
                  <c:v>Comercio al por mayor</c:v>
                </c:pt>
                <c:pt idx="1">
                  <c:v>Comercio al por menor</c:v>
                </c:pt>
              </c:strCache>
            </c:strRef>
          </c:cat>
          <c:val>
            <c:numRef>
              <c:f>Gráfica_11!$D$10:$D$11</c:f>
              <c:numCache>
                <c:formatCode>0.0%</c:formatCode>
                <c:ptCount val="2"/>
                <c:pt idx="0">
                  <c:v>7.2000000000000008E-2</c:v>
                </c:pt>
                <c:pt idx="1">
                  <c:v>7.5999999999999998E-2</c:v>
                </c:pt>
              </c:numCache>
            </c:numRef>
          </c:val>
          <c:extLst>
            <c:ext xmlns:c16="http://schemas.microsoft.com/office/drawing/2014/chart" uri="{C3380CC4-5D6E-409C-BE32-E72D297353CC}">
              <c16:uniqueId val="{00000000-6FFE-4231-9B4B-1D61F43DFE91}"/>
            </c:ext>
          </c:extLst>
        </c:ser>
        <c:ser>
          <c:idx val="1"/>
          <c:order val="1"/>
          <c:tx>
            <c:strRef>
              <c:f>Gráfica_11!$E$9</c:f>
              <c:strCache>
                <c:ptCount val="1"/>
                <c:pt idx="0">
                  <c:v>Por telecomunicaciones</c:v>
                </c:pt>
              </c:strCache>
            </c:strRef>
          </c:tx>
          <c:spPr>
            <a:solidFill>
              <a:schemeClr val="accent5">
                <a:shade val="70000"/>
              </a:schemeClr>
            </a:solidFill>
            <a:ln>
              <a:noFill/>
            </a:ln>
            <a:effectLst/>
          </c:spPr>
          <c:invertIfNegative val="0"/>
          <c:dLbls>
            <c:dLbl>
              <c:idx val="1"/>
              <c:layout>
                <c:manualLayout>
                  <c:x val="0"/>
                  <c:y val="3.20609106813322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FE-4231-9B4B-1D61F43DFE91}"/>
                </c:ext>
              </c:extLst>
            </c:dLbl>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Gráfica_11!$C$10:$C$11</c:f>
              <c:strCache>
                <c:ptCount val="2"/>
                <c:pt idx="0">
                  <c:v>Comercio al por mayor</c:v>
                </c:pt>
                <c:pt idx="1">
                  <c:v>Comercio al por menor</c:v>
                </c:pt>
              </c:strCache>
            </c:strRef>
          </c:cat>
          <c:val>
            <c:numRef>
              <c:f>Gráfica_11!$E$10:$E$11</c:f>
              <c:numCache>
                <c:formatCode>0.0%</c:formatCode>
                <c:ptCount val="2"/>
                <c:pt idx="0">
                  <c:v>4.7E-2</c:v>
                </c:pt>
                <c:pt idx="1">
                  <c:v>1.2E-2</c:v>
                </c:pt>
              </c:numCache>
            </c:numRef>
          </c:val>
          <c:extLst>
            <c:ext xmlns:c16="http://schemas.microsoft.com/office/drawing/2014/chart" uri="{C3380CC4-5D6E-409C-BE32-E72D297353CC}">
              <c16:uniqueId val="{00000002-6FFE-4231-9B4B-1D61F43DFE91}"/>
            </c:ext>
          </c:extLst>
        </c:ser>
        <c:ser>
          <c:idx val="2"/>
          <c:order val="2"/>
          <c:tx>
            <c:strRef>
              <c:f>Gráfica_11!$F$9</c:f>
              <c:strCache>
                <c:ptCount val="1"/>
                <c:pt idx="0">
                  <c:v>Ventas de bodega, almacén o depósito</c:v>
                </c:pt>
              </c:strCache>
            </c:strRef>
          </c:tx>
          <c:spPr>
            <a:solidFill>
              <a:schemeClr val="accent5">
                <a:shade val="90000"/>
              </a:schemeClr>
            </a:solidFill>
            <a:ln>
              <a:noFill/>
            </a:ln>
            <a:effectLst/>
          </c:spPr>
          <c:invertIfNegative val="0"/>
          <c:dLbls>
            <c:dLbl>
              <c:idx val="1"/>
              <c:layout>
                <c:manualLayout>
                  <c:x val="0"/>
                  <c:y val="-7.792713812585375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FFE-4231-9B4B-1D61F43DFE91}"/>
                </c:ext>
              </c:extLst>
            </c:dLbl>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Gráfica_11!$C$10:$C$11</c:f>
              <c:strCache>
                <c:ptCount val="2"/>
                <c:pt idx="0">
                  <c:v>Comercio al por mayor</c:v>
                </c:pt>
                <c:pt idx="1">
                  <c:v>Comercio al por menor</c:v>
                </c:pt>
              </c:strCache>
            </c:strRef>
          </c:cat>
          <c:val>
            <c:numRef>
              <c:f>Gráfica_11!$F$10:$F$11</c:f>
              <c:numCache>
                <c:formatCode>0.0%</c:formatCode>
                <c:ptCount val="2"/>
                <c:pt idx="0">
                  <c:v>0.26600000000000001</c:v>
                </c:pt>
                <c:pt idx="1">
                  <c:v>3.7000000000000005E-2</c:v>
                </c:pt>
              </c:numCache>
            </c:numRef>
          </c:val>
          <c:extLst>
            <c:ext xmlns:c16="http://schemas.microsoft.com/office/drawing/2014/chart" uri="{C3380CC4-5D6E-409C-BE32-E72D297353CC}">
              <c16:uniqueId val="{00000003-6FFE-4231-9B4B-1D61F43DFE91}"/>
            </c:ext>
          </c:extLst>
        </c:ser>
        <c:ser>
          <c:idx val="3"/>
          <c:order val="3"/>
          <c:tx>
            <c:strRef>
              <c:f>Gráfica_11!$G$9</c:f>
              <c:strCache>
                <c:ptCount val="1"/>
                <c:pt idx="0">
                  <c:v>Oficina de ventas</c:v>
                </c:pt>
              </c:strCache>
            </c:strRef>
          </c:tx>
          <c:spPr>
            <a:solidFill>
              <a:schemeClr val="accent5">
                <a:tint val="90000"/>
              </a:schemeClr>
            </a:solidFill>
            <a:ln>
              <a:noFill/>
            </a:ln>
            <a:effectLst/>
          </c:spPr>
          <c:invertIfNegative val="0"/>
          <c:dLbls>
            <c:dLbl>
              <c:idx val="1"/>
              <c:layout>
                <c:manualLayout>
                  <c:x val="0"/>
                  <c:y val="-1.168907071887784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FE-4231-9B4B-1D61F43DFE91}"/>
                </c:ext>
              </c:extLst>
            </c:dLbl>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Gráfica_11!$C$10:$C$11</c:f>
              <c:strCache>
                <c:ptCount val="2"/>
                <c:pt idx="0">
                  <c:v>Comercio al por mayor</c:v>
                </c:pt>
                <c:pt idx="1">
                  <c:v>Comercio al por menor</c:v>
                </c:pt>
              </c:strCache>
            </c:strRef>
          </c:cat>
          <c:val>
            <c:numRef>
              <c:f>Gráfica_11!$G$10:$G$11</c:f>
              <c:numCache>
                <c:formatCode>0.0%</c:formatCode>
                <c:ptCount val="2"/>
                <c:pt idx="0">
                  <c:v>0.218</c:v>
                </c:pt>
                <c:pt idx="1">
                  <c:v>5.5E-2</c:v>
                </c:pt>
              </c:numCache>
            </c:numRef>
          </c:val>
          <c:extLst>
            <c:ext xmlns:c16="http://schemas.microsoft.com/office/drawing/2014/chart" uri="{C3380CC4-5D6E-409C-BE32-E72D297353CC}">
              <c16:uniqueId val="{00000004-6FFE-4231-9B4B-1D61F43DFE91}"/>
            </c:ext>
          </c:extLst>
        </c:ser>
        <c:ser>
          <c:idx val="4"/>
          <c:order val="4"/>
          <c:tx>
            <c:strRef>
              <c:f>Gráfica_11!$H$9</c:f>
              <c:strCache>
                <c:ptCount val="1"/>
                <c:pt idx="0">
                  <c:v>Tienda con atención personal del vendedor en el mostrador</c:v>
                </c:pt>
              </c:strCache>
            </c:strRef>
          </c:tx>
          <c:spPr>
            <a:solidFill>
              <a:schemeClr val="accent5">
                <a:tint val="70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Gráfica_11!$C$10:$C$11</c:f>
              <c:strCache>
                <c:ptCount val="2"/>
                <c:pt idx="0">
                  <c:v>Comercio al por mayor</c:v>
                </c:pt>
                <c:pt idx="1">
                  <c:v>Comercio al por menor</c:v>
                </c:pt>
              </c:strCache>
            </c:strRef>
          </c:cat>
          <c:val>
            <c:numRef>
              <c:f>Gráfica_11!$H$10:$H$11</c:f>
              <c:numCache>
                <c:formatCode>0.0%</c:formatCode>
                <c:ptCount val="2"/>
                <c:pt idx="0">
                  <c:v>0.23699999999999999</c:v>
                </c:pt>
                <c:pt idx="1">
                  <c:v>0.32799999999999996</c:v>
                </c:pt>
              </c:numCache>
            </c:numRef>
          </c:val>
          <c:extLst>
            <c:ext xmlns:c16="http://schemas.microsoft.com/office/drawing/2014/chart" uri="{C3380CC4-5D6E-409C-BE32-E72D297353CC}">
              <c16:uniqueId val="{00000005-6FFE-4231-9B4B-1D61F43DFE91}"/>
            </c:ext>
          </c:extLst>
        </c:ser>
        <c:ser>
          <c:idx val="5"/>
          <c:order val="5"/>
          <c:tx>
            <c:strRef>
              <c:f>Gráfica_11!$I$9</c:f>
              <c:strCache>
                <c:ptCount val="1"/>
                <c:pt idx="0">
                  <c:v>Tienda con acceso del público a las mercancías</c:v>
                </c:pt>
              </c:strCache>
            </c:strRef>
          </c:tx>
          <c:spPr>
            <a:solidFill>
              <a:schemeClr val="accent5">
                <a:tint val="50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Gráfica_11!$C$10:$C$11</c:f>
              <c:strCache>
                <c:ptCount val="2"/>
                <c:pt idx="0">
                  <c:v>Comercio al por mayor</c:v>
                </c:pt>
                <c:pt idx="1">
                  <c:v>Comercio al por menor</c:v>
                </c:pt>
              </c:strCache>
            </c:strRef>
          </c:cat>
          <c:val>
            <c:numRef>
              <c:f>Gráfica_11!$I$10:$I$11</c:f>
              <c:numCache>
                <c:formatCode>0.0%</c:formatCode>
                <c:ptCount val="2"/>
                <c:pt idx="0">
                  <c:v>0.159</c:v>
                </c:pt>
                <c:pt idx="1">
                  <c:v>0.49200000000000005</c:v>
                </c:pt>
              </c:numCache>
            </c:numRef>
          </c:val>
          <c:extLst>
            <c:ext xmlns:c16="http://schemas.microsoft.com/office/drawing/2014/chart" uri="{C3380CC4-5D6E-409C-BE32-E72D297353CC}">
              <c16:uniqueId val="{00000006-6FFE-4231-9B4B-1D61F43DFE91}"/>
            </c:ext>
          </c:extLst>
        </c:ser>
        <c:dLbls>
          <c:dLblPos val="ctr"/>
          <c:showLegendKey val="0"/>
          <c:showVal val="1"/>
          <c:showCatName val="0"/>
          <c:showSerName val="0"/>
          <c:showPercent val="0"/>
          <c:showBubbleSize val="0"/>
        </c:dLbls>
        <c:gapWidth val="55"/>
        <c:overlap val="100"/>
        <c:axId val="1017145696"/>
        <c:axId val="896461744"/>
      </c:barChart>
      <c:catAx>
        <c:axId val="10171456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MX"/>
          </a:p>
        </c:txPr>
        <c:crossAx val="896461744"/>
        <c:crosses val="autoZero"/>
        <c:auto val="1"/>
        <c:lblAlgn val="ctr"/>
        <c:lblOffset val="0"/>
        <c:noMultiLvlLbl val="0"/>
      </c:catAx>
      <c:valAx>
        <c:axId val="896461744"/>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1017145696"/>
        <c:crosses val="autoZero"/>
        <c:crossBetween val="between"/>
      </c:valAx>
      <c:spPr>
        <a:noFill/>
        <a:ln>
          <a:noFill/>
        </a:ln>
        <a:effectLst/>
      </c:spPr>
    </c:plotArea>
    <c:legend>
      <c:legendPos val="r"/>
      <c:layout>
        <c:manualLayout>
          <c:xMode val="edge"/>
          <c:yMode val="edge"/>
          <c:x val="0.64723882531413202"/>
          <c:y val="0.15441797981977035"/>
          <c:w val="0.33980920490713079"/>
          <c:h val="0.653804139986860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6178348966123435"/>
          <c:y val="4.6973782698084277E-2"/>
          <c:w val="0.59400554963009555"/>
          <c:h val="0.8938900383404752"/>
        </c:manualLayout>
      </c:layout>
      <c:barChart>
        <c:barDir val="bar"/>
        <c:grouping val="percentStacked"/>
        <c:varyColors val="0"/>
        <c:ser>
          <c:idx val="0"/>
          <c:order val="0"/>
          <c:tx>
            <c:strRef>
              <c:f>Gráfica_12!$D$9</c:f>
              <c:strCache>
                <c:ptCount val="1"/>
                <c:pt idx="0">
                  <c:v>Otros medios</c:v>
                </c:pt>
              </c:strCache>
            </c:strRef>
          </c:tx>
          <c:spPr>
            <a:solidFill>
              <a:schemeClr val="accent5">
                <a:shade val="50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Gráfica_12!$C$10:$C$11</c:f>
              <c:strCache>
                <c:ptCount val="2"/>
                <c:pt idx="0">
                  <c:v>Comercio al por menor</c:v>
                </c:pt>
                <c:pt idx="1">
                  <c:v>Comercio al por mayor</c:v>
                </c:pt>
              </c:strCache>
            </c:strRef>
          </c:cat>
          <c:val>
            <c:numRef>
              <c:f>Gráfica_12!$D$10:$D$11</c:f>
              <c:numCache>
                <c:formatCode>0.0%</c:formatCode>
                <c:ptCount val="2"/>
                <c:pt idx="0">
                  <c:v>2.7999999999999997E-2</c:v>
                </c:pt>
                <c:pt idx="1">
                  <c:v>0.161</c:v>
                </c:pt>
              </c:numCache>
            </c:numRef>
          </c:val>
          <c:extLst>
            <c:ext xmlns:c16="http://schemas.microsoft.com/office/drawing/2014/chart" uri="{C3380CC4-5D6E-409C-BE32-E72D297353CC}">
              <c16:uniqueId val="{00000000-19CF-4F43-A1ED-1FD74BF25C8E}"/>
            </c:ext>
          </c:extLst>
        </c:ser>
        <c:ser>
          <c:idx val="1"/>
          <c:order val="1"/>
          <c:tx>
            <c:strRef>
              <c:f>Gráfica_12!$E$9</c:f>
              <c:strCache>
                <c:ptCount val="1"/>
                <c:pt idx="0">
                  <c:v>Otras telecomunicaciones</c:v>
                </c:pt>
              </c:strCache>
            </c:strRef>
          </c:tx>
          <c:spPr>
            <a:solidFill>
              <a:schemeClr val="accent5">
                <a:shade val="70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Gráfica_12!$C$10:$C$11</c:f>
              <c:strCache>
                <c:ptCount val="2"/>
                <c:pt idx="0">
                  <c:v>Comercio al por menor</c:v>
                </c:pt>
                <c:pt idx="1">
                  <c:v>Comercio al por mayor</c:v>
                </c:pt>
              </c:strCache>
            </c:strRef>
          </c:cat>
          <c:val>
            <c:numRef>
              <c:f>Gráfica_12!$E$10:$E$11</c:f>
              <c:numCache>
                <c:formatCode>0.0%</c:formatCode>
                <c:ptCount val="2"/>
                <c:pt idx="0">
                  <c:v>6.0000000000000001E-3</c:v>
                </c:pt>
                <c:pt idx="1">
                  <c:v>3.1E-2</c:v>
                </c:pt>
              </c:numCache>
            </c:numRef>
          </c:val>
          <c:extLst>
            <c:ext xmlns:c16="http://schemas.microsoft.com/office/drawing/2014/chart" uri="{C3380CC4-5D6E-409C-BE32-E72D297353CC}">
              <c16:uniqueId val="{00000001-19CF-4F43-A1ED-1FD74BF25C8E}"/>
            </c:ext>
          </c:extLst>
        </c:ser>
        <c:ser>
          <c:idx val="2"/>
          <c:order val="2"/>
          <c:tx>
            <c:strRef>
              <c:f>Gráfica_12!$F$9</c:f>
              <c:strCache>
                <c:ptCount val="1"/>
                <c:pt idx="0">
                  <c:v>Teléfono</c:v>
                </c:pt>
              </c:strCache>
            </c:strRef>
          </c:tx>
          <c:spPr>
            <a:solidFill>
              <a:schemeClr val="accent5">
                <a:shade val="90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Gráfica_12!$C$10:$C$11</c:f>
              <c:strCache>
                <c:ptCount val="2"/>
                <c:pt idx="0">
                  <c:v>Comercio al por menor</c:v>
                </c:pt>
                <c:pt idx="1">
                  <c:v>Comercio al por mayor</c:v>
                </c:pt>
              </c:strCache>
            </c:strRef>
          </c:cat>
          <c:val>
            <c:numRef>
              <c:f>Gráfica_12!$F$10:$F$11</c:f>
              <c:numCache>
                <c:formatCode>0.0%</c:formatCode>
                <c:ptCount val="2"/>
                <c:pt idx="0">
                  <c:v>5.4000000000000006E-2</c:v>
                </c:pt>
                <c:pt idx="1">
                  <c:v>0.14300000000000002</c:v>
                </c:pt>
              </c:numCache>
            </c:numRef>
          </c:val>
          <c:extLst>
            <c:ext xmlns:c16="http://schemas.microsoft.com/office/drawing/2014/chart" uri="{C3380CC4-5D6E-409C-BE32-E72D297353CC}">
              <c16:uniqueId val="{00000002-19CF-4F43-A1ED-1FD74BF25C8E}"/>
            </c:ext>
          </c:extLst>
        </c:ser>
        <c:ser>
          <c:idx val="3"/>
          <c:order val="3"/>
          <c:tx>
            <c:strRef>
              <c:f>Gráfica_12!$G$9</c:f>
              <c:strCache>
                <c:ptCount val="1"/>
                <c:pt idx="0">
                  <c:v>Internet</c:v>
                </c:pt>
              </c:strCache>
            </c:strRef>
          </c:tx>
          <c:spPr>
            <a:solidFill>
              <a:schemeClr val="accent5">
                <a:tint val="90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Gráfica_12!$C$10:$C$11</c:f>
              <c:strCache>
                <c:ptCount val="2"/>
                <c:pt idx="0">
                  <c:v>Comercio al por menor</c:v>
                </c:pt>
                <c:pt idx="1">
                  <c:v>Comercio al por mayor</c:v>
                </c:pt>
              </c:strCache>
            </c:strRef>
          </c:cat>
          <c:val>
            <c:numRef>
              <c:f>Gráfica_12!$G$10:$G$11</c:f>
              <c:numCache>
                <c:formatCode>0.0%</c:formatCode>
                <c:ptCount val="2"/>
                <c:pt idx="0">
                  <c:v>7.400000000000001E-2</c:v>
                </c:pt>
                <c:pt idx="1">
                  <c:v>9.6999999999999989E-2</c:v>
                </c:pt>
              </c:numCache>
            </c:numRef>
          </c:val>
          <c:extLst>
            <c:ext xmlns:c16="http://schemas.microsoft.com/office/drawing/2014/chart" uri="{C3380CC4-5D6E-409C-BE32-E72D297353CC}">
              <c16:uniqueId val="{00000003-19CF-4F43-A1ED-1FD74BF25C8E}"/>
            </c:ext>
          </c:extLst>
        </c:ser>
        <c:ser>
          <c:idx val="4"/>
          <c:order val="4"/>
          <c:tx>
            <c:strRef>
              <c:f>Gráfica_12!$H$9</c:f>
              <c:strCache>
                <c:ptCount val="1"/>
                <c:pt idx="0">
                  <c:v>Catálogo o correo postal</c:v>
                </c:pt>
              </c:strCache>
            </c:strRef>
          </c:tx>
          <c:spPr>
            <a:solidFill>
              <a:schemeClr val="accent5">
                <a:tint val="70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Gráfica_12!$C$10:$C$11</c:f>
              <c:strCache>
                <c:ptCount val="2"/>
                <c:pt idx="0">
                  <c:v>Comercio al por menor</c:v>
                </c:pt>
                <c:pt idx="1">
                  <c:v>Comercio al por mayor</c:v>
                </c:pt>
              </c:strCache>
            </c:strRef>
          </c:cat>
          <c:val>
            <c:numRef>
              <c:f>Gráfica_12!$H$10:$H$11</c:f>
              <c:numCache>
                <c:formatCode>0.0%</c:formatCode>
                <c:ptCount val="2"/>
                <c:pt idx="0">
                  <c:v>1.4999999999999999E-2</c:v>
                </c:pt>
                <c:pt idx="1">
                  <c:v>6.9999999999999993E-3</c:v>
                </c:pt>
              </c:numCache>
            </c:numRef>
          </c:val>
          <c:extLst>
            <c:ext xmlns:c16="http://schemas.microsoft.com/office/drawing/2014/chart" uri="{C3380CC4-5D6E-409C-BE32-E72D297353CC}">
              <c16:uniqueId val="{00000004-19CF-4F43-A1ED-1FD74BF25C8E}"/>
            </c:ext>
          </c:extLst>
        </c:ser>
        <c:ser>
          <c:idx val="5"/>
          <c:order val="5"/>
          <c:tx>
            <c:strRef>
              <c:f>Gráfica_12!$I$9</c:f>
              <c:strCache>
                <c:ptCount val="1"/>
                <c:pt idx="0">
                  <c:v>Venta directa en el establecimiento</c:v>
                </c:pt>
              </c:strCache>
            </c:strRef>
          </c:tx>
          <c:spPr>
            <a:solidFill>
              <a:schemeClr val="accent5">
                <a:tint val="50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Gráfica_12!$C$10:$C$11</c:f>
              <c:strCache>
                <c:ptCount val="2"/>
                <c:pt idx="0">
                  <c:v>Comercio al por menor</c:v>
                </c:pt>
                <c:pt idx="1">
                  <c:v>Comercio al por mayor</c:v>
                </c:pt>
              </c:strCache>
            </c:strRef>
          </c:cat>
          <c:val>
            <c:numRef>
              <c:f>Gráfica_12!$I$10:$I$11</c:f>
              <c:numCache>
                <c:formatCode>0.0%</c:formatCode>
                <c:ptCount val="2"/>
                <c:pt idx="0">
                  <c:v>0.82299999999999995</c:v>
                </c:pt>
                <c:pt idx="1">
                  <c:v>0.56000000000000005</c:v>
                </c:pt>
              </c:numCache>
            </c:numRef>
          </c:val>
          <c:extLst>
            <c:ext xmlns:c16="http://schemas.microsoft.com/office/drawing/2014/chart" uri="{C3380CC4-5D6E-409C-BE32-E72D297353CC}">
              <c16:uniqueId val="{00000005-19CF-4F43-A1ED-1FD74BF25C8E}"/>
            </c:ext>
          </c:extLst>
        </c:ser>
        <c:dLbls>
          <c:dLblPos val="ctr"/>
          <c:showLegendKey val="0"/>
          <c:showVal val="1"/>
          <c:showCatName val="0"/>
          <c:showSerName val="0"/>
          <c:showPercent val="0"/>
          <c:showBubbleSize val="0"/>
        </c:dLbls>
        <c:gapWidth val="300"/>
        <c:axId val="636699695"/>
        <c:axId val="636700527"/>
      </c:barChart>
      <c:catAx>
        <c:axId val="6366996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636700527"/>
        <c:crosses val="autoZero"/>
        <c:auto val="1"/>
        <c:lblAlgn val="ctr"/>
        <c:lblOffset val="100"/>
        <c:noMultiLvlLbl val="0"/>
      </c:catAx>
      <c:valAx>
        <c:axId val="636700527"/>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36699695"/>
        <c:crosses val="autoZero"/>
        <c:crossBetween val="between"/>
      </c:valAx>
      <c:spPr>
        <a:noFill/>
        <a:ln>
          <a:noFill/>
        </a:ln>
        <a:effectLst/>
      </c:spPr>
    </c:plotArea>
    <c:legend>
      <c:legendPos val="r"/>
      <c:layout>
        <c:manualLayout>
          <c:xMode val="edge"/>
          <c:yMode val="edge"/>
          <c:x val="0.77487878775002017"/>
          <c:y val="0.2510080555555555"/>
          <c:w val="0.2053908749803468"/>
          <c:h val="0.6125171860357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5727088944169185"/>
          <c:y val="4.0273247424876403E-2"/>
          <c:w val="0.80327885254552056"/>
          <c:h val="0.66499147027934136"/>
        </c:manualLayout>
      </c:layout>
      <c:barChart>
        <c:barDir val="bar"/>
        <c:grouping val="stacked"/>
        <c:varyColors val="0"/>
        <c:ser>
          <c:idx val="0"/>
          <c:order val="0"/>
          <c:tx>
            <c:strRef>
              <c:f>Gráfica_13_14!$B$4</c:f>
              <c:strCache>
                <c:ptCount val="1"/>
                <c:pt idx="0">
                  <c:v>Sin instrucción</c:v>
                </c:pt>
              </c:strCache>
            </c:strRef>
          </c:tx>
          <c:spPr>
            <a:solidFill>
              <a:schemeClr val="accent5">
                <a:shade val="58000"/>
              </a:schemeClr>
            </a:solidFill>
            <a:ln>
              <a:noFill/>
            </a:ln>
            <a:effectLst/>
          </c:spPr>
          <c:invertIfNegative val="0"/>
          <c:dLbls>
            <c:dLbl>
              <c:idx val="0"/>
              <c:layout>
                <c:manualLayout>
                  <c:x val="1.4099216710182609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11-4FDC-880D-BF21D88B9A24}"/>
                </c:ext>
              </c:extLst>
            </c:dLbl>
            <c:dLbl>
              <c:idx val="1"/>
              <c:layout>
                <c:manualLayout>
                  <c:x val="9.3140903079020967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11-4FDC-880D-BF21D88B9A24}"/>
                </c:ext>
              </c:extLst>
            </c:dLbl>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Gráfica_13_14!$A$8:$A$9</c:f>
              <c:strCache>
                <c:ptCount val="2"/>
                <c:pt idx="0">
                  <c:v>Comercio al por menor</c:v>
                </c:pt>
                <c:pt idx="1">
                  <c:v>Comercio al por mayor</c:v>
                </c:pt>
              </c:strCache>
            </c:strRef>
          </c:cat>
          <c:val>
            <c:numRef>
              <c:f>Gráfica_13_14!$B$8:$B$9</c:f>
              <c:numCache>
                <c:formatCode>0.0%</c:formatCode>
                <c:ptCount val="2"/>
                <c:pt idx="0">
                  <c:v>4.5779685264663805E-2</c:v>
                </c:pt>
                <c:pt idx="1">
                  <c:v>3.4764826175869123E-2</c:v>
                </c:pt>
              </c:numCache>
            </c:numRef>
          </c:val>
          <c:extLst>
            <c:ext xmlns:c16="http://schemas.microsoft.com/office/drawing/2014/chart" uri="{C3380CC4-5D6E-409C-BE32-E72D297353CC}">
              <c16:uniqueId val="{00000002-5D11-4FDC-880D-BF21D88B9A24}"/>
            </c:ext>
          </c:extLst>
        </c:ser>
        <c:ser>
          <c:idx val="1"/>
          <c:order val="1"/>
          <c:tx>
            <c:strRef>
              <c:f>Gráfica_13_14!$C$4</c:f>
              <c:strCache>
                <c:ptCount val="1"/>
                <c:pt idx="0">
                  <c:v>Educación básica (preescolar, primaria, secundaria, formacion para el trabajo)</c:v>
                </c:pt>
              </c:strCache>
            </c:strRef>
          </c:tx>
          <c:spPr>
            <a:solidFill>
              <a:schemeClr val="accent5">
                <a:shade val="86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Gráfica_13_14!$A$8:$A$9</c:f>
              <c:strCache>
                <c:ptCount val="2"/>
                <c:pt idx="0">
                  <c:v>Comercio al por menor</c:v>
                </c:pt>
                <c:pt idx="1">
                  <c:v>Comercio al por mayor</c:v>
                </c:pt>
              </c:strCache>
            </c:strRef>
          </c:cat>
          <c:val>
            <c:numRef>
              <c:f>Gráfica_13_14!$C$8:$C$9</c:f>
              <c:numCache>
                <c:formatCode>0.0%</c:formatCode>
                <c:ptCount val="2"/>
                <c:pt idx="0">
                  <c:v>0.28755364806866951</c:v>
                </c:pt>
                <c:pt idx="1">
                  <c:v>0.35582822085889571</c:v>
                </c:pt>
              </c:numCache>
            </c:numRef>
          </c:val>
          <c:extLst>
            <c:ext xmlns:c16="http://schemas.microsoft.com/office/drawing/2014/chart" uri="{C3380CC4-5D6E-409C-BE32-E72D297353CC}">
              <c16:uniqueId val="{00000003-5D11-4FDC-880D-BF21D88B9A24}"/>
            </c:ext>
          </c:extLst>
        </c:ser>
        <c:ser>
          <c:idx val="2"/>
          <c:order val="2"/>
          <c:tx>
            <c:strRef>
              <c:f>Gráfica_13_14!$D$4</c:f>
              <c:strCache>
                <c:ptCount val="1"/>
                <c:pt idx="0">
                  <c:v>Educación media superior (bachillerato general, bachillerato bivalente, profesional técnico)</c:v>
                </c:pt>
              </c:strCache>
            </c:strRef>
          </c:tx>
          <c:spPr>
            <a:solidFill>
              <a:schemeClr val="accent5">
                <a:tint val="86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Gráfica_13_14!$A$8:$A$9</c:f>
              <c:strCache>
                <c:ptCount val="2"/>
                <c:pt idx="0">
                  <c:v>Comercio al por menor</c:v>
                </c:pt>
                <c:pt idx="1">
                  <c:v>Comercio al por mayor</c:v>
                </c:pt>
              </c:strCache>
            </c:strRef>
          </c:cat>
          <c:val>
            <c:numRef>
              <c:f>Gráfica_13_14!$D$8:$D$9</c:f>
              <c:numCache>
                <c:formatCode>0.0%</c:formatCode>
                <c:ptCount val="2"/>
                <c:pt idx="0">
                  <c:v>0.37052932761087265</c:v>
                </c:pt>
                <c:pt idx="1">
                  <c:v>0.43762781186094069</c:v>
                </c:pt>
              </c:numCache>
            </c:numRef>
          </c:val>
          <c:extLst>
            <c:ext xmlns:c16="http://schemas.microsoft.com/office/drawing/2014/chart" uri="{C3380CC4-5D6E-409C-BE32-E72D297353CC}">
              <c16:uniqueId val="{00000004-5D11-4FDC-880D-BF21D88B9A24}"/>
            </c:ext>
          </c:extLst>
        </c:ser>
        <c:ser>
          <c:idx val="3"/>
          <c:order val="3"/>
          <c:tx>
            <c:strRef>
              <c:f>Gráfica_13_14!$E$4</c:f>
              <c:strCache>
                <c:ptCount val="1"/>
                <c:pt idx="0">
                  <c:v>Educación superior (licenciatura, ingeniería, especialidad, posgrado)</c:v>
                </c:pt>
              </c:strCache>
            </c:strRef>
          </c:tx>
          <c:spPr>
            <a:solidFill>
              <a:schemeClr val="accent5">
                <a:tint val="58000"/>
              </a:schemeClr>
            </a:solidFill>
            <a:ln>
              <a:noFill/>
            </a:ln>
            <a:effectLst/>
          </c:spPr>
          <c:invertIfNegative val="0"/>
          <c:dLbls>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Gráfica_13_14!$A$8:$A$9</c:f>
              <c:strCache>
                <c:ptCount val="2"/>
                <c:pt idx="0">
                  <c:v>Comercio al por menor</c:v>
                </c:pt>
                <c:pt idx="1">
                  <c:v>Comercio al por mayor</c:v>
                </c:pt>
              </c:strCache>
            </c:strRef>
          </c:cat>
          <c:val>
            <c:numRef>
              <c:f>Gráfica_13_14!$E$8:$E$9</c:f>
              <c:numCache>
                <c:formatCode>0.0%</c:formatCode>
                <c:ptCount val="2"/>
                <c:pt idx="0">
                  <c:v>0.29613733905579398</c:v>
                </c:pt>
                <c:pt idx="1">
                  <c:v>0.17177914110429449</c:v>
                </c:pt>
              </c:numCache>
            </c:numRef>
          </c:val>
          <c:extLst>
            <c:ext xmlns:c16="http://schemas.microsoft.com/office/drawing/2014/chart" uri="{C3380CC4-5D6E-409C-BE32-E72D297353CC}">
              <c16:uniqueId val="{00000005-5D11-4FDC-880D-BF21D88B9A24}"/>
            </c:ext>
          </c:extLst>
        </c:ser>
        <c:dLbls>
          <c:dLblPos val="inEnd"/>
          <c:showLegendKey val="0"/>
          <c:showVal val="1"/>
          <c:showCatName val="0"/>
          <c:showSerName val="0"/>
          <c:showPercent val="0"/>
          <c:showBubbleSize val="0"/>
        </c:dLbls>
        <c:gapWidth val="219"/>
        <c:overlap val="100"/>
        <c:axId val="137244127"/>
        <c:axId val="137242879"/>
      </c:barChart>
      <c:catAx>
        <c:axId val="137244127"/>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137242879"/>
        <c:crosses val="autoZero"/>
        <c:auto val="1"/>
        <c:lblAlgn val="ctr"/>
        <c:lblOffset val="100"/>
        <c:noMultiLvlLbl val="0"/>
      </c:catAx>
      <c:valAx>
        <c:axId val="137242879"/>
        <c:scaling>
          <c:orientation val="minMax"/>
          <c:max val="1"/>
        </c:scaling>
        <c:delete val="1"/>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137244127"/>
        <c:crosses val="autoZero"/>
        <c:crossBetween val="between"/>
      </c:valAx>
      <c:spPr>
        <a:noFill/>
        <a:ln>
          <a:noFill/>
        </a:ln>
        <a:effectLst/>
      </c:spPr>
    </c:plotArea>
    <c:legend>
      <c:legendPos val="b"/>
      <c:layout>
        <c:manualLayout>
          <c:xMode val="edge"/>
          <c:yMode val="edge"/>
          <c:x val="0.13300058215874661"/>
          <c:y val="0.71794916669509357"/>
          <c:w val="0.76947225591579116"/>
          <c:h val="0.254441615564272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10.xml><?xml version="1.0" encoding="utf-8"?>
<cs:colorStyle xmlns:cs="http://schemas.microsoft.com/office/drawing/2012/chartStyle" xmlns:a="http://schemas.openxmlformats.org/drawingml/2006/main" meth="withinLinear" id="18">
  <a:schemeClr val="accent5"/>
</cs:colorStyle>
</file>

<file path=word/charts/colors11.xml><?xml version="1.0" encoding="utf-8"?>
<cs:colorStyle xmlns:cs="http://schemas.microsoft.com/office/drawing/2012/chartStyle" xmlns:a="http://schemas.openxmlformats.org/drawingml/2006/main" meth="withinLinear" id="18">
  <a:schemeClr val="accent5"/>
</cs:colorStyle>
</file>

<file path=word/charts/colors12.xml><?xml version="1.0" encoding="utf-8"?>
<cs:colorStyle xmlns:cs="http://schemas.microsoft.com/office/drawing/2012/chartStyle" xmlns:a="http://schemas.openxmlformats.org/drawingml/2006/main" meth="withinLinear" id="18">
  <a:schemeClr val="accent5"/>
</cs:colorStyle>
</file>

<file path=word/charts/colors13.xml><?xml version="1.0" encoding="utf-8"?>
<cs:colorStyle xmlns:cs="http://schemas.microsoft.com/office/drawing/2012/chartStyle" xmlns:a="http://schemas.openxmlformats.org/drawingml/2006/main" meth="withinLinear" id="18">
  <a:schemeClr val="accent5"/>
</cs:colorStyle>
</file>

<file path=word/charts/colors14.xml><?xml version="1.0" encoding="utf-8"?>
<cs:colorStyle xmlns:cs="http://schemas.microsoft.com/office/drawing/2012/chartStyle" xmlns:a="http://schemas.openxmlformats.org/drawingml/2006/main" meth="withinLinear" id="18">
  <a:schemeClr val="accent5"/>
</cs:colorStyle>
</file>

<file path=word/charts/colors15.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withinLinear" id="18">
  <a:schemeClr val="accent5"/>
</cs:colorStyle>
</file>

<file path=word/charts/colors9.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312DE-C560-4E36-B594-88957BD2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2353</Words>
  <Characters>12943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PEA Ocupación Desocupación Subocupación</cp:keywords>
  <cp:lastModifiedBy>MORONES RUIZ FABIOLA CRISTINA</cp:lastModifiedBy>
  <cp:revision>2</cp:revision>
  <cp:lastPrinted>2022-12-07T05:52:00Z</cp:lastPrinted>
  <dcterms:created xsi:type="dcterms:W3CDTF">2022-12-07T07:19:00Z</dcterms:created>
  <dcterms:modified xsi:type="dcterms:W3CDTF">2022-12-07T07:19:00Z</dcterms:modified>
  <cp:category>Encuesta Nacional de Ocupación y Empleo</cp:category>
  <cp:version>1</cp:version>
</cp:coreProperties>
</file>