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1.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4.xml" ContentType="application/vnd.openxmlformats-officedocument.themeOverride+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32472" w14:textId="0625E247" w:rsidR="00F47EF4" w:rsidRDefault="00F47EF4" w:rsidP="00FB748F">
      <w:pPr>
        <w:tabs>
          <w:tab w:val="left" w:pos="1095"/>
          <w:tab w:val="center" w:pos="4419"/>
        </w:tabs>
        <w:spacing w:after="0" w:line="240" w:lineRule="auto"/>
        <w:rPr>
          <w:rFonts w:ascii="Arial" w:hAnsi="Arial" w:cs="Arial"/>
          <w:b/>
          <w:sz w:val="24"/>
          <w:szCs w:val="24"/>
        </w:rPr>
      </w:pPr>
      <w:bookmarkStart w:id="0" w:name="_Hlk88644236"/>
      <w:bookmarkEnd w:id="0"/>
      <w:r>
        <w:rPr>
          <w:rFonts w:ascii="Arial" w:hAnsi="Arial" w:cs="Arial"/>
          <w:b/>
          <w:sz w:val="24"/>
          <w:szCs w:val="24"/>
        </w:rPr>
        <w:tab/>
      </w:r>
      <w:r>
        <w:rPr>
          <w:rFonts w:ascii="Arial" w:hAnsi="Arial" w:cs="Arial"/>
          <w:b/>
          <w:sz w:val="24"/>
          <w:szCs w:val="24"/>
        </w:rPr>
        <w:tab/>
      </w:r>
    </w:p>
    <w:p w14:paraId="429A2772" w14:textId="4B838B54" w:rsidR="00773BBF" w:rsidRDefault="00D26405" w:rsidP="00FB748F">
      <w:pPr>
        <w:spacing w:after="0" w:line="240" w:lineRule="auto"/>
        <w:jc w:val="center"/>
        <w:rPr>
          <w:rFonts w:ascii="Arial" w:hAnsi="Arial" w:cs="Arial"/>
          <w:b/>
          <w:sz w:val="24"/>
          <w:szCs w:val="24"/>
        </w:rPr>
      </w:pPr>
      <w:bookmarkStart w:id="1" w:name="_GoBack"/>
      <w:bookmarkEnd w:id="1"/>
      <w:r>
        <w:rPr>
          <w:rFonts w:ascii="Arial" w:hAnsi="Arial" w:cs="Arial"/>
          <w:b/>
          <w:sz w:val="24"/>
          <w:szCs w:val="24"/>
        </w:rPr>
        <w:t xml:space="preserve">ENCUESTA ANUAL DE </w:t>
      </w:r>
      <w:r w:rsidR="00633D73">
        <w:rPr>
          <w:rFonts w:ascii="Arial" w:hAnsi="Arial" w:cs="Arial"/>
          <w:b/>
          <w:sz w:val="24"/>
          <w:szCs w:val="24"/>
        </w:rPr>
        <w:t>EMPRESAS CONSTRUCTORAS</w:t>
      </w:r>
    </w:p>
    <w:p w14:paraId="2EE807F9" w14:textId="44754EB9" w:rsidR="00F47EF4" w:rsidRDefault="00D26405" w:rsidP="00FB748F">
      <w:pPr>
        <w:spacing w:after="0" w:line="240" w:lineRule="auto"/>
        <w:jc w:val="center"/>
        <w:rPr>
          <w:rFonts w:ascii="Arial" w:hAnsi="Arial" w:cs="Arial"/>
          <w:b/>
          <w:sz w:val="24"/>
          <w:szCs w:val="24"/>
        </w:rPr>
      </w:pPr>
      <w:r>
        <w:rPr>
          <w:rFonts w:ascii="Arial" w:hAnsi="Arial" w:cs="Arial"/>
          <w:b/>
          <w:sz w:val="24"/>
          <w:szCs w:val="24"/>
        </w:rPr>
        <w:t>CI</w:t>
      </w:r>
      <w:r w:rsidR="001D4B18">
        <w:rPr>
          <w:rFonts w:ascii="Arial" w:hAnsi="Arial" w:cs="Arial"/>
          <w:b/>
          <w:sz w:val="24"/>
          <w:szCs w:val="24"/>
        </w:rPr>
        <w:t>FRAS DE 202</w:t>
      </w:r>
      <w:r w:rsidR="0004384E">
        <w:rPr>
          <w:rFonts w:ascii="Arial" w:hAnsi="Arial" w:cs="Arial"/>
          <w:b/>
          <w:sz w:val="24"/>
          <w:szCs w:val="24"/>
        </w:rPr>
        <w:t>1</w:t>
      </w:r>
    </w:p>
    <w:p w14:paraId="6359DA0F" w14:textId="090F5CE6" w:rsidR="008D0D2A" w:rsidRDefault="008D0D2A" w:rsidP="00FB748F">
      <w:pPr>
        <w:spacing w:after="0" w:line="240" w:lineRule="auto"/>
        <w:jc w:val="center"/>
        <w:rPr>
          <w:rFonts w:ascii="Arial" w:hAnsi="Arial" w:cs="Arial"/>
          <w:b/>
          <w:sz w:val="24"/>
          <w:szCs w:val="24"/>
        </w:rPr>
      </w:pPr>
    </w:p>
    <w:p w14:paraId="2B26F62D" w14:textId="5ACBFDA8" w:rsidR="008D0D2A" w:rsidRDefault="008D0D2A" w:rsidP="00D17214">
      <w:pPr>
        <w:pStyle w:val="Prrafodelista"/>
        <w:numPr>
          <w:ilvl w:val="0"/>
          <w:numId w:val="16"/>
        </w:numPr>
        <w:spacing w:after="0" w:line="240" w:lineRule="auto"/>
        <w:ind w:left="426" w:right="333" w:hanging="284"/>
        <w:jc w:val="both"/>
        <w:rPr>
          <w:rFonts w:ascii="Arial" w:hAnsi="Arial" w:cs="Arial"/>
          <w:sz w:val="24"/>
          <w:szCs w:val="24"/>
        </w:rPr>
      </w:pPr>
      <w:r w:rsidRPr="005430F9">
        <w:rPr>
          <w:rFonts w:ascii="Arial" w:hAnsi="Arial" w:cs="Arial"/>
          <w:sz w:val="24"/>
          <w:szCs w:val="24"/>
        </w:rPr>
        <w:t>En 2021, el valor de la producción de las empresas constructoras alcanzó un monto de 465 mil millones de pesos</w:t>
      </w:r>
      <w:r>
        <w:rPr>
          <w:rFonts w:ascii="Arial" w:hAnsi="Arial" w:cs="Arial"/>
          <w:sz w:val="24"/>
          <w:szCs w:val="24"/>
        </w:rPr>
        <w:t>; 11.2 % por arriba de</w:t>
      </w:r>
      <w:r w:rsidR="00752A92">
        <w:rPr>
          <w:rFonts w:ascii="Arial" w:hAnsi="Arial" w:cs="Arial"/>
          <w:sz w:val="24"/>
          <w:szCs w:val="24"/>
        </w:rPr>
        <w:t xml:space="preserve"> la cantidad que se logró en</w:t>
      </w:r>
      <w:r>
        <w:rPr>
          <w:rFonts w:ascii="Arial" w:hAnsi="Arial" w:cs="Arial"/>
          <w:sz w:val="24"/>
          <w:szCs w:val="24"/>
        </w:rPr>
        <w:t xml:space="preserve"> 2020.</w:t>
      </w:r>
    </w:p>
    <w:p w14:paraId="733ABC08" w14:textId="57C8DEB1" w:rsidR="008D0D2A" w:rsidRDefault="008D0D2A" w:rsidP="00D17214">
      <w:pPr>
        <w:pStyle w:val="Prrafodelista"/>
        <w:numPr>
          <w:ilvl w:val="0"/>
          <w:numId w:val="16"/>
        </w:numPr>
        <w:spacing w:after="0" w:line="240" w:lineRule="auto"/>
        <w:ind w:left="426" w:right="333" w:hanging="284"/>
        <w:jc w:val="both"/>
        <w:rPr>
          <w:rFonts w:ascii="Arial" w:hAnsi="Arial" w:cs="Arial"/>
          <w:sz w:val="24"/>
          <w:szCs w:val="24"/>
        </w:rPr>
      </w:pPr>
      <w:r w:rsidRPr="005430F9">
        <w:rPr>
          <w:rFonts w:ascii="Arial" w:hAnsi="Arial" w:cs="Arial"/>
          <w:sz w:val="24"/>
          <w:szCs w:val="24"/>
        </w:rPr>
        <w:t xml:space="preserve">El sector </w:t>
      </w:r>
      <w:r w:rsidRPr="00D17214">
        <w:rPr>
          <w:rFonts w:ascii="Arial" w:hAnsi="Arial" w:cs="Arial"/>
          <w:iCs/>
          <w:sz w:val="24"/>
          <w:szCs w:val="24"/>
        </w:rPr>
        <w:t>Construcción</w:t>
      </w:r>
      <w:r w:rsidRPr="005430F9">
        <w:rPr>
          <w:rFonts w:ascii="Arial" w:hAnsi="Arial" w:cs="Arial"/>
          <w:sz w:val="24"/>
          <w:szCs w:val="24"/>
        </w:rPr>
        <w:t xml:space="preserve"> generó 554 mil empleos. Esto significó un incremento de 1.8 % </w:t>
      </w:r>
      <w:r w:rsidR="00752A92">
        <w:rPr>
          <w:rFonts w:ascii="Arial" w:hAnsi="Arial" w:cs="Arial"/>
          <w:sz w:val="24"/>
          <w:szCs w:val="24"/>
        </w:rPr>
        <w:t>con respecto a</w:t>
      </w:r>
      <w:r w:rsidRPr="005430F9">
        <w:rPr>
          <w:rFonts w:ascii="Arial" w:hAnsi="Arial" w:cs="Arial"/>
          <w:sz w:val="24"/>
          <w:szCs w:val="24"/>
        </w:rPr>
        <w:t xml:space="preserve"> 2020.</w:t>
      </w:r>
    </w:p>
    <w:p w14:paraId="5014149A" w14:textId="2613DB00" w:rsidR="00752A92" w:rsidRPr="005430F9" w:rsidRDefault="00752A92" w:rsidP="00D17214">
      <w:pPr>
        <w:pStyle w:val="Prrafodelista"/>
        <w:numPr>
          <w:ilvl w:val="0"/>
          <w:numId w:val="16"/>
        </w:numPr>
        <w:spacing w:after="0" w:line="240" w:lineRule="auto"/>
        <w:ind w:left="426" w:right="333" w:hanging="284"/>
        <w:jc w:val="both"/>
        <w:rPr>
          <w:rFonts w:ascii="Arial" w:hAnsi="Arial" w:cs="Arial"/>
          <w:sz w:val="24"/>
          <w:szCs w:val="24"/>
        </w:rPr>
      </w:pPr>
      <w:r w:rsidRPr="0051111F">
        <w:rPr>
          <w:rFonts w:ascii="Arial" w:hAnsi="Arial" w:cs="Arial"/>
          <w:iCs/>
          <w:sz w:val="24"/>
          <w:szCs w:val="24"/>
        </w:rPr>
        <w:t>Ciudad de México</w:t>
      </w:r>
      <w:r>
        <w:rPr>
          <w:rFonts w:ascii="Arial" w:hAnsi="Arial" w:cs="Arial"/>
          <w:sz w:val="24"/>
          <w:szCs w:val="24"/>
        </w:rPr>
        <w:t xml:space="preserve"> participó con 14.9 % del personal ocupado en las empresas constructoras y con 21. 9 % del valor de producción total de estas.</w:t>
      </w:r>
    </w:p>
    <w:p w14:paraId="1686A0D8" w14:textId="77777777" w:rsidR="00F47EF4" w:rsidRPr="00E27FC6" w:rsidRDefault="00F47EF4" w:rsidP="00FB748F">
      <w:pPr>
        <w:spacing w:after="0" w:line="240" w:lineRule="auto"/>
        <w:jc w:val="both"/>
        <w:rPr>
          <w:rFonts w:ascii="Arial" w:eastAsia="Times New Roman" w:hAnsi="Arial" w:cs="Arial"/>
          <w:lang w:eastAsia="es-MX"/>
        </w:rPr>
      </w:pPr>
    </w:p>
    <w:p w14:paraId="21F5A9AB" w14:textId="491A35F0" w:rsidR="005430F9" w:rsidRPr="00845887" w:rsidRDefault="00E27FC6" w:rsidP="005430F9">
      <w:pPr>
        <w:spacing w:after="0" w:line="240" w:lineRule="auto"/>
        <w:ind w:left="-567" w:right="-518"/>
        <w:jc w:val="both"/>
        <w:rPr>
          <w:rFonts w:ascii="Arial" w:eastAsia="Times New Roman" w:hAnsi="Arial" w:cs="Arial"/>
          <w:sz w:val="24"/>
          <w:szCs w:val="24"/>
          <w:lang w:eastAsia="es-MX"/>
        </w:rPr>
      </w:pPr>
      <w:r w:rsidRPr="005430F9">
        <w:rPr>
          <w:rFonts w:ascii="Arial" w:eastAsia="Times New Roman" w:hAnsi="Arial" w:cs="Arial"/>
          <w:sz w:val="24"/>
          <w:szCs w:val="24"/>
          <w:lang w:eastAsia="es-MX"/>
        </w:rPr>
        <w:t>El Instituto Nacional de Estadística y Geografía (INEGI) presenta los resultados de la Encuesta Anual de Empresas Constructoras (EAEC) con información referida a</w:t>
      </w:r>
      <w:r w:rsidR="007835DE">
        <w:rPr>
          <w:rFonts w:ascii="Arial" w:eastAsia="Times New Roman" w:hAnsi="Arial" w:cs="Arial"/>
          <w:sz w:val="24"/>
          <w:szCs w:val="24"/>
          <w:lang w:eastAsia="es-MX"/>
        </w:rPr>
        <w:t xml:space="preserve"> </w:t>
      </w:r>
      <w:r w:rsidRPr="005430F9">
        <w:rPr>
          <w:rFonts w:ascii="Arial" w:eastAsia="Times New Roman" w:hAnsi="Arial" w:cs="Arial"/>
          <w:sz w:val="24"/>
          <w:szCs w:val="24"/>
          <w:lang w:eastAsia="es-MX"/>
        </w:rPr>
        <w:t>202</w:t>
      </w:r>
      <w:r w:rsidR="0004384E" w:rsidRPr="005430F9">
        <w:rPr>
          <w:rFonts w:ascii="Arial" w:eastAsia="Times New Roman" w:hAnsi="Arial" w:cs="Arial"/>
          <w:sz w:val="24"/>
          <w:szCs w:val="24"/>
          <w:lang w:eastAsia="es-MX"/>
        </w:rPr>
        <w:t>1</w:t>
      </w:r>
      <w:r w:rsidRPr="005430F9">
        <w:rPr>
          <w:rFonts w:ascii="Arial" w:eastAsia="Times New Roman" w:hAnsi="Arial" w:cs="Arial"/>
          <w:sz w:val="24"/>
          <w:szCs w:val="24"/>
          <w:lang w:eastAsia="es-MX"/>
        </w:rPr>
        <w:t xml:space="preserve">. </w:t>
      </w:r>
      <w:r w:rsidR="007835DE">
        <w:rPr>
          <w:rFonts w:ascii="Arial" w:eastAsia="Times New Roman" w:hAnsi="Arial" w:cs="Arial"/>
          <w:sz w:val="24"/>
          <w:szCs w:val="24"/>
          <w:lang w:eastAsia="es-MX"/>
        </w:rPr>
        <w:t xml:space="preserve">Su objetivo es </w:t>
      </w:r>
      <w:r w:rsidR="007835DE" w:rsidRPr="00845887">
        <w:rPr>
          <w:rFonts w:ascii="Arial" w:eastAsia="Times New Roman" w:hAnsi="Arial" w:cs="Arial"/>
          <w:sz w:val="24"/>
          <w:szCs w:val="24"/>
          <w:lang w:eastAsia="es-MX"/>
        </w:rPr>
        <w:t>brinda</w:t>
      </w:r>
      <w:r w:rsidR="007835DE">
        <w:rPr>
          <w:rFonts w:ascii="Arial" w:eastAsia="Times New Roman" w:hAnsi="Arial" w:cs="Arial"/>
          <w:sz w:val="24"/>
          <w:szCs w:val="24"/>
          <w:lang w:eastAsia="es-MX"/>
        </w:rPr>
        <w:t>r</w:t>
      </w:r>
      <w:r w:rsidR="007835DE" w:rsidRPr="00845887">
        <w:rPr>
          <w:rFonts w:ascii="Arial" w:eastAsia="Times New Roman" w:hAnsi="Arial" w:cs="Arial"/>
          <w:sz w:val="24"/>
          <w:szCs w:val="24"/>
          <w:lang w:eastAsia="es-MX"/>
        </w:rPr>
        <w:t xml:space="preserve"> estadísticas básicas </w:t>
      </w:r>
      <w:r w:rsidR="007835DE">
        <w:rPr>
          <w:rFonts w:ascii="Arial" w:eastAsia="Times New Roman" w:hAnsi="Arial" w:cs="Arial"/>
          <w:sz w:val="24"/>
          <w:szCs w:val="24"/>
          <w:lang w:eastAsia="es-MX"/>
        </w:rPr>
        <w:t>sobre</w:t>
      </w:r>
      <w:r w:rsidR="007835DE" w:rsidRPr="00845887">
        <w:rPr>
          <w:rFonts w:ascii="Arial" w:eastAsia="Times New Roman" w:hAnsi="Arial" w:cs="Arial"/>
          <w:sz w:val="24"/>
          <w:szCs w:val="24"/>
          <w:lang w:eastAsia="es-MX"/>
        </w:rPr>
        <w:t xml:space="preserve"> el comportamiento económico de las principales variables del sector </w:t>
      </w:r>
      <w:r w:rsidR="005430F9">
        <w:rPr>
          <w:rFonts w:ascii="Arial" w:eastAsia="Times New Roman" w:hAnsi="Arial" w:cs="Arial"/>
          <w:sz w:val="24"/>
          <w:szCs w:val="24"/>
          <w:lang w:eastAsia="es-MX"/>
        </w:rPr>
        <w:t>C</w:t>
      </w:r>
      <w:r w:rsidR="007835DE" w:rsidRPr="00845887">
        <w:rPr>
          <w:rFonts w:ascii="Arial" w:eastAsia="Times New Roman" w:hAnsi="Arial" w:cs="Arial"/>
          <w:sz w:val="24"/>
          <w:szCs w:val="24"/>
          <w:lang w:eastAsia="es-MX"/>
        </w:rPr>
        <w:t>onstrucción del país</w:t>
      </w:r>
      <w:r w:rsidR="007835DE">
        <w:rPr>
          <w:rFonts w:ascii="Arial" w:eastAsia="Times New Roman" w:hAnsi="Arial" w:cs="Arial"/>
          <w:sz w:val="24"/>
          <w:szCs w:val="24"/>
          <w:lang w:eastAsia="es-MX"/>
        </w:rPr>
        <w:t>.</w:t>
      </w:r>
      <w:r w:rsidR="005430F9" w:rsidRPr="005430F9">
        <w:rPr>
          <w:rFonts w:ascii="Arial" w:eastAsia="Times New Roman" w:hAnsi="Arial" w:cs="Arial"/>
          <w:sz w:val="24"/>
          <w:szCs w:val="24"/>
          <w:lang w:eastAsia="es-MX"/>
        </w:rPr>
        <w:t xml:space="preserve"> </w:t>
      </w:r>
      <w:r w:rsidR="005430F9">
        <w:rPr>
          <w:rFonts w:ascii="Arial" w:eastAsia="Times New Roman" w:hAnsi="Arial" w:cs="Arial"/>
          <w:sz w:val="24"/>
          <w:szCs w:val="24"/>
          <w:lang w:eastAsia="es-MX"/>
        </w:rPr>
        <w:t xml:space="preserve">La EAEC </w:t>
      </w:r>
      <w:r w:rsidR="005430F9" w:rsidRPr="00845887">
        <w:rPr>
          <w:rFonts w:ascii="Arial" w:eastAsia="Times New Roman" w:hAnsi="Arial" w:cs="Arial"/>
          <w:sz w:val="24"/>
          <w:szCs w:val="24"/>
          <w:lang w:eastAsia="es-MX"/>
        </w:rPr>
        <w:t xml:space="preserve">sirve como insumo fundamental para la generación de cálculos macroeconómicos, así como de indicadores económicos relacionados con el empleo, la producción y la inversión de las empresas constructoras mexicanas. </w:t>
      </w:r>
    </w:p>
    <w:p w14:paraId="28DE3F95" w14:textId="687AC422" w:rsidR="007835DE" w:rsidRDefault="007835DE" w:rsidP="007835DE">
      <w:pPr>
        <w:spacing w:after="0" w:line="240" w:lineRule="auto"/>
        <w:ind w:left="-567" w:right="-518"/>
        <w:jc w:val="both"/>
        <w:rPr>
          <w:rFonts w:ascii="Arial" w:eastAsia="Times New Roman" w:hAnsi="Arial" w:cs="Arial"/>
          <w:sz w:val="24"/>
          <w:szCs w:val="24"/>
          <w:lang w:eastAsia="es-MX"/>
        </w:rPr>
      </w:pPr>
    </w:p>
    <w:p w14:paraId="57823B9D" w14:textId="77777777" w:rsidR="007835DE" w:rsidRDefault="007835DE" w:rsidP="007835DE">
      <w:pPr>
        <w:spacing w:after="0" w:line="240" w:lineRule="auto"/>
        <w:ind w:left="-567" w:right="-518"/>
        <w:jc w:val="both"/>
        <w:rPr>
          <w:rFonts w:ascii="Arial" w:eastAsia="Times New Roman" w:hAnsi="Arial" w:cs="Arial"/>
          <w:sz w:val="24"/>
          <w:szCs w:val="24"/>
          <w:lang w:eastAsia="es-MX"/>
        </w:rPr>
      </w:pPr>
    </w:p>
    <w:p w14:paraId="270E22C5" w14:textId="7888E28F" w:rsidR="00D009A4" w:rsidRPr="005430F9" w:rsidRDefault="00D009A4" w:rsidP="005430F9">
      <w:pPr>
        <w:spacing w:after="0" w:line="240" w:lineRule="auto"/>
        <w:ind w:left="-567" w:right="-518"/>
        <w:jc w:val="both"/>
        <w:rPr>
          <w:rFonts w:ascii="Arial Negrita" w:eastAsia="Times New Roman" w:hAnsi="Arial Negrita" w:cs="Arial"/>
          <w:b/>
          <w:bCs/>
          <w:smallCaps/>
          <w:sz w:val="24"/>
          <w:szCs w:val="24"/>
          <w:lang w:eastAsia="es-MX"/>
        </w:rPr>
      </w:pPr>
      <w:r w:rsidRPr="005430F9">
        <w:rPr>
          <w:rFonts w:ascii="Arial Negrita" w:eastAsia="Times New Roman" w:hAnsi="Arial Negrita" w:cs="Arial"/>
          <w:b/>
          <w:bCs/>
          <w:smallCaps/>
          <w:sz w:val="24"/>
          <w:szCs w:val="24"/>
          <w:lang w:eastAsia="es-MX"/>
        </w:rPr>
        <w:t>Principales resultados</w:t>
      </w:r>
    </w:p>
    <w:p w14:paraId="6458A759" w14:textId="77777777" w:rsidR="00D009A4" w:rsidRPr="005430F9" w:rsidRDefault="00D009A4" w:rsidP="005430F9">
      <w:pPr>
        <w:spacing w:after="0" w:line="240" w:lineRule="auto"/>
        <w:ind w:left="-567" w:right="-518"/>
        <w:jc w:val="both"/>
        <w:rPr>
          <w:rFonts w:ascii="Arial" w:eastAsia="Times New Roman" w:hAnsi="Arial" w:cs="Arial"/>
          <w:sz w:val="24"/>
          <w:szCs w:val="24"/>
          <w:lang w:eastAsia="es-MX"/>
        </w:rPr>
      </w:pPr>
    </w:p>
    <w:p w14:paraId="3818DB9F" w14:textId="4D0A444B" w:rsidR="008F3E12" w:rsidRPr="005430F9" w:rsidRDefault="0031078C" w:rsidP="005430F9">
      <w:pPr>
        <w:spacing w:after="0" w:line="240" w:lineRule="auto"/>
        <w:ind w:left="-567" w:right="-518"/>
        <w:jc w:val="both"/>
        <w:rPr>
          <w:rFonts w:ascii="Arial" w:eastAsia="Times New Roman" w:hAnsi="Arial" w:cs="Arial"/>
          <w:sz w:val="24"/>
          <w:szCs w:val="24"/>
          <w:lang w:eastAsia="es-MX"/>
        </w:rPr>
      </w:pPr>
      <w:r w:rsidRPr="005430F9">
        <w:rPr>
          <w:rFonts w:ascii="Arial" w:eastAsia="Times New Roman" w:hAnsi="Arial" w:cs="Arial"/>
          <w:sz w:val="24"/>
          <w:szCs w:val="24"/>
          <w:lang w:eastAsia="es-MX"/>
        </w:rPr>
        <w:t>En 202</w:t>
      </w:r>
      <w:r w:rsidR="00A43509" w:rsidRPr="005430F9">
        <w:rPr>
          <w:rFonts w:ascii="Arial" w:eastAsia="Times New Roman" w:hAnsi="Arial" w:cs="Arial"/>
          <w:sz w:val="24"/>
          <w:szCs w:val="24"/>
          <w:lang w:eastAsia="es-MX"/>
        </w:rPr>
        <w:t>1</w:t>
      </w:r>
      <w:r w:rsidRPr="005430F9">
        <w:rPr>
          <w:rFonts w:ascii="Arial" w:eastAsia="Times New Roman" w:hAnsi="Arial" w:cs="Arial"/>
          <w:sz w:val="24"/>
          <w:szCs w:val="24"/>
          <w:lang w:eastAsia="es-MX"/>
        </w:rPr>
        <w:t xml:space="preserve">, </w:t>
      </w:r>
      <w:r w:rsidR="00B374D2" w:rsidRPr="005430F9">
        <w:rPr>
          <w:rFonts w:ascii="Arial" w:eastAsia="Times New Roman" w:hAnsi="Arial" w:cs="Arial"/>
          <w:sz w:val="24"/>
          <w:szCs w:val="24"/>
          <w:lang w:eastAsia="es-MX"/>
        </w:rPr>
        <w:t>l</w:t>
      </w:r>
      <w:r w:rsidR="00D009A4" w:rsidRPr="005430F9">
        <w:rPr>
          <w:rFonts w:ascii="Arial" w:eastAsia="Times New Roman" w:hAnsi="Arial" w:cs="Arial"/>
          <w:sz w:val="24"/>
          <w:szCs w:val="24"/>
          <w:lang w:eastAsia="es-MX"/>
        </w:rPr>
        <w:t xml:space="preserve">a </w:t>
      </w:r>
      <w:r w:rsidR="0089721E" w:rsidRPr="005430F9">
        <w:rPr>
          <w:rFonts w:ascii="Arial" w:eastAsia="Times New Roman" w:hAnsi="Arial" w:cs="Arial"/>
          <w:sz w:val="24"/>
          <w:szCs w:val="24"/>
          <w:lang w:eastAsia="es-MX"/>
        </w:rPr>
        <w:t>EAEC</w:t>
      </w:r>
      <w:r w:rsidR="00D009A4" w:rsidRPr="005430F9">
        <w:rPr>
          <w:rFonts w:ascii="Arial" w:eastAsia="Times New Roman" w:hAnsi="Arial" w:cs="Arial"/>
          <w:sz w:val="24"/>
          <w:szCs w:val="24"/>
          <w:lang w:eastAsia="es-MX"/>
        </w:rPr>
        <w:t xml:space="preserve"> </w:t>
      </w:r>
      <w:r w:rsidR="00B374D2" w:rsidRPr="005430F9">
        <w:rPr>
          <w:rFonts w:ascii="Arial" w:eastAsia="Times New Roman" w:hAnsi="Arial" w:cs="Arial"/>
          <w:sz w:val="24"/>
          <w:szCs w:val="24"/>
          <w:lang w:eastAsia="es-MX"/>
        </w:rPr>
        <w:t>registr</w:t>
      </w:r>
      <w:r w:rsidR="00BF3A90">
        <w:rPr>
          <w:rFonts w:ascii="Arial" w:eastAsia="Times New Roman" w:hAnsi="Arial" w:cs="Arial"/>
          <w:sz w:val="24"/>
          <w:szCs w:val="24"/>
          <w:lang w:eastAsia="es-MX"/>
        </w:rPr>
        <w:t>ó</w:t>
      </w:r>
      <w:r w:rsidR="00B374D2" w:rsidRPr="005430F9">
        <w:rPr>
          <w:rFonts w:ascii="Arial" w:eastAsia="Times New Roman" w:hAnsi="Arial" w:cs="Arial"/>
          <w:sz w:val="24"/>
          <w:szCs w:val="24"/>
          <w:lang w:eastAsia="es-MX"/>
        </w:rPr>
        <w:t xml:space="preserve"> </w:t>
      </w:r>
      <w:r w:rsidR="00BF3A90">
        <w:rPr>
          <w:rFonts w:ascii="Arial" w:eastAsia="Times New Roman" w:hAnsi="Arial" w:cs="Arial"/>
          <w:sz w:val="24"/>
          <w:szCs w:val="24"/>
          <w:lang w:eastAsia="es-MX"/>
        </w:rPr>
        <w:t>movimientos</w:t>
      </w:r>
      <w:r w:rsidR="00BF3A90" w:rsidRPr="005430F9">
        <w:rPr>
          <w:rFonts w:ascii="Arial" w:eastAsia="Times New Roman" w:hAnsi="Arial" w:cs="Arial"/>
          <w:sz w:val="24"/>
          <w:szCs w:val="24"/>
          <w:lang w:eastAsia="es-MX"/>
        </w:rPr>
        <w:t xml:space="preserve"> </w:t>
      </w:r>
      <w:r w:rsidR="00D009A4" w:rsidRPr="005430F9">
        <w:rPr>
          <w:rFonts w:ascii="Arial" w:eastAsia="Times New Roman" w:hAnsi="Arial" w:cs="Arial"/>
          <w:sz w:val="24"/>
          <w:szCs w:val="24"/>
          <w:lang w:eastAsia="es-MX"/>
        </w:rPr>
        <w:t xml:space="preserve">anuales </w:t>
      </w:r>
      <w:r w:rsidR="00A43509" w:rsidRPr="005430F9">
        <w:rPr>
          <w:rFonts w:ascii="Arial" w:eastAsia="Times New Roman" w:hAnsi="Arial" w:cs="Arial"/>
          <w:sz w:val="24"/>
          <w:szCs w:val="24"/>
          <w:lang w:eastAsia="es-MX"/>
        </w:rPr>
        <w:t>posi</w:t>
      </w:r>
      <w:r w:rsidR="00356A76" w:rsidRPr="005430F9">
        <w:rPr>
          <w:rFonts w:ascii="Arial" w:eastAsia="Times New Roman" w:hAnsi="Arial" w:cs="Arial"/>
          <w:sz w:val="24"/>
          <w:szCs w:val="24"/>
          <w:lang w:eastAsia="es-MX"/>
        </w:rPr>
        <w:t>t</w:t>
      </w:r>
      <w:r w:rsidR="00D009A4" w:rsidRPr="005430F9">
        <w:rPr>
          <w:rFonts w:ascii="Arial" w:eastAsia="Times New Roman" w:hAnsi="Arial" w:cs="Arial"/>
          <w:sz w:val="24"/>
          <w:szCs w:val="24"/>
          <w:lang w:eastAsia="es-MX"/>
        </w:rPr>
        <w:t>iv</w:t>
      </w:r>
      <w:r w:rsidR="00BF3A90">
        <w:rPr>
          <w:rFonts w:ascii="Arial" w:eastAsia="Times New Roman" w:hAnsi="Arial" w:cs="Arial"/>
          <w:sz w:val="24"/>
          <w:szCs w:val="24"/>
          <w:lang w:eastAsia="es-MX"/>
        </w:rPr>
        <w:t>o</w:t>
      </w:r>
      <w:r w:rsidR="00D009A4" w:rsidRPr="005430F9">
        <w:rPr>
          <w:rFonts w:ascii="Arial" w:eastAsia="Times New Roman" w:hAnsi="Arial" w:cs="Arial"/>
          <w:sz w:val="24"/>
          <w:szCs w:val="24"/>
          <w:lang w:eastAsia="es-MX"/>
        </w:rPr>
        <w:t>s</w:t>
      </w:r>
      <w:r w:rsidRPr="005430F9">
        <w:rPr>
          <w:rFonts w:ascii="Arial" w:eastAsia="Times New Roman" w:hAnsi="Arial" w:cs="Arial"/>
          <w:sz w:val="24"/>
          <w:szCs w:val="24"/>
          <w:lang w:eastAsia="es-MX"/>
        </w:rPr>
        <w:t xml:space="preserve"> en sus cinco principales variables</w:t>
      </w:r>
      <w:r w:rsidR="00D009A4" w:rsidRPr="005430F9">
        <w:rPr>
          <w:rFonts w:ascii="Arial" w:eastAsia="Times New Roman" w:hAnsi="Arial" w:cs="Arial"/>
          <w:sz w:val="24"/>
          <w:szCs w:val="24"/>
          <w:lang w:eastAsia="es-MX"/>
        </w:rPr>
        <w:t xml:space="preserve"> </w:t>
      </w:r>
      <w:r w:rsidR="00F562A2" w:rsidRPr="005430F9">
        <w:rPr>
          <w:rFonts w:ascii="Arial" w:eastAsia="Times New Roman" w:hAnsi="Arial" w:cs="Arial"/>
          <w:sz w:val="24"/>
          <w:szCs w:val="24"/>
          <w:lang w:eastAsia="es-MX"/>
        </w:rPr>
        <w:t>respecto</w:t>
      </w:r>
      <w:r w:rsidR="003A575A" w:rsidRPr="005430F9">
        <w:rPr>
          <w:rFonts w:ascii="Arial" w:eastAsia="Times New Roman" w:hAnsi="Arial" w:cs="Arial"/>
          <w:sz w:val="24"/>
          <w:szCs w:val="24"/>
          <w:lang w:eastAsia="es-MX"/>
        </w:rPr>
        <w:t xml:space="preserve"> a </w:t>
      </w:r>
      <w:r w:rsidR="00F562A2" w:rsidRPr="005430F9">
        <w:rPr>
          <w:rFonts w:ascii="Arial" w:eastAsia="Times New Roman" w:hAnsi="Arial" w:cs="Arial"/>
          <w:sz w:val="24"/>
          <w:szCs w:val="24"/>
          <w:lang w:eastAsia="es-MX"/>
        </w:rPr>
        <w:t>20</w:t>
      </w:r>
      <w:r w:rsidR="00A43509" w:rsidRPr="005430F9">
        <w:rPr>
          <w:rFonts w:ascii="Arial" w:eastAsia="Times New Roman" w:hAnsi="Arial" w:cs="Arial"/>
          <w:sz w:val="24"/>
          <w:szCs w:val="24"/>
          <w:lang w:eastAsia="es-MX"/>
        </w:rPr>
        <w:t>20</w:t>
      </w:r>
      <w:r w:rsidR="00F043E9" w:rsidRPr="005430F9">
        <w:rPr>
          <w:rFonts w:ascii="Arial" w:eastAsia="Times New Roman" w:hAnsi="Arial" w:cs="Arial"/>
          <w:sz w:val="24"/>
          <w:szCs w:val="24"/>
          <w:lang w:eastAsia="es-MX"/>
        </w:rPr>
        <w:t>.</w:t>
      </w:r>
    </w:p>
    <w:p w14:paraId="3F8769BF" w14:textId="77777777" w:rsidR="0027262E" w:rsidRDefault="0027262E" w:rsidP="00D009A4">
      <w:pPr>
        <w:pStyle w:val="Default"/>
        <w:jc w:val="center"/>
        <w:rPr>
          <w:b/>
          <w:color w:val="auto"/>
          <w:sz w:val="22"/>
          <w:lang w:eastAsia="es-MX"/>
        </w:rPr>
      </w:pPr>
    </w:p>
    <w:p w14:paraId="32A299C4" w14:textId="48A00FB5" w:rsidR="00D009A4" w:rsidRPr="005430F9" w:rsidRDefault="00D009A4" w:rsidP="00D009A4">
      <w:pPr>
        <w:pStyle w:val="Default"/>
        <w:jc w:val="center"/>
        <w:rPr>
          <w:color w:val="auto"/>
          <w:sz w:val="20"/>
          <w:szCs w:val="20"/>
          <w:lang w:eastAsia="es-MX"/>
        </w:rPr>
      </w:pPr>
      <w:r w:rsidRPr="005430F9">
        <w:rPr>
          <w:color w:val="auto"/>
          <w:sz w:val="20"/>
          <w:szCs w:val="20"/>
          <w:lang w:eastAsia="es-MX"/>
        </w:rPr>
        <w:t xml:space="preserve">Cuadro 1 </w:t>
      </w:r>
    </w:p>
    <w:p w14:paraId="22F1C4AE" w14:textId="455C32C8" w:rsidR="00C2070A" w:rsidRPr="005430F9" w:rsidRDefault="003A575A" w:rsidP="00D009A4">
      <w:pPr>
        <w:pStyle w:val="Default"/>
        <w:jc w:val="center"/>
        <w:rPr>
          <w:rFonts w:ascii="Arial Negrita" w:hAnsi="Arial Negrita"/>
          <w:b/>
          <w:smallCaps/>
          <w:color w:val="auto"/>
          <w:sz w:val="22"/>
          <w:lang w:eastAsia="es-MX"/>
        </w:rPr>
      </w:pPr>
      <w:r w:rsidRPr="005430F9">
        <w:rPr>
          <w:rFonts w:ascii="Arial Negrita" w:hAnsi="Arial Negrita"/>
          <w:b/>
          <w:smallCaps/>
          <w:color w:val="auto"/>
          <w:sz w:val="22"/>
          <w:lang w:eastAsia="es-MX"/>
        </w:rPr>
        <w:t>Resultados de las p</w:t>
      </w:r>
      <w:r w:rsidR="00D009A4" w:rsidRPr="005430F9">
        <w:rPr>
          <w:rFonts w:ascii="Arial Negrita" w:hAnsi="Arial Negrita"/>
          <w:b/>
          <w:smallCaps/>
          <w:color w:val="auto"/>
          <w:sz w:val="22"/>
          <w:lang w:eastAsia="es-MX"/>
        </w:rPr>
        <w:t xml:space="preserve">rincipales </w:t>
      </w:r>
      <w:r w:rsidRPr="005430F9">
        <w:rPr>
          <w:rFonts w:ascii="Arial Negrita" w:hAnsi="Arial Negrita"/>
          <w:b/>
          <w:smallCaps/>
          <w:color w:val="auto"/>
          <w:sz w:val="22"/>
          <w:lang w:eastAsia="es-MX"/>
        </w:rPr>
        <w:t>variables</w:t>
      </w:r>
      <w:r w:rsidR="00D009A4" w:rsidRPr="005430F9">
        <w:rPr>
          <w:rFonts w:ascii="Arial Negrita" w:hAnsi="Arial Negrita"/>
          <w:b/>
          <w:smallCaps/>
          <w:color w:val="auto"/>
          <w:sz w:val="22"/>
          <w:lang w:eastAsia="es-MX"/>
        </w:rPr>
        <w:t xml:space="preserve"> de las </w:t>
      </w:r>
      <w:r w:rsidR="002652BF" w:rsidRPr="005430F9">
        <w:rPr>
          <w:rFonts w:ascii="Arial Negrita" w:hAnsi="Arial Negrita"/>
          <w:b/>
          <w:smallCaps/>
          <w:color w:val="auto"/>
          <w:sz w:val="22"/>
          <w:lang w:eastAsia="es-MX"/>
        </w:rPr>
        <w:t>e</w:t>
      </w:r>
      <w:r w:rsidR="004939AC" w:rsidRPr="005430F9">
        <w:rPr>
          <w:rFonts w:ascii="Arial Negrita" w:hAnsi="Arial Negrita"/>
          <w:b/>
          <w:smallCaps/>
          <w:color w:val="auto"/>
          <w:sz w:val="22"/>
          <w:lang w:eastAsia="es-MX"/>
        </w:rPr>
        <w:t>mpresas constructoras</w:t>
      </w:r>
    </w:p>
    <w:p w14:paraId="7D14F287" w14:textId="76423C96" w:rsidR="0002009A" w:rsidRPr="005430F9" w:rsidRDefault="0002009A" w:rsidP="00D009A4">
      <w:pPr>
        <w:pStyle w:val="Default"/>
        <w:jc w:val="center"/>
        <w:rPr>
          <w:color w:val="auto"/>
          <w:sz w:val="18"/>
          <w:szCs w:val="18"/>
          <w:lang w:eastAsia="es-MX"/>
        </w:rPr>
      </w:pPr>
      <w:r w:rsidRPr="005430F9">
        <w:rPr>
          <w:color w:val="auto"/>
          <w:sz w:val="18"/>
          <w:szCs w:val="18"/>
          <w:lang w:eastAsia="es-MX"/>
        </w:rPr>
        <w:t>(Miles de millones de pesos corrientes</w:t>
      </w:r>
      <w:r w:rsidR="00D17214">
        <w:rPr>
          <w:color w:val="auto"/>
          <w:sz w:val="18"/>
          <w:szCs w:val="18"/>
          <w:lang w:eastAsia="es-MX"/>
        </w:rPr>
        <w:t>, excepto personal ocupado total</w:t>
      </w:r>
      <w:r w:rsidRPr="005430F9">
        <w:rPr>
          <w:color w:val="auto"/>
          <w:sz w:val="18"/>
          <w:szCs w:val="18"/>
          <w:lang w:eastAsia="es-MX"/>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957"/>
        <w:gridCol w:w="1275"/>
        <w:gridCol w:w="1134"/>
        <w:gridCol w:w="1423"/>
      </w:tblGrid>
      <w:tr w:rsidR="007F53F2" w:rsidRPr="003E6102" w14:paraId="436E4403" w14:textId="77777777" w:rsidTr="00D67F50">
        <w:trPr>
          <w:trHeight w:val="70"/>
          <w:jc w:val="center"/>
        </w:trPr>
        <w:tc>
          <w:tcPr>
            <w:tcW w:w="4957" w:type="dxa"/>
            <w:vMerge w:val="restart"/>
            <w:shd w:val="clear" w:color="auto" w:fill="FFB13F"/>
            <w:tcMar>
              <w:top w:w="15" w:type="dxa"/>
              <w:left w:w="15" w:type="dxa"/>
              <w:bottom w:w="0" w:type="dxa"/>
              <w:right w:w="15" w:type="dxa"/>
            </w:tcMar>
            <w:vAlign w:val="center"/>
            <w:hideMark/>
          </w:tcPr>
          <w:p w14:paraId="63A0BE2D" w14:textId="77777777" w:rsidR="00283D9D" w:rsidRPr="00DB47BC" w:rsidRDefault="00283D9D" w:rsidP="00283D9D">
            <w:pPr>
              <w:pStyle w:val="Default"/>
              <w:jc w:val="center"/>
              <w:rPr>
                <w:b/>
                <w:color w:val="auto"/>
                <w:sz w:val="18"/>
                <w:szCs w:val="18"/>
                <w:lang w:eastAsia="es-MX"/>
              </w:rPr>
            </w:pPr>
            <w:r w:rsidRPr="00DB47BC">
              <w:rPr>
                <w:b/>
                <w:bCs/>
                <w:color w:val="auto"/>
                <w:sz w:val="18"/>
                <w:szCs w:val="18"/>
                <w:lang w:eastAsia="es-MX"/>
              </w:rPr>
              <w:t>Variable</w:t>
            </w:r>
          </w:p>
        </w:tc>
        <w:tc>
          <w:tcPr>
            <w:tcW w:w="2409" w:type="dxa"/>
            <w:gridSpan w:val="2"/>
            <w:shd w:val="clear" w:color="auto" w:fill="FFB13F"/>
            <w:tcMar>
              <w:top w:w="15" w:type="dxa"/>
              <w:left w:w="15" w:type="dxa"/>
              <w:bottom w:w="0" w:type="dxa"/>
              <w:right w:w="15" w:type="dxa"/>
            </w:tcMar>
            <w:vAlign w:val="center"/>
            <w:hideMark/>
          </w:tcPr>
          <w:p w14:paraId="28ACB079" w14:textId="77777777" w:rsidR="00283D9D" w:rsidRPr="00DB47BC" w:rsidRDefault="00283D9D" w:rsidP="00283D9D">
            <w:pPr>
              <w:pStyle w:val="Default"/>
              <w:jc w:val="center"/>
              <w:rPr>
                <w:b/>
                <w:bCs/>
                <w:color w:val="auto"/>
                <w:sz w:val="18"/>
                <w:szCs w:val="18"/>
                <w:lang w:eastAsia="es-MX"/>
              </w:rPr>
            </w:pPr>
            <w:r w:rsidRPr="00DB47BC">
              <w:rPr>
                <w:b/>
                <w:bCs/>
                <w:color w:val="auto"/>
                <w:sz w:val="18"/>
                <w:szCs w:val="18"/>
                <w:lang w:eastAsia="es-MX"/>
              </w:rPr>
              <w:t>Año</w:t>
            </w:r>
          </w:p>
        </w:tc>
        <w:tc>
          <w:tcPr>
            <w:tcW w:w="1423" w:type="dxa"/>
            <w:vMerge w:val="restart"/>
            <w:shd w:val="clear" w:color="auto" w:fill="FFB13F"/>
            <w:tcMar>
              <w:top w:w="15" w:type="dxa"/>
              <w:left w:w="15" w:type="dxa"/>
              <w:bottom w:w="0" w:type="dxa"/>
              <w:right w:w="15" w:type="dxa"/>
            </w:tcMar>
            <w:vAlign w:val="center"/>
            <w:hideMark/>
          </w:tcPr>
          <w:p w14:paraId="03FAC98F" w14:textId="77777777" w:rsidR="003A575A" w:rsidRPr="00DB47BC" w:rsidRDefault="00283D9D" w:rsidP="00283D9D">
            <w:pPr>
              <w:pStyle w:val="Default"/>
              <w:jc w:val="center"/>
              <w:rPr>
                <w:b/>
                <w:bCs/>
                <w:color w:val="auto"/>
                <w:sz w:val="18"/>
                <w:szCs w:val="18"/>
                <w:lang w:eastAsia="es-MX"/>
              </w:rPr>
            </w:pPr>
            <w:r w:rsidRPr="00DB47BC">
              <w:rPr>
                <w:b/>
                <w:bCs/>
                <w:color w:val="auto"/>
                <w:sz w:val="18"/>
                <w:szCs w:val="18"/>
                <w:lang w:eastAsia="es-MX"/>
              </w:rPr>
              <w:t>Variación anual</w:t>
            </w:r>
          </w:p>
          <w:p w14:paraId="47131DE2" w14:textId="77777777" w:rsidR="00283D9D" w:rsidRPr="00DB47BC" w:rsidRDefault="00283D9D" w:rsidP="00283D9D">
            <w:pPr>
              <w:pStyle w:val="Default"/>
              <w:jc w:val="center"/>
              <w:rPr>
                <w:b/>
                <w:color w:val="auto"/>
                <w:sz w:val="18"/>
                <w:szCs w:val="18"/>
                <w:lang w:eastAsia="es-MX"/>
              </w:rPr>
            </w:pPr>
            <w:r w:rsidRPr="00DB47BC">
              <w:rPr>
                <w:b/>
                <w:bCs/>
                <w:color w:val="auto"/>
                <w:sz w:val="18"/>
                <w:szCs w:val="18"/>
                <w:lang w:eastAsia="es-MX"/>
              </w:rPr>
              <w:t xml:space="preserve"> (%)</w:t>
            </w:r>
          </w:p>
        </w:tc>
      </w:tr>
      <w:tr w:rsidR="007F53F2" w:rsidRPr="003E6102" w14:paraId="0BDD7AF0" w14:textId="77777777" w:rsidTr="00D67F50">
        <w:trPr>
          <w:trHeight w:val="218"/>
          <w:jc w:val="center"/>
        </w:trPr>
        <w:tc>
          <w:tcPr>
            <w:tcW w:w="4957" w:type="dxa"/>
            <w:vMerge/>
            <w:shd w:val="clear" w:color="auto" w:fill="FFB13F"/>
            <w:tcMar>
              <w:top w:w="15" w:type="dxa"/>
              <w:left w:w="15" w:type="dxa"/>
              <w:bottom w:w="0" w:type="dxa"/>
              <w:right w:w="15" w:type="dxa"/>
            </w:tcMar>
            <w:vAlign w:val="center"/>
          </w:tcPr>
          <w:p w14:paraId="783409EB" w14:textId="77777777" w:rsidR="00283D9D" w:rsidRPr="00DB47BC" w:rsidRDefault="00283D9D" w:rsidP="00283D9D">
            <w:pPr>
              <w:pStyle w:val="Default"/>
              <w:jc w:val="center"/>
              <w:rPr>
                <w:b/>
                <w:bCs/>
                <w:color w:val="auto"/>
                <w:sz w:val="18"/>
                <w:szCs w:val="18"/>
                <w:lang w:eastAsia="es-MX"/>
              </w:rPr>
            </w:pPr>
          </w:p>
        </w:tc>
        <w:tc>
          <w:tcPr>
            <w:tcW w:w="1275" w:type="dxa"/>
            <w:shd w:val="clear" w:color="auto" w:fill="FFB13F"/>
            <w:tcMar>
              <w:top w:w="15" w:type="dxa"/>
              <w:left w:w="15" w:type="dxa"/>
              <w:bottom w:w="0" w:type="dxa"/>
              <w:right w:w="15" w:type="dxa"/>
            </w:tcMar>
            <w:vAlign w:val="center"/>
          </w:tcPr>
          <w:p w14:paraId="7F6D6C9C" w14:textId="3BB2D138" w:rsidR="00283D9D" w:rsidRPr="00DB47BC" w:rsidRDefault="00AA0654" w:rsidP="00283D9D">
            <w:pPr>
              <w:pStyle w:val="Default"/>
              <w:jc w:val="center"/>
              <w:rPr>
                <w:b/>
                <w:bCs/>
                <w:color w:val="auto"/>
                <w:sz w:val="18"/>
                <w:szCs w:val="18"/>
                <w:lang w:eastAsia="es-MX"/>
              </w:rPr>
            </w:pPr>
            <w:r w:rsidRPr="00DB47BC">
              <w:rPr>
                <w:b/>
                <w:bCs/>
                <w:color w:val="auto"/>
                <w:sz w:val="18"/>
                <w:szCs w:val="18"/>
                <w:lang w:eastAsia="es-MX"/>
              </w:rPr>
              <w:t>20</w:t>
            </w:r>
            <w:r w:rsidR="0004384E" w:rsidRPr="00DB47BC">
              <w:rPr>
                <w:b/>
                <w:bCs/>
                <w:color w:val="auto"/>
                <w:sz w:val="18"/>
                <w:szCs w:val="18"/>
                <w:lang w:eastAsia="es-MX"/>
              </w:rPr>
              <w:t>20</w:t>
            </w:r>
          </w:p>
        </w:tc>
        <w:tc>
          <w:tcPr>
            <w:tcW w:w="1134" w:type="dxa"/>
            <w:shd w:val="clear" w:color="auto" w:fill="FFB13F"/>
            <w:vAlign w:val="center"/>
          </w:tcPr>
          <w:p w14:paraId="23ECA0C6" w14:textId="692E98B6" w:rsidR="00283D9D" w:rsidRPr="00DB47BC" w:rsidRDefault="00AA0654" w:rsidP="00982528">
            <w:pPr>
              <w:pStyle w:val="Default"/>
              <w:jc w:val="center"/>
              <w:rPr>
                <w:b/>
                <w:bCs/>
                <w:color w:val="auto"/>
                <w:sz w:val="18"/>
                <w:szCs w:val="18"/>
                <w:lang w:eastAsia="es-MX"/>
              </w:rPr>
            </w:pPr>
            <w:r w:rsidRPr="00DB47BC">
              <w:rPr>
                <w:b/>
                <w:bCs/>
                <w:color w:val="auto"/>
                <w:sz w:val="18"/>
                <w:szCs w:val="18"/>
                <w:lang w:eastAsia="es-MX"/>
              </w:rPr>
              <w:t>202</w:t>
            </w:r>
            <w:r w:rsidR="0004384E" w:rsidRPr="00DB47BC">
              <w:rPr>
                <w:b/>
                <w:bCs/>
                <w:color w:val="auto"/>
                <w:sz w:val="18"/>
                <w:szCs w:val="18"/>
                <w:lang w:eastAsia="es-MX"/>
              </w:rPr>
              <w:t>1</w:t>
            </w:r>
            <w:r w:rsidR="00C2070A" w:rsidRPr="00DB47BC">
              <w:rPr>
                <w:rFonts w:eastAsia="Times New Roman"/>
                <w:b/>
                <w:bCs/>
                <w:sz w:val="18"/>
                <w:szCs w:val="18"/>
                <w:vertAlign w:val="superscript"/>
                <w:lang w:eastAsia="es-MX"/>
              </w:rPr>
              <w:t>p/</w:t>
            </w:r>
          </w:p>
        </w:tc>
        <w:tc>
          <w:tcPr>
            <w:tcW w:w="1423" w:type="dxa"/>
            <w:vMerge/>
            <w:shd w:val="clear" w:color="auto" w:fill="FFB13F"/>
            <w:tcMar>
              <w:top w:w="15" w:type="dxa"/>
              <w:left w:w="15" w:type="dxa"/>
              <w:bottom w:w="0" w:type="dxa"/>
              <w:right w:w="15" w:type="dxa"/>
            </w:tcMar>
            <w:vAlign w:val="center"/>
          </w:tcPr>
          <w:p w14:paraId="47E08866" w14:textId="77777777" w:rsidR="00283D9D" w:rsidRPr="00DB47BC" w:rsidRDefault="00283D9D" w:rsidP="00283D9D">
            <w:pPr>
              <w:pStyle w:val="Default"/>
              <w:jc w:val="center"/>
              <w:rPr>
                <w:b/>
                <w:bCs/>
                <w:color w:val="auto"/>
                <w:sz w:val="18"/>
                <w:szCs w:val="18"/>
                <w:lang w:eastAsia="es-MX"/>
              </w:rPr>
            </w:pPr>
          </w:p>
        </w:tc>
      </w:tr>
      <w:tr w:rsidR="007F53F2" w:rsidRPr="003E6102" w14:paraId="5B060BEF" w14:textId="77777777" w:rsidTr="00D67F50">
        <w:trPr>
          <w:trHeight w:val="283"/>
          <w:jc w:val="center"/>
        </w:trPr>
        <w:tc>
          <w:tcPr>
            <w:tcW w:w="4957" w:type="dxa"/>
            <w:shd w:val="clear" w:color="auto" w:fill="auto"/>
            <w:tcMar>
              <w:top w:w="15" w:type="dxa"/>
              <w:left w:w="15" w:type="dxa"/>
              <w:bottom w:w="0" w:type="dxa"/>
              <w:right w:w="15" w:type="dxa"/>
            </w:tcMar>
            <w:vAlign w:val="center"/>
            <w:hideMark/>
          </w:tcPr>
          <w:p w14:paraId="4AC20069" w14:textId="1CCB6CE2" w:rsidR="00283D9D" w:rsidRPr="00D67F50" w:rsidRDefault="00283D9D" w:rsidP="00B10CAA">
            <w:pPr>
              <w:pStyle w:val="Default"/>
              <w:ind w:left="119"/>
              <w:rPr>
                <w:color w:val="auto"/>
                <w:sz w:val="20"/>
                <w:szCs w:val="20"/>
                <w:lang w:eastAsia="es-MX"/>
              </w:rPr>
            </w:pPr>
            <w:r w:rsidRPr="00D67F50">
              <w:rPr>
                <w:color w:val="auto"/>
                <w:sz w:val="20"/>
                <w:szCs w:val="20"/>
                <w:lang w:eastAsia="es-MX"/>
              </w:rPr>
              <w:t>Personal ocupado total</w:t>
            </w:r>
            <w:r w:rsidR="00D17214">
              <w:rPr>
                <w:color w:val="auto"/>
                <w:sz w:val="20"/>
                <w:szCs w:val="20"/>
                <w:lang w:eastAsia="es-MX"/>
              </w:rPr>
              <w:t xml:space="preserve"> </w:t>
            </w:r>
            <w:r w:rsidRPr="00D67F50">
              <w:rPr>
                <w:color w:val="auto"/>
                <w:sz w:val="20"/>
                <w:szCs w:val="20"/>
                <w:lang w:eastAsia="es-MX"/>
              </w:rPr>
              <w:t>(miles de personas)</w:t>
            </w:r>
          </w:p>
        </w:tc>
        <w:tc>
          <w:tcPr>
            <w:tcW w:w="1275" w:type="dxa"/>
            <w:shd w:val="clear" w:color="auto" w:fill="auto"/>
            <w:tcMar>
              <w:top w:w="15" w:type="dxa"/>
              <w:left w:w="15" w:type="dxa"/>
              <w:bottom w:w="0" w:type="dxa"/>
              <w:right w:w="15" w:type="dxa"/>
            </w:tcMar>
            <w:vAlign w:val="center"/>
          </w:tcPr>
          <w:p w14:paraId="0F9690F7" w14:textId="12A18035" w:rsidR="00283D9D" w:rsidRPr="00D67F50" w:rsidRDefault="00D82674" w:rsidP="00283D9D">
            <w:pPr>
              <w:pStyle w:val="NormalWeb"/>
              <w:spacing w:before="0" w:beforeAutospacing="0" w:after="0" w:afterAutospacing="0"/>
              <w:jc w:val="center"/>
              <w:textAlignment w:val="bottom"/>
              <w:rPr>
                <w:rFonts w:ascii="Arial" w:hAnsi="Arial" w:cs="Arial"/>
                <w:sz w:val="20"/>
                <w:szCs w:val="20"/>
              </w:rPr>
            </w:pPr>
            <w:r w:rsidRPr="00D67F50">
              <w:rPr>
                <w:rFonts w:ascii="Arial" w:eastAsia="HELVETICA NEUE MEDIUM" w:hAnsi="Arial" w:cs="Arial"/>
                <w:sz w:val="20"/>
                <w:szCs w:val="20"/>
              </w:rPr>
              <w:t>544</w:t>
            </w:r>
          </w:p>
        </w:tc>
        <w:tc>
          <w:tcPr>
            <w:tcW w:w="1134" w:type="dxa"/>
            <w:vAlign w:val="center"/>
          </w:tcPr>
          <w:p w14:paraId="1E441EE3" w14:textId="314DE5E7" w:rsidR="00283D9D" w:rsidRPr="00D67F50" w:rsidRDefault="00E83B4F" w:rsidP="00283D9D">
            <w:pPr>
              <w:pStyle w:val="Default"/>
              <w:jc w:val="center"/>
              <w:rPr>
                <w:color w:val="auto"/>
                <w:sz w:val="20"/>
                <w:szCs w:val="20"/>
                <w:lang w:eastAsia="es-MX"/>
              </w:rPr>
            </w:pPr>
            <w:r w:rsidRPr="00D67F50">
              <w:rPr>
                <w:rFonts w:eastAsia="HELVETICA NEUE MEDIUM"/>
                <w:color w:val="auto"/>
                <w:sz w:val="20"/>
                <w:szCs w:val="20"/>
              </w:rPr>
              <w:t>5</w:t>
            </w:r>
            <w:r w:rsidR="00D82674" w:rsidRPr="00D67F50">
              <w:rPr>
                <w:rFonts w:eastAsia="HELVETICA NEUE MEDIUM"/>
                <w:color w:val="auto"/>
                <w:sz w:val="20"/>
                <w:szCs w:val="20"/>
              </w:rPr>
              <w:t>54</w:t>
            </w:r>
          </w:p>
        </w:tc>
        <w:tc>
          <w:tcPr>
            <w:tcW w:w="1423" w:type="dxa"/>
            <w:shd w:val="clear" w:color="auto" w:fill="auto"/>
            <w:tcMar>
              <w:top w:w="15" w:type="dxa"/>
              <w:left w:w="15" w:type="dxa"/>
              <w:bottom w:w="0" w:type="dxa"/>
              <w:right w:w="15" w:type="dxa"/>
            </w:tcMar>
            <w:vAlign w:val="center"/>
          </w:tcPr>
          <w:p w14:paraId="3661A50F" w14:textId="5E5338ED" w:rsidR="00283D9D" w:rsidRPr="00D67F50" w:rsidRDefault="00A43509" w:rsidP="00D67F50">
            <w:pPr>
              <w:pStyle w:val="Default"/>
              <w:ind w:left="-15" w:right="556"/>
              <w:jc w:val="right"/>
              <w:rPr>
                <w:color w:val="auto"/>
                <w:sz w:val="20"/>
                <w:szCs w:val="20"/>
                <w:lang w:eastAsia="es-MX"/>
              </w:rPr>
            </w:pPr>
            <w:r w:rsidRPr="00D67F50">
              <w:rPr>
                <w:color w:val="auto"/>
                <w:sz w:val="20"/>
                <w:szCs w:val="20"/>
                <w:lang w:eastAsia="es-MX"/>
              </w:rPr>
              <w:t>1</w:t>
            </w:r>
            <w:r w:rsidR="00267F9D" w:rsidRPr="00D67F50">
              <w:rPr>
                <w:color w:val="auto"/>
                <w:sz w:val="20"/>
                <w:szCs w:val="20"/>
                <w:lang w:eastAsia="es-MX"/>
              </w:rPr>
              <w:t>.</w:t>
            </w:r>
            <w:r w:rsidRPr="00D67F50">
              <w:rPr>
                <w:color w:val="auto"/>
                <w:sz w:val="20"/>
                <w:szCs w:val="20"/>
                <w:lang w:eastAsia="es-MX"/>
              </w:rPr>
              <w:t>8</w:t>
            </w:r>
          </w:p>
        </w:tc>
      </w:tr>
      <w:tr w:rsidR="007F53F2" w:rsidRPr="003E6102" w14:paraId="12979375" w14:textId="77777777" w:rsidTr="00D67F50">
        <w:trPr>
          <w:trHeight w:val="283"/>
          <w:jc w:val="center"/>
        </w:trPr>
        <w:tc>
          <w:tcPr>
            <w:tcW w:w="4957" w:type="dxa"/>
            <w:shd w:val="clear" w:color="auto" w:fill="auto"/>
            <w:tcMar>
              <w:top w:w="15" w:type="dxa"/>
              <w:left w:w="15" w:type="dxa"/>
              <w:bottom w:w="0" w:type="dxa"/>
              <w:right w:w="15" w:type="dxa"/>
            </w:tcMar>
            <w:vAlign w:val="center"/>
            <w:hideMark/>
          </w:tcPr>
          <w:p w14:paraId="1204C7B6" w14:textId="563BF8E5" w:rsidR="00283D9D" w:rsidRPr="00D67F50" w:rsidRDefault="00332A2B" w:rsidP="00B10CAA">
            <w:pPr>
              <w:pStyle w:val="Default"/>
              <w:ind w:left="119"/>
              <w:rPr>
                <w:color w:val="auto"/>
                <w:sz w:val="20"/>
                <w:szCs w:val="20"/>
                <w:lang w:eastAsia="es-MX"/>
              </w:rPr>
            </w:pPr>
            <w:r w:rsidRPr="00D67F50">
              <w:rPr>
                <w:color w:val="auto"/>
                <w:sz w:val="20"/>
                <w:szCs w:val="20"/>
                <w:lang w:eastAsia="es-MX"/>
              </w:rPr>
              <w:t>Valor de producción</w:t>
            </w:r>
          </w:p>
        </w:tc>
        <w:tc>
          <w:tcPr>
            <w:tcW w:w="1275" w:type="dxa"/>
            <w:shd w:val="clear" w:color="auto" w:fill="auto"/>
            <w:tcMar>
              <w:top w:w="15" w:type="dxa"/>
              <w:left w:w="15" w:type="dxa"/>
              <w:bottom w:w="0" w:type="dxa"/>
              <w:right w:w="15" w:type="dxa"/>
            </w:tcMar>
            <w:vAlign w:val="center"/>
          </w:tcPr>
          <w:p w14:paraId="5C6E5C92" w14:textId="65A5BCE3" w:rsidR="00283D9D" w:rsidRPr="00D67F50" w:rsidRDefault="004352F9" w:rsidP="00283D9D">
            <w:pPr>
              <w:pStyle w:val="NormalWeb"/>
              <w:spacing w:before="0" w:beforeAutospacing="0" w:after="0" w:afterAutospacing="0"/>
              <w:jc w:val="center"/>
              <w:textAlignment w:val="bottom"/>
              <w:rPr>
                <w:rFonts w:ascii="Arial" w:hAnsi="Arial" w:cs="Arial"/>
                <w:sz w:val="20"/>
                <w:szCs w:val="20"/>
              </w:rPr>
            </w:pPr>
            <w:r w:rsidRPr="00D67F50">
              <w:rPr>
                <w:rFonts w:ascii="Arial" w:eastAsia="HELVETICA NEUE MEDIUM" w:hAnsi="Arial" w:cs="Arial"/>
                <w:sz w:val="20"/>
                <w:szCs w:val="20"/>
              </w:rPr>
              <w:t>4</w:t>
            </w:r>
            <w:r w:rsidR="00D82674" w:rsidRPr="00D67F50">
              <w:rPr>
                <w:rFonts w:ascii="Arial" w:eastAsia="HELVETICA NEUE MEDIUM" w:hAnsi="Arial" w:cs="Arial"/>
                <w:sz w:val="20"/>
                <w:szCs w:val="20"/>
              </w:rPr>
              <w:t>19</w:t>
            </w:r>
          </w:p>
        </w:tc>
        <w:tc>
          <w:tcPr>
            <w:tcW w:w="1134" w:type="dxa"/>
            <w:vAlign w:val="center"/>
          </w:tcPr>
          <w:p w14:paraId="10E22382" w14:textId="71208FD9" w:rsidR="00283D9D" w:rsidRPr="00D67F50" w:rsidRDefault="00504F59" w:rsidP="00916A4F">
            <w:pPr>
              <w:pStyle w:val="NormalWeb"/>
              <w:spacing w:before="0" w:beforeAutospacing="0" w:after="0" w:afterAutospacing="0"/>
              <w:jc w:val="center"/>
              <w:textAlignment w:val="bottom"/>
              <w:rPr>
                <w:rFonts w:ascii="Arial" w:eastAsia="HELVETICA NEUE MEDIUM" w:hAnsi="Arial" w:cs="Arial"/>
                <w:sz w:val="20"/>
                <w:szCs w:val="20"/>
              </w:rPr>
            </w:pPr>
            <w:r w:rsidRPr="00D67F50">
              <w:rPr>
                <w:rFonts w:ascii="Arial" w:eastAsia="HELVETICA NEUE MEDIUM" w:hAnsi="Arial" w:cs="Arial"/>
                <w:sz w:val="20"/>
                <w:szCs w:val="20"/>
              </w:rPr>
              <w:t>465</w:t>
            </w:r>
          </w:p>
        </w:tc>
        <w:tc>
          <w:tcPr>
            <w:tcW w:w="1423" w:type="dxa"/>
            <w:shd w:val="clear" w:color="auto" w:fill="auto"/>
            <w:tcMar>
              <w:top w:w="15" w:type="dxa"/>
              <w:left w:w="15" w:type="dxa"/>
              <w:bottom w:w="0" w:type="dxa"/>
              <w:right w:w="15" w:type="dxa"/>
            </w:tcMar>
            <w:vAlign w:val="center"/>
          </w:tcPr>
          <w:p w14:paraId="4E78FD3B" w14:textId="65E780FC" w:rsidR="00283D9D" w:rsidRPr="00D67F50" w:rsidRDefault="00504F59" w:rsidP="00D67F50">
            <w:pPr>
              <w:pStyle w:val="NormalWeb"/>
              <w:spacing w:before="0" w:beforeAutospacing="0" w:after="0" w:afterAutospacing="0"/>
              <w:ind w:left="-15" w:right="556"/>
              <w:jc w:val="right"/>
              <w:textAlignment w:val="bottom"/>
              <w:rPr>
                <w:rFonts w:ascii="Arial" w:hAnsi="Arial" w:cs="Arial"/>
                <w:sz w:val="20"/>
                <w:szCs w:val="20"/>
              </w:rPr>
            </w:pPr>
            <w:r w:rsidRPr="00D67F50">
              <w:rPr>
                <w:rFonts w:ascii="Arial" w:hAnsi="Arial" w:cs="Arial"/>
                <w:sz w:val="20"/>
                <w:szCs w:val="20"/>
              </w:rPr>
              <w:t>11.2</w:t>
            </w:r>
          </w:p>
        </w:tc>
      </w:tr>
      <w:tr w:rsidR="007F53F2" w:rsidRPr="003E6102" w14:paraId="4E3B6753" w14:textId="77777777" w:rsidTr="00D67F50">
        <w:trPr>
          <w:trHeight w:val="283"/>
          <w:jc w:val="center"/>
        </w:trPr>
        <w:tc>
          <w:tcPr>
            <w:tcW w:w="4957" w:type="dxa"/>
            <w:shd w:val="clear" w:color="auto" w:fill="auto"/>
            <w:tcMar>
              <w:top w:w="15" w:type="dxa"/>
              <w:left w:w="15" w:type="dxa"/>
              <w:bottom w:w="0" w:type="dxa"/>
              <w:right w:w="15" w:type="dxa"/>
            </w:tcMar>
            <w:vAlign w:val="center"/>
            <w:hideMark/>
          </w:tcPr>
          <w:p w14:paraId="5C00ACDE" w14:textId="55C85623" w:rsidR="00283D9D" w:rsidRPr="00D67F50" w:rsidRDefault="00043729" w:rsidP="00B10CAA">
            <w:pPr>
              <w:pStyle w:val="Default"/>
              <w:ind w:left="119"/>
              <w:rPr>
                <w:color w:val="auto"/>
                <w:sz w:val="20"/>
                <w:szCs w:val="20"/>
                <w:lang w:eastAsia="es-MX"/>
              </w:rPr>
            </w:pPr>
            <w:r w:rsidRPr="00D67F50">
              <w:rPr>
                <w:color w:val="auto"/>
                <w:sz w:val="20"/>
                <w:szCs w:val="20"/>
                <w:lang w:eastAsia="es-MX"/>
              </w:rPr>
              <w:t>Gastos por consumo</w:t>
            </w:r>
            <w:r w:rsidR="00283D9D" w:rsidRPr="00D67F50">
              <w:rPr>
                <w:color w:val="auto"/>
                <w:sz w:val="20"/>
                <w:szCs w:val="20"/>
                <w:lang w:eastAsia="es-MX"/>
              </w:rPr>
              <w:t xml:space="preserve"> de bienes y servicios</w:t>
            </w:r>
          </w:p>
        </w:tc>
        <w:tc>
          <w:tcPr>
            <w:tcW w:w="1275" w:type="dxa"/>
            <w:shd w:val="clear" w:color="auto" w:fill="auto"/>
            <w:tcMar>
              <w:top w:w="15" w:type="dxa"/>
              <w:left w:w="15" w:type="dxa"/>
              <w:bottom w:w="0" w:type="dxa"/>
              <w:right w:w="15" w:type="dxa"/>
            </w:tcMar>
            <w:vAlign w:val="center"/>
          </w:tcPr>
          <w:p w14:paraId="20F4B7C9" w14:textId="4F5B17B7" w:rsidR="00283D9D" w:rsidRPr="00D67F50" w:rsidRDefault="00D82674" w:rsidP="00283D9D">
            <w:pPr>
              <w:pStyle w:val="NormalWeb"/>
              <w:spacing w:before="0" w:beforeAutospacing="0" w:after="0" w:afterAutospacing="0"/>
              <w:jc w:val="center"/>
              <w:textAlignment w:val="bottom"/>
              <w:rPr>
                <w:rFonts w:ascii="Arial" w:hAnsi="Arial" w:cs="Arial"/>
                <w:sz w:val="20"/>
                <w:szCs w:val="20"/>
              </w:rPr>
            </w:pPr>
            <w:r w:rsidRPr="00D67F50">
              <w:rPr>
                <w:rFonts w:ascii="Arial" w:eastAsia="HELVETICA NEUE MEDIUM" w:hAnsi="Arial" w:cs="Arial"/>
                <w:sz w:val="20"/>
                <w:szCs w:val="20"/>
              </w:rPr>
              <w:t>293</w:t>
            </w:r>
          </w:p>
        </w:tc>
        <w:tc>
          <w:tcPr>
            <w:tcW w:w="1134" w:type="dxa"/>
            <w:vAlign w:val="center"/>
          </w:tcPr>
          <w:p w14:paraId="673B6C83" w14:textId="19E59C45" w:rsidR="00283D9D" w:rsidRPr="00D67F50" w:rsidRDefault="00504F59" w:rsidP="00283D9D">
            <w:pPr>
              <w:pStyle w:val="NormalWeb"/>
              <w:spacing w:before="0" w:beforeAutospacing="0" w:after="0" w:afterAutospacing="0"/>
              <w:jc w:val="center"/>
              <w:textAlignment w:val="bottom"/>
              <w:rPr>
                <w:rFonts w:ascii="Arial" w:eastAsia="HELVETICA NEUE MEDIUM" w:hAnsi="Arial" w:cs="Arial"/>
                <w:sz w:val="20"/>
                <w:szCs w:val="20"/>
              </w:rPr>
            </w:pPr>
            <w:r w:rsidRPr="00D67F50">
              <w:rPr>
                <w:rFonts w:ascii="Arial" w:eastAsia="HELVETICA NEUE MEDIUM" w:hAnsi="Arial" w:cs="Arial"/>
                <w:sz w:val="20"/>
                <w:szCs w:val="20"/>
              </w:rPr>
              <w:t>324</w:t>
            </w:r>
          </w:p>
        </w:tc>
        <w:tc>
          <w:tcPr>
            <w:tcW w:w="1423" w:type="dxa"/>
            <w:shd w:val="clear" w:color="auto" w:fill="auto"/>
            <w:tcMar>
              <w:top w:w="15" w:type="dxa"/>
              <w:left w:w="15" w:type="dxa"/>
              <w:bottom w:w="0" w:type="dxa"/>
              <w:right w:w="15" w:type="dxa"/>
            </w:tcMar>
            <w:vAlign w:val="center"/>
          </w:tcPr>
          <w:p w14:paraId="6DBEDD44" w14:textId="34A95399" w:rsidR="00283D9D" w:rsidRPr="00D67F50" w:rsidRDefault="00504F59" w:rsidP="00D67F50">
            <w:pPr>
              <w:pStyle w:val="NormalWeb"/>
              <w:spacing w:before="0" w:beforeAutospacing="0" w:after="0" w:afterAutospacing="0"/>
              <w:ind w:left="-15" w:right="556"/>
              <w:jc w:val="right"/>
              <w:textAlignment w:val="bottom"/>
              <w:rPr>
                <w:rFonts w:ascii="Arial" w:hAnsi="Arial" w:cs="Arial"/>
                <w:sz w:val="20"/>
                <w:szCs w:val="20"/>
              </w:rPr>
            </w:pPr>
            <w:r w:rsidRPr="00D67F50">
              <w:rPr>
                <w:rFonts w:ascii="Arial" w:hAnsi="Arial" w:cs="Arial"/>
                <w:sz w:val="20"/>
                <w:szCs w:val="20"/>
              </w:rPr>
              <w:t>10.3</w:t>
            </w:r>
          </w:p>
        </w:tc>
      </w:tr>
      <w:tr w:rsidR="007F53F2" w:rsidRPr="003E6102" w14:paraId="1F32375C" w14:textId="77777777" w:rsidTr="00D67F50">
        <w:trPr>
          <w:trHeight w:val="283"/>
          <w:jc w:val="center"/>
        </w:trPr>
        <w:tc>
          <w:tcPr>
            <w:tcW w:w="4957" w:type="dxa"/>
            <w:shd w:val="clear" w:color="auto" w:fill="auto"/>
            <w:tcMar>
              <w:top w:w="15" w:type="dxa"/>
              <w:left w:w="15" w:type="dxa"/>
              <w:bottom w:w="0" w:type="dxa"/>
              <w:right w:w="15" w:type="dxa"/>
            </w:tcMar>
            <w:vAlign w:val="center"/>
            <w:hideMark/>
          </w:tcPr>
          <w:p w14:paraId="57F7AB1A" w14:textId="019D5A9B" w:rsidR="00283D9D" w:rsidRPr="00D67F50" w:rsidRDefault="00283D9D" w:rsidP="00B10CAA">
            <w:pPr>
              <w:pStyle w:val="Default"/>
              <w:ind w:left="119"/>
              <w:rPr>
                <w:color w:val="auto"/>
                <w:sz w:val="20"/>
                <w:szCs w:val="20"/>
                <w:lang w:eastAsia="es-MX"/>
              </w:rPr>
            </w:pPr>
            <w:r w:rsidRPr="00D67F50">
              <w:rPr>
                <w:color w:val="auto"/>
                <w:sz w:val="20"/>
                <w:szCs w:val="20"/>
                <w:lang w:eastAsia="es-MX"/>
              </w:rPr>
              <w:t>Ingresos por suministro de bienes y servicios</w:t>
            </w:r>
          </w:p>
        </w:tc>
        <w:tc>
          <w:tcPr>
            <w:tcW w:w="1275" w:type="dxa"/>
            <w:shd w:val="clear" w:color="auto" w:fill="auto"/>
            <w:tcMar>
              <w:top w:w="15" w:type="dxa"/>
              <w:left w:w="15" w:type="dxa"/>
              <w:bottom w:w="0" w:type="dxa"/>
              <w:right w:w="15" w:type="dxa"/>
            </w:tcMar>
            <w:vAlign w:val="center"/>
          </w:tcPr>
          <w:p w14:paraId="536BD704" w14:textId="43B14CCF" w:rsidR="00283D9D" w:rsidRPr="00D67F50" w:rsidRDefault="00D82674" w:rsidP="00283D9D">
            <w:pPr>
              <w:pStyle w:val="NormalWeb"/>
              <w:spacing w:before="0" w:beforeAutospacing="0" w:after="0" w:afterAutospacing="0"/>
              <w:jc w:val="center"/>
              <w:textAlignment w:val="bottom"/>
              <w:rPr>
                <w:rFonts w:ascii="Arial" w:hAnsi="Arial" w:cs="Arial"/>
                <w:sz w:val="20"/>
                <w:szCs w:val="20"/>
              </w:rPr>
            </w:pPr>
            <w:r w:rsidRPr="00D67F50">
              <w:rPr>
                <w:rFonts w:ascii="Arial" w:eastAsia="HELVETICA NEUE MEDIUM" w:hAnsi="Arial" w:cs="Arial"/>
                <w:sz w:val="20"/>
                <w:szCs w:val="20"/>
              </w:rPr>
              <w:t>538</w:t>
            </w:r>
          </w:p>
        </w:tc>
        <w:tc>
          <w:tcPr>
            <w:tcW w:w="1134" w:type="dxa"/>
            <w:vAlign w:val="center"/>
          </w:tcPr>
          <w:p w14:paraId="6B2494BC" w14:textId="42460723" w:rsidR="00283D9D" w:rsidRPr="00D67F50" w:rsidRDefault="00504F59" w:rsidP="00283D9D">
            <w:pPr>
              <w:pStyle w:val="NormalWeb"/>
              <w:spacing w:before="0" w:beforeAutospacing="0" w:after="0" w:afterAutospacing="0"/>
              <w:jc w:val="center"/>
              <w:textAlignment w:val="bottom"/>
              <w:rPr>
                <w:rFonts w:ascii="Arial" w:eastAsia="HELVETICA NEUE MEDIUM" w:hAnsi="Arial" w:cs="Arial"/>
                <w:sz w:val="20"/>
                <w:szCs w:val="20"/>
              </w:rPr>
            </w:pPr>
            <w:r w:rsidRPr="00D67F50">
              <w:rPr>
                <w:rFonts w:ascii="Arial" w:eastAsia="HELVETICA NEUE MEDIUM" w:hAnsi="Arial" w:cs="Arial"/>
                <w:sz w:val="20"/>
                <w:szCs w:val="20"/>
              </w:rPr>
              <w:t>624</w:t>
            </w:r>
          </w:p>
        </w:tc>
        <w:tc>
          <w:tcPr>
            <w:tcW w:w="1423" w:type="dxa"/>
            <w:shd w:val="clear" w:color="auto" w:fill="auto"/>
            <w:tcMar>
              <w:top w:w="15" w:type="dxa"/>
              <w:left w:w="15" w:type="dxa"/>
              <w:bottom w:w="0" w:type="dxa"/>
              <w:right w:w="15" w:type="dxa"/>
            </w:tcMar>
            <w:vAlign w:val="center"/>
          </w:tcPr>
          <w:p w14:paraId="756AD9CB" w14:textId="6A3B8985" w:rsidR="00283D9D" w:rsidRPr="00D67F50" w:rsidRDefault="00504F59" w:rsidP="00D67F50">
            <w:pPr>
              <w:pStyle w:val="NormalWeb"/>
              <w:spacing w:before="0" w:beforeAutospacing="0" w:after="0" w:afterAutospacing="0"/>
              <w:ind w:left="-15" w:right="556"/>
              <w:jc w:val="right"/>
              <w:textAlignment w:val="bottom"/>
              <w:rPr>
                <w:rFonts w:ascii="Arial" w:hAnsi="Arial" w:cs="Arial"/>
                <w:sz w:val="20"/>
                <w:szCs w:val="20"/>
              </w:rPr>
            </w:pPr>
            <w:r w:rsidRPr="00D67F50">
              <w:rPr>
                <w:rFonts w:ascii="Arial" w:hAnsi="Arial" w:cs="Arial"/>
                <w:sz w:val="20"/>
                <w:szCs w:val="20"/>
              </w:rPr>
              <w:t>16.1</w:t>
            </w:r>
          </w:p>
        </w:tc>
      </w:tr>
      <w:tr w:rsidR="007F53F2" w:rsidRPr="003E6102" w14:paraId="5240CD2F" w14:textId="77777777" w:rsidTr="00D67F50">
        <w:trPr>
          <w:trHeight w:val="283"/>
          <w:jc w:val="center"/>
        </w:trPr>
        <w:tc>
          <w:tcPr>
            <w:tcW w:w="4957" w:type="dxa"/>
            <w:shd w:val="clear" w:color="auto" w:fill="auto"/>
            <w:tcMar>
              <w:top w:w="15" w:type="dxa"/>
              <w:left w:w="15" w:type="dxa"/>
              <w:bottom w:w="0" w:type="dxa"/>
              <w:right w:w="15" w:type="dxa"/>
            </w:tcMar>
            <w:vAlign w:val="center"/>
            <w:hideMark/>
          </w:tcPr>
          <w:p w14:paraId="64828C93" w14:textId="0CA99047" w:rsidR="00283D9D" w:rsidRPr="00D67F50" w:rsidRDefault="00283D9D" w:rsidP="00B10CAA">
            <w:pPr>
              <w:pStyle w:val="Default"/>
              <w:ind w:left="119"/>
              <w:rPr>
                <w:color w:val="auto"/>
                <w:sz w:val="20"/>
                <w:szCs w:val="20"/>
                <w:lang w:eastAsia="es-MX"/>
              </w:rPr>
            </w:pPr>
            <w:r w:rsidRPr="00D67F50">
              <w:rPr>
                <w:color w:val="auto"/>
                <w:sz w:val="20"/>
                <w:szCs w:val="20"/>
                <w:lang w:eastAsia="es-MX"/>
              </w:rPr>
              <w:t>Valor de activos fijos totales</w:t>
            </w:r>
          </w:p>
        </w:tc>
        <w:tc>
          <w:tcPr>
            <w:tcW w:w="1275" w:type="dxa"/>
            <w:shd w:val="clear" w:color="auto" w:fill="auto"/>
            <w:tcMar>
              <w:top w:w="15" w:type="dxa"/>
              <w:left w:w="15" w:type="dxa"/>
              <w:bottom w:w="0" w:type="dxa"/>
              <w:right w:w="15" w:type="dxa"/>
            </w:tcMar>
            <w:vAlign w:val="center"/>
          </w:tcPr>
          <w:p w14:paraId="7F57E087" w14:textId="69FF3471" w:rsidR="00283D9D" w:rsidRPr="00D67F50" w:rsidRDefault="00267F9D" w:rsidP="00283D9D">
            <w:pPr>
              <w:pStyle w:val="NormalWeb"/>
              <w:spacing w:before="0" w:beforeAutospacing="0" w:after="0" w:afterAutospacing="0"/>
              <w:jc w:val="center"/>
              <w:textAlignment w:val="bottom"/>
              <w:rPr>
                <w:rFonts w:ascii="Arial" w:eastAsiaTheme="minorHAnsi" w:hAnsi="Arial" w:cs="Arial"/>
                <w:sz w:val="20"/>
                <w:szCs w:val="20"/>
              </w:rPr>
            </w:pPr>
            <w:r w:rsidRPr="00D67F50">
              <w:rPr>
                <w:rFonts w:ascii="Arial" w:eastAsiaTheme="minorHAnsi" w:hAnsi="Arial" w:cs="Arial"/>
                <w:sz w:val="20"/>
                <w:szCs w:val="20"/>
              </w:rPr>
              <w:t>1</w:t>
            </w:r>
            <w:r w:rsidR="00A43509" w:rsidRPr="00D67F50">
              <w:rPr>
                <w:rFonts w:ascii="Arial" w:eastAsiaTheme="minorHAnsi" w:hAnsi="Arial" w:cs="Arial"/>
                <w:sz w:val="20"/>
                <w:szCs w:val="20"/>
              </w:rPr>
              <w:t>14</w:t>
            </w:r>
          </w:p>
        </w:tc>
        <w:tc>
          <w:tcPr>
            <w:tcW w:w="1134" w:type="dxa"/>
            <w:vAlign w:val="center"/>
          </w:tcPr>
          <w:p w14:paraId="694DA848" w14:textId="54933D87" w:rsidR="00283D9D" w:rsidRPr="00D67F50" w:rsidRDefault="004352F9" w:rsidP="00283D9D">
            <w:pPr>
              <w:pStyle w:val="NormalWeb"/>
              <w:spacing w:before="0" w:beforeAutospacing="0" w:after="0" w:afterAutospacing="0"/>
              <w:jc w:val="center"/>
              <w:textAlignment w:val="bottom"/>
              <w:rPr>
                <w:rFonts w:ascii="Arial" w:eastAsiaTheme="minorHAnsi" w:hAnsi="Arial" w:cs="Arial"/>
                <w:sz w:val="20"/>
                <w:szCs w:val="20"/>
              </w:rPr>
            </w:pPr>
            <w:r w:rsidRPr="00D67F50">
              <w:rPr>
                <w:rFonts w:ascii="Arial" w:eastAsiaTheme="minorHAnsi" w:hAnsi="Arial" w:cs="Arial"/>
                <w:sz w:val="20"/>
                <w:szCs w:val="20"/>
              </w:rPr>
              <w:t>11</w:t>
            </w:r>
            <w:r w:rsidR="00A43509" w:rsidRPr="00D67F50">
              <w:rPr>
                <w:rFonts w:ascii="Arial" w:eastAsiaTheme="minorHAnsi" w:hAnsi="Arial" w:cs="Arial"/>
                <w:sz w:val="20"/>
                <w:szCs w:val="20"/>
              </w:rPr>
              <w:t>9</w:t>
            </w:r>
          </w:p>
        </w:tc>
        <w:tc>
          <w:tcPr>
            <w:tcW w:w="1423" w:type="dxa"/>
            <w:shd w:val="clear" w:color="auto" w:fill="auto"/>
            <w:tcMar>
              <w:top w:w="15" w:type="dxa"/>
              <w:left w:w="15" w:type="dxa"/>
              <w:bottom w:w="0" w:type="dxa"/>
              <w:right w:w="15" w:type="dxa"/>
            </w:tcMar>
            <w:vAlign w:val="center"/>
          </w:tcPr>
          <w:p w14:paraId="633DBB21" w14:textId="7B5A41E6" w:rsidR="00283D9D" w:rsidRPr="00D67F50" w:rsidRDefault="00A43509" w:rsidP="00D67F50">
            <w:pPr>
              <w:pStyle w:val="NormalWeb"/>
              <w:spacing w:before="0" w:beforeAutospacing="0" w:after="0" w:afterAutospacing="0"/>
              <w:ind w:left="-15" w:right="556"/>
              <w:jc w:val="right"/>
              <w:textAlignment w:val="bottom"/>
              <w:rPr>
                <w:rFonts w:ascii="Arial" w:eastAsiaTheme="minorHAnsi" w:hAnsi="Arial" w:cs="Arial"/>
                <w:sz w:val="20"/>
                <w:szCs w:val="20"/>
              </w:rPr>
            </w:pPr>
            <w:r w:rsidRPr="00D67F50">
              <w:rPr>
                <w:rFonts w:ascii="Arial" w:eastAsiaTheme="minorHAnsi" w:hAnsi="Arial" w:cs="Arial"/>
                <w:sz w:val="20"/>
                <w:szCs w:val="20"/>
              </w:rPr>
              <w:t>4.5</w:t>
            </w:r>
          </w:p>
        </w:tc>
      </w:tr>
    </w:tbl>
    <w:p w14:paraId="2199AA84" w14:textId="61C9CF45" w:rsidR="00D17214" w:rsidRPr="00D17214" w:rsidRDefault="00D009A4" w:rsidP="00D009A4">
      <w:pPr>
        <w:pStyle w:val="Default"/>
        <w:jc w:val="both"/>
        <w:rPr>
          <w:color w:val="auto"/>
          <w:sz w:val="16"/>
          <w:szCs w:val="16"/>
          <w:lang w:eastAsia="es-MX"/>
        </w:rPr>
      </w:pPr>
      <w:r w:rsidRPr="00B14B1C">
        <w:rPr>
          <w:color w:val="auto"/>
          <w:sz w:val="16"/>
          <w:szCs w:val="16"/>
          <w:vertAlign w:val="superscript"/>
          <w:lang w:eastAsia="es-MX"/>
        </w:rPr>
        <w:t>p/</w:t>
      </w:r>
      <w:r w:rsidR="00AD1DD3" w:rsidRPr="00B14B1C">
        <w:rPr>
          <w:color w:val="auto"/>
          <w:sz w:val="16"/>
          <w:szCs w:val="16"/>
          <w:vertAlign w:val="superscript"/>
          <w:lang w:eastAsia="es-MX"/>
        </w:rPr>
        <w:t xml:space="preserve"> </w:t>
      </w:r>
      <w:r w:rsidRPr="00B14B1C">
        <w:rPr>
          <w:color w:val="auto"/>
          <w:sz w:val="16"/>
          <w:szCs w:val="16"/>
          <w:lang w:eastAsia="es-MX"/>
        </w:rPr>
        <w:t>Cifras preliminares</w:t>
      </w:r>
    </w:p>
    <w:p w14:paraId="4625188A" w14:textId="556686AD" w:rsidR="00D009A4" w:rsidRDefault="00D009A4" w:rsidP="00D009A4">
      <w:pPr>
        <w:pStyle w:val="Default"/>
        <w:jc w:val="both"/>
        <w:rPr>
          <w:color w:val="auto"/>
          <w:sz w:val="16"/>
          <w:szCs w:val="16"/>
          <w:lang w:eastAsia="es-MX"/>
        </w:rPr>
      </w:pPr>
      <w:r w:rsidRPr="00B14B1C">
        <w:rPr>
          <w:color w:val="auto"/>
          <w:sz w:val="16"/>
          <w:szCs w:val="16"/>
          <w:lang w:eastAsia="es-MX"/>
        </w:rPr>
        <w:t xml:space="preserve">Fuente: </w:t>
      </w:r>
      <w:r w:rsidRPr="005430F9">
        <w:rPr>
          <w:color w:val="auto"/>
          <w:sz w:val="16"/>
          <w:szCs w:val="16"/>
          <w:lang w:eastAsia="es-MX"/>
        </w:rPr>
        <w:t>INEGI</w:t>
      </w:r>
    </w:p>
    <w:p w14:paraId="003ECF7D" w14:textId="77777777" w:rsidR="00BF3A90" w:rsidRPr="00B14B1C" w:rsidRDefault="00BF3A90" w:rsidP="00D009A4">
      <w:pPr>
        <w:pStyle w:val="Default"/>
        <w:jc w:val="both"/>
        <w:rPr>
          <w:b/>
          <w:color w:val="auto"/>
          <w:sz w:val="16"/>
          <w:szCs w:val="16"/>
          <w:lang w:eastAsia="es-MX"/>
        </w:rPr>
      </w:pPr>
    </w:p>
    <w:p w14:paraId="79D99C88" w14:textId="77777777" w:rsidR="00752A92" w:rsidRDefault="00752A92" w:rsidP="00BF3A90">
      <w:pPr>
        <w:pStyle w:val="Default"/>
        <w:ind w:left="-567" w:right="-518"/>
        <w:jc w:val="both"/>
        <w:rPr>
          <w:lang w:eastAsia="es-MX"/>
        </w:rPr>
      </w:pPr>
    </w:p>
    <w:p w14:paraId="2AAD1D3D" w14:textId="582BACB7" w:rsidR="00DF2C02" w:rsidRPr="005430F9" w:rsidRDefault="0024476D" w:rsidP="005430F9">
      <w:pPr>
        <w:pStyle w:val="Default"/>
        <w:ind w:left="-567" w:right="-518"/>
        <w:jc w:val="both"/>
        <w:rPr>
          <w:lang w:eastAsia="es-MX"/>
        </w:rPr>
      </w:pPr>
      <w:r w:rsidRPr="005430F9">
        <w:rPr>
          <w:lang w:eastAsia="es-MX"/>
        </w:rPr>
        <w:t xml:space="preserve">En comparación con </w:t>
      </w:r>
      <w:r w:rsidR="00BF3A90" w:rsidRPr="005430F9">
        <w:rPr>
          <w:lang w:eastAsia="es-MX"/>
        </w:rPr>
        <w:t>2020</w:t>
      </w:r>
      <w:r w:rsidRPr="005430F9">
        <w:rPr>
          <w:lang w:eastAsia="es-MX"/>
        </w:rPr>
        <w:t>, en 2021 e</w:t>
      </w:r>
      <w:r w:rsidR="0007762A" w:rsidRPr="005430F9">
        <w:rPr>
          <w:lang w:eastAsia="es-MX"/>
        </w:rPr>
        <w:t xml:space="preserve">l personal ocupado total </w:t>
      </w:r>
      <w:r w:rsidR="00EA5E7A" w:rsidRPr="005430F9">
        <w:rPr>
          <w:lang w:eastAsia="es-MX"/>
        </w:rPr>
        <w:t>de</w:t>
      </w:r>
      <w:r w:rsidR="0007762A" w:rsidRPr="005430F9">
        <w:rPr>
          <w:lang w:eastAsia="es-MX"/>
        </w:rPr>
        <w:t xml:space="preserve"> las empresas constructoras </w:t>
      </w:r>
      <w:r w:rsidR="00DF2C02" w:rsidRPr="005430F9">
        <w:rPr>
          <w:lang w:eastAsia="es-MX"/>
        </w:rPr>
        <w:t>aument</w:t>
      </w:r>
      <w:r w:rsidRPr="005430F9">
        <w:rPr>
          <w:lang w:eastAsia="es-MX"/>
        </w:rPr>
        <w:t>ó</w:t>
      </w:r>
      <w:r w:rsidR="00DF2C02" w:rsidRPr="005430F9">
        <w:rPr>
          <w:lang w:eastAsia="es-MX"/>
        </w:rPr>
        <w:t xml:space="preserve"> </w:t>
      </w:r>
      <w:r w:rsidR="00C7280A" w:rsidRPr="005430F9">
        <w:rPr>
          <w:lang w:eastAsia="es-MX"/>
        </w:rPr>
        <w:t>1.8</w:t>
      </w:r>
      <w:r w:rsidR="00DF2C02" w:rsidRPr="005430F9">
        <w:rPr>
          <w:lang w:eastAsia="es-MX"/>
        </w:rPr>
        <w:t xml:space="preserve"> por ciento. Por subsector, </w:t>
      </w:r>
      <w:r w:rsidRPr="005430F9">
        <w:rPr>
          <w:lang w:eastAsia="es-MX"/>
        </w:rPr>
        <w:t>el único que creció fue</w:t>
      </w:r>
      <w:r w:rsidR="00DF2C02" w:rsidRPr="005430F9">
        <w:rPr>
          <w:lang w:eastAsia="es-MX"/>
        </w:rPr>
        <w:t xml:space="preserve"> </w:t>
      </w:r>
      <w:r w:rsidR="00DF2C02" w:rsidRPr="006F4FC9">
        <w:rPr>
          <w:i/>
          <w:lang w:eastAsia="es-MX"/>
        </w:rPr>
        <w:t>Construcción de obras de ingeniería civil</w:t>
      </w:r>
      <w:r w:rsidR="005430F9">
        <w:rPr>
          <w:lang w:eastAsia="es-MX"/>
        </w:rPr>
        <w:t>,</w:t>
      </w:r>
      <w:r w:rsidR="00DF2C02" w:rsidRPr="005430F9">
        <w:rPr>
          <w:lang w:eastAsia="es-MX"/>
        </w:rPr>
        <w:t xml:space="preserve"> con 6.9</w:t>
      </w:r>
      <w:r w:rsidRPr="005430F9">
        <w:rPr>
          <w:lang w:eastAsia="es-MX"/>
        </w:rPr>
        <w:t xml:space="preserve"> por ciento</w:t>
      </w:r>
      <w:r w:rsidR="00DF2C02" w:rsidRPr="005430F9">
        <w:rPr>
          <w:lang w:eastAsia="es-MX"/>
        </w:rPr>
        <w:t>.</w:t>
      </w:r>
    </w:p>
    <w:p w14:paraId="25189C89" w14:textId="2C56FBC7" w:rsidR="00DF2C02" w:rsidRDefault="00DF2C02" w:rsidP="005F38B2">
      <w:pPr>
        <w:pStyle w:val="Default"/>
        <w:jc w:val="center"/>
        <w:rPr>
          <w:b/>
          <w:color w:val="auto"/>
          <w:sz w:val="22"/>
          <w:lang w:eastAsia="es-MX"/>
        </w:rPr>
      </w:pPr>
    </w:p>
    <w:p w14:paraId="2005CA33" w14:textId="192AD641" w:rsidR="00752A92" w:rsidRDefault="00752A92" w:rsidP="005F38B2">
      <w:pPr>
        <w:pStyle w:val="Default"/>
        <w:jc w:val="center"/>
        <w:rPr>
          <w:b/>
          <w:color w:val="auto"/>
          <w:sz w:val="22"/>
          <w:lang w:eastAsia="es-MX"/>
        </w:rPr>
      </w:pPr>
    </w:p>
    <w:p w14:paraId="1B6A3948" w14:textId="55244570" w:rsidR="00752A92" w:rsidRDefault="00752A92" w:rsidP="005F38B2">
      <w:pPr>
        <w:pStyle w:val="Default"/>
        <w:jc w:val="center"/>
        <w:rPr>
          <w:b/>
          <w:color w:val="auto"/>
          <w:sz w:val="22"/>
          <w:lang w:eastAsia="es-MX"/>
        </w:rPr>
      </w:pPr>
    </w:p>
    <w:p w14:paraId="6B88C20F" w14:textId="7889BA9F" w:rsidR="00752A92" w:rsidRDefault="00752A92" w:rsidP="005F38B2">
      <w:pPr>
        <w:pStyle w:val="Default"/>
        <w:jc w:val="center"/>
        <w:rPr>
          <w:b/>
          <w:color w:val="auto"/>
          <w:sz w:val="22"/>
          <w:lang w:eastAsia="es-MX"/>
        </w:rPr>
      </w:pPr>
    </w:p>
    <w:p w14:paraId="56C96BA8" w14:textId="77777777" w:rsidR="00752A92" w:rsidRDefault="00752A92" w:rsidP="005F38B2">
      <w:pPr>
        <w:pStyle w:val="Default"/>
        <w:jc w:val="center"/>
        <w:rPr>
          <w:b/>
          <w:color w:val="auto"/>
          <w:sz w:val="22"/>
          <w:lang w:eastAsia="es-MX"/>
        </w:rPr>
      </w:pPr>
    </w:p>
    <w:p w14:paraId="2672A35A" w14:textId="0D919548" w:rsidR="005F38B2" w:rsidRPr="005430F9" w:rsidRDefault="005F38B2" w:rsidP="005F38B2">
      <w:pPr>
        <w:pStyle w:val="Default"/>
        <w:jc w:val="center"/>
        <w:rPr>
          <w:color w:val="auto"/>
          <w:sz w:val="20"/>
          <w:szCs w:val="20"/>
          <w:lang w:eastAsia="es-MX"/>
        </w:rPr>
      </w:pPr>
      <w:r w:rsidRPr="005430F9">
        <w:rPr>
          <w:color w:val="auto"/>
          <w:sz w:val="20"/>
          <w:szCs w:val="20"/>
          <w:lang w:eastAsia="es-MX"/>
        </w:rPr>
        <w:lastRenderedPageBreak/>
        <w:t xml:space="preserve">Cuadro 2 </w:t>
      </w:r>
    </w:p>
    <w:p w14:paraId="16F16CCB" w14:textId="77777777" w:rsidR="003A575A" w:rsidRPr="005430F9" w:rsidRDefault="00FA691B" w:rsidP="00FA691B">
      <w:pPr>
        <w:pStyle w:val="Default"/>
        <w:jc w:val="center"/>
        <w:rPr>
          <w:rFonts w:ascii="Arial Negrita" w:hAnsi="Arial Negrita"/>
          <w:b/>
          <w:smallCaps/>
          <w:color w:val="auto"/>
          <w:sz w:val="22"/>
          <w:lang w:eastAsia="es-MX"/>
        </w:rPr>
      </w:pPr>
      <w:r w:rsidRPr="005430F9">
        <w:rPr>
          <w:rFonts w:ascii="Arial Negrita" w:hAnsi="Arial Negrita"/>
          <w:b/>
          <w:smallCaps/>
          <w:color w:val="auto"/>
          <w:sz w:val="22"/>
          <w:lang w:eastAsia="es-MX"/>
        </w:rPr>
        <w:t>Personal ocupado total</w:t>
      </w:r>
      <w:r w:rsidR="002652BF" w:rsidRPr="005430F9">
        <w:rPr>
          <w:rFonts w:ascii="Arial Negrita" w:hAnsi="Arial Negrita"/>
          <w:b/>
          <w:smallCaps/>
          <w:color w:val="auto"/>
          <w:sz w:val="22"/>
          <w:lang w:eastAsia="es-MX"/>
        </w:rPr>
        <w:t xml:space="preserve"> de las empresas constructoras</w:t>
      </w:r>
      <w:r w:rsidR="00EA5E7A" w:rsidRPr="005430F9">
        <w:rPr>
          <w:rFonts w:ascii="Arial Negrita" w:hAnsi="Arial Negrita"/>
          <w:b/>
          <w:smallCaps/>
          <w:color w:val="auto"/>
          <w:sz w:val="22"/>
          <w:lang w:eastAsia="es-MX"/>
        </w:rPr>
        <w:t xml:space="preserve"> </w:t>
      </w:r>
      <w:r w:rsidR="00982528" w:rsidRPr="005430F9">
        <w:rPr>
          <w:rFonts w:ascii="Arial Negrita" w:hAnsi="Arial Negrita"/>
          <w:b/>
          <w:smallCaps/>
          <w:color w:val="auto"/>
          <w:sz w:val="22"/>
          <w:lang w:eastAsia="es-MX"/>
        </w:rPr>
        <w:t>por</w:t>
      </w:r>
      <w:r w:rsidRPr="005430F9">
        <w:rPr>
          <w:rFonts w:ascii="Arial Negrita" w:hAnsi="Arial Negrita"/>
          <w:b/>
          <w:smallCaps/>
          <w:color w:val="auto"/>
          <w:sz w:val="22"/>
          <w:lang w:eastAsia="es-MX"/>
        </w:rPr>
        <w:t xml:space="preserve"> subsector</w:t>
      </w:r>
    </w:p>
    <w:p w14:paraId="46E76AF5" w14:textId="77777777" w:rsidR="00956FF0" w:rsidRPr="005430F9" w:rsidRDefault="00956FF0" w:rsidP="00FA691B">
      <w:pPr>
        <w:pStyle w:val="Default"/>
        <w:jc w:val="center"/>
        <w:rPr>
          <w:color w:val="auto"/>
          <w:sz w:val="18"/>
          <w:szCs w:val="18"/>
          <w:lang w:eastAsia="es-MX"/>
        </w:rPr>
      </w:pPr>
      <w:r w:rsidRPr="005430F9">
        <w:rPr>
          <w:color w:val="auto"/>
          <w:sz w:val="18"/>
          <w:szCs w:val="18"/>
          <w:lang w:eastAsia="es-MX"/>
        </w:rPr>
        <w:t>(Miles de personas)</w:t>
      </w:r>
    </w:p>
    <w:tbl>
      <w:tblPr>
        <w:tblW w:w="8086" w:type="dxa"/>
        <w:jc w:val="center"/>
        <w:tblCellMar>
          <w:left w:w="70" w:type="dxa"/>
          <w:right w:w="70" w:type="dxa"/>
        </w:tblCellMar>
        <w:tblLook w:val="04A0" w:firstRow="1" w:lastRow="0" w:firstColumn="1" w:lastColumn="0" w:noHBand="0" w:noVBand="1"/>
      </w:tblPr>
      <w:tblGrid>
        <w:gridCol w:w="4673"/>
        <w:gridCol w:w="1134"/>
        <w:gridCol w:w="1067"/>
        <w:gridCol w:w="1212"/>
      </w:tblGrid>
      <w:tr w:rsidR="00E01FB1" w:rsidRPr="00CF4417" w14:paraId="462FE6DE" w14:textId="77777777" w:rsidTr="00B10CAA">
        <w:trPr>
          <w:trHeight w:val="232"/>
          <w:jc w:val="center"/>
        </w:trPr>
        <w:tc>
          <w:tcPr>
            <w:tcW w:w="4673" w:type="dxa"/>
            <w:tcBorders>
              <w:top w:val="single" w:sz="4" w:space="0" w:color="auto"/>
              <w:left w:val="single" w:sz="4" w:space="0" w:color="auto"/>
              <w:bottom w:val="single" w:sz="4" w:space="0" w:color="auto"/>
              <w:right w:val="single" w:sz="4" w:space="0" w:color="auto"/>
            </w:tcBorders>
            <w:shd w:val="clear" w:color="auto" w:fill="FFB13F"/>
            <w:vAlign w:val="center"/>
            <w:hideMark/>
          </w:tcPr>
          <w:p w14:paraId="36FF1039" w14:textId="77777777" w:rsidR="00903A81" w:rsidRPr="00D67F50" w:rsidRDefault="00903A81" w:rsidP="00903A81">
            <w:pPr>
              <w:spacing w:after="0" w:line="240" w:lineRule="auto"/>
              <w:jc w:val="center"/>
              <w:rPr>
                <w:rFonts w:ascii="Arial" w:eastAsia="Times New Roman" w:hAnsi="Arial" w:cs="Arial"/>
                <w:b/>
                <w:bCs/>
                <w:sz w:val="20"/>
                <w:szCs w:val="20"/>
                <w:lang w:eastAsia="es-MX"/>
              </w:rPr>
            </w:pPr>
            <w:r w:rsidRPr="00D67F50">
              <w:rPr>
                <w:rFonts w:ascii="Arial" w:eastAsia="Times New Roman" w:hAnsi="Arial" w:cs="Arial"/>
                <w:b/>
                <w:bCs/>
                <w:sz w:val="20"/>
                <w:szCs w:val="20"/>
                <w:lang w:eastAsia="es-MX"/>
              </w:rPr>
              <w:t>Sector y subsector</w:t>
            </w:r>
          </w:p>
        </w:tc>
        <w:tc>
          <w:tcPr>
            <w:tcW w:w="1134" w:type="dxa"/>
            <w:tcBorders>
              <w:top w:val="single" w:sz="4" w:space="0" w:color="auto"/>
              <w:left w:val="nil"/>
              <w:bottom w:val="single" w:sz="4" w:space="0" w:color="auto"/>
              <w:right w:val="single" w:sz="4" w:space="0" w:color="auto"/>
            </w:tcBorders>
            <w:shd w:val="clear" w:color="auto" w:fill="FFB13F"/>
            <w:vAlign w:val="center"/>
            <w:hideMark/>
          </w:tcPr>
          <w:p w14:paraId="721E1EAA" w14:textId="343AB842" w:rsidR="00903A81" w:rsidRPr="00D67F50" w:rsidRDefault="00903A81" w:rsidP="00903A81">
            <w:pPr>
              <w:spacing w:after="0" w:line="240" w:lineRule="auto"/>
              <w:jc w:val="center"/>
              <w:rPr>
                <w:rFonts w:ascii="Arial" w:eastAsia="Times New Roman" w:hAnsi="Arial" w:cs="Arial"/>
                <w:b/>
                <w:bCs/>
                <w:sz w:val="20"/>
                <w:szCs w:val="20"/>
                <w:lang w:eastAsia="es-MX"/>
              </w:rPr>
            </w:pPr>
            <w:r w:rsidRPr="00D67F50">
              <w:rPr>
                <w:rFonts w:ascii="Arial" w:eastAsia="Times New Roman" w:hAnsi="Arial" w:cs="Arial"/>
                <w:b/>
                <w:bCs/>
                <w:sz w:val="20"/>
                <w:szCs w:val="20"/>
                <w:lang w:eastAsia="es-MX"/>
              </w:rPr>
              <w:t>20</w:t>
            </w:r>
            <w:r w:rsidR="00C7280A" w:rsidRPr="00D67F50">
              <w:rPr>
                <w:rFonts w:ascii="Arial" w:eastAsia="Times New Roman" w:hAnsi="Arial" w:cs="Arial"/>
                <w:b/>
                <w:bCs/>
                <w:sz w:val="20"/>
                <w:szCs w:val="20"/>
                <w:lang w:eastAsia="es-MX"/>
              </w:rPr>
              <w:t>20</w:t>
            </w:r>
          </w:p>
        </w:tc>
        <w:tc>
          <w:tcPr>
            <w:tcW w:w="1067" w:type="dxa"/>
            <w:tcBorders>
              <w:top w:val="single" w:sz="4" w:space="0" w:color="auto"/>
              <w:left w:val="nil"/>
              <w:bottom w:val="single" w:sz="4" w:space="0" w:color="auto"/>
              <w:right w:val="single" w:sz="4" w:space="0" w:color="auto"/>
            </w:tcBorders>
            <w:shd w:val="clear" w:color="auto" w:fill="FFB13F"/>
            <w:vAlign w:val="center"/>
            <w:hideMark/>
          </w:tcPr>
          <w:p w14:paraId="088B564C" w14:textId="73BA83C3" w:rsidR="00903A81" w:rsidRPr="00D67F50" w:rsidRDefault="00903A81" w:rsidP="00FF5CF1">
            <w:pPr>
              <w:spacing w:after="0" w:line="240" w:lineRule="auto"/>
              <w:jc w:val="center"/>
              <w:rPr>
                <w:rFonts w:ascii="Arial" w:eastAsia="Times New Roman" w:hAnsi="Arial" w:cs="Arial"/>
                <w:b/>
                <w:bCs/>
                <w:sz w:val="20"/>
                <w:szCs w:val="20"/>
                <w:lang w:eastAsia="es-MX"/>
              </w:rPr>
            </w:pPr>
            <w:r w:rsidRPr="00D67F50">
              <w:rPr>
                <w:rFonts w:ascii="Arial" w:hAnsi="Arial" w:cs="Arial"/>
                <w:b/>
                <w:bCs/>
                <w:sz w:val="20"/>
                <w:szCs w:val="20"/>
                <w:lang w:eastAsia="es-MX"/>
              </w:rPr>
              <w:t>202</w:t>
            </w:r>
            <w:r w:rsidR="00C7280A" w:rsidRPr="00D67F50">
              <w:rPr>
                <w:rFonts w:ascii="Arial" w:hAnsi="Arial" w:cs="Arial"/>
                <w:b/>
                <w:bCs/>
                <w:sz w:val="20"/>
                <w:szCs w:val="20"/>
                <w:lang w:eastAsia="es-MX"/>
              </w:rPr>
              <w:t>1</w:t>
            </w:r>
            <w:r w:rsidR="00FF5CF1" w:rsidRPr="00D67F50">
              <w:rPr>
                <w:rFonts w:eastAsia="Times New Roman"/>
                <w:b/>
                <w:bCs/>
                <w:sz w:val="20"/>
                <w:szCs w:val="20"/>
                <w:vertAlign w:val="superscript"/>
                <w:lang w:eastAsia="es-MX"/>
              </w:rPr>
              <w:t>p</w:t>
            </w:r>
            <w:r w:rsidRPr="00D67F50">
              <w:rPr>
                <w:rFonts w:eastAsia="Times New Roman"/>
                <w:b/>
                <w:bCs/>
                <w:sz w:val="20"/>
                <w:szCs w:val="20"/>
                <w:vertAlign w:val="superscript"/>
                <w:lang w:eastAsia="es-MX"/>
              </w:rPr>
              <w:t>/</w:t>
            </w:r>
          </w:p>
        </w:tc>
        <w:tc>
          <w:tcPr>
            <w:tcW w:w="1212" w:type="dxa"/>
            <w:tcBorders>
              <w:top w:val="single" w:sz="4" w:space="0" w:color="auto"/>
              <w:left w:val="nil"/>
              <w:bottom w:val="single" w:sz="4" w:space="0" w:color="auto"/>
              <w:right w:val="single" w:sz="4" w:space="0" w:color="auto"/>
            </w:tcBorders>
            <w:shd w:val="clear" w:color="auto" w:fill="FFB13F"/>
            <w:vAlign w:val="center"/>
            <w:hideMark/>
          </w:tcPr>
          <w:p w14:paraId="647A62DF" w14:textId="77777777" w:rsidR="00903A81" w:rsidRPr="00D67F50" w:rsidRDefault="00903A81" w:rsidP="00903A81">
            <w:pPr>
              <w:spacing w:after="0" w:line="240" w:lineRule="auto"/>
              <w:jc w:val="center"/>
              <w:rPr>
                <w:rFonts w:ascii="Arial" w:eastAsia="Times New Roman" w:hAnsi="Arial" w:cs="Arial"/>
                <w:b/>
                <w:bCs/>
                <w:sz w:val="20"/>
                <w:szCs w:val="20"/>
                <w:lang w:eastAsia="es-MX"/>
              </w:rPr>
            </w:pPr>
            <w:r w:rsidRPr="00D67F50">
              <w:rPr>
                <w:rFonts w:ascii="Arial" w:eastAsia="Times New Roman" w:hAnsi="Arial" w:cs="Arial"/>
                <w:b/>
                <w:bCs/>
                <w:sz w:val="20"/>
                <w:szCs w:val="20"/>
                <w:lang w:eastAsia="es-MX"/>
              </w:rPr>
              <w:t>Variación porcentual</w:t>
            </w:r>
          </w:p>
        </w:tc>
      </w:tr>
      <w:tr w:rsidR="00903A81" w:rsidRPr="00CF4417" w14:paraId="143F53D1" w14:textId="77777777" w:rsidTr="00507451">
        <w:trPr>
          <w:trHeight w:val="340"/>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6B8B508" w14:textId="3623F72E" w:rsidR="00903A81" w:rsidRPr="00D67F50" w:rsidRDefault="00903A81" w:rsidP="00903A81">
            <w:pPr>
              <w:spacing w:after="0" w:line="240" w:lineRule="auto"/>
              <w:rPr>
                <w:rFonts w:ascii="Arial" w:eastAsia="Times New Roman" w:hAnsi="Arial" w:cs="Arial"/>
                <w:b/>
                <w:bCs/>
                <w:sz w:val="20"/>
                <w:szCs w:val="20"/>
                <w:lang w:eastAsia="es-MX"/>
              </w:rPr>
            </w:pPr>
            <w:r w:rsidRPr="00D67F50">
              <w:rPr>
                <w:rFonts w:ascii="Arial" w:eastAsia="Times New Roman" w:hAnsi="Arial" w:cs="Arial"/>
                <w:b/>
                <w:bCs/>
                <w:sz w:val="20"/>
                <w:szCs w:val="20"/>
                <w:lang w:eastAsia="es-MX"/>
              </w:rPr>
              <w:t>Construcción</w:t>
            </w:r>
          </w:p>
        </w:tc>
        <w:tc>
          <w:tcPr>
            <w:tcW w:w="1134" w:type="dxa"/>
            <w:tcBorders>
              <w:top w:val="nil"/>
              <w:left w:val="nil"/>
              <w:bottom w:val="single" w:sz="4" w:space="0" w:color="auto"/>
              <w:right w:val="single" w:sz="4" w:space="0" w:color="auto"/>
            </w:tcBorders>
            <w:shd w:val="clear" w:color="auto" w:fill="auto"/>
            <w:noWrap/>
            <w:vAlign w:val="center"/>
            <w:hideMark/>
          </w:tcPr>
          <w:p w14:paraId="6705BA56" w14:textId="78D4270A" w:rsidR="00903A81" w:rsidRPr="00D67F50" w:rsidRDefault="00C7280A" w:rsidP="00903A81">
            <w:pPr>
              <w:spacing w:after="0" w:line="240" w:lineRule="auto"/>
              <w:jc w:val="center"/>
              <w:rPr>
                <w:rFonts w:ascii="Arial" w:eastAsia="Times New Roman" w:hAnsi="Arial" w:cs="Arial"/>
                <w:b/>
                <w:bCs/>
                <w:sz w:val="20"/>
                <w:szCs w:val="20"/>
                <w:lang w:eastAsia="es-MX"/>
              </w:rPr>
            </w:pPr>
            <w:r w:rsidRPr="00D67F50">
              <w:rPr>
                <w:rFonts w:ascii="Arial" w:eastAsia="Times New Roman" w:hAnsi="Arial" w:cs="Arial"/>
                <w:b/>
                <w:bCs/>
                <w:sz w:val="20"/>
                <w:szCs w:val="20"/>
                <w:lang w:eastAsia="es-MX"/>
              </w:rPr>
              <w:t>544</w:t>
            </w:r>
          </w:p>
        </w:tc>
        <w:tc>
          <w:tcPr>
            <w:tcW w:w="1067" w:type="dxa"/>
            <w:tcBorders>
              <w:top w:val="nil"/>
              <w:left w:val="nil"/>
              <w:bottom w:val="single" w:sz="4" w:space="0" w:color="auto"/>
              <w:right w:val="single" w:sz="4" w:space="0" w:color="auto"/>
            </w:tcBorders>
            <w:shd w:val="clear" w:color="auto" w:fill="auto"/>
            <w:noWrap/>
            <w:vAlign w:val="center"/>
            <w:hideMark/>
          </w:tcPr>
          <w:p w14:paraId="61CA6B8D" w14:textId="38EA496D" w:rsidR="00903A81" w:rsidRPr="00D67F50" w:rsidRDefault="00903A81" w:rsidP="00956FF0">
            <w:pPr>
              <w:spacing w:after="0" w:line="240" w:lineRule="auto"/>
              <w:jc w:val="center"/>
              <w:rPr>
                <w:rFonts w:ascii="Arial" w:eastAsia="Times New Roman" w:hAnsi="Arial" w:cs="Arial"/>
                <w:b/>
                <w:bCs/>
                <w:sz w:val="20"/>
                <w:szCs w:val="20"/>
                <w:lang w:eastAsia="es-MX"/>
              </w:rPr>
            </w:pPr>
            <w:r w:rsidRPr="00D67F50">
              <w:rPr>
                <w:rFonts w:ascii="Arial" w:eastAsia="Times New Roman" w:hAnsi="Arial" w:cs="Arial"/>
                <w:b/>
                <w:bCs/>
                <w:sz w:val="20"/>
                <w:szCs w:val="20"/>
                <w:lang w:eastAsia="es-MX"/>
              </w:rPr>
              <w:t>5</w:t>
            </w:r>
            <w:r w:rsidR="00C7280A" w:rsidRPr="00D67F50">
              <w:rPr>
                <w:rFonts w:ascii="Arial" w:eastAsia="Times New Roman" w:hAnsi="Arial" w:cs="Arial"/>
                <w:b/>
                <w:bCs/>
                <w:sz w:val="20"/>
                <w:szCs w:val="20"/>
                <w:lang w:eastAsia="es-MX"/>
              </w:rPr>
              <w:t>54</w:t>
            </w:r>
          </w:p>
        </w:tc>
        <w:tc>
          <w:tcPr>
            <w:tcW w:w="1212" w:type="dxa"/>
            <w:tcBorders>
              <w:top w:val="nil"/>
              <w:left w:val="nil"/>
              <w:bottom w:val="single" w:sz="4" w:space="0" w:color="auto"/>
              <w:right w:val="single" w:sz="4" w:space="0" w:color="auto"/>
            </w:tcBorders>
            <w:shd w:val="clear" w:color="auto" w:fill="auto"/>
            <w:noWrap/>
            <w:vAlign w:val="center"/>
            <w:hideMark/>
          </w:tcPr>
          <w:p w14:paraId="2D8CF929" w14:textId="716C3522" w:rsidR="00903A81" w:rsidRPr="00D67F50" w:rsidRDefault="00C7280A" w:rsidP="00B10CAA">
            <w:pPr>
              <w:spacing w:after="0" w:line="240" w:lineRule="auto"/>
              <w:ind w:left="-284" w:right="364"/>
              <w:jc w:val="right"/>
              <w:rPr>
                <w:rFonts w:ascii="Arial" w:eastAsia="Times New Roman" w:hAnsi="Arial" w:cs="Arial"/>
                <w:b/>
                <w:bCs/>
                <w:sz w:val="20"/>
                <w:szCs w:val="20"/>
                <w:lang w:eastAsia="es-MX"/>
              </w:rPr>
            </w:pPr>
            <w:r w:rsidRPr="00D67F50">
              <w:rPr>
                <w:rFonts w:ascii="Arial" w:eastAsia="Times New Roman" w:hAnsi="Arial" w:cs="Arial"/>
                <w:b/>
                <w:bCs/>
                <w:sz w:val="20"/>
                <w:szCs w:val="20"/>
                <w:lang w:eastAsia="es-MX"/>
              </w:rPr>
              <w:t>1.8</w:t>
            </w:r>
          </w:p>
        </w:tc>
      </w:tr>
      <w:tr w:rsidR="00903A81" w:rsidRPr="00CF4417" w14:paraId="20B4D3E9" w14:textId="77777777" w:rsidTr="00507451">
        <w:trPr>
          <w:trHeight w:val="340"/>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C7F3C0F" w14:textId="1CCE7E33" w:rsidR="00903A81" w:rsidRPr="00D67F50" w:rsidRDefault="00903A81" w:rsidP="00903A81">
            <w:pPr>
              <w:spacing w:after="0" w:line="240" w:lineRule="auto"/>
              <w:ind w:left="61"/>
              <w:rPr>
                <w:rFonts w:ascii="Arial" w:eastAsia="Times New Roman" w:hAnsi="Arial" w:cs="Arial"/>
                <w:sz w:val="20"/>
                <w:szCs w:val="20"/>
                <w:lang w:eastAsia="es-MX"/>
              </w:rPr>
            </w:pPr>
            <w:r w:rsidRPr="00D67F50">
              <w:rPr>
                <w:rFonts w:ascii="Arial" w:eastAsia="Times New Roman" w:hAnsi="Arial" w:cs="Arial"/>
                <w:sz w:val="20"/>
                <w:szCs w:val="20"/>
                <w:lang w:eastAsia="es-MX"/>
              </w:rPr>
              <w:t>Edificación</w:t>
            </w:r>
          </w:p>
        </w:tc>
        <w:tc>
          <w:tcPr>
            <w:tcW w:w="1134" w:type="dxa"/>
            <w:tcBorders>
              <w:top w:val="nil"/>
              <w:left w:val="nil"/>
              <w:bottom w:val="single" w:sz="4" w:space="0" w:color="auto"/>
              <w:right w:val="single" w:sz="4" w:space="0" w:color="auto"/>
            </w:tcBorders>
            <w:shd w:val="clear" w:color="auto" w:fill="auto"/>
            <w:noWrap/>
            <w:vAlign w:val="center"/>
            <w:hideMark/>
          </w:tcPr>
          <w:p w14:paraId="18300210" w14:textId="74990363" w:rsidR="00903A81" w:rsidRPr="00D67F50" w:rsidRDefault="00C7280A" w:rsidP="00903A81">
            <w:pPr>
              <w:spacing w:after="0" w:line="240" w:lineRule="auto"/>
              <w:jc w:val="center"/>
              <w:rPr>
                <w:rFonts w:ascii="Arial" w:eastAsia="Times New Roman" w:hAnsi="Arial" w:cs="Arial"/>
                <w:sz w:val="20"/>
                <w:szCs w:val="20"/>
                <w:lang w:eastAsia="es-MX"/>
              </w:rPr>
            </w:pPr>
            <w:r w:rsidRPr="00D67F50">
              <w:rPr>
                <w:rFonts w:ascii="Arial" w:eastAsia="Times New Roman" w:hAnsi="Arial" w:cs="Arial"/>
                <w:sz w:val="20"/>
                <w:szCs w:val="20"/>
                <w:lang w:eastAsia="es-MX"/>
              </w:rPr>
              <w:t>287</w:t>
            </w:r>
          </w:p>
        </w:tc>
        <w:tc>
          <w:tcPr>
            <w:tcW w:w="1067" w:type="dxa"/>
            <w:tcBorders>
              <w:top w:val="nil"/>
              <w:left w:val="nil"/>
              <w:bottom w:val="single" w:sz="4" w:space="0" w:color="auto"/>
              <w:right w:val="single" w:sz="4" w:space="0" w:color="auto"/>
            </w:tcBorders>
            <w:shd w:val="clear" w:color="auto" w:fill="auto"/>
            <w:noWrap/>
            <w:vAlign w:val="center"/>
            <w:hideMark/>
          </w:tcPr>
          <w:p w14:paraId="04CBE7E6" w14:textId="020FE5A0" w:rsidR="00903A81" w:rsidRPr="00D67F50" w:rsidRDefault="00903A81" w:rsidP="00956FF0">
            <w:pPr>
              <w:spacing w:after="0" w:line="240" w:lineRule="auto"/>
              <w:jc w:val="center"/>
              <w:rPr>
                <w:rFonts w:ascii="Arial" w:eastAsia="Times New Roman" w:hAnsi="Arial" w:cs="Arial"/>
                <w:sz w:val="20"/>
                <w:szCs w:val="20"/>
                <w:lang w:eastAsia="es-MX"/>
              </w:rPr>
            </w:pPr>
            <w:r w:rsidRPr="00D67F50">
              <w:rPr>
                <w:rFonts w:ascii="Arial" w:eastAsia="Times New Roman" w:hAnsi="Arial" w:cs="Arial"/>
                <w:sz w:val="20"/>
                <w:szCs w:val="20"/>
                <w:lang w:eastAsia="es-MX"/>
              </w:rPr>
              <w:t>28</w:t>
            </w:r>
            <w:r w:rsidR="00C7280A" w:rsidRPr="00D67F50">
              <w:rPr>
                <w:rFonts w:ascii="Arial" w:eastAsia="Times New Roman" w:hAnsi="Arial" w:cs="Arial"/>
                <w:sz w:val="20"/>
                <w:szCs w:val="20"/>
                <w:lang w:eastAsia="es-MX"/>
              </w:rPr>
              <w:t>5</w:t>
            </w:r>
          </w:p>
        </w:tc>
        <w:tc>
          <w:tcPr>
            <w:tcW w:w="1212" w:type="dxa"/>
            <w:tcBorders>
              <w:top w:val="nil"/>
              <w:left w:val="nil"/>
              <w:bottom w:val="single" w:sz="4" w:space="0" w:color="auto"/>
              <w:right w:val="single" w:sz="4" w:space="0" w:color="auto"/>
            </w:tcBorders>
            <w:shd w:val="clear" w:color="auto" w:fill="auto"/>
            <w:noWrap/>
            <w:vAlign w:val="center"/>
            <w:hideMark/>
          </w:tcPr>
          <w:p w14:paraId="1D8C0BFE" w14:textId="4F95E767" w:rsidR="00903A81" w:rsidRPr="00D67F50" w:rsidRDefault="00956FF0" w:rsidP="00B10CAA">
            <w:pPr>
              <w:spacing w:after="0" w:line="240" w:lineRule="auto"/>
              <w:ind w:left="-284" w:right="364"/>
              <w:jc w:val="right"/>
              <w:rPr>
                <w:rFonts w:ascii="Arial" w:eastAsia="Times New Roman" w:hAnsi="Arial" w:cs="Arial"/>
                <w:sz w:val="20"/>
                <w:szCs w:val="20"/>
                <w:lang w:eastAsia="es-MX"/>
              </w:rPr>
            </w:pPr>
            <w:r w:rsidRPr="00D67F50">
              <w:rPr>
                <w:rFonts w:ascii="Arial" w:eastAsia="Times New Roman" w:hAnsi="Arial" w:cs="Arial"/>
                <w:sz w:val="20"/>
                <w:szCs w:val="20"/>
                <w:lang w:eastAsia="es-MX"/>
              </w:rPr>
              <w:t>-</w:t>
            </w:r>
            <w:r w:rsidR="00C7280A" w:rsidRPr="00D67F50">
              <w:rPr>
                <w:rFonts w:ascii="Arial" w:eastAsia="Times New Roman" w:hAnsi="Arial" w:cs="Arial"/>
                <w:sz w:val="20"/>
                <w:szCs w:val="20"/>
                <w:lang w:eastAsia="es-MX"/>
              </w:rPr>
              <w:t>0</w:t>
            </w:r>
            <w:r w:rsidRPr="00D67F50">
              <w:rPr>
                <w:rFonts w:ascii="Arial" w:eastAsia="Times New Roman" w:hAnsi="Arial" w:cs="Arial"/>
                <w:sz w:val="20"/>
                <w:szCs w:val="20"/>
                <w:lang w:eastAsia="es-MX"/>
              </w:rPr>
              <w:t>.</w:t>
            </w:r>
            <w:r w:rsidR="00C7280A" w:rsidRPr="00D67F50">
              <w:rPr>
                <w:rFonts w:ascii="Arial" w:eastAsia="Times New Roman" w:hAnsi="Arial" w:cs="Arial"/>
                <w:sz w:val="20"/>
                <w:szCs w:val="20"/>
                <w:lang w:eastAsia="es-MX"/>
              </w:rPr>
              <w:t>6</w:t>
            </w:r>
          </w:p>
        </w:tc>
      </w:tr>
      <w:tr w:rsidR="00903A81" w:rsidRPr="00CF4417" w14:paraId="45B31A54" w14:textId="77777777" w:rsidTr="00507451">
        <w:trPr>
          <w:trHeight w:val="340"/>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43253CE" w14:textId="38CC1FE1" w:rsidR="00903A81" w:rsidRPr="00D67F50" w:rsidRDefault="00903A81" w:rsidP="00903A81">
            <w:pPr>
              <w:spacing w:after="0" w:line="240" w:lineRule="auto"/>
              <w:ind w:left="61"/>
              <w:rPr>
                <w:rFonts w:ascii="Arial" w:eastAsia="Times New Roman" w:hAnsi="Arial" w:cs="Arial"/>
                <w:sz w:val="20"/>
                <w:szCs w:val="20"/>
                <w:lang w:eastAsia="es-MX"/>
              </w:rPr>
            </w:pPr>
            <w:r w:rsidRPr="00D67F50">
              <w:rPr>
                <w:rFonts w:ascii="Arial" w:eastAsia="Times New Roman" w:hAnsi="Arial" w:cs="Arial"/>
                <w:sz w:val="20"/>
                <w:szCs w:val="20"/>
                <w:lang w:eastAsia="es-MX"/>
              </w:rPr>
              <w:t>Construcción de obras de ingeniería civil</w:t>
            </w:r>
          </w:p>
        </w:tc>
        <w:tc>
          <w:tcPr>
            <w:tcW w:w="1134" w:type="dxa"/>
            <w:tcBorders>
              <w:top w:val="nil"/>
              <w:left w:val="nil"/>
              <w:bottom w:val="single" w:sz="4" w:space="0" w:color="auto"/>
              <w:right w:val="single" w:sz="4" w:space="0" w:color="auto"/>
            </w:tcBorders>
            <w:shd w:val="clear" w:color="auto" w:fill="auto"/>
            <w:noWrap/>
            <w:vAlign w:val="center"/>
            <w:hideMark/>
          </w:tcPr>
          <w:p w14:paraId="29C5EE96" w14:textId="37224F26" w:rsidR="00903A81" w:rsidRPr="00D67F50" w:rsidRDefault="00C7280A" w:rsidP="00903A81">
            <w:pPr>
              <w:spacing w:after="0" w:line="240" w:lineRule="auto"/>
              <w:jc w:val="center"/>
              <w:rPr>
                <w:rFonts w:ascii="Arial" w:eastAsia="Times New Roman" w:hAnsi="Arial" w:cs="Arial"/>
                <w:sz w:val="20"/>
                <w:szCs w:val="20"/>
                <w:lang w:eastAsia="es-MX"/>
              </w:rPr>
            </w:pPr>
            <w:r w:rsidRPr="00D67F50">
              <w:rPr>
                <w:rFonts w:ascii="Arial" w:eastAsia="Times New Roman" w:hAnsi="Arial" w:cs="Arial"/>
                <w:sz w:val="20"/>
                <w:szCs w:val="20"/>
                <w:lang w:eastAsia="es-MX"/>
              </w:rPr>
              <w:t>182</w:t>
            </w:r>
          </w:p>
        </w:tc>
        <w:tc>
          <w:tcPr>
            <w:tcW w:w="1067" w:type="dxa"/>
            <w:tcBorders>
              <w:top w:val="nil"/>
              <w:left w:val="nil"/>
              <w:bottom w:val="single" w:sz="4" w:space="0" w:color="auto"/>
              <w:right w:val="single" w:sz="4" w:space="0" w:color="auto"/>
            </w:tcBorders>
            <w:shd w:val="clear" w:color="auto" w:fill="auto"/>
            <w:noWrap/>
            <w:vAlign w:val="center"/>
            <w:hideMark/>
          </w:tcPr>
          <w:p w14:paraId="295EC7C9" w14:textId="06D7EF5A" w:rsidR="00903A81" w:rsidRPr="00D67F50" w:rsidRDefault="00C7280A" w:rsidP="00903A81">
            <w:pPr>
              <w:spacing w:after="0" w:line="240" w:lineRule="auto"/>
              <w:jc w:val="center"/>
              <w:rPr>
                <w:rFonts w:ascii="Arial" w:eastAsia="Times New Roman" w:hAnsi="Arial" w:cs="Arial"/>
                <w:sz w:val="20"/>
                <w:szCs w:val="20"/>
                <w:lang w:eastAsia="es-MX"/>
              </w:rPr>
            </w:pPr>
            <w:r w:rsidRPr="00D67F50">
              <w:rPr>
                <w:rFonts w:ascii="Arial" w:eastAsia="Times New Roman" w:hAnsi="Arial" w:cs="Arial"/>
                <w:sz w:val="20"/>
                <w:szCs w:val="20"/>
                <w:lang w:eastAsia="es-MX"/>
              </w:rPr>
              <w:t>19</w:t>
            </w:r>
            <w:r w:rsidR="00504F59" w:rsidRPr="00D67F50">
              <w:rPr>
                <w:rFonts w:ascii="Arial" w:eastAsia="Times New Roman" w:hAnsi="Arial" w:cs="Arial"/>
                <w:sz w:val="20"/>
                <w:szCs w:val="20"/>
                <w:lang w:eastAsia="es-MX"/>
              </w:rPr>
              <w:t>5</w:t>
            </w:r>
          </w:p>
        </w:tc>
        <w:tc>
          <w:tcPr>
            <w:tcW w:w="1212" w:type="dxa"/>
            <w:tcBorders>
              <w:top w:val="nil"/>
              <w:left w:val="nil"/>
              <w:bottom w:val="single" w:sz="4" w:space="0" w:color="auto"/>
              <w:right w:val="single" w:sz="4" w:space="0" w:color="auto"/>
            </w:tcBorders>
            <w:shd w:val="clear" w:color="auto" w:fill="auto"/>
            <w:noWrap/>
            <w:vAlign w:val="center"/>
            <w:hideMark/>
          </w:tcPr>
          <w:p w14:paraId="342334F3" w14:textId="5F666464" w:rsidR="00903A81" w:rsidRPr="00D67F50" w:rsidRDefault="00C7280A" w:rsidP="00B10CAA">
            <w:pPr>
              <w:spacing w:after="0" w:line="240" w:lineRule="auto"/>
              <w:ind w:left="-284" w:right="364"/>
              <w:jc w:val="right"/>
              <w:rPr>
                <w:rFonts w:ascii="Arial" w:eastAsia="Times New Roman" w:hAnsi="Arial" w:cs="Arial"/>
                <w:sz w:val="20"/>
                <w:szCs w:val="20"/>
                <w:lang w:eastAsia="es-MX"/>
              </w:rPr>
            </w:pPr>
            <w:r w:rsidRPr="00D67F50">
              <w:rPr>
                <w:rFonts w:ascii="Arial" w:eastAsia="Times New Roman" w:hAnsi="Arial" w:cs="Arial"/>
                <w:sz w:val="20"/>
                <w:szCs w:val="20"/>
                <w:lang w:eastAsia="es-MX"/>
              </w:rPr>
              <w:t>6.9</w:t>
            </w:r>
          </w:p>
        </w:tc>
      </w:tr>
      <w:tr w:rsidR="00903A81" w:rsidRPr="00CF4417" w14:paraId="5204824A" w14:textId="77777777" w:rsidTr="00507451">
        <w:trPr>
          <w:trHeight w:val="340"/>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305F05F" w14:textId="09EFBACE" w:rsidR="00903A81" w:rsidRPr="00D67F50" w:rsidRDefault="00903A81" w:rsidP="00903A81">
            <w:pPr>
              <w:spacing w:after="0" w:line="240" w:lineRule="auto"/>
              <w:ind w:left="61"/>
              <w:rPr>
                <w:rFonts w:ascii="Arial" w:eastAsia="Times New Roman" w:hAnsi="Arial" w:cs="Arial"/>
                <w:sz w:val="20"/>
                <w:szCs w:val="20"/>
                <w:lang w:eastAsia="es-MX"/>
              </w:rPr>
            </w:pPr>
            <w:r w:rsidRPr="00D67F50">
              <w:rPr>
                <w:rFonts w:ascii="Arial" w:eastAsia="Times New Roman" w:hAnsi="Arial" w:cs="Arial"/>
                <w:sz w:val="20"/>
                <w:szCs w:val="20"/>
                <w:lang w:eastAsia="es-MX"/>
              </w:rPr>
              <w:t>Trabajos especializados para la construcción</w:t>
            </w:r>
          </w:p>
        </w:tc>
        <w:tc>
          <w:tcPr>
            <w:tcW w:w="1134" w:type="dxa"/>
            <w:tcBorders>
              <w:top w:val="nil"/>
              <w:left w:val="nil"/>
              <w:bottom w:val="single" w:sz="4" w:space="0" w:color="auto"/>
              <w:right w:val="single" w:sz="4" w:space="0" w:color="auto"/>
            </w:tcBorders>
            <w:shd w:val="clear" w:color="auto" w:fill="auto"/>
            <w:noWrap/>
            <w:vAlign w:val="center"/>
            <w:hideMark/>
          </w:tcPr>
          <w:p w14:paraId="15E3168D" w14:textId="0917F067" w:rsidR="00903A81" w:rsidRPr="00D67F50" w:rsidRDefault="00C7280A" w:rsidP="00903A81">
            <w:pPr>
              <w:spacing w:after="0" w:line="240" w:lineRule="auto"/>
              <w:jc w:val="center"/>
              <w:rPr>
                <w:rFonts w:ascii="Arial" w:eastAsia="Times New Roman" w:hAnsi="Arial" w:cs="Arial"/>
                <w:sz w:val="20"/>
                <w:szCs w:val="20"/>
                <w:lang w:eastAsia="es-MX"/>
              </w:rPr>
            </w:pPr>
            <w:r w:rsidRPr="00D67F50">
              <w:rPr>
                <w:rFonts w:ascii="Arial" w:eastAsia="Times New Roman" w:hAnsi="Arial" w:cs="Arial"/>
                <w:sz w:val="20"/>
                <w:szCs w:val="20"/>
                <w:lang w:eastAsia="es-MX"/>
              </w:rPr>
              <w:t>75</w:t>
            </w:r>
          </w:p>
        </w:tc>
        <w:tc>
          <w:tcPr>
            <w:tcW w:w="1067" w:type="dxa"/>
            <w:tcBorders>
              <w:top w:val="nil"/>
              <w:left w:val="nil"/>
              <w:bottom w:val="single" w:sz="4" w:space="0" w:color="auto"/>
              <w:right w:val="single" w:sz="4" w:space="0" w:color="auto"/>
            </w:tcBorders>
            <w:shd w:val="clear" w:color="auto" w:fill="auto"/>
            <w:noWrap/>
            <w:vAlign w:val="center"/>
            <w:hideMark/>
          </w:tcPr>
          <w:p w14:paraId="43E4CEE1" w14:textId="77777777" w:rsidR="00903A81" w:rsidRPr="00D67F50" w:rsidRDefault="00956FF0" w:rsidP="00903A81">
            <w:pPr>
              <w:spacing w:after="0" w:line="240" w:lineRule="auto"/>
              <w:jc w:val="center"/>
              <w:rPr>
                <w:rFonts w:ascii="Arial" w:eastAsia="Times New Roman" w:hAnsi="Arial" w:cs="Arial"/>
                <w:sz w:val="20"/>
                <w:szCs w:val="20"/>
                <w:lang w:eastAsia="es-MX"/>
              </w:rPr>
            </w:pPr>
            <w:r w:rsidRPr="00D67F50">
              <w:rPr>
                <w:rFonts w:ascii="Arial" w:eastAsia="Times New Roman" w:hAnsi="Arial" w:cs="Arial"/>
                <w:sz w:val="20"/>
                <w:szCs w:val="20"/>
                <w:lang w:eastAsia="es-MX"/>
              </w:rPr>
              <w:t>74</w:t>
            </w:r>
          </w:p>
        </w:tc>
        <w:tc>
          <w:tcPr>
            <w:tcW w:w="1212" w:type="dxa"/>
            <w:tcBorders>
              <w:top w:val="nil"/>
              <w:left w:val="nil"/>
              <w:bottom w:val="single" w:sz="4" w:space="0" w:color="auto"/>
              <w:right w:val="single" w:sz="4" w:space="0" w:color="auto"/>
            </w:tcBorders>
            <w:shd w:val="clear" w:color="auto" w:fill="auto"/>
            <w:noWrap/>
            <w:vAlign w:val="center"/>
            <w:hideMark/>
          </w:tcPr>
          <w:p w14:paraId="3BE16C4C" w14:textId="5837C76F" w:rsidR="00903A81" w:rsidRPr="00D67F50" w:rsidRDefault="00956FF0" w:rsidP="00B10CAA">
            <w:pPr>
              <w:spacing w:after="0" w:line="240" w:lineRule="auto"/>
              <w:ind w:left="-284" w:right="364"/>
              <w:jc w:val="right"/>
              <w:rPr>
                <w:rFonts w:ascii="Arial" w:eastAsia="Times New Roman" w:hAnsi="Arial" w:cs="Arial"/>
                <w:sz w:val="20"/>
                <w:szCs w:val="20"/>
                <w:lang w:eastAsia="es-MX"/>
              </w:rPr>
            </w:pPr>
            <w:r w:rsidRPr="00D67F50">
              <w:rPr>
                <w:rFonts w:ascii="Arial" w:eastAsia="Times New Roman" w:hAnsi="Arial" w:cs="Arial"/>
                <w:sz w:val="20"/>
                <w:szCs w:val="20"/>
                <w:lang w:eastAsia="es-MX"/>
              </w:rPr>
              <w:t>-</w:t>
            </w:r>
            <w:r w:rsidR="00C7280A" w:rsidRPr="00D67F50">
              <w:rPr>
                <w:rFonts w:ascii="Arial" w:eastAsia="Times New Roman" w:hAnsi="Arial" w:cs="Arial"/>
                <w:sz w:val="20"/>
                <w:szCs w:val="20"/>
                <w:lang w:eastAsia="es-MX"/>
              </w:rPr>
              <w:t>1</w:t>
            </w:r>
            <w:r w:rsidRPr="00D67F50">
              <w:rPr>
                <w:rFonts w:ascii="Arial" w:eastAsia="Times New Roman" w:hAnsi="Arial" w:cs="Arial"/>
                <w:sz w:val="20"/>
                <w:szCs w:val="20"/>
                <w:lang w:eastAsia="es-MX"/>
              </w:rPr>
              <w:t>.</w:t>
            </w:r>
            <w:r w:rsidR="00C7280A" w:rsidRPr="00D67F50">
              <w:rPr>
                <w:rFonts w:ascii="Arial" w:eastAsia="Times New Roman" w:hAnsi="Arial" w:cs="Arial"/>
                <w:sz w:val="20"/>
                <w:szCs w:val="20"/>
                <w:lang w:eastAsia="es-MX"/>
              </w:rPr>
              <w:t>5</w:t>
            </w:r>
          </w:p>
        </w:tc>
      </w:tr>
    </w:tbl>
    <w:p w14:paraId="12073331" w14:textId="1E9B6902" w:rsidR="00BD35FE" w:rsidRDefault="00BD35FE" w:rsidP="00EA5E7A">
      <w:pPr>
        <w:pStyle w:val="Default"/>
        <w:tabs>
          <w:tab w:val="left" w:pos="2316"/>
          <w:tab w:val="left" w:pos="5148"/>
        </w:tabs>
        <w:ind w:left="426"/>
        <w:rPr>
          <w:color w:val="auto"/>
          <w:sz w:val="16"/>
          <w:lang w:eastAsia="es-MX"/>
        </w:rPr>
      </w:pPr>
      <w:r>
        <w:rPr>
          <w:color w:val="auto"/>
          <w:sz w:val="16"/>
          <w:vertAlign w:val="superscript"/>
          <w:lang w:eastAsia="es-MX"/>
        </w:rPr>
        <w:t xml:space="preserve">p/ </w:t>
      </w:r>
      <w:r>
        <w:rPr>
          <w:color w:val="auto"/>
          <w:sz w:val="16"/>
          <w:lang w:eastAsia="es-MX"/>
        </w:rPr>
        <w:t xml:space="preserve">Cifras preliminares </w:t>
      </w:r>
      <w:r>
        <w:rPr>
          <w:color w:val="auto"/>
          <w:sz w:val="16"/>
          <w:lang w:eastAsia="es-MX"/>
        </w:rPr>
        <w:tab/>
      </w:r>
      <w:r>
        <w:rPr>
          <w:color w:val="auto"/>
          <w:sz w:val="16"/>
          <w:lang w:eastAsia="es-MX"/>
        </w:rPr>
        <w:tab/>
      </w:r>
    </w:p>
    <w:p w14:paraId="39439E44" w14:textId="763BA57F" w:rsidR="0016478B" w:rsidRDefault="00BD35FE" w:rsidP="00EA5E7A">
      <w:pPr>
        <w:pStyle w:val="Default"/>
        <w:ind w:left="426"/>
        <w:rPr>
          <w:b/>
          <w:color w:val="auto"/>
          <w:sz w:val="22"/>
          <w:lang w:eastAsia="es-MX"/>
        </w:rPr>
      </w:pPr>
      <w:r>
        <w:rPr>
          <w:color w:val="auto"/>
          <w:sz w:val="16"/>
          <w:lang w:eastAsia="es-MX"/>
        </w:rPr>
        <w:t xml:space="preserve">Fuente: </w:t>
      </w:r>
      <w:r w:rsidRPr="005430F9">
        <w:rPr>
          <w:color w:val="auto"/>
          <w:sz w:val="16"/>
          <w:lang w:eastAsia="es-MX"/>
        </w:rPr>
        <w:t>INEGI</w:t>
      </w:r>
    </w:p>
    <w:p w14:paraId="721B6AC5" w14:textId="77777777" w:rsidR="0016478B" w:rsidRPr="005F52E0" w:rsidRDefault="0016478B" w:rsidP="002652BF">
      <w:pPr>
        <w:pStyle w:val="Default"/>
        <w:ind w:left="708"/>
        <w:rPr>
          <w:b/>
          <w:color w:val="auto"/>
          <w:sz w:val="22"/>
          <w:szCs w:val="22"/>
          <w:lang w:eastAsia="es-MX"/>
        </w:rPr>
      </w:pPr>
    </w:p>
    <w:p w14:paraId="24A1EE59" w14:textId="52FB8507" w:rsidR="003B490A" w:rsidRPr="005430F9" w:rsidRDefault="009E15E9" w:rsidP="005430F9">
      <w:pPr>
        <w:pStyle w:val="Pa27"/>
        <w:spacing w:line="240" w:lineRule="auto"/>
        <w:ind w:left="-567" w:right="-660"/>
        <w:jc w:val="both"/>
        <w:rPr>
          <w:rFonts w:eastAsia="Times New Roman"/>
          <w:color w:val="000000"/>
          <w:lang w:val="es-MX" w:eastAsia="es-MX"/>
        </w:rPr>
      </w:pPr>
      <w:r w:rsidRPr="0051111F">
        <w:rPr>
          <w:rFonts w:eastAsia="Times New Roman"/>
          <w:i/>
          <w:iCs/>
          <w:color w:val="000000"/>
          <w:lang w:val="es-MX" w:eastAsia="es-MX"/>
        </w:rPr>
        <w:t>E</w:t>
      </w:r>
      <w:r w:rsidR="0007762A" w:rsidRPr="0051111F">
        <w:rPr>
          <w:rFonts w:eastAsia="Times New Roman"/>
          <w:i/>
          <w:iCs/>
          <w:color w:val="000000"/>
          <w:lang w:val="es-MX" w:eastAsia="es-MX"/>
        </w:rPr>
        <w:t>dificación</w:t>
      </w:r>
      <w:r w:rsidR="0007762A" w:rsidRPr="005430F9">
        <w:rPr>
          <w:rFonts w:eastAsia="Times New Roman"/>
          <w:color w:val="000000"/>
          <w:lang w:val="es-MX" w:eastAsia="es-MX"/>
        </w:rPr>
        <w:t xml:space="preserve"> es el subsector que mayor participación t</w:t>
      </w:r>
      <w:r w:rsidR="00491516">
        <w:rPr>
          <w:rFonts w:eastAsia="Times New Roman"/>
          <w:color w:val="000000"/>
          <w:lang w:val="es-MX" w:eastAsia="es-MX"/>
        </w:rPr>
        <w:t>uvo</w:t>
      </w:r>
      <w:r w:rsidR="0007762A" w:rsidRPr="005430F9">
        <w:rPr>
          <w:rFonts w:eastAsia="Times New Roman"/>
          <w:color w:val="000000"/>
          <w:lang w:val="es-MX" w:eastAsia="es-MX"/>
        </w:rPr>
        <w:t xml:space="preserve"> en el </w:t>
      </w:r>
      <w:r w:rsidR="003B490A" w:rsidRPr="005430F9">
        <w:rPr>
          <w:rFonts w:eastAsia="Times New Roman"/>
          <w:color w:val="000000"/>
          <w:lang w:val="es-MX" w:eastAsia="es-MX"/>
        </w:rPr>
        <w:t xml:space="preserve">total del </w:t>
      </w:r>
      <w:r w:rsidR="0007762A" w:rsidRPr="005430F9">
        <w:rPr>
          <w:rFonts w:eastAsia="Times New Roman"/>
          <w:color w:val="000000"/>
          <w:lang w:val="es-MX" w:eastAsia="es-MX"/>
        </w:rPr>
        <w:t>personal ocupado</w:t>
      </w:r>
      <w:r w:rsidR="003B490A" w:rsidRPr="005430F9">
        <w:rPr>
          <w:rFonts w:eastAsia="Times New Roman"/>
          <w:color w:val="000000"/>
          <w:lang w:val="es-MX" w:eastAsia="es-MX"/>
        </w:rPr>
        <w:t xml:space="preserve"> del sector</w:t>
      </w:r>
      <w:r w:rsidR="004C3C68">
        <w:rPr>
          <w:rFonts w:eastAsia="Times New Roman"/>
          <w:color w:val="000000"/>
          <w:lang w:val="es-MX" w:eastAsia="es-MX"/>
        </w:rPr>
        <w:t>: re</w:t>
      </w:r>
      <w:r w:rsidR="0024476D" w:rsidRPr="005430F9">
        <w:rPr>
          <w:rFonts w:eastAsia="Times New Roman"/>
          <w:color w:val="000000"/>
          <w:lang w:val="es-MX" w:eastAsia="es-MX"/>
        </w:rPr>
        <w:t>present</w:t>
      </w:r>
      <w:r w:rsidR="00491516">
        <w:rPr>
          <w:rFonts w:eastAsia="Times New Roman"/>
          <w:color w:val="000000"/>
          <w:lang w:val="es-MX" w:eastAsia="es-MX"/>
        </w:rPr>
        <w:t>ó</w:t>
      </w:r>
      <w:r w:rsidR="0024476D" w:rsidRPr="005430F9">
        <w:rPr>
          <w:rFonts w:eastAsia="Times New Roman"/>
          <w:color w:val="000000"/>
          <w:lang w:val="es-MX" w:eastAsia="es-MX"/>
        </w:rPr>
        <w:t xml:space="preserve"> </w:t>
      </w:r>
      <w:r w:rsidR="003B490A" w:rsidRPr="005430F9">
        <w:rPr>
          <w:rFonts w:eastAsia="Times New Roman"/>
          <w:color w:val="000000"/>
          <w:lang w:val="es-MX" w:eastAsia="es-MX"/>
        </w:rPr>
        <w:t>51.5</w:t>
      </w:r>
      <w:r w:rsidR="00491516">
        <w:rPr>
          <w:rFonts w:eastAsia="Times New Roman"/>
          <w:color w:val="000000"/>
          <w:lang w:val="es-MX" w:eastAsia="es-MX"/>
        </w:rPr>
        <w:t xml:space="preserve"> </w:t>
      </w:r>
      <w:r w:rsidR="0007762A" w:rsidRPr="005430F9">
        <w:rPr>
          <w:rFonts w:eastAsia="Times New Roman"/>
          <w:color w:val="000000"/>
          <w:lang w:val="es-MX" w:eastAsia="es-MX"/>
        </w:rPr>
        <w:t>% en 202</w:t>
      </w:r>
      <w:r w:rsidR="003B490A" w:rsidRPr="005430F9">
        <w:rPr>
          <w:rFonts w:eastAsia="Times New Roman"/>
          <w:color w:val="000000"/>
          <w:lang w:val="es-MX" w:eastAsia="es-MX"/>
        </w:rPr>
        <w:t>1</w:t>
      </w:r>
      <w:r w:rsidR="004C3C68">
        <w:rPr>
          <w:rFonts w:eastAsia="Times New Roman"/>
          <w:color w:val="000000"/>
          <w:lang w:val="es-MX" w:eastAsia="es-MX"/>
        </w:rPr>
        <w:t>. E</w:t>
      </w:r>
      <w:r w:rsidR="003B490A" w:rsidRPr="005430F9">
        <w:rPr>
          <w:rFonts w:eastAsia="Times New Roman"/>
          <w:color w:val="000000"/>
          <w:lang w:val="es-MX" w:eastAsia="es-MX"/>
        </w:rPr>
        <w:t>l segundo lugar lo ocup</w:t>
      </w:r>
      <w:r w:rsidR="00491516">
        <w:rPr>
          <w:rFonts w:eastAsia="Times New Roman"/>
          <w:color w:val="000000"/>
          <w:lang w:val="es-MX" w:eastAsia="es-MX"/>
        </w:rPr>
        <w:t>ó</w:t>
      </w:r>
      <w:r w:rsidR="005A4E6D" w:rsidRPr="005430F9">
        <w:rPr>
          <w:rFonts w:eastAsia="Times New Roman"/>
          <w:color w:val="000000"/>
          <w:lang w:val="es-MX" w:eastAsia="es-MX"/>
        </w:rPr>
        <w:t xml:space="preserve"> </w:t>
      </w:r>
      <w:r w:rsidR="005A4E6D" w:rsidRPr="006F4FC9">
        <w:rPr>
          <w:rFonts w:eastAsia="Times New Roman"/>
          <w:i/>
          <w:color w:val="000000"/>
          <w:lang w:val="es-MX" w:eastAsia="es-MX"/>
        </w:rPr>
        <w:t>Construcción</w:t>
      </w:r>
      <w:r w:rsidR="0007762A" w:rsidRPr="006F4FC9">
        <w:rPr>
          <w:rFonts w:eastAsia="Times New Roman"/>
          <w:i/>
          <w:color w:val="000000"/>
          <w:lang w:val="es-MX" w:eastAsia="es-MX"/>
        </w:rPr>
        <w:t xml:space="preserve"> de obras de ingeniería civil</w:t>
      </w:r>
      <w:r w:rsidR="004C3C68">
        <w:rPr>
          <w:rFonts w:eastAsia="Times New Roman"/>
          <w:color w:val="000000"/>
          <w:lang w:val="es-MX" w:eastAsia="es-MX"/>
        </w:rPr>
        <w:t>,</w:t>
      </w:r>
      <w:r w:rsidR="003B490A" w:rsidRPr="005430F9">
        <w:rPr>
          <w:rFonts w:eastAsia="Times New Roman"/>
          <w:color w:val="000000"/>
          <w:lang w:val="es-MX" w:eastAsia="es-MX"/>
        </w:rPr>
        <w:t xml:space="preserve"> con una aportación de</w:t>
      </w:r>
      <w:r w:rsidR="00491516">
        <w:rPr>
          <w:rFonts w:eastAsia="Times New Roman"/>
          <w:color w:val="000000"/>
          <w:lang w:val="es-MX" w:eastAsia="es-MX"/>
        </w:rPr>
        <w:t xml:space="preserve"> </w:t>
      </w:r>
      <w:r w:rsidR="003B490A" w:rsidRPr="005430F9">
        <w:rPr>
          <w:rFonts w:eastAsia="Times New Roman"/>
          <w:color w:val="000000"/>
          <w:lang w:val="es-MX" w:eastAsia="es-MX"/>
        </w:rPr>
        <w:t>35.1</w:t>
      </w:r>
      <w:r w:rsidR="000C479E" w:rsidRPr="005430F9">
        <w:rPr>
          <w:rFonts w:eastAsia="Times New Roman"/>
          <w:color w:val="000000"/>
          <w:lang w:val="es-MX" w:eastAsia="es-MX"/>
        </w:rPr>
        <w:t xml:space="preserve"> por ciento.</w:t>
      </w:r>
    </w:p>
    <w:p w14:paraId="37CA6095" w14:textId="77777777" w:rsidR="003B490A" w:rsidRDefault="003B490A" w:rsidP="0007762A">
      <w:pPr>
        <w:pStyle w:val="Pa27"/>
        <w:spacing w:line="240" w:lineRule="auto"/>
        <w:jc w:val="both"/>
        <w:rPr>
          <w:rFonts w:eastAsia="Times New Roman"/>
          <w:color w:val="000000"/>
          <w:sz w:val="22"/>
          <w:szCs w:val="22"/>
          <w:lang w:val="es-MX" w:eastAsia="es-MX"/>
        </w:rPr>
      </w:pPr>
    </w:p>
    <w:p w14:paraId="4942C693" w14:textId="77777777" w:rsidR="00000E6D" w:rsidRPr="005430F9" w:rsidRDefault="00000E6D" w:rsidP="00000E6D">
      <w:pPr>
        <w:pStyle w:val="Default"/>
        <w:jc w:val="center"/>
        <w:rPr>
          <w:color w:val="auto"/>
          <w:sz w:val="20"/>
          <w:szCs w:val="20"/>
          <w:lang w:eastAsia="es-MX"/>
        </w:rPr>
      </w:pPr>
      <w:r w:rsidRPr="005430F9">
        <w:rPr>
          <w:color w:val="auto"/>
          <w:sz w:val="20"/>
          <w:szCs w:val="20"/>
          <w:lang w:eastAsia="es-MX"/>
        </w:rPr>
        <w:t>Gráfica 1</w:t>
      </w:r>
    </w:p>
    <w:p w14:paraId="2D6D6A19" w14:textId="102AD09D" w:rsidR="00000E6D" w:rsidRPr="005268AA" w:rsidRDefault="00000E6D" w:rsidP="00000E6D">
      <w:pPr>
        <w:pStyle w:val="Default"/>
        <w:jc w:val="center"/>
        <w:rPr>
          <w:rFonts w:ascii="Arial Negrita" w:hAnsi="Arial Negrita"/>
          <w:b/>
          <w:smallCaps/>
          <w:color w:val="auto"/>
          <w:sz w:val="22"/>
          <w:szCs w:val="22"/>
          <w:lang w:eastAsia="es-MX"/>
        </w:rPr>
      </w:pPr>
      <w:r w:rsidRPr="005268AA">
        <w:rPr>
          <w:b/>
          <w:color w:val="auto"/>
          <w:sz w:val="22"/>
          <w:szCs w:val="22"/>
          <w:lang w:eastAsia="es-MX"/>
        </w:rPr>
        <w:t xml:space="preserve"> </w:t>
      </w:r>
      <w:r w:rsidR="00491516" w:rsidRPr="005268AA">
        <w:rPr>
          <w:rFonts w:ascii="Arial Negrita" w:hAnsi="Arial Negrita"/>
          <w:b/>
          <w:smallCaps/>
          <w:color w:val="auto"/>
          <w:sz w:val="22"/>
          <w:szCs w:val="22"/>
          <w:lang w:eastAsia="es-MX"/>
        </w:rPr>
        <w:t>P</w:t>
      </w:r>
      <w:r w:rsidRPr="004B1724">
        <w:rPr>
          <w:rFonts w:ascii="Arial Negrita" w:hAnsi="Arial Negrita"/>
          <w:b/>
          <w:smallCaps/>
          <w:sz w:val="22"/>
          <w:szCs w:val="22"/>
          <w:lang w:eastAsia="es-MX"/>
        </w:rPr>
        <w:t>ersonal ocupado</w:t>
      </w:r>
      <w:r w:rsidR="002652BF" w:rsidRPr="004B1724">
        <w:rPr>
          <w:rFonts w:ascii="Arial Negrita" w:hAnsi="Arial Negrita"/>
          <w:b/>
          <w:smallCaps/>
          <w:sz w:val="22"/>
          <w:szCs w:val="22"/>
          <w:lang w:eastAsia="es-MX"/>
        </w:rPr>
        <w:t xml:space="preserve"> total </w:t>
      </w:r>
      <w:r w:rsidRPr="004B1724">
        <w:rPr>
          <w:rFonts w:ascii="Arial Negrita" w:hAnsi="Arial Negrita"/>
          <w:b/>
          <w:smallCaps/>
          <w:sz w:val="22"/>
          <w:szCs w:val="22"/>
          <w:lang w:eastAsia="es-MX"/>
        </w:rPr>
        <w:t xml:space="preserve">de las </w:t>
      </w:r>
      <w:r w:rsidR="002652BF" w:rsidRPr="005268AA">
        <w:rPr>
          <w:rFonts w:ascii="Arial Negrita" w:hAnsi="Arial Negrita"/>
          <w:b/>
          <w:smallCaps/>
          <w:color w:val="auto"/>
          <w:sz w:val="22"/>
          <w:szCs w:val="22"/>
          <w:lang w:eastAsia="es-MX"/>
        </w:rPr>
        <w:t xml:space="preserve">empresas constructoras </w:t>
      </w:r>
      <w:r w:rsidR="00491516" w:rsidRPr="005268AA">
        <w:rPr>
          <w:rFonts w:ascii="Arial Negrita" w:hAnsi="Arial Negrita"/>
          <w:b/>
          <w:smallCaps/>
          <w:color w:val="auto"/>
          <w:sz w:val="22"/>
          <w:szCs w:val="22"/>
          <w:lang w:eastAsia="es-MX"/>
        </w:rPr>
        <w:t xml:space="preserve">según </w:t>
      </w:r>
      <w:r w:rsidR="002652BF" w:rsidRPr="005268AA">
        <w:rPr>
          <w:rFonts w:ascii="Arial Negrita" w:hAnsi="Arial Negrita"/>
          <w:b/>
          <w:smallCaps/>
          <w:color w:val="auto"/>
          <w:sz w:val="22"/>
          <w:szCs w:val="22"/>
          <w:lang w:eastAsia="es-MX"/>
        </w:rPr>
        <w:t>subsector</w:t>
      </w:r>
    </w:p>
    <w:p w14:paraId="598C014B" w14:textId="14FD0824" w:rsidR="00982528" w:rsidRPr="005430F9" w:rsidRDefault="00982528" w:rsidP="00000E6D">
      <w:pPr>
        <w:pStyle w:val="Default"/>
        <w:jc w:val="center"/>
        <w:rPr>
          <w:color w:val="auto"/>
          <w:sz w:val="18"/>
          <w:szCs w:val="18"/>
          <w:lang w:eastAsia="es-MX"/>
        </w:rPr>
      </w:pPr>
      <w:r w:rsidRPr="005430F9">
        <w:rPr>
          <w:color w:val="auto"/>
          <w:sz w:val="18"/>
          <w:szCs w:val="18"/>
          <w:lang w:eastAsia="es-MX"/>
        </w:rPr>
        <w:t>(Porcentaje)</w:t>
      </w:r>
    </w:p>
    <w:p w14:paraId="4A2DF923" w14:textId="77777777" w:rsidR="00141FE7" w:rsidRDefault="00141FE7" w:rsidP="00000E6D">
      <w:pPr>
        <w:pStyle w:val="Default"/>
        <w:jc w:val="center"/>
        <w:rPr>
          <w:b/>
          <w:color w:val="auto"/>
          <w:sz w:val="22"/>
          <w:lang w:eastAsia="es-MX"/>
        </w:rPr>
      </w:pPr>
    </w:p>
    <w:p w14:paraId="0428260F" w14:textId="6792C55C" w:rsidR="002D3BEA" w:rsidRDefault="002D3BEA" w:rsidP="002D3BEA">
      <w:pPr>
        <w:pStyle w:val="Default"/>
        <w:rPr>
          <w:b/>
          <w:color w:val="auto"/>
          <w:sz w:val="22"/>
          <w:lang w:eastAsia="es-MX"/>
        </w:rPr>
      </w:pPr>
      <w:r w:rsidRPr="00ED2C92">
        <w:rPr>
          <w:b/>
          <w:noProof/>
        </w:rPr>
        <w:drawing>
          <wp:inline distT="0" distB="0" distL="0" distR="0" wp14:anchorId="543986E4" wp14:editId="49257707">
            <wp:extent cx="2494915" cy="1995038"/>
            <wp:effectExtent l="0" t="0" r="635" b="5715"/>
            <wp:docPr id="6" name="Gráfico 6">
              <a:extLst xmlns:a="http://schemas.openxmlformats.org/drawingml/2006/main">
                <a:ext uri="{FF2B5EF4-FFF2-40B4-BE49-F238E27FC236}">
                  <a16:creationId xmlns:a16="http://schemas.microsoft.com/office/drawing/2014/main" id="{40B5C35E-418A-7F10-1461-AFB1F269F8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141FE7">
        <w:rPr>
          <w:b/>
          <w:color w:val="auto"/>
          <w:sz w:val="22"/>
          <w:lang w:eastAsia="es-MX"/>
        </w:rPr>
        <w:t xml:space="preserve">     </w:t>
      </w:r>
      <w:r>
        <w:rPr>
          <w:b/>
          <w:color w:val="auto"/>
          <w:sz w:val="22"/>
          <w:lang w:eastAsia="es-MX"/>
        </w:rPr>
        <w:t xml:space="preserve">   </w:t>
      </w:r>
      <w:r>
        <w:rPr>
          <w:noProof/>
        </w:rPr>
        <w:drawing>
          <wp:inline distT="0" distB="0" distL="0" distR="0" wp14:anchorId="66309541" wp14:editId="13E23DE3">
            <wp:extent cx="2778826" cy="1983179"/>
            <wp:effectExtent l="0" t="0" r="2540" b="0"/>
            <wp:docPr id="13" name="Gráfico 13">
              <a:extLst xmlns:a="http://schemas.openxmlformats.org/drawingml/2006/main">
                <a:ext uri="{FF2B5EF4-FFF2-40B4-BE49-F238E27FC236}">
                  <a16:creationId xmlns:a16="http://schemas.microsoft.com/office/drawing/2014/main" id="{DACBCA15-9383-F7AC-FB9B-309F2B2793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B87590" w14:textId="786915BF" w:rsidR="00000E6D" w:rsidRDefault="00281D23" w:rsidP="004957A7">
      <w:pPr>
        <w:pStyle w:val="Default"/>
        <w:jc w:val="center"/>
        <w:rPr>
          <w:b/>
          <w:color w:val="auto"/>
          <w:sz w:val="22"/>
          <w:lang w:eastAsia="es-MX"/>
        </w:rPr>
      </w:pPr>
      <w:r w:rsidRPr="00114736">
        <w:rPr>
          <w:noProof/>
        </w:rPr>
        <w:drawing>
          <wp:inline distT="0" distB="0" distL="0" distR="0" wp14:anchorId="7274489B" wp14:editId="0C94AB0E">
            <wp:extent cx="2409825" cy="430689"/>
            <wp:effectExtent l="0" t="0" r="0" b="7620"/>
            <wp:docPr id="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Aplicación&#10;&#10;Descripción generada automáticamente"/>
                    <pic:cNvPicPr/>
                  </pic:nvPicPr>
                  <pic:blipFill rotWithShape="1">
                    <a:blip r:embed="rId10"/>
                    <a:srcRect l="8794" t="63727" r="58166" b="25770"/>
                    <a:stretch/>
                  </pic:blipFill>
                  <pic:spPr bwMode="auto">
                    <a:xfrm>
                      <a:off x="0" y="0"/>
                      <a:ext cx="2464063" cy="440383"/>
                    </a:xfrm>
                    <a:prstGeom prst="rect">
                      <a:avLst/>
                    </a:prstGeom>
                    <a:ln>
                      <a:noFill/>
                    </a:ln>
                    <a:extLst>
                      <a:ext uri="{53640926-AAD7-44D8-BBD7-CCE9431645EC}">
                        <a14:shadowObscured xmlns:a14="http://schemas.microsoft.com/office/drawing/2010/main"/>
                      </a:ext>
                    </a:extLst>
                  </pic:spPr>
                </pic:pic>
              </a:graphicData>
            </a:graphic>
          </wp:inline>
        </w:drawing>
      </w:r>
    </w:p>
    <w:p w14:paraId="6382FCF0" w14:textId="77777777" w:rsidR="00664CE3" w:rsidRDefault="00664CE3" w:rsidP="00664CE3">
      <w:pPr>
        <w:pStyle w:val="Default"/>
        <w:jc w:val="both"/>
        <w:rPr>
          <w:color w:val="auto"/>
          <w:sz w:val="22"/>
          <w:lang w:eastAsia="es-MX"/>
        </w:rPr>
      </w:pPr>
    </w:p>
    <w:p w14:paraId="332E651F" w14:textId="4B18353D" w:rsidR="00FB748F" w:rsidRDefault="00FB748F" w:rsidP="00982528">
      <w:pPr>
        <w:pStyle w:val="Default"/>
        <w:tabs>
          <w:tab w:val="left" w:pos="2316"/>
          <w:tab w:val="left" w:pos="5148"/>
        </w:tabs>
        <w:ind w:left="1134"/>
        <w:rPr>
          <w:color w:val="auto"/>
          <w:sz w:val="16"/>
          <w:lang w:eastAsia="es-MX"/>
        </w:rPr>
      </w:pPr>
      <w:r>
        <w:rPr>
          <w:color w:val="auto"/>
          <w:sz w:val="16"/>
          <w:vertAlign w:val="superscript"/>
          <w:lang w:eastAsia="es-MX"/>
        </w:rPr>
        <w:t xml:space="preserve">p/ </w:t>
      </w:r>
      <w:r>
        <w:rPr>
          <w:color w:val="auto"/>
          <w:sz w:val="16"/>
          <w:lang w:eastAsia="es-MX"/>
        </w:rPr>
        <w:t xml:space="preserve">Cifras preliminares </w:t>
      </w:r>
      <w:r>
        <w:rPr>
          <w:color w:val="auto"/>
          <w:sz w:val="16"/>
          <w:lang w:eastAsia="es-MX"/>
        </w:rPr>
        <w:tab/>
      </w:r>
      <w:r>
        <w:rPr>
          <w:color w:val="auto"/>
          <w:sz w:val="16"/>
          <w:lang w:eastAsia="es-MX"/>
        </w:rPr>
        <w:tab/>
      </w:r>
    </w:p>
    <w:p w14:paraId="15EA1940" w14:textId="5591CF15" w:rsidR="00FB748F" w:rsidRDefault="00FB748F" w:rsidP="00982528">
      <w:pPr>
        <w:pStyle w:val="Default"/>
        <w:ind w:left="1134"/>
        <w:rPr>
          <w:b/>
          <w:color w:val="auto"/>
          <w:sz w:val="22"/>
          <w:lang w:eastAsia="es-MX"/>
        </w:rPr>
      </w:pPr>
      <w:r>
        <w:rPr>
          <w:color w:val="auto"/>
          <w:sz w:val="16"/>
          <w:lang w:eastAsia="es-MX"/>
        </w:rPr>
        <w:t xml:space="preserve">Fuente: </w:t>
      </w:r>
      <w:r w:rsidRPr="005430F9">
        <w:rPr>
          <w:color w:val="auto"/>
          <w:sz w:val="16"/>
          <w:lang w:eastAsia="es-MX"/>
        </w:rPr>
        <w:t>INEGI</w:t>
      </w:r>
    </w:p>
    <w:p w14:paraId="50D76E90" w14:textId="77777777" w:rsidR="00664CE3" w:rsidRDefault="00664CE3" w:rsidP="00664CE3">
      <w:pPr>
        <w:pStyle w:val="Default"/>
        <w:jc w:val="center"/>
        <w:rPr>
          <w:b/>
          <w:color w:val="auto"/>
          <w:sz w:val="22"/>
          <w:lang w:eastAsia="es-MX"/>
        </w:rPr>
      </w:pPr>
    </w:p>
    <w:p w14:paraId="73B95AA2" w14:textId="2849D20F" w:rsidR="007D067F" w:rsidRPr="005430F9" w:rsidRDefault="002B0357" w:rsidP="005430F9">
      <w:pPr>
        <w:pStyle w:val="Pa27"/>
        <w:spacing w:line="240" w:lineRule="auto"/>
        <w:ind w:left="-567" w:right="-518"/>
        <w:jc w:val="both"/>
        <w:rPr>
          <w:rFonts w:eastAsia="Times New Roman"/>
          <w:color w:val="000000"/>
          <w:lang w:val="es-MX" w:eastAsia="es-MX"/>
        </w:rPr>
      </w:pPr>
      <w:r w:rsidRPr="005430F9">
        <w:rPr>
          <w:rFonts w:eastAsia="Times New Roman"/>
          <w:color w:val="000000"/>
          <w:lang w:val="es-MX" w:eastAsia="es-MX"/>
        </w:rPr>
        <w:t>Como se observa en el cuadro 3, p</w:t>
      </w:r>
      <w:r w:rsidR="00CE7830" w:rsidRPr="005430F9">
        <w:rPr>
          <w:rFonts w:eastAsia="Times New Roman"/>
          <w:color w:val="000000"/>
          <w:lang w:val="es-MX" w:eastAsia="es-MX"/>
        </w:rPr>
        <w:t>or tipo de contratación</w:t>
      </w:r>
      <w:r w:rsidR="004C3C68">
        <w:rPr>
          <w:rFonts w:eastAsia="Times New Roman"/>
          <w:color w:val="000000"/>
          <w:lang w:val="es-MX" w:eastAsia="es-MX"/>
        </w:rPr>
        <w:t xml:space="preserve"> y</w:t>
      </w:r>
      <w:r w:rsidR="00CE7830" w:rsidRPr="005430F9">
        <w:rPr>
          <w:rFonts w:eastAsia="Times New Roman"/>
          <w:color w:val="000000"/>
          <w:lang w:val="es-MX" w:eastAsia="es-MX"/>
        </w:rPr>
        <w:t xml:space="preserve"> </w:t>
      </w:r>
      <w:r w:rsidR="00893CE6" w:rsidRPr="005430F9">
        <w:rPr>
          <w:rFonts w:eastAsia="Times New Roman"/>
          <w:color w:val="000000"/>
          <w:lang w:val="es-MX" w:eastAsia="es-MX"/>
        </w:rPr>
        <w:t xml:space="preserve">a nivel del sector, </w:t>
      </w:r>
      <w:r w:rsidR="00943C8D">
        <w:rPr>
          <w:rFonts w:eastAsia="Times New Roman"/>
          <w:color w:val="000000"/>
          <w:lang w:val="es-MX" w:eastAsia="es-MX"/>
        </w:rPr>
        <w:t>el p</w:t>
      </w:r>
      <w:r w:rsidR="004C3C68">
        <w:rPr>
          <w:rFonts w:eastAsia="Times New Roman"/>
          <w:color w:val="000000"/>
          <w:lang w:val="es-MX" w:eastAsia="es-MX"/>
        </w:rPr>
        <w:t>e</w:t>
      </w:r>
      <w:r w:rsidR="00CE7830" w:rsidRPr="005430F9">
        <w:rPr>
          <w:rFonts w:eastAsia="Times New Roman"/>
          <w:color w:val="000000"/>
          <w:lang w:val="es-MX" w:eastAsia="es-MX"/>
        </w:rPr>
        <w:t xml:space="preserve">rsonal dependiente </w:t>
      </w:r>
      <w:r w:rsidR="000E699D" w:rsidRPr="005430F9">
        <w:rPr>
          <w:rFonts w:eastAsia="Times New Roman"/>
          <w:color w:val="000000"/>
          <w:lang w:val="es-MX" w:eastAsia="es-MX"/>
        </w:rPr>
        <w:t>de</w:t>
      </w:r>
      <w:r w:rsidR="00CE7830" w:rsidRPr="005430F9">
        <w:rPr>
          <w:rFonts w:eastAsia="Times New Roman"/>
          <w:color w:val="000000"/>
          <w:lang w:val="es-MX" w:eastAsia="es-MX"/>
        </w:rPr>
        <w:t xml:space="preserve"> las empresas constructoras </w:t>
      </w:r>
      <w:r w:rsidR="0024476D" w:rsidRPr="005430F9">
        <w:rPr>
          <w:rFonts w:eastAsia="Times New Roman"/>
          <w:color w:val="000000"/>
          <w:lang w:val="es-MX" w:eastAsia="es-MX"/>
        </w:rPr>
        <w:t>represent</w:t>
      </w:r>
      <w:r w:rsidR="00491516">
        <w:rPr>
          <w:rFonts w:eastAsia="Times New Roman"/>
          <w:color w:val="000000"/>
          <w:lang w:val="es-MX" w:eastAsia="es-MX"/>
        </w:rPr>
        <w:t>ó</w:t>
      </w:r>
      <w:r w:rsidR="0024476D" w:rsidRPr="005430F9">
        <w:rPr>
          <w:rFonts w:eastAsia="Times New Roman"/>
          <w:color w:val="000000"/>
          <w:lang w:val="es-MX" w:eastAsia="es-MX"/>
        </w:rPr>
        <w:t xml:space="preserve"> </w:t>
      </w:r>
      <w:r w:rsidR="001F06D4" w:rsidRPr="005430F9">
        <w:rPr>
          <w:rFonts w:eastAsia="Times New Roman"/>
          <w:color w:val="000000"/>
          <w:lang w:val="es-MX" w:eastAsia="es-MX"/>
        </w:rPr>
        <w:t>84.5</w:t>
      </w:r>
      <w:r w:rsidR="007D067F" w:rsidRPr="005430F9">
        <w:rPr>
          <w:rFonts w:eastAsia="Times New Roman"/>
          <w:color w:val="000000"/>
          <w:lang w:val="es-MX" w:eastAsia="es-MX"/>
        </w:rPr>
        <w:t xml:space="preserve"> y </w:t>
      </w:r>
      <w:r w:rsidR="001F06D4" w:rsidRPr="005430F9">
        <w:rPr>
          <w:rFonts w:eastAsia="Times New Roman"/>
          <w:color w:val="000000"/>
          <w:lang w:val="es-MX" w:eastAsia="es-MX"/>
        </w:rPr>
        <w:t>87.6</w:t>
      </w:r>
      <w:r w:rsidR="00491516">
        <w:rPr>
          <w:rFonts w:eastAsia="Times New Roman"/>
          <w:color w:val="000000"/>
          <w:lang w:val="es-MX" w:eastAsia="es-MX"/>
        </w:rPr>
        <w:t xml:space="preserve"> </w:t>
      </w:r>
      <w:r w:rsidR="007D067F" w:rsidRPr="005430F9">
        <w:rPr>
          <w:rFonts w:eastAsia="Times New Roman"/>
          <w:color w:val="000000"/>
          <w:lang w:val="es-MX" w:eastAsia="es-MX"/>
        </w:rPr>
        <w:t>%</w:t>
      </w:r>
      <w:r w:rsidR="000C479E" w:rsidRPr="005430F9">
        <w:rPr>
          <w:rFonts w:eastAsia="Times New Roman"/>
          <w:color w:val="000000"/>
          <w:lang w:val="es-MX" w:eastAsia="es-MX"/>
        </w:rPr>
        <w:t>, respectivamente</w:t>
      </w:r>
      <w:r w:rsidR="004C3C68">
        <w:rPr>
          <w:rFonts w:eastAsia="Times New Roman"/>
          <w:color w:val="000000"/>
          <w:lang w:val="es-MX" w:eastAsia="es-MX"/>
        </w:rPr>
        <w:t>,</w:t>
      </w:r>
      <w:r w:rsidR="000C479E" w:rsidRPr="005430F9">
        <w:rPr>
          <w:rFonts w:eastAsia="Times New Roman"/>
          <w:color w:val="000000"/>
          <w:lang w:val="es-MX" w:eastAsia="es-MX"/>
        </w:rPr>
        <w:t xml:space="preserve"> para</w:t>
      </w:r>
      <w:r w:rsidR="007D067F" w:rsidRPr="005430F9">
        <w:rPr>
          <w:rFonts w:eastAsia="Times New Roman"/>
          <w:color w:val="000000"/>
          <w:lang w:val="es-MX" w:eastAsia="es-MX"/>
        </w:rPr>
        <w:t xml:space="preserve"> 20</w:t>
      </w:r>
      <w:r w:rsidR="001F06D4" w:rsidRPr="005430F9">
        <w:rPr>
          <w:rFonts w:eastAsia="Times New Roman"/>
          <w:color w:val="000000"/>
          <w:lang w:val="es-MX" w:eastAsia="es-MX"/>
        </w:rPr>
        <w:t>20</w:t>
      </w:r>
      <w:r w:rsidR="007D067F" w:rsidRPr="005430F9">
        <w:rPr>
          <w:rFonts w:eastAsia="Times New Roman"/>
          <w:color w:val="000000"/>
          <w:lang w:val="es-MX" w:eastAsia="es-MX"/>
        </w:rPr>
        <w:t xml:space="preserve"> y 202</w:t>
      </w:r>
      <w:r w:rsidR="000C479E" w:rsidRPr="005430F9">
        <w:rPr>
          <w:rFonts w:eastAsia="Times New Roman"/>
          <w:color w:val="000000"/>
          <w:lang w:val="es-MX" w:eastAsia="es-MX"/>
        </w:rPr>
        <w:t>1.</w:t>
      </w:r>
    </w:p>
    <w:p w14:paraId="4F9CACE9" w14:textId="77777777" w:rsidR="003B490A" w:rsidRPr="001B0FE6" w:rsidRDefault="003B490A" w:rsidP="005430F9">
      <w:pPr>
        <w:pStyle w:val="Default"/>
        <w:ind w:left="-567" w:right="-518"/>
        <w:rPr>
          <w:lang w:eastAsia="es-MX"/>
        </w:rPr>
      </w:pPr>
    </w:p>
    <w:p w14:paraId="2C56BE7C" w14:textId="03F9FACB" w:rsidR="007D067F" w:rsidRPr="005430F9" w:rsidRDefault="000F5F4C" w:rsidP="004571A6">
      <w:pPr>
        <w:pStyle w:val="Pa27"/>
        <w:spacing w:line="240" w:lineRule="auto"/>
        <w:ind w:left="-567" w:right="-518"/>
        <w:jc w:val="both"/>
        <w:rPr>
          <w:rFonts w:eastAsia="Times New Roman"/>
          <w:color w:val="000000"/>
          <w:lang w:val="es-MX" w:eastAsia="es-MX"/>
        </w:rPr>
      </w:pPr>
      <w:r>
        <w:rPr>
          <w:rFonts w:eastAsia="Times New Roman"/>
          <w:color w:val="000000"/>
          <w:lang w:val="es-MX" w:eastAsia="es-MX"/>
        </w:rPr>
        <w:t>Del personal ocupado total a</w:t>
      </w:r>
      <w:r w:rsidR="00CB44B3" w:rsidRPr="005430F9">
        <w:rPr>
          <w:rFonts w:eastAsia="Times New Roman"/>
          <w:color w:val="000000"/>
          <w:lang w:val="es-MX" w:eastAsia="es-MX"/>
        </w:rPr>
        <w:t xml:space="preserve"> nivel de los subsectores</w:t>
      </w:r>
      <w:r w:rsidR="00491516">
        <w:rPr>
          <w:rFonts w:eastAsia="Times New Roman"/>
          <w:color w:val="000000"/>
          <w:lang w:val="es-MX" w:eastAsia="es-MX"/>
        </w:rPr>
        <w:t>,</w:t>
      </w:r>
      <w:r w:rsidR="00CB44B3" w:rsidRPr="005430F9">
        <w:rPr>
          <w:rFonts w:eastAsia="Times New Roman"/>
          <w:color w:val="000000"/>
          <w:lang w:val="es-MX" w:eastAsia="es-MX"/>
        </w:rPr>
        <w:t xml:space="preserve"> en </w:t>
      </w:r>
      <w:r w:rsidR="000E699D" w:rsidRPr="005430F9">
        <w:rPr>
          <w:rFonts w:eastAsia="Times New Roman"/>
          <w:color w:val="000000"/>
          <w:lang w:val="es-MX" w:eastAsia="es-MX"/>
        </w:rPr>
        <w:t>2021</w:t>
      </w:r>
      <w:r w:rsidR="007D067F" w:rsidRPr="005430F9">
        <w:rPr>
          <w:rFonts w:eastAsia="Times New Roman"/>
          <w:color w:val="000000"/>
          <w:lang w:val="es-MX" w:eastAsia="es-MX"/>
        </w:rPr>
        <w:t xml:space="preserve">, </w:t>
      </w:r>
      <w:r w:rsidR="004C3C68">
        <w:rPr>
          <w:rFonts w:eastAsia="Times New Roman"/>
          <w:color w:val="000000"/>
          <w:lang w:val="es-MX" w:eastAsia="es-MX"/>
        </w:rPr>
        <w:t>el p</w:t>
      </w:r>
      <w:r w:rsidR="007D067F" w:rsidRPr="005430F9">
        <w:rPr>
          <w:rFonts w:eastAsia="Times New Roman"/>
          <w:color w:val="000000"/>
          <w:lang w:val="es-MX" w:eastAsia="es-MX"/>
        </w:rPr>
        <w:t>ersonal dependiente particip</w:t>
      </w:r>
      <w:r w:rsidR="00491516">
        <w:rPr>
          <w:rFonts w:eastAsia="Times New Roman"/>
          <w:color w:val="000000"/>
          <w:lang w:val="es-MX" w:eastAsia="es-MX"/>
        </w:rPr>
        <w:t>ó</w:t>
      </w:r>
      <w:r w:rsidR="007D067F" w:rsidRPr="005430F9">
        <w:rPr>
          <w:rFonts w:eastAsia="Times New Roman"/>
          <w:color w:val="000000"/>
          <w:lang w:val="es-MX" w:eastAsia="es-MX"/>
        </w:rPr>
        <w:t xml:space="preserve"> con </w:t>
      </w:r>
      <w:r w:rsidR="001F06D4" w:rsidRPr="005430F9">
        <w:rPr>
          <w:rFonts w:eastAsia="Times New Roman"/>
          <w:color w:val="000000"/>
          <w:lang w:val="es-MX" w:eastAsia="es-MX"/>
        </w:rPr>
        <w:t>85.5</w:t>
      </w:r>
      <w:r w:rsidR="007D067F" w:rsidRPr="005430F9">
        <w:rPr>
          <w:rFonts w:eastAsia="Times New Roman"/>
          <w:color w:val="000000"/>
          <w:lang w:val="es-MX" w:eastAsia="es-MX"/>
        </w:rPr>
        <w:t xml:space="preserve">, </w:t>
      </w:r>
      <w:r w:rsidR="001F06D4" w:rsidRPr="005430F9">
        <w:rPr>
          <w:rFonts w:eastAsia="Times New Roman"/>
          <w:color w:val="000000"/>
          <w:lang w:val="es-MX" w:eastAsia="es-MX"/>
        </w:rPr>
        <w:t>88.2</w:t>
      </w:r>
      <w:r w:rsidR="007D067F" w:rsidRPr="005430F9">
        <w:rPr>
          <w:rFonts w:eastAsia="Times New Roman"/>
          <w:color w:val="000000"/>
          <w:lang w:val="es-MX" w:eastAsia="es-MX"/>
        </w:rPr>
        <w:t xml:space="preserve"> y</w:t>
      </w:r>
      <w:r w:rsidR="004C3C68">
        <w:rPr>
          <w:rFonts w:eastAsia="Times New Roman"/>
          <w:color w:val="000000"/>
          <w:lang w:val="es-MX" w:eastAsia="es-MX"/>
        </w:rPr>
        <w:t xml:space="preserve"> </w:t>
      </w:r>
      <w:r w:rsidR="001F06D4" w:rsidRPr="005430F9">
        <w:rPr>
          <w:rFonts w:eastAsia="Times New Roman"/>
          <w:color w:val="000000"/>
          <w:lang w:val="es-MX" w:eastAsia="es-MX"/>
        </w:rPr>
        <w:t>92.9</w:t>
      </w:r>
      <w:r w:rsidR="00491516">
        <w:rPr>
          <w:rFonts w:eastAsia="Times New Roman"/>
          <w:color w:val="000000"/>
          <w:lang w:val="es-MX" w:eastAsia="es-MX"/>
        </w:rPr>
        <w:t xml:space="preserve"> </w:t>
      </w:r>
      <w:r w:rsidR="007D067F" w:rsidRPr="005430F9">
        <w:rPr>
          <w:rFonts w:eastAsia="Times New Roman"/>
          <w:color w:val="000000"/>
          <w:lang w:val="es-MX" w:eastAsia="es-MX"/>
        </w:rPr>
        <w:t xml:space="preserve">% </w:t>
      </w:r>
      <w:r w:rsidR="000E699D" w:rsidRPr="005430F9">
        <w:rPr>
          <w:rFonts w:eastAsia="Times New Roman"/>
          <w:color w:val="000000"/>
          <w:lang w:val="es-MX" w:eastAsia="es-MX"/>
        </w:rPr>
        <w:t>en</w:t>
      </w:r>
      <w:r w:rsidR="00CB44B3" w:rsidRPr="005430F9">
        <w:rPr>
          <w:rFonts w:eastAsia="Times New Roman"/>
          <w:color w:val="000000"/>
          <w:lang w:val="es-MX" w:eastAsia="es-MX"/>
        </w:rPr>
        <w:t xml:space="preserve"> </w:t>
      </w:r>
      <w:r w:rsidR="009E15E9" w:rsidRPr="006F4FC9">
        <w:rPr>
          <w:rFonts w:eastAsia="Times New Roman"/>
          <w:i/>
          <w:color w:val="000000"/>
          <w:lang w:val="es-MX" w:eastAsia="es-MX"/>
        </w:rPr>
        <w:t>E</w:t>
      </w:r>
      <w:r w:rsidR="007D067F" w:rsidRPr="006F4FC9">
        <w:rPr>
          <w:rFonts w:eastAsia="Times New Roman"/>
          <w:i/>
          <w:color w:val="000000"/>
          <w:lang w:val="es-MX" w:eastAsia="es-MX"/>
        </w:rPr>
        <w:t>dificación</w:t>
      </w:r>
      <w:r w:rsidR="007D067F" w:rsidRPr="005430F9">
        <w:rPr>
          <w:rFonts w:eastAsia="Times New Roman"/>
          <w:color w:val="000000"/>
          <w:lang w:val="es-MX" w:eastAsia="es-MX"/>
        </w:rPr>
        <w:t xml:space="preserve">, </w:t>
      </w:r>
      <w:r w:rsidR="009E15E9" w:rsidRPr="006F4FC9">
        <w:rPr>
          <w:rFonts w:eastAsia="Times New Roman"/>
          <w:i/>
          <w:color w:val="000000"/>
          <w:lang w:val="es-MX" w:eastAsia="es-MX"/>
        </w:rPr>
        <w:t>C</w:t>
      </w:r>
      <w:r w:rsidR="007D067F" w:rsidRPr="006F4FC9">
        <w:rPr>
          <w:rFonts w:eastAsia="Times New Roman"/>
          <w:i/>
          <w:color w:val="000000"/>
          <w:lang w:val="es-MX" w:eastAsia="es-MX"/>
        </w:rPr>
        <w:t>onstrucción de obras de ingeniería civil</w:t>
      </w:r>
      <w:r w:rsidR="007D067F" w:rsidRPr="005430F9">
        <w:rPr>
          <w:rFonts w:eastAsia="Times New Roman"/>
          <w:color w:val="000000"/>
          <w:lang w:val="es-MX" w:eastAsia="es-MX"/>
        </w:rPr>
        <w:t xml:space="preserve"> y </w:t>
      </w:r>
      <w:r w:rsidR="009E15E9" w:rsidRPr="006F4FC9">
        <w:rPr>
          <w:rFonts w:eastAsia="Times New Roman"/>
          <w:i/>
          <w:color w:val="000000"/>
          <w:lang w:val="es-MX" w:eastAsia="es-MX"/>
        </w:rPr>
        <w:t>T</w:t>
      </w:r>
      <w:r w:rsidR="007D067F" w:rsidRPr="006F4FC9">
        <w:rPr>
          <w:rFonts w:eastAsia="Times New Roman"/>
          <w:i/>
          <w:color w:val="000000"/>
          <w:lang w:val="es-MX" w:eastAsia="es-MX"/>
        </w:rPr>
        <w:t>rabajos especializados para la construcción</w:t>
      </w:r>
      <w:r w:rsidR="000C479E" w:rsidRPr="006F4FC9">
        <w:rPr>
          <w:rFonts w:eastAsia="Times New Roman"/>
          <w:i/>
          <w:color w:val="000000"/>
          <w:lang w:val="es-MX" w:eastAsia="es-MX"/>
        </w:rPr>
        <w:t>,</w:t>
      </w:r>
      <w:r w:rsidR="000C479E" w:rsidRPr="005430F9">
        <w:rPr>
          <w:rFonts w:eastAsia="Times New Roman"/>
          <w:color w:val="000000"/>
          <w:lang w:val="es-MX" w:eastAsia="es-MX"/>
        </w:rPr>
        <w:t xml:space="preserve"> en forma respectiva.</w:t>
      </w:r>
      <w:r w:rsidR="007D067F" w:rsidRPr="005430F9">
        <w:rPr>
          <w:rFonts w:eastAsia="Times New Roman"/>
          <w:color w:val="000000"/>
          <w:lang w:val="es-MX" w:eastAsia="es-MX"/>
        </w:rPr>
        <w:t xml:space="preserve"> </w:t>
      </w:r>
      <w:r w:rsidR="000C479E" w:rsidRPr="005430F9">
        <w:rPr>
          <w:rFonts w:eastAsia="Times New Roman"/>
          <w:color w:val="000000"/>
          <w:lang w:val="es-MX" w:eastAsia="es-MX"/>
        </w:rPr>
        <w:t>El</w:t>
      </w:r>
      <w:r w:rsidR="007D067F" w:rsidRPr="005430F9">
        <w:rPr>
          <w:rFonts w:eastAsia="Times New Roman"/>
          <w:color w:val="000000"/>
          <w:lang w:val="es-MX" w:eastAsia="es-MX"/>
        </w:rPr>
        <w:t xml:space="preserve"> personal subcontratado </w:t>
      </w:r>
      <w:r w:rsidR="004F6B3E" w:rsidRPr="005430F9">
        <w:rPr>
          <w:rFonts w:eastAsia="Times New Roman"/>
          <w:color w:val="000000"/>
          <w:lang w:val="es-MX" w:eastAsia="es-MX"/>
        </w:rPr>
        <w:t>t</w:t>
      </w:r>
      <w:r w:rsidR="00491516">
        <w:rPr>
          <w:rFonts w:eastAsia="Times New Roman"/>
          <w:color w:val="000000"/>
          <w:lang w:val="es-MX" w:eastAsia="es-MX"/>
        </w:rPr>
        <w:t>uvo</w:t>
      </w:r>
      <w:r w:rsidR="004F6B3E" w:rsidRPr="005430F9">
        <w:rPr>
          <w:rFonts w:eastAsia="Times New Roman"/>
          <w:color w:val="000000"/>
          <w:lang w:val="es-MX" w:eastAsia="es-MX"/>
        </w:rPr>
        <w:t xml:space="preserve"> una aportación de</w:t>
      </w:r>
      <w:r w:rsidR="007D067F" w:rsidRPr="005430F9">
        <w:rPr>
          <w:rFonts w:eastAsia="Times New Roman"/>
          <w:color w:val="000000"/>
          <w:lang w:val="es-MX" w:eastAsia="es-MX"/>
        </w:rPr>
        <w:t xml:space="preserve"> 14.</w:t>
      </w:r>
      <w:r w:rsidR="001F06D4" w:rsidRPr="005430F9">
        <w:rPr>
          <w:rFonts w:eastAsia="Times New Roman"/>
          <w:color w:val="000000"/>
          <w:lang w:val="es-MX" w:eastAsia="es-MX"/>
        </w:rPr>
        <w:t>5</w:t>
      </w:r>
      <w:r w:rsidR="004571A6">
        <w:rPr>
          <w:rFonts w:eastAsia="Times New Roman"/>
          <w:color w:val="000000"/>
          <w:lang w:val="es-MX" w:eastAsia="es-MX"/>
        </w:rPr>
        <w:t xml:space="preserve"> % </w:t>
      </w:r>
      <w:r w:rsidR="004571A6" w:rsidRPr="005430F9">
        <w:rPr>
          <w:rFonts w:eastAsia="Times New Roman"/>
          <w:color w:val="000000"/>
          <w:lang w:val="es-MX" w:eastAsia="es-MX"/>
        </w:rPr>
        <w:t xml:space="preserve">en </w:t>
      </w:r>
      <w:r w:rsidR="004571A6" w:rsidRPr="006F4FC9">
        <w:rPr>
          <w:rFonts w:eastAsia="Times New Roman"/>
          <w:i/>
          <w:color w:val="000000"/>
          <w:lang w:val="es-MX" w:eastAsia="es-MX"/>
        </w:rPr>
        <w:t>Edificación</w:t>
      </w:r>
      <w:r w:rsidR="007D067F" w:rsidRPr="005430F9">
        <w:rPr>
          <w:rFonts w:eastAsia="Times New Roman"/>
          <w:color w:val="000000"/>
          <w:lang w:val="es-MX" w:eastAsia="es-MX"/>
        </w:rPr>
        <w:t xml:space="preserve">, </w:t>
      </w:r>
      <w:r w:rsidR="001F06D4" w:rsidRPr="005430F9">
        <w:rPr>
          <w:rFonts w:eastAsia="Times New Roman"/>
          <w:color w:val="000000"/>
          <w:lang w:val="es-MX" w:eastAsia="es-MX"/>
        </w:rPr>
        <w:t>11.8</w:t>
      </w:r>
      <w:r w:rsidR="004571A6">
        <w:rPr>
          <w:rFonts w:eastAsia="Times New Roman"/>
          <w:color w:val="000000"/>
          <w:lang w:val="es-MX" w:eastAsia="es-MX"/>
        </w:rPr>
        <w:t xml:space="preserve"> % en </w:t>
      </w:r>
      <w:r w:rsidR="004571A6" w:rsidRPr="006F4FC9">
        <w:rPr>
          <w:rFonts w:eastAsia="Times New Roman"/>
          <w:i/>
          <w:color w:val="000000"/>
          <w:lang w:val="es-MX" w:eastAsia="es-MX"/>
        </w:rPr>
        <w:t>Construcción de obras de ingeniería civi</w:t>
      </w:r>
      <w:r w:rsidR="00D533EA" w:rsidRPr="006F4FC9">
        <w:rPr>
          <w:rFonts w:eastAsia="Times New Roman"/>
          <w:i/>
          <w:color w:val="000000"/>
          <w:lang w:val="es-MX" w:eastAsia="es-MX"/>
        </w:rPr>
        <w:t>l</w:t>
      </w:r>
      <w:r w:rsidR="004571A6">
        <w:rPr>
          <w:rFonts w:eastAsia="Times New Roman"/>
          <w:color w:val="000000"/>
          <w:lang w:val="es-MX" w:eastAsia="es-MX"/>
        </w:rPr>
        <w:t xml:space="preserve"> </w:t>
      </w:r>
      <w:r w:rsidR="007D067F" w:rsidRPr="005430F9">
        <w:rPr>
          <w:rFonts w:eastAsia="Times New Roman"/>
          <w:color w:val="000000"/>
          <w:lang w:val="es-MX" w:eastAsia="es-MX"/>
        </w:rPr>
        <w:t xml:space="preserve">y </w:t>
      </w:r>
      <w:r w:rsidR="001F06D4" w:rsidRPr="005430F9">
        <w:rPr>
          <w:rFonts w:eastAsia="Times New Roman"/>
          <w:color w:val="000000"/>
          <w:lang w:val="es-MX" w:eastAsia="es-MX"/>
        </w:rPr>
        <w:t>7.</w:t>
      </w:r>
      <w:r w:rsidR="000C479E" w:rsidRPr="005430F9">
        <w:rPr>
          <w:rFonts w:eastAsia="Times New Roman"/>
          <w:color w:val="000000"/>
          <w:lang w:val="es-MX" w:eastAsia="es-MX"/>
        </w:rPr>
        <w:t xml:space="preserve">1 </w:t>
      </w:r>
      <w:r w:rsidR="004571A6">
        <w:rPr>
          <w:rFonts w:eastAsia="Times New Roman"/>
          <w:color w:val="000000"/>
          <w:lang w:val="es-MX" w:eastAsia="es-MX"/>
        </w:rPr>
        <w:t xml:space="preserve">% en </w:t>
      </w:r>
      <w:r w:rsidR="004571A6" w:rsidRPr="007D5AEE">
        <w:rPr>
          <w:rFonts w:eastAsia="Times New Roman"/>
          <w:i/>
          <w:color w:val="000000"/>
          <w:lang w:val="es-MX" w:eastAsia="es-MX"/>
        </w:rPr>
        <w:t>Trabajos especializados para la construcción.</w:t>
      </w:r>
    </w:p>
    <w:p w14:paraId="16D65592" w14:textId="338EE415" w:rsidR="00CE7830" w:rsidRDefault="007D067F" w:rsidP="00491516">
      <w:pPr>
        <w:pStyle w:val="Pa27"/>
        <w:spacing w:line="240" w:lineRule="auto"/>
        <w:ind w:left="-567" w:right="-518"/>
        <w:jc w:val="both"/>
        <w:rPr>
          <w:rFonts w:eastAsia="Times New Roman"/>
          <w:color w:val="000000"/>
          <w:lang w:val="es-MX" w:eastAsia="es-MX"/>
        </w:rPr>
      </w:pPr>
      <w:r w:rsidRPr="005430F9">
        <w:rPr>
          <w:rFonts w:eastAsia="Times New Roman"/>
          <w:color w:val="000000"/>
          <w:lang w:val="es-MX" w:eastAsia="es-MX"/>
        </w:rPr>
        <w:lastRenderedPageBreak/>
        <w:t xml:space="preserve">En </w:t>
      </w:r>
      <w:r w:rsidR="00893CE6" w:rsidRPr="005430F9">
        <w:rPr>
          <w:rFonts w:eastAsia="Times New Roman"/>
          <w:color w:val="000000"/>
          <w:lang w:val="es-MX" w:eastAsia="es-MX"/>
        </w:rPr>
        <w:t>el</w:t>
      </w:r>
      <w:r w:rsidR="004F6B3E" w:rsidRPr="005430F9">
        <w:rPr>
          <w:rFonts w:eastAsia="Times New Roman"/>
          <w:color w:val="000000"/>
          <w:lang w:val="es-MX" w:eastAsia="es-MX"/>
        </w:rPr>
        <w:t xml:space="preserve"> último año</w:t>
      </w:r>
      <w:r w:rsidR="006E3ACE" w:rsidRPr="005430F9">
        <w:rPr>
          <w:rFonts w:eastAsia="Times New Roman"/>
          <w:color w:val="000000"/>
          <w:lang w:val="es-MX" w:eastAsia="es-MX"/>
        </w:rPr>
        <w:t xml:space="preserve">, la participación del personal subcontratado </w:t>
      </w:r>
      <w:r w:rsidR="00B86C97" w:rsidRPr="005430F9">
        <w:rPr>
          <w:rFonts w:eastAsia="Times New Roman"/>
          <w:color w:val="000000"/>
          <w:lang w:val="es-MX" w:eastAsia="es-MX"/>
        </w:rPr>
        <w:t>fue de 12.4</w:t>
      </w:r>
      <w:r w:rsidR="004C3C68">
        <w:rPr>
          <w:rFonts w:eastAsia="Times New Roman"/>
          <w:color w:val="000000"/>
          <w:lang w:val="es-MX" w:eastAsia="es-MX"/>
        </w:rPr>
        <w:t xml:space="preserve"> </w:t>
      </w:r>
      <w:r w:rsidR="00B86C97" w:rsidRPr="005430F9">
        <w:rPr>
          <w:rFonts w:eastAsia="Times New Roman"/>
          <w:color w:val="000000"/>
          <w:lang w:val="es-MX" w:eastAsia="es-MX"/>
        </w:rPr>
        <w:t>%</w:t>
      </w:r>
      <w:r w:rsidR="004C3C68">
        <w:rPr>
          <w:rFonts w:eastAsia="Times New Roman"/>
          <w:color w:val="000000"/>
          <w:lang w:val="es-MX" w:eastAsia="es-MX"/>
        </w:rPr>
        <w:t>,</w:t>
      </w:r>
      <w:r w:rsidR="00B86C97" w:rsidRPr="005430F9">
        <w:rPr>
          <w:rFonts w:eastAsia="Times New Roman"/>
          <w:color w:val="000000"/>
          <w:lang w:val="es-MX" w:eastAsia="es-MX"/>
        </w:rPr>
        <w:t xml:space="preserve"> lo que represent</w:t>
      </w:r>
      <w:r w:rsidR="004C3C68">
        <w:rPr>
          <w:rFonts w:eastAsia="Times New Roman"/>
          <w:color w:val="000000"/>
          <w:lang w:val="es-MX" w:eastAsia="es-MX"/>
        </w:rPr>
        <w:t xml:space="preserve">ó </w:t>
      </w:r>
      <w:r w:rsidR="00B86C97" w:rsidRPr="005430F9">
        <w:rPr>
          <w:rFonts w:eastAsia="Times New Roman"/>
          <w:color w:val="000000"/>
          <w:lang w:val="es-MX" w:eastAsia="es-MX"/>
        </w:rPr>
        <w:t xml:space="preserve">una disminución de </w:t>
      </w:r>
      <w:r w:rsidR="009036FE" w:rsidRPr="005430F9">
        <w:rPr>
          <w:rFonts w:eastAsia="Times New Roman"/>
          <w:color w:val="000000"/>
          <w:lang w:val="es-MX" w:eastAsia="es-MX"/>
        </w:rPr>
        <w:t>3</w:t>
      </w:r>
      <w:r w:rsidR="006E3ACE" w:rsidRPr="005430F9">
        <w:rPr>
          <w:rFonts w:eastAsia="Times New Roman"/>
          <w:color w:val="000000"/>
          <w:lang w:val="es-MX" w:eastAsia="es-MX"/>
        </w:rPr>
        <w:t>.1 puntos porcentuales</w:t>
      </w:r>
      <w:r w:rsidR="00CB44B3" w:rsidRPr="005430F9">
        <w:rPr>
          <w:rFonts w:eastAsia="Times New Roman"/>
          <w:color w:val="000000"/>
          <w:lang w:val="es-MX" w:eastAsia="es-MX"/>
        </w:rPr>
        <w:t xml:space="preserve"> en comparación con el año previo</w:t>
      </w:r>
      <w:r w:rsidR="004F6B3E" w:rsidRPr="005430F9">
        <w:rPr>
          <w:rFonts w:eastAsia="Times New Roman"/>
          <w:color w:val="000000"/>
          <w:lang w:val="es-MX" w:eastAsia="es-MX"/>
        </w:rPr>
        <w:t>.</w:t>
      </w:r>
      <w:r w:rsidR="006E3ACE" w:rsidRPr="005430F9">
        <w:rPr>
          <w:rFonts w:eastAsia="Times New Roman"/>
          <w:color w:val="000000"/>
          <w:lang w:val="es-MX" w:eastAsia="es-MX"/>
        </w:rPr>
        <w:t xml:space="preserve"> </w:t>
      </w:r>
      <w:r w:rsidR="004F6B3E" w:rsidRPr="005430F9">
        <w:rPr>
          <w:rFonts w:eastAsia="Times New Roman"/>
          <w:color w:val="000000"/>
          <w:lang w:val="es-MX" w:eastAsia="es-MX"/>
        </w:rPr>
        <w:t>E</w:t>
      </w:r>
      <w:r w:rsidR="006E3ACE" w:rsidRPr="005430F9">
        <w:rPr>
          <w:rFonts w:eastAsia="Times New Roman"/>
          <w:color w:val="000000"/>
          <w:lang w:val="es-MX" w:eastAsia="es-MX"/>
        </w:rPr>
        <w:t>l subsector</w:t>
      </w:r>
      <w:r w:rsidR="004C3C68">
        <w:rPr>
          <w:rFonts w:eastAsia="Times New Roman"/>
          <w:color w:val="000000"/>
          <w:lang w:val="es-MX" w:eastAsia="es-MX"/>
        </w:rPr>
        <w:t xml:space="preserve"> </w:t>
      </w:r>
      <w:r w:rsidR="004F6B3E" w:rsidRPr="006F4FC9">
        <w:rPr>
          <w:rFonts w:eastAsia="Times New Roman"/>
          <w:i/>
          <w:color w:val="000000"/>
          <w:lang w:val="es-MX" w:eastAsia="es-MX"/>
        </w:rPr>
        <w:t>Trabajos especializados para la construcción</w:t>
      </w:r>
      <w:r w:rsidR="004F6B3E" w:rsidRPr="005430F9">
        <w:rPr>
          <w:rFonts w:eastAsia="Times New Roman"/>
          <w:color w:val="000000"/>
          <w:lang w:val="es-MX" w:eastAsia="es-MX"/>
        </w:rPr>
        <w:t xml:space="preserve"> present</w:t>
      </w:r>
      <w:r w:rsidR="004C3C68">
        <w:rPr>
          <w:rFonts w:eastAsia="Times New Roman"/>
          <w:color w:val="000000"/>
          <w:lang w:val="es-MX" w:eastAsia="es-MX"/>
        </w:rPr>
        <w:t>ó</w:t>
      </w:r>
      <w:r w:rsidR="004F6B3E" w:rsidRPr="005430F9">
        <w:rPr>
          <w:rFonts w:eastAsia="Times New Roman"/>
          <w:color w:val="000000"/>
          <w:lang w:val="es-MX" w:eastAsia="es-MX"/>
        </w:rPr>
        <w:t xml:space="preserve"> la mayor disminución en su participación</w:t>
      </w:r>
      <w:r w:rsidR="004C3C68">
        <w:rPr>
          <w:rFonts w:eastAsia="Times New Roman"/>
          <w:color w:val="000000"/>
          <w:lang w:val="es-MX" w:eastAsia="es-MX"/>
        </w:rPr>
        <w:t>,</w:t>
      </w:r>
      <w:r w:rsidR="004F6B3E" w:rsidRPr="005430F9">
        <w:rPr>
          <w:rFonts w:eastAsia="Times New Roman"/>
          <w:color w:val="000000"/>
          <w:lang w:val="es-MX" w:eastAsia="es-MX"/>
        </w:rPr>
        <w:t xml:space="preserve"> con </w:t>
      </w:r>
      <w:r w:rsidR="004C3C68">
        <w:rPr>
          <w:rFonts w:eastAsia="Times New Roman"/>
          <w:color w:val="000000"/>
          <w:lang w:val="es-MX" w:eastAsia="es-MX"/>
        </w:rPr>
        <w:t>seis</w:t>
      </w:r>
      <w:r w:rsidR="004F6B3E" w:rsidRPr="005430F9">
        <w:rPr>
          <w:rFonts w:eastAsia="Times New Roman"/>
          <w:color w:val="000000"/>
          <w:lang w:val="es-MX" w:eastAsia="es-MX"/>
        </w:rPr>
        <w:t xml:space="preserve"> puntos porcentuales de diferencia</w:t>
      </w:r>
      <w:r w:rsidR="004C3C68">
        <w:rPr>
          <w:rFonts w:eastAsia="Times New Roman"/>
          <w:color w:val="000000"/>
          <w:lang w:val="es-MX" w:eastAsia="es-MX"/>
        </w:rPr>
        <w:t xml:space="preserve">: </w:t>
      </w:r>
      <w:r w:rsidR="00B86C97" w:rsidRPr="005430F9">
        <w:rPr>
          <w:rFonts w:eastAsia="Times New Roman"/>
          <w:color w:val="000000"/>
          <w:lang w:val="es-MX" w:eastAsia="es-MX"/>
        </w:rPr>
        <w:t>pasó de 13.1 a 7.1</w:t>
      </w:r>
      <w:r w:rsidR="004C3C68">
        <w:rPr>
          <w:rFonts w:eastAsia="Times New Roman"/>
          <w:color w:val="000000"/>
          <w:lang w:val="es-MX" w:eastAsia="es-MX"/>
        </w:rPr>
        <w:t xml:space="preserve"> %, </w:t>
      </w:r>
      <w:r w:rsidR="00491516">
        <w:rPr>
          <w:rFonts w:eastAsia="Times New Roman"/>
          <w:color w:val="000000"/>
          <w:lang w:val="es-MX" w:eastAsia="es-MX"/>
        </w:rPr>
        <w:t>respectivamente.</w:t>
      </w:r>
    </w:p>
    <w:p w14:paraId="67486AB9" w14:textId="77777777" w:rsidR="00752A92" w:rsidRPr="005430F9" w:rsidRDefault="00752A92" w:rsidP="005430F9">
      <w:pPr>
        <w:pStyle w:val="Default"/>
        <w:rPr>
          <w:lang w:eastAsia="es-MX"/>
        </w:rPr>
      </w:pPr>
    </w:p>
    <w:p w14:paraId="6C2FC57D" w14:textId="77777777" w:rsidR="00121298" w:rsidRDefault="00121298" w:rsidP="00664CE3">
      <w:pPr>
        <w:pStyle w:val="Default"/>
        <w:jc w:val="center"/>
        <w:rPr>
          <w:color w:val="auto"/>
          <w:sz w:val="20"/>
          <w:szCs w:val="20"/>
          <w:lang w:eastAsia="es-MX"/>
        </w:rPr>
      </w:pPr>
    </w:p>
    <w:p w14:paraId="2DE603CF" w14:textId="23F79585" w:rsidR="00BC06C5" w:rsidRPr="005430F9" w:rsidRDefault="00BC06C5" w:rsidP="00664CE3">
      <w:pPr>
        <w:pStyle w:val="Default"/>
        <w:jc w:val="center"/>
        <w:rPr>
          <w:color w:val="auto"/>
          <w:sz w:val="20"/>
          <w:szCs w:val="20"/>
          <w:lang w:eastAsia="es-MX"/>
        </w:rPr>
      </w:pPr>
      <w:r w:rsidRPr="005430F9">
        <w:rPr>
          <w:color w:val="auto"/>
          <w:sz w:val="20"/>
          <w:szCs w:val="20"/>
          <w:lang w:eastAsia="es-MX"/>
        </w:rPr>
        <w:t>Cuadro 3</w:t>
      </w:r>
      <w:r w:rsidR="00234530" w:rsidRPr="005430F9">
        <w:rPr>
          <w:color w:val="auto"/>
          <w:sz w:val="20"/>
          <w:szCs w:val="20"/>
          <w:lang w:eastAsia="es-MX"/>
        </w:rPr>
        <w:t xml:space="preserve"> </w:t>
      </w:r>
    </w:p>
    <w:p w14:paraId="11B168C9" w14:textId="7D908868" w:rsidR="009A40C0" w:rsidRPr="005268AA" w:rsidRDefault="00491516" w:rsidP="005430F9">
      <w:pPr>
        <w:pStyle w:val="Default"/>
        <w:ind w:left="-567" w:right="-518"/>
        <w:jc w:val="center"/>
        <w:rPr>
          <w:rFonts w:ascii="Arial Negrita" w:hAnsi="Arial Negrita"/>
          <w:b/>
          <w:smallCaps/>
          <w:color w:val="auto"/>
          <w:sz w:val="22"/>
          <w:szCs w:val="22"/>
          <w:lang w:eastAsia="es-MX"/>
        </w:rPr>
      </w:pPr>
      <w:r w:rsidRPr="005268AA">
        <w:rPr>
          <w:rFonts w:ascii="Arial Negrita" w:hAnsi="Arial Negrita"/>
          <w:b/>
          <w:smallCaps/>
          <w:color w:val="auto"/>
          <w:sz w:val="22"/>
          <w:szCs w:val="22"/>
          <w:lang w:eastAsia="es-MX"/>
        </w:rPr>
        <w:t>P</w:t>
      </w:r>
      <w:r w:rsidR="00B8734A" w:rsidRPr="004B1724">
        <w:rPr>
          <w:rFonts w:ascii="Arial Negrita" w:hAnsi="Arial Negrita"/>
          <w:b/>
          <w:smallCaps/>
          <w:sz w:val="22"/>
          <w:szCs w:val="22"/>
          <w:lang w:eastAsia="es-MX"/>
        </w:rPr>
        <w:t>ersonal ocupado</w:t>
      </w:r>
      <w:r w:rsidR="00982528" w:rsidRPr="004B1724">
        <w:rPr>
          <w:rFonts w:ascii="Arial Negrita" w:hAnsi="Arial Negrita"/>
          <w:b/>
          <w:smallCaps/>
          <w:sz w:val="22"/>
          <w:szCs w:val="22"/>
          <w:lang w:eastAsia="es-MX"/>
        </w:rPr>
        <w:t xml:space="preserve"> de</w:t>
      </w:r>
      <w:r w:rsidR="002C2D13" w:rsidRPr="004B1724">
        <w:rPr>
          <w:rFonts w:ascii="Arial Negrita" w:hAnsi="Arial Negrita"/>
          <w:b/>
          <w:smallCaps/>
          <w:sz w:val="22"/>
          <w:szCs w:val="22"/>
          <w:lang w:eastAsia="es-MX"/>
        </w:rPr>
        <w:t xml:space="preserve"> l</w:t>
      </w:r>
      <w:r w:rsidR="00B8734A" w:rsidRPr="004B1724">
        <w:rPr>
          <w:rFonts w:ascii="Arial Negrita" w:hAnsi="Arial Negrita"/>
          <w:b/>
          <w:smallCaps/>
          <w:sz w:val="22"/>
          <w:szCs w:val="22"/>
          <w:lang w:eastAsia="es-MX"/>
        </w:rPr>
        <w:t>as empresas constructoras</w:t>
      </w:r>
      <w:r w:rsidRPr="005268AA">
        <w:rPr>
          <w:rFonts w:ascii="Arial Negrita" w:hAnsi="Arial Negrita"/>
          <w:b/>
          <w:smallCaps/>
          <w:color w:val="auto"/>
          <w:sz w:val="22"/>
          <w:szCs w:val="22"/>
          <w:lang w:eastAsia="es-MX"/>
        </w:rPr>
        <w:t xml:space="preserve"> según</w:t>
      </w:r>
      <w:r w:rsidR="00982528" w:rsidRPr="005268AA">
        <w:rPr>
          <w:rFonts w:ascii="Arial Negrita" w:hAnsi="Arial Negrita"/>
          <w:b/>
          <w:smallCaps/>
          <w:color w:val="auto"/>
          <w:sz w:val="22"/>
          <w:szCs w:val="22"/>
          <w:lang w:eastAsia="es-MX"/>
        </w:rPr>
        <w:t xml:space="preserve"> tipo de contratación</w:t>
      </w:r>
      <w:r w:rsidR="00B8734A" w:rsidRPr="005268AA">
        <w:rPr>
          <w:rFonts w:ascii="Arial Negrita" w:hAnsi="Arial Negrita"/>
          <w:b/>
          <w:smallCaps/>
          <w:color w:val="auto"/>
          <w:sz w:val="22"/>
          <w:szCs w:val="22"/>
          <w:lang w:eastAsia="es-MX"/>
        </w:rPr>
        <w:t xml:space="preserve"> y </w:t>
      </w:r>
      <w:r w:rsidR="002C2D13" w:rsidRPr="005268AA">
        <w:rPr>
          <w:rFonts w:ascii="Arial Negrita" w:hAnsi="Arial Negrita"/>
          <w:b/>
          <w:smallCaps/>
          <w:color w:val="auto"/>
          <w:sz w:val="22"/>
          <w:szCs w:val="22"/>
          <w:lang w:eastAsia="es-MX"/>
        </w:rPr>
        <w:t>subsector</w:t>
      </w:r>
    </w:p>
    <w:p w14:paraId="51E019D7" w14:textId="4DC1C58B" w:rsidR="003408EC" w:rsidRPr="005430F9" w:rsidRDefault="00B8734A" w:rsidP="005A3C05">
      <w:pPr>
        <w:pStyle w:val="Default"/>
        <w:jc w:val="center"/>
        <w:rPr>
          <w:color w:val="auto"/>
          <w:sz w:val="18"/>
          <w:szCs w:val="18"/>
          <w:lang w:eastAsia="es-MX"/>
        </w:rPr>
      </w:pPr>
      <w:r w:rsidRPr="005430F9">
        <w:rPr>
          <w:color w:val="auto"/>
          <w:sz w:val="18"/>
          <w:szCs w:val="18"/>
          <w:lang w:eastAsia="es-MX"/>
        </w:rPr>
        <w:t>(Porcentaje)</w:t>
      </w:r>
    </w:p>
    <w:tbl>
      <w:tblPr>
        <w:tblW w:w="0" w:type="auto"/>
        <w:jc w:val="center"/>
        <w:tblCellMar>
          <w:left w:w="70" w:type="dxa"/>
          <w:right w:w="70" w:type="dxa"/>
        </w:tblCellMar>
        <w:tblLook w:val="04A0" w:firstRow="1" w:lastRow="0" w:firstColumn="1" w:lastColumn="0" w:noHBand="0" w:noVBand="1"/>
      </w:tblPr>
      <w:tblGrid>
        <w:gridCol w:w="3042"/>
        <w:gridCol w:w="1341"/>
        <w:gridCol w:w="1552"/>
        <w:gridCol w:w="1341"/>
        <w:gridCol w:w="1552"/>
      </w:tblGrid>
      <w:tr w:rsidR="005A4E6D" w:rsidRPr="00161482" w14:paraId="3DE3A348" w14:textId="77777777" w:rsidTr="00560DC0">
        <w:trPr>
          <w:trHeight w:val="149"/>
          <w:jc w:val="center"/>
        </w:trPr>
        <w:tc>
          <w:tcPr>
            <w:tcW w:w="0" w:type="auto"/>
            <w:vMerge w:val="restart"/>
            <w:tcBorders>
              <w:top w:val="single" w:sz="4" w:space="0" w:color="auto"/>
              <w:left w:val="single" w:sz="4" w:space="0" w:color="auto"/>
              <w:bottom w:val="nil"/>
              <w:right w:val="single" w:sz="4" w:space="0" w:color="auto"/>
            </w:tcBorders>
            <w:shd w:val="clear" w:color="auto" w:fill="FFB13F"/>
            <w:vAlign w:val="center"/>
          </w:tcPr>
          <w:p w14:paraId="4BCD01B9" w14:textId="77777777" w:rsidR="005A4E6D" w:rsidRPr="00D67F50" w:rsidRDefault="005A4E6D" w:rsidP="00B8734A">
            <w:pPr>
              <w:spacing w:after="0" w:line="240" w:lineRule="auto"/>
              <w:jc w:val="center"/>
              <w:rPr>
                <w:rFonts w:ascii="Arial" w:eastAsia="Times New Roman" w:hAnsi="Arial" w:cs="Arial"/>
                <w:b/>
                <w:bCs/>
                <w:sz w:val="20"/>
                <w:szCs w:val="20"/>
                <w:lang w:eastAsia="es-MX"/>
              </w:rPr>
            </w:pPr>
            <w:r w:rsidRPr="00D67F50">
              <w:rPr>
                <w:rFonts w:ascii="Arial" w:eastAsia="Times New Roman" w:hAnsi="Arial" w:cs="Arial"/>
                <w:b/>
                <w:bCs/>
                <w:sz w:val="20"/>
                <w:szCs w:val="20"/>
                <w:lang w:eastAsia="es-MX"/>
              </w:rPr>
              <w:t>Sector y subsector</w:t>
            </w:r>
          </w:p>
        </w:tc>
        <w:tc>
          <w:tcPr>
            <w:tcW w:w="0" w:type="auto"/>
            <w:gridSpan w:val="2"/>
            <w:tcBorders>
              <w:top w:val="single" w:sz="4" w:space="0" w:color="auto"/>
              <w:left w:val="nil"/>
              <w:bottom w:val="single" w:sz="4" w:space="0" w:color="auto"/>
              <w:right w:val="single" w:sz="4" w:space="0" w:color="auto"/>
            </w:tcBorders>
            <w:shd w:val="clear" w:color="auto" w:fill="FFB13F"/>
            <w:vAlign w:val="center"/>
          </w:tcPr>
          <w:p w14:paraId="12C7E110" w14:textId="04DCDBC6" w:rsidR="005A4E6D" w:rsidRPr="00D67F50" w:rsidRDefault="005A4E6D" w:rsidP="005A3C05">
            <w:pPr>
              <w:spacing w:after="0" w:line="240" w:lineRule="auto"/>
              <w:jc w:val="center"/>
              <w:rPr>
                <w:rFonts w:ascii="Arial" w:eastAsia="Times New Roman" w:hAnsi="Arial" w:cs="Arial"/>
                <w:b/>
                <w:bCs/>
                <w:sz w:val="20"/>
                <w:szCs w:val="20"/>
                <w:lang w:eastAsia="es-MX"/>
              </w:rPr>
            </w:pPr>
            <w:r w:rsidRPr="00D67F50">
              <w:rPr>
                <w:rFonts w:ascii="Arial" w:eastAsia="Times New Roman" w:hAnsi="Arial" w:cs="Arial"/>
                <w:b/>
                <w:bCs/>
                <w:sz w:val="20"/>
                <w:szCs w:val="20"/>
                <w:lang w:eastAsia="es-MX"/>
              </w:rPr>
              <w:t>2020</w:t>
            </w:r>
          </w:p>
        </w:tc>
        <w:tc>
          <w:tcPr>
            <w:tcW w:w="0" w:type="auto"/>
            <w:gridSpan w:val="2"/>
            <w:tcBorders>
              <w:top w:val="single" w:sz="4" w:space="0" w:color="auto"/>
              <w:left w:val="nil"/>
              <w:bottom w:val="single" w:sz="4" w:space="0" w:color="auto"/>
              <w:right w:val="single" w:sz="4" w:space="0" w:color="auto"/>
            </w:tcBorders>
            <w:shd w:val="clear" w:color="auto" w:fill="FFB13F"/>
            <w:vAlign w:val="center"/>
          </w:tcPr>
          <w:p w14:paraId="1911E7E6" w14:textId="04FFFC7F" w:rsidR="005A4E6D" w:rsidRPr="00D67F50" w:rsidRDefault="005A4E6D" w:rsidP="00161482">
            <w:pPr>
              <w:spacing w:after="0" w:line="240" w:lineRule="auto"/>
              <w:jc w:val="center"/>
              <w:rPr>
                <w:rFonts w:ascii="Arial" w:eastAsia="Times New Roman" w:hAnsi="Arial" w:cs="Arial"/>
                <w:b/>
                <w:bCs/>
                <w:sz w:val="20"/>
                <w:szCs w:val="20"/>
                <w:lang w:eastAsia="es-MX"/>
              </w:rPr>
            </w:pPr>
            <w:r w:rsidRPr="00D67F50">
              <w:rPr>
                <w:rFonts w:ascii="Arial" w:eastAsia="Times New Roman" w:hAnsi="Arial" w:cs="Arial"/>
                <w:b/>
                <w:bCs/>
                <w:sz w:val="20"/>
                <w:szCs w:val="20"/>
                <w:lang w:eastAsia="es-MX"/>
              </w:rPr>
              <w:t>2021</w:t>
            </w:r>
            <w:r w:rsidRPr="00D67F50">
              <w:rPr>
                <w:rFonts w:ascii="Arial" w:eastAsia="Times New Roman" w:hAnsi="Arial" w:cs="Arial"/>
                <w:b/>
                <w:bCs/>
                <w:sz w:val="20"/>
                <w:szCs w:val="20"/>
                <w:vertAlign w:val="superscript"/>
                <w:lang w:eastAsia="es-MX"/>
              </w:rPr>
              <w:t>p/</w:t>
            </w:r>
          </w:p>
        </w:tc>
      </w:tr>
      <w:tr w:rsidR="001342F7" w:rsidRPr="00903A81" w14:paraId="316F21A2" w14:textId="77777777" w:rsidTr="00560DC0">
        <w:trPr>
          <w:trHeight w:val="349"/>
          <w:jc w:val="center"/>
        </w:trPr>
        <w:tc>
          <w:tcPr>
            <w:tcW w:w="0" w:type="auto"/>
            <w:vMerge/>
            <w:tcBorders>
              <w:left w:val="single" w:sz="4" w:space="0" w:color="auto"/>
              <w:bottom w:val="single" w:sz="4" w:space="0" w:color="auto"/>
              <w:right w:val="single" w:sz="4" w:space="0" w:color="auto"/>
            </w:tcBorders>
            <w:shd w:val="clear" w:color="auto" w:fill="FFB13F"/>
            <w:vAlign w:val="center"/>
            <w:hideMark/>
          </w:tcPr>
          <w:p w14:paraId="60FBDAB2" w14:textId="77777777" w:rsidR="005A4E6D" w:rsidRPr="00D67F50" w:rsidRDefault="005A4E6D" w:rsidP="009731DF">
            <w:pPr>
              <w:spacing w:after="0" w:line="240" w:lineRule="auto"/>
              <w:rPr>
                <w:rFonts w:ascii="Arial" w:eastAsia="Times New Roman" w:hAnsi="Arial" w:cs="Arial"/>
                <w:b/>
                <w:bCs/>
                <w:sz w:val="20"/>
                <w:szCs w:val="20"/>
                <w:lang w:eastAsia="es-MX"/>
              </w:rPr>
            </w:pPr>
          </w:p>
        </w:tc>
        <w:tc>
          <w:tcPr>
            <w:tcW w:w="0" w:type="auto"/>
            <w:tcBorders>
              <w:top w:val="nil"/>
              <w:left w:val="nil"/>
              <w:bottom w:val="single" w:sz="4" w:space="0" w:color="auto"/>
              <w:right w:val="single" w:sz="4" w:space="0" w:color="auto"/>
            </w:tcBorders>
            <w:shd w:val="clear" w:color="auto" w:fill="FFB13F"/>
            <w:vAlign w:val="center"/>
            <w:hideMark/>
          </w:tcPr>
          <w:p w14:paraId="3901BAD4" w14:textId="77777777" w:rsidR="005A4E6D" w:rsidRPr="00D67F50" w:rsidRDefault="005A4E6D" w:rsidP="009731DF">
            <w:pPr>
              <w:spacing w:after="0" w:line="240" w:lineRule="auto"/>
              <w:jc w:val="center"/>
              <w:rPr>
                <w:rFonts w:ascii="Arial" w:eastAsia="Times New Roman" w:hAnsi="Arial" w:cs="Arial"/>
                <w:b/>
                <w:bCs/>
                <w:sz w:val="20"/>
                <w:szCs w:val="20"/>
                <w:lang w:eastAsia="es-MX"/>
              </w:rPr>
            </w:pPr>
            <w:r w:rsidRPr="00D67F50">
              <w:rPr>
                <w:rFonts w:ascii="Arial" w:eastAsia="Times New Roman" w:hAnsi="Arial" w:cs="Arial"/>
                <w:b/>
                <w:bCs/>
                <w:sz w:val="20"/>
                <w:szCs w:val="20"/>
                <w:lang w:eastAsia="es-MX"/>
              </w:rPr>
              <w:t>Dependiente</w:t>
            </w:r>
          </w:p>
        </w:tc>
        <w:tc>
          <w:tcPr>
            <w:tcW w:w="0" w:type="auto"/>
            <w:tcBorders>
              <w:top w:val="nil"/>
              <w:left w:val="nil"/>
              <w:bottom w:val="single" w:sz="4" w:space="0" w:color="auto"/>
              <w:right w:val="single" w:sz="4" w:space="0" w:color="auto"/>
            </w:tcBorders>
            <w:shd w:val="clear" w:color="auto" w:fill="FFB13F"/>
            <w:vAlign w:val="center"/>
            <w:hideMark/>
          </w:tcPr>
          <w:p w14:paraId="12691A87" w14:textId="77777777" w:rsidR="005A4E6D" w:rsidRPr="00D67F50" w:rsidRDefault="005A4E6D" w:rsidP="009731DF">
            <w:pPr>
              <w:spacing w:after="0" w:line="240" w:lineRule="auto"/>
              <w:jc w:val="center"/>
              <w:rPr>
                <w:rFonts w:ascii="Arial" w:eastAsia="Times New Roman" w:hAnsi="Arial" w:cs="Arial"/>
                <w:b/>
                <w:bCs/>
                <w:sz w:val="20"/>
                <w:szCs w:val="20"/>
                <w:lang w:eastAsia="es-MX"/>
              </w:rPr>
            </w:pPr>
            <w:r w:rsidRPr="00D67F50">
              <w:rPr>
                <w:rFonts w:ascii="Arial" w:hAnsi="Arial" w:cs="Arial"/>
                <w:b/>
                <w:bCs/>
                <w:sz w:val="20"/>
                <w:szCs w:val="20"/>
                <w:lang w:eastAsia="es-MX"/>
              </w:rPr>
              <w:t>Subcontratado</w:t>
            </w:r>
          </w:p>
        </w:tc>
        <w:tc>
          <w:tcPr>
            <w:tcW w:w="0" w:type="auto"/>
            <w:tcBorders>
              <w:top w:val="nil"/>
              <w:left w:val="nil"/>
              <w:bottom w:val="single" w:sz="4" w:space="0" w:color="auto"/>
              <w:right w:val="single" w:sz="4" w:space="0" w:color="auto"/>
            </w:tcBorders>
            <w:shd w:val="clear" w:color="auto" w:fill="FFB13F"/>
            <w:vAlign w:val="center"/>
          </w:tcPr>
          <w:p w14:paraId="652B79C5" w14:textId="77777777" w:rsidR="005A4E6D" w:rsidRPr="00D67F50" w:rsidRDefault="005A4E6D" w:rsidP="009731DF">
            <w:pPr>
              <w:spacing w:after="0" w:line="240" w:lineRule="auto"/>
              <w:jc w:val="center"/>
              <w:rPr>
                <w:rFonts w:ascii="Arial" w:eastAsia="Times New Roman" w:hAnsi="Arial" w:cs="Arial"/>
                <w:b/>
                <w:bCs/>
                <w:sz w:val="20"/>
                <w:szCs w:val="20"/>
                <w:lang w:eastAsia="es-MX"/>
              </w:rPr>
            </w:pPr>
            <w:r w:rsidRPr="00D67F50">
              <w:rPr>
                <w:rFonts w:ascii="Arial" w:eastAsia="Times New Roman" w:hAnsi="Arial" w:cs="Arial"/>
                <w:b/>
                <w:bCs/>
                <w:sz w:val="20"/>
                <w:szCs w:val="20"/>
                <w:lang w:eastAsia="es-MX"/>
              </w:rPr>
              <w:t>Dependiente</w:t>
            </w:r>
          </w:p>
        </w:tc>
        <w:tc>
          <w:tcPr>
            <w:tcW w:w="0" w:type="auto"/>
            <w:tcBorders>
              <w:top w:val="nil"/>
              <w:left w:val="nil"/>
              <w:bottom w:val="single" w:sz="4" w:space="0" w:color="auto"/>
              <w:right w:val="single" w:sz="4" w:space="0" w:color="auto"/>
            </w:tcBorders>
            <w:shd w:val="clear" w:color="auto" w:fill="FFB13F"/>
            <w:vAlign w:val="center"/>
          </w:tcPr>
          <w:p w14:paraId="4FEB5468" w14:textId="77777777" w:rsidR="005A4E6D" w:rsidRPr="00D67F50" w:rsidRDefault="005A4E6D" w:rsidP="009731DF">
            <w:pPr>
              <w:spacing w:after="0" w:line="240" w:lineRule="auto"/>
              <w:jc w:val="center"/>
              <w:rPr>
                <w:rFonts w:ascii="Arial" w:eastAsia="Times New Roman" w:hAnsi="Arial" w:cs="Arial"/>
                <w:b/>
                <w:bCs/>
                <w:sz w:val="20"/>
                <w:szCs w:val="20"/>
                <w:lang w:eastAsia="es-MX"/>
              </w:rPr>
            </w:pPr>
            <w:r w:rsidRPr="00D67F50">
              <w:rPr>
                <w:rFonts w:ascii="Arial" w:hAnsi="Arial" w:cs="Arial"/>
                <w:b/>
                <w:bCs/>
                <w:sz w:val="20"/>
                <w:szCs w:val="20"/>
                <w:lang w:eastAsia="es-MX"/>
              </w:rPr>
              <w:t>Subcontratado</w:t>
            </w:r>
          </w:p>
        </w:tc>
      </w:tr>
      <w:tr w:rsidR="005A4E6D" w:rsidRPr="00903A81" w14:paraId="756C15E6" w14:textId="77777777" w:rsidTr="00507451">
        <w:trPr>
          <w:trHeight w:val="283"/>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0F6A0F9B" w14:textId="4D90D523" w:rsidR="005A4E6D" w:rsidRPr="00D67F50" w:rsidRDefault="005A4E6D" w:rsidP="009036FE">
            <w:pPr>
              <w:spacing w:after="0" w:line="240" w:lineRule="auto"/>
              <w:rPr>
                <w:rFonts w:ascii="Arial" w:eastAsia="Times New Roman" w:hAnsi="Arial" w:cs="Arial"/>
                <w:b/>
                <w:sz w:val="20"/>
                <w:szCs w:val="20"/>
                <w:lang w:eastAsia="es-MX"/>
              </w:rPr>
            </w:pPr>
            <w:r w:rsidRPr="00D67F50">
              <w:rPr>
                <w:rFonts w:ascii="Arial" w:eastAsia="Times New Roman" w:hAnsi="Arial" w:cs="Arial"/>
                <w:b/>
                <w:sz w:val="20"/>
                <w:szCs w:val="20"/>
                <w:lang w:eastAsia="es-MX"/>
              </w:rPr>
              <w:t>Construcción</w:t>
            </w:r>
          </w:p>
        </w:tc>
        <w:tc>
          <w:tcPr>
            <w:tcW w:w="0" w:type="auto"/>
            <w:tcBorders>
              <w:top w:val="nil"/>
              <w:left w:val="nil"/>
              <w:bottom w:val="single" w:sz="4" w:space="0" w:color="auto"/>
              <w:right w:val="single" w:sz="4" w:space="0" w:color="auto"/>
            </w:tcBorders>
            <w:shd w:val="clear" w:color="auto" w:fill="auto"/>
            <w:vAlign w:val="center"/>
          </w:tcPr>
          <w:p w14:paraId="72E57948" w14:textId="77C74F56" w:rsidR="005A4E6D" w:rsidRPr="00D67F50" w:rsidRDefault="005A4E6D" w:rsidP="009036FE">
            <w:pPr>
              <w:spacing w:after="0" w:line="240" w:lineRule="auto"/>
              <w:jc w:val="center"/>
              <w:rPr>
                <w:rFonts w:ascii="Arial" w:eastAsia="Times New Roman" w:hAnsi="Arial" w:cs="Arial"/>
                <w:b/>
                <w:sz w:val="20"/>
                <w:szCs w:val="20"/>
                <w:lang w:eastAsia="es-MX"/>
              </w:rPr>
            </w:pPr>
            <w:r w:rsidRPr="00D67F50">
              <w:rPr>
                <w:rFonts w:ascii="Arial" w:eastAsia="Times New Roman" w:hAnsi="Arial" w:cs="Arial"/>
                <w:b/>
                <w:sz w:val="20"/>
                <w:szCs w:val="20"/>
                <w:lang w:eastAsia="es-MX"/>
              </w:rPr>
              <w:t>84.5</w:t>
            </w:r>
          </w:p>
        </w:tc>
        <w:tc>
          <w:tcPr>
            <w:tcW w:w="0" w:type="auto"/>
            <w:tcBorders>
              <w:top w:val="nil"/>
              <w:left w:val="nil"/>
              <w:bottom w:val="single" w:sz="4" w:space="0" w:color="auto"/>
              <w:right w:val="single" w:sz="4" w:space="0" w:color="auto"/>
            </w:tcBorders>
            <w:shd w:val="clear" w:color="auto" w:fill="auto"/>
            <w:vAlign w:val="center"/>
          </w:tcPr>
          <w:p w14:paraId="686AC666" w14:textId="42918B7E" w:rsidR="005A4E6D" w:rsidRPr="00D67F50" w:rsidRDefault="005A4E6D" w:rsidP="009036FE">
            <w:pPr>
              <w:spacing w:after="0" w:line="240" w:lineRule="auto"/>
              <w:jc w:val="center"/>
              <w:rPr>
                <w:rFonts w:ascii="Arial" w:eastAsia="Times New Roman" w:hAnsi="Arial" w:cs="Arial"/>
                <w:b/>
                <w:sz w:val="20"/>
                <w:szCs w:val="20"/>
                <w:lang w:eastAsia="es-MX"/>
              </w:rPr>
            </w:pPr>
            <w:r w:rsidRPr="00D67F50">
              <w:rPr>
                <w:rFonts w:ascii="Arial" w:eastAsia="Times New Roman" w:hAnsi="Arial" w:cs="Arial"/>
                <w:b/>
                <w:sz w:val="20"/>
                <w:szCs w:val="20"/>
                <w:lang w:eastAsia="es-MX"/>
              </w:rPr>
              <w:t>15.5</w:t>
            </w:r>
          </w:p>
        </w:tc>
        <w:tc>
          <w:tcPr>
            <w:tcW w:w="0" w:type="auto"/>
            <w:tcBorders>
              <w:top w:val="nil"/>
              <w:left w:val="nil"/>
              <w:bottom w:val="single" w:sz="4" w:space="0" w:color="auto"/>
              <w:right w:val="single" w:sz="4" w:space="0" w:color="auto"/>
            </w:tcBorders>
            <w:shd w:val="clear" w:color="auto" w:fill="auto"/>
            <w:vAlign w:val="center"/>
          </w:tcPr>
          <w:p w14:paraId="634A3203" w14:textId="3A2BBA48" w:rsidR="005A4E6D" w:rsidRPr="00D67F50" w:rsidRDefault="005A4E6D" w:rsidP="009036FE">
            <w:pPr>
              <w:spacing w:after="0" w:line="240" w:lineRule="auto"/>
              <w:jc w:val="center"/>
              <w:rPr>
                <w:rFonts w:ascii="Arial" w:eastAsia="Times New Roman" w:hAnsi="Arial" w:cs="Arial"/>
                <w:b/>
                <w:sz w:val="20"/>
                <w:szCs w:val="20"/>
                <w:lang w:eastAsia="es-MX"/>
              </w:rPr>
            </w:pPr>
            <w:r w:rsidRPr="00D67F50">
              <w:rPr>
                <w:rFonts w:ascii="Arial" w:eastAsia="Times New Roman" w:hAnsi="Arial" w:cs="Arial"/>
                <w:b/>
                <w:sz w:val="20"/>
                <w:szCs w:val="20"/>
                <w:lang w:eastAsia="es-MX"/>
              </w:rPr>
              <w:t>87.6</w:t>
            </w:r>
          </w:p>
        </w:tc>
        <w:tc>
          <w:tcPr>
            <w:tcW w:w="0" w:type="auto"/>
            <w:tcBorders>
              <w:top w:val="nil"/>
              <w:left w:val="nil"/>
              <w:bottom w:val="single" w:sz="4" w:space="0" w:color="auto"/>
              <w:right w:val="single" w:sz="4" w:space="0" w:color="auto"/>
            </w:tcBorders>
            <w:shd w:val="clear" w:color="auto" w:fill="auto"/>
            <w:vAlign w:val="center"/>
          </w:tcPr>
          <w:p w14:paraId="306D79B4" w14:textId="65C02979" w:rsidR="005A4E6D" w:rsidRPr="00D67F50" w:rsidRDefault="005A4E6D" w:rsidP="0098383D">
            <w:pPr>
              <w:spacing w:after="0" w:line="240" w:lineRule="auto"/>
              <w:ind w:left="-563" w:right="414"/>
              <w:jc w:val="right"/>
              <w:rPr>
                <w:rFonts w:ascii="Arial" w:eastAsia="Times New Roman" w:hAnsi="Arial" w:cs="Arial"/>
                <w:b/>
                <w:sz w:val="20"/>
                <w:szCs w:val="20"/>
                <w:lang w:eastAsia="es-MX"/>
              </w:rPr>
            </w:pPr>
            <w:r w:rsidRPr="00D67F50">
              <w:rPr>
                <w:rFonts w:ascii="Arial" w:eastAsia="Times New Roman" w:hAnsi="Arial" w:cs="Arial"/>
                <w:b/>
                <w:sz w:val="20"/>
                <w:szCs w:val="20"/>
                <w:lang w:eastAsia="es-MX"/>
              </w:rPr>
              <w:t>12.4</w:t>
            </w:r>
          </w:p>
        </w:tc>
      </w:tr>
      <w:tr w:rsidR="005A4E6D" w:rsidRPr="00903A81" w14:paraId="3012072A" w14:textId="77777777" w:rsidTr="00507451">
        <w:trPr>
          <w:trHeight w:val="283"/>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910979" w14:textId="1E115378" w:rsidR="005A4E6D" w:rsidRPr="00D67F50" w:rsidRDefault="005A4E6D" w:rsidP="00C66ACF">
            <w:pPr>
              <w:spacing w:after="0" w:line="240" w:lineRule="auto"/>
              <w:ind w:left="67"/>
              <w:rPr>
                <w:rFonts w:ascii="Arial" w:eastAsia="Times New Roman" w:hAnsi="Arial" w:cs="Arial"/>
                <w:sz w:val="20"/>
                <w:szCs w:val="20"/>
                <w:lang w:eastAsia="es-MX"/>
              </w:rPr>
            </w:pPr>
            <w:r w:rsidRPr="00D67F50">
              <w:rPr>
                <w:rFonts w:ascii="Arial" w:eastAsia="Times New Roman" w:hAnsi="Arial" w:cs="Arial"/>
                <w:sz w:val="20"/>
                <w:szCs w:val="20"/>
                <w:lang w:eastAsia="es-MX"/>
              </w:rPr>
              <w:t>Edificación</w:t>
            </w:r>
          </w:p>
        </w:tc>
        <w:tc>
          <w:tcPr>
            <w:tcW w:w="0" w:type="auto"/>
            <w:tcBorders>
              <w:top w:val="nil"/>
              <w:left w:val="nil"/>
              <w:bottom w:val="single" w:sz="4" w:space="0" w:color="auto"/>
              <w:right w:val="single" w:sz="4" w:space="0" w:color="auto"/>
            </w:tcBorders>
            <w:shd w:val="clear" w:color="auto" w:fill="auto"/>
            <w:vAlign w:val="center"/>
          </w:tcPr>
          <w:p w14:paraId="2D25369B" w14:textId="16EDFABF" w:rsidR="005A4E6D" w:rsidRPr="00D67F50" w:rsidRDefault="005A4E6D" w:rsidP="009036FE">
            <w:pPr>
              <w:spacing w:after="0" w:line="240" w:lineRule="auto"/>
              <w:jc w:val="center"/>
              <w:rPr>
                <w:rFonts w:ascii="Arial" w:eastAsia="Times New Roman" w:hAnsi="Arial" w:cs="Arial"/>
                <w:sz w:val="20"/>
                <w:szCs w:val="20"/>
                <w:lang w:eastAsia="es-MX"/>
              </w:rPr>
            </w:pPr>
            <w:r w:rsidRPr="00D67F50">
              <w:rPr>
                <w:rFonts w:ascii="Arial" w:eastAsia="Times New Roman" w:hAnsi="Arial" w:cs="Arial"/>
                <w:sz w:val="20"/>
                <w:szCs w:val="20"/>
                <w:lang w:eastAsia="es-MX"/>
              </w:rPr>
              <w:t>84.2</w:t>
            </w:r>
          </w:p>
        </w:tc>
        <w:tc>
          <w:tcPr>
            <w:tcW w:w="0" w:type="auto"/>
            <w:tcBorders>
              <w:top w:val="nil"/>
              <w:left w:val="nil"/>
              <w:bottom w:val="single" w:sz="4" w:space="0" w:color="auto"/>
              <w:right w:val="single" w:sz="4" w:space="0" w:color="auto"/>
            </w:tcBorders>
            <w:shd w:val="clear" w:color="auto" w:fill="auto"/>
            <w:vAlign w:val="center"/>
          </w:tcPr>
          <w:p w14:paraId="07ACB560" w14:textId="10DC3E9E" w:rsidR="005A4E6D" w:rsidRPr="00D67F50" w:rsidRDefault="005A4E6D" w:rsidP="009036FE">
            <w:pPr>
              <w:spacing w:after="0" w:line="240" w:lineRule="auto"/>
              <w:jc w:val="center"/>
              <w:rPr>
                <w:rFonts w:ascii="Arial" w:eastAsia="Times New Roman" w:hAnsi="Arial" w:cs="Arial"/>
                <w:sz w:val="20"/>
                <w:szCs w:val="20"/>
                <w:lang w:eastAsia="es-MX"/>
              </w:rPr>
            </w:pPr>
            <w:r w:rsidRPr="00D67F50">
              <w:rPr>
                <w:rFonts w:ascii="Arial" w:eastAsia="Times New Roman" w:hAnsi="Arial" w:cs="Arial"/>
                <w:sz w:val="20"/>
                <w:szCs w:val="20"/>
                <w:lang w:eastAsia="es-MX"/>
              </w:rPr>
              <w:t>15.8</w:t>
            </w:r>
          </w:p>
        </w:tc>
        <w:tc>
          <w:tcPr>
            <w:tcW w:w="0" w:type="auto"/>
            <w:tcBorders>
              <w:top w:val="nil"/>
              <w:left w:val="nil"/>
              <w:bottom w:val="single" w:sz="4" w:space="0" w:color="auto"/>
              <w:right w:val="single" w:sz="4" w:space="0" w:color="auto"/>
            </w:tcBorders>
            <w:shd w:val="clear" w:color="auto" w:fill="auto"/>
            <w:vAlign w:val="center"/>
          </w:tcPr>
          <w:p w14:paraId="07B6C7EB" w14:textId="2C3590C1" w:rsidR="005A4E6D" w:rsidRPr="00D67F50" w:rsidRDefault="005A4E6D" w:rsidP="009036FE">
            <w:pPr>
              <w:spacing w:after="0" w:line="240" w:lineRule="auto"/>
              <w:jc w:val="center"/>
              <w:rPr>
                <w:rFonts w:ascii="Arial" w:eastAsia="Times New Roman" w:hAnsi="Arial" w:cs="Arial"/>
                <w:sz w:val="20"/>
                <w:szCs w:val="20"/>
                <w:lang w:eastAsia="es-MX"/>
              </w:rPr>
            </w:pPr>
            <w:r w:rsidRPr="00D67F50">
              <w:rPr>
                <w:rFonts w:ascii="Arial" w:eastAsia="Times New Roman" w:hAnsi="Arial" w:cs="Arial"/>
                <w:sz w:val="20"/>
                <w:szCs w:val="20"/>
                <w:lang w:eastAsia="es-MX"/>
              </w:rPr>
              <w:t>85.5</w:t>
            </w:r>
          </w:p>
        </w:tc>
        <w:tc>
          <w:tcPr>
            <w:tcW w:w="0" w:type="auto"/>
            <w:tcBorders>
              <w:top w:val="nil"/>
              <w:left w:val="nil"/>
              <w:bottom w:val="single" w:sz="4" w:space="0" w:color="auto"/>
              <w:right w:val="single" w:sz="4" w:space="0" w:color="auto"/>
            </w:tcBorders>
            <w:shd w:val="clear" w:color="auto" w:fill="auto"/>
            <w:vAlign w:val="center"/>
          </w:tcPr>
          <w:p w14:paraId="0A204403" w14:textId="6818C0AD" w:rsidR="005A4E6D" w:rsidRPr="00D67F50" w:rsidRDefault="005A4E6D" w:rsidP="0098383D">
            <w:pPr>
              <w:spacing w:after="0" w:line="240" w:lineRule="auto"/>
              <w:ind w:left="-563" w:right="414"/>
              <w:jc w:val="right"/>
              <w:rPr>
                <w:rFonts w:ascii="Arial" w:eastAsia="Times New Roman" w:hAnsi="Arial" w:cs="Arial"/>
                <w:sz w:val="20"/>
                <w:szCs w:val="20"/>
                <w:lang w:eastAsia="es-MX"/>
              </w:rPr>
            </w:pPr>
            <w:r w:rsidRPr="00D67F50">
              <w:rPr>
                <w:rFonts w:ascii="Arial" w:eastAsia="Times New Roman" w:hAnsi="Arial" w:cs="Arial"/>
                <w:sz w:val="20"/>
                <w:szCs w:val="20"/>
                <w:lang w:eastAsia="es-MX"/>
              </w:rPr>
              <w:t>14.5</w:t>
            </w:r>
          </w:p>
        </w:tc>
      </w:tr>
      <w:tr w:rsidR="005A4E6D" w:rsidRPr="00903A81" w14:paraId="4D3D4F8C" w14:textId="77777777" w:rsidTr="00507451">
        <w:trPr>
          <w:trHeight w:val="283"/>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A99499" w14:textId="49B6F041" w:rsidR="005A4E6D" w:rsidRPr="00D67F50" w:rsidRDefault="005A4E6D" w:rsidP="00C66ACF">
            <w:pPr>
              <w:spacing w:after="0" w:line="240" w:lineRule="auto"/>
              <w:ind w:left="67"/>
              <w:rPr>
                <w:rFonts w:ascii="Arial" w:eastAsia="Times New Roman" w:hAnsi="Arial" w:cs="Arial"/>
                <w:sz w:val="20"/>
                <w:szCs w:val="20"/>
                <w:lang w:eastAsia="es-MX"/>
              </w:rPr>
            </w:pPr>
            <w:r w:rsidRPr="00D67F50">
              <w:rPr>
                <w:rFonts w:ascii="Arial" w:eastAsia="Times New Roman" w:hAnsi="Arial" w:cs="Arial"/>
                <w:sz w:val="20"/>
                <w:szCs w:val="20"/>
                <w:lang w:eastAsia="es-MX"/>
              </w:rPr>
              <w:t>Construcción de obras de ingeniería civil</w:t>
            </w:r>
          </w:p>
        </w:tc>
        <w:tc>
          <w:tcPr>
            <w:tcW w:w="0" w:type="auto"/>
            <w:tcBorders>
              <w:top w:val="nil"/>
              <w:left w:val="nil"/>
              <w:bottom w:val="single" w:sz="4" w:space="0" w:color="auto"/>
              <w:right w:val="single" w:sz="4" w:space="0" w:color="auto"/>
            </w:tcBorders>
            <w:shd w:val="clear" w:color="auto" w:fill="auto"/>
            <w:vAlign w:val="center"/>
          </w:tcPr>
          <w:p w14:paraId="0AB69038" w14:textId="70B53E6C" w:rsidR="005A4E6D" w:rsidRPr="00D67F50" w:rsidRDefault="005A4E6D" w:rsidP="009036FE">
            <w:pPr>
              <w:spacing w:after="0" w:line="240" w:lineRule="auto"/>
              <w:jc w:val="center"/>
              <w:rPr>
                <w:rFonts w:ascii="Arial" w:eastAsia="Times New Roman" w:hAnsi="Arial" w:cs="Arial"/>
                <w:sz w:val="20"/>
                <w:szCs w:val="20"/>
                <w:lang w:eastAsia="es-MX"/>
              </w:rPr>
            </w:pPr>
            <w:r w:rsidRPr="00D67F50">
              <w:rPr>
                <w:rFonts w:ascii="Arial" w:eastAsia="Times New Roman" w:hAnsi="Arial" w:cs="Arial"/>
                <w:sz w:val="20"/>
                <w:szCs w:val="20"/>
                <w:lang w:eastAsia="es-MX"/>
              </w:rPr>
              <w:t>84.1</w:t>
            </w:r>
          </w:p>
        </w:tc>
        <w:tc>
          <w:tcPr>
            <w:tcW w:w="0" w:type="auto"/>
            <w:tcBorders>
              <w:top w:val="nil"/>
              <w:left w:val="nil"/>
              <w:bottom w:val="single" w:sz="4" w:space="0" w:color="auto"/>
              <w:right w:val="single" w:sz="4" w:space="0" w:color="auto"/>
            </w:tcBorders>
            <w:shd w:val="clear" w:color="auto" w:fill="auto"/>
            <w:vAlign w:val="center"/>
          </w:tcPr>
          <w:p w14:paraId="18C777A2" w14:textId="73A157DC" w:rsidR="005A4E6D" w:rsidRPr="00D67F50" w:rsidRDefault="005A4E6D" w:rsidP="009036FE">
            <w:pPr>
              <w:spacing w:after="0" w:line="240" w:lineRule="auto"/>
              <w:jc w:val="center"/>
              <w:rPr>
                <w:rFonts w:ascii="Arial" w:eastAsia="Times New Roman" w:hAnsi="Arial" w:cs="Arial"/>
                <w:sz w:val="20"/>
                <w:szCs w:val="20"/>
                <w:lang w:eastAsia="es-MX"/>
              </w:rPr>
            </w:pPr>
            <w:r w:rsidRPr="00D67F50">
              <w:rPr>
                <w:rFonts w:ascii="Arial" w:eastAsia="Times New Roman" w:hAnsi="Arial" w:cs="Arial"/>
                <w:sz w:val="20"/>
                <w:szCs w:val="20"/>
                <w:lang w:eastAsia="es-MX"/>
              </w:rPr>
              <w:t>15.9</w:t>
            </w:r>
          </w:p>
        </w:tc>
        <w:tc>
          <w:tcPr>
            <w:tcW w:w="0" w:type="auto"/>
            <w:tcBorders>
              <w:top w:val="nil"/>
              <w:left w:val="nil"/>
              <w:bottom w:val="single" w:sz="4" w:space="0" w:color="auto"/>
              <w:right w:val="single" w:sz="4" w:space="0" w:color="auto"/>
            </w:tcBorders>
            <w:shd w:val="clear" w:color="auto" w:fill="auto"/>
            <w:vAlign w:val="center"/>
          </w:tcPr>
          <w:p w14:paraId="374539AD" w14:textId="0E1F8F0B" w:rsidR="005A4E6D" w:rsidRPr="00D67F50" w:rsidRDefault="005A4E6D" w:rsidP="009036FE">
            <w:pPr>
              <w:spacing w:after="0" w:line="240" w:lineRule="auto"/>
              <w:jc w:val="center"/>
              <w:rPr>
                <w:rFonts w:ascii="Arial" w:eastAsia="Times New Roman" w:hAnsi="Arial" w:cs="Arial"/>
                <w:sz w:val="20"/>
                <w:szCs w:val="20"/>
                <w:lang w:eastAsia="es-MX"/>
              </w:rPr>
            </w:pPr>
            <w:r w:rsidRPr="00D67F50">
              <w:rPr>
                <w:rFonts w:ascii="Arial" w:eastAsia="Times New Roman" w:hAnsi="Arial" w:cs="Arial"/>
                <w:sz w:val="20"/>
                <w:szCs w:val="20"/>
                <w:lang w:eastAsia="es-MX"/>
              </w:rPr>
              <w:t>88.2</w:t>
            </w:r>
          </w:p>
        </w:tc>
        <w:tc>
          <w:tcPr>
            <w:tcW w:w="0" w:type="auto"/>
            <w:tcBorders>
              <w:top w:val="nil"/>
              <w:left w:val="nil"/>
              <w:bottom w:val="single" w:sz="4" w:space="0" w:color="auto"/>
              <w:right w:val="single" w:sz="4" w:space="0" w:color="auto"/>
            </w:tcBorders>
            <w:shd w:val="clear" w:color="auto" w:fill="auto"/>
            <w:vAlign w:val="center"/>
          </w:tcPr>
          <w:p w14:paraId="75C261AF" w14:textId="0ECA9FC0" w:rsidR="005A4E6D" w:rsidRPr="00D67F50" w:rsidRDefault="005A4E6D" w:rsidP="0098383D">
            <w:pPr>
              <w:spacing w:after="0" w:line="240" w:lineRule="auto"/>
              <w:ind w:left="-563" w:right="414"/>
              <w:jc w:val="right"/>
              <w:rPr>
                <w:rFonts w:ascii="Arial" w:eastAsia="Times New Roman" w:hAnsi="Arial" w:cs="Arial"/>
                <w:sz w:val="20"/>
                <w:szCs w:val="20"/>
                <w:lang w:eastAsia="es-MX"/>
              </w:rPr>
            </w:pPr>
            <w:r w:rsidRPr="00D67F50">
              <w:rPr>
                <w:rFonts w:ascii="Arial" w:eastAsia="Times New Roman" w:hAnsi="Arial" w:cs="Arial"/>
                <w:sz w:val="20"/>
                <w:szCs w:val="20"/>
                <w:lang w:eastAsia="es-MX"/>
              </w:rPr>
              <w:t>11.8</w:t>
            </w:r>
          </w:p>
        </w:tc>
      </w:tr>
      <w:tr w:rsidR="005A4E6D" w:rsidRPr="00903A81" w14:paraId="2FF1972C" w14:textId="77777777" w:rsidTr="00507451">
        <w:trPr>
          <w:trHeight w:val="283"/>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21963C" w14:textId="1924986D" w:rsidR="005A4E6D" w:rsidRPr="00D67F50" w:rsidRDefault="005A4E6D" w:rsidP="00C66ACF">
            <w:pPr>
              <w:spacing w:after="0" w:line="240" w:lineRule="auto"/>
              <w:ind w:left="67"/>
              <w:rPr>
                <w:rFonts w:ascii="Arial" w:eastAsia="Times New Roman" w:hAnsi="Arial" w:cs="Arial"/>
                <w:sz w:val="20"/>
                <w:szCs w:val="20"/>
                <w:lang w:eastAsia="es-MX"/>
              </w:rPr>
            </w:pPr>
            <w:r w:rsidRPr="00D67F50">
              <w:rPr>
                <w:rFonts w:ascii="Arial" w:eastAsia="Times New Roman" w:hAnsi="Arial" w:cs="Arial"/>
                <w:sz w:val="20"/>
                <w:szCs w:val="20"/>
                <w:lang w:eastAsia="es-MX"/>
              </w:rPr>
              <w:t>Trabajos especializados para la construcción</w:t>
            </w:r>
          </w:p>
        </w:tc>
        <w:tc>
          <w:tcPr>
            <w:tcW w:w="0" w:type="auto"/>
            <w:tcBorders>
              <w:top w:val="nil"/>
              <w:left w:val="nil"/>
              <w:bottom w:val="single" w:sz="4" w:space="0" w:color="auto"/>
              <w:right w:val="single" w:sz="4" w:space="0" w:color="auto"/>
            </w:tcBorders>
            <w:shd w:val="clear" w:color="auto" w:fill="auto"/>
            <w:vAlign w:val="center"/>
          </w:tcPr>
          <w:p w14:paraId="578D569C" w14:textId="30962998" w:rsidR="005A4E6D" w:rsidRPr="00D67F50" w:rsidRDefault="005A4E6D" w:rsidP="009036FE">
            <w:pPr>
              <w:spacing w:after="0" w:line="240" w:lineRule="auto"/>
              <w:jc w:val="center"/>
              <w:rPr>
                <w:rFonts w:ascii="Arial" w:eastAsia="Times New Roman" w:hAnsi="Arial" w:cs="Arial"/>
                <w:sz w:val="20"/>
                <w:szCs w:val="20"/>
                <w:lang w:eastAsia="es-MX"/>
              </w:rPr>
            </w:pPr>
            <w:r w:rsidRPr="00D67F50">
              <w:rPr>
                <w:rFonts w:ascii="Arial" w:eastAsia="Times New Roman" w:hAnsi="Arial" w:cs="Arial"/>
                <w:sz w:val="20"/>
                <w:szCs w:val="20"/>
                <w:lang w:eastAsia="es-MX"/>
              </w:rPr>
              <w:t>86.9</w:t>
            </w:r>
          </w:p>
        </w:tc>
        <w:tc>
          <w:tcPr>
            <w:tcW w:w="0" w:type="auto"/>
            <w:tcBorders>
              <w:top w:val="nil"/>
              <w:left w:val="nil"/>
              <w:bottom w:val="single" w:sz="4" w:space="0" w:color="auto"/>
              <w:right w:val="single" w:sz="4" w:space="0" w:color="auto"/>
            </w:tcBorders>
            <w:shd w:val="clear" w:color="auto" w:fill="auto"/>
            <w:vAlign w:val="center"/>
          </w:tcPr>
          <w:p w14:paraId="64407E34" w14:textId="53163A50" w:rsidR="005A4E6D" w:rsidRPr="00D67F50" w:rsidRDefault="005A4E6D" w:rsidP="009036FE">
            <w:pPr>
              <w:spacing w:after="0" w:line="240" w:lineRule="auto"/>
              <w:jc w:val="center"/>
              <w:rPr>
                <w:rFonts w:ascii="Arial" w:eastAsia="Times New Roman" w:hAnsi="Arial" w:cs="Arial"/>
                <w:sz w:val="20"/>
                <w:szCs w:val="20"/>
                <w:lang w:eastAsia="es-MX"/>
              </w:rPr>
            </w:pPr>
            <w:r w:rsidRPr="00D67F50">
              <w:rPr>
                <w:rFonts w:ascii="Arial" w:eastAsia="Times New Roman" w:hAnsi="Arial" w:cs="Arial"/>
                <w:sz w:val="20"/>
                <w:szCs w:val="20"/>
                <w:lang w:eastAsia="es-MX"/>
              </w:rPr>
              <w:t>13.1</w:t>
            </w:r>
          </w:p>
        </w:tc>
        <w:tc>
          <w:tcPr>
            <w:tcW w:w="0" w:type="auto"/>
            <w:tcBorders>
              <w:top w:val="nil"/>
              <w:left w:val="nil"/>
              <w:bottom w:val="single" w:sz="4" w:space="0" w:color="auto"/>
              <w:right w:val="single" w:sz="4" w:space="0" w:color="auto"/>
            </w:tcBorders>
            <w:shd w:val="clear" w:color="auto" w:fill="auto"/>
            <w:vAlign w:val="center"/>
          </w:tcPr>
          <w:p w14:paraId="19368170" w14:textId="17B35039" w:rsidR="005A4E6D" w:rsidRPr="00D67F50" w:rsidRDefault="005A4E6D" w:rsidP="009036FE">
            <w:pPr>
              <w:spacing w:after="0" w:line="240" w:lineRule="auto"/>
              <w:jc w:val="center"/>
              <w:rPr>
                <w:rFonts w:ascii="Arial" w:eastAsia="Times New Roman" w:hAnsi="Arial" w:cs="Arial"/>
                <w:sz w:val="20"/>
                <w:szCs w:val="20"/>
                <w:lang w:eastAsia="es-MX"/>
              </w:rPr>
            </w:pPr>
            <w:r w:rsidRPr="00D67F50">
              <w:rPr>
                <w:rFonts w:ascii="Arial" w:eastAsia="Times New Roman" w:hAnsi="Arial" w:cs="Arial"/>
                <w:sz w:val="20"/>
                <w:szCs w:val="20"/>
                <w:lang w:eastAsia="es-MX"/>
              </w:rPr>
              <w:t>92.9</w:t>
            </w:r>
          </w:p>
        </w:tc>
        <w:tc>
          <w:tcPr>
            <w:tcW w:w="0" w:type="auto"/>
            <w:tcBorders>
              <w:top w:val="nil"/>
              <w:left w:val="nil"/>
              <w:bottom w:val="single" w:sz="4" w:space="0" w:color="auto"/>
              <w:right w:val="single" w:sz="4" w:space="0" w:color="auto"/>
            </w:tcBorders>
            <w:shd w:val="clear" w:color="auto" w:fill="auto"/>
            <w:vAlign w:val="center"/>
          </w:tcPr>
          <w:p w14:paraId="5B10526B" w14:textId="26F2BDA4" w:rsidR="005A4E6D" w:rsidRPr="00D67F50" w:rsidRDefault="005A4E6D" w:rsidP="0098383D">
            <w:pPr>
              <w:spacing w:after="0" w:line="240" w:lineRule="auto"/>
              <w:ind w:left="-563" w:right="414"/>
              <w:jc w:val="right"/>
              <w:rPr>
                <w:rFonts w:ascii="Arial" w:eastAsia="Times New Roman" w:hAnsi="Arial" w:cs="Arial"/>
                <w:sz w:val="20"/>
                <w:szCs w:val="20"/>
                <w:lang w:eastAsia="es-MX"/>
              </w:rPr>
            </w:pPr>
            <w:r w:rsidRPr="00D67F50">
              <w:rPr>
                <w:rFonts w:ascii="Arial" w:eastAsia="Times New Roman" w:hAnsi="Arial" w:cs="Arial"/>
                <w:sz w:val="20"/>
                <w:szCs w:val="20"/>
                <w:lang w:eastAsia="es-MX"/>
              </w:rPr>
              <w:t>7.1</w:t>
            </w:r>
          </w:p>
        </w:tc>
      </w:tr>
    </w:tbl>
    <w:p w14:paraId="624148ED" w14:textId="7ABF31E2" w:rsidR="00903A81" w:rsidRDefault="00B14B1C" w:rsidP="00D67F50">
      <w:pPr>
        <w:pStyle w:val="Default"/>
        <w:jc w:val="both"/>
        <w:rPr>
          <w:color w:val="auto"/>
          <w:sz w:val="16"/>
          <w:lang w:eastAsia="es-MX"/>
        </w:rPr>
      </w:pPr>
      <w:r>
        <w:rPr>
          <w:color w:val="auto"/>
          <w:sz w:val="16"/>
          <w:vertAlign w:val="superscript"/>
          <w:lang w:eastAsia="es-MX"/>
        </w:rPr>
        <w:t>p</w:t>
      </w:r>
      <w:r w:rsidR="00903A81">
        <w:rPr>
          <w:color w:val="auto"/>
          <w:sz w:val="16"/>
          <w:vertAlign w:val="superscript"/>
          <w:lang w:eastAsia="es-MX"/>
        </w:rPr>
        <w:t xml:space="preserve">/ </w:t>
      </w:r>
      <w:r w:rsidR="00903A81">
        <w:rPr>
          <w:color w:val="auto"/>
          <w:sz w:val="16"/>
          <w:lang w:eastAsia="es-MX"/>
        </w:rPr>
        <w:t xml:space="preserve">Cifras preliminares </w:t>
      </w:r>
    </w:p>
    <w:p w14:paraId="7D97930C" w14:textId="2CCDEBC7" w:rsidR="00903A81" w:rsidRPr="005430F9" w:rsidRDefault="00903A81" w:rsidP="00D67F50">
      <w:pPr>
        <w:pStyle w:val="Default"/>
        <w:jc w:val="both"/>
        <w:rPr>
          <w:color w:val="auto"/>
          <w:sz w:val="16"/>
          <w:lang w:eastAsia="es-MX"/>
        </w:rPr>
      </w:pPr>
      <w:r w:rsidRPr="00BF15FB">
        <w:rPr>
          <w:color w:val="auto"/>
          <w:sz w:val="16"/>
          <w:lang w:eastAsia="es-MX"/>
        </w:rPr>
        <w:t xml:space="preserve">Fuente: </w:t>
      </w:r>
      <w:r w:rsidRPr="005430F9">
        <w:rPr>
          <w:color w:val="auto"/>
          <w:sz w:val="16"/>
          <w:lang w:eastAsia="es-MX"/>
        </w:rPr>
        <w:t>INEGI</w:t>
      </w:r>
    </w:p>
    <w:p w14:paraId="3AF1233A" w14:textId="77777777" w:rsidR="006E3ACE" w:rsidRDefault="006E3ACE" w:rsidP="002C2D13">
      <w:pPr>
        <w:pStyle w:val="Default"/>
        <w:jc w:val="both"/>
        <w:rPr>
          <w:bCs/>
          <w:color w:val="auto"/>
          <w:sz w:val="22"/>
          <w:szCs w:val="22"/>
          <w:lang w:eastAsia="es-MX"/>
        </w:rPr>
      </w:pPr>
    </w:p>
    <w:p w14:paraId="58804179" w14:textId="77777777" w:rsidR="00121298" w:rsidRDefault="00121298" w:rsidP="00491516">
      <w:pPr>
        <w:pStyle w:val="Default"/>
        <w:ind w:left="-567" w:right="-660"/>
        <w:jc w:val="both"/>
        <w:rPr>
          <w:bCs/>
          <w:color w:val="auto"/>
          <w:lang w:eastAsia="es-MX"/>
        </w:rPr>
      </w:pPr>
    </w:p>
    <w:p w14:paraId="32BCC0BA" w14:textId="091205CB" w:rsidR="003408EC" w:rsidRDefault="00491516" w:rsidP="00491516">
      <w:pPr>
        <w:pStyle w:val="Default"/>
        <w:ind w:left="-567" w:right="-660"/>
        <w:jc w:val="both"/>
        <w:rPr>
          <w:lang w:eastAsia="es-MX"/>
        </w:rPr>
      </w:pPr>
      <w:r>
        <w:rPr>
          <w:bCs/>
          <w:color w:val="auto"/>
          <w:lang w:eastAsia="es-MX"/>
        </w:rPr>
        <w:t>E</w:t>
      </w:r>
      <w:r w:rsidRPr="00845887">
        <w:rPr>
          <w:bCs/>
          <w:color w:val="auto"/>
          <w:lang w:eastAsia="es-MX"/>
        </w:rPr>
        <w:t>n el periodo 2020-2021</w:t>
      </w:r>
      <w:r>
        <w:rPr>
          <w:bCs/>
          <w:color w:val="auto"/>
          <w:lang w:eastAsia="es-MX"/>
        </w:rPr>
        <w:t>, l</w:t>
      </w:r>
      <w:r w:rsidR="002C2D13" w:rsidRPr="005430F9">
        <w:rPr>
          <w:bCs/>
          <w:color w:val="auto"/>
          <w:lang w:eastAsia="es-MX"/>
        </w:rPr>
        <w:t xml:space="preserve">a composición del personal ocupado </w:t>
      </w:r>
      <w:r w:rsidR="00B86C97" w:rsidRPr="005430F9">
        <w:rPr>
          <w:bCs/>
          <w:color w:val="auto"/>
          <w:lang w:eastAsia="es-MX"/>
        </w:rPr>
        <w:t xml:space="preserve">de las empresas constructoras </w:t>
      </w:r>
      <w:r w:rsidR="00742FE8">
        <w:rPr>
          <w:bCs/>
          <w:color w:val="auto"/>
          <w:lang w:eastAsia="es-MX"/>
        </w:rPr>
        <w:t xml:space="preserve">no presentó cambios. </w:t>
      </w:r>
      <w:r w:rsidR="00121298">
        <w:rPr>
          <w:bCs/>
          <w:color w:val="auto"/>
          <w:lang w:eastAsia="es-MX"/>
        </w:rPr>
        <w:t>La</w:t>
      </w:r>
      <w:r w:rsidR="002C2D13" w:rsidRPr="005430F9">
        <w:rPr>
          <w:bCs/>
          <w:color w:val="auto"/>
          <w:lang w:eastAsia="es-MX"/>
        </w:rPr>
        <w:t xml:space="preserve"> participa</w:t>
      </w:r>
      <w:r w:rsidR="00121298">
        <w:rPr>
          <w:bCs/>
          <w:color w:val="auto"/>
          <w:lang w:eastAsia="es-MX"/>
        </w:rPr>
        <w:t>ción de</w:t>
      </w:r>
      <w:r w:rsidR="0033055B" w:rsidRPr="005430F9">
        <w:rPr>
          <w:bCs/>
          <w:color w:val="auto"/>
          <w:lang w:eastAsia="es-MX"/>
        </w:rPr>
        <w:t xml:space="preserve"> hombres</w:t>
      </w:r>
      <w:r w:rsidR="002C2D13" w:rsidRPr="005430F9">
        <w:rPr>
          <w:bCs/>
          <w:color w:val="auto"/>
          <w:lang w:eastAsia="es-MX"/>
        </w:rPr>
        <w:t xml:space="preserve"> </w:t>
      </w:r>
      <w:r w:rsidR="00121298">
        <w:rPr>
          <w:bCs/>
          <w:color w:val="auto"/>
          <w:lang w:eastAsia="es-MX"/>
        </w:rPr>
        <w:t>fue de</w:t>
      </w:r>
      <w:r w:rsidR="002C2D13" w:rsidRPr="005430F9">
        <w:rPr>
          <w:bCs/>
          <w:color w:val="auto"/>
          <w:lang w:eastAsia="es-MX"/>
        </w:rPr>
        <w:t xml:space="preserve"> </w:t>
      </w:r>
      <w:r w:rsidR="0033055B" w:rsidRPr="005430F9">
        <w:rPr>
          <w:bCs/>
          <w:color w:val="auto"/>
          <w:lang w:eastAsia="es-MX"/>
        </w:rPr>
        <w:t>88</w:t>
      </w:r>
      <w:r w:rsidR="00121298">
        <w:rPr>
          <w:bCs/>
          <w:color w:val="auto"/>
          <w:lang w:eastAsia="es-MX"/>
        </w:rPr>
        <w:t xml:space="preserve">.2 </w:t>
      </w:r>
      <w:r w:rsidR="002C2D13" w:rsidRPr="005430F9">
        <w:rPr>
          <w:bCs/>
          <w:color w:val="auto"/>
          <w:lang w:eastAsia="es-MX"/>
        </w:rPr>
        <w:t>% del total</w:t>
      </w:r>
      <w:r w:rsidR="00121298">
        <w:rPr>
          <w:bCs/>
          <w:color w:val="auto"/>
          <w:lang w:eastAsia="es-MX"/>
        </w:rPr>
        <w:t xml:space="preserve"> y la de</w:t>
      </w:r>
      <w:r w:rsidR="00121298" w:rsidRPr="00845887">
        <w:rPr>
          <w:lang w:eastAsia="es-MX"/>
        </w:rPr>
        <w:t xml:space="preserve"> mujeres</w:t>
      </w:r>
      <w:r w:rsidR="00121298">
        <w:rPr>
          <w:lang w:eastAsia="es-MX"/>
        </w:rPr>
        <w:t>, de</w:t>
      </w:r>
      <w:r w:rsidR="00121298" w:rsidRPr="00845887">
        <w:rPr>
          <w:lang w:eastAsia="es-MX"/>
        </w:rPr>
        <w:t xml:space="preserve"> 11.8</w:t>
      </w:r>
      <w:r w:rsidR="00121298">
        <w:rPr>
          <w:lang w:eastAsia="es-MX"/>
        </w:rPr>
        <w:t xml:space="preserve"> por ciento.</w:t>
      </w:r>
    </w:p>
    <w:p w14:paraId="3CC0005D" w14:textId="77777777" w:rsidR="00121298" w:rsidRPr="005430F9" w:rsidRDefault="00121298" w:rsidP="005430F9">
      <w:pPr>
        <w:pStyle w:val="Default"/>
        <w:ind w:left="-567" w:right="-660"/>
        <w:jc w:val="both"/>
        <w:rPr>
          <w:b/>
          <w:color w:val="auto"/>
          <w:lang w:eastAsia="es-MX"/>
        </w:rPr>
      </w:pPr>
    </w:p>
    <w:p w14:paraId="7364CD6B" w14:textId="77777777" w:rsidR="003408EC" w:rsidRDefault="003408EC" w:rsidP="00664CE3">
      <w:pPr>
        <w:pStyle w:val="Default"/>
        <w:jc w:val="center"/>
        <w:rPr>
          <w:b/>
          <w:color w:val="auto"/>
          <w:sz w:val="22"/>
          <w:lang w:eastAsia="es-MX"/>
        </w:rPr>
      </w:pPr>
    </w:p>
    <w:p w14:paraId="4C25DB1A" w14:textId="0E3A7345" w:rsidR="00664CE3" w:rsidRPr="005430F9" w:rsidRDefault="00664CE3" w:rsidP="00664CE3">
      <w:pPr>
        <w:pStyle w:val="Default"/>
        <w:jc w:val="center"/>
        <w:rPr>
          <w:color w:val="auto"/>
          <w:sz w:val="20"/>
          <w:szCs w:val="20"/>
          <w:lang w:eastAsia="es-MX"/>
        </w:rPr>
      </w:pPr>
      <w:r w:rsidRPr="005430F9">
        <w:rPr>
          <w:color w:val="auto"/>
          <w:sz w:val="20"/>
          <w:szCs w:val="20"/>
          <w:lang w:eastAsia="es-MX"/>
        </w:rPr>
        <w:t>Gráfica 2</w:t>
      </w:r>
    </w:p>
    <w:p w14:paraId="63534105" w14:textId="78AD099F" w:rsidR="00664CE3" w:rsidRPr="005430F9" w:rsidRDefault="00664CE3" w:rsidP="00664CE3">
      <w:pPr>
        <w:pStyle w:val="Default"/>
        <w:jc w:val="center"/>
        <w:rPr>
          <w:rFonts w:ascii="Arial Negrita" w:hAnsi="Arial Negrita"/>
          <w:b/>
          <w:smallCaps/>
          <w:color w:val="auto"/>
          <w:sz w:val="22"/>
          <w:lang w:eastAsia="es-MX"/>
        </w:rPr>
      </w:pPr>
      <w:r w:rsidRPr="005110B8">
        <w:rPr>
          <w:b/>
          <w:color w:val="auto"/>
          <w:sz w:val="22"/>
          <w:lang w:eastAsia="es-MX"/>
        </w:rPr>
        <w:t xml:space="preserve"> </w:t>
      </w:r>
      <w:r w:rsidRPr="005430F9">
        <w:rPr>
          <w:rFonts w:ascii="Arial Negrita" w:hAnsi="Arial Negrita"/>
          <w:b/>
          <w:smallCaps/>
          <w:color w:val="auto"/>
          <w:sz w:val="22"/>
          <w:lang w:eastAsia="es-MX"/>
        </w:rPr>
        <w:t xml:space="preserve"> </w:t>
      </w:r>
      <w:r w:rsidR="00121298">
        <w:rPr>
          <w:rFonts w:ascii="Arial Negrita" w:hAnsi="Arial Negrita"/>
          <w:b/>
          <w:smallCaps/>
          <w:color w:val="auto"/>
          <w:sz w:val="22"/>
          <w:lang w:eastAsia="es-MX"/>
        </w:rPr>
        <w:t>P</w:t>
      </w:r>
      <w:r w:rsidR="002652BF" w:rsidRPr="005430F9">
        <w:rPr>
          <w:rFonts w:ascii="Arial Negrita" w:hAnsi="Arial Negrita"/>
          <w:b/>
          <w:smallCaps/>
          <w:color w:val="auto"/>
          <w:sz w:val="22"/>
          <w:lang w:eastAsia="es-MX"/>
        </w:rPr>
        <w:t xml:space="preserve">ersonal </w:t>
      </w:r>
      <w:r w:rsidRPr="005430F9">
        <w:rPr>
          <w:rFonts w:ascii="Arial Negrita" w:hAnsi="Arial Negrita"/>
          <w:b/>
          <w:smallCaps/>
          <w:color w:val="auto"/>
          <w:sz w:val="22"/>
          <w:lang w:eastAsia="es-MX"/>
        </w:rPr>
        <w:t xml:space="preserve">ocupado total de las </w:t>
      </w:r>
      <w:r w:rsidR="002652BF" w:rsidRPr="005430F9">
        <w:rPr>
          <w:rFonts w:ascii="Arial Negrita" w:hAnsi="Arial Negrita"/>
          <w:b/>
          <w:smallCaps/>
          <w:color w:val="auto"/>
          <w:sz w:val="22"/>
          <w:lang w:eastAsia="es-MX"/>
        </w:rPr>
        <w:t>e</w:t>
      </w:r>
      <w:r w:rsidRPr="005430F9">
        <w:rPr>
          <w:rFonts w:ascii="Arial Negrita" w:hAnsi="Arial Negrita"/>
          <w:b/>
          <w:smallCaps/>
          <w:color w:val="auto"/>
          <w:sz w:val="22"/>
          <w:lang w:eastAsia="es-MX"/>
        </w:rPr>
        <w:t>mpresas constructoras</w:t>
      </w:r>
    </w:p>
    <w:p w14:paraId="1416746A" w14:textId="542CDA78" w:rsidR="00ED2C92" w:rsidRPr="00ED2C92" w:rsidRDefault="00121298" w:rsidP="00ED2C92">
      <w:pPr>
        <w:pStyle w:val="Default"/>
        <w:ind w:left="426" w:hanging="142"/>
        <w:jc w:val="both"/>
        <w:rPr>
          <w:noProof/>
        </w:rPr>
      </w:pPr>
      <w:r w:rsidRPr="005525E5">
        <w:rPr>
          <w:noProof/>
          <w:color w:val="000000" w:themeColor="text1"/>
          <w:lang w:eastAsia="es-MX"/>
        </w:rPr>
        <w:drawing>
          <wp:anchor distT="0" distB="0" distL="114300" distR="114300" simplePos="0" relativeHeight="251658240" behindDoc="0" locked="0" layoutInCell="1" allowOverlap="1" wp14:anchorId="40036B2E" wp14:editId="0CD36DF8">
            <wp:simplePos x="0" y="0"/>
            <wp:positionH relativeFrom="column">
              <wp:posOffset>701040</wp:posOffset>
            </wp:positionH>
            <wp:positionV relativeFrom="paragraph">
              <wp:posOffset>53975</wp:posOffset>
            </wp:positionV>
            <wp:extent cx="2257425" cy="1951355"/>
            <wp:effectExtent l="0" t="0" r="0" b="0"/>
            <wp:wrapSquare wrapText="bothSides"/>
            <wp:docPr id="8" name="Gráfico 8">
              <a:extLst xmlns:a="http://schemas.openxmlformats.org/drawingml/2006/main">
                <a:ext uri="{FF2B5EF4-FFF2-40B4-BE49-F238E27FC236}">
                  <a16:creationId xmlns:a16="http://schemas.microsoft.com/office/drawing/2014/main" id="{00000000-0008-0000-0000-000025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ED2C92" w:rsidRPr="005525E5">
        <w:rPr>
          <w:noProof/>
          <w:color w:val="000000" w:themeColor="text1"/>
          <w:lang w:eastAsia="es-MX"/>
        </w:rPr>
        <w:drawing>
          <wp:anchor distT="0" distB="0" distL="114300" distR="114300" simplePos="0" relativeHeight="251660288" behindDoc="0" locked="0" layoutInCell="1" allowOverlap="1" wp14:anchorId="11D021B5" wp14:editId="4D73CDB8">
            <wp:simplePos x="0" y="0"/>
            <wp:positionH relativeFrom="column">
              <wp:posOffset>2806065</wp:posOffset>
            </wp:positionH>
            <wp:positionV relativeFrom="paragraph">
              <wp:posOffset>53975</wp:posOffset>
            </wp:positionV>
            <wp:extent cx="2343150" cy="1951355"/>
            <wp:effectExtent l="0" t="0" r="0" b="0"/>
            <wp:wrapSquare wrapText="bothSides"/>
            <wp:docPr id="14" name="Gráfico 14">
              <a:extLst xmlns:a="http://schemas.openxmlformats.org/drawingml/2006/main">
                <a:ext uri="{FF2B5EF4-FFF2-40B4-BE49-F238E27FC236}">
                  <a16:creationId xmlns:a16="http://schemas.microsoft.com/office/drawing/2014/main" id="{00000000-0008-0000-0000-000025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664CE3" w:rsidRPr="00B70CDD">
        <w:rPr>
          <w:noProof/>
        </w:rPr>
        <w:t xml:space="preserve"> </w:t>
      </w:r>
    </w:p>
    <w:p w14:paraId="3093BD84" w14:textId="1C48E2A9" w:rsidR="00F87B64" w:rsidRDefault="00F87B64" w:rsidP="00664CE3">
      <w:pPr>
        <w:pStyle w:val="Default"/>
        <w:ind w:left="426" w:hanging="142"/>
        <w:jc w:val="both"/>
        <w:rPr>
          <w:sz w:val="22"/>
          <w:lang w:eastAsia="es-MX"/>
        </w:rPr>
      </w:pPr>
    </w:p>
    <w:p w14:paraId="647E291F" w14:textId="5903E6B6" w:rsidR="00F87B64" w:rsidRDefault="00F87B64" w:rsidP="00664CE3">
      <w:pPr>
        <w:pStyle w:val="Default"/>
        <w:ind w:left="426" w:hanging="142"/>
        <w:jc w:val="both"/>
        <w:rPr>
          <w:sz w:val="22"/>
          <w:lang w:eastAsia="es-MX"/>
        </w:rPr>
      </w:pPr>
    </w:p>
    <w:p w14:paraId="2D7075E9" w14:textId="75E17996" w:rsidR="00F87B64" w:rsidRDefault="00F87B64" w:rsidP="00664CE3">
      <w:pPr>
        <w:pStyle w:val="Default"/>
        <w:ind w:left="426" w:hanging="142"/>
        <w:jc w:val="both"/>
        <w:rPr>
          <w:sz w:val="22"/>
          <w:lang w:eastAsia="es-MX"/>
        </w:rPr>
      </w:pPr>
    </w:p>
    <w:p w14:paraId="0DA0E15D" w14:textId="6FF27670" w:rsidR="00F87B64" w:rsidRDefault="00F87B64" w:rsidP="00664CE3">
      <w:pPr>
        <w:pStyle w:val="Default"/>
        <w:ind w:left="426" w:hanging="142"/>
        <w:jc w:val="both"/>
        <w:rPr>
          <w:sz w:val="22"/>
          <w:lang w:eastAsia="es-MX"/>
        </w:rPr>
      </w:pPr>
    </w:p>
    <w:p w14:paraId="43B695BB" w14:textId="4E9B0844" w:rsidR="00F87B64" w:rsidRDefault="00F87B64" w:rsidP="00664CE3">
      <w:pPr>
        <w:pStyle w:val="Default"/>
        <w:ind w:left="426" w:hanging="142"/>
        <w:jc w:val="both"/>
        <w:rPr>
          <w:sz w:val="22"/>
          <w:lang w:eastAsia="es-MX"/>
        </w:rPr>
      </w:pPr>
    </w:p>
    <w:p w14:paraId="2C98F0AC" w14:textId="0255B368" w:rsidR="00F87B64" w:rsidRDefault="00F87B64" w:rsidP="00664CE3">
      <w:pPr>
        <w:pStyle w:val="Default"/>
        <w:ind w:left="426" w:hanging="142"/>
        <w:jc w:val="both"/>
        <w:rPr>
          <w:sz w:val="22"/>
          <w:lang w:eastAsia="es-MX"/>
        </w:rPr>
      </w:pPr>
    </w:p>
    <w:p w14:paraId="2CD043BF" w14:textId="4CC3BB3F" w:rsidR="00F87B64" w:rsidRDefault="00F87B64" w:rsidP="00664CE3">
      <w:pPr>
        <w:pStyle w:val="Default"/>
        <w:ind w:left="426" w:hanging="142"/>
        <w:jc w:val="both"/>
        <w:rPr>
          <w:sz w:val="22"/>
          <w:lang w:eastAsia="es-MX"/>
        </w:rPr>
      </w:pPr>
    </w:p>
    <w:p w14:paraId="0BF34DF6" w14:textId="10028354" w:rsidR="00F87B64" w:rsidRDefault="00F87B64" w:rsidP="00664CE3">
      <w:pPr>
        <w:pStyle w:val="Default"/>
        <w:ind w:left="426" w:hanging="142"/>
        <w:jc w:val="both"/>
        <w:rPr>
          <w:sz w:val="22"/>
          <w:lang w:eastAsia="es-MX"/>
        </w:rPr>
      </w:pPr>
    </w:p>
    <w:p w14:paraId="4B74E064" w14:textId="5556810F" w:rsidR="00F87B64" w:rsidRDefault="00F87B64" w:rsidP="00664CE3">
      <w:pPr>
        <w:pStyle w:val="Default"/>
        <w:ind w:left="426" w:hanging="142"/>
        <w:jc w:val="both"/>
        <w:rPr>
          <w:sz w:val="22"/>
          <w:lang w:eastAsia="es-MX"/>
        </w:rPr>
      </w:pPr>
    </w:p>
    <w:p w14:paraId="6C41AEFB" w14:textId="7CE70ED0" w:rsidR="00664CE3" w:rsidRDefault="00664CE3" w:rsidP="00664CE3">
      <w:pPr>
        <w:pStyle w:val="Default"/>
        <w:ind w:left="3261"/>
        <w:jc w:val="both"/>
        <w:rPr>
          <w:color w:val="auto"/>
          <w:sz w:val="16"/>
          <w:vertAlign w:val="superscript"/>
          <w:lang w:eastAsia="es-MX"/>
        </w:rPr>
      </w:pPr>
    </w:p>
    <w:p w14:paraId="05EE5BDA" w14:textId="29B05A97" w:rsidR="00F87B64" w:rsidRDefault="00F87B64" w:rsidP="00664CE3">
      <w:pPr>
        <w:pStyle w:val="Default"/>
        <w:ind w:left="3261"/>
        <w:jc w:val="both"/>
        <w:rPr>
          <w:color w:val="auto"/>
          <w:sz w:val="16"/>
          <w:vertAlign w:val="superscript"/>
          <w:lang w:eastAsia="es-MX"/>
        </w:rPr>
      </w:pPr>
    </w:p>
    <w:p w14:paraId="522C672F" w14:textId="143B8F01" w:rsidR="00F87B64" w:rsidRDefault="00507451" w:rsidP="00664CE3">
      <w:pPr>
        <w:pStyle w:val="Default"/>
        <w:ind w:left="3261"/>
        <w:jc w:val="both"/>
        <w:rPr>
          <w:color w:val="auto"/>
          <w:sz w:val="16"/>
          <w:vertAlign w:val="superscript"/>
          <w:lang w:eastAsia="es-MX"/>
        </w:rPr>
      </w:pPr>
      <w:r>
        <w:rPr>
          <w:noProof/>
        </w:rPr>
        <w:drawing>
          <wp:inline distT="0" distB="0" distL="0" distR="0" wp14:anchorId="4BE9E4D1" wp14:editId="067A71CF">
            <wp:extent cx="1664898" cy="163901"/>
            <wp:effectExtent l="0" t="0" r="0" b="7620"/>
            <wp:docPr id="4" name="Imagen 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Aplicación&#10;&#10;Descripción generada automáticamente"/>
                    <pic:cNvPicPr/>
                  </pic:nvPicPr>
                  <pic:blipFill rotWithShape="1">
                    <a:blip r:embed="rId13"/>
                    <a:srcRect l="48726" t="59873" r="21595" b="34930"/>
                    <a:stretch/>
                  </pic:blipFill>
                  <pic:spPr bwMode="auto">
                    <a:xfrm>
                      <a:off x="0" y="0"/>
                      <a:ext cx="1665654" cy="163975"/>
                    </a:xfrm>
                    <a:prstGeom prst="rect">
                      <a:avLst/>
                    </a:prstGeom>
                    <a:ln>
                      <a:noFill/>
                    </a:ln>
                    <a:extLst>
                      <a:ext uri="{53640926-AAD7-44D8-BBD7-CCE9431645EC}">
                        <a14:shadowObscured xmlns:a14="http://schemas.microsoft.com/office/drawing/2010/main"/>
                      </a:ext>
                    </a:extLst>
                  </pic:spPr>
                </pic:pic>
              </a:graphicData>
            </a:graphic>
          </wp:inline>
        </w:drawing>
      </w:r>
    </w:p>
    <w:p w14:paraId="63BA8E43" w14:textId="08839CE3" w:rsidR="0027262E" w:rsidRDefault="00B14B1C" w:rsidP="00581849">
      <w:pPr>
        <w:pStyle w:val="Default"/>
        <w:ind w:left="284"/>
        <w:jc w:val="both"/>
        <w:rPr>
          <w:color w:val="auto"/>
          <w:sz w:val="16"/>
          <w:lang w:eastAsia="es-MX"/>
        </w:rPr>
      </w:pPr>
      <w:r>
        <w:rPr>
          <w:color w:val="auto"/>
          <w:sz w:val="16"/>
          <w:vertAlign w:val="superscript"/>
          <w:lang w:eastAsia="es-MX"/>
        </w:rPr>
        <w:t>p</w:t>
      </w:r>
      <w:r w:rsidR="00664CE3">
        <w:rPr>
          <w:color w:val="auto"/>
          <w:sz w:val="16"/>
          <w:vertAlign w:val="superscript"/>
          <w:lang w:eastAsia="es-MX"/>
        </w:rPr>
        <w:t xml:space="preserve">/ </w:t>
      </w:r>
      <w:r w:rsidR="00664CE3">
        <w:rPr>
          <w:color w:val="auto"/>
          <w:sz w:val="16"/>
          <w:lang w:eastAsia="es-MX"/>
        </w:rPr>
        <w:t xml:space="preserve">Cifras preliminares </w:t>
      </w:r>
    </w:p>
    <w:p w14:paraId="249A70E1" w14:textId="25DE480C" w:rsidR="00664CE3" w:rsidRDefault="00664CE3" w:rsidP="00581849">
      <w:pPr>
        <w:pStyle w:val="Default"/>
        <w:ind w:left="284"/>
        <w:jc w:val="both"/>
        <w:rPr>
          <w:b/>
          <w:color w:val="auto"/>
          <w:sz w:val="16"/>
          <w:lang w:eastAsia="es-MX"/>
        </w:rPr>
      </w:pPr>
      <w:r w:rsidRPr="00BF15FB">
        <w:rPr>
          <w:color w:val="auto"/>
          <w:sz w:val="16"/>
          <w:lang w:eastAsia="es-MX"/>
        </w:rPr>
        <w:t xml:space="preserve">Fuente: </w:t>
      </w:r>
      <w:r w:rsidRPr="005430F9">
        <w:rPr>
          <w:color w:val="auto"/>
          <w:sz w:val="16"/>
          <w:lang w:eastAsia="es-MX"/>
        </w:rPr>
        <w:t>INEGI</w:t>
      </w:r>
    </w:p>
    <w:p w14:paraId="3B44F21A" w14:textId="77777777" w:rsidR="003408EC" w:rsidRPr="00BF15FB" w:rsidRDefault="003408EC" w:rsidP="00581849">
      <w:pPr>
        <w:pStyle w:val="Default"/>
        <w:ind w:left="284"/>
        <w:jc w:val="both"/>
        <w:rPr>
          <w:color w:val="auto"/>
          <w:sz w:val="16"/>
          <w:lang w:eastAsia="es-MX"/>
        </w:rPr>
      </w:pPr>
    </w:p>
    <w:p w14:paraId="0EAE715F" w14:textId="77777777" w:rsidR="004957A7" w:rsidRDefault="004957A7" w:rsidP="00C92D0F">
      <w:pPr>
        <w:pStyle w:val="Default"/>
        <w:jc w:val="both"/>
        <w:rPr>
          <w:sz w:val="22"/>
          <w:szCs w:val="22"/>
          <w:lang w:eastAsia="es-MX"/>
        </w:rPr>
      </w:pPr>
    </w:p>
    <w:p w14:paraId="268F72EF" w14:textId="77777777" w:rsidR="00752A92" w:rsidRDefault="00752A92" w:rsidP="00121298">
      <w:pPr>
        <w:pStyle w:val="Default"/>
        <w:ind w:left="-567" w:right="-518"/>
        <w:jc w:val="both"/>
        <w:rPr>
          <w:lang w:eastAsia="es-MX"/>
        </w:rPr>
      </w:pPr>
    </w:p>
    <w:p w14:paraId="6D28D9FA" w14:textId="77777777" w:rsidR="00752A92" w:rsidRDefault="00752A92" w:rsidP="00121298">
      <w:pPr>
        <w:pStyle w:val="Default"/>
        <w:ind w:left="-567" w:right="-518"/>
        <w:jc w:val="both"/>
        <w:rPr>
          <w:lang w:eastAsia="es-MX"/>
        </w:rPr>
      </w:pPr>
    </w:p>
    <w:p w14:paraId="3A7A6036" w14:textId="77777777" w:rsidR="00752A92" w:rsidRDefault="00752A92" w:rsidP="00121298">
      <w:pPr>
        <w:pStyle w:val="Default"/>
        <w:ind w:left="-567" w:right="-518"/>
        <w:jc w:val="both"/>
        <w:rPr>
          <w:lang w:eastAsia="es-MX"/>
        </w:rPr>
      </w:pPr>
    </w:p>
    <w:p w14:paraId="40D73A08" w14:textId="77777777" w:rsidR="00752A92" w:rsidRDefault="00752A92" w:rsidP="00121298">
      <w:pPr>
        <w:pStyle w:val="Default"/>
        <w:ind w:left="-567" w:right="-518"/>
        <w:jc w:val="both"/>
        <w:rPr>
          <w:lang w:eastAsia="es-MX"/>
        </w:rPr>
      </w:pPr>
    </w:p>
    <w:p w14:paraId="4395FF0F" w14:textId="2816DE44" w:rsidR="00B70CDD" w:rsidRDefault="000F5F4C" w:rsidP="00121298">
      <w:pPr>
        <w:pStyle w:val="Default"/>
        <w:ind w:left="-567" w:right="-518"/>
        <w:jc w:val="both"/>
        <w:rPr>
          <w:lang w:eastAsia="es-MX"/>
        </w:rPr>
      </w:pPr>
      <w:r>
        <w:rPr>
          <w:lang w:eastAsia="es-MX"/>
        </w:rPr>
        <w:t>En el personal ocupado total p</w:t>
      </w:r>
      <w:r w:rsidR="00726A0D" w:rsidRPr="005430F9">
        <w:rPr>
          <w:lang w:eastAsia="es-MX"/>
        </w:rPr>
        <w:t xml:space="preserve">or subsector, la mayor participación </w:t>
      </w:r>
      <w:r w:rsidR="00D533EA">
        <w:rPr>
          <w:lang w:eastAsia="es-MX"/>
        </w:rPr>
        <w:t xml:space="preserve">de mujeres </w:t>
      </w:r>
      <w:r w:rsidR="00726A0D" w:rsidRPr="005430F9">
        <w:rPr>
          <w:lang w:eastAsia="es-MX"/>
        </w:rPr>
        <w:t>se present</w:t>
      </w:r>
      <w:r w:rsidR="00121298">
        <w:rPr>
          <w:lang w:eastAsia="es-MX"/>
        </w:rPr>
        <w:t>ó</w:t>
      </w:r>
      <w:r w:rsidR="00726A0D" w:rsidRPr="005430F9">
        <w:rPr>
          <w:lang w:eastAsia="es-MX"/>
        </w:rPr>
        <w:t xml:space="preserve"> en </w:t>
      </w:r>
      <w:r w:rsidR="00893CE6" w:rsidRPr="006F4FC9">
        <w:rPr>
          <w:i/>
          <w:lang w:eastAsia="es-MX"/>
        </w:rPr>
        <w:t>Trabajos especializados para la construcción</w:t>
      </w:r>
      <w:r w:rsidR="00742FE8">
        <w:rPr>
          <w:lang w:eastAsia="es-MX"/>
        </w:rPr>
        <w:t>,</w:t>
      </w:r>
      <w:r w:rsidR="00726A0D" w:rsidRPr="005430F9">
        <w:rPr>
          <w:lang w:eastAsia="es-MX"/>
        </w:rPr>
        <w:t xml:space="preserve"> con </w:t>
      </w:r>
      <w:r w:rsidR="00B86C97" w:rsidRPr="005430F9">
        <w:rPr>
          <w:lang w:eastAsia="es-MX"/>
        </w:rPr>
        <w:t>1</w:t>
      </w:r>
      <w:r w:rsidR="00AB2E56" w:rsidRPr="005430F9">
        <w:rPr>
          <w:lang w:eastAsia="es-MX"/>
        </w:rPr>
        <w:t>4.0</w:t>
      </w:r>
      <w:r w:rsidR="00121298">
        <w:rPr>
          <w:lang w:eastAsia="es-MX"/>
        </w:rPr>
        <w:t xml:space="preserve"> </w:t>
      </w:r>
      <w:r w:rsidR="00742FE8">
        <w:rPr>
          <w:lang w:eastAsia="es-MX"/>
        </w:rPr>
        <w:t>por ciento</w:t>
      </w:r>
      <w:r w:rsidR="00121298">
        <w:rPr>
          <w:lang w:eastAsia="es-MX"/>
        </w:rPr>
        <w:t xml:space="preserve">. </w:t>
      </w:r>
      <w:r w:rsidR="00742FE8">
        <w:rPr>
          <w:lang w:eastAsia="es-MX"/>
        </w:rPr>
        <w:t>S</w:t>
      </w:r>
      <w:r w:rsidR="0033055B" w:rsidRPr="005430F9">
        <w:rPr>
          <w:lang w:eastAsia="es-MX"/>
        </w:rPr>
        <w:t>igu</w:t>
      </w:r>
      <w:r w:rsidR="00121298">
        <w:rPr>
          <w:lang w:eastAsia="es-MX"/>
        </w:rPr>
        <w:t>ió</w:t>
      </w:r>
      <w:r w:rsidR="0033055B" w:rsidRPr="005430F9">
        <w:rPr>
          <w:lang w:eastAsia="es-MX"/>
        </w:rPr>
        <w:t xml:space="preserve"> </w:t>
      </w:r>
      <w:r w:rsidR="0033055B" w:rsidRPr="006F4FC9">
        <w:rPr>
          <w:i/>
          <w:lang w:eastAsia="es-MX"/>
        </w:rPr>
        <w:t>E</w:t>
      </w:r>
      <w:r w:rsidR="002E57DB" w:rsidRPr="006F4FC9">
        <w:rPr>
          <w:i/>
          <w:lang w:eastAsia="es-MX"/>
        </w:rPr>
        <w:t>dificación</w:t>
      </w:r>
      <w:r w:rsidR="00742FE8">
        <w:rPr>
          <w:lang w:eastAsia="es-MX"/>
        </w:rPr>
        <w:t>,</w:t>
      </w:r>
      <w:r w:rsidR="003132B4" w:rsidRPr="005430F9">
        <w:rPr>
          <w:lang w:eastAsia="es-MX"/>
        </w:rPr>
        <w:t xml:space="preserve"> </w:t>
      </w:r>
      <w:r w:rsidR="009E15E9" w:rsidRPr="005430F9">
        <w:rPr>
          <w:lang w:eastAsia="es-MX"/>
        </w:rPr>
        <w:t xml:space="preserve">con una aportación de </w:t>
      </w:r>
      <w:r w:rsidR="003132B4" w:rsidRPr="005430F9">
        <w:rPr>
          <w:lang w:eastAsia="es-MX"/>
        </w:rPr>
        <w:t>1</w:t>
      </w:r>
      <w:r w:rsidR="002016C5" w:rsidRPr="005430F9">
        <w:rPr>
          <w:lang w:eastAsia="es-MX"/>
        </w:rPr>
        <w:t>2.3</w:t>
      </w:r>
      <w:r w:rsidR="00726A0D" w:rsidRPr="005430F9">
        <w:rPr>
          <w:lang w:eastAsia="es-MX"/>
        </w:rPr>
        <w:t xml:space="preserve"> </w:t>
      </w:r>
      <w:r w:rsidR="00CD1A4E" w:rsidRPr="005430F9">
        <w:rPr>
          <w:lang w:eastAsia="es-MX"/>
        </w:rPr>
        <w:t>por ciento</w:t>
      </w:r>
      <w:r w:rsidR="002E57DB" w:rsidRPr="005430F9">
        <w:rPr>
          <w:lang w:eastAsia="es-MX"/>
        </w:rPr>
        <w:t>.</w:t>
      </w:r>
    </w:p>
    <w:p w14:paraId="6C66C8A6" w14:textId="77777777" w:rsidR="00566C76" w:rsidRDefault="00566C76" w:rsidP="00C92D0F">
      <w:pPr>
        <w:pStyle w:val="Default"/>
        <w:jc w:val="both"/>
        <w:rPr>
          <w:b/>
          <w:color w:val="auto"/>
          <w:sz w:val="22"/>
          <w:szCs w:val="22"/>
          <w:lang w:eastAsia="es-MX"/>
        </w:rPr>
      </w:pPr>
    </w:p>
    <w:p w14:paraId="3E2C7F37" w14:textId="77777777" w:rsidR="005B6881" w:rsidRPr="005430F9" w:rsidRDefault="00195DA0" w:rsidP="00B70CDD">
      <w:pPr>
        <w:pStyle w:val="Default"/>
        <w:rPr>
          <w:color w:val="auto"/>
          <w:sz w:val="20"/>
          <w:szCs w:val="20"/>
          <w:lang w:eastAsia="es-MX"/>
        </w:rPr>
      </w:pPr>
      <w:r>
        <w:rPr>
          <w:b/>
          <w:color w:val="auto"/>
          <w:sz w:val="22"/>
          <w:szCs w:val="22"/>
          <w:lang w:eastAsia="es-MX"/>
        </w:rPr>
        <w:t xml:space="preserve">                                                            </w:t>
      </w:r>
      <w:r w:rsidR="00B70CDD">
        <w:rPr>
          <w:b/>
          <w:color w:val="auto"/>
          <w:sz w:val="22"/>
          <w:szCs w:val="22"/>
          <w:lang w:eastAsia="es-MX"/>
        </w:rPr>
        <w:t xml:space="preserve">  </w:t>
      </w:r>
      <w:r w:rsidR="005B6881" w:rsidRPr="005430F9">
        <w:rPr>
          <w:color w:val="auto"/>
          <w:sz w:val="20"/>
          <w:szCs w:val="20"/>
          <w:lang w:eastAsia="es-MX"/>
        </w:rPr>
        <w:t>Gráfic</w:t>
      </w:r>
      <w:r w:rsidR="00F562A2" w:rsidRPr="005430F9">
        <w:rPr>
          <w:color w:val="auto"/>
          <w:sz w:val="20"/>
          <w:szCs w:val="20"/>
          <w:lang w:eastAsia="es-MX"/>
        </w:rPr>
        <w:t>a</w:t>
      </w:r>
      <w:r w:rsidR="005B6881" w:rsidRPr="005430F9">
        <w:rPr>
          <w:color w:val="auto"/>
          <w:sz w:val="20"/>
          <w:szCs w:val="20"/>
          <w:lang w:eastAsia="es-MX"/>
        </w:rPr>
        <w:t xml:space="preserve"> </w:t>
      </w:r>
      <w:r w:rsidR="00113322" w:rsidRPr="005430F9">
        <w:rPr>
          <w:color w:val="auto"/>
          <w:sz w:val="20"/>
          <w:szCs w:val="20"/>
          <w:lang w:eastAsia="es-MX"/>
        </w:rPr>
        <w:t>3</w:t>
      </w:r>
      <w:r w:rsidR="00D47598" w:rsidRPr="005430F9">
        <w:rPr>
          <w:color w:val="auto"/>
          <w:sz w:val="20"/>
          <w:szCs w:val="20"/>
          <w:lang w:eastAsia="es-MX"/>
        </w:rPr>
        <w:t xml:space="preserve"> </w:t>
      </w:r>
    </w:p>
    <w:p w14:paraId="00794A60" w14:textId="3A96C2A7" w:rsidR="005B6881" w:rsidRPr="005268AA" w:rsidRDefault="00121298" w:rsidP="005430F9">
      <w:pPr>
        <w:pStyle w:val="Default"/>
        <w:ind w:left="-567" w:right="-518"/>
        <w:jc w:val="center"/>
        <w:rPr>
          <w:rFonts w:ascii="Arial Negrita" w:hAnsi="Arial Negrita"/>
          <w:b/>
          <w:smallCaps/>
          <w:color w:val="auto"/>
          <w:sz w:val="22"/>
          <w:szCs w:val="22"/>
          <w:vertAlign w:val="superscript"/>
          <w:lang w:eastAsia="es-MX"/>
        </w:rPr>
      </w:pPr>
      <w:r w:rsidRPr="005268AA">
        <w:rPr>
          <w:rFonts w:ascii="Arial Negrita" w:hAnsi="Arial Negrita"/>
          <w:b/>
          <w:smallCaps/>
          <w:color w:val="auto"/>
          <w:sz w:val="22"/>
          <w:szCs w:val="22"/>
          <w:lang w:eastAsia="es-MX"/>
        </w:rPr>
        <w:t>P</w:t>
      </w:r>
      <w:r w:rsidR="005B6881" w:rsidRPr="004B1724">
        <w:rPr>
          <w:rFonts w:ascii="Arial Negrita" w:hAnsi="Arial Negrita"/>
          <w:b/>
          <w:smallCaps/>
          <w:sz w:val="22"/>
          <w:szCs w:val="22"/>
          <w:lang w:eastAsia="es-MX"/>
        </w:rPr>
        <w:t xml:space="preserve">ersonal ocupado total </w:t>
      </w:r>
      <w:r w:rsidR="003132B4" w:rsidRPr="004B1724">
        <w:rPr>
          <w:rFonts w:ascii="Arial Negrita" w:hAnsi="Arial Negrita"/>
          <w:b/>
          <w:smallCaps/>
          <w:sz w:val="22"/>
          <w:szCs w:val="22"/>
          <w:lang w:eastAsia="es-MX"/>
        </w:rPr>
        <w:t>de</w:t>
      </w:r>
      <w:r w:rsidR="00B70CDD" w:rsidRPr="004B1724">
        <w:rPr>
          <w:rFonts w:ascii="Arial Negrita" w:hAnsi="Arial Negrita"/>
          <w:b/>
          <w:smallCaps/>
          <w:sz w:val="22"/>
          <w:szCs w:val="22"/>
          <w:lang w:eastAsia="es-MX"/>
        </w:rPr>
        <w:t xml:space="preserve"> la</w:t>
      </w:r>
      <w:r w:rsidR="003268FC" w:rsidRPr="004B1724">
        <w:rPr>
          <w:rFonts w:ascii="Arial Negrita" w:hAnsi="Arial Negrita"/>
          <w:b/>
          <w:smallCaps/>
          <w:sz w:val="22"/>
          <w:szCs w:val="22"/>
          <w:lang w:eastAsia="es-MX"/>
        </w:rPr>
        <w:t>s</w:t>
      </w:r>
      <w:r w:rsidR="00B70CDD" w:rsidRPr="004B1724">
        <w:rPr>
          <w:rFonts w:ascii="Arial Negrita" w:hAnsi="Arial Negrita"/>
          <w:b/>
          <w:smallCaps/>
          <w:sz w:val="22"/>
          <w:szCs w:val="22"/>
          <w:lang w:eastAsia="es-MX"/>
        </w:rPr>
        <w:t xml:space="preserve"> </w:t>
      </w:r>
      <w:r w:rsidR="003132B4" w:rsidRPr="004B1724">
        <w:rPr>
          <w:rFonts w:ascii="Arial Negrita" w:hAnsi="Arial Negrita"/>
          <w:b/>
          <w:smallCaps/>
          <w:sz w:val="22"/>
          <w:szCs w:val="22"/>
          <w:lang w:eastAsia="es-MX"/>
        </w:rPr>
        <w:t>e</w:t>
      </w:r>
      <w:r w:rsidR="003268FC" w:rsidRPr="004B1724">
        <w:rPr>
          <w:rFonts w:ascii="Arial Negrita" w:hAnsi="Arial Negrita"/>
          <w:b/>
          <w:smallCaps/>
          <w:sz w:val="22"/>
          <w:szCs w:val="22"/>
          <w:lang w:eastAsia="es-MX"/>
        </w:rPr>
        <w:t>mpresas constructoras</w:t>
      </w:r>
      <w:r w:rsidRPr="005268AA">
        <w:rPr>
          <w:rFonts w:ascii="Arial Negrita" w:hAnsi="Arial Negrita"/>
          <w:b/>
          <w:smallCaps/>
          <w:color w:val="auto"/>
          <w:sz w:val="22"/>
          <w:szCs w:val="22"/>
          <w:lang w:eastAsia="es-MX"/>
        </w:rPr>
        <w:t xml:space="preserve"> según</w:t>
      </w:r>
      <w:r w:rsidR="005B6881" w:rsidRPr="004B1724">
        <w:rPr>
          <w:rFonts w:ascii="Arial Negrita" w:hAnsi="Arial Negrita"/>
          <w:b/>
          <w:smallCaps/>
          <w:sz w:val="22"/>
          <w:szCs w:val="22"/>
          <w:lang w:eastAsia="es-MX"/>
        </w:rPr>
        <w:t xml:space="preserve"> </w:t>
      </w:r>
      <w:r w:rsidR="005B6881" w:rsidRPr="005268AA">
        <w:rPr>
          <w:rFonts w:ascii="Arial Negrita" w:hAnsi="Arial Negrita"/>
          <w:b/>
          <w:smallCaps/>
          <w:color w:val="auto"/>
          <w:sz w:val="22"/>
          <w:szCs w:val="22"/>
          <w:lang w:eastAsia="es-MX"/>
        </w:rPr>
        <w:t>sexo</w:t>
      </w:r>
      <w:r w:rsidR="00982528" w:rsidRPr="005268AA">
        <w:rPr>
          <w:rFonts w:ascii="Arial Negrita" w:hAnsi="Arial Negrita"/>
          <w:b/>
          <w:smallCaps/>
          <w:color w:val="auto"/>
          <w:sz w:val="22"/>
          <w:szCs w:val="22"/>
          <w:lang w:eastAsia="es-MX"/>
        </w:rPr>
        <w:t xml:space="preserve"> y subsector, </w:t>
      </w:r>
      <w:r w:rsidR="005B6881" w:rsidRPr="005268AA">
        <w:rPr>
          <w:rFonts w:ascii="Arial Negrita" w:hAnsi="Arial Negrita"/>
          <w:b/>
          <w:smallCaps/>
          <w:color w:val="auto"/>
          <w:sz w:val="22"/>
          <w:szCs w:val="22"/>
          <w:lang w:eastAsia="es-MX"/>
        </w:rPr>
        <w:t>202</w:t>
      </w:r>
      <w:r w:rsidR="00001BB0" w:rsidRPr="005268AA">
        <w:rPr>
          <w:rFonts w:ascii="Arial Negrita" w:hAnsi="Arial Negrita"/>
          <w:b/>
          <w:smallCaps/>
          <w:color w:val="auto"/>
          <w:sz w:val="22"/>
          <w:szCs w:val="22"/>
          <w:lang w:eastAsia="es-MX"/>
        </w:rPr>
        <w:t>1</w:t>
      </w:r>
      <w:r w:rsidR="005B6881" w:rsidRPr="005268AA">
        <w:rPr>
          <w:rFonts w:ascii="Arial Negrita" w:hAnsi="Arial Negrita"/>
          <w:b/>
          <w:smallCaps/>
          <w:color w:val="auto"/>
          <w:sz w:val="22"/>
          <w:szCs w:val="22"/>
          <w:vertAlign w:val="superscript"/>
          <w:lang w:eastAsia="es-MX"/>
        </w:rPr>
        <w:t>p/</w:t>
      </w:r>
    </w:p>
    <w:p w14:paraId="482706E3" w14:textId="77777777" w:rsidR="00AF6C56" w:rsidRPr="005430F9" w:rsidRDefault="00AF6C56" w:rsidP="005B6881">
      <w:pPr>
        <w:pStyle w:val="Default"/>
        <w:jc w:val="center"/>
        <w:rPr>
          <w:color w:val="auto"/>
          <w:sz w:val="18"/>
          <w:szCs w:val="18"/>
          <w:lang w:eastAsia="es-MX"/>
        </w:rPr>
      </w:pPr>
      <w:r w:rsidRPr="005430F9">
        <w:rPr>
          <w:color w:val="auto"/>
          <w:sz w:val="18"/>
          <w:szCs w:val="18"/>
          <w:lang w:eastAsia="es-MX"/>
        </w:rPr>
        <w:t>(Porcentaje)</w:t>
      </w:r>
    </w:p>
    <w:p w14:paraId="1C400D48" w14:textId="441C32B8" w:rsidR="005B6881" w:rsidRDefault="000E10E0" w:rsidP="009C09D4">
      <w:pPr>
        <w:pStyle w:val="Default"/>
        <w:jc w:val="center"/>
        <w:rPr>
          <w:noProof/>
          <w:lang w:eastAsia="es-MX"/>
        </w:rPr>
      </w:pPr>
      <w:r>
        <w:rPr>
          <w:noProof/>
        </w:rPr>
        <w:drawing>
          <wp:inline distT="0" distB="0" distL="0" distR="0" wp14:anchorId="08D28B4C" wp14:editId="2FBBB07C">
            <wp:extent cx="5503545" cy="2716794"/>
            <wp:effectExtent l="0" t="0" r="1905" b="7620"/>
            <wp:docPr id="9" name="Gráfico 9">
              <a:extLst xmlns:a="http://schemas.openxmlformats.org/drawingml/2006/main">
                <a:ext uri="{FF2B5EF4-FFF2-40B4-BE49-F238E27FC236}">
                  <a16:creationId xmlns:a16="http://schemas.microsoft.com/office/drawing/2014/main" id="{49BC16DD-1666-0C1A-0EBD-C0C90264EE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4A47CA" w14:textId="13E9AB4F" w:rsidR="005B6881" w:rsidRDefault="005B6881" w:rsidP="00581849">
      <w:pPr>
        <w:pStyle w:val="Default"/>
        <w:ind w:left="709"/>
        <w:jc w:val="both"/>
        <w:rPr>
          <w:color w:val="auto"/>
          <w:sz w:val="16"/>
          <w:lang w:eastAsia="es-MX"/>
        </w:rPr>
      </w:pPr>
      <w:r>
        <w:rPr>
          <w:color w:val="auto"/>
          <w:sz w:val="16"/>
          <w:vertAlign w:val="superscript"/>
          <w:lang w:eastAsia="es-MX"/>
        </w:rPr>
        <w:t>p/</w:t>
      </w:r>
      <w:r w:rsidR="00AD1DD3">
        <w:rPr>
          <w:color w:val="auto"/>
          <w:sz w:val="16"/>
          <w:vertAlign w:val="superscript"/>
          <w:lang w:eastAsia="es-MX"/>
        </w:rPr>
        <w:t xml:space="preserve"> </w:t>
      </w:r>
      <w:r>
        <w:rPr>
          <w:color w:val="auto"/>
          <w:sz w:val="16"/>
          <w:lang w:eastAsia="es-MX"/>
        </w:rPr>
        <w:t xml:space="preserve">Cifras preliminares </w:t>
      </w:r>
    </w:p>
    <w:p w14:paraId="1CB0F8E9" w14:textId="44B66453" w:rsidR="005B6881" w:rsidRDefault="005B6881" w:rsidP="00581849">
      <w:pPr>
        <w:pStyle w:val="Default"/>
        <w:ind w:left="709"/>
        <w:jc w:val="both"/>
        <w:rPr>
          <w:b/>
          <w:color w:val="auto"/>
          <w:sz w:val="16"/>
          <w:lang w:eastAsia="es-MX"/>
        </w:rPr>
      </w:pPr>
      <w:r w:rsidRPr="00BF15FB">
        <w:rPr>
          <w:color w:val="auto"/>
          <w:sz w:val="16"/>
          <w:lang w:eastAsia="es-MX"/>
        </w:rPr>
        <w:t>Fuente</w:t>
      </w:r>
      <w:r w:rsidRPr="001B0FE6">
        <w:rPr>
          <w:color w:val="auto"/>
          <w:sz w:val="16"/>
          <w:lang w:eastAsia="es-MX"/>
        </w:rPr>
        <w:t xml:space="preserve">: </w:t>
      </w:r>
      <w:r w:rsidRPr="005430F9">
        <w:rPr>
          <w:color w:val="auto"/>
          <w:sz w:val="16"/>
          <w:lang w:eastAsia="es-MX"/>
        </w:rPr>
        <w:t>INEGI</w:t>
      </w:r>
    </w:p>
    <w:p w14:paraId="47187906" w14:textId="77777777" w:rsidR="003408EC" w:rsidRDefault="003408EC" w:rsidP="00DC71A6">
      <w:pPr>
        <w:pStyle w:val="Default"/>
        <w:jc w:val="both"/>
        <w:rPr>
          <w:color w:val="auto"/>
          <w:sz w:val="22"/>
          <w:lang w:eastAsia="es-MX"/>
        </w:rPr>
      </w:pPr>
    </w:p>
    <w:p w14:paraId="3078E23C" w14:textId="173BEEA6" w:rsidR="00206604" w:rsidRPr="005430F9" w:rsidRDefault="00D241C8" w:rsidP="005430F9">
      <w:pPr>
        <w:pStyle w:val="Default"/>
        <w:ind w:left="-567" w:right="-518"/>
        <w:jc w:val="both"/>
        <w:rPr>
          <w:color w:val="auto"/>
          <w:lang w:eastAsia="es-MX"/>
        </w:rPr>
      </w:pPr>
      <w:r w:rsidRPr="005430F9">
        <w:rPr>
          <w:color w:val="auto"/>
          <w:lang w:eastAsia="es-MX"/>
        </w:rPr>
        <w:t>La</w:t>
      </w:r>
      <w:r w:rsidR="00351F4E" w:rsidRPr="005430F9">
        <w:rPr>
          <w:color w:val="auto"/>
          <w:lang w:eastAsia="es-MX"/>
        </w:rPr>
        <w:t>s</w:t>
      </w:r>
      <w:r w:rsidRPr="005430F9">
        <w:rPr>
          <w:color w:val="auto"/>
          <w:lang w:eastAsia="es-MX"/>
        </w:rPr>
        <w:t xml:space="preserve"> remuneraci</w:t>
      </w:r>
      <w:r w:rsidR="00351F4E" w:rsidRPr="005430F9">
        <w:rPr>
          <w:color w:val="auto"/>
          <w:lang w:eastAsia="es-MX"/>
        </w:rPr>
        <w:t>ones</w:t>
      </w:r>
      <w:r w:rsidR="0040250E" w:rsidRPr="005430F9">
        <w:rPr>
          <w:color w:val="auto"/>
          <w:lang w:eastAsia="es-MX"/>
        </w:rPr>
        <w:t xml:space="preserve"> media</w:t>
      </w:r>
      <w:r w:rsidR="00351F4E" w:rsidRPr="005430F9">
        <w:rPr>
          <w:color w:val="auto"/>
          <w:lang w:eastAsia="es-MX"/>
        </w:rPr>
        <w:t xml:space="preserve">s </w:t>
      </w:r>
      <w:r w:rsidR="00206604" w:rsidRPr="005430F9">
        <w:rPr>
          <w:color w:val="auto"/>
          <w:lang w:eastAsia="es-MX"/>
        </w:rPr>
        <w:t>por persona ocupada registraron 113</w:t>
      </w:r>
      <w:r w:rsidR="00121298">
        <w:rPr>
          <w:color w:val="auto"/>
          <w:lang w:eastAsia="es-MX"/>
        </w:rPr>
        <w:t xml:space="preserve"> </w:t>
      </w:r>
      <w:r w:rsidR="00206604" w:rsidRPr="005430F9">
        <w:rPr>
          <w:color w:val="auto"/>
          <w:lang w:eastAsia="es-MX"/>
        </w:rPr>
        <w:t>492</w:t>
      </w:r>
      <w:r w:rsidR="00742FE8">
        <w:rPr>
          <w:color w:val="auto"/>
          <w:lang w:eastAsia="es-MX"/>
        </w:rPr>
        <w:t xml:space="preserve"> pesos</w:t>
      </w:r>
      <w:r w:rsidR="00121298">
        <w:rPr>
          <w:color w:val="auto"/>
          <w:lang w:eastAsia="es-MX"/>
        </w:rPr>
        <w:t xml:space="preserve"> en 202</w:t>
      </w:r>
      <w:r w:rsidR="004571A6">
        <w:rPr>
          <w:color w:val="auto"/>
          <w:lang w:eastAsia="es-MX"/>
        </w:rPr>
        <w:t>0</w:t>
      </w:r>
      <w:r w:rsidR="00121298">
        <w:rPr>
          <w:color w:val="auto"/>
          <w:lang w:eastAsia="es-MX"/>
        </w:rPr>
        <w:t xml:space="preserve"> </w:t>
      </w:r>
      <w:r w:rsidR="00206604" w:rsidRPr="005430F9">
        <w:rPr>
          <w:color w:val="auto"/>
          <w:lang w:eastAsia="es-MX"/>
        </w:rPr>
        <w:t>y</w:t>
      </w:r>
      <w:r w:rsidR="00742FE8">
        <w:rPr>
          <w:color w:val="auto"/>
          <w:lang w:eastAsia="es-MX"/>
        </w:rPr>
        <w:t xml:space="preserve">       </w:t>
      </w:r>
      <w:r w:rsidR="00206604" w:rsidRPr="005430F9">
        <w:rPr>
          <w:color w:val="auto"/>
          <w:lang w:eastAsia="es-MX"/>
        </w:rPr>
        <w:t xml:space="preserve"> 123</w:t>
      </w:r>
      <w:r w:rsidR="00121298">
        <w:rPr>
          <w:color w:val="auto"/>
          <w:lang w:eastAsia="es-MX"/>
        </w:rPr>
        <w:t xml:space="preserve"> </w:t>
      </w:r>
      <w:r w:rsidR="00206604" w:rsidRPr="005430F9">
        <w:rPr>
          <w:color w:val="auto"/>
          <w:lang w:eastAsia="es-MX"/>
        </w:rPr>
        <w:t xml:space="preserve">705 pesos </w:t>
      </w:r>
      <w:r w:rsidR="00206604" w:rsidRPr="004571A6">
        <w:rPr>
          <w:color w:val="auto"/>
          <w:lang w:eastAsia="es-MX"/>
        </w:rPr>
        <w:t>en 2021</w:t>
      </w:r>
      <w:r w:rsidR="00742FE8">
        <w:rPr>
          <w:color w:val="auto"/>
          <w:lang w:eastAsia="es-MX"/>
        </w:rPr>
        <w:t xml:space="preserve">. Lo anterior </w:t>
      </w:r>
      <w:r w:rsidR="00206604" w:rsidRPr="005430F9">
        <w:rPr>
          <w:color w:val="auto"/>
          <w:lang w:eastAsia="es-MX"/>
        </w:rPr>
        <w:t>representó un incremento de 9.0</w:t>
      </w:r>
      <w:r w:rsidR="00121298">
        <w:rPr>
          <w:color w:val="auto"/>
          <w:lang w:eastAsia="es-MX"/>
        </w:rPr>
        <w:t xml:space="preserve"> </w:t>
      </w:r>
      <w:r w:rsidR="00206604" w:rsidRPr="005430F9">
        <w:rPr>
          <w:color w:val="auto"/>
          <w:lang w:eastAsia="es-MX"/>
        </w:rPr>
        <w:t>% a nivel total del sector.</w:t>
      </w:r>
    </w:p>
    <w:p w14:paraId="29ADE592" w14:textId="77777777" w:rsidR="00206604" w:rsidRDefault="00206604" w:rsidP="00DC71A6">
      <w:pPr>
        <w:pStyle w:val="Default"/>
        <w:jc w:val="both"/>
        <w:rPr>
          <w:color w:val="auto"/>
          <w:sz w:val="22"/>
          <w:lang w:eastAsia="es-MX"/>
        </w:rPr>
      </w:pPr>
    </w:p>
    <w:p w14:paraId="09C55A8F" w14:textId="7422138D" w:rsidR="00BC06C5" w:rsidRPr="005430F9" w:rsidRDefault="00BC06C5" w:rsidP="003408EC">
      <w:pPr>
        <w:pStyle w:val="Default"/>
        <w:jc w:val="center"/>
        <w:rPr>
          <w:color w:val="auto"/>
          <w:sz w:val="20"/>
          <w:szCs w:val="20"/>
          <w:lang w:eastAsia="es-MX"/>
        </w:rPr>
      </w:pPr>
      <w:r w:rsidRPr="005430F9">
        <w:rPr>
          <w:color w:val="auto"/>
          <w:sz w:val="20"/>
          <w:szCs w:val="20"/>
          <w:lang w:eastAsia="es-MX"/>
        </w:rPr>
        <w:t>Cuadro 4</w:t>
      </w:r>
    </w:p>
    <w:p w14:paraId="394D96FA" w14:textId="77557419" w:rsidR="001B0FE6" w:rsidRPr="005268AA" w:rsidRDefault="0040250E" w:rsidP="005430F9">
      <w:pPr>
        <w:pStyle w:val="Default"/>
        <w:ind w:left="-567" w:right="-518"/>
        <w:jc w:val="center"/>
        <w:rPr>
          <w:rFonts w:ascii="Arial Negrita" w:hAnsi="Arial Negrita"/>
          <w:b/>
          <w:smallCaps/>
          <w:color w:val="auto"/>
          <w:sz w:val="22"/>
          <w:szCs w:val="22"/>
          <w:lang w:eastAsia="es-MX"/>
        </w:rPr>
      </w:pPr>
      <w:r w:rsidRPr="004B1724">
        <w:rPr>
          <w:rFonts w:ascii="Arial Negrita" w:hAnsi="Arial Negrita"/>
          <w:b/>
          <w:smallCaps/>
          <w:sz w:val="22"/>
          <w:szCs w:val="22"/>
          <w:lang w:eastAsia="es-MX"/>
        </w:rPr>
        <w:t xml:space="preserve">Remuneraciones medias </w:t>
      </w:r>
      <w:r w:rsidR="009731DF" w:rsidRPr="004B1724">
        <w:rPr>
          <w:rFonts w:ascii="Arial Negrita" w:hAnsi="Arial Negrita"/>
          <w:b/>
          <w:smallCaps/>
          <w:sz w:val="22"/>
          <w:szCs w:val="22"/>
          <w:lang w:eastAsia="es-MX"/>
        </w:rPr>
        <w:t>por persona</w:t>
      </w:r>
      <w:r w:rsidR="00206604" w:rsidRPr="004B1724">
        <w:rPr>
          <w:rFonts w:ascii="Arial Negrita" w:hAnsi="Arial Negrita"/>
          <w:b/>
          <w:smallCaps/>
          <w:sz w:val="22"/>
          <w:szCs w:val="22"/>
          <w:lang w:eastAsia="es-MX"/>
        </w:rPr>
        <w:t xml:space="preserve"> ocupada</w:t>
      </w:r>
      <w:r w:rsidR="009731DF" w:rsidRPr="004B1724">
        <w:rPr>
          <w:rFonts w:ascii="Arial Negrita" w:hAnsi="Arial Negrita"/>
          <w:b/>
          <w:smallCaps/>
          <w:sz w:val="22"/>
          <w:szCs w:val="22"/>
          <w:lang w:eastAsia="es-MX"/>
        </w:rPr>
        <w:t xml:space="preserve"> </w:t>
      </w:r>
      <w:r w:rsidRPr="004B1724">
        <w:rPr>
          <w:rFonts w:ascii="Arial Negrita" w:hAnsi="Arial Negrita"/>
          <w:b/>
          <w:smallCaps/>
          <w:sz w:val="22"/>
          <w:szCs w:val="22"/>
          <w:lang w:eastAsia="es-MX"/>
        </w:rPr>
        <w:t>de</w:t>
      </w:r>
      <w:r w:rsidR="00BC06C5" w:rsidRPr="004B1724">
        <w:rPr>
          <w:rFonts w:ascii="Arial Negrita" w:hAnsi="Arial Negrita"/>
          <w:b/>
          <w:smallCaps/>
          <w:sz w:val="22"/>
          <w:szCs w:val="22"/>
          <w:lang w:eastAsia="es-MX"/>
        </w:rPr>
        <w:t xml:space="preserve"> las empresas constructoras</w:t>
      </w:r>
      <w:r w:rsidR="001B0FE6" w:rsidRPr="005268AA">
        <w:rPr>
          <w:rFonts w:ascii="Arial Negrita" w:hAnsi="Arial Negrita"/>
          <w:b/>
          <w:smallCaps/>
          <w:color w:val="auto"/>
          <w:sz w:val="22"/>
          <w:szCs w:val="22"/>
          <w:lang w:eastAsia="es-MX"/>
        </w:rPr>
        <w:t xml:space="preserve"> </w:t>
      </w:r>
    </w:p>
    <w:p w14:paraId="0EE85617" w14:textId="2453D32D" w:rsidR="00903A81" w:rsidRPr="005268AA" w:rsidRDefault="001B0FE6" w:rsidP="005430F9">
      <w:pPr>
        <w:pStyle w:val="Default"/>
        <w:ind w:left="-567" w:right="-518"/>
        <w:jc w:val="center"/>
        <w:rPr>
          <w:rFonts w:ascii="Arial Negrita" w:hAnsi="Arial Negrita"/>
          <w:b/>
          <w:smallCaps/>
          <w:color w:val="auto"/>
          <w:sz w:val="22"/>
          <w:szCs w:val="22"/>
          <w:lang w:eastAsia="es-MX"/>
        </w:rPr>
      </w:pPr>
      <w:r w:rsidRPr="005268AA">
        <w:rPr>
          <w:rFonts w:ascii="Arial Negrita" w:hAnsi="Arial Negrita"/>
          <w:b/>
          <w:smallCaps/>
          <w:color w:val="auto"/>
          <w:sz w:val="22"/>
          <w:szCs w:val="22"/>
          <w:lang w:eastAsia="es-MX"/>
        </w:rPr>
        <w:t>según</w:t>
      </w:r>
      <w:r w:rsidR="00BC06C5" w:rsidRPr="005268AA">
        <w:rPr>
          <w:rFonts w:ascii="Arial Negrita" w:hAnsi="Arial Negrita"/>
          <w:b/>
          <w:smallCaps/>
          <w:color w:val="auto"/>
          <w:sz w:val="22"/>
          <w:szCs w:val="22"/>
          <w:lang w:eastAsia="es-MX"/>
        </w:rPr>
        <w:t xml:space="preserve"> subsector</w:t>
      </w:r>
    </w:p>
    <w:p w14:paraId="22D0A13C" w14:textId="2ECEC755" w:rsidR="003408EC" w:rsidRPr="005430F9" w:rsidRDefault="009A40C0" w:rsidP="004E37D0">
      <w:pPr>
        <w:pStyle w:val="Default"/>
        <w:jc w:val="center"/>
        <w:rPr>
          <w:color w:val="auto"/>
          <w:sz w:val="18"/>
          <w:szCs w:val="18"/>
          <w:lang w:eastAsia="es-MX"/>
        </w:rPr>
      </w:pPr>
      <w:r w:rsidRPr="005430F9">
        <w:rPr>
          <w:color w:val="auto"/>
          <w:sz w:val="18"/>
          <w:szCs w:val="18"/>
          <w:lang w:eastAsia="es-MX"/>
        </w:rPr>
        <w:t>(Pesos corrientes)</w:t>
      </w:r>
    </w:p>
    <w:tbl>
      <w:tblPr>
        <w:tblW w:w="8794" w:type="dxa"/>
        <w:jc w:val="center"/>
        <w:tblCellMar>
          <w:left w:w="70" w:type="dxa"/>
          <w:right w:w="70" w:type="dxa"/>
        </w:tblCellMar>
        <w:tblLook w:val="04A0" w:firstRow="1" w:lastRow="0" w:firstColumn="1" w:lastColumn="0" w:noHBand="0" w:noVBand="1"/>
      </w:tblPr>
      <w:tblGrid>
        <w:gridCol w:w="5086"/>
        <w:gridCol w:w="1236"/>
        <w:gridCol w:w="1236"/>
        <w:gridCol w:w="1236"/>
      </w:tblGrid>
      <w:tr w:rsidR="00E131D9" w:rsidRPr="00903A81" w14:paraId="15E5B84F" w14:textId="77777777" w:rsidTr="00E131D9">
        <w:trPr>
          <w:trHeight w:val="857"/>
          <w:jc w:val="center"/>
        </w:trPr>
        <w:tc>
          <w:tcPr>
            <w:tcW w:w="5086" w:type="dxa"/>
            <w:tcBorders>
              <w:top w:val="single" w:sz="4" w:space="0" w:color="auto"/>
              <w:left w:val="single" w:sz="4" w:space="0" w:color="auto"/>
              <w:bottom w:val="single" w:sz="4" w:space="0" w:color="auto"/>
              <w:right w:val="single" w:sz="4" w:space="0" w:color="auto"/>
            </w:tcBorders>
            <w:shd w:val="clear" w:color="auto" w:fill="FFB13F"/>
            <w:noWrap/>
            <w:vAlign w:val="center"/>
            <w:hideMark/>
          </w:tcPr>
          <w:p w14:paraId="3AE1FA85" w14:textId="77777777" w:rsidR="00903A81" w:rsidRPr="00903A81" w:rsidRDefault="004E37D0" w:rsidP="004E37D0">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Sector y s</w:t>
            </w:r>
            <w:r w:rsidR="00903A81" w:rsidRPr="00903A81">
              <w:rPr>
                <w:rFonts w:ascii="Arial" w:eastAsia="Times New Roman" w:hAnsi="Arial" w:cs="Arial"/>
                <w:b/>
                <w:bCs/>
                <w:color w:val="000000"/>
                <w:sz w:val="20"/>
                <w:szCs w:val="20"/>
                <w:lang w:eastAsia="es-MX"/>
              </w:rPr>
              <w:t>ubsector</w:t>
            </w:r>
          </w:p>
        </w:tc>
        <w:tc>
          <w:tcPr>
            <w:tcW w:w="1236" w:type="dxa"/>
            <w:tcBorders>
              <w:top w:val="single" w:sz="4" w:space="0" w:color="auto"/>
              <w:left w:val="nil"/>
              <w:bottom w:val="single" w:sz="4" w:space="0" w:color="auto"/>
              <w:right w:val="single" w:sz="4" w:space="0" w:color="auto"/>
            </w:tcBorders>
            <w:shd w:val="clear" w:color="auto" w:fill="FFB13F"/>
            <w:noWrap/>
            <w:vAlign w:val="center"/>
            <w:hideMark/>
          </w:tcPr>
          <w:p w14:paraId="0A548196" w14:textId="40D83FD0" w:rsidR="00903A81" w:rsidRPr="00903A81" w:rsidRDefault="00903A81" w:rsidP="00903A81">
            <w:pPr>
              <w:spacing w:after="0" w:line="240" w:lineRule="auto"/>
              <w:jc w:val="center"/>
              <w:rPr>
                <w:rFonts w:ascii="Arial" w:eastAsia="Times New Roman" w:hAnsi="Arial" w:cs="Arial"/>
                <w:b/>
                <w:bCs/>
                <w:sz w:val="20"/>
                <w:szCs w:val="20"/>
                <w:lang w:eastAsia="es-MX"/>
              </w:rPr>
            </w:pPr>
            <w:r w:rsidRPr="00903A81">
              <w:rPr>
                <w:rFonts w:ascii="Arial" w:eastAsia="Times New Roman" w:hAnsi="Arial" w:cs="Arial"/>
                <w:b/>
                <w:bCs/>
                <w:sz w:val="20"/>
                <w:szCs w:val="20"/>
                <w:lang w:eastAsia="es-MX"/>
              </w:rPr>
              <w:t>20</w:t>
            </w:r>
            <w:r w:rsidR="00DB3567">
              <w:rPr>
                <w:rFonts w:ascii="Arial" w:eastAsia="Times New Roman" w:hAnsi="Arial" w:cs="Arial"/>
                <w:b/>
                <w:bCs/>
                <w:sz w:val="20"/>
                <w:szCs w:val="20"/>
                <w:lang w:eastAsia="es-MX"/>
              </w:rPr>
              <w:t>20</w:t>
            </w:r>
          </w:p>
        </w:tc>
        <w:tc>
          <w:tcPr>
            <w:tcW w:w="1236" w:type="dxa"/>
            <w:tcBorders>
              <w:top w:val="single" w:sz="4" w:space="0" w:color="auto"/>
              <w:left w:val="nil"/>
              <w:bottom w:val="single" w:sz="4" w:space="0" w:color="auto"/>
              <w:right w:val="single" w:sz="4" w:space="0" w:color="auto"/>
            </w:tcBorders>
            <w:shd w:val="clear" w:color="auto" w:fill="FFB13F"/>
            <w:noWrap/>
            <w:vAlign w:val="center"/>
            <w:hideMark/>
          </w:tcPr>
          <w:p w14:paraId="66FC039F" w14:textId="0E170D4A" w:rsidR="00903A81" w:rsidRPr="00903A81" w:rsidRDefault="00903A81" w:rsidP="0040250E">
            <w:pPr>
              <w:spacing w:after="0" w:line="240" w:lineRule="auto"/>
              <w:jc w:val="center"/>
              <w:rPr>
                <w:rFonts w:ascii="Arial" w:eastAsia="Times New Roman" w:hAnsi="Arial" w:cs="Arial"/>
                <w:b/>
                <w:bCs/>
                <w:sz w:val="20"/>
                <w:szCs w:val="20"/>
                <w:lang w:eastAsia="es-MX"/>
              </w:rPr>
            </w:pPr>
            <w:r w:rsidRPr="00903A81">
              <w:rPr>
                <w:rFonts w:ascii="Arial" w:eastAsia="Times New Roman" w:hAnsi="Arial" w:cs="Arial"/>
                <w:b/>
                <w:bCs/>
                <w:sz w:val="20"/>
                <w:szCs w:val="20"/>
                <w:lang w:eastAsia="es-MX"/>
              </w:rPr>
              <w:t>20</w:t>
            </w:r>
            <w:r w:rsidR="00DB3567">
              <w:rPr>
                <w:rFonts w:ascii="Arial" w:eastAsia="Times New Roman" w:hAnsi="Arial" w:cs="Arial"/>
                <w:b/>
                <w:bCs/>
                <w:sz w:val="20"/>
                <w:szCs w:val="20"/>
                <w:lang w:eastAsia="es-MX"/>
              </w:rPr>
              <w:t>21</w:t>
            </w:r>
            <w:r w:rsidR="0040250E">
              <w:rPr>
                <w:rFonts w:ascii="Arial" w:eastAsia="Times New Roman" w:hAnsi="Arial" w:cs="Arial"/>
                <w:b/>
                <w:bCs/>
                <w:sz w:val="20"/>
                <w:szCs w:val="20"/>
                <w:vertAlign w:val="superscript"/>
                <w:lang w:eastAsia="es-MX"/>
              </w:rPr>
              <w:t>p</w:t>
            </w:r>
            <w:r w:rsidRPr="00903A81">
              <w:rPr>
                <w:rFonts w:ascii="Arial" w:eastAsia="Times New Roman" w:hAnsi="Arial" w:cs="Arial"/>
                <w:b/>
                <w:bCs/>
                <w:sz w:val="20"/>
                <w:szCs w:val="20"/>
                <w:vertAlign w:val="superscript"/>
                <w:lang w:eastAsia="es-MX"/>
              </w:rPr>
              <w:t>/</w:t>
            </w:r>
          </w:p>
        </w:tc>
        <w:tc>
          <w:tcPr>
            <w:tcW w:w="1236" w:type="dxa"/>
            <w:tcBorders>
              <w:top w:val="single" w:sz="4" w:space="0" w:color="auto"/>
              <w:left w:val="nil"/>
              <w:bottom w:val="single" w:sz="4" w:space="0" w:color="auto"/>
              <w:right w:val="single" w:sz="4" w:space="0" w:color="auto"/>
            </w:tcBorders>
            <w:shd w:val="clear" w:color="auto" w:fill="FFB13F"/>
            <w:vAlign w:val="center"/>
            <w:hideMark/>
          </w:tcPr>
          <w:p w14:paraId="6D23EA70" w14:textId="77777777" w:rsidR="00903A81" w:rsidRPr="00903A81" w:rsidRDefault="00903A81" w:rsidP="00903A81">
            <w:pPr>
              <w:spacing w:after="0" w:line="240" w:lineRule="auto"/>
              <w:jc w:val="center"/>
              <w:rPr>
                <w:rFonts w:ascii="Arial" w:eastAsia="Times New Roman" w:hAnsi="Arial" w:cs="Arial"/>
                <w:b/>
                <w:bCs/>
                <w:sz w:val="20"/>
                <w:szCs w:val="20"/>
                <w:lang w:eastAsia="es-MX"/>
              </w:rPr>
            </w:pPr>
            <w:r w:rsidRPr="00903A81">
              <w:rPr>
                <w:rFonts w:ascii="Arial" w:eastAsia="Times New Roman" w:hAnsi="Arial" w:cs="Arial"/>
                <w:b/>
                <w:bCs/>
                <w:sz w:val="20"/>
                <w:szCs w:val="20"/>
                <w:lang w:eastAsia="es-MX"/>
              </w:rPr>
              <w:t>Variación anual</w:t>
            </w:r>
            <w:r w:rsidRPr="00903A81">
              <w:rPr>
                <w:rFonts w:ascii="Arial" w:eastAsia="Times New Roman" w:hAnsi="Arial" w:cs="Arial"/>
                <w:b/>
                <w:bCs/>
                <w:sz w:val="20"/>
                <w:szCs w:val="20"/>
                <w:lang w:eastAsia="es-MX"/>
              </w:rPr>
              <w:br/>
              <w:t xml:space="preserve"> (%)</w:t>
            </w:r>
          </w:p>
        </w:tc>
      </w:tr>
      <w:tr w:rsidR="00E131D9" w:rsidRPr="00903A81" w14:paraId="12A040A8" w14:textId="77777777" w:rsidTr="00E131D9">
        <w:trPr>
          <w:trHeight w:val="283"/>
          <w:jc w:val="center"/>
        </w:trPr>
        <w:tc>
          <w:tcPr>
            <w:tcW w:w="5086" w:type="dxa"/>
            <w:tcBorders>
              <w:top w:val="nil"/>
              <w:left w:val="single" w:sz="4" w:space="0" w:color="auto"/>
              <w:bottom w:val="single" w:sz="4" w:space="0" w:color="auto"/>
              <w:right w:val="single" w:sz="4" w:space="0" w:color="auto"/>
            </w:tcBorders>
            <w:shd w:val="clear" w:color="auto" w:fill="auto"/>
            <w:noWrap/>
            <w:vAlign w:val="center"/>
            <w:hideMark/>
          </w:tcPr>
          <w:p w14:paraId="28DC7EA6" w14:textId="457E95CC" w:rsidR="00DB3567" w:rsidRPr="00903A81" w:rsidRDefault="00DB3567" w:rsidP="00DB3567">
            <w:pPr>
              <w:spacing w:after="0" w:line="240" w:lineRule="auto"/>
              <w:jc w:val="both"/>
              <w:rPr>
                <w:rFonts w:ascii="Arial" w:eastAsia="Times New Roman" w:hAnsi="Arial" w:cs="Arial"/>
                <w:b/>
                <w:bCs/>
                <w:sz w:val="20"/>
                <w:szCs w:val="20"/>
                <w:lang w:eastAsia="es-MX"/>
              </w:rPr>
            </w:pPr>
            <w:r w:rsidRPr="00903A81">
              <w:rPr>
                <w:rFonts w:ascii="Arial" w:eastAsia="Times New Roman" w:hAnsi="Arial" w:cs="Arial"/>
                <w:b/>
                <w:bCs/>
                <w:sz w:val="20"/>
                <w:szCs w:val="20"/>
                <w:lang w:eastAsia="es-MX"/>
              </w:rPr>
              <w:t>Construcción</w:t>
            </w:r>
          </w:p>
        </w:tc>
        <w:tc>
          <w:tcPr>
            <w:tcW w:w="1236" w:type="dxa"/>
            <w:tcBorders>
              <w:top w:val="nil"/>
              <w:left w:val="nil"/>
              <w:bottom w:val="single" w:sz="4" w:space="0" w:color="auto"/>
              <w:right w:val="single" w:sz="4" w:space="0" w:color="auto"/>
            </w:tcBorders>
            <w:shd w:val="clear" w:color="auto" w:fill="auto"/>
            <w:noWrap/>
            <w:vAlign w:val="center"/>
            <w:hideMark/>
          </w:tcPr>
          <w:p w14:paraId="2DF378E1" w14:textId="10E06A84" w:rsidR="00DB3567" w:rsidRPr="00D35EA0" w:rsidRDefault="00DB3567" w:rsidP="00DB3567">
            <w:pPr>
              <w:spacing w:after="0" w:line="240" w:lineRule="auto"/>
              <w:jc w:val="center"/>
              <w:rPr>
                <w:rFonts w:ascii="Arial" w:eastAsia="Times New Roman" w:hAnsi="Arial" w:cs="Arial"/>
                <w:b/>
                <w:bCs/>
                <w:sz w:val="20"/>
                <w:szCs w:val="20"/>
                <w:lang w:eastAsia="es-MX"/>
              </w:rPr>
            </w:pPr>
            <w:r w:rsidRPr="0051111F">
              <w:rPr>
                <w:rFonts w:ascii="Arial" w:hAnsi="Arial" w:cs="Arial"/>
                <w:b/>
                <w:bCs/>
                <w:sz w:val="20"/>
                <w:szCs w:val="20"/>
              </w:rPr>
              <w:t>113</w:t>
            </w:r>
            <w:r w:rsidR="003F5B51" w:rsidRPr="0051111F">
              <w:rPr>
                <w:rFonts w:ascii="Arial" w:hAnsi="Arial" w:cs="Arial"/>
                <w:b/>
                <w:bCs/>
                <w:sz w:val="20"/>
                <w:szCs w:val="20"/>
              </w:rPr>
              <w:t xml:space="preserve"> </w:t>
            </w:r>
            <w:r w:rsidRPr="0051111F">
              <w:rPr>
                <w:rFonts w:ascii="Arial" w:hAnsi="Arial" w:cs="Arial"/>
                <w:b/>
                <w:bCs/>
                <w:sz w:val="20"/>
                <w:szCs w:val="20"/>
              </w:rPr>
              <w:t>492</w:t>
            </w:r>
          </w:p>
        </w:tc>
        <w:tc>
          <w:tcPr>
            <w:tcW w:w="1236" w:type="dxa"/>
            <w:tcBorders>
              <w:top w:val="nil"/>
              <w:left w:val="nil"/>
              <w:bottom w:val="single" w:sz="4" w:space="0" w:color="auto"/>
              <w:right w:val="single" w:sz="4" w:space="0" w:color="auto"/>
            </w:tcBorders>
            <w:shd w:val="clear" w:color="auto" w:fill="auto"/>
            <w:noWrap/>
            <w:vAlign w:val="center"/>
            <w:hideMark/>
          </w:tcPr>
          <w:p w14:paraId="707109A8" w14:textId="3D76BE13" w:rsidR="00DB3567" w:rsidRPr="00D35EA0" w:rsidRDefault="00DB3567" w:rsidP="00DB3567">
            <w:pPr>
              <w:spacing w:after="0" w:line="240" w:lineRule="auto"/>
              <w:jc w:val="center"/>
              <w:rPr>
                <w:rFonts w:ascii="Arial" w:eastAsia="Times New Roman" w:hAnsi="Arial" w:cs="Arial"/>
                <w:b/>
                <w:bCs/>
                <w:sz w:val="20"/>
                <w:szCs w:val="20"/>
                <w:lang w:eastAsia="es-MX"/>
              </w:rPr>
            </w:pPr>
            <w:r w:rsidRPr="0051111F">
              <w:rPr>
                <w:rFonts w:ascii="Arial" w:hAnsi="Arial" w:cs="Arial"/>
                <w:b/>
                <w:bCs/>
                <w:sz w:val="20"/>
                <w:szCs w:val="20"/>
              </w:rPr>
              <w:t>123 705</w:t>
            </w:r>
          </w:p>
        </w:tc>
        <w:tc>
          <w:tcPr>
            <w:tcW w:w="1236" w:type="dxa"/>
            <w:tcBorders>
              <w:top w:val="nil"/>
              <w:left w:val="nil"/>
              <w:bottom w:val="single" w:sz="4" w:space="0" w:color="auto"/>
              <w:right w:val="single" w:sz="4" w:space="0" w:color="auto"/>
            </w:tcBorders>
            <w:shd w:val="clear" w:color="auto" w:fill="auto"/>
            <w:noWrap/>
            <w:vAlign w:val="center"/>
            <w:hideMark/>
          </w:tcPr>
          <w:p w14:paraId="3B8C5B88" w14:textId="3C538510" w:rsidR="00DB3567" w:rsidRPr="00D35EA0" w:rsidRDefault="00DB3567" w:rsidP="00E131D9">
            <w:pPr>
              <w:spacing w:after="0" w:line="240" w:lineRule="auto"/>
              <w:ind w:left="-693" w:right="353"/>
              <w:jc w:val="right"/>
              <w:rPr>
                <w:rFonts w:ascii="Arial" w:eastAsia="Times New Roman" w:hAnsi="Arial" w:cs="Arial"/>
                <w:b/>
                <w:bCs/>
                <w:sz w:val="20"/>
                <w:szCs w:val="20"/>
                <w:lang w:eastAsia="es-MX"/>
              </w:rPr>
            </w:pPr>
            <w:r w:rsidRPr="0051111F">
              <w:rPr>
                <w:rFonts w:ascii="Arial" w:hAnsi="Arial" w:cs="Arial"/>
                <w:b/>
                <w:bCs/>
                <w:color w:val="000000"/>
                <w:sz w:val="20"/>
                <w:szCs w:val="20"/>
              </w:rPr>
              <w:t>9.0</w:t>
            </w:r>
          </w:p>
        </w:tc>
      </w:tr>
      <w:tr w:rsidR="00E131D9" w:rsidRPr="00903A81" w14:paraId="14F78162" w14:textId="77777777" w:rsidTr="00E131D9">
        <w:trPr>
          <w:trHeight w:val="283"/>
          <w:jc w:val="center"/>
        </w:trPr>
        <w:tc>
          <w:tcPr>
            <w:tcW w:w="5086" w:type="dxa"/>
            <w:tcBorders>
              <w:top w:val="nil"/>
              <w:left w:val="single" w:sz="4" w:space="0" w:color="auto"/>
              <w:bottom w:val="single" w:sz="4" w:space="0" w:color="auto"/>
              <w:right w:val="single" w:sz="4" w:space="0" w:color="auto"/>
            </w:tcBorders>
            <w:shd w:val="clear" w:color="auto" w:fill="auto"/>
            <w:noWrap/>
            <w:vAlign w:val="center"/>
            <w:hideMark/>
          </w:tcPr>
          <w:p w14:paraId="28DD351D" w14:textId="56C1E227" w:rsidR="00DB3567" w:rsidRPr="004E37D0" w:rsidRDefault="00DB3567" w:rsidP="00E131D9">
            <w:pPr>
              <w:spacing w:after="0" w:line="240" w:lineRule="auto"/>
              <w:ind w:left="62"/>
              <w:jc w:val="both"/>
              <w:rPr>
                <w:rFonts w:ascii="Arial" w:eastAsia="Times New Roman" w:hAnsi="Arial" w:cs="Arial"/>
                <w:bCs/>
                <w:color w:val="000000"/>
                <w:sz w:val="20"/>
                <w:szCs w:val="20"/>
                <w:lang w:eastAsia="es-MX"/>
              </w:rPr>
            </w:pPr>
            <w:r w:rsidRPr="004E37D0">
              <w:rPr>
                <w:rFonts w:ascii="Arial" w:eastAsia="Times New Roman" w:hAnsi="Arial" w:cs="Arial"/>
                <w:bCs/>
                <w:color w:val="000000"/>
                <w:sz w:val="20"/>
                <w:szCs w:val="20"/>
                <w:lang w:eastAsia="es-MX"/>
              </w:rPr>
              <w:t>Edificación</w:t>
            </w:r>
          </w:p>
        </w:tc>
        <w:tc>
          <w:tcPr>
            <w:tcW w:w="1236" w:type="dxa"/>
            <w:tcBorders>
              <w:top w:val="nil"/>
              <w:left w:val="nil"/>
              <w:bottom w:val="single" w:sz="4" w:space="0" w:color="auto"/>
              <w:right w:val="single" w:sz="4" w:space="0" w:color="auto"/>
            </w:tcBorders>
            <w:shd w:val="clear" w:color="auto" w:fill="auto"/>
            <w:noWrap/>
            <w:vAlign w:val="center"/>
            <w:hideMark/>
          </w:tcPr>
          <w:p w14:paraId="494B6955" w14:textId="0F66BCA4" w:rsidR="00DB3567" w:rsidRPr="00DB3567" w:rsidRDefault="00DB3567" w:rsidP="00DB3567">
            <w:pPr>
              <w:spacing w:after="0" w:line="240" w:lineRule="auto"/>
              <w:jc w:val="center"/>
              <w:rPr>
                <w:rFonts w:ascii="Arial" w:eastAsia="Times New Roman" w:hAnsi="Arial" w:cs="Arial"/>
                <w:sz w:val="20"/>
                <w:szCs w:val="20"/>
                <w:lang w:eastAsia="es-MX"/>
              </w:rPr>
            </w:pPr>
            <w:r w:rsidRPr="00DB3567">
              <w:rPr>
                <w:rFonts w:ascii="Arial" w:hAnsi="Arial" w:cs="Arial"/>
                <w:sz w:val="20"/>
                <w:szCs w:val="20"/>
              </w:rPr>
              <w:t>102 104</w:t>
            </w:r>
          </w:p>
        </w:tc>
        <w:tc>
          <w:tcPr>
            <w:tcW w:w="1236" w:type="dxa"/>
            <w:tcBorders>
              <w:top w:val="nil"/>
              <w:left w:val="nil"/>
              <w:bottom w:val="single" w:sz="4" w:space="0" w:color="auto"/>
              <w:right w:val="single" w:sz="4" w:space="0" w:color="auto"/>
            </w:tcBorders>
            <w:shd w:val="clear" w:color="auto" w:fill="auto"/>
            <w:noWrap/>
            <w:vAlign w:val="center"/>
            <w:hideMark/>
          </w:tcPr>
          <w:p w14:paraId="6D14CCE0" w14:textId="735F9BF8" w:rsidR="00DB3567" w:rsidRPr="00DB3567" w:rsidRDefault="00DB3567" w:rsidP="00DB3567">
            <w:pPr>
              <w:spacing w:after="0" w:line="240" w:lineRule="auto"/>
              <w:jc w:val="center"/>
              <w:rPr>
                <w:rFonts w:ascii="Arial" w:eastAsia="Times New Roman" w:hAnsi="Arial" w:cs="Arial"/>
                <w:sz w:val="20"/>
                <w:szCs w:val="20"/>
                <w:lang w:eastAsia="es-MX"/>
              </w:rPr>
            </w:pPr>
            <w:r w:rsidRPr="00DB3567">
              <w:rPr>
                <w:rFonts w:ascii="Arial" w:hAnsi="Arial" w:cs="Arial"/>
                <w:sz w:val="20"/>
                <w:szCs w:val="20"/>
              </w:rPr>
              <w:t>107 216</w:t>
            </w:r>
          </w:p>
        </w:tc>
        <w:tc>
          <w:tcPr>
            <w:tcW w:w="1236" w:type="dxa"/>
            <w:tcBorders>
              <w:top w:val="nil"/>
              <w:left w:val="nil"/>
              <w:bottom w:val="single" w:sz="4" w:space="0" w:color="auto"/>
              <w:right w:val="single" w:sz="4" w:space="0" w:color="auto"/>
            </w:tcBorders>
            <w:shd w:val="clear" w:color="auto" w:fill="auto"/>
            <w:noWrap/>
            <w:vAlign w:val="center"/>
            <w:hideMark/>
          </w:tcPr>
          <w:p w14:paraId="520495E6" w14:textId="530F8CEF" w:rsidR="00DB3567" w:rsidRPr="00DB3567" w:rsidRDefault="00DB3567" w:rsidP="00E131D9">
            <w:pPr>
              <w:spacing w:after="0" w:line="240" w:lineRule="auto"/>
              <w:ind w:left="-693" w:right="353"/>
              <w:jc w:val="right"/>
              <w:rPr>
                <w:rFonts w:ascii="Arial" w:eastAsia="Times New Roman" w:hAnsi="Arial" w:cs="Arial"/>
                <w:sz w:val="20"/>
                <w:szCs w:val="20"/>
                <w:lang w:eastAsia="es-MX"/>
              </w:rPr>
            </w:pPr>
            <w:r w:rsidRPr="00DB3567">
              <w:rPr>
                <w:rFonts w:ascii="Arial" w:hAnsi="Arial" w:cs="Arial"/>
                <w:color w:val="000000"/>
                <w:sz w:val="20"/>
                <w:szCs w:val="20"/>
              </w:rPr>
              <w:t>5.0</w:t>
            </w:r>
          </w:p>
        </w:tc>
      </w:tr>
      <w:tr w:rsidR="00E131D9" w:rsidRPr="00903A81" w14:paraId="6246978E" w14:textId="77777777" w:rsidTr="00E131D9">
        <w:trPr>
          <w:trHeight w:val="283"/>
          <w:jc w:val="center"/>
        </w:trPr>
        <w:tc>
          <w:tcPr>
            <w:tcW w:w="5086" w:type="dxa"/>
            <w:tcBorders>
              <w:top w:val="nil"/>
              <w:left w:val="single" w:sz="4" w:space="0" w:color="auto"/>
              <w:bottom w:val="single" w:sz="4" w:space="0" w:color="auto"/>
              <w:right w:val="single" w:sz="4" w:space="0" w:color="auto"/>
            </w:tcBorders>
            <w:shd w:val="clear" w:color="auto" w:fill="auto"/>
            <w:noWrap/>
            <w:vAlign w:val="center"/>
            <w:hideMark/>
          </w:tcPr>
          <w:p w14:paraId="762B447F" w14:textId="48A40609" w:rsidR="00DB3567" w:rsidRPr="004E37D0" w:rsidRDefault="00DB3567" w:rsidP="00E131D9">
            <w:pPr>
              <w:spacing w:after="0" w:line="240" w:lineRule="auto"/>
              <w:ind w:left="62"/>
              <w:jc w:val="both"/>
              <w:rPr>
                <w:rFonts w:ascii="Arial" w:eastAsia="Times New Roman" w:hAnsi="Arial" w:cs="Arial"/>
                <w:bCs/>
                <w:color w:val="000000"/>
                <w:sz w:val="20"/>
                <w:szCs w:val="20"/>
                <w:lang w:eastAsia="es-MX"/>
              </w:rPr>
            </w:pPr>
            <w:r w:rsidRPr="004E37D0">
              <w:rPr>
                <w:rFonts w:ascii="Arial" w:eastAsia="Times New Roman" w:hAnsi="Arial" w:cs="Arial"/>
                <w:bCs/>
                <w:color w:val="000000"/>
                <w:sz w:val="20"/>
                <w:szCs w:val="20"/>
                <w:lang w:eastAsia="es-MX"/>
              </w:rPr>
              <w:t>Construcción de obras de ingeniería civil</w:t>
            </w:r>
          </w:p>
        </w:tc>
        <w:tc>
          <w:tcPr>
            <w:tcW w:w="1236" w:type="dxa"/>
            <w:tcBorders>
              <w:top w:val="nil"/>
              <w:left w:val="nil"/>
              <w:bottom w:val="single" w:sz="4" w:space="0" w:color="auto"/>
              <w:right w:val="single" w:sz="4" w:space="0" w:color="auto"/>
            </w:tcBorders>
            <w:shd w:val="clear" w:color="auto" w:fill="auto"/>
            <w:noWrap/>
            <w:vAlign w:val="center"/>
            <w:hideMark/>
          </w:tcPr>
          <w:p w14:paraId="74EFA94E" w14:textId="35EF625E" w:rsidR="00DB3567" w:rsidRPr="00DB3567" w:rsidRDefault="00DB3567" w:rsidP="00DB3567">
            <w:pPr>
              <w:spacing w:after="0" w:line="240" w:lineRule="auto"/>
              <w:jc w:val="center"/>
              <w:rPr>
                <w:rFonts w:ascii="Arial" w:eastAsia="Times New Roman" w:hAnsi="Arial" w:cs="Arial"/>
                <w:sz w:val="20"/>
                <w:szCs w:val="20"/>
                <w:lang w:eastAsia="es-MX"/>
              </w:rPr>
            </w:pPr>
            <w:r w:rsidRPr="00DB3567">
              <w:rPr>
                <w:rFonts w:ascii="Arial" w:hAnsi="Arial" w:cs="Arial"/>
                <w:sz w:val="20"/>
                <w:szCs w:val="20"/>
              </w:rPr>
              <w:t>132 249</w:t>
            </w:r>
          </w:p>
        </w:tc>
        <w:tc>
          <w:tcPr>
            <w:tcW w:w="1236" w:type="dxa"/>
            <w:tcBorders>
              <w:top w:val="nil"/>
              <w:left w:val="nil"/>
              <w:bottom w:val="single" w:sz="4" w:space="0" w:color="auto"/>
              <w:right w:val="single" w:sz="4" w:space="0" w:color="auto"/>
            </w:tcBorders>
            <w:shd w:val="clear" w:color="auto" w:fill="auto"/>
            <w:noWrap/>
            <w:vAlign w:val="center"/>
            <w:hideMark/>
          </w:tcPr>
          <w:p w14:paraId="293F0834" w14:textId="3B9D91EE" w:rsidR="00DB3567" w:rsidRPr="00DB3567" w:rsidRDefault="00DB3567" w:rsidP="00DB3567">
            <w:pPr>
              <w:spacing w:after="0" w:line="240" w:lineRule="auto"/>
              <w:jc w:val="center"/>
              <w:rPr>
                <w:rFonts w:ascii="Arial" w:eastAsia="Times New Roman" w:hAnsi="Arial" w:cs="Arial"/>
                <w:sz w:val="20"/>
                <w:szCs w:val="20"/>
                <w:lang w:eastAsia="es-MX"/>
              </w:rPr>
            </w:pPr>
            <w:r w:rsidRPr="00DB3567">
              <w:rPr>
                <w:rFonts w:ascii="Arial" w:hAnsi="Arial" w:cs="Arial"/>
                <w:sz w:val="20"/>
                <w:szCs w:val="20"/>
              </w:rPr>
              <w:t>150 995</w:t>
            </w:r>
          </w:p>
        </w:tc>
        <w:tc>
          <w:tcPr>
            <w:tcW w:w="1236" w:type="dxa"/>
            <w:tcBorders>
              <w:top w:val="nil"/>
              <w:left w:val="nil"/>
              <w:bottom w:val="single" w:sz="4" w:space="0" w:color="auto"/>
              <w:right w:val="single" w:sz="4" w:space="0" w:color="auto"/>
            </w:tcBorders>
            <w:shd w:val="clear" w:color="auto" w:fill="auto"/>
            <w:noWrap/>
            <w:vAlign w:val="center"/>
            <w:hideMark/>
          </w:tcPr>
          <w:p w14:paraId="722A77E6" w14:textId="4FA25D96" w:rsidR="00DB3567" w:rsidRPr="00DB3567" w:rsidRDefault="00DB3567" w:rsidP="00E131D9">
            <w:pPr>
              <w:spacing w:after="0" w:line="240" w:lineRule="auto"/>
              <w:ind w:left="-693" w:right="353"/>
              <w:jc w:val="right"/>
              <w:rPr>
                <w:rFonts w:ascii="Arial" w:eastAsia="Times New Roman" w:hAnsi="Arial" w:cs="Arial"/>
                <w:sz w:val="20"/>
                <w:szCs w:val="20"/>
                <w:lang w:eastAsia="es-MX"/>
              </w:rPr>
            </w:pPr>
            <w:r w:rsidRPr="00DB3567">
              <w:rPr>
                <w:rFonts w:ascii="Arial" w:hAnsi="Arial" w:cs="Arial"/>
                <w:color w:val="000000"/>
                <w:sz w:val="20"/>
                <w:szCs w:val="20"/>
              </w:rPr>
              <w:t>14.2</w:t>
            </w:r>
          </w:p>
        </w:tc>
      </w:tr>
      <w:tr w:rsidR="00E131D9" w:rsidRPr="00903A81" w14:paraId="5CF3EB70" w14:textId="77777777" w:rsidTr="00E131D9">
        <w:trPr>
          <w:trHeight w:val="283"/>
          <w:jc w:val="center"/>
        </w:trPr>
        <w:tc>
          <w:tcPr>
            <w:tcW w:w="5086" w:type="dxa"/>
            <w:tcBorders>
              <w:top w:val="nil"/>
              <w:left w:val="single" w:sz="4" w:space="0" w:color="auto"/>
              <w:bottom w:val="single" w:sz="4" w:space="0" w:color="auto"/>
              <w:right w:val="single" w:sz="4" w:space="0" w:color="auto"/>
            </w:tcBorders>
            <w:shd w:val="clear" w:color="auto" w:fill="auto"/>
            <w:noWrap/>
            <w:vAlign w:val="center"/>
            <w:hideMark/>
          </w:tcPr>
          <w:p w14:paraId="49311D18" w14:textId="345F7D1C" w:rsidR="00DB3567" w:rsidRPr="004E37D0" w:rsidRDefault="00DB3567" w:rsidP="00E131D9">
            <w:pPr>
              <w:spacing w:after="0" w:line="240" w:lineRule="auto"/>
              <w:ind w:left="62"/>
              <w:jc w:val="both"/>
              <w:rPr>
                <w:rFonts w:ascii="Arial" w:eastAsia="Times New Roman" w:hAnsi="Arial" w:cs="Arial"/>
                <w:bCs/>
                <w:color w:val="000000"/>
                <w:sz w:val="20"/>
                <w:szCs w:val="20"/>
                <w:lang w:eastAsia="es-MX"/>
              </w:rPr>
            </w:pPr>
            <w:r w:rsidRPr="004E37D0">
              <w:rPr>
                <w:rFonts w:ascii="Arial" w:eastAsia="Times New Roman" w:hAnsi="Arial" w:cs="Arial"/>
                <w:bCs/>
                <w:color w:val="000000"/>
                <w:sz w:val="20"/>
                <w:szCs w:val="20"/>
                <w:lang w:eastAsia="es-MX"/>
              </w:rPr>
              <w:t>Trabajos especializados para la construcción</w:t>
            </w:r>
          </w:p>
        </w:tc>
        <w:tc>
          <w:tcPr>
            <w:tcW w:w="1236" w:type="dxa"/>
            <w:tcBorders>
              <w:top w:val="nil"/>
              <w:left w:val="nil"/>
              <w:bottom w:val="single" w:sz="4" w:space="0" w:color="auto"/>
              <w:right w:val="single" w:sz="4" w:space="0" w:color="auto"/>
            </w:tcBorders>
            <w:shd w:val="clear" w:color="auto" w:fill="auto"/>
            <w:noWrap/>
            <w:vAlign w:val="center"/>
            <w:hideMark/>
          </w:tcPr>
          <w:p w14:paraId="7C35FAE1" w14:textId="26F432E0" w:rsidR="00DB3567" w:rsidRPr="00DB3567" w:rsidRDefault="00DB3567" w:rsidP="00DB3567">
            <w:pPr>
              <w:spacing w:after="0" w:line="240" w:lineRule="auto"/>
              <w:jc w:val="center"/>
              <w:rPr>
                <w:rFonts w:ascii="Arial" w:eastAsia="Times New Roman" w:hAnsi="Arial" w:cs="Arial"/>
                <w:sz w:val="20"/>
                <w:szCs w:val="20"/>
                <w:lang w:eastAsia="es-MX"/>
              </w:rPr>
            </w:pPr>
            <w:r w:rsidRPr="00DB3567">
              <w:rPr>
                <w:rFonts w:ascii="Arial" w:hAnsi="Arial" w:cs="Arial"/>
                <w:sz w:val="20"/>
                <w:szCs w:val="20"/>
              </w:rPr>
              <w:t>111 491</w:t>
            </w:r>
          </w:p>
        </w:tc>
        <w:tc>
          <w:tcPr>
            <w:tcW w:w="1236" w:type="dxa"/>
            <w:tcBorders>
              <w:top w:val="nil"/>
              <w:left w:val="nil"/>
              <w:bottom w:val="single" w:sz="4" w:space="0" w:color="auto"/>
              <w:right w:val="single" w:sz="4" w:space="0" w:color="auto"/>
            </w:tcBorders>
            <w:shd w:val="clear" w:color="auto" w:fill="auto"/>
            <w:noWrap/>
            <w:vAlign w:val="center"/>
            <w:hideMark/>
          </w:tcPr>
          <w:p w14:paraId="3DE68FC9" w14:textId="015085EF" w:rsidR="00DB3567" w:rsidRPr="00DB3567" w:rsidRDefault="00DB3567" w:rsidP="00DB3567">
            <w:pPr>
              <w:spacing w:after="0" w:line="240" w:lineRule="auto"/>
              <w:jc w:val="center"/>
              <w:rPr>
                <w:rFonts w:ascii="Arial" w:eastAsia="Times New Roman" w:hAnsi="Arial" w:cs="Arial"/>
                <w:sz w:val="20"/>
                <w:szCs w:val="20"/>
                <w:lang w:eastAsia="es-MX"/>
              </w:rPr>
            </w:pPr>
            <w:r w:rsidRPr="00DB3567">
              <w:rPr>
                <w:rFonts w:ascii="Arial" w:hAnsi="Arial" w:cs="Arial"/>
                <w:sz w:val="20"/>
                <w:szCs w:val="20"/>
              </w:rPr>
              <w:t>117 463</w:t>
            </w:r>
          </w:p>
        </w:tc>
        <w:tc>
          <w:tcPr>
            <w:tcW w:w="1236" w:type="dxa"/>
            <w:tcBorders>
              <w:top w:val="nil"/>
              <w:left w:val="nil"/>
              <w:bottom w:val="single" w:sz="4" w:space="0" w:color="auto"/>
              <w:right w:val="single" w:sz="4" w:space="0" w:color="auto"/>
            </w:tcBorders>
            <w:shd w:val="clear" w:color="auto" w:fill="auto"/>
            <w:noWrap/>
            <w:vAlign w:val="center"/>
            <w:hideMark/>
          </w:tcPr>
          <w:p w14:paraId="5126EA36" w14:textId="7870F64E" w:rsidR="00DB3567" w:rsidRPr="00DB3567" w:rsidRDefault="00DB3567" w:rsidP="00E131D9">
            <w:pPr>
              <w:spacing w:after="0" w:line="240" w:lineRule="auto"/>
              <w:ind w:left="-693" w:right="353"/>
              <w:jc w:val="right"/>
              <w:rPr>
                <w:rFonts w:ascii="Arial" w:eastAsia="Times New Roman" w:hAnsi="Arial" w:cs="Arial"/>
                <w:sz w:val="20"/>
                <w:szCs w:val="20"/>
                <w:lang w:eastAsia="es-MX"/>
              </w:rPr>
            </w:pPr>
            <w:r w:rsidRPr="00DB3567">
              <w:rPr>
                <w:rFonts w:ascii="Arial" w:hAnsi="Arial" w:cs="Arial"/>
                <w:color w:val="000000"/>
                <w:sz w:val="20"/>
                <w:szCs w:val="20"/>
              </w:rPr>
              <w:t>5.4</w:t>
            </w:r>
          </w:p>
        </w:tc>
      </w:tr>
    </w:tbl>
    <w:p w14:paraId="149C0F04" w14:textId="0F22EE04" w:rsidR="002C2D13" w:rsidRDefault="00DE5673" w:rsidP="00E131D9">
      <w:pPr>
        <w:pStyle w:val="Default"/>
        <w:ind w:left="142" w:hanging="142"/>
        <w:jc w:val="both"/>
        <w:rPr>
          <w:color w:val="auto"/>
          <w:sz w:val="16"/>
          <w:lang w:eastAsia="es-MX"/>
        </w:rPr>
      </w:pPr>
      <w:r>
        <w:rPr>
          <w:color w:val="auto"/>
          <w:sz w:val="16"/>
          <w:vertAlign w:val="superscript"/>
          <w:lang w:eastAsia="es-MX"/>
        </w:rPr>
        <w:t>P</w:t>
      </w:r>
      <w:r w:rsidR="002C2D13">
        <w:rPr>
          <w:color w:val="auto"/>
          <w:sz w:val="16"/>
          <w:vertAlign w:val="superscript"/>
          <w:lang w:eastAsia="es-MX"/>
        </w:rPr>
        <w:t xml:space="preserve">/ </w:t>
      </w:r>
      <w:r w:rsidR="002C2D13">
        <w:rPr>
          <w:color w:val="auto"/>
          <w:sz w:val="16"/>
          <w:lang w:eastAsia="es-MX"/>
        </w:rPr>
        <w:t xml:space="preserve">Cifras preliminares </w:t>
      </w:r>
    </w:p>
    <w:p w14:paraId="41F8D270" w14:textId="3ED934FF" w:rsidR="002C2D13" w:rsidRPr="005430F9" w:rsidRDefault="002C2D13" w:rsidP="00E131D9">
      <w:pPr>
        <w:pStyle w:val="Default"/>
        <w:ind w:left="142" w:hanging="142"/>
        <w:jc w:val="both"/>
        <w:rPr>
          <w:color w:val="auto"/>
          <w:sz w:val="16"/>
          <w:lang w:eastAsia="es-MX"/>
        </w:rPr>
      </w:pPr>
      <w:r w:rsidRPr="00BF15FB">
        <w:rPr>
          <w:color w:val="auto"/>
          <w:sz w:val="16"/>
          <w:lang w:eastAsia="es-MX"/>
        </w:rPr>
        <w:t>Fuente</w:t>
      </w:r>
      <w:r w:rsidRPr="001B0FE6">
        <w:rPr>
          <w:color w:val="auto"/>
          <w:sz w:val="16"/>
          <w:lang w:eastAsia="es-MX"/>
        </w:rPr>
        <w:t xml:space="preserve">: </w:t>
      </w:r>
      <w:r w:rsidRPr="005430F9">
        <w:rPr>
          <w:color w:val="auto"/>
          <w:sz w:val="16"/>
          <w:lang w:eastAsia="es-MX"/>
        </w:rPr>
        <w:t>INEGI</w:t>
      </w:r>
    </w:p>
    <w:p w14:paraId="01ADDF32" w14:textId="77777777" w:rsidR="00834215" w:rsidRDefault="00834215" w:rsidP="00037E53">
      <w:pPr>
        <w:pStyle w:val="Default"/>
        <w:ind w:left="426" w:hanging="142"/>
        <w:jc w:val="both"/>
        <w:rPr>
          <w:color w:val="auto"/>
          <w:sz w:val="22"/>
          <w:lang w:eastAsia="es-MX"/>
        </w:rPr>
      </w:pPr>
    </w:p>
    <w:p w14:paraId="4FCBF79B" w14:textId="2A21AB96" w:rsidR="00206604" w:rsidRPr="005430F9" w:rsidRDefault="00121298" w:rsidP="005430F9">
      <w:pPr>
        <w:pStyle w:val="Default"/>
        <w:ind w:left="-567" w:right="-518"/>
        <w:jc w:val="both"/>
        <w:rPr>
          <w:bCs/>
          <w:color w:val="auto"/>
          <w:lang w:eastAsia="es-MX"/>
        </w:rPr>
      </w:pPr>
      <w:bookmarkStart w:id="2" w:name="_Hlk120870697"/>
      <w:r>
        <w:rPr>
          <w:color w:val="auto"/>
          <w:lang w:eastAsia="es-MX"/>
        </w:rPr>
        <w:t>L</w:t>
      </w:r>
      <w:r w:rsidR="00206604" w:rsidRPr="005430F9">
        <w:rPr>
          <w:color w:val="auto"/>
          <w:lang w:eastAsia="es-MX"/>
        </w:rPr>
        <w:t>os tres subsectores presentaron incrementos en las remuneraciones medias por persona ocupada</w:t>
      </w:r>
      <w:r>
        <w:rPr>
          <w:color w:val="auto"/>
          <w:lang w:eastAsia="es-MX"/>
        </w:rPr>
        <w:t>. E</w:t>
      </w:r>
      <w:r w:rsidR="00206604" w:rsidRPr="005430F9">
        <w:rPr>
          <w:color w:val="auto"/>
          <w:lang w:eastAsia="es-MX"/>
        </w:rPr>
        <w:t xml:space="preserve">l de mayor nivel </w:t>
      </w:r>
      <w:r>
        <w:rPr>
          <w:color w:val="auto"/>
          <w:lang w:eastAsia="es-MX"/>
        </w:rPr>
        <w:t>fue</w:t>
      </w:r>
      <w:r w:rsidR="00206604" w:rsidRPr="005430F9">
        <w:rPr>
          <w:color w:val="auto"/>
          <w:lang w:eastAsia="es-MX"/>
        </w:rPr>
        <w:t xml:space="preserve"> </w:t>
      </w:r>
      <w:r w:rsidR="00206604" w:rsidRPr="006F4FC9">
        <w:rPr>
          <w:bCs/>
          <w:i/>
          <w:color w:val="auto"/>
          <w:lang w:eastAsia="es-MX"/>
        </w:rPr>
        <w:t>Construcción de obras de ingeniería civil</w:t>
      </w:r>
      <w:r w:rsidR="00742FE8">
        <w:rPr>
          <w:bCs/>
          <w:color w:val="auto"/>
          <w:lang w:eastAsia="es-MX"/>
        </w:rPr>
        <w:t>,</w:t>
      </w:r>
      <w:r w:rsidR="00206604" w:rsidRPr="005430F9">
        <w:rPr>
          <w:bCs/>
          <w:color w:val="auto"/>
          <w:lang w:eastAsia="es-MX"/>
        </w:rPr>
        <w:t xml:space="preserve"> con 14.2 por ciento</w:t>
      </w:r>
      <w:r w:rsidR="00742FE8">
        <w:rPr>
          <w:bCs/>
          <w:color w:val="auto"/>
          <w:lang w:eastAsia="es-MX"/>
        </w:rPr>
        <w:t>.</w:t>
      </w:r>
    </w:p>
    <w:bookmarkEnd w:id="2"/>
    <w:p w14:paraId="77586E36" w14:textId="77777777" w:rsidR="00206604" w:rsidRPr="005430F9" w:rsidRDefault="00206604" w:rsidP="005430F9">
      <w:pPr>
        <w:pStyle w:val="Default"/>
        <w:ind w:left="-567" w:right="-518"/>
        <w:jc w:val="both"/>
        <w:rPr>
          <w:color w:val="auto"/>
          <w:lang w:eastAsia="es-MX"/>
        </w:rPr>
      </w:pPr>
    </w:p>
    <w:p w14:paraId="1916DFDB" w14:textId="77777777" w:rsidR="00752A92" w:rsidRDefault="00752A92" w:rsidP="00121298">
      <w:pPr>
        <w:pStyle w:val="Default"/>
        <w:ind w:left="-567" w:right="-518"/>
        <w:jc w:val="both"/>
        <w:rPr>
          <w:color w:val="auto"/>
          <w:lang w:eastAsia="es-MX"/>
        </w:rPr>
      </w:pPr>
    </w:p>
    <w:p w14:paraId="7DC64D55" w14:textId="7141644D" w:rsidR="004D69B4" w:rsidRPr="005430F9" w:rsidRDefault="004D69B4" w:rsidP="005430F9">
      <w:pPr>
        <w:pStyle w:val="Default"/>
        <w:ind w:left="-567" w:right="-518"/>
        <w:jc w:val="both"/>
        <w:rPr>
          <w:color w:val="auto"/>
          <w:lang w:eastAsia="es-MX"/>
        </w:rPr>
      </w:pPr>
      <w:r w:rsidRPr="005430F9">
        <w:rPr>
          <w:color w:val="auto"/>
          <w:lang w:eastAsia="es-MX"/>
        </w:rPr>
        <w:lastRenderedPageBreak/>
        <w:t>Respecto al valor de producción realizado por las empresas constructoras</w:t>
      </w:r>
      <w:r w:rsidR="001A3D39" w:rsidRPr="005430F9">
        <w:rPr>
          <w:color w:val="auto"/>
          <w:lang w:eastAsia="es-MX"/>
        </w:rPr>
        <w:t xml:space="preserve"> en 202</w:t>
      </w:r>
      <w:r w:rsidR="00AB2E56" w:rsidRPr="005430F9">
        <w:rPr>
          <w:color w:val="auto"/>
          <w:lang w:eastAsia="es-MX"/>
        </w:rPr>
        <w:t>1</w:t>
      </w:r>
      <w:r w:rsidRPr="005430F9">
        <w:rPr>
          <w:color w:val="auto"/>
          <w:lang w:eastAsia="es-MX"/>
        </w:rPr>
        <w:t xml:space="preserve">, el subsector </w:t>
      </w:r>
      <w:r w:rsidR="009E15E9" w:rsidRPr="006F4FC9">
        <w:rPr>
          <w:i/>
          <w:color w:val="auto"/>
          <w:lang w:eastAsia="es-MX"/>
        </w:rPr>
        <w:t>E</w:t>
      </w:r>
      <w:r w:rsidRPr="006F4FC9">
        <w:rPr>
          <w:i/>
          <w:color w:val="auto"/>
          <w:lang w:eastAsia="es-MX"/>
        </w:rPr>
        <w:t>dificación</w:t>
      </w:r>
      <w:r w:rsidRPr="005430F9">
        <w:rPr>
          <w:color w:val="auto"/>
          <w:lang w:eastAsia="es-MX"/>
        </w:rPr>
        <w:t xml:space="preserve"> </w:t>
      </w:r>
      <w:r w:rsidR="00121298">
        <w:rPr>
          <w:color w:val="auto"/>
          <w:lang w:eastAsia="es-MX"/>
        </w:rPr>
        <w:t>fue</w:t>
      </w:r>
      <w:r w:rsidRPr="005430F9">
        <w:rPr>
          <w:color w:val="auto"/>
          <w:lang w:eastAsia="es-MX"/>
        </w:rPr>
        <w:t xml:space="preserve"> el </w:t>
      </w:r>
      <w:r w:rsidR="00742FE8">
        <w:rPr>
          <w:color w:val="auto"/>
          <w:lang w:eastAsia="es-MX"/>
        </w:rPr>
        <w:t>de ma</w:t>
      </w:r>
      <w:r w:rsidRPr="005430F9">
        <w:rPr>
          <w:color w:val="auto"/>
          <w:lang w:eastAsia="es-MX"/>
        </w:rPr>
        <w:t>yor participación</w:t>
      </w:r>
      <w:r w:rsidR="00742FE8">
        <w:rPr>
          <w:color w:val="auto"/>
          <w:lang w:eastAsia="es-MX"/>
        </w:rPr>
        <w:t xml:space="preserve">, </w:t>
      </w:r>
      <w:r w:rsidRPr="005430F9">
        <w:rPr>
          <w:color w:val="auto"/>
          <w:lang w:eastAsia="es-MX"/>
        </w:rPr>
        <w:t xml:space="preserve">con </w:t>
      </w:r>
      <w:r w:rsidR="00AB2E56" w:rsidRPr="005430F9">
        <w:rPr>
          <w:color w:val="auto"/>
          <w:lang w:eastAsia="es-MX"/>
        </w:rPr>
        <w:t>46.7</w:t>
      </w:r>
      <w:r w:rsidR="00121298">
        <w:rPr>
          <w:color w:val="auto"/>
          <w:lang w:eastAsia="es-MX"/>
        </w:rPr>
        <w:t xml:space="preserve"> </w:t>
      </w:r>
      <w:r w:rsidR="00742FE8">
        <w:rPr>
          <w:color w:val="auto"/>
          <w:lang w:eastAsia="es-MX"/>
        </w:rPr>
        <w:t>por ciento</w:t>
      </w:r>
      <w:r w:rsidR="001B0FE6">
        <w:rPr>
          <w:color w:val="auto"/>
          <w:lang w:eastAsia="es-MX"/>
        </w:rPr>
        <w:t>. L</w:t>
      </w:r>
      <w:r w:rsidRPr="005430F9">
        <w:rPr>
          <w:color w:val="auto"/>
          <w:lang w:eastAsia="es-MX"/>
        </w:rPr>
        <w:t xml:space="preserve">os </w:t>
      </w:r>
      <w:r w:rsidR="00366F11" w:rsidRPr="005430F9">
        <w:rPr>
          <w:color w:val="auto"/>
          <w:lang w:eastAsia="es-MX"/>
        </w:rPr>
        <w:t xml:space="preserve">subsectores </w:t>
      </w:r>
      <w:r w:rsidR="00366F11" w:rsidRPr="006F4FC9">
        <w:rPr>
          <w:i/>
          <w:color w:val="auto"/>
          <w:lang w:eastAsia="es-MX"/>
        </w:rPr>
        <w:t>Construcción</w:t>
      </w:r>
      <w:r w:rsidRPr="006F4FC9">
        <w:rPr>
          <w:i/>
          <w:color w:val="auto"/>
          <w:lang w:eastAsia="es-MX"/>
        </w:rPr>
        <w:t xml:space="preserve"> de obras de ingeniería civil</w:t>
      </w:r>
      <w:r w:rsidRPr="005430F9">
        <w:rPr>
          <w:color w:val="auto"/>
          <w:lang w:eastAsia="es-MX"/>
        </w:rPr>
        <w:t xml:space="preserve"> y </w:t>
      </w:r>
      <w:r w:rsidR="009E15E9" w:rsidRPr="006F4FC9">
        <w:rPr>
          <w:i/>
          <w:color w:val="auto"/>
          <w:lang w:eastAsia="es-MX"/>
        </w:rPr>
        <w:t>T</w:t>
      </w:r>
      <w:r w:rsidRPr="006F4FC9">
        <w:rPr>
          <w:i/>
          <w:color w:val="auto"/>
          <w:lang w:eastAsia="es-MX"/>
        </w:rPr>
        <w:t>rabajos especializados para la construcción</w:t>
      </w:r>
      <w:r w:rsidRPr="005430F9">
        <w:rPr>
          <w:color w:val="auto"/>
          <w:lang w:eastAsia="es-MX"/>
        </w:rPr>
        <w:t xml:space="preserve"> </w:t>
      </w:r>
      <w:r w:rsidR="001B0FE6">
        <w:rPr>
          <w:color w:val="auto"/>
          <w:lang w:eastAsia="es-MX"/>
        </w:rPr>
        <w:t>aportaron</w:t>
      </w:r>
      <w:r w:rsidR="001A3D39" w:rsidRPr="005430F9">
        <w:rPr>
          <w:color w:val="auto"/>
          <w:lang w:eastAsia="es-MX"/>
        </w:rPr>
        <w:t xml:space="preserve"> 44.</w:t>
      </w:r>
      <w:r w:rsidR="00AB2E56" w:rsidRPr="005430F9">
        <w:rPr>
          <w:color w:val="auto"/>
          <w:lang w:eastAsia="es-MX"/>
        </w:rPr>
        <w:t>1</w:t>
      </w:r>
      <w:r w:rsidR="001A3D39" w:rsidRPr="005430F9">
        <w:rPr>
          <w:color w:val="auto"/>
          <w:lang w:eastAsia="es-MX"/>
        </w:rPr>
        <w:t xml:space="preserve"> y 9.</w:t>
      </w:r>
      <w:r w:rsidR="00AB2E56" w:rsidRPr="005430F9">
        <w:rPr>
          <w:color w:val="auto"/>
          <w:lang w:eastAsia="es-MX"/>
        </w:rPr>
        <w:t>2</w:t>
      </w:r>
      <w:r w:rsidR="001B0FE6">
        <w:rPr>
          <w:color w:val="auto"/>
          <w:lang w:eastAsia="es-MX"/>
        </w:rPr>
        <w:t xml:space="preserve"> </w:t>
      </w:r>
      <w:r w:rsidR="00206604" w:rsidRPr="005430F9">
        <w:rPr>
          <w:color w:val="auto"/>
          <w:lang w:eastAsia="es-MX"/>
        </w:rPr>
        <w:t>%</w:t>
      </w:r>
      <w:r w:rsidR="009E15E9" w:rsidRPr="005430F9">
        <w:rPr>
          <w:color w:val="auto"/>
          <w:lang w:eastAsia="es-MX"/>
        </w:rPr>
        <w:t>, respectivamente.</w:t>
      </w:r>
    </w:p>
    <w:p w14:paraId="43854DDC" w14:textId="77777777" w:rsidR="001B0FE6" w:rsidRDefault="001B0FE6" w:rsidP="0040250E">
      <w:pPr>
        <w:pStyle w:val="Default"/>
        <w:jc w:val="center"/>
        <w:rPr>
          <w:color w:val="auto"/>
          <w:sz w:val="20"/>
          <w:szCs w:val="20"/>
          <w:lang w:eastAsia="es-MX"/>
        </w:rPr>
      </w:pPr>
    </w:p>
    <w:p w14:paraId="5D791697" w14:textId="070E1D43" w:rsidR="000161B1" w:rsidRPr="005430F9" w:rsidRDefault="000161B1" w:rsidP="0040250E">
      <w:pPr>
        <w:pStyle w:val="Default"/>
        <w:jc w:val="center"/>
        <w:rPr>
          <w:color w:val="auto"/>
          <w:sz w:val="20"/>
          <w:szCs w:val="20"/>
          <w:lang w:eastAsia="es-MX"/>
        </w:rPr>
      </w:pPr>
      <w:r w:rsidRPr="005430F9">
        <w:rPr>
          <w:color w:val="auto"/>
          <w:sz w:val="20"/>
          <w:szCs w:val="20"/>
          <w:lang w:eastAsia="es-MX"/>
        </w:rPr>
        <w:t xml:space="preserve">Gráfica </w:t>
      </w:r>
      <w:r w:rsidR="004D69B4" w:rsidRPr="005430F9">
        <w:rPr>
          <w:color w:val="auto"/>
          <w:sz w:val="20"/>
          <w:szCs w:val="20"/>
          <w:lang w:eastAsia="es-MX"/>
        </w:rPr>
        <w:t>4</w:t>
      </w:r>
    </w:p>
    <w:p w14:paraId="096487C2" w14:textId="21F5FE39" w:rsidR="003D4661" w:rsidRPr="005268AA" w:rsidRDefault="001B0FE6" w:rsidP="0040250E">
      <w:pPr>
        <w:pStyle w:val="Default"/>
        <w:jc w:val="center"/>
        <w:rPr>
          <w:rFonts w:ascii="Arial Negrita" w:hAnsi="Arial Negrita"/>
          <w:b/>
          <w:smallCaps/>
          <w:color w:val="auto"/>
          <w:sz w:val="22"/>
          <w:szCs w:val="22"/>
          <w:lang w:eastAsia="es-MX"/>
        </w:rPr>
      </w:pPr>
      <w:r w:rsidRPr="005268AA">
        <w:rPr>
          <w:rFonts w:ascii="Arial Negrita" w:hAnsi="Arial Negrita"/>
          <w:b/>
          <w:smallCaps/>
          <w:color w:val="auto"/>
          <w:sz w:val="22"/>
          <w:szCs w:val="22"/>
          <w:lang w:eastAsia="es-MX"/>
        </w:rPr>
        <w:t>V</w:t>
      </w:r>
      <w:r w:rsidR="000161B1" w:rsidRPr="005268AA">
        <w:rPr>
          <w:rFonts w:ascii="Arial Negrita" w:hAnsi="Arial Negrita"/>
          <w:b/>
          <w:smallCaps/>
          <w:color w:val="auto"/>
          <w:sz w:val="22"/>
          <w:szCs w:val="22"/>
          <w:lang w:eastAsia="es-MX"/>
        </w:rPr>
        <w:t xml:space="preserve">alor de </w:t>
      </w:r>
      <w:r w:rsidR="00EF33A8" w:rsidRPr="005268AA">
        <w:rPr>
          <w:rFonts w:ascii="Arial Negrita" w:hAnsi="Arial Negrita"/>
          <w:b/>
          <w:smallCaps/>
          <w:color w:val="auto"/>
          <w:sz w:val="22"/>
          <w:szCs w:val="22"/>
          <w:lang w:eastAsia="es-MX"/>
        </w:rPr>
        <w:t xml:space="preserve">la </w:t>
      </w:r>
      <w:r w:rsidR="000161B1" w:rsidRPr="005268AA">
        <w:rPr>
          <w:rFonts w:ascii="Arial Negrita" w:hAnsi="Arial Negrita"/>
          <w:b/>
          <w:smallCaps/>
          <w:color w:val="auto"/>
          <w:sz w:val="22"/>
          <w:szCs w:val="22"/>
          <w:lang w:eastAsia="es-MX"/>
        </w:rPr>
        <w:t>producción</w:t>
      </w:r>
      <w:r w:rsidR="00EF33A8" w:rsidRPr="005268AA">
        <w:rPr>
          <w:rFonts w:ascii="Arial Negrita" w:hAnsi="Arial Negrita"/>
          <w:b/>
          <w:smallCaps/>
          <w:color w:val="auto"/>
          <w:sz w:val="22"/>
          <w:szCs w:val="22"/>
          <w:lang w:eastAsia="es-MX"/>
        </w:rPr>
        <w:t xml:space="preserve"> </w:t>
      </w:r>
      <w:r w:rsidR="00D47085" w:rsidRPr="005268AA">
        <w:rPr>
          <w:rFonts w:ascii="Arial Negrita" w:hAnsi="Arial Negrita"/>
          <w:b/>
          <w:smallCaps/>
          <w:color w:val="auto"/>
          <w:sz w:val="22"/>
          <w:szCs w:val="22"/>
          <w:lang w:eastAsia="es-MX"/>
        </w:rPr>
        <w:t>de</w:t>
      </w:r>
      <w:r w:rsidR="00EF33A8" w:rsidRPr="005268AA">
        <w:rPr>
          <w:rFonts w:ascii="Arial Negrita" w:hAnsi="Arial Negrita"/>
          <w:b/>
          <w:smallCaps/>
          <w:color w:val="auto"/>
          <w:sz w:val="22"/>
          <w:szCs w:val="22"/>
          <w:lang w:eastAsia="es-MX"/>
        </w:rPr>
        <w:t xml:space="preserve"> las </w:t>
      </w:r>
      <w:r w:rsidR="00D47085" w:rsidRPr="005268AA">
        <w:rPr>
          <w:rFonts w:ascii="Arial Negrita" w:hAnsi="Arial Negrita"/>
          <w:b/>
          <w:smallCaps/>
          <w:color w:val="auto"/>
          <w:sz w:val="22"/>
          <w:szCs w:val="22"/>
          <w:lang w:eastAsia="es-MX"/>
        </w:rPr>
        <w:t>e</w:t>
      </w:r>
      <w:r w:rsidR="00EF33A8" w:rsidRPr="005268AA">
        <w:rPr>
          <w:rFonts w:ascii="Arial Negrita" w:hAnsi="Arial Negrita"/>
          <w:b/>
          <w:smallCaps/>
          <w:color w:val="auto"/>
          <w:sz w:val="22"/>
          <w:szCs w:val="22"/>
          <w:lang w:eastAsia="es-MX"/>
        </w:rPr>
        <w:t>mpresas constructoras</w:t>
      </w:r>
      <w:r w:rsidR="000161B1" w:rsidRPr="005268AA">
        <w:rPr>
          <w:rFonts w:ascii="Arial Negrita" w:hAnsi="Arial Negrita"/>
          <w:b/>
          <w:smallCaps/>
          <w:color w:val="auto"/>
          <w:sz w:val="22"/>
          <w:szCs w:val="22"/>
          <w:lang w:eastAsia="es-MX"/>
        </w:rPr>
        <w:t xml:space="preserve"> </w:t>
      </w:r>
      <w:r w:rsidRPr="005268AA">
        <w:rPr>
          <w:rFonts w:ascii="Arial Negrita" w:hAnsi="Arial Negrita"/>
          <w:b/>
          <w:smallCaps/>
          <w:color w:val="auto"/>
          <w:sz w:val="22"/>
          <w:szCs w:val="22"/>
          <w:lang w:eastAsia="es-MX"/>
        </w:rPr>
        <w:t>según</w:t>
      </w:r>
      <w:r w:rsidR="0040250E" w:rsidRPr="005268AA">
        <w:rPr>
          <w:rFonts w:ascii="Arial Negrita" w:hAnsi="Arial Negrita"/>
          <w:b/>
          <w:smallCaps/>
          <w:color w:val="auto"/>
          <w:sz w:val="22"/>
          <w:szCs w:val="22"/>
          <w:lang w:eastAsia="es-MX"/>
        </w:rPr>
        <w:t xml:space="preserve"> </w:t>
      </w:r>
      <w:r w:rsidR="000161B1" w:rsidRPr="005268AA">
        <w:rPr>
          <w:rFonts w:ascii="Arial Negrita" w:hAnsi="Arial Negrita"/>
          <w:b/>
          <w:smallCaps/>
          <w:color w:val="auto"/>
          <w:sz w:val="22"/>
          <w:szCs w:val="22"/>
          <w:lang w:eastAsia="es-MX"/>
        </w:rPr>
        <w:t>subsector</w:t>
      </w:r>
      <w:r w:rsidR="005A3C05" w:rsidRPr="005268AA">
        <w:rPr>
          <w:rFonts w:ascii="Arial Negrita" w:hAnsi="Arial Negrita"/>
          <w:b/>
          <w:smallCaps/>
          <w:color w:val="auto"/>
          <w:sz w:val="22"/>
          <w:szCs w:val="22"/>
          <w:lang w:eastAsia="es-MX"/>
        </w:rPr>
        <w:t xml:space="preserve"> </w:t>
      </w:r>
    </w:p>
    <w:p w14:paraId="70B8DC57" w14:textId="77777777" w:rsidR="00113322" w:rsidRPr="005430F9" w:rsidRDefault="00113322" w:rsidP="00673FAE">
      <w:pPr>
        <w:pStyle w:val="Default"/>
        <w:jc w:val="center"/>
        <w:rPr>
          <w:color w:val="auto"/>
          <w:sz w:val="18"/>
          <w:szCs w:val="18"/>
          <w:lang w:eastAsia="es-MX"/>
        </w:rPr>
      </w:pPr>
      <w:r w:rsidRPr="005430F9">
        <w:rPr>
          <w:color w:val="auto"/>
          <w:sz w:val="18"/>
          <w:szCs w:val="18"/>
          <w:lang w:eastAsia="es-MX"/>
        </w:rPr>
        <w:t>(Porcentaje)</w:t>
      </w:r>
    </w:p>
    <w:p w14:paraId="7EE9DEA7" w14:textId="5431A155" w:rsidR="0085526B" w:rsidRDefault="00E131D9" w:rsidP="00673FAE">
      <w:pPr>
        <w:pStyle w:val="Default"/>
        <w:jc w:val="center"/>
        <w:rPr>
          <w:noProof/>
          <w:lang w:eastAsia="es-MX"/>
        </w:rPr>
      </w:pPr>
      <w:r>
        <w:rPr>
          <w:noProof/>
        </w:rPr>
        <w:drawing>
          <wp:inline distT="0" distB="0" distL="0" distR="0" wp14:anchorId="0F0729FA" wp14:editId="2EB7EBD4">
            <wp:extent cx="5057775" cy="2924175"/>
            <wp:effectExtent l="0" t="0" r="0" b="0"/>
            <wp:docPr id="1" name="Gráfico 1">
              <a:extLst xmlns:a="http://schemas.openxmlformats.org/drawingml/2006/main">
                <a:ext uri="{FF2B5EF4-FFF2-40B4-BE49-F238E27FC236}">
                  <a16:creationId xmlns:a16="http://schemas.microsoft.com/office/drawing/2014/main" id="{272C3223-F160-4B52-9DB9-B269418F60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4FF112" w14:textId="74B1D8C7" w:rsidR="007064E2" w:rsidRDefault="00DE5673" w:rsidP="007064E2">
      <w:pPr>
        <w:pStyle w:val="Default"/>
        <w:jc w:val="both"/>
        <w:rPr>
          <w:color w:val="auto"/>
          <w:sz w:val="16"/>
          <w:lang w:eastAsia="es-MX"/>
        </w:rPr>
      </w:pPr>
      <w:r>
        <w:rPr>
          <w:color w:val="auto"/>
          <w:sz w:val="16"/>
          <w:vertAlign w:val="superscript"/>
          <w:lang w:eastAsia="es-MX"/>
        </w:rPr>
        <w:t>P</w:t>
      </w:r>
      <w:r w:rsidR="00A857BE">
        <w:rPr>
          <w:color w:val="auto"/>
          <w:sz w:val="16"/>
          <w:vertAlign w:val="superscript"/>
          <w:lang w:eastAsia="es-MX"/>
        </w:rPr>
        <w:t>/</w:t>
      </w:r>
      <w:r w:rsidR="00AD1DD3">
        <w:rPr>
          <w:color w:val="auto"/>
          <w:sz w:val="16"/>
          <w:vertAlign w:val="superscript"/>
          <w:lang w:eastAsia="es-MX"/>
        </w:rPr>
        <w:t xml:space="preserve"> </w:t>
      </w:r>
      <w:r w:rsidR="00A857BE">
        <w:rPr>
          <w:color w:val="auto"/>
          <w:sz w:val="16"/>
          <w:lang w:eastAsia="es-MX"/>
        </w:rPr>
        <w:t xml:space="preserve">Cifras preliminares </w:t>
      </w:r>
    </w:p>
    <w:p w14:paraId="0B794F02" w14:textId="75269676" w:rsidR="00A857BE" w:rsidRPr="007064E2" w:rsidRDefault="00A857BE" w:rsidP="007064E2">
      <w:pPr>
        <w:pStyle w:val="Default"/>
        <w:jc w:val="both"/>
        <w:rPr>
          <w:color w:val="auto"/>
          <w:sz w:val="16"/>
          <w:lang w:eastAsia="es-MX"/>
        </w:rPr>
      </w:pPr>
      <w:r w:rsidRPr="00BF15FB">
        <w:rPr>
          <w:color w:val="auto"/>
          <w:sz w:val="16"/>
          <w:lang w:eastAsia="es-MX"/>
        </w:rPr>
        <w:t xml:space="preserve">Fuente: </w:t>
      </w:r>
      <w:r w:rsidRPr="005430F9">
        <w:rPr>
          <w:color w:val="auto"/>
          <w:sz w:val="16"/>
          <w:lang w:eastAsia="es-MX"/>
        </w:rPr>
        <w:t>INEGI</w:t>
      </w:r>
    </w:p>
    <w:p w14:paraId="47D8A5B7" w14:textId="38C63744" w:rsidR="00D47085" w:rsidRDefault="00D47085" w:rsidP="00A857BE">
      <w:pPr>
        <w:pStyle w:val="Default"/>
        <w:jc w:val="both"/>
        <w:rPr>
          <w:color w:val="auto"/>
          <w:sz w:val="22"/>
          <w:szCs w:val="22"/>
          <w:lang w:eastAsia="es-MX"/>
        </w:rPr>
      </w:pPr>
      <w:bookmarkStart w:id="3" w:name="_Hlk120870776"/>
    </w:p>
    <w:p w14:paraId="349CBF8B" w14:textId="1059AA1A" w:rsidR="00752A92" w:rsidRDefault="00CA4F64" w:rsidP="001B0FE6">
      <w:pPr>
        <w:pStyle w:val="Default"/>
        <w:ind w:left="-567" w:right="-518"/>
        <w:jc w:val="both"/>
        <w:rPr>
          <w:lang w:eastAsia="es-MX"/>
        </w:rPr>
      </w:pPr>
      <w:r w:rsidRPr="005430F9">
        <w:rPr>
          <w:lang w:eastAsia="es-MX"/>
        </w:rPr>
        <w:t xml:space="preserve">De acuerdo con los datos del </w:t>
      </w:r>
      <w:r w:rsidR="005268AA">
        <w:rPr>
          <w:lang w:eastAsia="es-MX"/>
        </w:rPr>
        <w:t>c</w:t>
      </w:r>
      <w:r w:rsidRPr="005430F9">
        <w:rPr>
          <w:lang w:eastAsia="es-MX"/>
        </w:rPr>
        <w:t>uadro 5, en 202</w:t>
      </w:r>
      <w:r w:rsidR="001B0FE6">
        <w:rPr>
          <w:lang w:eastAsia="es-MX"/>
        </w:rPr>
        <w:t>1,</w:t>
      </w:r>
      <w:r w:rsidRPr="005430F9">
        <w:rPr>
          <w:lang w:eastAsia="es-MX"/>
        </w:rPr>
        <w:t xml:space="preserve"> los gastos por consumo de bienes y servicios registraron 323</w:t>
      </w:r>
      <w:r w:rsidR="001B0FE6">
        <w:rPr>
          <w:lang w:eastAsia="es-MX"/>
        </w:rPr>
        <w:t xml:space="preserve"> </w:t>
      </w:r>
      <w:r w:rsidRPr="005430F9">
        <w:rPr>
          <w:lang w:eastAsia="es-MX"/>
        </w:rPr>
        <w:t xml:space="preserve">715 </w:t>
      </w:r>
      <w:r w:rsidR="00D35EA0">
        <w:rPr>
          <w:lang w:eastAsia="es-MX"/>
        </w:rPr>
        <w:t xml:space="preserve">millones </w:t>
      </w:r>
      <w:r w:rsidRPr="005430F9">
        <w:rPr>
          <w:lang w:eastAsia="es-MX"/>
        </w:rPr>
        <w:t xml:space="preserve">de pesos. </w:t>
      </w:r>
      <w:r w:rsidRPr="006F4FC9">
        <w:rPr>
          <w:i/>
          <w:lang w:eastAsia="es-MX"/>
        </w:rPr>
        <w:t>Edificación</w:t>
      </w:r>
      <w:r w:rsidRPr="005430F9">
        <w:rPr>
          <w:lang w:eastAsia="es-MX"/>
        </w:rPr>
        <w:t xml:space="preserve"> aportó 46</w:t>
      </w:r>
      <w:r w:rsidR="001B0FE6">
        <w:rPr>
          <w:lang w:eastAsia="es-MX"/>
        </w:rPr>
        <w:t xml:space="preserve">.0 </w:t>
      </w:r>
      <w:r w:rsidRPr="005430F9">
        <w:rPr>
          <w:lang w:eastAsia="es-MX"/>
        </w:rPr>
        <w:t xml:space="preserve">%, </w:t>
      </w:r>
      <w:r w:rsidRPr="006F4FC9">
        <w:rPr>
          <w:i/>
          <w:lang w:eastAsia="es-MX"/>
        </w:rPr>
        <w:t>Construcción de obras de ingeniería civil</w:t>
      </w:r>
      <w:r w:rsidR="005268AA">
        <w:rPr>
          <w:lang w:eastAsia="es-MX"/>
        </w:rPr>
        <w:t>,</w:t>
      </w:r>
      <w:r w:rsidRPr="005430F9">
        <w:rPr>
          <w:lang w:eastAsia="es-MX"/>
        </w:rPr>
        <w:t xml:space="preserve"> 40.9</w:t>
      </w:r>
      <w:r w:rsidR="001B0FE6">
        <w:rPr>
          <w:lang w:eastAsia="es-MX"/>
        </w:rPr>
        <w:t xml:space="preserve"> </w:t>
      </w:r>
      <w:r w:rsidRPr="005430F9">
        <w:rPr>
          <w:lang w:eastAsia="es-MX"/>
        </w:rPr>
        <w:t>% y</w:t>
      </w:r>
      <w:r w:rsidR="005268AA">
        <w:rPr>
          <w:lang w:eastAsia="es-MX"/>
        </w:rPr>
        <w:t xml:space="preserve"> </w:t>
      </w:r>
      <w:r w:rsidRPr="006F4FC9">
        <w:rPr>
          <w:i/>
          <w:lang w:eastAsia="es-MX"/>
        </w:rPr>
        <w:t>Trabajos especializados para la construcción</w:t>
      </w:r>
      <w:r w:rsidR="005268AA">
        <w:rPr>
          <w:lang w:eastAsia="es-MX"/>
        </w:rPr>
        <w:t>,</w:t>
      </w:r>
      <w:r w:rsidRPr="005430F9">
        <w:rPr>
          <w:lang w:eastAsia="es-MX"/>
        </w:rPr>
        <w:t xml:space="preserve"> 13.1 por ciento.</w:t>
      </w:r>
      <w:r w:rsidR="001B0FE6">
        <w:rPr>
          <w:lang w:eastAsia="es-MX"/>
        </w:rPr>
        <w:t xml:space="preserve"> </w:t>
      </w:r>
    </w:p>
    <w:p w14:paraId="7E86EA30" w14:textId="77777777" w:rsidR="00752A92" w:rsidRPr="005430F9" w:rsidRDefault="00752A92" w:rsidP="005430F9">
      <w:pPr>
        <w:pStyle w:val="Default"/>
        <w:ind w:left="-567" w:right="-518"/>
        <w:jc w:val="both"/>
        <w:rPr>
          <w:lang w:eastAsia="es-MX"/>
        </w:rPr>
      </w:pPr>
    </w:p>
    <w:p w14:paraId="4F68D627" w14:textId="5AFBCC20" w:rsidR="00206604" w:rsidRDefault="00CB50C5" w:rsidP="005430F9">
      <w:pPr>
        <w:pStyle w:val="Default"/>
        <w:ind w:left="-567" w:right="-518"/>
        <w:jc w:val="both"/>
        <w:rPr>
          <w:color w:val="auto"/>
          <w:sz w:val="22"/>
          <w:lang w:eastAsia="es-MX"/>
        </w:rPr>
      </w:pPr>
      <w:r w:rsidRPr="005430F9">
        <w:rPr>
          <w:lang w:eastAsia="es-MX"/>
        </w:rPr>
        <w:t xml:space="preserve">En </w:t>
      </w:r>
      <w:r w:rsidR="001B0FE6">
        <w:rPr>
          <w:lang w:eastAsia="es-MX"/>
        </w:rPr>
        <w:t>ese mismo año</w:t>
      </w:r>
      <w:r w:rsidR="00CA4F64" w:rsidRPr="005430F9">
        <w:rPr>
          <w:lang w:eastAsia="es-MX"/>
        </w:rPr>
        <w:t xml:space="preserve">, </w:t>
      </w:r>
      <w:r w:rsidRPr="005430F9">
        <w:rPr>
          <w:lang w:eastAsia="es-MX"/>
        </w:rPr>
        <w:t>los materiales para la construcción</w:t>
      </w:r>
      <w:r w:rsidR="001B0FE6">
        <w:rPr>
          <w:lang w:eastAsia="es-MX"/>
        </w:rPr>
        <w:t xml:space="preserve">, </w:t>
      </w:r>
      <w:r w:rsidRPr="005430F9">
        <w:rPr>
          <w:lang w:eastAsia="es-MX"/>
        </w:rPr>
        <w:t>como contratista principal</w:t>
      </w:r>
      <w:r w:rsidR="001B0FE6">
        <w:rPr>
          <w:lang w:eastAsia="es-MX"/>
        </w:rPr>
        <w:t>,</w:t>
      </w:r>
      <w:r w:rsidRPr="005430F9">
        <w:rPr>
          <w:lang w:eastAsia="es-MX"/>
        </w:rPr>
        <w:t xml:space="preserve"> representa</w:t>
      </w:r>
      <w:r w:rsidR="001B0FE6">
        <w:rPr>
          <w:lang w:eastAsia="es-MX"/>
        </w:rPr>
        <w:t>ro</w:t>
      </w:r>
      <w:r w:rsidRPr="005430F9">
        <w:rPr>
          <w:lang w:eastAsia="es-MX"/>
        </w:rPr>
        <w:t>n el rubro</w:t>
      </w:r>
      <w:r w:rsidR="005268AA">
        <w:rPr>
          <w:lang w:eastAsia="es-MX"/>
        </w:rPr>
        <w:t xml:space="preserve"> más relevante</w:t>
      </w:r>
      <w:r w:rsidRPr="005430F9">
        <w:rPr>
          <w:lang w:eastAsia="es-MX"/>
        </w:rPr>
        <w:t xml:space="preserve"> del consumo de bienes y servicios</w:t>
      </w:r>
      <w:r w:rsidR="001B0FE6">
        <w:rPr>
          <w:lang w:eastAsia="es-MX"/>
        </w:rPr>
        <w:t xml:space="preserve">. </w:t>
      </w:r>
      <w:r w:rsidR="005268AA">
        <w:rPr>
          <w:lang w:eastAsia="es-MX"/>
        </w:rPr>
        <w:t>Así, c</w:t>
      </w:r>
      <w:r w:rsidR="001B0FE6">
        <w:rPr>
          <w:lang w:eastAsia="es-MX"/>
        </w:rPr>
        <w:t xml:space="preserve">ontribuyeron </w:t>
      </w:r>
      <w:r w:rsidRPr="005430F9">
        <w:rPr>
          <w:lang w:eastAsia="es-MX"/>
        </w:rPr>
        <w:t xml:space="preserve">con </w:t>
      </w:r>
      <w:r w:rsidR="00221F3E" w:rsidRPr="005430F9">
        <w:rPr>
          <w:lang w:eastAsia="es-MX"/>
        </w:rPr>
        <w:t>53.2</w:t>
      </w:r>
      <w:r w:rsidR="001B0FE6">
        <w:rPr>
          <w:lang w:eastAsia="es-MX"/>
        </w:rPr>
        <w:t xml:space="preserve"> </w:t>
      </w:r>
      <w:r w:rsidRPr="005430F9">
        <w:rPr>
          <w:lang w:eastAsia="es-MX"/>
        </w:rPr>
        <w:t>% del total del sector</w:t>
      </w:r>
      <w:r w:rsidR="001B0FE6">
        <w:rPr>
          <w:lang w:eastAsia="es-MX"/>
        </w:rPr>
        <w:t xml:space="preserve">. </w:t>
      </w:r>
      <w:r w:rsidR="005268AA">
        <w:rPr>
          <w:lang w:eastAsia="es-MX"/>
        </w:rPr>
        <w:t>S</w:t>
      </w:r>
      <w:r w:rsidR="001B0FE6">
        <w:rPr>
          <w:lang w:eastAsia="es-MX"/>
        </w:rPr>
        <w:t>iguieron</w:t>
      </w:r>
      <w:r w:rsidRPr="005430F9">
        <w:rPr>
          <w:lang w:eastAsia="es-MX"/>
        </w:rPr>
        <w:t xml:space="preserve"> </w:t>
      </w:r>
      <w:r w:rsidR="002A2645" w:rsidRPr="005430F9">
        <w:rPr>
          <w:lang w:eastAsia="es-MX"/>
        </w:rPr>
        <w:t xml:space="preserve">los </w:t>
      </w:r>
      <w:r w:rsidRPr="005430F9">
        <w:rPr>
          <w:lang w:eastAsia="es-MX"/>
        </w:rPr>
        <w:t>pagos a subcontratistas</w:t>
      </w:r>
      <w:r w:rsidR="005268AA">
        <w:rPr>
          <w:lang w:eastAsia="es-MX"/>
        </w:rPr>
        <w:t>,</w:t>
      </w:r>
      <w:r w:rsidRPr="005430F9">
        <w:rPr>
          <w:lang w:eastAsia="es-MX"/>
        </w:rPr>
        <w:t xml:space="preserve"> </w:t>
      </w:r>
      <w:r w:rsidR="001B0FE6">
        <w:rPr>
          <w:lang w:eastAsia="es-MX"/>
        </w:rPr>
        <w:t>con</w:t>
      </w:r>
      <w:r w:rsidR="00874CCF" w:rsidRPr="005430F9">
        <w:rPr>
          <w:lang w:eastAsia="es-MX"/>
        </w:rPr>
        <w:t xml:space="preserve"> </w:t>
      </w:r>
      <w:r w:rsidR="00221F3E" w:rsidRPr="005430F9">
        <w:rPr>
          <w:lang w:eastAsia="es-MX"/>
        </w:rPr>
        <w:t>21.5</w:t>
      </w:r>
      <w:r w:rsidR="001B0FE6">
        <w:rPr>
          <w:lang w:eastAsia="es-MX"/>
        </w:rPr>
        <w:t xml:space="preserve"> </w:t>
      </w:r>
      <w:r w:rsidRPr="005430F9">
        <w:rPr>
          <w:lang w:eastAsia="es-MX"/>
        </w:rPr>
        <w:t>%</w:t>
      </w:r>
      <w:r w:rsidR="005268AA">
        <w:rPr>
          <w:lang w:eastAsia="es-MX"/>
        </w:rPr>
        <w:t>;</w:t>
      </w:r>
      <w:r w:rsidR="001B0FE6">
        <w:rPr>
          <w:lang w:eastAsia="es-MX"/>
        </w:rPr>
        <w:t xml:space="preserve"> </w:t>
      </w:r>
      <w:r w:rsidR="00874CCF" w:rsidRPr="005430F9">
        <w:rPr>
          <w:lang w:eastAsia="es-MX"/>
        </w:rPr>
        <w:t>el</w:t>
      </w:r>
      <w:r w:rsidRPr="005430F9">
        <w:rPr>
          <w:lang w:eastAsia="es-MX"/>
        </w:rPr>
        <w:t xml:space="preserve"> resto de</w:t>
      </w:r>
      <w:r w:rsidR="00943C8D">
        <w:rPr>
          <w:lang w:eastAsia="es-MX"/>
        </w:rPr>
        <w:t xml:space="preserve"> </w:t>
      </w:r>
      <w:proofErr w:type="gramStart"/>
      <w:r w:rsidRPr="005430F9">
        <w:rPr>
          <w:lang w:eastAsia="es-MX"/>
        </w:rPr>
        <w:t>consumos</w:t>
      </w:r>
      <w:proofErr w:type="gramEnd"/>
      <w:r w:rsidR="00D47085" w:rsidRPr="005430F9">
        <w:rPr>
          <w:lang w:eastAsia="es-MX"/>
        </w:rPr>
        <w:t xml:space="preserve"> (servicios de comunicación, publicidad, reparaciones y mantenimiento y otros consumos)</w:t>
      </w:r>
      <w:r w:rsidR="005268AA">
        <w:rPr>
          <w:lang w:eastAsia="es-MX"/>
        </w:rPr>
        <w:t>,</w:t>
      </w:r>
      <w:r w:rsidR="00874CCF" w:rsidRPr="005430F9">
        <w:rPr>
          <w:lang w:eastAsia="es-MX"/>
        </w:rPr>
        <w:t xml:space="preserve"> </w:t>
      </w:r>
      <w:r w:rsidR="001B0FE6">
        <w:rPr>
          <w:lang w:eastAsia="es-MX"/>
        </w:rPr>
        <w:t>con</w:t>
      </w:r>
      <w:r w:rsidR="00874CCF" w:rsidRPr="005430F9">
        <w:rPr>
          <w:lang w:eastAsia="es-MX"/>
        </w:rPr>
        <w:t xml:space="preserve"> </w:t>
      </w:r>
      <w:r w:rsidRPr="005430F9">
        <w:rPr>
          <w:lang w:eastAsia="es-MX"/>
        </w:rPr>
        <w:t>19.</w:t>
      </w:r>
      <w:r w:rsidR="00221F3E" w:rsidRPr="005430F9">
        <w:rPr>
          <w:lang w:eastAsia="es-MX"/>
        </w:rPr>
        <w:t>1</w:t>
      </w:r>
      <w:r w:rsidR="001B0FE6">
        <w:rPr>
          <w:lang w:eastAsia="es-MX"/>
        </w:rPr>
        <w:t xml:space="preserve"> </w:t>
      </w:r>
      <w:r w:rsidRPr="005430F9">
        <w:rPr>
          <w:lang w:eastAsia="es-MX"/>
        </w:rPr>
        <w:t>%</w:t>
      </w:r>
      <w:r w:rsidR="001B0FE6">
        <w:rPr>
          <w:lang w:eastAsia="es-MX"/>
        </w:rPr>
        <w:t xml:space="preserve"> y</w:t>
      </w:r>
      <w:r w:rsidR="00874CCF" w:rsidRPr="005430F9">
        <w:rPr>
          <w:lang w:eastAsia="es-MX"/>
        </w:rPr>
        <w:t xml:space="preserve"> los</w:t>
      </w:r>
      <w:r w:rsidRPr="005430F9">
        <w:rPr>
          <w:lang w:eastAsia="es-MX"/>
        </w:rPr>
        <w:t xml:space="preserve"> </w:t>
      </w:r>
      <w:r w:rsidR="002A2645" w:rsidRPr="005430F9">
        <w:rPr>
          <w:lang w:eastAsia="es-MX"/>
        </w:rPr>
        <w:t>materiales para la construcción consumidos como subcontratista</w:t>
      </w:r>
      <w:r w:rsidR="005268AA">
        <w:rPr>
          <w:lang w:eastAsia="es-MX"/>
        </w:rPr>
        <w:t>,</w:t>
      </w:r>
      <w:r w:rsidR="00874CCF" w:rsidRPr="005430F9">
        <w:rPr>
          <w:lang w:eastAsia="es-MX"/>
        </w:rPr>
        <w:t xml:space="preserve"> con </w:t>
      </w:r>
      <w:r w:rsidR="002A2645" w:rsidRPr="005430F9">
        <w:rPr>
          <w:lang w:eastAsia="es-MX"/>
        </w:rPr>
        <w:t>6.</w:t>
      </w:r>
      <w:r w:rsidR="00221F3E" w:rsidRPr="005430F9">
        <w:rPr>
          <w:lang w:eastAsia="es-MX"/>
        </w:rPr>
        <w:t>2</w:t>
      </w:r>
      <w:r w:rsidR="002A2645" w:rsidRPr="005430F9">
        <w:rPr>
          <w:lang w:eastAsia="es-MX"/>
        </w:rPr>
        <w:t xml:space="preserve"> por ciento</w:t>
      </w:r>
      <w:r w:rsidRPr="005430F9">
        <w:rPr>
          <w:lang w:eastAsia="es-MX"/>
        </w:rPr>
        <w:t>.</w:t>
      </w:r>
    </w:p>
    <w:bookmarkEnd w:id="3"/>
    <w:p w14:paraId="2104C93A" w14:textId="18D32E8C" w:rsidR="00206604" w:rsidRDefault="00206604" w:rsidP="008C0D4F">
      <w:pPr>
        <w:pStyle w:val="Default"/>
        <w:jc w:val="both"/>
        <w:rPr>
          <w:color w:val="auto"/>
          <w:sz w:val="22"/>
          <w:lang w:eastAsia="es-MX"/>
        </w:rPr>
      </w:pPr>
    </w:p>
    <w:p w14:paraId="78AD751E" w14:textId="3172EBF2" w:rsidR="00752A92" w:rsidRDefault="00752A92" w:rsidP="008C0D4F">
      <w:pPr>
        <w:pStyle w:val="Default"/>
        <w:jc w:val="both"/>
        <w:rPr>
          <w:color w:val="auto"/>
          <w:sz w:val="22"/>
          <w:lang w:eastAsia="es-MX"/>
        </w:rPr>
      </w:pPr>
    </w:p>
    <w:p w14:paraId="20D27A0F" w14:textId="45A14E71" w:rsidR="00752A92" w:rsidRDefault="00752A92" w:rsidP="008C0D4F">
      <w:pPr>
        <w:pStyle w:val="Default"/>
        <w:jc w:val="both"/>
        <w:rPr>
          <w:color w:val="auto"/>
          <w:sz w:val="22"/>
          <w:lang w:eastAsia="es-MX"/>
        </w:rPr>
      </w:pPr>
    </w:p>
    <w:p w14:paraId="584B1958" w14:textId="54182C12" w:rsidR="00752A92" w:rsidRDefault="00752A92" w:rsidP="008C0D4F">
      <w:pPr>
        <w:pStyle w:val="Default"/>
        <w:jc w:val="both"/>
        <w:rPr>
          <w:color w:val="auto"/>
          <w:sz w:val="22"/>
          <w:lang w:eastAsia="es-MX"/>
        </w:rPr>
      </w:pPr>
    </w:p>
    <w:p w14:paraId="3E5F85FB" w14:textId="71A3C70C" w:rsidR="00752A92" w:rsidRDefault="00752A92" w:rsidP="008C0D4F">
      <w:pPr>
        <w:pStyle w:val="Default"/>
        <w:jc w:val="both"/>
        <w:rPr>
          <w:color w:val="auto"/>
          <w:sz w:val="22"/>
          <w:lang w:eastAsia="es-MX"/>
        </w:rPr>
      </w:pPr>
    </w:p>
    <w:p w14:paraId="33180189" w14:textId="3AFFA715" w:rsidR="00752A92" w:rsidRDefault="00752A92" w:rsidP="008C0D4F">
      <w:pPr>
        <w:pStyle w:val="Default"/>
        <w:jc w:val="both"/>
        <w:rPr>
          <w:color w:val="auto"/>
          <w:sz w:val="22"/>
          <w:lang w:eastAsia="es-MX"/>
        </w:rPr>
      </w:pPr>
    </w:p>
    <w:p w14:paraId="7CB9A0F3" w14:textId="78607FB0" w:rsidR="00752A92" w:rsidRDefault="00752A92" w:rsidP="008C0D4F">
      <w:pPr>
        <w:pStyle w:val="Default"/>
        <w:jc w:val="both"/>
        <w:rPr>
          <w:color w:val="auto"/>
          <w:sz w:val="22"/>
          <w:lang w:eastAsia="es-MX"/>
        </w:rPr>
      </w:pPr>
    </w:p>
    <w:p w14:paraId="290F750E" w14:textId="7BEB8D4A" w:rsidR="00752A92" w:rsidRDefault="00752A92" w:rsidP="008C0D4F">
      <w:pPr>
        <w:pStyle w:val="Default"/>
        <w:jc w:val="both"/>
        <w:rPr>
          <w:color w:val="auto"/>
          <w:sz w:val="22"/>
          <w:lang w:eastAsia="es-MX"/>
        </w:rPr>
      </w:pPr>
    </w:p>
    <w:p w14:paraId="1698546F" w14:textId="77777777" w:rsidR="00943C8D" w:rsidRDefault="00943C8D" w:rsidP="008C0D4F">
      <w:pPr>
        <w:pStyle w:val="Default"/>
        <w:jc w:val="both"/>
        <w:rPr>
          <w:color w:val="auto"/>
          <w:sz w:val="22"/>
          <w:lang w:eastAsia="es-MX"/>
        </w:rPr>
      </w:pPr>
    </w:p>
    <w:p w14:paraId="16FD3491" w14:textId="77777777" w:rsidR="00752A92" w:rsidRDefault="00752A92" w:rsidP="008C0D4F">
      <w:pPr>
        <w:pStyle w:val="Default"/>
        <w:jc w:val="both"/>
        <w:rPr>
          <w:color w:val="auto"/>
          <w:sz w:val="22"/>
          <w:lang w:eastAsia="es-MX"/>
        </w:rPr>
      </w:pPr>
    </w:p>
    <w:p w14:paraId="5B9CF71E" w14:textId="77777777" w:rsidR="008C0D4F" w:rsidRPr="005430F9" w:rsidRDefault="008C0D4F" w:rsidP="008C0D4F">
      <w:pPr>
        <w:pStyle w:val="Default"/>
        <w:jc w:val="center"/>
        <w:rPr>
          <w:color w:val="auto"/>
          <w:sz w:val="20"/>
          <w:szCs w:val="20"/>
          <w:lang w:eastAsia="es-MX"/>
        </w:rPr>
      </w:pPr>
      <w:r w:rsidRPr="005430F9">
        <w:rPr>
          <w:color w:val="auto"/>
          <w:sz w:val="20"/>
          <w:szCs w:val="20"/>
          <w:lang w:eastAsia="es-MX"/>
        </w:rPr>
        <w:lastRenderedPageBreak/>
        <w:t xml:space="preserve">Cuadro </w:t>
      </w:r>
      <w:r w:rsidR="00BC06C5" w:rsidRPr="005430F9">
        <w:rPr>
          <w:color w:val="auto"/>
          <w:sz w:val="20"/>
          <w:szCs w:val="20"/>
          <w:lang w:eastAsia="es-MX"/>
        </w:rPr>
        <w:t>5</w:t>
      </w:r>
    </w:p>
    <w:p w14:paraId="2FC119BC" w14:textId="0EF36391" w:rsidR="00FF5CF1" w:rsidRPr="004B1724" w:rsidRDefault="001B0FE6" w:rsidP="00FF5CF1">
      <w:pPr>
        <w:pStyle w:val="NormalWeb"/>
        <w:shd w:val="clear" w:color="auto" w:fill="FFFFFF"/>
        <w:spacing w:before="0" w:beforeAutospacing="0" w:after="0" w:afterAutospacing="0"/>
        <w:jc w:val="center"/>
        <w:rPr>
          <w:rFonts w:ascii="Arial Negrita" w:hAnsi="Arial Negrita" w:cs="Arial"/>
          <w:smallCaps/>
          <w:color w:val="242424"/>
          <w:sz w:val="22"/>
          <w:szCs w:val="22"/>
        </w:rPr>
      </w:pPr>
      <w:r w:rsidRPr="005268AA">
        <w:rPr>
          <w:rFonts w:ascii="Arial Negrita" w:hAnsi="Arial Negrita" w:cs="Arial"/>
          <w:b/>
          <w:bCs/>
          <w:smallCaps/>
          <w:color w:val="242424"/>
          <w:sz w:val="22"/>
          <w:szCs w:val="22"/>
        </w:rPr>
        <w:t>G</w:t>
      </w:r>
      <w:r w:rsidR="000A0BD1" w:rsidRPr="005268AA">
        <w:rPr>
          <w:rFonts w:ascii="Arial Negrita" w:hAnsi="Arial Negrita" w:cs="Arial"/>
          <w:b/>
          <w:bCs/>
          <w:smallCaps/>
          <w:color w:val="242424"/>
          <w:sz w:val="22"/>
          <w:szCs w:val="22"/>
        </w:rPr>
        <w:t xml:space="preserve">astos por </w:t>
      </w:r>
      <w:r w:rsidR="00FF5CF1" w:rsidRPr="005268AA">
        <w:rPr>
          <w:rFonts w:ascii="Arial Negrita" w:hAnsi="Arial Negrita" w:cs="Arial"/>
          <w:b/>
          <w:bCs/>
          <w:smallCaps/>
          <w:color w:val="242424"/>
          <w:sz w:val="22"/>
          <w:szCs w:val="22"/>
        </w:rPr>
        <w:t>consumo de bienes y servicios</w:t>
      </w:r>
      <w:r w:rsidR="00350BEA" w:rsidRPr="005268AA">
        <w:rPr>
          <w:rFonts w:ascii="Arial Negrita" w:hAnsi="Arial Negrita" w:cs="Arial"/>
          <w:b/>
          <w:bCs/>
          <w:smallCaps/>
          <w:color w:val="242424"/>
          <w:sz w:val="22"/>
          <w:szCs w:val="22"/>
        </w:rPr>
        <w:t xml:space="preserve"> </w:t>
      </w:r>
      <w:r w:rsidR="00FF5CF1" w:rsidRPr="005268AA">
        <w:rPr>
          <w:rFonts w:ascii="Arial Negrita" w:hAnsi="Arial Negrita" w:cs="Arial"/>
          <w:b/>
          <w:bCs/>
          <w:smallCaps/>
          <w:color w:val="242424"/>
          <w:sz w:val="22"/>
          <w:szCs w:val="22"/>
        </w:rPr>
        <w:t>de las empresas constructoras</w:t>
      </w:r>
      <w:r w:rsidRPr="005268AA">
        <w:rPr>
          <w:rFonts w:ascii="Arial Negrita" w:hAnsi="Arial Negrita" w:cs="Arial"/>
          <w:b/>
          <w:bCs/>
          <w:smallCaps/>
          <w:color w:val="242424"/>
          <w:sz w:val="22"/>
          <w:szCs w:val="22"/>
        </w:rPr>
        <w:t xml:space="preserve">, </w:t>
      </w:r>
      <w:r w:rsidR="00FF5CF1" w:rsidRPr="005268AA">
        <w:rPr>
          <w:rFonts w:ascii="Arial Negrita" w:hAnsi="Arial Negrita" w:cs="Arial"/>
          <w:b/>
          <w:bCs/>
          <w:smallCaps/>
          <w:color w:val="242424"/>
          <w:sz w:val="22"/>
          <w:szCs w:val="22"/>
        </w:rPr>
        <w:t>202</w:t>
      </w:r>
      <w:r w:rsidR="00221F3E" w:rsidRPr="005268AA">
        <w:rPr>
          <w:rFonts w:ascii="Arial Negrita" w:hAnsi="Arial Negrita" w:cs="Arial"/>
          <w:b/>
          <w:bCs/>
          <w:smallCaps/>
          <w:color w:val="242424"/>
          <w:sz w:val="22"/>
          <w:szCs w:val="22"/>
        </w:rPr>
        <w:t>1</w:t>
      </w:r>
      <w:r w:rsidR="00FF5CF1" w:rsidRPr="004B1724">
        <w:rPr>
          <w:rFonts w:ascii="Arial Negrita" w:hAnsi="Arial Negrita" w:cs="Arial"/>
          <w:b/>
          <w:bCs/>
          <w:smallCaps/>
          <w:color w:val="242424"/>
          <w:sz w:val="22"/>
          <w:szCs w:val="22"/>
          <w:vertAlign w:val="superscript"/>
        </w:rPr>
        <w:t>p/</w:t>
      </w:r>
    </w:p>
    <w:tbl>
      <w:tblPr>
        <w:tblW w:w="9838" w:type="dxa"/>
        <w:tblInd w:w="-431" w:type="dxa"/>
        <w:tblCellMar>
          <w:left w:w="70" w:type="dxa"/>
          <w:right w:w="70" w:type="dxa"/>
        </w:tblCellMar>
        <w:tblLook w:val="04A0" w:firstRow="1" w:lastRow="0" w:firstColumn="1" w:lastColumn="0" w:noHBand="0" w:noVBand="1"/>
      </w:tblPr>
      <w:tblGrid>
        <w:gridCol w:w="2978"/>
        <w:gridCol w:w="160"/>
        <w:gridCol w:w="1115"/>
        <w:gridCol w:w="1020"/>
        <w:gridCol w:w="1269"/>
        <w:gridCol w:w="1229"/>
        <w:gridCol w:w="1200"/>
        <w:gridCol w:w="867"/>
      </w:tblGrid>
      <w:tr w:rsidR="005268AA" w:rsidRPr="00C23B19" w14:paraId="6C49C484" w14:textId="77777777" w:rsidTr="004571A6">
        <w:trPr>
          <w:trHeight w:val="182"/>
        </w:trPr>
        <w:tc>
          <w:tcPr>
            <w:tcW w:w="2978" w:type="dxa"/>
            <w:vMerge w:val="restart"/>
            <w:tcBorders>
              <w:top w:val="single" w:sz="4" w:space="0" w:color="auto"/>
              <w:left w:val="single" w:sz="4" w:space="0" w:color="auto"/>
              <w:bottom w:val="single" w:sz="4" w:space="0" w:color="auto"/>
              <w:right w:val="single" w:sz="4" w:space="0" w:color="auto"/>
            </w:tcBorders>
            <w:shd w:val="clear" w:color="auto" w:fill="FFB13F"/>
            <w:vAlign w:val="center"/>
            <w:hideMark/>
          </w:tcPr>
          <w:p w14:paraId="4103AC86" w14:textId="77777777" w:rsidR="005268AA" w:rsidRPr="00C23B19" w:rsidRDefault="005268AA" w:rsidP="00C23B19">
            <w:pPr>
              <w:spacing w:after="0" w:line="240" w:lineRule="auto"/>
              <w:jc w:val="center"/>
              <w:rPr>
                <w:rFonts w:ascii="Arial" w:eastAsia="Times New Roman" w:hAnsi="Arial" w:cs="Arial"/>
                <w:b/>
                <w:bCs/>
                <w:sz w:val="20"/>
                <w:szCs w:val="20"/>
                <w:lang w:eastAsia="es-MX"/>
              </w:rPr>
            </w:pPr>
            <w:r w:rsidRPr="00C23B19">
              <w:rPr>
                <w:rFonts w:ascii="Arial" w:eastAsia="Times New Roman" w:hAnsi="Arial" w:cs="Arial"/>
                <w:b/>
                <w:bCs/>
                <w:sz w:val="20"/>
                <w:szCs w:val="20"/>
                <w:lang w:eastAsia="es-MX"/>
              </w:rPr>
              <w:t>Sector y subsector</w:t>
            </w:r>
          </w:p>
        </w:tc>
        <w:tc>
          <w:tcPr>
            <w:tcW w:w="160" w:type="dxa"/>
            <w:tcBorders>
              <w:top w:val="single" w:sz="4" w:space="0" w:color="auto"/>
              <w:left w:val="nil"/>
              <w:bottom w:val="single" w:sz="4" w:space="0" w:color="auto"/>
              <w:right w:val="nil"/>
            </w:tcBorders>
            <w:shd w:val="clear" w:color="auto" w:fill="FFB13F"/>
          </w:tcPr>
          <w:p w14:paraId="235820C1" w14:textId="77777777" w:rsidR="005268AA" w:rsidRPr="00C23B19" w:rsidRDefault="005268AA" w:rsidP="00C23B19">
            <w:pPr>
              <w:spacing w:after="0" w:line="240" w:lineRule="auto"/>
              <w:jc w:val="center"/>
              <w:rPr>
                <w:rFonts w:ascii="Arial" w:eastAsia="Times New Roman" w:hAnsi="Arial" w:cs="Arial"/>
                <w:b/>
                <w:bCs/>
                <w:sz w:val="20"/>
                <w:szCs w:val="20"/>
                <w:lang w:eastAsia="es-MX"/>
              </w:rPr>
            </w:pPr>
          </w:p>
        </w:tc>
        <w:tc>
          <w:tcPr>
            <w:tcW w:w="6700" w:type="dxa"/>
            <w:gridSpan w:val="6"/>
            <w:tcBorders>
              <w:top w:val="single" w:sz="4" w:space="0" w:color="auto"/>
              <w:left w:val="nil"/>
              <w:bottom w:val="single" w:sz="4" w:space="0" w:color="auto"/>
              <w:right w:val="single" w:sz="4" w:space="0" w:color="auto"/>
            </w:tcBorders>
            <w:shd w:val="clear" w:color="auto" w:fill="FFB13F"/>
            <w:noWrap/>
            <w:vAlign w:val="center"/>
            <w:hideMark/>
          </w:tcPr>
          <w:p w14:paraId="44FE5683" w14:textId="5C1EC428" w:rsidR="005268AA" w:rsidRPr="00C23B19" w:rsidRDefault="005268AA" w:rsidP="00C23B19">
            <w:pPr>
              <w:spacing w:after="0" w:line="240" w:lineRule="auto"/>
              <w:jc w:val="center"/>
              <w:rPr>
                <w:rFonts w:ascii="Arial" w:eastAsia="Times New Roman" w:hAnsi="Arial" w:cs="Arial"/>
                <w:b/>
                <w:bCs/>
                <w:sz w:val="20"/>
                <w:szCs w:val="20"/>
                <w:lang w:eastAsia="es-MX"/>
              </w:rPr>
            </w:pPr>
            <w:r w:rsidRPr="00C23B19">
              <w:rPr>
                <w:rFonts w:ascii="Arial" w:eastAsia="Times New Roman" w:hAnsi="Arial" w:cs="Arial"/>
                <w:b/>
                <w:bCs/>
                <w:sz w:val="20"/>
                <w:szCs w:val="20"/>
                <w:lang w:eastAsia="es-MX"/>
              </w:rPr>
              <w:t>Gastos por consumo de bienes y servicios</w:t>
            </w:r>
          </w:p>
        </w:tc>
      </w:tr>
      <w:tr w:rsidR="004571A6" w:rsidRPr="00C23B19" w14:paraId="1A44B67A" w14:textId="77777777" w:rsidTr="004571A6">
        <w:trPr>
          <w:trHeight w:val="224"/>
        </w:trPr>
        <w:tc>
          <w:tcPr>
            <w:tcW w:w="2978" w:type="dxa"/>
            <w:vMerge/>
            <w:tcBorders>
              <w:top w:val="single" w:sz="4" w:space="0" w:color="auto"/>
              <w:left w:val="single" w:sz="4" w:space="0" w:color="auto"/>
              <w:bottom w:val="single" w:sz="4" w:space="0" w:color="auto"/>
              <w:right w:val="single" w:sz="4" w:space="0" w:color="auto"/>
            </w:tcBorders>
            <w:shd w:val="clear" w:color="auto" w:fill="FFB13F"/>
            <w:vAlign w:val="center"/>
            <w:hideMark/>
          </w:tcPr>
          <w:p w14:paraId="6504EF7E" w14:textId="77777777" w:rsidR="004571A6" w:rsidRPr="00C23B19" w:rsidRDefault="004571A6" w:rsidP="00C23B19">
            <w:pPr>
              <w:spacing w:after="0" w:line="240" w:lineRule="auto"/>
              <w:jc w:val="center"/>
              <w:rPr>
                <w:rFonts w:ascii="Arial" w:eastAsia="Times New Roman" w:hAnsi="Arial" w:cs="Arial"/>
                <w:b/>
                <w:bCs/>
                <w:sz w:val="20"/>
                <w:szCs w:val="20"/>
                <w:lang w:eastAsia="es-MX"/>
              </w:rPr>
            </w:pPr>
          </w:p>
        </w:tc>
        <w:tc>
          <w:tcPr>
            <w:tcW w:w="1275" w:type="dxa"/>
            <w:gridSpan w:val="2"/>
            <w:vMerge w:val="restart"/>
            <w:tcBorders>
              <w:top w:val="nil"/>
              <w:left w:val="single" w:sz="4" w:space="0" w:color="auto"/>
              <w:right w:val="single" w:sz="4" w:space="0" w:color="auto"/>
            </w:tcBorders>
            <w:shd w:val="clear" w:color="auto" w:fill="FFB13F"/>
            <w:vAlign w:val="center"/>
          </w:tcPr>
          <w:p w14:paraId="09649236" w14:textId="06ED4703" w:rsidR="004571A6" w:rsidRPr="00C23B19" w:rsidRDefault="004571A6" w:rsidP="0051111F">
            <w:pPr>
              <w:spacing w:after="0" w:line="240" w:lineRule="auto"/>
              <w:jc w:val="center"/>
              <w:rPr>
                <w:rFonts w:ascii="Arial" w:eastAsia="Times New Roman" w:hAnsi="Arial" w:cs="Arial"/>
                <w:b/>
                <w:bCs/>
                <w:sz w:val="14"/>
                <w:szCs w:val="14"/>
                <w:lang w:eastAsia="es-MX"/>
              </w:rPr>
            </w:pPr>
            <w:r>
              <w:rPr>
                <w:rFonts w:ascii="Arial" w:eastAsia="Times New Roman" w:hAnsi="Arial" w:cs="Arial"/>
                <w:b/>
                <w:bCs/>
                <w:sz w:val="14"/>
                <w:szCs w:val="14"/>
                <w:lang w:eastAsia="es-MX"/>
              </w:rPr>
              <w:t>Millones</w:t>
            </w:r>
            <w:r w:rsidRPr="00C23B19">
              <w:rPr>
                <w:rFonts w:ascii="Arial" w:eastAsia="Times New Roman" w:hAnsi="Arial" w:cs="Arial"/>
                <w:b/>
                <w:bCs/>
                <w:sz w:val="14"/>
                <w:szCs w:val="14"/>
                <w:lang w:eastAsia="es-MX"/>
              </w:rPr>
              <w:t xml:space="preserve"> de pesos corrientes</w:t>
            </w:r>
          </w:p>
        </w:tc>
        <w:tc>
          <w:tcPr>
            <w:tcW w:w="1020" w:type="dxa"/>
            <w:vMerge w:val="restart"/>
            <w:tcBorders>
              <w:top w:val="nil"/>
              <w:left w:val="nil"/>
              <w:right w:val="single" w:sz="4" w:space="0" w:color="auto"/>
            </w:tcBorders>
            <w:shd w:val="clear" w:color="auto" w:fill="FFB13F"/>
            <w:noWrap/>
            <w:vAlign w:val="center"/>
            <w:hideMark/>
          </w:tcPr>
          <w:p w14:paraId="7249E87F" w14:textId="77777777" w:rsidR="004571A6" w:rsidRPr="00C23B19" w:rsidRDefault="004571A6" w:rsidP="00C23B19">
            <w:pPr>
              <w:spacing w:after="0" w:line="240" w:lineRule="auto"/>
              <w:jc w:val="center"/>
              <w:rPr>
                <w:rFonts w:ascii="Arial" w:eastAsia="Times New Roman" w:hAnsi="Arial" w:cs="Arial"/>
                <w:b/>
                <w:bCs/>
                <w:sz w:val="14"/>
                <w:szCs w:val="14"/>
                <w:lang w:eastAsia="es-MX"/>
              </w:rPr>
            </w:pPr>
            <w:r w:rsidRPr="00C23B19">
              <w:rPr>
                <w:rFonts w:ascii="Arial" w:eastAsia="Times New Roman" w:hAnsi="Arial" w:cs="Arial"/>
                <w:b/>
                <w:bCs/>
                <w:sz w:val="14"/>
                <w:szCs w:val="14"/>
                <w:lang w:eastAsia="es-MX"/>
              </w:rPr>
              <w:t>Participación porcentual</w:t>
            </w:r>
          </w:p>
        </w:tc>
        <w:tc>
          <w:tcPr>
            <w:tcW w:w="4565" w:type="dxa"/>
            <w:gridSpan w:val="4"/>
            <w:tcBorders>
              <w:top w:val="single" w:sz="4" w:space="0" w:color="auto"/>
              <w:left w:val="nil"/>
              <w:bottom w:val="single" w:sz="4" w:space="0" w:color="auto"/>
              <w:right w:val="single" w:sz="4" w:space="0" w:color="auto"/>
            </w:tcBorders>
            <w:shd w:val="clear" w:color="auto" w:fill="FFB13F"/>
            <w:noWrap/>
            <w:vAlign w:val="center"/>
            <w:hideMark/>
          </w:tcPr>
          <w:p w14:paraId="186949E6" w14:textId="77777777" w:rsidR="004571A6" w:rsidRPr="00C23B19" w:rsidRDefault="004571A6" w:rsidP="00C23B19">
            <w:pPr>
              <w:spacing w:after="0" w:line="240" w:lineRule="auto"/>
              <w:jc w:val="center"/>
              <w:rPr>
                <w:rFonts w:ascii="Arial" w:eastAsia="Times New Roman" w:hAnsi="Arial" w:cs="Arial"/>
                <w:b/>
                <w:bCs/>
                <w:color w:val="000000"/>
                <w:sz w:val="20"/>
                <w:szCs w:val="20"/>
                <w:lang w:eastAsia="es-MX"/>
              </w:rPr>
            </w:pPr>
            <w:r w:rsidRPr="00C23B19">
              <w:rPr>
                <w:rFonts w:ascii="Arial" w:eastAsia="Times New Roman" w:hAnsi="Arial" w:cs="Arial"/>
                <w:b/>
                <w:bCs/>
                <w:color w:val="000000"/>
                <w:sz w:val="20"/>
                <w:szCs w:val="20"/>
                <w:lang w:eastAsia="es-MX"/>
              </w:rPr>
              <w:t>Distribución porcentual</w:t>
            </w:r>
          </w:p>
        </w:tc>
      </w:tr>
      <w:tr w:rsidR="004571A6" w:rsidRPr="00C23B19" w14:paraId="41C16C12" w14:textId="77777777" w:rsidTr="004571A6">
        <w:trPr>
          <w:trHeight w:val="625"/>
        </w:trPr>
        <w:tc>
          <w:tcPr>
            <w:tcW w:w="2978" w:type="dxa"/>
            <w:vMerge/>
            <w:tcBorders>
              <w:top w:val="single" w:sz="4" w:space="0" w:color="auto"/>
              <w:left w:val="single" w:sz="4" w:space="0" w:color="auto"/>
              <w:bottom w:val="single" w:sz="4" w:space="0" w:color="auto"/>
              <w:right w:val="single" w:sz="4" w:space="0" w:color="auto"/>
            </w:tcBorders>
            <w:shd w:val="clear" w:color="auto" w:fill="FFB13F"/>
            <w:vAlign w:val="center"/>
            <w:hideMark/>
          </w:tcPr>
          <w:p w14:paraId="59192974" w14:textId="77777777" w:rsidR="004571A6" w:rsidRPr="00C23B19" w:rsidRDefault="004571A6" w:rsidP="00C23B19">
            <w:pPr>
              <w:spacing w:after="0" w:line="240" w:lineRule="auto"/>
              <w:jc w:val="center"/>
              <w:rPr>
                <w:rFonts w:ascii="Arial" w:eastAsia="Times New Roman" w:hAnsi="Arial" w:cs="Arial"/>
                <w:b/>
                <w:bCs/>
                <w:sz w:val="20"/>
                <w:szCs w:val="20"/>
                <w:lang w:eastAsia="es-MX"/>
              </w:rPr>
            </w:pPr>
          </w:p>
        </w:tc>
        <w:tc>
          <w:tcPr>
            <w:tcW w:w="1275" w:type="dxa"/>
            <w:gridSpan w:val="2"/>
            <w:vMerge/>
            <w:tcBorders>
              <w:left w:val="single" w:sz="4" w:space="0" w:color="auto"/>
              <w:bottom w:val="single" w:sz="4" w:space="0" w:color="auto"/>
              <w:right w:val="single" w:sz="4" w:space="0" w:color="auto"/>
            </w:tcBorders>
            <w:shd w:val="clear" w:color="auto" w:fill="FFB13F"/>
          </w:tcPr>
          <w:p w14:paraId="35583DC1" w14:textId="77F1E89B" w:rsidR="004571A6" w:rsidRPr="00C23B19" w:rsidRDefault="004571A6" w:rsidP="00C23B19">
            <w:pPr>
              <w:spacing w:after="0" w:line="240" w:lineRule="auto"/>
              <w:jc w:val="center"/>
              <w:rPr>
                <w:rFonts w:ascii="Arial" w:eastAsia="Times New Roman" w:hAnsi="Arial" w:cs="Arial"/>
                <w:b/>
                <w:bCs/>
                <w:sz w:val="14"/>
                <w:szCs w:val="14"/>
                <w:lang w:eastAsia="es-MX"/>
              </w:rPr>
            </w:pPr>
          </w:p>
        </w:tc>
        <w:tc>
          <w:tcPr>
            <w:tcW w:w="1020" w:type="dxa"/>
            <w:vMerge/>
            <w:tcBorders>
              <w:left w:val="nil"/>
              <w:bottom w:val="single" w:sz="4" w:space="0" w:color="auto"/>
              <w:right w:val="single" w:sz="4" w:space="0" w:color="auto"/>
            </w:tcBorders>
            <w:shd w:val="clear" w:color="auto" w:fill="FFB13F"/>
            <w:vAlign w:val="center"/>
            <w:hideMark/>
          </w:tcPr>
          <w:p w14:paraId="1545DD32" w14:textId="77777777" w:rsidR="004571A6" w:rsidRPr="00C23B19" w:rsidRDefault="004571A6" w:rsidP="00C23B19">
            <w:pPr>
              <w:spacing w:after="0" w:line="240" w:lineRule="auto"/>
              <w:jc w:val="center"/>
              <w:rPr>
                <w:rFonts w:ascii="Arial" w:eastAsia="Times New Roman" w:hAnsi="Arial" w:cs="Arial"/>
                <w:b/>
                <w:bCs/>
                <w:sz w:val="14"/>
                <w:szCs w:val="14"/>
                <w:lang w:eastAsia="es-MX"/>
              </w:rPr>
            </w:pPr>
          </w:p>
        </w:tc>
        <w:tc>
          <w:tcPr>
            <w:tcW w:w="1269" w:type="dxa"/>
            <w:tcBorders>
              <w:top w:val="nil"/>
              <w:left w:val="nil"/>
              <w:bottom w:val="single" w:sz="4" w:space="0" w:color="auto"/>
              <w:right w:val="single" w:sz="4" w:space="0" w:color="auto"/>
            </w:tcBorders>
            <w:shd w:val="clear" w:color="auto" w:fill="FFB13F"/>
            <w:vAlign w:val="center"/>
            <w:hideMark/>
          </w:tcPr>
          <w:p w14:paraId="344396F7" w14:textId="77777777" w:rsidR="004571A6" w:rsidRPr="00C23B19" w:rsidRDefault="004571A6" w:rsidP="00C23B19">
            <w:pPr>
              <w:spacing w:after="0" w:line="240" w:lineRule="auto"/>
              <w:jc w:val="center"/>
              <w:rPr>
                <w:rFonts w:ascii="Arial" w:eastAsia="Times New Roman" w:hAnsi="Arial" w:cs="Arial"/>
                <w:b/>
                <w:bCs/>
                <w:sz w:val="14"/>
                <w:szCs w:val="14"/>
                <w:lang w:eastAsia="es-MX"/>
              </w:rPr>
            </w:pPr>
            <w:r w:rsidRPr="00C23B19">
              <w:rPr>
                <w:rFonts w:ascii="Arial" w:eastAsia="Times New Roman" w:hAnsi="Arial" w:cs="Arial"/>
                <w:b/>
                <w:bCs/>
                <w:sz w:val="14"/>
                <w:szCs w:val="14"/>
                <w:lang w:eastAsia="es-MX"/>
              </w:rPr>
              <w:t>Materiales para la construcción consumidos como contratista principal</w:t>
            </w:r>
          </w:p>
        </w:tc>
        <w:tc>
          <w:tcPr>
            <w:tcW w:w="1229" w:type="dxa"/>
            <w:tcBorders>
              <w:top w:val="nil"/>
              <w:left w:val="nil"/>
              <w:bottom w:val="single" w:sz="4" w:space="0" w:color="auto"/>
              <w:right w:val="single" w:sz="4" w:space="0" w:color="auto"/>
            </w:tcBorders>
            <w:shd w:val="clear" w:color="auto" w:fill="FFB13F"/>
            <w:vAlign w:val="center"/>
            <w:hideMark/>
          </w:tcPr>
          <w:p w14:paraId="2003465E" w14:textId="77777777" w:rsidR="004571A6" w:rsidRPr="00C23B19" w:rsidRDefault="004571A6" w:rsidP="00C23B19">
            <w:pPr>
              <w:spacing w:after="0" w:line="240" w:lineRule="auto"/>
              <w:jc w:val="center"/>
              <w:rPr>
                <w:rFonts w:ascii="Arial" w:eastAsia="Times New Roman" w:hAnsi="Arial" w:cs="Arial"/>
                <w:b/>
                <w:bCs/>
                <w:sz w:val="14"/>
                <w:szCs w:val="14"/>
                <w:lang w:eastAsia="es-MX"/>
              </w:rPr>
            </w:pPr>
            <w:r w:rsidRPr="00C23B19">
              <w:rPr>
                <w:rFonts w:ascii="Arial" w:eastAsia="Times New Roman" w:hAnsi="Arial" w:cs="Arial"/>
                <w:b/>
                <w:bCs/>
                <w:sz w:val="14"/>
                <w:szCs w:val="14"/>
                <w:lang w:eastAsia="es-MX"/>
              </w:rPr>
              <w:t>Materiales para la construcción consumidos como subcontratista</w:t>
            </w:r>
          </w:p>
        </w:tc>
        <w:tc>
          <w:tcPr>
            <w:tcW w:w="1200" w:type="dxa"/>
            <w:tcBorders>
              <w:top w:val="nil"/>
              <w:left w:val="nil"/>
              <w:bottom w:val="single" w:sz="4" w:space="0" w:color="auto"/>
              <w:right w:val="single" w:sz="4" w:space="0" w:color="auto"/>
            </w:tcBorders>
            <w:shd w:val="clear" w:color="auto" w:fill="FFB13F"/>
            <w:vAlign w:val="center"/>
            <w:hideMark/>
          </w:tcPr>
          <w:p w14:paraId="38AF4650" w14:textId="77777777" w:rsidR="004571A6" w:rsidRPr="00C23B19" w:rsidRDefault="004571A6" w:rsidP="00C23B19">
            <w:pPr>
              <w:spacing w:after="0" w:line="240" w:lineRule="auto"/>
              <w:jc w:val="center"/>
              <w:rPr>
                <w:rFonts w:ascii="Arial" w:eastAsia="Times New Roman" w:hAnsi="Arial" w:cs="Arial"/>
                <w:b/>
                <w:bCs/>
                <w:sz w:val="14"/>
                <w:szCs w:val="14"/>
                <w:lang w:eastAsia="es-MX"/>
              </w:rPr>
            </w:pPr>
            <w:r w:rsidRPr="00C23B19">
              <w:rPr>
                <w:rFonts w:ascii="Arial" w:eastAsia="Times New Roman" w:hAnsi="Arial" w:cs="Arial"/>
                <w:b/>
                <w:bCs/>
                <w:sz w:val="14"/>
                <w:szCs w:val="14"/>
                <w:lang w:eastAsia="es-MX"/>
              </w:rPr>
              <w:t>Pagos a subcontratistas</w:t>
            </w:r>
          </w:p>
        </w:tc>
        <w:tc>
          <w:tcPr>
            <w:tcW w:w="867" w:type="dxa"/>
            <w:tcBorders>
              <w:top w:val="nil"/>
              <w:left w:val="nil"/>
              <w:bottom w:val="single" w:sz="4" w:space="0" w:color="auto"/>
              <w:right w:val="single" w:sz="4" w:space="0" w:color="auto"/>
            </w:tcBorders>
            <w:shd w:val="clear" w:color="auto" w:fill="FFB13F"/>
            <w:vAlign w:val="center"/>
            <w:hideMark/>
          </w:tcPr>
          <w:p w14:paraId="37292D73" w14:textId="77777777" w:rsidR="004571A6" w:rsidRPr="00C23B19" w:rsidRDefault="004571A6" w:rsidP="00C23B19">
            <w:pPr>
              <w:spacing w:after="0" w:line="240" w:lineRule="auto"/>
              <w:jc w:val="center"/>
              <w:rPr>
                <w:rFonts w:ascii="Arial" w:eastAsia="Times New Roman" w:hAnsi="Arial" w:cs="Arial"/>
                <w:b/>
                <w:bCs/>
                <w:sz w:val="14"/>
                <w:szCs w:val="14"/>
                <w:lang w:eastAsia="es-MX"/>
              </w:rPr>
            </w:pPr>
            <w:r>
              <w:rPr>
                <w:rFonts w:ascii="Arial" w:eastAsia="Times New Roman" w:hAnsi="Arial" w:cs="Arial"/>
                <w:b/>
                <w:bCs/>
                <w:sz w:val="14"/>
                <w:szCs w:val="14"/>
                <w:lang w:eastAsia="es-MX"/>
              </w:rPr>
              <w:t xml:space="preserve">Resto de </w:t>
            </w:r>
            <w:r w:rsidRPr="00C23B19">
              <w:rPr>
                <w:rFonts w:ascii="Arial" w:eastAsia="Times New Roman" w:hAnsi="Arial" w:cs="Arial"/>
                <w:b/>
                <w:bCs/>
                <w:sz w:val="14"/>
                <w:szCs w:val="14"/>
                <w:lang w:eastAsia="es-MX"/>
              </w:rPr>
              <w:t xml:space="preserve">consumos </w:t>
            </w:r>
          </w:p>
        </w:tc>
      </w:tr>
      <w:tr w:rsidR="005268AA" w:rsidRPr="00C23B19" w14:paraId="58A10089" w14:textId="77777777" w:rsidTr="004571A6">
        <w:trPr>
          <w:trHeight w:val="339"/>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14:paraId="345BB978" w14:textId="53CEB95E" w:rsidR="005268AA" w:rsidRPr="00515933" w:rsidRDefault="005268AA" w:rsidP="00221F3E">
            <w:pPr>
              <w:spacing w:after="0" w:line="240" w:lineRule="auto"/>
              <w:rPr>
                <w:rFonts w:ascii="Arial" w:eastAsia="Times New Roman" w:hAnsi="Arial" w:cs="Arial"/>
                <w:b/>
                <w:bCs/>
                <w:sz w:val="20"/>
                <w:szCs w:val="20"/>
                <w:lang w:eastAsia="es-MX"/>
              </w:rPr>
            </w:pPr>
            <w:r w:rsidRPr="00515933">
              <w:rPr>
                <w:rFonts w:ascii="Arial" w:eastAsia="Times New Roman" w:hAnsi="Arial" w:cs="Arial"/>
                <w:b/>
                <w:bCs/>
                <w:sz w:val="20"/>
                <w:szCs w:val="20"/>
                <w:lang w:eastAsia="es-MX"/>
              </w:rPr>
              <w:t>Construcción</w:t>
            </w:r>
          </w:p>
        </w:tc>
        <w:tc>
          <w:tcPr>
            <w:tcW w:w="160" w:type="dxa"/>
            <w:tcBorders>
              <w:top w:val="nil"/>
              <w:left w:val="nil"/>
              <w:bottom w:val="single" w:sz="4" w:space="0" w:color="auto"/>
              <w:right w:val="nil"/>
            </w:tcBorders>
          </w:tcPr>
          <w:p w14:paraId="10E37769" w14:textId="77777777" w:rsidR="005268AA" w:rsidRPr="00515933" w:rsidRDefault="005268AA" w:rsidP="00221F3E">
            <w:pPr>
              <w:spacing w:after="0" w:line="240" w:lineRule="auto"/>
              <w:jc w:val="center"/>
              <w:rPr>
                <w:rFonts w:ascii="Arial" w:hAnsi="Arial" w:cs="Arial"/>
                <w:b/>
                <w:bCs/>
                <w:color w:val="000000"/>
                <w:sz w:val="20"/>
                <w:szCs w:val="20"/>
              </w:rPr>
            </w:pPr>
          </w:p>
        </w:tc>
        <w:tc>
          <w:tcPr>
            <w:tcW w:w="1115" w:type="dxa"/>
            <w:tcBorders>
              <w:top w:val="nil"/>
              <w:left w:val="nil"/>
              <w:bottom w:val="single" w:sz="4" w:space="0" w:color="auto"/>
              <w:right w:val="single" w:sz="4" w:space="0" w:color="auto"/>
            </w:tcBorders>
            <w:shd w:val="clear" w:color="auto" w:fill="auto"/>
            <w:noWrap/>
            <w:vAlign w:val="center"/>
            <w:hideMark/>
          </w:tcPr>
          <w:p w14:paraId="3DE6FCA5" w14:textId="332E4395" w:rsidR="005268AA" w:rsidRPr="00515933" w:rsidRDefault="005268AA" w:rsidP="00221F3E">
            <w:pPr>
              <w:spacing w:after="0" w:line="240" w:lineRule="auto"/>
              <w:jc w:val="center"/>
              <w:rPr>
                <w:rFonts w:ascii="Arial" w:eastAsia="Times New Roman" w:hAnsi="Arial" w:cs="Arial"/>
                <w:b/>
                <w:bCs/>
                <w:sz w:val="20"/>
                <w:szCs w:val="20"/>
                <w:lang w:eastAsia="es-MX"/>
              </w:rPr>
            </w:pPr>
            <w:r w:rsidRPr="00515933">
              <w:rPr>
                <w:rFonts w:ascii="Arial" w:hAnsi="Arial" w:cs="Arial"/>
                <w:b/>
                <w:bCs/>
                <w:color w:val="000000"/>
                <w:sz w:val="20"/>
                <w:szCs w:val="20"/>
              </w:rPr>
              <w:t>323 715</w:t>
            </w:r>
          </w:p>
        </w:tc>
        <w:tc>
          <w:tcPr>
            <w:tcW w:w="1020" w:type="dxa"/>
            <w:tcBorders>
              <w:top w:val="nil"/>
              <w:left w:val="nil"/>
              <w:bottom w:val="single" w:sz="4" w:space="0" w:color="auto"/>
              <w:right w:val="single" w:sz="4" w:space="0" w:color="auto"/>
            </w:tcBorders>
            <w:shd w:val="clear" w:color="auto" w:fill="auto"/>
            <w:noWrap/>
            <w:vAlign w:val="center"/>
            <w:hideMark/>
          </w:tcPr>
          <w:p w14:paraId="61772DCA" w14:textId="45ECF722" w:rsidR="005268AA" w:rsidRPr="00515933" w:rsidRDefault="005268AA" w:rsidP="00221F3E">
            <w:pPr>
              <w:spacing w:after="0" w:line="240" w:lineRule="auto"/>
              <w:jc w:val="center"/>
              <w:rPr>
                <w:rFonts w:ascii="Arial" w:eastAsia="Times New Roman" w:hAnsi="Arial" w:cs="Arial"/>
                <w:b/>
                <w:bCs/>
                <w:sz w:val="20"/>
                <w:szCs w:val="20"/>
                <w:lang w:eastAsia="es-MX"/>
              </w:rPr>
            </w:pPr>
            <w:r w:rsidRPr="00515933">
              <w:rPr>
                <w:rFonts w:ascii="Arial" w:hAnsi="Arial" w:cs="Arial"/>
                <w:b/>
                <w:bCs/>
                <w:color w:val="000000"/>
                <w:sz w:val="20"/>
                <w:szCs w:val="20"/>
              </w:rPr>
              <w:t>100</w:t>
            </w:r>
          </w:p>
        </w:tc>
        <w:tc>
          <w:tcPr>
            <w:tcW w:w="1269" w:type="dxa"/>
            <w:tcBorders>
              <w:top w:val="nil"/>
              <w:left w:val="nil"/>
              <w:bottom w:val="single" w:sz="4" w:space="0" w:color="auto"/>
              <w:right w:val="single" w:sz="4" w:space="0" w:color="auto"/>
            </w:tcBorders>
            <w:shd w:val="clear" w:color="auto" w:fill="auto"/>
            <w:noWrap/>
            <w:vAlign w:val="center"/>
            <w:hideMark/>
          </w:tcPr>
          <w:p w14:paraId="34249525" w14:textId="0DFCD8E9" w:rsidR="005268AA" w:rsidRPr="00515933" w:rsidRDefault="005268AA" w:rsidP="00221F3E">
            <w:pPr>
              <w:spacing w:after="0" w:line="240" w:lineRule="auto"/>
              <w:jc w:val="center"/>
              <w:rPr>
                <w:rFonts w:ascii="Arial" w:eastAsia="Times New Roman" w:hAnsi="Arial" w:cs="Arial"/>
                <w:b/>
                <w:bCs/>
                <w:sz w:val="20"/>
                <w:szCs w:val="20"/>
                <w:lang w:eastAsia="es-MX"/>
              </w:rPr>
            </w:pPr>
            <w:r w:rsidRPr="00515933">
              <w:rPr>
                <w:rFonts w:ascii="Arial" w:hAnsi="Arial" w:cs="Arial"/>
                <w:b/>
                <w:bCs/>
                <w:color w:val="000000"/>
                <w:sz w:val="20"/>
                <w:szCs w:val="20"/>
              </w:rPr>
              <w:t>53.2</w:t>
            </w:r>
          </w:p>
        </w:tc>
        <w:tc>
          <w:tcPr>
            <w:tcW w:w="1229" w:type="dxa"/>
            <w:tcBorders>
              <w:top w:val="nil"/>
              <w:left w:val="nil"/>
              <w:bottom w:val="single" w:sz="4" w:space="0" w:color="auto"/>
              <w:right w:val="single" w:sz="4" w:space="0" w:color="auto"/>
            </w:tcBorders>
            <w:shd w:val="clear" w:color="auto" w:fill="auto"/>
            <w:noWrap/>
            <w:vAlign w:val="center"/>
            <w:hideMark/>
          </w:tcPr>
          <w:p w14:paraId="7A7A8275" w14:textId="3EC9588B" w:rsidR="005268AA" w:rsidRPr="00515933" w:rsidRDefault="005268AA" w:rsidP="003A10BA">
            <w:pPr>
              <w:tabs>
                <w:tab w:val="left" w:pos="577"/>
              </w:tabs>
              <w:spacing w:after="0" w:line="240" w:lineRule="auto"/>
              <w:ind w:left="-273" w:right="371"/>
              <w:jc w:val="right"/>
              <w:rPr>
                <w:rFonts w:ascii="Arial" w:eastAsia="Times New Roman" w:hAnsi="Arial" w:cs="Arial"/>
                <w:b/>
                <w:bCs/>
                <w:sz w:val="20"/>
                <w:szCs w:val="20"/>
                <w:lang w:eastAsia="es-MX"/>
              </w:rPr>
            </w:pPr>
            <w:r w:rsidRPr="00515933">
              <w:rPr>
                <w:rFonts w:ascii="Arial" w:hAnsi="Arial" w:cs="Arial"/>
                <w:b/>
                <w:bCs/>
                <w:color w:val="000000"/>
                <w:sz w:val="20"/>
                <w:szCs w:val="20"/>
              </w:rPr>
              <w:t>6.2</w:t>
            </w:r>
          </w:p>
        </w:tc>
        <w:tc>
          <w:tcPr>
            <w:tcW w:w="1200" w:type="dxa"/>
            <w:tcBorders>
              <w:top w:val="nil"/>
              <w:left w:val="nil"/>
              <w:bottom w:val="single" w:sz="4" w:space="0" w:color="auto"/>
              <w:right w:val="single" w:sz="4" w:space="0" w:color="auto"/>
            </w:tcBorders>
            <w:shd w:val="clear" w:color="auto" w:fill="auto"/>
            <w:noWrap/>
            <w:vAlign w:val="center"/>
            <w:hideMark/>
          </w:tcPr>
          <w:p w14:paraId="48EBB06C" w14:textId="104F01E2" w:rsidR="005268AA" w:rsidRPr="00515933" w:rsidRDefault="005268AA" w:rsidP="00221F3E">
            <w:pPr>
              <w:spacing w:after="0" w:line="240" w:lineRule="auto"/>
              <w:jc w:val="center"/>
              <w:rPr>
                <w:rFonts w:ascii="Arial" w:eastAsia="Times New Roman" w:hAnsi="Arial" w:cs="Arial"/>
                <w:b/>
                <w:bCs/>
                <w:sz w:val="20"/>
                <w:szCs w:val="20"/>
                <w:lang w:eastAsia="es-MX"/>
              </w:rPr>
            </w:pPr>
            <w:r w:rsidRPr="00515933">
              <w:rPr>
                <w:rFonts w:ascii="Arial" w:hAnsi="Arial" w:cs="Arial"/>
                <w:b/>
                <w:bCs/>
                <w:color w:val="000000"/>
                <w:sz w:val="20"/>
                <w:szCs w:val="20"/>
              </w:rPr>
              <w:t>21.5</w:t>
            </w:r>
          </w:p>
        </w:tc>
        <w:tc>
          <w:tcPr>
            <w:tcW w:w="867" w:type="dxa"/>
            <w:tcBorders>
              <w:top w:val="nil"/>
              <w:left w:val="nil"/>
              <w:bottom w:val="single" w:sz="4" w:space="0" w:color="auto"/>
              <w:right w:val="single" w:sz="4" w:space="0" w:color="auto"/>
            </w:tcBorders>
            <w:shd w:val="clear" w:color="auto" w:fill="auto"/>
            <w:noWrap/>
            <w:vAlign w:val="center"/>
            <w:hideMark/>
          </w:tcPr>
          <w:p w14:paraId="14DC0B0F" w14:textId="46162CE7" w:rsidR="005268AA" w:rsidRPr="00515933" w:rsidRDefault="005268AA" w:rsidP="00221F3E">
            <w:pPr>
              <w:spacing w:after="0" w:line="240" w:lineRule="auto"/>
              <w:jc w:val="center"/>
              <w:rPr>
                <w:rFonts w:ascii="Arial" w:eastAsia="Times New Roman" w:hAnsi="Arial" w:cs="Arial"/>
                <w:b/>
                <w:bCs/>
                <w:sz w:val="20"/>
                <w:szCs w:val="20"/>
                <w:lang w:eastAsia="es-MX"/>
              </w:rPr>
            </w:pPr>
            <w:r w:rsidRPr="00515933">
              <w:rPr>
                <w:rFonts w:ascii="Arial" w:hAnsi="Arial" w:cs="Arial"/>
                <w:b/>
                <w:bCs/>
                <w:color w:val="000000"/>
                <w:sz w:val="20"/>
                <w:szCs w:val="20"/>
              </w:rPr>
              <w:t>19.1</w:t>
            </w:r>
          </w:p>
        </w:tc>
      </w:tr>
      <w:tr w:rsidR="005268AA" w:rsidRPr="00C23B19" w14:paraId="548AED0D" w14:textId="77777777" w:rsidTr="004571A6">
        <w:trPr>
          <w:trHeight w:val="401"/>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14:paraId="339E698D" w14:textId="7641AE6B" w:rsidR="005268AA" w:rsidRPr="00515933" w:rsidRDefault="005268AA" w:rsidP="00AC3612">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Edificación</w:t>
            </w:r>
          </w:p>
        </w:tc>
        <w:tc>
          <w:tcPr>
            <w:tcW w:w="160" w:type="dxa"/>
            <w:tcBorders>
              <w:top w:val="nil"/>
              <w:left w:val="nil"/>
              <w:bottom w:val="single" w:sz="4" w:space="0" w:color="auto"/>
              <w:right w:val="nil"/>
            </w:tcBorders>
          </w:tcPr>
          <w:p w14:paraId="26E22D62" w14:textId="77777777" w:rsidR="005268AA" w:rsidRPr="00515933" w:rsidRDefault="005268AA" w:rsidP="00221F3E">
            <w:pPr>
              <w:spacing w:after="0" w:line="240" w:lineRule="auto"/>
              <w:jc w:val="center"/>
              <w:rPr>
                <w:rFonts w:ascii="Arial" w:hAnsi="Arial" w:cs="Arial"/>
                <w:color w:val="000000"/>
                <w:sz w:val="20"/>
                <w:szCs w:val="20"/>
              </w:rPr>
            </w:pPr>
          </w:p>
        </w:tc>
        <w:tc>
          <w:tcPr>
            <w:tcW w:w="1115" w:type="dxa"/>
            <w:tcBorders>
              <w:top w:val="nil"/>
              <w:left w:val="nil"/>
              <w:bottom w:val="single" w:sz="4" w:space="0" w:color="auto"/>
              <w:right w:val="single" w:sz="4" w:space="0" w:color="auto"/>
            </w:tcBorders>
            <w:shd w:val="clear" w:color="auto" w:fill="auto"/>
            <w:noWrap/>
            <w:vAlign w:val="center"/>
            <w:hideMark/>
          </w:tcPr>
          <w:p w14:paraId="5F4421A2" w14:textId="0168A72D" w:rsidR="005268AA" w:rsidRPr="00515933" w:rsidRDefault="005268AA" w:rsidP="00221F3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148 770</w:t>
            </w:r>
          </w:p>
        </w:tc>
        <w:tc>
          <w:tcPr>
            <w:tcW w:w="1020" w:type="dxa"/>
            <w:tcBorders>
              <w:top w:val="nil"/>
              <w:left w:val="nil"/>
              <w:bottom w:val="single" w:sz="4" w:space="0" w:color="auto"/>
              <w:right w:val="single" w:sz="4" w:space="0" w:color="auto"/>
            </w:tcBorders>
            <w:shd w:val="clear" w:color="auto" w:fill="auto"/>
            <w:noWrap/>
            <w:vAlign w:val="center"/>
            <w:hideMark/>
          </w:tcPr>
          <w:p w14:paraId="53CB34C5" w14:textId="38DDC3D9" w:rsidR="005268AA" w:rsidRPr="00515933" w:rsidRDefault="005268AA" w:rsidP="00221F3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46.0</w:t>
            </w:r>
          </w:p>
        </w:tc>
        <w:tc>
          <w:tcPr>
            <w:tcW w:w="1269" w:type="dxa"/>
            <w:tcBorders>
              <w:top w:val="nil"/>
              <w:left w:val="nil"/>
              <w:bottom w:val="single" w:sz="4" w:space="0" w:color="auto"/>
              <w:right w:val="single" w:sz="4" w:space="0" w:color="auto"/>
            </w:tcBorders>
            <w:shd w:val="clear" w:color="auto" w:fill="auto"/>
            <w:noWrap/>
            <w:vAlign w:val="center"/>
            <w:hideMark/>
          </w:tcPr>
          <w:p w14:paraId="35B43924" w14:textId="141A33FF" w:rsidR="005268AA" w:rsidRPr="00515933" w:rsidRDefault="005268AA" w:rsidP="00221F3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51.0</w:t>
            </w:r>
          </w:p>
        </w:tc>
        <w:tc>
          <w:tcPr>
            <w:tcW w:w="1229" w:type="dxa"/>
            <w:tcBorders>
              <w:top w:val="nil"/>
              <w:left w:val="nil"/>
              <w:bottom w:val="single" w:sz="4" w:space="0" w:color="auto"/>
              <w:right w:val="single" w:sz="4" w:space="0" w:color="auto"/>
            </w:tcBorders>
            <w:shd w:val="clear" w:color="auto" w:fill="auto"/>
            <w:noWrap/>
            <w:vAlign w:val="center"/>
            <w:hideMark/>
          </w:tcPr>
          <w:p w14:paraId="5E00F02B" w14:textId="03AC6A53" w:rsidR="005268AA" w:rsidRPr="00515933" w:rsidRDefault="005268AA" w:rsidP="003A10BA">
            <w:pPr>
              <w:tabs>
                <w:tab w:val="left" w:pos="577"/>
              </w:tabs>
              <w:spacing w:after="0" w:line="240" w:lineRule="auto"/>
              <w:ind w:left="-273" w:right="371"/>
              <w:jc w:val="right"/>
              <w:rPr>
                <w:rFonts w:ascii="Arial" w:eastAsia="Times New Roman" w:hAnsi="Arial" w:cs="Arial"/>
                <w:sz w:val="20"/>
                <w:szCs w:val="20"/>
                <w:lang w:eastAsia="es-MX"/>
              </w:rPr>
            </w:pPr>
            <w:r w:rsidRPr="00515933">
              <w:rPr>
                <w:rFonts w:ascii="Arial" w:hAnsi="Arial" w:cs="Arial"/>
                <w:color w:val="000000"/>
                <w:sz w:val="20"/>
                <w:szCs w:val="20"/>
              </w:rPr>
              <w:t>4.5</w:t>
            </w:r>
          </w:p>
        </w:tc>
        <w:tc>
          <w:tcPr>
            <w:tcW w:w="1200" w:type="dxa"/>
            <w:tcBorders>
              <w:top w:val="nil"/>
              <w:left w:val="nil"/>
              <w:bottom w:val="single" w:sz="4" w:space="0" w:color="auto"/>
              <w:right w:val="single" w:sz="4" w:space="0" w:color="auto"/>
            </w:tcBorders>
            <w:shd w:val="clear" w:color="auto" w:fill="auto"/>
            <w:noWrap/>
            <w:vAlign w:val="center"/>
            <w:hideMark/>
          </w:tcPr>
          <w:p w14:paraId="650A9682" w14:textId="6E7381AE" w:rsidR="005268AA" w:rsidRPr="00515933" w:rsidRDefault="005268AA" w:rsidP="00221F3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30.8</w:t>
            </w:r>
          </w:p>
        </w:tc>
        <w:tc>
          <w:tcPr>
            <w:tcW w:w="867" w:type="dxa"/>
            <w:tcBorders>
              <w:top w:val="nil"/>
              <w:left w:val="nil"/>
              <w:bottom w:val="single" w:sz="4" w:space="0" w:color="auto"/>
              <w:right w:val="single" w:sz="4" w:space="0" w:color="auto"/>
            </w:tcBorders>
            <w:shd w:val="clear" w:color="auto" w:fill="auto"/>
            <w:noWrap/>
            <w:vAlign w:val="center"/>
            <w:hideMark/>
          </w:tcPr>
          <w:p w14:paraId="623CE0DA" w14:textId="7F424FF7" w:rsidR="005268AA" w:rsidRPr="00515933" w:rsidRDefault="005268AA" w:rsidP="00221F3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13.7</w:t>
            </w:r>
          </w:p>
        </w:tc>
      </w:tr>
      <w:tr w:rsidR="005268AA" w:rsidRPr="00C23B19" w14:paraId="30997374" w14:textId="77777777" w:rsidTr="004571A6">
        <w:trPr>
          <w:trHeight w:val="454"/>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14:paraId="70B4EE1A" w14:textId="6825DE22" w:rsidR="005268AA" w:rsidRPr="00515933" w:rsidRDefault="005268AA" w:rsidP="00AC3612">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 xml:space="preserve">Construcción de obras de ingeniería civil                         </w:t>
            </w:r>
          </w:p>
        </w:tc>
        <w:tc>
          <w:tcPr>
            <w:tcW w:w="160" w:type="dxa"/>
            <w:tcBorders>
              <w:top w:val="nil"/>
              <w:left w:val="nil"/>
              <w:bottom w:val="single" w:sz="4" w:space="0" w:color="auto"/>
              <w:right w:val="nil"/>
            </w:tcBorders>
          </w:tcPr>
          <w:p w14:paraId="1FDB6AE2" w14:textId="77777777" w:rsidR="005268AA" w:rsidRPr="00515933" w:rsidRDefault="005268AA" w:rsidP="00221F3E">
            <w:pPr>
              <w:spacing w:after="0" w:line="240" w:lineRule="auto"/>
              <w:jc w:val="center"/>
              <w:rPr>
                <w:rFonts w:ascii="Arial" w:hAnsi="Arial" w:cs="Arial"/>
                <w:color w:val="000000"/>
                <w:sz w:val="20"/>
                <w:szCs w:val="20"/>
              </w:rPr>
            </w:pPr>
          </w:p>
        </w:tc>
        <w:tc>
          <w:tcPr>
            <w:tcW w:w="1115" w:type="dxa"/>
            <w:tcBorders>
              <w:top w:val="nil"/>
              <w:left w:val="nil"/>
              <w:bottom w:val="single" w:sz="4" w:space="0" w:color="auto"/>
              <w:right w:val="single" w:sz="4" w:space="0" w:color="auto"/>
            </w:tcBorders>
            <w:shd w:val="clear" w:color="auto" w:fill="auto"/>
            <w:noWrap/>
            <w:vAlign w:val="center"/>
            <w:hideMark/>
          </w:tcPr>
          <w:p w14:paraId="681F483D" w14:textId="4DF3DFBE" w:rsidR="005268AA" w:rsidRPr="00515933" w:rsidRDefault="005268AA" w:rsidP="00221F3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132 511</w:t>
            </w:r>
          </w:p>
        </w:tc>
        <w:tc>
          <w:tcPr>
            <w:tcW w:w="1020" w:type="dxa"/>
            <w:tcBorders>
              <w:top w:val="nil"/>
              <w:left w:val="nil"/>
              <w:bottom w:val="single" w:sz="4" w:space="0" w:color="auto"/>
              <w:right w:val="single" w:sz="4" w:space="0" w:color="auto"/>
            </w:tcBorders>
            <w:shd w:val="clear" w:color="auto" w:fill="auto"/>
            <w:noWrap/>
            <w:vAlign w:val="center"/>
            <w:hideMark/>
          </w:tcPr>
          <w:p w14:paraId="1323427A" w14:textId="658AE021" w:rsidR="005268AA" w:rsidRPr="00515933" w:rsidRDefault="005268AA" w:rsidP="00221F3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40.9</w:t>
            </w:r>
          </w:p>
        </w:tc>
        <w:tc>
          <w:tcPr>
            <w:tcW w:w="1269" w:type="dxa"/>
            <w:tcBorders>
              <w:top w:val="nil"/>
              <w:left w:val="nil"/>
              <w:bottom w:val="single" w:sz="4" w:space="0" w:color="auto"/>
              <w:right w:val="single" w:sz="4" w:space="0" w:color="auto"/>
            </w:tcBorders>
            <w:shd w:val="clear" w:color="auto" w:fill="auto"/>
            <w:noWrap/>
            <w:vAlign w:val="center"/>
            <w:hideMark/>
          </w:tcPr>
          <w:p w14:paraId="4AB9EE87" w14:textId="77010C3E" w:rsidR="005268AA" w:rsidRPr="00515933" w:rsidRDefault="005268AA" w:rsidP="00221F3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60.0</w:t>
            </w:r>
          </w:p>
        </w:tc>
        <w:tc>
          <w:tcPr>
            <w:tcW w:w="1229" w:type="dxa"/>
            <w:tcBorders>
              <w:top w:val="nil"/>
              <w:left w:val="nil"/>
              <w:bottom w:val="single" w:sz="4" w:space="0" w:color="auto"/>
              <w:right w:val="single" w:sz="4" w:space="0" w:color="auto"/>
            </w:tcBorders>
            <w:shd w:val="clear" w:color="auto" w:fill="auto"/>
            <w:noWrap/>
            <w:vAlign w:val="center"/>
            <w:hideMark/>
          </w:tcPr>
          <w:p w14:paraId="5A009153" w14:textId="6BC395B1" w:rsidR="005268AA" w:rsidRPr="00515933" w:rsidRDefault="005268AA" w:rsidP="003A10BA">
            <w:pPr>
              <w:tabs>
                <w:tab w:val="left" w:pos="577"/>
              </w:tabs>
              <w:spacing w:after="0" w:line="240" w:lineRule="auto"/>
              <w:ind w:left="-273" w:right="371"/>
              <w:jc w:val="right"/>
              <w:rPr>
                <w:rFonts w:ascii="Arial" w:eastAsia="Times New Roman" w:hAnsi="Arial" w:cs="Arial"/>
                <w:sz w:val="20"/>
                <w:szCs w:val="20"/>
                <w:lang w:eastAsia="es-MX"/>
              </w:rPr>
            </w:pPr>
            <w:r w:rsidRPr="00515933">
              <w:rPr>
                <w:rFonts w:ascii="Arial" w:hAnsi="Arial" w:cs="Arial"/>
                <w:color w:val="000000"/>
                <w:sz w:val="20"/>
                <w:szCs w:val="20"/>
              </w:rPr>
              <w:t>3.4</w:t>
            </w:r>
          </w:p>
        </w:tc>
        <w:tc>
          <w:tcPr>
            <w:tcW w:w="1200" w:type="dxa"/>
            <w:tcBorders>
              <w:top w:val="nil"/>
              <w:left w:val="nil"/>
              <w:bottom w:val="single" w:sz="4" w:space="0" w:color="auto"/>
              <w:right w:val="single" w:sz="4" w:space="0" w:color="auto"/>
            </w:tcBorders>
            <w:shd w:val="clear" w:color="auto" w:fill="auto"/>
            <w:noWrap/>
            <w:vAlign w:val="center"/>
            <w:hideMark/>
          </w:tcPr>
          <w:p w14:paraId="62D406A6" w14:textId="7EE6002A" w:rsidR="005268AA" w:rsidRPr="00515933" w:rsidRDefault="005268AA" w:rsidP="00221F3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10.6</w:t>
            </w:r>
          </w:p>
        </w:tc>
        <w:tc>
          <w:tcPr>
            <w:tcW w:w="867" w:type="dxa"/>
            <w:tcBorders>
              <w:top w:val="nil"/>
              <w:left w:val="nil"/>
              <w:bottom w:val="single" w:sz="4" w:space="0" w:color="auto"/>
              <w:right w:val="single" w:sz="4" w:space="0" w:color="auto"/>
            </w:tcBorders>
            <w:shd w:val="clear" w:color="auto" w:fill="auto"/>
            <w:noWrap/>
            <w:vAlign w:val="center"/>
            <w:hideMark/>
          </w:tcPr>
          <w:p w14:paraId="7B1004EA" w14:textId="3DEFEA2A" w:rsidR="005268AA" w:rsidRPr="00515933" w:rsidRDefault="005268AA" w:rsidP="00221F3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26.0</w:t>
            </w:r>
          </w:p>
        </w:tc>
      </w:tr>
      <w:tr w:rsidR="005268AA" w:rsidRPr="00C23B19" w14:paraId="68E1B725" w14:textId="77777777" w:rsidTr="004571A6">
        <w:trPr>
          <w:trHeight w:val="454"/>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14:paraId="09EEF918" w14:textId="2A3F5C29" w:rsidR="005268AA" w:rsidRPr="00515933" w:rsidRDefault="005268AA" w:rsidP="00AC3612">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Trabajos</w:t>
            </w:r>
            <w:r>
              <w:rPr>
                <w:rFonts w:ascii="Arial" w:eastAsia="Times New Roman" w:hAnsi="Arial" w:cs="Arial"/>
                <w:sz w:val="20"/>
                <w:szCs w:val="20"/>
                <w:lang w:eastAsia="es-MX"/>
              </w:rPr>
              <w:t xml:space="preserve"> </w:t>
            </w:r>
            <w:r w:rsidRPr="00515933">
              <w:rPr>
                <w:rFonts w:ascii="Arial" w:eastAsia="Times New Roman" w:hAnsi="Arial" w:cs="Arial"/>
                <w:sz w:val="20"/>
                <w:szCs w:val="20"/>
                <w:lang w:eastAsia="es-MX"/>
              </w:rPr>
              <w:t>especializados para la construcción</w:t>
            </w:r>
          </w:p>
        </w:tc>
        <w:tc>
          <w:tcPr>
            <w:tcW w:w="160" w:type="dxa"/>
            <w:tcBorders>
              <w:top w:val="nil"/>
              <w:left w:val="nil"/>
              <w:bottom w:val="single" w:sz="4" w:space="0" w:color="auto"/>
              <w:right w:val="nil"/>
            </w:tcBorders>
          </w:tcPr>
          <w:p w14:paraId="7C77B6C9" w14:textId="77777777" w:rsidR="005268AA" w:rsidRPr="00515933" w:rsidRDefault="005268AA" w:rsidP="00221F3E">
            <w:pPr>
              <w:spacing w:after="0" w:line="240" w:lineRule="auto"/>
              <w:jc w:val="center"/>
              <w:rPr>
                <w:rFonts w:ascii="Arial" w:hAnsi="Arial" w:cs="Arial"/>
                <w:color w:val="000000"/>
                <w:sz w:val="20"/>
                <w:szCs w:val="20"/>
              </w:rPr>
            </w:pPr>
          </w:p>
        </w:tc>
        <w:tc>
          <w:tcPr>
            <w:tcW w:w="1115" w:type="dxa"/>
            <w:tcBorders>
              <w:top w:val="nil"/>
              <w:left w:val="nil"/>
              <w:bottom w:val="single" w:sz="4" w:space="0" w:color="auto"/>
              <w:right w:val="single" w:sz="4" w:space="0" w:color="auto"/>
            </w:tcBorders>
            <w:shd w:val="clear" w:color="auto" w:fill="auto"/>
            <w:noWrap/>
            <w:vAlign w:val="center"/>
            <w:hideMark/>
          </w:tcPr>
          <w:p w14:paraId="2FD6B9EE" w14:textId="3FA01CA5" w:rsidR="005268AA" w:rsidRPr="00515933" w:rsidRDefault="005268AA" w:rsidP="00221F3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42 434</w:t>
            </w:r>
          </w:p>
        </w:tc>
        <w:tc>
          <w:tcPr>
            <w:tcW w:w="1020" w:type="dxa"/>
            <w:tcBorders>
              <w:top w:val="nil"/>
              <w:left w:val="nil"/>
              <w:bottom w:val="single" w:sz="4" w:space="0" w:color="auto"/>
              <w:right w:val="single" w:sz="4" w:space="0" w:color="auto"/>
            </w:tcBorders>
            <w:shd w:val="clear" w:color="auto" w:fill="auto"/>
            <w:noWrap/>
            <w:vAlign w:val="center"/>
            <w:hideMark/>
          </w:tcPr>
          <w:p w14:paraId="5BA79961" w14:textId="4333FC90" w:rsidR="005268AA" w:rsidRPr="00515933" w:rsidRDefault="005268AA" w:rsidP="00221F3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13.1</w:t>
            </w:r>
          </w:p>
        </w:tc>
        <w:tc>
          <w:tcPr>
            <w:tcW w:w="1269" w:type="dxa"/>
            <w:tcBorders>
              <w:top w:val="nil"/>
              <w:left w:val="nil"/>
              <w:bottom w:val="single" w:sz="4" w:space="0" w:color="auto"/>
              <w:right w:val="single" w:sz="4" w:space="0" w:color="auto"/>
            </w:tcBorders>
            <w:shd w:val="clear" w:color="auto" w:fill="auto"/>
            <w:noWrap/>
            <w:vAlign w:val="center"/>
            <w:hideMark/>
          </w:tcPr>
          <w:p w14:paraId="47B407BD" w14:textId="3CA891A0" w:rsidR="005268AA" w:rsidRPr="00515933" w:rsidRDefault="005268AA" w:rsidP="00221F3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40.0</w:t>
            </w:r>
          </w:p>
        </w:tc>
        <w:tc>
          <w:tcPr>
            <w:tcW w:w="1229" w:type="dxa"/>
            <w:tcBorders>
              <w:top w:val="nil"/>
              <w:left w:val="nil"/>
              <w:bottom w:val="single" w:sz="4" w:space="0" w:color="auto"/>
              <w:right w:val="single" w:sz="4" w:space="0" w:color="auto"/>
            </w:tcBorders>
            <w:shd w:val="clear" w:color="auto" w:fill="auto"/>
            <w:noWrap/>
            <w:vAlign w:val="center"/>
            <w:hideMark/>
          </w:tcPr>
          <w:p w14:paraId="6099ADE8" w14:textId="2E6E5662" w:rsidR="005268AA" w:rsidRPr="00515933" w:rsidRDefault="005268AA" w:rsidP="003A10BA">
            <w:pPr>
              <w:tabs>
                <w:tab w:val="left" w:pos="577"/>
              </w:tabs>
              <w:spacing w:after="0" w:line="240" w:lineRule="auto"/>
              <w:ind w:left="-273" w:right="371"/>
              <w:jc w:val="right"/>
              <w:rPr>
                <w:rFonts w:ascii="Arial" w:eastAsia="Times New Roman" w:hAnsi="Arial" w:cs="Arial"/>
                <w:sz w:val="20"/>
                <w:szCs w:val="20"/>
                <w:lang w:eastAsia="es-MX"/>
              </w:rPr>
            </w:pPr>
            <w:r w:rsidRPr="00515933">
              <w:rPr>
                <w:rFonts w:ascii="Arial" w:hAnsi="Arial" w:cs="Arial"/>
                <w:color w:val="000000"/>
                <w:sz w:val="20"/>
                <w:szCs w:val="20"/>
              </w:rPr>
              <w:t>20.6</w:t>
            </w:r>
          </w:p>
        </w:tc>
        <w:tc>
          <w:tcPr>
            <w:tcW w:w="1200" w:type="dxa"/>
            <w:tcBorders>
              <w:top w:val="nil"/>
              <w:left w:val="nil"/>
              <w:bottom w:val="single" w:sz="4" w:space="0" w:color="auto"/>
              <w:right w:val="single" w:sz="4" w:space="0" w:color="auto"/>
            </w:tcBorders>
            <w:shd w:val="clear" w:color="auto" w:fill="auto"/>
            <w:noWrap/>
            <w:vAlign w:val="center"/>
            <w:hideMark/>
          </w:tcPr>
          <w:p w14:paraId="02B18BBB" w14:textId="1B04D4B9" w:rsidR="005268AA" w:rsidRPr="00515933" w:rsidRDefault="005268AA" w:rsidP="00221F3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23.0</w:t>
            </w:r>
          </w:p>
        </w:tc>
        <w:tc>
          <w:tcPr>
            <w:tcW w:w="867" w:type="dxa"/>
            <w:tcBorders>
              <w:top w:val="nil"/>
              <w:left w:val="nil"/>
              <w:bottom w:val="single" w:sz="4" w:space="0" w:color="auto"/>
              <w:right w:val="single" w:sz="4" w:space="0" w:color="auto"/>
            </w:tcBorders>
            <w:shd w:val="clear" w:color="auto" w:fill="auto"/>
            <w:noWrap/>
            <w:vAlign w:val="center"/>
            <w:hideMark/>
          </w:tcPr>
          <w:p w14:paraId="704A2E5E" w14:textId="6C691887" w:rsidR="005268AA" w:rsidRPr="00515933" w:rsidRDefault="005268AA" w:rsidP="00221F3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16.4</w:t>
            </w:r>
          </w:p>
        </w:tc>
      </w:tr>
    </w:tbl>
    <w:p w14:paraId="363C060C" w14:textId="09BBEA2F" w:rsidR="00B40A26" w:rsidRPr="00045EDC" w:rsidRDefault="00B40A26" w:rsidP="00B40A26">
      <w:pPr>
        <w:pStyle w:val="Default"/>
        <w:jc w:val="both"/>
        <w:rPr>
          <w:color w:val="auto"/>
          <w:sz w:val="16"/>
          <w:lang w:eastAsia="es-MX"/>
        </w:rPr>
      </w:pPr>
      <w:r w:rsidRPr="00045EDC">
        <w:rPr>
          <w:color w:val="auto"/>
          <w:sz w:val="16"/>
          <w:vertAlign w:val="superscript"/>
          <w:lang w:eastAsia="es-MX"/>
        </w:rPr>
        <w:t xml:space="preserve">p/ </w:t>
      </w:r>
      <w:r w:rsidRPr="00045EDC">
        <w:rPr>
          <w:color w:val="auto"/>
          <w:sz w:val="16"/>
          <w:lang w:eastAsia="es-MX"/>
        </w:rPr>
        <w:t>Cifras preliminares</w:t>
      </w:r>
    </w:p>
    <w:p w14:paraId="37C0BAA6" w14:textId="5BBF6A5C" w:rsidR="00B40A26" w:rsidRDefault="00B40A26" w:rsidP="00B40A26">
      <w:pPr>
        <w:pStyle w:val="Default"/>
        <w:jc w:val="both"/>
        <w:rPr>
          <w:b/>
          <w:color w:val="auto"/>
          <w:sz w:val="16"/>
          <w:lang w:eastAsia="es-MX"/>
        </w:rPr>
      </w:pPr>
      <w:r w:rsidRPr="00045EDC">
        <w:rPr>
          <w:color w:val="auto"/>
          <w:sz w:val="16"/>
          <w:lang w:eastAsia="es-MX"/>
        </w:rPr>
        <w:t>Fuente</w:t>
      </w:r>
      <w:r w:rsidRPr="002A0A30">
        <w:rPr>
          <w:color w:val="auto"/>
          <w:sz w:val="16"/>
          <w:lang w:eastAsia="es-MX"/>
        </w:rPr>
        <w:t xml:space="preserve">: </w:t>
      </w:r>
      <w:r w:rsidRPr="005430F9">
        <w:rPr>
          <w:color w:val="auto"/>
          <w:sz w:val="16"/>
          <w:lang w:eastAsia="es-MX"/>
        </w:rPr>
        <w:t>INEGI</w:t>
      </w:r>
    </w:p>
    <w:p w14:paraId="0462CC0A" w14:textId="77777777" w:rsidR="000A0BD1" w:rsidRDefault="000A0BD1" w:rsidP="008D3D3C">
      <w:pPr>
        <w:pStyle w:val="Default"/>
        <w:jc w:val="both"/>
        <w:rPr>
          <w:sz w:val="22"/>
          <w:szCs w:val="22"/>
          <w:lang w:eastAsia="es-MX"/>
        </w:rPr>
      </w:pPr>
    </w:p>
    <w:p w14:paraId="5F7001EB" w14:textId="77777777" w:rsidR="00752A92" w:rsidRDefault="00752A92" w:rsidP="002A0A30">
      <w:pPr>
        <w:pStyle w:val="Default"/>
        <w:ind w:left="-567" w:right="-660"/>
        <w:jc w:val="both"/>
        <w:rPr>
          <w:lang w:eastAsia="es-MX"/>
        </w:rPr>
      </w:pPr>
    </w:p>
    <w:p w14:paraId="49D87740" w14:textId="33C4B1B8" w:rsidR="000A0BD1" w:rsidRPr="005430F9" w:rsidRDefault="002A0A30" w:rsidP="005430F9">
      <w:pPr>
        <w:pStyle w:val="Default"/>
        <w:ind w:left="-567" w:right="-660"/>
        <w:jc w:val="both"/>
        <w:rPr>
          <w:lang w:eastAsia="es-MX"/>
        </w:rPr>
      </w:pPr>
      <w:bookmarkStart w:id="4" w:name="_Hlk120870897"/>
      <w:r>
        <w:rPr>
          <w:lang w:eastAsia="es-MX"/>
        </w:rPr>
        <w:t>En 2021, l</w:t>
      </w:r>
      <w:r w:rsidR="000A0BD1" w:rsidRPr="005430F9">
        <w:rPr>
          <w:lang w:eastAsia="es-MX"/>
        </w:rPr>
        <w:t>os ingresos por suministro</w:t>
      </w:r>
      <w:r w:rsidR="002A16AA" w:rsidRPr="005430F9">
        <w:rPr>
          <w:lang w:eastAsia="es-MX"/>
        </w:rPr>
        <w:t xml:space="preserve"> de bienes y servicios</w:t>
      </w:r>
      <w:r>
        <w:rPr>
          <w:lang w:eastAsia="es-MX"/>
        </w:rPr>
        <w:t xml:space="preserve"> </w:t>
      </w:r>
      <w:r w:rsidR="000A0BD1" w:rsidRPr="005430F9">
        <w:rPr>
          <w:lang w:eastAsia="es-MX"/>
        </w:rPr>
        <w:t xml:space="preserve">en las obras de </w:t>
      </w:r>
      <w:r w:rsidR="000A0BD1" w:rsidRPr="006F4FC9">
        <w:rPr>
          <w:i/>
          <w:lang w:eastAsia="es-MX"/>
        </w:rPr>
        <w:t xml:space="preserve">Edificación </w:t>
      </w:r>
      <w:r w:rsidR="000A0BD1" w:rsidRPr="005430F9">
        <w:rPr>
          <w:lang w:eastAsia="es-MX"/>
        </w:rPr>
        <w:t>t</w:t>
      </w:r>
      <w:r>
        <w:rPr>
          <w:lang w:eastAsia="es-MX"/>
        </w:rPr>
        <w:t>uvieron</w:t>
      </w:r>
      <w:r w:rsidR="000A0BD1" w:rsidRPr="005430F9">
        <w:rPr>
          <w:lang w:eastAsia="es-MX"/>
        </w:rPr>
        <w:t xml:space="preserve"> la mayor participación en el sector</w:t>
      </w:r>
      <w:r w:rsidR="005268AA">
        <w:rPr>
          <w:lang w:eastAsia="es-MX"/>
        </w:rPr>
        <w:t>,</w:t>
      </w:r>
      <w:r w:rsidR="000A0BD1" w:rsidRPr="005430F9">
        <w:rPr>
          <w:lang w:eastAsia="es-MX"/>
        </w:rPr>
        <w:t xml:space="preserve"> con 48.4</w:t>
      </w:r>
      <w:r>
        <w:rPr>
          <w:lang w:eastAsia="es-MX"/>
        </w:rPr>
        <w:t xml:space="preserve"> </w:t>
      </w:r>
      <w:r w:rsidR="005268AA">
        <w:rPr>
          <w:lang w:eastAsia="es-MX"/>
        </w:rPr>
        <w:t xml:space="preserve">por ciento. Siguió </w:t>
      </w:r>
      <w:r w:rsidR="005268AA" w:rsidRPr="006F4FC9">
        <w:rPr>
          <w:i/>
          <w:lang w:eastAsia="es-MX"/>
        </w:rPr>
        <w:t>C</w:t>
      </w:r>
      <w:r w:rsidR="000A0BD1" w:rsidRPr="006F4FC9">
        <w:rPr>
          <w:i/>
          <w:lang w:eastAsia="es-MX"/>
        </w:rPr>
        <w:t>onstrucción de obras de ingeniería civil</w:t>
      </w:r>
      <w:r w:rsidR="005268AA">
        <w:rPr>
          <w:lang w:eastAsia="es-MX"/>
        </w:rPr>
        <w:t>,</w:t>
      </w:r>
      <w:r w:rsidR="000A0BD1" w:rsidRPr="005430F9">
        <w:rPr>
          <w:lang w:eastAsia="es-MX"/>
        </w:rPr>
        <w:t xml:space="preserve"> que represent</w:t>
      </w:r>
      <w:r w:rsidR="005268AA">
        <w:rPr>
          <w:lang w:eastAsia="es-MX"/>
        </w:rPr>
        <w:t>ó</w:t>
      </w:r>
      <w:r w:rsidR="000A0BD1" w:rsidRPr="005430F9">
        <w:rPr>
          <w:lang w:eastAsia="es-MX"/>
        </w:rPr>
        <w:t xml:space="preserve"> 39.4</w:t>
      </w:r>
      <w:r>
        <w:rPr>
          <w:lang w:eastAsia="es-MX"/>
        </w:rPr>
        <w:t xml:space="preserve"> </w:t>
      </w:r>
      <w:r w:rsidR="000A0BD1" w:rsidRPr="005430F9">
        <w:rPr>
          <w:lang w:eastAsia="es-MX"/>
        </w:rPr>
        <w:t>%</w:t>
      </w:r>
      <w:r>
        <w:rPr>
          <w:lang w:eastAsia="es-MX"/>
        </w:rPr>
        <w:t xml:space="preserve"> y </w:t>
      </w:r>
      <w:r w:rsidR="000A0BD1" w:rsidRPr="006F4FC9">
        <w:rPr>
          <w:i/>
          <w:lang w:eastAsia="es-MX"/>
        </w:rPr>
        <w:t>Trabajos especializados para la construcción</w:t>
      </w:r>
      <w:r w:rsidR="005268AA">
        <w:rPr>
          <w:lang w:eastAsia="es-MX"/>
        </w:rPr>
        <w:t xml:space="preserve">, que aportó </w:t>
      </w:r>
      <w:r w:rsidR="000A0BD1" w:rsidRPr="005430F9">
        <w:rPr>
          <w:lang w:eastAsia="es-MX"/>
        </w:rPr>
        <w:t>12.2 por ciento.</w:t>
      </w:r>
    </w:p>
    <w:bookmarkEnd w:id="4"/>
    <w:p w14:paraId="6EDA77C0" w14:textId="77777777" w:rsidR="000A0BD1" w:rsidRPr="005430F9" w:rsidRDefault="000A0BD1" w:rsidP="005430F9">
      <w:pPr>
        <w:pStyle w:val="Default"/>
        <w:ind w:left="-567" w:right="-660"/>
        <w:jc w:val="both"/>
        <w:rPr>
          <w:lang w:eastAsia="es-MX"/>
        </w:rPr>
      </w:pPr>
    </w:p>
    <w:p w14:paraId="781B6373" w14:textId="7D4E6741" w:rsidR="00664DB4" w:rsidRPr="005430F9" w:rsidRDefault="002A16AA" w:rsidP="005430F9">
      <w:pPr>
        <w:pStyle w:val="Default"/>
        <w:ind w:left="-567" w:right="-660"/>
        <w:jc w:val="both"/>
        <w:rPr>
          <w:lang w:eastAsia="es-MX"/>
        </w:rPr>
      </w:pPr>
      <w:bookmarkStart w:id="5" w:name="_Hlk120870905"/>
      <w:r w:rsidRPr="005430F9">
        <w:rPr>
          <w:lang w:eastAsia="es-MX"/>
        </w:rPr>
        <w:t>Respecto a los conceptos de ingreso</w:t>
      </w:r>
      <w:r w:rsidR="002A0A30">
        <w:rPr>
          <w:lang w:eastAsia="es-MX"/>
        </w:rPr>
        <w:t>,</w:t>
      </w:r>
      <w:r w:rsidR="00874CCF" w:rsidRPr="005430F9">
        <w:rPr>
          <w:lang w:eastAsia="es-MX"/>
        </w:rPr>
        <w:t xml:space="preserve"> los </w:t>
      </w:r>
      <w:r w:rsidR="005268AA">
        <w:rPr>
          <w:lang w:eastAsia="es-MX"/>
        </w:rPr>
        <w:t xml:space="preserve">de </w:t>
      </w:r>
      <w:r w:rsidR="00874CCF" w:rsidRPr="005430F9">
        <w:rPr>
          <w:lang w:eastAsia="es-MX"/>
        </w:rPr>
        <w:t>ejecución</w:t>
      </w:r>
      <w:r w:rsidR="00664DB4" w:rsidRPr="005430F9">
        <w:rPr>
          <w:lang w:eastAsia="es-MX"/>
        </w:rPr>
        <w:t xml:space="preserve"> de obras como contratista principal representa</w:t>
      </w:r>
      <w:r w:rsidR="002A0A30">
        <w:rPr>
          <w:lang w:eastAsia="es-MX"/>
        </w:rPr>
        <w:t>ro</w:t>
      </w:r>
      <w:r w:rsidR="00664DB4" w:rsidRPr="005430F9">
        <w:rPr>
          <w:lang w:eastAsia="es-MX"/>
        </w:rPr>
        <w:t xml:space="preserve">n el </w:t>
      </w:r>
      <w:r w:rsidR="00D13BBC" w:rsidRPr="005430F9">
        <w:rPr>
          <w:lang w:eastAsia="es-MX"/>
        </w:rPr>
        <w:t>principal rub</w:t>
      </w:r>
      <w:r w:rsidR="002A0A30">
        <w:rPr>
          <w:lang w:eastAsia="es-MX"/>
        </w:rPr>
        <w:t>ro</w:t>
      </w:r>
      <w:r w:rsidR="005268AA">
        <w:rPr>
          <w:lang w:eastAsia="es-MX"/>
        </w:rPr>
        <w:t xml:space="preserve">: </w:t>
      </w:r>
      <w:r w:rsidR="00664DB4" w:rsidRPr="005430F9">
        <w:rPr>
          <w:lang w:eastAsia="es-MX"/>
        </w:rPr>
        <w:t>contribu</w:t>
      </w:r>
      <w:r w:rsidR="002A0A30">
        <w:rPr>
          <w:lang w:eastAsia="es-MX"/>
        </w:rPr>
        <w:t>yeron</w:t>
      </w:r>
      <w:r w:rsidR="00664DB4" w:rsidRPr="005430F9">
        <w:rPr>
          <w:lang w:eastAsia="es-MX"/>
        </w:rPr>
        <w:t xml:space="preserve"> con </w:t>
      </w:r>
      <w:r w:rsidR="0027262E" w:rsidRPr="005430F9">
        <w:rPr>
          <w:lang w:eastAsia="es-MX"/>
        </w:rPr>
        <w:t>78.2</w:t>
      </w:r>
      <w:r w:rsidR="002A0A30">
        <w:rPr>
          <w:lang w:eastAsia="es-MX"/>
        </w:rPr>
        <w:t xml:space="preserve"> </w:t>
      </w:r>
      <w:r w:rsidR="00664DB4" w:rsidRPr="005430F9">
        <w:rPr>
          <w:lang w:eastAsia="es-MX"/>
        </w:rPr>
        <w:t>% del total</w:t>
      </w:r>
      <w:r w:rsidR="002A0A30">
        <w:rPr>
          <w:lang w:eastAsia="es-MX"/>
        </w:rPr>
        <w:t>. E</w:t>
      </w:r>
      <w:r w:rsidR="00664DB4" w:rsidRPr="005430F9">
        <w:rPr>
          <w:lang w:eastAsia="es-MX"/>
        </w:rPr>
        <w:t xml:space="preserve">l </w:t>
      </w:r>
      <w:r w:rsidR="009B5ADE" w:rsidRPr="005430F9">
        <w:rPr>
          <w:lang w:eastAsia="es-MX"/>
        </w:rPr>
        <w:t>ingreso por la ejecución de obras como subcontratista</w:t>
      </w:r>
      <w:r w:rsidR="00D350C2" w:rsidRPr="005430F9">
        <w:rPr>
          <w:lang w:eastAsia="es-MX"/>
        </w:rPr>
        <w:t xml:space="preserve"> </w:t>
      </w:r>
      <w:r w:rsidR="005F70F6" w:rsidRPr="005430F9">
        <w:rPr>
          <w:lang w:eastAsia="es-MX"/>
        </w:rPr>
        <w:t>particip</w:t>
      </w:r>
      <w:r w:rsidR="002A0A30">
        <w:rPr>
          <w:lang w:eastAsia="es-MX"/>
        </w:rPr>
        <w:t>ó</w:t>
      </w:r>
      <w:r w:rsidR="005F70F6" w:rsidRPr="005430F9">
        <w:rPr>
          <w:lang w:eastAsia="es-MX"/>
        </w:rPr>
        <w:t xml:space="preserve"> con </w:t>
      </w:r>
      <w:r w:rsidRPr="005430F9">
        <w:rPr>
          <w:lang w:eastAsia="es-MX"/>
        </w:rPr>
        <w:t>1</w:t>
      </w:r>
      <w:r w:rsidR="0027262E" w:rsidRPr="005430F9">
        <w:rPr>
          <w:lang w:eastAsia="es-MX"/>
        </w:rPr>
        <w:t>3.1</w:t>
      </w:r>
      <w:r w:rsidR="00664DB4" w:rsidRPr="005430F9">
        <w:rPr>
          <w:lang w:eastAsia="es-MX"/>
        </w:rPr>
        <w:t xml:space="preserve"> por ciento</w:t>
      </w:r>
      <w:r w:rsidRPr="005430F9">
        <w:rPr>
          <w:lang w:eastAsia="es-MX"/>
        </w:rPr>
        <w:t>.</w:t>
      </w:r>
    </w:p>
    <w:bookmarkEnd w:id="5"/>
    <w:p w14:paraId="292E9068" w14:textId="77777777" w:rsidR="00874CCF" w:rsidRDefault="00874CCF" w:rsidP="00874CCF">
      <w:pPr>
        <w:pStyle w:val="Default"/>
        <w:jc w:val="both"/>
        <w:rPr>
          <w:sz w:val="22"/>
          <w:lang w:eastAsia="es-MX"/>
        </w:rPr>
      </w:pPr>
    </w:p>
    <w:p w14:paraId="39F1FC4C" w14:textId="62B76D5D" w:rsidR="00B40A26" w:rsidRPr="005430F9" w:rsidRDefault="00221F3E" w:rsidP="00B40A26">
      <w:pPr>
        <w:pStyle w:val="Default"/>
        <w:jc w:val="center"/>
        <w:rPr>
          <w:color w:val="auto"/>
          <w:sz w:val="20"/>
          <w:szCs w:val="20"/>
          <w:lang w:eastAsia="es-MX"/>
        </w:rPr>
      </w:pPr>
      <w:r w:rsidRPr="005430F9">
        <w:rPr>
          <w:color w:val="auto"/>
          <w:sz w:val="20"/>
          <w:szCs w:val="20"/>
          <w:lang w:eastAsia="es-MX"/>
        </w:rPr>
        <w:t>C</w:t>
      </w:r>
      <w:r w:rsidR="00B40A26" w:rsidRPr="005430F9">
        <w:rPr>
          <w:color w:val="auto"/>
          <w:sz w:val="20"/>
          <w:szCs w:val="20"/>
          <w:lang w:eastAsia="es-MX"/>
        </w:rPr>
        <w:t xml:space="preserve">uadro </w:t>
      </w:r>
      <w:r w:rsidR="00BC06C5" w:rsidRPr="005430F9">
        <w:rPr>
          <w:color w:val="auto"/>
          <w:sz w:val="20"/>
          <w:szCs w:val="20"/>
          <w:lang w:eastAsia="es-MX"/>
        </w:rPr>
        <w:t>6</w:t>
      </w:r>
    </w:p>
    <w:p w14:paraId="2A8DD4D5" w14:textId="5553D2A7" w:rsidR="00574BB4" w:rsidRPr="004B1724" w:rsidRDefault="002A0A30" w:rsidP="005430F9">
      <w:pPr>
        <w:pStyle w:val="NormalWeb"/>
        <w:shd w:val="clear" w:color="auto" w:fill="FFFFFF"/>
        <w:spacing w:before="0" w:beforeAutospacing="0" w:after="0" w:afterAutospacing="0"/>
        <w:jc w:val="center"/>
        <w:rPr>
          <w:sz w:val="22"/>
          <w:szCs w:val="22"/>
        </w:rPr>
      </w:pPr>
      <w:r w:rsidRPr="005268AA">
        <w:rPr>
          <w:rFonts w:ascii="Arial Negrita" w:hAnsi="Arial Negrita" w:cs="Arial"/>
          <w:b/>
          <w:bCs/>
          <w:smallCaps/>
          <w:color w:val="242424"/>
          <w:sz w:val="22"/>
          <w:szCs w:val="22"/>
        </w:rPr>
        <w:t>I</w:t>
      </w:r>
      <w:r w:rsidR="00FF5CF1" w:rsidRPr="004B1724">
        <w:rPr>
          <w:rFonts w:ascii="Arial Negrita" w:hAnsi="Arial Negrita" w:cs="Arial"/>
          <w:b/>
          <w:bCs/>
          <w:smallCaps/>
          <w:color w:val="242424"/>
          <w:sz w:val="22"/>
          <w:szCs w:val="22"/>
        </w:rPr>
        <w:t>ngresos por suministro de bienes y servicios</w:t>
      </w:r>
      <w:r w:rsidRPr="005268AA">
        <w:rPr>
          <w:rFonts w:ascii="Arial Negrita" w:hAnsi="Arial Negrita" w:cs="Arial"/>
          <w:b/>
          <w:bCs/>
          <w:smallCaps/>
          <w:color w:val="242424"/>
          <w:sz w:val="22"/>
          <w:szCs w:val="22"/>
        </w:rPr>
        <w:t xml:space="preserve"> </w:t>
      </w:r>
      <w:r w:rsidR="00FF5CF1" w:rsidRPr="004B1724">
        <w:rPr>
          <w:rFonts w:ascii="Arial Negrita" w:hAnsi="Arial Negrita" w:cs="Arial"/>
          <w:b/>
          <w:bCs/>
          <w:smallCaps/>
          <w:color w:val="242424"/>
          <w:sz w:val="22"/>
          <w:szCs w:val="22"/>
        </w:rPr>
        <w:t xml:space="preserve">de las empresas constructoras </w:t>
      </w:r>
      <w:r w:rsidRPr="005268AA">
        <w:rPr>
          <w:rFonts w:ascii="Arial Negrita" w:hAnsi="Arial Negrita" w:cs="Arial"/>
          <w:b/>
          <w:bCs/>
          <w:smallCaps/>
          <w:color w:val="242424"/>
          <w:sz w:val="22"/>
          <w:szCs w:val="22"/>
        </w:rPr>
        <w:t xml:space="preserve">según </w:t>
      </w:r>
      <w:r w:rsidR="00FF5CF1" w:rsidRPr="004B1724">
        <w:rPr>
          <w:rFonts w:ascii="Arial Negrita" w:hAnsi="Arial Negrita" w:cs="Arial"/>
          <w:b/>
          <w:bCs/>
          <w:smallCaps/>
          <w:color w:val="242424"/>
          <w:sz w:val="22"/>
          <w:szCs w:val="22"/>
        </w:rPr>
        <w:t>concepto y subsector, 202</w:t>
      </w:r>
      <w:r w:rsidR="007346B2" w:rsidRPr="004B1724">
        <w:rPr>
          <w:rFonts w:ascii="Arial Negrita" w:hAnsi="Arial Negrita" w:cs="Arial"/>
          <w:b/>
          <w:bCs/>
          <w:smallCaps/>
          <w:color w:val="242424"/>
          <w:sz w:val="22"/>
          <w:szCs w:val="22"/>
        </w:rPr>
        <w:t>1</w:t>
      </w:r>
      <w:r w:rsidR="00FF5CF1" w:rsidRPr="005268AA">
        <w:rPr>
          <w:rFonts w:ascii="Arial Negrita" w:hAnsi="Arial Negrita" w:cs="Arial"/>
          <w:b/>
          <w:bCs/>
          <w:smallCaps/>
          <w:color w:val="242424"/>
          <w:sz w:val="22"/>
          <w:szCs w:val="22"/>
          <w:vertAlign w:val="superscript"/>
        </w:rPr>
        <w:t>p/</w:t>
      </w:r>
    </w:p>
    <w:tbl>
      <w:tblPr>
        <w:tblW w:w="8750" w:type="dxa"/>
        <w:tblCellMar>
          <w:left w:w="70" w:type="dxa"/>
          <w:right w:w="70" w:type="dxa"/>
        </w:tblCellMar>
        <w:tblLook w:val="04A0" w:firstRow="1" w:lastRow="0" w:firstColumn="1" w:lastColumn="0" w:noHBand="0" w:noVBand="1"/>
      </w:tblPr>
      <w:tblGrid>
        <w:gridCol w:w="2548"/>
        <w:gridCol w:w="1404"/>
        <w:gridCol w:w="1256"/>
        <w:gridCol w:w="1276"/>
        <w:gridCol w:w="1218"/>
        <w:gridCol w:w="1048"/>
      </w:tblGrid>
      <w:tr w:rsidR="0040640C" w:rsidRPr="0040640C" w14:paraId="193A56CD" w14:textId="77777777" w:rsidTr="00E763E3">
        <w:trPr>
          <w:trHeight w:val="233"/>
        </w:trPr>
        <w:tc>
          <w:tcPr>
            <w:tcW w:w="2548" w:type="dxa"/>
            <w:vMerge w:val="restart"/>
            <w:tcBorders>
              <w:top w:val="single" w:sz="4" w:space="0" w:color="auto"/>
              <w:left w:val="single" w:sz="4" w:space="0" w:color="auto"/>
              <w:bottom w:val="single" w:sz="4" w:space="0" w:color="auto"/>
              <w:right w:val="single" w:sz="4" w:space="0" w:color="auto"/>
            </w:tcBorders>
            <w:shd w:val="clear" w:color="auto" w:fill="FFB13F"/>
            <w:vAlign w:val="center"/>
            <w:hideMark/>
          </w:tcPr>
          <w:p w14:paraId="10D5B37A" w14:textId="77777777" w:rsidR="0040640C" w:rsidRPr="00AC3612" w:rsidRDefault="0040640C" w:rsidP="0040640C">
            <w:pPr>
              <w:spacing w:after="0" w:line="240" w:lineRule="auto"/>
              <w:jc w:val="center"/>
              <w:rPr>
                <w:rFonts w:ascii="Arial" w:eastAsia="Times New Roman" w:hAnsi="Arial" w:cs="Arial"/>
                <w:b/>
                <w:bCs/>
                <w:sz w:val="20"/>
                <w:szCs w:val="20"/>
                <w:lang w:eastAsia="es-MX"/>
              </w:rPr>
            </w:pPr>
            <w:r w:rsidRPr="00AC3612">
              <w:rPr>
                <w:rFonts w:ascii="Arial" w:eastAsia="Times New Roman" w:hAnsi="Arial" w:cs="Arial"/>
                <w:b/>
                <w:bCs/>
                <w:sz w:val="20"/>
                <w:szCs w:val="20"/>
                <w:lang w:eastAsia="es-MX"/>
              </w:rPr>
              <w:t>Sector y subsector</w:t>
            </w:r>
          </w:p>
        </w:tc>
        <w:tc>
          <w:tcPr>
            <w:tcW w:w="6202" w:type="dxa"/>
            <w:gridSpan w:val="5"/>
            <w:tcBorders>
              <w:top w:val="single" w:sz="4" w:space="0" w:color="auto"/>
              <w:left w:val="nil"/>
              <w:bottom w:val="single" w:sz="4" w:space="0" w:color="auto"/>
              <w:right w:val="single" w:sz="4" w:space="0" w:color="000000"/>
            </w:tcBorders>
            <w:shd w:val="clear" w:color="auto" w:fill="FFB13F"/>
            <w:noWrap/>
            <w:vAlign w:val="center"/>
            <w:hideMark/>
          </w:tcPr>
          <w:p w14:paraId="715306D7" w14:textId="77777777" w:rsidR="0040640C" w:rsidRPr="00AC3612" w:rsidRDefault="0040640C" w:rsidP="0040640C">
            <w:pPr>
              <w:spacing w:after="0" w:line="240" w:lineRule="auto"/>
              <w:jc w:val="center"/>
              <w:rPr>
                <w:rFonts w:ascii="Arial" w:eastAsia="Times New Roman" w:hAnsi="Arial" w:cs="Arial"/>
                <w:b/>
                <w:bCs/>
                <w:sz w:val="20"/>
                <w:szCs w:val="20"/>
                <w:lang w:eastAsia="es-MX"/>
              </w:rPr>
            </w:pPr>
            <w:r w:rsidRPr="00AC3612">
              <w:rPr>
                <w:rFonts w:ascii="Arial" w:eastAsia="Times New Roman" w:hAnsi="Arial" w:cs="Arial"/>
                <w:b/>
                <w:bCs/>
                <w:sz w:val="20"/>
                <w:szCs w:val="20"/>
                <w:lang w:eastAsia="es-MX"/>
              </w:rPr>
              <w:t>Ingresos por suministro de bienes y servicios</w:t>
            </w:r>
          </w:p>
        </w:tc>
      </w:tr>
      <w:tr w:rsidR="0040640C" w:rsidRPr="0040640C" w14:paraId="06204A2A" w14:textId="77777777" w:rsidTr="00E763E3">
        <w:trPr>
          <w:trHeight w:val="231"/>
        </w:trPr>
        <w:tc>
          <w:tcPr>
            <w:tcW w:w="2548" w:type="dxa"/>
            <w:vMerge/>
            <w:tcBorders>
              <w:top w:val="single" w:sz="4" w:space="0" w:color="auto"/>
              <w:left w:val="single" w:sz="4" w:space="0" w:color="auto"/>
              <w:bottom w:val="single" w:sz="4" w:space="0" w:color="auto"/>
              <w:right w:val="single" w:sz="4" w:space="0" w:color="auto"/>
            </w:tcBorders>
            <w:shd w:val="clear" w:color="auto" w:fill="FFB13F"/>
            <w:vAlign w:val="center"/>
            <w:hideMark/>
          </w:tcPr>
          <w:p w14:paraId="6E20B124" w14:textId="77777777" w:rsidR="0040640C" w:rsidRPr="00D13BBC" w:rsidRDefault="0040640C" w:rsidP="0040640C">
            <w:pPr>
              <w:spacing w:after="0" w:line="240" w:lineRule="auto"/>
              <w:jc w:val="center"/>
              <w:rPr>
                <w:rFonts w:ascii="Arial" w:eastAsia="Times New Roman" w:hAnsi="Arial" w:cs="Arial"/>
                <w:b/>
                <w:bCs/>
                <w:sz w:val="18"/>
                <w:szCs w:val="20"/>
                <w:lang w:eastAsia="es-MX"/>
              </w:rPr>
            </w:pPr>
          </w:p>
        </w:tc>
        <w:tc>
          <w:tcPr>
            <w:tcW w:w="1404" w:type="dxa"/>
            <w:vMerge w:val="restart"/>
            <w:tcBorders>
              <w:top w:val="nil"/>
              <w:left w:val="single" w:sz="4" w:space="0" w:color="auto"/>
              <w:bottom w:val="single" w:sz="4" w:space="0" w:color="auto"/>
              <w:right w:val="single" w:sz="4" w:space="0" w:color="auto"/>
            </w:tcBorders>
            <w:shd w:val="clear" w:color="auto" w:fill="FFB13F"/>
            <w:vAlign w:val="center"/>
            <w:hideMark/>
          </w:tcPr>
          <w:p w14:paraId="77389488" w14:textId="0B1E60DF" w:rsidR="0040640C" w:rsidRPr="00AC3612" w:rsidRDefault="0005754C" w:rsidP="0040640C">
            <w:pPr>
              <w:spacing w:after="0" w:line="240" w:lineRule="auto"/>
              <w:jc w:val="center"/>
              <w:rPr>
                <w:rFonts w:ascii="Arial" w:eastAsia="Times New Roman" w:hAnsi="Arial" w:cs="Arial"/>
                <w:b/>
                <w:bCs/>
                <w:sz w:val="14"/>
                <w:szCs w:val="14"/>
                <w:lang w:eastAsia="es-MX"/>
              </w:rPr>
            </w:pPr>
            <w:r w:rsidRPr="00AC3612">
              <w:rPr>
                <w:rFonts w:ascii="Arial" w:eastAsia="Times New Roman" w:hAnsi="Arial" w:cs="Arial"/>
                <w:b/>
                <w:bCs/>
                <w:sz w:val="14"/>
                <w:szCs w:val="14"/>
                <w:lang w:eastAsia="es-MX"/>
              </w:rPr>
              <w:t>Millones</w:t>
            </w:r>
            <w:r w:rsidR="0040640C" w:rsidRPr="00AC3612">
              <w:rPr>
                <w:rFonts w:ascii="Arial" w:eastAsia="Times New Roman" w:hAnsi="Arial" w:cs="Arial"/>
                <w:b/>
                <w:bCs/>
                <w:sz w:val="14"/>
                <w:szCs w:val="14"/>
                <w:lang w:eastAsia="es-MX"/>
              </w:rPr>
              <w:t xml:space="preserve"> de pesos corrientes</w:t>
            </w:r>
          </w:p>
        </w:tc>
        <w:tc>
          <w:tcPr>
            <w:tcW w:w="1256" w:type="dxa"/>
            <w:vMerge w:val="restart"/>
            <w:tcBorders>
              <w:top w:val="single" w:sz="4" w:space="0" w:color="auto"/>
              <w:left w:val="nil"/>
              <w:right w:val="single" w:sz="4" w:space="0" w:color="auto"/>
            </w:tcBorders>
            <w:shd w:val="clear" w:color="auto" w:fill="FFB13F"/>
            <w:noWrap/>
            <w:vAlign w:val="center"/>
            <w:hideMark/>
          </w:tcPr>
          <w:p w14:paraId="50A71952" w14:textId="77777777" w:rsidR="0040640C" w:rsidRPr="00AC3612" w:rsidRDefault="0040640C" w:rsidP="0040640C">
            <w:pPr>
              <w:spacing w:after="0" w:line="240" w:lineRule="auto"/>
              <w:jc w:val="center"/>
              <w:rPr>
                <w:rFonts w:ascii="Arial" w:eastAsia="Times New Roman" w:hAnsi="Arial" w:cs="Arial"/>
                <w:b/>
                <w:bCs/>
                <w:sz w:val="14"/>
                <w:szCs w:val="14"/>
                <w:lang w:eastAsia="es-MX"/>
              </w:rPr>
            </w:pPr>
            <w:r w:rsidRPr="00AC3612">
              <w:rPr>
                <w:rFonts w:ascii="Arial" w:eastAsia="Times New Roman" w:hAnsi="Arial" w:cs="Arial"/>
                <w:b/>
                <w:bCs/>
                <w:sz w:val="14"/>
                <w:szCs w:val="14"/>
                <w:lang w:eastAsia="es-MX"/>
              </w:rPr>
              <w:t>Participación porcentual</w:t>
            </w:r>
          </w:p>
        </w:tc>
        <w:tc>
          <w:tcPr>
            <w:tcW w:w="3541" w:type="dxa"/>
            <w:gridSpan w:val="3"/>
            <w:tcBorders>
              <w:top w:val="single" w:sz="4" w:space="0" w:color="auto"/>
              <w:left w:val="single" w:sz="4" w:space="0" w:color="auto"/>
              <w:bottom w:val="single" w:sz="4" w:space="0" w:color="auto"/>
              <w:right w:val="single" w:sz="4" w:space="0" w:color="auto"/>
            </w:tcBorders>
            <w:shd w:val="clear" w:color="auto" w:fill="FFB13F"/>
            <w:vAlign w:val="center"/>
          </w:tcPr>
          <w:p w14:paraId="358338A1" w14:textId="77777777" w:rsidR="0040640C" w:rsidRPr="00D13BBC" w:rsidRDefault="0040640C" w:rsidP="0040640C">
            <w:pPr>
              <w:spacing w:after="0" w:line="240" w:lineRule="auto"/>
              <w:jc w:val="center"/>
              <w:rPr>
                <w:rFonts w:ascii="Arial" w:eastAsia="Times New Roman" w:hAnsi="Arial" w:cs="Arial"/>
                <w:b/>
                <w:bCs/>
                <w:color w:val="000000"/>
                <w:sz w:val="18"/>
                <w:szCs w:val="20"/>
                <w:lang w:eastAsia="es-MX"/>
              </w:rPr>
            </w:pPr>
            <w:r w:rsidRPr="00D13BBC">
              <w:rPr>
                <w:rFonts w:ascii="Arial" w:eastAsia="Times New Roman" w:hAnsi="Arial" w:cs="Arial"/>
                <w:b/>
                <w:bCs/>
                <w:color w:val="000000"/>
                <w:sz w:val="18"/>
                <w:szCs w:val="20"/>
                <w:lang w:eastAsia="es-MX"/>
              </w:rPr>
              <w:t>Distribución porcentual</w:t>
            </w:r>
          </w:p>
        </w:tc>
      </w:tr>
      <w:tr w:rsidR="0040640C" w:rsidRPr="0040640C" w14:paraId="7C5239AD" w14:textId="77777777" w:rsidTr="00E763E3">
        <w:trPr>
          <w:trHeight w:val="511"/>
        </w:trPr>
        <w:tc>
          <w:tcPr>
            <w:tcW w:w="2548" w:type="dxa"/>
            <w:vMerge/>
            <w:tcBorders>
              <w:top w:val="single" w:sz="4" w:space="0" w:color="auto"/>
              <w:left w:val="single" w:sz="4" w:space="0" w:color="auto"/>
              <w:bottom w:val="single" w:sz="4" w:space="0" w:color="auto"/>
              <w:right w:val="single" w:sz="4" w:space="0" w:color="auto"/>
            </w:tcBorders>
            <w:shd w:val="clear" w:color="auto" w:fill="FFB13F"/>
            <w:vAlign w:val="center"/>
            <w:hideMark/>
          </w:tcPr>
          <w:p w14:paraId="1FC9E049" w14:textId="77777777" w:rsidR="0040640C" w:rsidRPr="00D13BBC" w:rsidRDefault="0040640C" w:rsidP="0040640C">
            <w:pPr>
              <w:spacing w:after="0" w:line="240" w:lineRule="auto"/>
              <w:jc w:val="center"/>
              <w:rPr>
                <w:rFonts w:ascii="Arial" w:eastAsia="Times New Roman" w:hAnsi="Arial" w:cs="Arial"/>
                <w:b/>
                <w:bCs/>
                <w:sz w:val="18"/>
                <w:szCs w:val="20"/>
                <w:lang w:eastAsia="es-MX"/>
              </w:rPr>
            </w:pPr>
          </w:p>
        </w:tc>
        <w:tc>
          <w:tcPr>
            <w:tcW w:w="1404" w:type="dxa"/>
            <w:vMerge/>
            <w:tcBorders>
              <w:top w:val="nil"/>
              <w:left w:val="single" w:sz="4" w:space="0" w:color="auto"/>
              <w:bottom w:val="single" w:sz="4" w:space="0" w:color="auto"/>
              <w:right w:val="single" w:sz="4" w:space="0" w:color="auto"/>
            </w:tcBorders>
            <w:shd w:val="clear" w:color="auto" w:fill="FFB13F"/>
            <w:vAlign w:val="center"/>
            <w:hideMark/>
          </w:tcPr>
          <w:p w14:paraId="1EAE1EBF" w14:textId="77777777" w:rsidR="0040640C" w:rsidRPr="00D13BBC" w:rsidRDefault="0040640C" w:rsidP="0040640C">
            <w:pPr>
              <w:spacing w:after="0" w:line="240" w:lineRule="auto"/>
              <w:jc w:val="center"/>
              <w:rPr>
                <w:rFonts w:ascii="Arial" w:eastAsia="Times New Roman" w:hAnsi="Arial" w:cs="Arial"/>
                <w:b/>
                <w:bCs/>
                <w:sz w:val="18"/>
                <w:szCs w:val="20"/>
                <w:lang w:eastAsia="es-MX"/>
              </w:rPr>
            </w:pPr>
          </w:p>
        </w:tc>
        <w:tc>
          <w:tcPr>
            <w:tcW w:w="1256" w:type="dxa"/>
            <w:vMerge/>
            <w:tcBorders>
              <w:left w:val="nil"/>
              <w:bottom w:val="single" w:sz="4" w:space="0" w:color="auto"/>
              <w:right w:val="single" w:sz="4" w:space="0" w:color="auto"/>
            </w:tcBorders>
            <w:shd w:val="clear" w:color="auto" w:fill="FFB13F"/>
            <w:vAlign w:val="center"/>
            <w:hideMark/>
          </w:tcPr>
          <w:p w14:paraId="18DE5124" w14:textId="77777777" w:rsidR="0040640C" w:rsidRPr="00D13BBC" w:rsidRDefault="0040640C" w:rsidP="0040640C">
            <w:pPr>
              <w:spacing w:after="0" w:line="240" w:lineRule="auto"/>
              <w:jc w:val="center"/>
              <w:rPr>
                <w:rFonts w:ascii="Arial" w:eastAsia="Times New Roman" w:hAnsi="Arial" w:cs="Arial"/>
                <w:b/>
                <w:bCs/>
                <w:sz w:val="18"/>
                <w:szCs w:val="20"/>
                <w:lang w:eastAsia="es-MX"/>
              </w:rPr>
            </w:pPr>
          </w:p>
        </w:tc>
        <w:tc>
          <w:tcPr>
            <w:tcW w:w="1276" w:type="dxa"/>
            <w:tcBorders>
              <w:top w:val="single" w:sz="4" w:space="0" w:color="auto"/>
              <w:left w:val="nil"/>
              <w:bottom w:val="single" w:sz="4" w:space="0" w:color="auto"/>
              <w:right w:val="single" w:sz="4" w:space="0" w:color="auto"/>
            </w:tcBorders>
            <w:shd w:val="clear" w:color="auto" w:fill="FFB13F"/>
            <w:vAlign w:val="center"/>
            <w:hideMark/>
          </w:tcPr>
          <w:p w14:paraId="23DB9E0F" w14:textId="77777777" w:rsidR="0040640C" w:rsidRPr="00AC3612" w:rsidRDefault="0040640C" w:rsidP="0040640C">
            <w:pPr>
              <w:spacing w:after="0" w:line="240" w:lineRule="auto"/>
              <w:jc w:val="center"/>
              <w:rPr>
                <w:rFonts w:ascii="Arial" w:eastAsia="Times New Roman" w:hAnsi="Arial" w:cs="Arial"/>
                <w:b/>
                <w:bCs/>
                <w:sz w:val="14"/>
                <w:szCs w:val="14"/>
                <w:lang w:eastAsia="es-MX"/>
              </w:rPr>
            </w:pPr>
            <w:r w:rsidRPr="00AC3612">
              <w:rPr>
                <w:rFonts w:ascii="Arial" w:eastAsia="Times New Roman" w:hAnsi="Arial" w:cs="Arial"/>
                <w:b/>
                <w:bCs/>
                <w:sz w:val="14"/>
                <w:szCs w:val="14"/>
                <w:lang w:eastAsia="es-MX"/>
              </w:rPr>
              <w:t>Ejecución de obras como contratista principal</w:t>
            </w:r>
          </w:p>
        </w:tc>
        <w:tc>
          <w:tcPr>
            <w:tcW w:w="1218" w:type="dxa"/>
            <w:tcBorders>
              <w:top w:val="single" w:sz="4" w:space="0" w:color="auto"/>
              <w:left w:val="nil"/>
              <w:bottom w:val="single" w:sz="4" w:space="0" w:color="auto"/>
              <w:right w:val="single" w:sz="4" w:space="0" w:color="auto"/>
            </w:tcBorders>
            <w:shd w:val="clear" w:color="auto" w:fill="FFB13F"/>
            <w:vAlign w:val="center"/>
            <w:hideMark/>
          </w:tcPr>
          <w:p w14:paraId="3B4B5FF8" w14:textId="77777777" w:rsidR="0040640C" w:rsidRPr="00AC3612" w:rsidRDefault="0040640C" w:rsidP="0040640C">
            <w:pPr>
              <w:spacing w:after="0" w:line="240" w:lineRule="auto"/>
              <w:jc w:val="center"/>
              <w:rPr>
                <w:rFonts w:ascii="Arial" w:eastAsia="Times New Roman" w:hAnsi="Arial" w:cs="Arial"/>
                <w:b/>
                <w:bCs/>
                <w:sz w:val="14"/>
                <w:szCs w:val="14"/>
                <w:lang w:eastAsia="es-MX"/>
              </w:rPr>
            </w:pPr>
            <w:r w:rsidRPr="00AC3612">
              <w:rPr>
                <w:rFonts w:ascii="Arial" w:eastAsia="Times New Roman" w:hAnsi="Arial" w:cs="Arial"/>
                <w:b/>
                <w:bCs/>
                <w:sz w:val="14"/>
                <w:szCs w:val="14"/>
                <w:lang w:eastAsia="es-MX"/>
              </w:rPr>
              <w:t>Ejecución de obras como subcontratista</w:t>
            </w:r>
          </w:p>
        </w:tc>
        <w:tc>
          <w:tcPr>
            <w:tcW w:w="1046" w:type="dxa"/>
            <w:tcBorders>
              <w:top w:val="nil"/>
              <w:left w:val="nil"/>
              <w:bottom w:val="single" w:sz="4" w:space="0" w:color="auto"/>
              <w:right w:val="single" w:sz="4" w:space="0" w:color="auto"/>
            </w:tcBorders>
            <w:shd w:val="clear" w:color="auto" w:fill="FFB13F"/>
            <w:vAlign w:val="center"/>
            <w:hideMark/>
          </w:tcPr>
          <w:p w14:paraId="55AD819D" w14:textId="77777777" w:rsidR="0040640C" w:rsidRPr="00AC3612" w:rsidRDefault="0040640C" w:rsidP="0040640C">
            <w:pPr>
              <w:spacing w:after="0" w:line="240" w:lineRule="auto"/>
              <w:jc w:val="center"/>
              <w:rPr>
                <w:rFonts w:ascii="Arial" w:eastAsia="Times New Roman" w:hAnsi="Arial" w:cs="Arial"/>
                <w:b/>
                <w:bCs/>
                <w:sz w:val="14"/>
                <w:szCs w:val="14"/>
                <w:lang w:eastAsia="es-MX"/>
              </w:rPr>
            </w:pPr>
            <w:r w:rsidRPr="00AC3612">
              <w:rPr>
                <w:rFonts w:ascii="Arial" w:eastAsia="Times New Roman" w:hAnsi="Arial" w:cs="Arial"/>
                <w:b/>
                <w:bCs/>
                <w:sz w:val="14"/>
                <w:szCs w:val="14"/>
                <w:lang w:eastAsia="es-MX"/>
              </w:rPr>
              <w:t xml:space="preserve">Otros ingresos </w:t>
            </w:r>
          </w:p>
        </w:tc>
      </w:tr>
      <w:tr w:rsidR="0027262E" w:rsidRPr="0040640C" w14:paraId="69C6EA44" w14:textId="77777777" w:rsidTr="00E763E3">
        <w:trPr>
          <w:trHeight w:val="341"/>
        </w:trPr>
        <w:tc>
          <w:tcPr>
            <w:tcW w:w="2548" w:type="dxa"/>
            <w:tcBorders>
              <w:top w:val="nil"/>
              <w:left w:val="single" w:sz="4" w:space="0" w:color="auto"/>
              <w:bottom w:val="single" w:sz="4" w:space="0" w:color="auto"/>
              <w:right w:val="single" w:sz="4" w:space="0" w:color="auto"/>
            </w:tcBorders>
            <w:shd w:val="clear" w:color="auto" w:fill="auto"/>
            <w:noWrap/>
            <w:vAlign w:val="center"/>
            <w:hideMark/>
          </w:tcPr>
          <w:p w14:paraId="797B9349" w14:textId="4708700A" w:rsidR="0027262E" w:rsidRPr="00515933" w:rsidRDefault="0027262E" w:rsidP="0027262E">
            <w:pPr>
              <w:spacing w:after="0" w:line="240" w:lineRule="auto"/>
              <w:rPr>
                <w:rFonts w:ascii="Arial" w:eastAsia="Times New Roman" w:hAnsi="Arial" w:cs="Arial"/>
                <w:b/>
                <w:sz w:val="20"/>
                <w:szCs w:val="20"/>
                <w:lang w:eastAsia="es-MX"/>
              </w:rPr>
            </w:pPr>
            <w:r w:rsidRPr="00515933">
              <w:rPr>
                <w:rFonts w:ascii="Arial" w:eastAsia="Times New Roman" w:hAnsi="Arial" w:cs="Arial"/>
                <w:b/>
                <w:sz w:val="20"/>
                <w:szCs w:val="20"/>
                <w:lang w:eastAsia="es-MX"/>
              </w:rPr>
              <w:t xml:space="preserve">Construcción                      </w:t>
            </w:r>
          </w:p>
        </w:tc>
        <w:tc>
          <w:tcPr>
            <w:tcW w:w="1404" w:type="dxa"/>
            <w:tcBorders>
              <w:top w:val="nil"/>
              <w:left w:val="nil"/>
              <w:bottom w:val="single" w:sz="4" w:space="0" w:color="auto"/>
              <w:right w:val="single" w:sz="4" w:space="0" w:color="auto"/>
            </w:tcBorders>
            <w:shd w:val="clear" w:color="auto" w:fill="auto"/>
            <w:noWrap/>
            <w:vAlign w:val="center"/>
            <w:hideMark/>
          </w:tcPr>
          <w:p w14:paraId="14CE5806" w14:textId="4877915C" w:rsidR="0027262E" w:rsidRPr="00515933" w:rsidRDefault="0027262E" w:rsidP="0027262E">
            <w:pPr>
              <w:spacing w:after="0" w:line="240" w:lineRule="auto"/>
              <w:jc w:val="center"/>
              <w:rPr>
                <w:rFonts w:ascii="Arial" w:eastAsia="Times New Roman" w:hAnsi="Arial" w:cs="Arial"/>
                <w:b/>
                <w:bCs/>
                <w:sz w:val="20"/>
                <w:szCs w:val="20"/>
                <w:lang w:eastAsia="es-MX"/>
              </w:rPr>
            </w:pPr>
            <w:r w:rsidRPr="00515933">
              <w:rPr>
                <w:rFonts w:ascii="Arial" w:hAnsi="Arial" w:cs="Arial"/>
                <w:b/>
                <w:bCs/>
                <w:color w:val="000000"/>
                <w:sz w:val="20"/>
                <w:szCs w:val="20"/>
              </w:rPr>
              <w:t>624</w:t>
            </w:r>
            <w:r w:rsidR="00B10CAA" w:rsidRPr="00515933">
              <w:rPr>
                <w:rFonts w:ascii="Arial" w:hAnsi="Arial" w:cs="Arial"/>
                <w:b/>
                <w:bCs/>
                <w:color w:val="000000"/>
                <w:sz w:val="20"/>
                <w:szCs w:val="20"/>
              </w:rPr>
              <w:t xml:space="preserve"> </w:t>
            </w:r>
            <w:r w:rsidRPr="00515933">
              <w:rPr>
                <w:rFonts w:ascii="Arial" w:hAnsi="Arial" w:cs="Arial"/>
                <w:b/>
                <w:bCs/>
                <w:color w:val="000000"/>
                <w:sz w:val="20"/>
                <w:szCs w:val="20"/>
              </w:rPr>
              <w:t>81</w:t>
            </w:r>
            <w:r w:rsidR="0005754C" w:rsidRPr="00515933">
              <w:rPr>
                <w:rFonts w:ascii="Arial" w:hAnsi="Arial" w:cs="Arial"/>
                <w:b/>
                <w:bCs/>
                <w:color w:val="000000"/>
                <w:sz w:val="20"/>
                <w:szCs w:val="20"/>
              </w:rPr>
              <w:t>2</w:t>
            </w:r>
          </w:p>
        </w:tc>
        <w:tc>
          <w:tcPr>
            <w:tcW w:w="1256" w:type="dxa"/>
            <w:tcBorders>
              <w:top w:val="nil"/>
              <w:left w:val="nil"/>
              <w:bottom w:val="single" w:sz="4" w:space="0" w:color="auto"/>
              <w:right w:val="single" w:sz="4" w:space="0" w:color="auto"/>
            </w:tcBorders>
            <w:shd w:val="clear" w:color="auto" w:fill="auto"/>
            <w:noWrap/>
            <w:vAlign w:val="center"/>
            <w:hideMark/>
          </w:tcPr>
          <w:p w14:paraId="4B13A570" w14:textId="15F4E289" w:rsidR="0027262E" w:rsidRPr="00515933" w:rsidRDefault="0027262E" w:rsidP="0027262E">
            <w:pPr>
              <w:spacing w:after="0" w:line="240" w:lineRule="auto"/>
              <w:jc w:val="center"/>
              <w:rPr>
                <w:rFonts w:ascii="Arial" w:eastAsia="Times New Roman" w:hAnsi="Arial" w:cs="Arial"/>
                <w:b/>
                <w:bCs/>
                <w:sz w:val="20"/>
                <w:szCs w:val="20"/>
                <w:lang w:eastAsia="es-MX"/>
              </w:rPr>
            </w:pPr>
            <w:r w:rsidRPr="00515933">
              <w:rPr>
                <w:rFonts w:ascii="Arial" w:hAnsi="Arial" w:cs="Arial"/>
                <w:b/>
                <w:bCs/>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4BBE8990" w14:textId="0F1AB4BF" w:rsidR="0027262E" w:rsidRPr="00515933" w:rsidRDefault="0027262E" w:rsidP="0027262E">
            <w:pPr>
              <w:spacing w:after="0" w:line="240" w:lineRule="auto"/>
              <w:jc w:val="center"/>
              <w:rPr>
                <w:rFonts w:ascii="Arial" w:eastAsia="Times New Roman" w:hAnsi="Arial" w:cs="Arial"/>
                <w:b/>
                <w:bCs/>
                <w:sz w:val="20"/>
                <w:szCs w:val="20"/>
                <w:lang w:eastAsia="es-MX"/>
              </w:rPr>
            </w:pPr>
            <w:r w:rsidRPr="00515933">
              <w:rPr>
                <w:rFonts w:ascii="Arial" w:hAnsi="Arial" w:cs="Arial"/>
                <w:b/>
                <w:bCs/>
                <w:color w:val="000000"/>
                <w:sz w:val="20"/>
                <w:szCs w:val="20"/>
              </w:rPr>
              <w:t>78.2</w:t>
            </w:r>
          </w:p>
        </w:tc>
        <w:tc>
          <w:tcPr>
            <w:tcW w:w="1218" w:type="dxa"/>
            <w:tcBorders>
              <w:top w:val="nil"/>
              <w:left w:val="nil"/>
              <w:bottom w:val="single" w:sz="4" w:space="0" w:color="auto"/>
              <w:right w:val="single" w:sz="4" w:space="0" w:color="auto"/>
            </w:tcBorders>
            <w:shd w:val="clear" w:color="auto" w:fill="auto"/>
            <w:noWrap/>
            <w:vAlign w:val="center"/>
            <w:hideMark/>
          </w:tcPr>
          <w:p w14:paraId="67B024EA" w14:textId="7ACD873B" w:rsidR="0027262E" w:rsidRPr="00515933" w:rsidRDefault="0027262E" w:rsidP="003A10BA">
            <w:pPr>
              <w:spacing w:after="0" w:line="240" w:lineRule="auto"/>
              <w:ind w:left="-676" w:right="367"/>
              <w:jc w:val="right"/>
              <w:rPr>
                <w:rFonts w:ascii="Arial" w:eastAsia="Times New Roman" w:hAnsi="Arial" w:cs="Arial"/>
                <w:b/>
                <w:bCs/>
                <w:sz w:val="20"/>
                <w:szCs w:val="20"/>
                <w:lang w:eastAsia="es-MX"/>
              </w:rPr>
            </w:pPr>
            <w:r w:rsidRPr="00515933">
              <w:rPr>
                <w:rFonts w:ascii="Arial" w:hAnsi="Arial" w:cs="Arial"/>
                <w:b/>
                <w:bCs/>
                <w:color w:val="000000"/>
                <w:sz w:val="20"/>
                <w:szCs w:val="20"/>
              </w:rPr>
              <w:t>13.1</w:t>
            </w:r>
          </w:p>
        </w:tc>
        <w:tc>
          <w:tcPr>
            <w:tcW w:w="1046" w:type="dxa"/>
            <w:tcBorders>
              <w:top w:val="nil"/>
              <w:left w:val="nil"/>
              <w:bottom w:val="single" w:sz="4" w:space="0" w:color="auto"/>
              <w:right w:val="single" w:sz="4" w:space="0" w:color="auto"/>
            </w:tcBorders>
            <w:shd w:val="clear" w:color="auto" w:fill="auto"/>
            <w:noWrap/>
            <w:vAlign w:val="center"/>
            <w:hideMark/>
          </w:tcPr>
          <w:p w14:paraId="6B850969" w14:textId="0D98C08A" w:rsidR="0027262E" w:rsidRPr="00515933" w:rsidRDefault="0027262E" w:rsidP="003A10BA">
            <w:pPr>
              <w:spacing w:after="0" w:line="240" w:lineRule="auto"/>
              <w:ind w:left="-507" w:right="275"/>
              <w:jc w:val="right"/>
              <w:rPr>
                <w:rFonts w:ascii="Arial" w:eastAsia="Times New Roman" w:hAnsi="Arial" w:cs="Arial"/>
                <w:b/>
                <w:bCs/>
                <w:sz w:val="20"/>
                <w:szCs w:val="20"/>
                <w:lang w:eastAsia="es-MX"/>
              </w:rPr>
            </w:pPr>
            <w:r w:rsidRPr="00515933">
              <w:rPr>
                <w:rFonts w:ascii="Arial" w:hAnsi="Arial" w:cs="Arial"/>
                <w:b/>
                <w:bCs/>
                <w:color w:val="000000"/>
                <w:sz w:val="20"/>
                <w:szCs w:val="20"/>
              </w:rPr>
              <w:t>8.7</w:t>
            </w:r>
          </w:p>
        </w:tc>
      </w:tr>
      <w:tr w:rsidR="0027262E" w:rsidRPr="0040640C" w14:paraId="0A66748D" w14:textId="77777777" w:rsidTr="00E763E3">
        <w:trPr>
          <w:trHeight w:val="341"/>
        </w:trPr>
        <w:tc>
          <w:tcPr>
            <w:tcW w:w="2548" w:type="dxa"/>
            <w:tcBorders>
              <w:top w:val="nil"/>
              <w:left w:val="single" w:sz="4" w:space="0" w:color="auto"/>
              <w:bottom w:val="single" w:sz="4" w:space="0" w:color="auto"/>
              <w:right w:val="single" w:sz="4" w:space="0" w:color="auto"/>
            </w:tcBorders>
            <w:shd w:val="clear" w:color="auto" w:fill="auto"/>
            <w:noWrap/>
            <w:vAlign w:val="center"/>
            <w:hideMark/>
          </w:tcPr>
          <w:p w14:paraId="0F162CEA" w14:textId="414F40C0" w:rsidR="0027262E" w:rsidRPr="00515933" w:rsidRDefault="0027262E" w:rsidP="00AC3612">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Edificación</w:t>
            </w:r>
          </w:p>
        </w:tc>
        <w:tc>
          <w:tcPr>
            <w:tcW w:w="1404" w:type="dxa"/>
            <w:tcBorders>
              <w:top w:val="nil"/>
              <w:left w:val="nil"/>
              <w:bottom w:val="single" w:sz="4" w:space="0" w:color="auto"/>
              <w:right w:val="single" w:sz="4" w:space="0" w:color="auto"/>
            </w:tcBorders>
            <w:shd w:val="clear" w:color="auto" w:fill="auto"/>
            <w:noWrap/>
            <w:vAlign w:val="center"/>
            <w:hideMark/>
          </w:tcPr>
          <w:p w14:paraId="60C5CA4C" w14:textId="6FE27A1C" w:rsidR="0027262E" w:rsidRPr="00515933" w:rsidRDefault="0027262E" w:rsidP="0027262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302</w:t>
            </w:r>
            <w:r w:rsidR="003A10BA" w:rsidRPr="00515933">
              <w:rPr>
                <w:rFonts w:ascii="Arial" w:hAnsi="Arial" w:cs="Arial"/>
                <w:color w:val="000000"/>
                <w:sz w:val="20"/>
                <w:szCs w:val="20"/>
              </w:rPr>
              <w:t xml:space="preserve"> </w:t>
            </w:r>
            <w:r w:rsidRPr="00515933">
              <w:rPr>
                <w:rFonts w:ascii="Arial" w:hAnsi="Arial" w:cs="Arial"/>
                <w:color w:val="000000"/>
                <w:sz w:val="20"/>
                <w:szCs w:val="20"/>
              </w:rPr>
              <w:t>270</w:t>
            </w:r>
          </w:p>
        </w:tc>
        <w:tc>
          <w:tcPr>
            <w:tcW w:w="1256" w:type="dxa"/>
            <w:tcBorders>
              <w:top w:val="nil"/>
              <w:left w:val="nil"/>
              <w:bottom w:val="single" w:sz="4" w:space="0" w:color="auto"/>
              <w:right w:val="single" w:sz="4" w:space="0" w:color="auto"/>
            </w:tcBorders>
            <w:shd w:val="clear" w:color="auto" w:fill="auto"/>
            <w:noWrap/>
            <w:vAlign w:val="center"/>
            <w:hideMark/>
          </w:tcPr>
          <w:p w14:paraId="1EEEB5C8" w14:textId="09E157E9" w:rsidR="0027262E" w:rsidRPr="00515933" w:rsidRDefault="0027262E" w:rsidP="0027262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48.4</w:t>
            </w:r>
          </w:p>
        </w:tc>
        <w:tc>
          <w:tcPr>
            <w:tcW w:w="1276" w:type="dxa"/>
            <w:tcBorders>
              <w:top w:val="nil"/>
              <w:left w:val="nil"/>
              <w:bottom w:val="single" w:sz="4" w:space="0" w:color="auto"/>
              <w:right w:val="single" w:sz="4" w:space="0" w:color="auto"/>
            </w:tcBorders>
            <w:shd w:val="clear" w:color="auto" w:fill="auto"/>
            <w:noWrap/>
            <w:vAlign w:val="center"/>
            <w:hideMark/>
          </w:tcPr>
          <w:p w14:paraId="46C069E9" w14:textId="13481F77" w:rsidR="0027262E" w:rsidRPr="00515933" w:rsidRDefault="0027262E" w:rsidP="0027262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74.8</w:t>
            </w:r>
          </w:p>
        </w:tc>
        <w:tc>
          <w:tcPr>
            <w:tcW w:w="1218" w:type="dxa"/>
            <w:tcBorders>
              <w:top w:val="nil"/>
              <w:left w:val="nil"/>
              <w:bottom w:val="single" w:sz="4" w:space="0" w:color="auto"/>
              <w:right w:val="single" w:sz="4" w:space="0" w:color="auto"/>
            </w:tcBorders>
            <w:shd w:val="clear" w:color="auto" w:fill="auto"/>
            <w:noWrap/>
            <w:vAlign w:val="center"/>
            <w:hideMark/>
          </w:tcPr>
          <w:p w14:paraId="5EABE895" w14:textId="02264298" w:rsidR="0027262E" w:rsidRPr="00515933" w:rsidRDefault="0027262E" w:rsidP="003A10BA">
            <w:pPr>
              <w:spacing w:after="0" w:line="240" w:lineRule="auto"/>
              <w:ind w:left="-676" w:right="367"/>
              <w:jc w:val="right"/>
              <w:rPr>
                <w:rFonts w:ascii="Arial" w:eastAsia="Times New Roman" w:hAnsi="Arial" w:cs="Arial"/>
                <w:sz w:val="20"/>
                <w:szCs w:val="20"/>
                <w:lang w:eastAsia="es-MX"/>
              </w:rPr>
            </w:pPr>
            <w:r w:rsidRPr="00515933">
              <w:rPr>
                <w:rFonts w:ascii="Arial" w:hAnsi="Arial" w:cs="Arial"/>
                <w:color w:val="000000"/>
                <w:sz w:val="20"/>
                <w:szCs w:val="20"/>
              </w:rPr>
              <w:t>17.5</w:t>
            </w:r>
          </w:p>
        </w:tc>
        <w:tc>
          <w:tcPr>
            <w:tcW w:w="1046" w:type="dxa"/>
            <w:tcBorders>
              <w:top w:val="nil"/>
              <w:left w:val="nil"/>
              <w:bottom w:val="single" w:sz="4" w:space="0" w:color="auto"/>
              <w:right w:val="single" w:sz="4" w:space="0" w:color="auto"/>
            </w:tcBorders>
            <w:shd w:val="clear" w:color="auto" w:fill="auto"/>
            <w:noWrap/>
            <w:vAlign w:val="center"/>
            <w:hideMark/>
          </w:tcPr>
          <w:p w14:paraId="04068D46" w14:textId="650223D5" w:rsidR="0027262E" w:rsidRPr="00515933" w:rsidRDefault="0027262E" w:rsidP="003A10BA">
            <w:pPr>
              <w:spacing w:after="0" w:line="240" w:lineRule="auto"/>
              <w:ind w:left="-507" w:right="275"/>
              <w:jc w:val="right"/>
              <w:rPr>
                <w:rFonts w:ascii="Arial" w:eastAsia="Times New Roman" w:hAnsi="Arial" w:cs="Arial"/>
                <w:sz w:val="20"/>
                <w:szCs w:val="20"/>
                <w:lang w:eastAsia="es-MX"/>
              </w:rPr>
            </w:pPr>
            <w:r w:rsidRPr="00515933">
              <w:rPr>
                <w:rFonts w:ascii="Arial" w:hAnsi="Arial" w:cs="Arial"/>
                <w:color w:val="000000"/>
                <w:sz w:val="20"/>
                <w:szCs w:val="20"/>
              </w:rPr>
              <w:t>7.7</w:t>
            </w:r>
          </w:p>
        </w:tc>
      </w:tr>
      <w:tr w:rsidR="0027262E" w:rsidRPr="0040640C" w14:paraId="0DB76085" w14:textId="77777777" w:rsidTr="00E763E3">
        <w:trPr>
          <w:trHeight w:val="341"/>
        </w:trPr>
        <w:tc>
          <w:tcPr>
            <w:tcW w:w="2548" w:type="dxa"/>
            <w:tcBorders>
              <w:top w:val="nil"/>
              <w:left w:val="single" w:sz="4" w:space="0" w:color="auto"/>
              <w:bottom w:val="single" w:sz="4" w:space="0" w:color="auto"/>
              <w:right w:val="single" w:sz="4" w:space="0" w:color="auto"/>
            </w:tcBorders>
            <w:shd w:val="clear" w:color="auto" w:fill="auto"/>
            <w:noWrap/>
            <w:vAlign w:val="center"/>
            <w:hideMark/>
          </w:tcPr>
          <w:p w14:paraId="1791E897" w14:textId="48323A1A" w:rsidR="0027262E" w:rsidRPr="00515933" w:rsidRDefault="0027262E" w:rsidP="00AC3612">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 xml:space="preserve">Construcción de obras de ingeniería civil                         </w:t>
            </w:r>
          </w:p>
        </w:tc>
        <w:tc>
          <w:tcPr>
            <w:tcW w:w="1404" w:type="dxa"/>
            <w:tcBorders>
              <w:top w:val="nil"/>
              <w:left w:val="nil"/>
              <w:bottom w:val="single" w:sz="4" w:space="0" w:color="auto"/>
              <w:right w:val="single" w:sz="4" w:space="0" w:color="auto"/>
            </w:tcBorders>
            <w:shd w:val="clear" w:color="auto" w:fill="auto"/>
            <w:noWrap/>
            <w:vAlign w:val="center"/>
            <w:hideMark/>
          </w:tcPr>
          <w:p w14:paraId="5394B881" w14:textId="0E9660A0" w:rsidR="0027262E" w:rsidRPr="00515933" w:rsidRDefault="0027262E" w:rsidP="0027262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246</w:t>
            </w:r>
            <w:r w:rsidR="003A10BA" w:rsidRPr="00515933">
              <w:rPr>
                <w:rFonts w:ascii="Arial" w:hAnsi="Arial" w:cs="Arial"/>
                <w:color w:val="000000"/>
                <w:sz w:val="20"/>
                <w:szCs w:val="20"/>
              </w:rPr>
              <w:t xml:space="preserve"> </w:t>
            </w:r>
            <w:r w:rsidRPr="00515933">
              <w:rPr>
                <w:rFonts w:ascii="Arial" w:hAnsi="Arial" w:cs="Arial"/>
                <w:color w:val="000000"/>
                <w:sz w:val="20"/>
                <w:szCs w:val="20"/>
              </w:rPr>
              <w:t>146</w:t>
            </w:r>
          </w:p>
        </w:tc>
        <w:tc>
          <w:tcPr>
            <w:tcW w:w="1256" w:type="dxa"/>
            <w:tcBorders>
              <w:top w:val="nil"/>
              <w:left w:val="nil"/>
              <w:bottom w:val="single" w:sz="4" w:space="0" w:color="auto"/>
              <w:right w:val="single" w:sz="4" w:space="0" w:color="auto"/>
            </w:tcBorders>
            <w:shd w:val="clear" w:color="auto" w:fill="auto"/>
            <w:noWrap/>
            <w:vAlign w:val="center"/>
            <w:hideMark/>
          </w:tcPr>
          <w:p w14:paraId="0B7709EE" w14:textId="6CB63346" w:rsidR="0027262E" w:rsidRPr="00515933" w:rsidRDefault="0027262E" w:rsidP="0027262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39.4</w:t>
            </w:r>
          </w:p>
        </w:tc>
        <w:tc>
          <w:tcPr>
            <w:tcW w:w="1276" w:type="dxa"/>
            <w:tcBorders>
              <w:top w:val="nil"/>
              <w:left w:val="nil"/>
              <w:bottom w:val="single" w:sz="4" w:space="0" w:color="auto"/>
              <w:right w:val="single" w:sz="4" w:space="0" w:color="auto"/>
            </w:tcBorders>
            <w:shd w:val="clear" w:color="auto" w:fill="auto"/>
            <w:noWrap/>
            <w:vAlign w:val="center"/>
            <w:hideMark/>
          </w:tcPr>
          <w:p w14:paraId="70C49380" w14:textId="573BF746" w:rsidR="0027262E" w:rsidRPr="00515933" w:rsidRDefault="0027262E" w:rsidP="0027262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86.9</w:t>
            </w:r>
          </w:p>
        </w:tc>
        <w:tc>
          <w:tcPr>
            <w:tcW w:w="1218" w:type="dxa"/>
            <w:tcBorders>
              <w:top w:val="nil"/>
              <w:left w:val="nil"/>
              <w:bottom w:val="single" w:sz="4" w:space="0" w:color="auto"/>
              <w:right w:val="single" w:sz="4" w:space="0" w:color="auto"/>
            </w:tcBorders>
            <w:shd w:val="clear" w:color="auto" w:fill="auto"/>
            <w:noWrap/>
            <w:vAlign w:val="center"/>
            <w:hideMark/>
          </w:tcPr>
          <w:p w14:paraId="405B7D80" w14:textId="797AE9BD" w:rsidR="0027262E" w:rsidRPr="00515933" w:rsidRDefault="0027262E" w:rsidP="003A10BA">
            <w:pPr>
              <w:spacing w:after="0" w:line="240" w:lineRule="auto"/>
              <w:ind w:left="-676" w:right="367"/>
              <w:jc w:val="right"/>
              <w:rPr>
                <w:rFonts w:ascii="Arial" w:eastAsia="Times New Roman" w:hAnsi="Arial" w:cs="Arial"/>
                <w:sz w:val="20"/>
                <w:szCs w:val="20"/>
                <w:lang w:eastAsia="es-MX"/>
              </w:rPr>
            </w:pPr>
            <w:r w:rsidRPr="00515933">
              <w:rPr>
                <w:rFonts w:ascii="Arial" w:hAnsi="Arial" w:cs="Arial"/>
                <w:color w:val="000000"/>
                <w:sz w:val="20"/>
                <w:szCs w:val="20"/>
              </w:rPr>
              <w:t>6.4</w:t>
            </w:r>
          </w:p>
        </w:tc>
        <w:tc>
          <w:tcPr>
            <w:tcW w:w="1046" w:type="dxa"/>
            <w:tcBorders>
              <w:top w:val="nil"/>
              <w:left w:val="nil"/>
              <w:bottom w:val="single" w:sz="4" w:space="0" w:color="auto"/>
              <w:right w:val="single" w:sz="4" w:space="0" w:color="auto"/>
            </w:tcBorders>
            <w:shd w:val="clear" w:color="auto" w:fill="auto"/>
            <w:noWrap/>
            <w:vAlign w:val="center"/>
            <w:hideMark/>
          </w:tcPr>
          <w:p w14:paraId="10EA75D7" w14:textId="1183CF61" w:rsidR="0027262E" w:rsidRPr="00515933" w:rsidRDefault="0027262E" w:rsidP="003A10BA">
            <w:pPr>
              <w:spacing w:after="0" w:line="240" w:lineRule="auto"/>
              <w:ind w:left="-507" w:right="275"/>
              <w:jc w:val="right"/>
              <w:rPr>
                <w:rFonts w:ascii="Arial" w:eastAsia="Times New Roman" w:hAnsi="Arial" w:cs="Arial"/>
                <w:sz w:val="20"/>
                <w:szCs w:val="20"/>
                <w:lang w:eastAsia="es-MX"/>
              </w:rPr>
            </w:pPr>
            <w:r w:rsidRPr="00515933">
              <w:rPr>
                <w:rFonts w:ascii="Arial" w:hAnsi="Arial" w:cs="Arial"/>
                <w:color w:val="000000"/>
                <w:sz w:val="20"/>
                <w:szCs w:val="20"/>
              </w:rPr>
              <w:t>6.7</w:t>
            </w:r>
          </w:p>
        </w:tc>
      </w:tr>
      <w:tr w:rsidR="0027262E" w:rsidRPr="0040640C" w14:paraId="07225003" w14:textId="77777777" w:rsidTr="00E763E3">
        <w:trPr>
          <w:trHeight w:val="341"/>
        </w:trPr>
        <w:tc>
          <w:tcPr>
            <w:tcW w:w="2548" w:type="dxa"/>
            <w:tcBorders>
              <w:top w:val="nil"/>
              <w:left w:val="single" w:sz="4" w:space="0" w:color="auto"/>
              <w:bottom w:val="single" w:sz="4" w:space="0" w:color="auto"/>
              <w:right w:val="single" w:sz="4" w:space="0" w:color="auto"/>
            </w:tcBorders>
            <w:shd w:val="clear" w:color="auto" w:fill="auto"/>
            <w:noWrap/>
            <w:vAlign w:val="center"/>
            <w:hideMark/>
          </w:tcPr>
          <w:p w14:paraId="4EFE969F" w14:textId="24457FD6" w:rsidR="0027262E" w:rsidRPr="00515933" w:rsidRDefault="0027262E" w:rsidP="00AC3612">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Trabajos especializados para la construcción</w:t>
            </w:r>
          </w:p>
        </w:tc>
        <w:tc>
          <w:tcPr>
            <w:tcW w:w="1404" w:type="dxa"/>
            <w:tcBorders>
              <w:top w:val="nil"/>
              <w:left w:val="nil"/>
              <w:bottom w:val="single" w:sz="4" w:space="0" w:color="auto"/>
              <w:right w:val="single" w:sz="4" w:space="0" w:color="auto"/>
            </w:tcBorders>
            <w:shd w:val="clear" w:color="auto" w:fill="auto"/>
            <w:noWrap/>
            <w:vAlign w:val="center"/>
            <w:hideMark/>
          </w:tcPr>
          <w:p w14:paraId="17E53678" w14:textId="0360AFC0" w:rsidR="0027262E" w:rsidRPr="00515933" w:rsidRDefault="0027262E" w:rsidP="0027262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76</w:t>
            </w:r>
            <w:r w:rsidR="003A10BA" w:rsidRPr="00515933">
              <w:rPr>
                <w:rFonts w:ascii="Arial" w:hAnsi="Arial" w:cs="Arial"/>
                <w:color w:val="000000"/>
                <w:sz w:val="20"/>
                <w:szCs w:val="20"/>
              </w:rPr>
              <w:t xml:space="preserve"> </w:t>
            </w:r>
            <w:r w:rsidRPr="00515933">
              <w:rPr>
                <w:rFonts w:ascii="Arial" w:hAnsi="Arial" w:cs="Arial"/>
                <w:color w:val="000000"/>
                <w:sz w:val="20"/>
                <w:szCs w:val="20"/>
              </w:rPr>
              <w:t>396</w:t>
            </w:r>
          </w:p>
        </w:tc>
        <w:tc>
          <w:tcPr>
            <w:tcW w:w="1256" w:type="dxa"/>
            <w:tcBorders>
              <w:top w:val="nil"/>
              <w:left w:val="nil"/>
              <w:bottom w:val="single" w:sz="4" w:space="0" w:color="auto"/>
              <w:right w:val="single" w:sz="4" w:space="0" w:color="auto"/>
            </w:tcBorders>
            <w:shd w:val="clear" w:color="auto" w:fill="auto"/>
            <w:noWrap/>
            <w:vAlign w:val="center"/>
            <w:hideMark/>
          </w:tcPr>
          <w:p w14:paraId="4F6751DD" w14:textId="4D5E17B4" w:rsidR="0027262E" w:rsidRPr="00515933" w:rsidRDefault="0027262E" w:rsidP="0027262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12.2</w:t>
            </w:r>
          </w:p>
        </w:tc>
        <w:tc>
          <w:tcPr>
            <w:tcW w:w="1276" w:type="dxa"/>
            <w:tcBorders>
              <w:top w:val="nil"/>
              <w:left w:val="nil"/>
              <w:bottom w:val="single" w:sz="4" w:space="0" w:color="auto"/>
              <w:right w:val="single" w:sz="4" w:space="0" w:color="auto"/>
            </w:tcBorders>
            <w:shd w:val="clear" w:color="auto" w:fill="auto"/>
            <w:noWrap/>
            <w:vAlign w:val="center"/>
            <w:hideMark/>
          </w:tcPr>
          <w:p w14:paraId="49BC74EF" w14:textId="441B982E" w:rsidR="0027262E" w:rsidRPr="00515933" w:rsidRDefault="0027262E" w:rsidP="0027262E">
            <w:pPr>
              <w:spacing w:after="0" w:line="240" w:lineRule="auto"/>
              <w:jc w:val="center"/>
              <w:rPr>
                <w:rFonts w:ascii="Arial" w:eastAsia="Times New Roman" w:hAnsi="Arial" w:cs="Arial"/>
                <w:sz w:val="20"/>
                <w:szCs w:val="20"/>
                <w:lang w:eastAsia="es-MX"/>
              </w:rPr>
            </w:pPr>
            <w:r w:rsidRPr="00515933">
              <w:rPr>
                <w:rFonts w:ascii="Arial" w:hAnsi="Arial" w:cs="Arial"/>
                <w:color w:val="000000"/>
                <w:sz w:val="20"/>
                <w:szCs w:val="20"/>
              </w:rPr>
              <w:t>63.7</w:t>
            </w:r>
          </w:p>
        </w:tc>
        <w:tc>
          <w:tcPr>
            <w:tcW w:w="1218" w:type="dxa"/>
            <w:tcBorders>
              <w:top w:val="nil"/>
              <w:left w:val="nil"/>
              <w:bottom w:val="single" w:sz="4" w:space="0" w:color="auto"/>
              <w:right w:val="single" w:sz="4" w:space="0" w:color="auto"/>
            </w:tcBorders>
            <w:shd w:val="clear" w:color="auto" w:fill="auto"/>
            <w:noWrap/>
            <w:vAlign w:val="center"/>
            <w:hideMark/>
          </w:tcPr>
          <w:p w14:paraId="5DDED302" w14:textId="1E6787CA" w:rsidR="0027262E" w:rsidRPr="00515933" w:rsidRDefault="0027262E" w:rsidP="003A10BA">
            <w:pPr>
              <w:spacing w:after="0" w:line="240" w:lineRule="auto"/>
              <w:ind w:left="-676" w:right="367"/>
              <w:jc w:val="right"/>
              <w:rPr>
                <w:rFonts w:ascii="Arial" w:eastAsia="Times New Roman" w:hAnsi="Arial" w:cs="Arial"/>
                <w:sz w:val="20"/>
                <w:szCs w:val="20"/>
                <w:lang w:eastAsia="es-MX"/>
              </w:rPr>
            </w:pPr>
            <w:r w:rsidRPr="00515933">
              <w:rPr>
                <w:rFonts w:ascii="Arial" w:hAnsi="Arial" w:cs="Arial"/>
                <w:color w:val="000000"/>
                <w:sz w:val="20"/>
                <w:szCs w:val="20"/>
              </w:rPr>
              <w:t>17.1</w:t>
            </w:r>
          </w:p>
        </w:tc>
        <w:tc>
          <w:tcPr>
            <w:tcW w:w="1046" w:type="dxa"/>
            <w:tcBorders>
              <w:top w:val="nil"/>
              <w:left w:val="nil"/>
              <w:bottom w:val="single" w:sz="4" w:space="0" w:color="auto"/>
              <w:right w:val="single" w:sz="4" w:space="0" w:color="auto"/>
            </w:tcBorders>
            <w:shd w:val="clear" w:color="auto" w:fill="auto"/>
            <w:noWrap/>
            <w:vAlign w:val="center"/>
            <w:hideMark/>
          </w:tcPr>
          <w:p w14:paraId="4851D9EE" w14:textId="6193A055" w:rsidR="0027262E" w:rsidRPr="00515933" w:rsidRDefault="0027262E" w:rsidP="003A10BA">
            <w:pPr>
              <w:spacing w:after="0" w:line="240" w:lineRule="auto"/>
              <w:ind w:left="-507" w:right="275"/>
              <w:jc w:val="right"/>
              <w:rPr>
                <w:rFonts w:ascii="Arial" w:eastAsia="Times New Roman" w:hAnsi="Arial" w:cs="Arial"/>
                <w:sz w:val="20"/>
                <w:szCs w:val="20"/>
                <w:lang w:eastAsia="es-MX"/>
              </w:rPr>
            </w:pPr>
            <w:r w:rsidRPr="00515933">
              <w:rPr>
                <w:rFonts w:ascii="Arial" w:hAnsi="Arial" w:cs="Arial"/>
                <w:color w:val="000000"/>
                <w:sz w:val="20"/>
                <w:szCs w:val="20"/>
              </w:rPr>
              <w:t>19.2</w:t>
            </w:r>
          </w:p>
        </w:tc>
      </w:tr>
    </w:tbl>
    <w:p w14:paraId="4A6440AE" w14:textId="56C307E7" w:rsidR="00045EDC" w:rsidRDefault="00045EDC" w:rsidP="00045EDC">
      <w:pPr>
        <w:pStyle w:val="Default"/>
        <w:jc w:val="both"/>
        <w:rPr>
          <w:color w:val="auto"/>
          <w:sz w:val="16"/>
          <w:lang w:eastAsia="es-MX"/>
        </w:rPr>
      </w:pPr>
      <w:r>
        <w:rPr>
          <w:color w:val="auto"/>
          <w:sz w:val="16"/>
          <w:vertAlign w:val="superscript"/>
          <w:lang w:eastAsia="es-MX"/>
        </w:rPr>
        <w:t xml:space="preserve">p/ </w:t>
      </w:r>
      <w:r>
        <w:rPr>
          <w:color w:val="auto"/>
          <w:sz w:val="16"/>
          <w:lang w:eastAsia="es-MX"/>
        </w:rPr>
        <w:t>Cifras preliminares</w:t>
      </w:r>
    </w:p>
    <w:p w14:paraId="031238E5" w14:textId="0BC5397F" w:rsidR="00045EDC" w:rsidRPr="00BF15FB" w:rsidRDefault="00045EDC" w:rsidP="00045EDC">
      <w:pPr>
        <w:pStyle w:val="Default"/>
        <w:jc w:val="both"/>
        <w:rPr>
          <w:color w:val="auto"/>
          <w:sz w:val="16"/>
          <w:lang w:eastAsia="es-MX"/>
        </w:rPr>
      </w:pPr>
      <w:r w:rsidRPr="00BF15FB">
        <w:rPr>
          <w:color w:val="auto"/>
          <w:sz w:val="16"/>
          <w:lang w:eastAsia="es-MX"/>
        </w:rPr>
        <w:t xml:space="preserve">Fuente: </w:t>
      </w:r>
      <w:r w:rsidRPr="005430F9">
        <w:rPr>
          <w:color w:val="auto"/>
          <w:sz w:val="16"/>
          <w:lang w:eastAsia="es-MX"/>
        </w:rPr>
        <w:t>INEGI</w:t>
      </w:r>
    </w:p>
    <w:p w14:paraId="6D1D48F5" w14:textId="5F03ABA9" w:rsidR="008C0D4F" w:rsidRDefault="008C0D4F" w:rsidP="002E3518">
      <w:pPr>
        <w:pStyle w:val="Default"/>
        <w:jc w:val="both"/>
        <w:rPr>
          <w:color w:val="auto"/>
          <w:sz w:val="22"/>
          <w:lang w:eastAsia="es-MX"/>
        </w:rPr>
      </w:pPr>
    </w:p>
    <w:p w14:paraId="7FC13CA0" w14:textId="77777777" w:rsidR="00752A92" w:rsidRDefault="00752A92" w:rsidP="002A0A30">
      <w:pPr>
        <w:pStyle w:val="Default"/>
        <w:ind w:left="-567" w:right="-518"/>
        <w:jc w:val="both"/>
        <w:rPr>
          <w:color w:val="auto"/>
          <w:lang w:eastAsia="es-MX"/>
        </w:rPr>
      </w:pPr>
    </w:p>
    <w:p w14:paraId="1784DFD0" w14:textId="4F0148B1" w:rsidR="00DF5758" w:rsidRDefault="002A0A30" w:rsidP="002A0A30">
      <w:pPr>
        <w:pStyle w:val="Default"/>
        <w:ind w:left="-567" w:right="-518"/>
        <w:jc w:val="both"/>
        <w:rPr>
          <w:color w:val="auto"/>
          <w:lang w:eastAsia="es-MX"/>
        </w:rPr>
      </w:pPr>
      <w:r w:rsidRPr="005430F9">
        <w:rPr>
          <w:color w:val="auto"/>
          <w:lang w:eastAsia="es-MX"/>
        </w:rPr>
        <w:t>L</w:t>
      </w:r>
      <w:r w:rsidR="002E3518" w:rsidRPr="005430F9">
        <w:rPr>
          <w:color w:val="auto"/>
          <w:lang w:eastAsia="es-MX"/>
        </w:rPr>
        <w:t xml:space="preserve">a </w:t>
      </w:r>
      <w:r w:rsidR="002E3518" w:rsidRPr="005430F9">
        <w:rPr>
          <w:i/>
          <w:color w:val="auto"/>
          <w:lang w:eastAsia="es-MX"/>
        </w:rPr>
        <w:t>maquinaria y el equipo para la construcción</w:t>
      </w:r>
      <w:r w:rsidR="002E3518" w:rsidRPr="005430F9">
        <w:rPr>
          <w:color w:val="auto"/>
          <w:lang w:eastAsia="es-MX"/>
        </w:rPr>
        <w:t xml:space="preserve"> </w:t>
      </w:r>
      <w:r>
        <w:rPr>
          <w:color w:val="auto"/>
          <w:lang w:eastAsia="es-MX"/>
        </w:rPr>
        <w:t>fue</w:t>
      </w:r>
      <w:r w:rsidR="002E3518" w:rsidRPr="005430F9">
        <w:rPr>
          <w:color w:val="auto"/>
          <w:lang w:eastAsia="es-MX"/>
        </w:rPr>
        <w:t xml:space="preserve"> el activo </w:t>
      </w:r>
      <w:r w:rsidR="003268AA" w:rsidRPr="005430F9">
        <w:rPr>
          <w:color w:val="auto"/>
          <w:lang w:eastAsia="es-MX"/>
        </w:rPr>
        <w:t>más importante</w:t>
      </w:r>
      <w:r w:rsidR="00B164D0" w:rsidRPr="005430F9">
        <w:rPr>
          <w:color w:val="auto"/>
          <w:lang w:eastAsia="es-MX"/>
        </w:rPr>
        <w:t xml:space="preserve"> </w:t>
      </w:r>
      <w:r w:rsidR="00350BEA" w:rsidRPr="005430F9">
        <w:rPr>
          <w:color w:val="auto"/>
          <w:lang w:eastAsia="es-MX"/>
        </w:rPr>
        <w:t>de las empresas constructoras</w:t>
      </w:r>
      <w:r w:rsidR="002A16AA" w:rsidRPr="005430F9">
        <w:rPr>
          <w:color w:val="auto"/>
          <w:lang w:eastAsia="es-MX"/>
        </w:rPr>
        <w:t>.</w:t>
      </w:r>
      <w:r w:rsidR="003268AA" w:rsidRPr="005430F9">
        <w:rPr>
          <w:color w:val="auto"/>
          <w:lang w:eastAsia="es-MX"/>
        </w:rPr>
        <w:t xml:space="preserve"> </w:t>
      </w:r>
      <w:r w:rsidR="002A16AA" w:rsidRPr="005430F9">
        <w:rPr>
          <w:color w:val="auto"/>
          <w:lang w:eastAsia="es-MX"/>
        </w:rPr>
        <w:t>S</w:t>
      </w:r>
      <w:r w:rsidR="003268AA" w:rsidRPr="005430F9">
        <w:rPr>
          <w:color w:val="auto"/>
          <w:lang w:eastAsia="es-MX"/>
        </w:rPr>
        <w:t>u participación super</w:t>
      </w:r>
      <w:r>
        <w:rPr>
          <w:color w:val="auto"/>
          <w:lang w:eastAsia="es-MX"/>
        </w:rPr>
        <w:t>ó</w:t>
      </w:r>
      <w:r w:rsidR="003268AA" w:rsidRPr="005430F9">
        <w:rPr>
          <w:color w:val="auto"/>
          <w:lang w:eastAsia="es-MX"/>
        </w:rPr>
        <w:t xml:space="preserve"> más de la mitad</w:t>
      </w:r>
      <w:r w:rsidR="002E3518" w:rsidRPr="005430F9">
        <w:rPr>
          <w:color w:val="auto"/>
          <w:lang w:eastAsia="es-MX"/>
        </w:rPr>
        <w:t xml:space="preserve"> </w:t>
      </w:r>
      <w:r w:rsidR="003268AA" w:rsidRPr="005430F9">
        <w:rPr>
          <w:color w:val="auto"/>
          <w:lang w:eastAsia="es-MX"/>
        </w:rPr>
        <w:t>del total de los activos fijos en ambos periodos.</w:t>
      </w:r>
    </w:p>
    <w:p w14:paraId="23136D7D" w14:textId="333FCDF9" w:rsidR="002A0A30" w:rsidRDefault="002A0A30" w:rsidP="002A0A30">
      <w:pPr>
        <w:pStyle w:val="Default"/>
        <w:ind w:left="-567" w:right="-518"/>
        <w:jc w:val="both"/>
        <w:rPr>
          <w:color w:val="auto"/>
          <w:lang w:eastAsia="es-MX"/>
        </w:rPr>
      </w:pPr>
    </w:p>
    <w:p w14:paraId="31CD8913" w14:textId="3510598C" w:rsidR="00752A92" w:rsidRDefault="00752A92" w:rsidP="002A0A30">
      <w:pPr>
        <w:pStyle w:val="Default"/>
        <w:ind w:left="-567" w:right="-518"/>
        <w:jc w:val="both"/>
        <w:rPr>
          <w:color w:val="auto"/>
          <w:lang w:eastAsia="es-MX"/>
        </w:rPr>
      </w:pPr>
    </w:p>
    <w:p w14:paraId="2583C099" w14:textId="77777777" w:rsidR="00752A92" w:rsidRPr="005430F9" w:rsidRDefault="00752A92" w:rsidP="005430F9">
      <w:pPr>
        <w:pStyle w:val="Default"/>
        <w:ind w:left="-567" w:right="-518"/>
        <w:jc w:val="both"/>
        <w:rPr>
          <w:color w:val="auto"/>
          <w:lang w:eastAsia="es-MX"/>
        </w:rPr>
      </w:pPr>
    </w:p>
    <w:p w14:paraId="7F9C659A" w14:textId="70D2C60D" w:rsidR="00F32AD5" w:rsidRPr="005430F9" w:rsidRDefault="00F32AD5" w:rsidP="007064E2">
      <w:pPr>
        <w:pStyle w:val="Default"/>
        <w:jc w:val="center"/>
        <w:rPr>
          <w:color w:val="auto"/>
          <w:sz w:val="20"/>
          <w:szCs w:val="20"/>
          <w:lang w:eastAsia="es-MX"/>
        </w:rPr>
      </w:pPr>
      <w:r w:rsidRPr="005430F9">
        <w:rPr>
          <w:color w:val="auto"/>
          <w:sz w:val="20"/>
          <w:szCs w:val="20"/>
          <w:lang w:eastAsia="es-MX"/>
        </w:rPr>
        <w:t xml:space="preserve">Gráfica </w:t>
      </w:r>
      <w:r w:rsidR="00CD24FC" w:rsidRPr="005430F9">
        <w:rPr>
          <w:color w:val="auto"/>
          <w:sz w:val="20"/>
          <w:szCs w:val="20"/>
          <w:lang w:eastAsia="es-MX"/>
        </w:rPr>
        <w:t>5</w:t>
      </w:r>
    </w:p>
    <w:p w14:paraId="55D91306" w14:textId="70D627D3" w:rsidR="0040250E" w:rsidRPr="005268AA" w:rsidRDefault="00573DAD">
      <w:pPr>
        <w:pStyle w:val="Default"/>
        <w:jc w:val="center"/>
        <w:rPr>
          <w:rFonts w:ascii="Arial Negrita" w:hAnsi="Arial Negrita"/>
          <w:b/>
          <w:smallCaps/>
          <w:color w:val="auto"/>
          <w:sz w:val="22"/>
          <w:szCs w:val="22"/>
          <w:lang w:eastAsia="es-MX"/>
        </w:rPr>
      </w:pPr>
      <w:r w:rsidRPr="004B1724">
        <w:rPr>
          <w:rFonts w:ascii="Arial Negrita" w:hAnsi="Arial Negrita"/>
          <w:smallCaps/>
          <w:noProof/>
          <w:sz w:val="22"/>
          <w:szCs w:val="22"/>
        </w:rPr>
        <w:drawing>
          <wp:anchor distT="0" distB="0" distL="114300" distR="114300" simplePos="0" relativeHeight="251667456" behindDoc="0" locked="0" layoutInCell="1" allowOverlap="1" wp14:anchorId="40902CA6" wp14:editId="2F94D315">
            <wp:simplePos x="0" y="0"/>
            <wp:positionH relativeFrom="margin">
              <wp:posOffset>0</wp:posOffset>
            </wp:positionH>
            <wp:positionV relativeFrom="paragraph">
              <wp:posOffset>266065</wp:posOffset>
            </wp:positionV>
            <wp:extent cx="5612130" cy="2249805"/>
            <wp:effectExtent l="0" t="0" r="7620" b="0"/>
            <wp:wrapSquare wrapText="bothSides"/>
            <wp:docPr id="17" name="Gráfico 17">
              <a:extLst xmlns:a="http://schemas.openxmlformats.org/drawingml/2006/main">
                <a:ext uri="{FF2B5EF4-FFF2-40B4-BE49-F238E27FC236}">
                  <a16:creationId xmlns:a16="http://schemas.microsoft.com/office/drawing/2014/main" id="{DE7980CE-E33F-47CD-A9DE-9F362506AB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r w:rsidR="002A0A30" w:rsidRPr="005268AA">
        <w:rPr>
          <w:rFonts w:ascii="Arial Negrita" w:hAnsi="Arial Negrita"/>
          <w:b/>
          <w:smallCaps/>
          <w:color w:val="auto"/>
          <w:sz w:val="22"/>
          <w:szCs w:val="22"/>
          <w:lang w:eastAsia="es-MX"/>
        </w:rPr>
        <w:t>A</w:t>
      </w:r>
      <w:r w:rsidR="00F32AD5" w:rsidRPr="004B1724">
        <w:rPr>
          <w:rFonts w:ascii="Arial Negrita" w:hAnsi="Arial Negrita"/>
          <w:b/>
          <w:smallCaps/>
          <w:sz w:val="22"/>
          <w:szCs w:val="22"/>
          <w:lang w:eastAsia="es-MX"/>
        </w:rPr>
        <w:t>ctivos fijos totales</w:t>
      </w:r>
      <w:r w:rsidR="003423D6" w:rsidRPr="004B1724">
        <w:rPr>
          <w:rFonts w:ascii="Arial Negrita" w:hAnsi="Arial Negrita"/>
          <w:b/>
          <w:smallCaps/>
          <w:sz w:val="22"/>
          <w:szCs w:val="22"/>
          <w:lang w:eastAsia="es-MX"/>
        </w:rPr>
        <w:t xml:space="preserve"> de las empresas constructoras</w:t>
      </w:r>
      <w:r w:rsidR="00F32AD5" w:rsidRPr="004B1724">
        <w:rPr>
          <w:rFonts w:ascii="Arial Negrita" w:hAnsi="Arial Negrita"/>
          <w:b/>
          <w:smallCaps/>
          <w:sz w:val="22"/>
          <w:szCs w:val="22"/>
          <w:lang w:eastAsia="es-MX"/>
        </w:rPr>
        <w:t xml:space="preserve"> </w:t>
      </w:r>
      <w:r w:rsidR="002A0A30" w:rsidRPr="005268AA">
        <w:rPr>
          <w:rFonts w:ascii="Arial Negrita" w:hAnsi="Arial Negrita"/>
          <w:b/>
          <w:smallCaps/>
          <w:color w:val="auto"/>
          <w:sz w:val="22"/>
          <w:szCs w:val="22"/>
          <w:lang w:eastAsia="es-MX"/>
        </w:rPr>
        <w:t>según</w:t>
      </w:r>
      <w:r w:rsidR="003423D6" w:rsidRPr="005268AA">
        <w:rPr>
          <w:rFonts w:ascii="Arial Negrita" w:hAnsi="Arial Negrita"/>
          <w:b/>
          <w:smallCaps/>
          <w:color w:val="auto"/>
          <w:sz w:val="22"/>
          <w:szCs w:val="22"/>
          <w:lang w:eastAsia="es-MX"/>
        </w:rPr>
        <w:t xml:space="preserve"> tipo de activo</w:t>
      </w:r>
    </w:p>
    <w:p w14:paraId="651BF45D" w14:textId="7A1A9E94" w:rsidR="00F32AD5" w:rsidRDefault="00B14B1C" w:rsidP="00037E53">
      <w:pPr>
        <w:pStyle w:val="Default"/>
        <w:ind w:left="142"/>
        <w:jc w:val="both"/>
        <w:rPr>
          <w:color w:val="auto"/>
          <w:sz w:val="16"/>
          <w:lang w:eastAsia="es-MX"/>
        </w:rPr>
      </w:pPr>
      <w:r>
        <w:rPr>
          <w:color w:val="auto"/>
          <w:sz w:val="16"/>
          <w:vertAlign w:val="superscript"/>
          <w:lang w:eastAsia="es-MX"/>
        </w:rPr>
        <w:t>p</w:t>
      </w:r>
      <w:r w:rsidR="00F32AD5">
        <w:rPr>
          <w:color w:val="auto"/>
          <w:sz w:val="16"/>
          <w:vertAlign w:val="superscript"/>
          <w:lang w:eastAsia="es-MX"/>
        </w:rPr>
        <w:t>/</w:t>
      </w:r>
      <w:r w:rsidR="00AD1DD3">
        <w:rPr>
          <w:color w:val="auto"/>
          <w:sz w:val="16"/>
          <w:vertAlign w:val="superscript"/>
          <w:lang w:eastAsia="es-MX"/>
        </w:rPr>
        <w:t xml:space="preserve"> </w:t>
      </w:r>
      <w:r w:rsidR="00F32AD5">
        <w:rPr>
          <w:color w:val="auto"/>
          <w:sz w:val="16"/>
          <w:lang w:eastAsia="es-MX"/>
        </w:rPr>
        <w:t xml:space="preserve">Cifras preliminares </w:t>
      </w:r>
    </w:p>
    <w:p w14:paraId="7C7A7F02" w14:textId="5DE04FE6" w:rsidR="00F32AD5" w:rsidRDefault="00F32AD5" w:rsidP="00037E53">
      <w:pPr>
        <w:pStyle w:val="Default"/>
        <w:ind w:left="142"/>
        <w:jc w:val="both"/>
        <w:rPr>
          <w:b/>
          <w:color w:val="auto"/>
          <w:sz w:val="16"/>
          <w:lang w:eastAsia="es-MX"/>
        </w:rPr>
      </w:pPr>
      <w:r w:rsidRPr="00BF15FB">
        <w:rPr>
          <w:color w:val="auto"/>
          <w:sz w:val="16"/>
          <w:lang w:eastAsia="es-MX"/>
        </w:rPr>
        <w:t>Fuente</w:t>
      </w:r>
      <w:r w:rsidRPr="002A0A30">
        <w:rPr>
          <w:color w:val="auto"/>
          <w:sz w:val="16"/>
          <w:lang w:eastAsia="es-MX"/>
        </w:rPr>
        <w:t xml:space="preserve">: </w:t>
      </w:r>
      <w:r w:rsidRPr="005430F9">
        <w:rPr>
          <w:color w:val="auto"/>
          <w:sz w:val="16"/>
          <w:lang w:eastAsia="es-MX"/>
        </w:rPr>
        <w:t>INEGI</w:t>
      </w:r>
    </w:p>
    <w:p w14:paraId="0691CC5E" w14:textId="10FB2342" w:rsidR="00F573F7" w:rsidRDefault="00F573F7" w:rsidP="00350BEA">
      <w:pPr>
        <w:pStyle w:val="Default"/>
        <w:jc w:val="both"/>
        <w:rPr>
          <w:color w:val="auto"/>
          <w:sz w:val="22"/>
          <w:szCs w:val="22"/>
          <w:lang w:eastAsia="es-MX"/>
        </w:rPr>
      </w:pPr>
    </w:p>
    <w:p w14:paraId="51391F6E" w14:textId="4ABD3A07" w:rsidR="002A0A30" w:rsidRDefault="002A0A30" w:rsidP="002A0A30">
      <w:pPr>
        <w:pStyle w:val="Default"/>
        <w:ind w:left="-567" w:right="-518"/>
        <w:jc w:val="both"/>
        <w:rPr>
          <w:color w:val="auto"/>
          <w:lang w:eastAsia="es-MX"/>
        </w:rPr>
      </w:pPr>
    </w:p>
    <w:p w14:paraId="52862E81" w14:textId="223B1FA1" w:rsidR="00350BEA" w:rsidRPr="005430F9" w:rsidRDefault="00350BEA" w:rsidP="005430F9">
      <w:pPr>
        <w:pStyle w:val="Default"/>
        <w:ind w:left="-567" w:right="-518"/>
        <w:jc w:val="both"/>
        <w:rPr>
          <w:color w:val="auto"/>
          <w:lang w:eastAsia="es-MX"/>
        </w:rPr>
      </w:pPr>
      <w:r w:rsidRPr="005430F9">
        <w:rPr>
          <w:color w:val="auto"/>
          <w:lang w:eastAsia="es-MX"/>
        </w:rPr>
        <w:t xml:space="preserve">En cuanto a variables de carácter cualitativo que provee la EAEC, se dispone de información referente al </w:t>
      </w:r>
      <w:r w:rsidR="00F573F7" w:rsidRPr="005430F9">
        <w:rPr>
          <w:color w:val="auto"/>
          <w:lang w:eastAsia="es-MX"/>
        </w:rPr>
        <w:t>nivel de estudios</w:t>
      </w:r>
      <w:r w:rsidRPr="005430F9">
        <w:rPr>
          <w:color w:val="auto"/>
          <w:lang w:eastAsia="es-MX"/>
        </w:rPr>
        <w:t xml:space="preserve"> del personal ocupado. </w:t>
      </w:r>
    </w:p>
    <w:p w14:paraId="00B2EB14" w14:textId="77777777" w:rsidR="00E508D2" w:rsidRPr="005430F9" w:rsidRDefault="00E508D2" w:rsidP="005430F9">
      <w:pPr>
        <w:pStyle w:val="Default"/>
        <w:ind w:left="-567" w:right="-518"/>
        <w:jc w:val="both"/>
        <w:rPr>
          <w:color w:val="auto"/>
          <w:lang w:eastAsia="es-MX"/>
        </w:rPr>
      </w:pPr>
    </w:p>
    <w:p w14:paraId="7B23479D" w14:textId="2A021E1A" w:rsidR="005F4CDA" w:rsidRPr="005430F9" w:rsidRDefault="00F573F7" w:rsidP="005430F9">
      <w:pPr>
        <w:pStyle w:val="Default"/>
        <w:ind w:left="-567" w:right="-518"/>
        <w:jc w:val="both"/>
        <w:rPr>
          <w:color w:val="auto"/>
          <w:lang w:eastAsia="es-MX"/>
        </w:rPr>
      </w:pPr>
      <w:r w:rsidRPr="005430F9">
        <w:rPr>
          <w:color w:val="auto"/>
          <w:lang w:eastAsia="es-MX"/>
        </w:rPr>
        <w:t>D</w:t>
      </w:r>
      <w:r w:rsidR="00E508D2" w:rsidRPr="005430F9">
        <w:rPr>
          <w:color w:val="auto"/>
          <w:lang w:eastAsia="es-MX"/>
        </w:rPr>
        <w:t>urante 202</w:t>
      </w:r>
      <w:r w:rsidR="00B8277A" w:rsidRPr="005430F9">
        <w:rPr>
          <w:color w:val="auto"/>
          <w:lang w:eastAsia="es-MX"/>
        </w:rPr>
        <w:t>1</w:t>
      </w:r>
      <w:r w:rsidR="002A0A30">
        <w:rPr>
          <w:color w:val="auto"/>
          <w:lang w:eastAsia="es-MX"/>
        </w:rPr>
        <w:t>,</w:t>
      </w:r>
      <w:r w:rsidR="00C5236B" w:rsidRPr="005430F9">
        <w:rPr>
          <w:color w:val="auto"/>
          <w:lang w:eastAsia="es-MX"/>
        </w:rPr>
        <w:t xml:space="preserve"> </w:t>
      </w:r>
      <w:r w:rsidR="00E508D2" w:rsidRPr="005430F9">
        <w:rPr>
          <w:color w:val="auto"/>
          <w:lang w:eastAsia="es-MX"/>
        </w:rPr>
        <w:t>en comparación con el año anterior, increment</w:t>
      </w:r>
      <w:r w:rsidR="002A0A30">
        <w:rPr>
          <w:color w:val="auto"/>
          <w:lang w:eastAsia="es-MX"/>
        </w:rPr>
        <w:t>ó</w:t>
      </w:r>
      <w:r w:rsidR="00E508D2" w:rsidRPr="005430F9">
        <w:rPr>
          <w:color w:val="auto"/>
          <w:lang w:eastAsia="es-MX"/>
        </w:rPr>
        <w:t xml:space="preserve"> la participación del personal ocupado </w:t>
      </w:r>
      <w:r w:rsidR="005F4CDA" w:rsidRPr="005430F9">
        <w:rPr>
          <w:i/>
          <w:color w:val="auto"/>
          <w:lang w:eastAsia="es-MX"/>
        </w:rPr>
        <w:t>sin instrucción</w:t>
      </w:r>
      <w:r w:rsidR="00E508D2" w:rsidRPr="005430F9">
        <w:rPr>
          <w:color w:val="auto"/>
          <w:lang w:eastAsia="es-MX"/>
        </w:rPr>
        <w:t xml:space="preserve">: </w:t>
      </w:r>
      <w:r w:rsidR="005268AA">
        <w:rPr>
          <w:color w:val="auto"/>
          <w:lang w:eastAsia="es-MX"/>
        </w:rPr>
        <w:t xml:space="preserve">los </w:t>
      </w:r>
      <w:r w:rsidR="00E508D2" w:rsidRPr="005430F9">
        <w:rPr>
          <w:color w:val="auto"/>
          <w:lang w:eastAsia="es-MX"/>
        </w:rPr>
        <w:t>hombres</w:t>
      </w:r>
      <w:r w:rsidR="005268AA">
        <w:rPr>
          <w:color w:val="auto"/>
          <w:lang w:eastAsia="es-MX"/>
        </w:rPr>
        <w:t xml:space="preserve"> representaron</w:t>
      </w:r>
      <w:r w:rsidR="00E508D2" w:rsidRPr="005430F9">
        <w:rPr>
          <w:color w:val="auto"/>
          <w:lang w:eastAsia="es-MX"/>
        </w:rPr>
        <w:t xml:space="preserve"> </w:t>
      </w:r>
      <w:r w:rsidR="00B8277A" w:rsidRPr="005430F9">
        <w:rPr>
          <w:color w:val="auto"/>
          <w:lang w:eastAsia="es-MX"/>
        </w:rPr>
        <w:t>0.5</w:t>
      </w:r>
      <w:r w:rsidR="002A0A30">
        <w:rPr>
          <w:color w:val="auto"/>
          <w:lang w:eastAsia="es-MX"/>
        </w:rPr>
        <w:t xml:space="preserve"> </w:t>
      </w:r>
      <w:r w:rsidR="00E508D2" w:rsidRPr="005430F9">
        <w:rPr>
          <w:color w:val="auto"/>
          <w:lang w:eastAsia="es-MX"/>
        </w:rPr>
        <w:t>% y</w:t>
      </w:r>
      <w:r w:rsidR="005268AA">
        <w:rPr>
          <w:color w:val="auto"/>
          <w:lang w:eastAsia="es-MX"/>
        </w:rPr>
        <w:t xml:space="preserve"> las</w:t>
      </w:r>
      <w:r w:rsidR="00E508D2" w:rsidRPr="005430F9">
        <w:rPr>
          <w:color w:val="auto"/>
          <w:lang w:eastAsia="es-MX"/>
        </w:rPr>
        <w:t xml:space="preserve"> mujeres</w:t>
      </w:r>
      <w:r w:rsidR="005268AA">
        <w:rPr>
          <w:color w:val="auto"/>
          <w:lang w:eastAsia="es-MX"/>
        </w:rPr>
        <w:t xml:space="preserve">, </w:t>
      </w:r>
      <w:r w:rsidR="00B8277A" w:rsidRPr="005430F9">
        <w:rPr>
          <w:color w:val="auto"/>
          <w:lang w:eastAsia="es-MX"/>
        </w:rPr>
        <w:t>1.9</w:t>
      </w:r>
      <w:r w:rsidR="002A0A30">
        <w:rPr>
          <w:color w:val="auto"/>
          <w:lang w:eastAsia="es-MX"/>
        </w:rPr>
        <w:t xml:space="preserve"> por ciento. </w:t>
      </w:r>
      <w:r w:rsidR="005268AA">
        <w:rPr>
          <w:color w:val="auto"/>
          <w:lang w:eastAsia="es-MX"/>
        </w:rPr>
        <w:t xml:space="preserve">La cantidad de </w:t>
      </w:r>
      <w:r w:rsidR="005F4CDA" w:rsidRPr="005430F9">
        <w:rPr>
          <w:color w:val="auto"/>
          <w:lang w:eastAsia="es-MX"/>
        </w:rPr>
        <w:t>hombres</w:t>
      </w:r>
      <w:r w:rsidRPr="005430F9">
        <w:rPr>
          <w:color w:val="auto"/>
          <w:lang w:eastAsia="es-MX"/>
        </w:rPr>
        <w:t xml:space="preserve"> con </w:t>
      </w:r>
      <w:r w:rsidRPr="005430F9">
        <w:rPr>
          <w:i/>
          <w:color w:val="auto"/>
          <w:lang w:eastAsia="es-MX"/>
        </w:rPr>
        <w:t>educación básica</w:t>
      </w:r>
      <w:r w:rsidR="005F4CDA" w:rsidRPr="005430F9">
        <w:rPr>
          <w:color w:val="auto"/>
          <w:lang w:eastAsia="es-MX"/>
        </w:rPr>
        <w:t xml:space="preserve"> disminuy</w:t>
      </w:r>
      <w:r w:rsidR="005268AA">
        <w:rPr>
          <w:color w:val="auto"/>
          <w:lang w:eastAsia="es-MX"/>
        </w:rPr>
        <w:t>ó</w:t>
      </w:r>
      <w:r w:rsidR="005F4CDA" w:rsidRPr="005430F9">
        <w:rPr>
          <w:color w:val="auto"/>
          <w:lang w:eastAsia="es-MX"/>
        </w:rPr>
        <w:t xml:space="preserve"> 1.9</w:t>
      </w:r>
      <w:r w:rsidR="002A0A30">
        <w:rPr>
          <w:color w:val="auto"/>
          <w:lang w:eastAsia="es-MX"/>
        </w:rPr>
        <w:t xml:space="preserve"> </w:t>
      </w:r>
      <w:r w:rsidR="005F4CDA" w:rsidRPr="005430F9">
        <w:rPr>
          <w:color w:val="auto"/>
          <w:lang w:eastAsia="es-MX"/>
        </w:rPr>
        <w:t>% en contraste con el aumento en mujeres</w:t>
      </w:r>
      <w:r w:rsidR="005268AA">
        <w:rPr>
          <w:color w:val="auto"/>
          <w:lang w:eastAsia="es-MX"/>
        </w:rPr>
        <w:t>, que fue</w:t>
      </w:r>
      <w:r w:rsidR="005F4CDA" w:rsidRPr="005430F9">
        <w:rPr>
          <w:color w:val="auto"/>
          <w:lang w:eastAsia="es-MX"/>
        </w:rPr>
        <w:t xml:space="preserve"> de 1.1</w:t>
      </w:r>
      <w:r w:rsidR="002A0A30">
        <w:rPr>
          <w:color w:val="auto"/>
          <w:lang w:eastAsia="es-MX"/>
        </w:rPr>
        <w:t xml:space="preserve"> por ciento. C</w:t>
      </w:r>
      <w:r w:rsidR="005F4CDA" w:rsidRPr="005430F9">
        <w:rPr>
          <w:color w:val="auto"/>
          <w:lang w:eastAsia="es-MX"/>
        </w:rPr>
        <w:t xml:space="preserve">on respecto </w:t>
      </w:r>
      <w:r w:rsidR="00483F92">
        <w:rPr>
          <w:color w:val="auto"/>
          <w:lang w:eastAsia="es-MX"/>
        </w:rPr>
        <w:t xml:space="preserve">a </w:t>
      </w:r>
      <w:r w:rsidR="007628E0" w:rsidRPr="005430F9">
        <w:rPr>
          <w:color w:val="auto"/>
          <w:lang w:eastAsia="es-MX"/>
        </w:rPr>
        <w:t xml:space="preserve">hombres con </w:t>
      </w:r>
      <w:r w:rsidR="007628E0" w:rsidRPr="005430F9">
        <w:rPr>
          <w:i/>
          <w:color w:val="auto"/>
          <w:lang w:eastAsia="es-MX"/>
        </w:rPr>
        <w:t>educación media superior</w:t>
      </w:r>
      <w:r w:rsidR="007628E0" w:rsidRPr="005430F9">
        <w:rPr>
          <w:color w:val="auto"/>
          <w:lang w:eastAsia="es-MX"/>
        </w:rPr>
        <w:t xml:space="preserve"> y </w:t>
      </w:r>
      <w:r w:rsidR="007628E0" w:rsidRPr="005430F9">
        <w:rPr>
          <w:i/>
          <w:color w:val="auto"/>
          <w:lang w:eastAsia="es-MX"/>
        </w:rPr>
        <w:t>educación superior</w:t>
      </w:r>
      <w:r w:rsidR="007628E0" w:rsidRPr="005430F9">
        <w:rPr>
          <w:color w:val="auto"/>
          <w:lang w:eastAsia="es-MX"/>
        </w:rPr>
        <w:t xml:space="preserve">, </w:t>
      </w:r>
      <w:r w:rsidR="005F4CDA" w:rsidRPr="005430F9">
        <w:rPr>
          <w:color w:val="auto"/>
          <w:lang w:eastAsia="es-MX"/>
        </w:rPr>
        <w:t>se registra</w:t>
      </w:r>
      <w:r w:rsidR="002A0A30">
        <w:rPr>
          <w:color w:val="auto"/>
          <w:lang w:eastAsia="es-MX"/>
        </w:rPr>
        <w:t>ro</w:t>
      </w:r>
      <w:r w:rsidR="005F4CDA" w:rsidRPr="005430F9">
        <w:rPr>
          <w:color w:val="auto"/>
          <w:lang w:eastAsia="es-MX"/>
        </w:rPr>
        <w:t>n aumentos de 0.1 y 1.4</w:t>
      </w:r>
      <w:r w:rsidR="002A0A30">
        <w:rPr>
          <w:color w:val="auto"/>
          <w:lang w:eastAsia="es-MX"/>
        </w:rPr>
        <w:t xml:space="preserve"> </w:t>
      </w:r>
      <w:r w:rsidR="005F4CDA" w:rsidRPr="005430F9">
        <w:rPr>
          <w:color w:val="auto"/>
          <w:lang w:eastAsia="es-MX"/>
        </w:rPr>
        <w:t>%</w:t>
      </w:r>
      <w:r w:rsidR="007628E0" w:rsidRPr="005430F9">
        <w:rPr>
          <w:color w:val="auto"/>
          <w:lang w:eastAsia="es-MX"/>
        </w:rPr>
        <w:t>, respectivamente</w:t>
      </w:r>
      <w:r w:rsidR="005268AA">
        <w:rPr>
          <w:color w:val="auto"/>
          <w:lang w:eastAsia="es-MX"/>
        </w:rPr>
        <w:t xml:space="preserve">. </w:t>
      </w:r>
      <w:r w:rsidR="00E168E6">
        <w:rPr>
          <w:color w:val="auto"/>
          <w:lang w:eastAsia="es-MX"/>
        </w:rPr>
        <w:t xml:space="preserve">El porcentaje de mujeres con </w:t>
      </w:r>
      <w:r w:rsidR="00E168E6" w:rsidRPr="00E168E6">
        <w:rPr>
          <w:i/>
          <w:color w:val="auto"/>
          <w:lang w:eastAsia="es-MX"/>
        </w:rPr>
        <w:t>educación media superior</w:t>
      </w:r>
      <w:r w:rsidR="00E168E6">
        <w:rPr>
          <w:color w:val="auto"/>
          <w:lang w:eastAsia="es-MX"/>
        </w:rPr>
        <w:t xml:space="preserve">  disminuyó 0.8 % y el de </w:t>
      </w:r>
      <w:r w:rsidR="00E168E6" w:rsidRPr="00E168E6">
        <w:rPr>
          <w:i/>
          <w:color w:val="auto"/>
          <w:lang w:eastAsia="es-MX"/>
        </w:rPr>
        <w:t>educación superior</w:t>
      </w:r>
      <w:r w:rsidR="00E168E6">
        <w:rPr>
          <w:color w:val="auto"/>
          <w:lang w:eastAsia="es-MX"/>
        </w:rPr>
        <w:t>, 2.1 por ciento</w:t>
      </w:r>
      <w:r w:rsidR="005F4CDA" w:rsidRPr="005430F9">
        <w:rPr>
          <w:color w:val="auto"/>
          <w:lang w:eastAsia="es-MX"/>
        </w:rPr>
        <w:t>.</w:t>
      </w:r>
    </w:p>
    <w:p w14:paraId="01ACC56F" w14:textId="77777777" w:rsidR="005F4CDA" w:rsidRDefault="005F4CDA" w:rsidP="00E508D2">
      <w:pPr>
        <w:pStyle w:val="Default"/>
        <w:jc w:val="center"/>
        <w:rPr>
          <w:b/>
          <w:color w:val="auto"/>
          <w:sz w:val="22"/>
          <w:lang w:eastAsia="es-MX"/>
        </w:rPr>
      </w:pPr>
    </w:p>
    <w:p w14:paraId="637BFC66" w14:textId="42D1B22A" w:rsidR="00E508D2" w:rsidRPr="005430F9" w:rsidRDefault="00E508D2" w:rsidP="00E508D2">
      <w:pPr>
        <w:pStyle w:val="Default"/>
        <w:jc w:val="center"/>
        <w:rPr>
          <w:color w:val="auto"/>
          <w:sz w:val="20"/>
          <w:szCs w:val="20"/>
          <w:lang w:eastAsia="es-MX"/>
        </w:rPr>
      </w:pPr>
      <w:r w:rsidRPr="005430F9">
        <w:rPr>
          <w:color w:val="auto"/>
          <w:sz w:val="20"/>
          <w:szCs w:val="20"/>
          <w:lang w:eastAsia="es-MX"/>
        </w:rPr>
        <w:t>Cuadro 7</w:t>
      </w:r>
    </w:p>
    <w:p w14:paraId="268EAE39" w14:textId="18940CFE" w:rsidR="00E508D2" w:rsidRPr="005268AA" w:rsidRDefault="00F85500" w:rsidP="00E508D2">
      <w:pPr>
        <w:pStyle w:val="Default"/>
        <w:jc w:val="center"/>
        <w:rPr>
          <w:rFonts w:ascii="Arial Negrita" w:hAnsi="Arial Negrita"/>
          <w:b/>
          <w:smallCaps/>
          <w:color w:val="auto"/>
          <w:sz w:val="22"/>
          <w:szCs w:val="22"/>
          <w:lang w:eastAsia="es-MX"/>
        </w:rPr>
      </w:pPr>
      <w:r w:rsidRPr="005268AA">
        <w:rPr>
          <w:rFonts w:ascii="Arial Negrita" w:hAnsi="Arial Negrita"/>
          <w:b/>
          <w:smallCaps/>
          <w:color w:val="auto"/>
          <w:sz w:val="22"/>
          <w:szCs w:val="22"/>
          <w:lang w:eastAsia="es-MX"/>
        </w:rPr>
        <w:t>P</w:t>
      </w:r>
      <w:r w:rsidR="00E508D2" w:rsidRPr="005268AA">
        <w:rPr>
          <w:rFonts w:ascii="Arial Negrita" w:hAnsi="Arial Negrita"/>
          <w:b/>
          <w:smallCaps/>
          <w:color w:val="auto"/>
          <w:sz w:val="22"/>
          <w:szCs w:val="22"/>
          <w:lang w:eastAsia="es-MX"/>
        </w:rPr>
        <w:t xml:space="preserve">ersonal ocupado dependiente de la razón social de las empresas constructoras </w:t>
      </w:r>
      <w:r w:rsidRPr="005268AA">
        <w:rPr>
          <w:rFonts w:ascii="Arial Negrita" w:hAnsi="Arial Negrita"/>
          <w:b/>
          <w:smallCaps/>
          <w:color w:val="auto"/>
          <w:sz w:val="22"/>
          <w:szCs w:val="22"/>
          <w:lang w:eastAsia="es-MX"/>
        </w:rPr>
        <w:t xml:space="preserve">según </w:t>
      </w:r>
      <w:r w:rsidR="00E508D2" w:rsidRPr="005268AA">
        <w:rPr>
          <w:rFonts w:ascii="Arial Negrita" w:hAnsi="Arial Negrita"/>
          <w:b/>
          <w:smallCaps/>
          <w:color w:val="auto"/>
          <w:sz w:val="22"/>
          <w:szCs w:val="22"/>
          <w:lang w:eastAsia="es-MX"/>
        </w:rPr>
        <w:t xml:space="preserve">sexo </w:t>
      </w:r>
      <w:r w:rsidRPr="005268AA">
        <w:rPr>
          <w:rFonts w:ascii="Arial Negrita" w:hAnsi="Arial Negrita"/>
          <w:b/>
          <w:smallCaps/>
          <w:color w:val="auto"/>
          <w:sz w:val="22"/>
          <w:szCs w:val="22"/>
          <w:lang w:eastAsia="es-MX"/>
        </w:rPr>
        <w:t>y</w:t>
      </w:r>
      <w:r w:rsidR="00E508D2" w:rsidRPr="005268AA">
        <w:rPr>
          <w:rFonts w:ascii="Arial Negrita" w:hAnsi="Arial Negrita"/>
          <w:b/>
          <w:smallCaps/>
          <w:color w:val="auto"/>
          <w:sz w:val="22"/>
          <w:szCs w:val="22"/>
          <w:lang w:eastAsia="es-MX"/>
        </w:rPr>
        <w:t xml:space="preserve"> nivel de estudios</w:t>
      </w:r>
    </w:p>
    <w:p w14:paraId="7B254930" w14:textId="0E9D735A" w:rsidR="003408EC" w:rsidRPr="005430F9" w:rsidRDefault="00E508D2" w:rsidP="00E508D2">
      <w:pPr>
        <w:pStyle w:val="Default"/>
        <w:jc w:val="center"/>
        <w:rPr>
          <w:bCs/>
          <w:sz w:val="18"/>
          <w:szCs w:val="18"/>
        </w:rPr>
      </w:pPr>
      <w:r w:rsidRPr="005430F9">
        <w:rPr>
          <w:color w:val="auto"/>
          <w:sz w:val="18"/>
          <w:szCs w:val="18"/>
          <w:lang w:eastAsia="es-MX"/>
        </w:rPr>
        <w:t>(Porcentaje)</w:t>
      </w:r>
    </w:p>
    <w:tbl>
      <w:tblPr>
        <w:tblW w:w="8968" w:type="dxa"/>
        <w:tblCellMar>
          <w:left w:w="70" w:type="dxa"/>
          <w:right w:w="70" w:type="dxa"/>
        </w:tblCellMar>
        <w:tblLook w:val="04A0" w:firstRow="1" w:lastRow="0" w:firstColumn="1" w:lastColumn="0" w:noHBand="0" w:noVBand="1"/>
      </w:tblPr>
      <w:tblGrid>
        <w:gridCol w:w="3416"/>
        <w:gridCol w:w="1027"/>
        <w:gridCol w:w="896"/>
        <w:gridCol w:w="1046"/>
        <w:gridCol w:w="896"/>
        <w:gridCol w:w="1007"/>
        <w:gridCol w:w="896"/>
      </w:tblGrid>
      <w:tr w:rsidR="00E508D2" w:rsidRPr="0098390A" w14:paraId="631A6B38" w14:textId="77777777" w:rsidTr="00E763E3">
        <w:trPr>
          <w:trHeight w:val="345"/>
        </w:trPr>
        <w:tc>
          <w:tcPr>
            <w:tcW w:w="3416" w:type="dxa"/>
            <w:vMerge w:val="restart"/>
            <w:tcBorders>
              <w:top w:val="single" w:sz="4" w:space="0" w:color="auto"/>
              <w:left w:val="single" w:sz="4" w:space="0" w:color="auto"/>
              <w:bottom w:val="single" w:sz="4" w:space="0" w:color="auto"/>
              <w:right w:val="single" w:sz="4" w:space="0" w:color="auto"/>
            </w:tcBorders>
            <w:shd w:val="clear" w:color="auto" w:fill="FFB13F"/>
            <w:noWrap/>
            <w:vAlign w:val="center"/>
            <w:hideMark/>
          </w:tcPr>
          <w:p w14:paraId="085C36AA" w14:textId="77777777" w:rsidR="00E508D2" w:rsidRPr="00C5236B" w:rsidRDefault="00E508D2" w:rsidP="003B6BF6">
            <w:pPr>
              <w:spacing w:after="0" w:line="240" w:lineRule="auto"/>
              <w:jc w:val="center"/>
              <w:rPr>
                <w:rFonts w:ascii="Arial" w:eastAsia="Times New Roman" w:hAnsi="Arial" w:cs="Arial"/>
                <w:b/>
                <w:bCs/>
                <w:sz w:val="20"/>
                <w:szCs w:val="20"/>
                <w:lang w:eastAsia="es-MX"/>
              </w:rPr>
            </w:pPr>
            <w:r w:rsidRPr="00C5236B">
              <w:rPr>
                <w:rFonts w:ascii="Arial" w:eastAsia="Times New Roman" w:hAnsi="Arial" w:cs="Arial"/>
                <w:b/>
                <w:bCs/>
                <w:sz w:val="20"/>
                <w:szCs w:val="20"/>
                <w:lang w:eastAsia="es-MX"/>
              </w:rPr>
              <w:t>Nivel de estudios</w:t>
            </w:r>
          </w:p>
        </w:tc>
        <w:tc>
          <w:tcPr>
            <w:tcW w:w="1902" w:type="dxa"/>
            <w:gridSpan w:val="2"/>
            <w:tcBorders>
              <w:top w:val="single" w:sz="4" w:space="0" w:color="auto"/>
              <w:left w:val="nil"/>
              <w:bottom w:val="single" w:sz="4" w:space="0" w:color="auto"/>
              <w:right w:val="single" w:sz="4" w:space="0" w:color="auto"/>
            </w:tcBorders>
            <w:shd w:val="clear" w:color="auto" w:fill="FFB13F"/>
            <w:noWrap/>
            <w:vAlign w:val="center"/>
            <w:hideMark/>
          </w:tcPr>
          <w:p w14:paraId="54A9BC3F" w14:textId="392566AC" w:rsidR="00E508D2" w:rsidRPr="00C5236B" w:rsidRDefault="00E508D2" w:rsidP="003B6BF6">
            <w:pPr>
              <w:spacing w:after="0" w:line="240" w:lineRule="auto"/>
              <w:jc w:val="center"/>
              <w:rPr>
                <w:rFonts w:ascii="Arial" w:eastAsia="Times New Roman" w:hAnsi="Arial" w:cs="Arial"/>
                <w:b/>
                <w:bCs/>
                <w:sz w:val="20"/>
                <w:szCs w:val="20"/>
                <w:lang w:eastAsia="es-MX"/>
              </w:rPr>
            </w:pPr>
            <w:r w:rsidRPr="00C5236B">
              <w:rPr>
                <w:rFonts w:ascii="Arial" w:eastAsia="Times New Roman" w:hAnsi="Arial" w:cs="Arial"/>
                <w:b/>
                <w:bCs/>
                <w:sz w:val="20"/>
                <w:szCs w:val="20"/>
                <w:lang w:eastAsia="es-MX"/>
              </w:rPr>
              <w:t>20</w:t>
            </w:r>
            <w:r w:rsidR="0005754C" w:rsidRPr="00C5236B">
              <w:rPr>
                <w:rFonts w:ascii="Arial" w:eastAsia="Times New Roman" w:hAnsi="Arial" w:cs="Arial"/>
                <w:b/>
                <w:bCs/>
                <w:sz w:val="20"/>
                <w:szCs w:val="20"/>
                <w:lang w:eastAsia="es-MX"/>
              </w:rPr>
              <w:t>20</w:t>
            </w:r>
          </w:p>
        </w:tc>
        <w:tc>
          <w:tcPr>
            <w:tcW w:w="1880" w:type="dxa"/>
            <w:gridSpan w:val="2"/>
            <w:tcBorders>
              <w:top w:val="single" w:sz="4" w:space="0" w:color="auto"/>
              <w:left w:val="nil"/>
              <w:bottom w:val="single" w:sz="4" w:space="0" w:color="auto"/>
              <w:right w:val="single" w:sz="4" w:space="0" w:color="auto"/>
            </w:tcBorders>
            <w:shd w:val="clear" w:color="auto" w:fill="FFB13F"/>
            <w:noWrap/>
            <w:vAlign w:val="center"/>
            <w:hideMark/>
          </w:tcPr>
          <w:p w14:paraId="0EA7A856" w14:textId="4564BC2A" w:rsidR="00E508D2" w:rsidRPr="00C5236B" w:rsidRDefault="00E508D2" w:rsidP="003B6BF6">
            <w:pPr>
              <w:spacing w:after="0" w:line="240" w:lineRule="auto"/>
              <w:jc w:val="center"/>
              <w:rPr>
                <w:rFonts w:ascii="Arial" w:eastAsia="Times New Roman" w:hAnsi="Arial" w:cs="Arial"/>
                <w:b/>
                <w:bCs/>
                <w:sz w:val="20"/>
                <w:szCs w:val="20"/>
                <w:lang w:eastAsia="es-MX"/>
              </w:rPr>
            </w:pPr>
            <w:r w:rsidRPr="00C5236B">
              <w:rPr>
                <w:rFonts w:ascii="Arial" w:eastAsia="Times New Roman" w:hAnsi="Arial" w:cs="Arial"/>
                <w:b/>
                <w:bCs/>
                <w:sz w:val="20"/>
                <w:szCs w:val="20"/>
                <w:lang w:eastAsia="es-MX"/>
              </w:rPr>
              <w:t>202</w:t>
            </w:r>
            <w:r w:rsidR="0005754C" w:rsidRPr="00C5236B">
              <w:rPr>
                <w:rFonts w:ascii="Arial" w:eastAsia="Times New Roman" w:hAnsi="Arial" w:cs="Arial"/>
                <w:b/>
                <w:bCs/>
                <w:sz w:val="20"/>
                <w:szCs w:val="20"/>
                <w:lang w:eastAsia="es-MX"/>
              </w:rPr>
              <w:t>1</w:t>
            </w:r>
            <w:r w:rsidRPr="00C5236B">
              <w:rPr>
                <w:rFonts w:ascii="Arial" w:eastAsia="Times New Roman" w:hAnsi="Arial" w:cs="Arial"/>
                <w:b/>
                <w:bCs/>
                <w:sz w:val="20"/>
                <w:szCs w:val="20"/>
                <w:vertAlign w:val="superscript"/>
                <w:lang w:eastAsia="es-MX"/>
              </w:rPr>
              <w:t>p/</w:t>
            </w:r>
          </w:p>
        </w:tc>
        <w:tc>
          <w:tcPr>
            <w:tcW w:w="1770" w:type="dxa"/>
            <w:gridSpan w:val="2"/>
            <w:tcBorders>
              <w:top w:val="single" w:sz="4" w:space="0" w:color="auto"/>
              <w:left w:val="nil"/>
              <w:bottom w:val="single" w:sz="4" w:space="0" w:color="auto"/>
              <w:right w:val="single" w:sz="4" w:space="0" w:color="auto"/>
            </w:tcBorders>
            <w:shd w:val="clear" w:color="auto" w:fill="FFB13F"/>
            <w:noWrap/>
            <w:vAlign w:val="center"/>
            <w:hideMark/>
          </w:tcPr>
          <w:p w14:paraId="50F1B0DA" w14:textId="77777777" w:rsidR="00E508D2" w:rsidRPr="00C5236B" w:rsidRDefault="00E508D2" w:rsidP="003B6BF6">
            <w:pPr>
              <w:spacing w:after="0" w:line="240" w:lineRule="auto"/>
              <w:jc w:val="center"/>
              <w:rPr>
                <w:rFonts w:ascii="Arial" w:eastAsia="Times New Roman" w:hAnsi="Arial" w:cs="Arial"/>
                <w:b/>
                <w:bCs/>
                <w:sz w:val="20"/>
                <w:szCs w:val="20"/>
                <w:lang w:eastAsia="es-MX"/>
              </w:rPr>
            </w:pPr>
            <w:r w:rsidRPr="00C5236B">
              <w:rPr>
                <w:rFonts w:ascii="Arial" w:eastAsia="Times New Roman" w:hAnsi="Arial" w:cs="Arial"/>
                <w:b/>
                <w:bCs/>
                <w:sz w:val="20"/>
                <w:szCs w:val="20"/>
                <w:lang w:eastAsia="es-MX"/>
              </w:rPr>
              <w:t>Diferencia</w:t>
            </w:r>
          </w:p>
        </w:tc>
      </w:tr>
      <w:tr w:rsidR="00E508D2" w:rsidRPr="0098390A" w14:paraId="64055F91" w14:textId="77777777" w:rsidTr="00E763E3">
        <w:trPr>
          <w:trHeight w:val="345"/>
        </w:trPr>
        <w:tc>
          <w:tcPr>
            <w:tcW w:w="3416" w:type="dxa"/>
            <w:vMerge/>
            <w:tcBorders>
              <w:top w:val="single" w:sz="4" w:space="0" w:color="auto"/>
              <w:left w:val="single" w:sz="4" w:space="0" w:color="auto"/>
              <w:bottom w:val="single" w:sz="4" w:space="0" w:color="auto"/>
              <w:right w:val="single" w:sz="4" w:space="0" w:color="auto"/>
            </w:tcBorders>
            <w:shd w:val="clear" w:color="auto" w:fill="FFB13F"/>
            <w:vAlign w:val="center"/>
            <w:hideMark/>
          </w:tcPr>
          <w:p w14:paraId="07901CE3" w14:textId="77777777" w:rsidR="00E508D2" w:rsidRPr="00C5236B" w:rsidRDefault="00E508D2" w:rsidP="003B6BF6">
            <w:pPr>
              <w:spacing w:after="0" w:line="240" w:lineRule="auto"/>
              <w:rPr>
                <w:rFonts w:ascii="Arial" w:eastAsia="Times New Roman" w:hAnsi="Arial" w:cs="Arial"/>
                <w:b/>
                <w:bCs/>
                <w:sz w:val="20"/>
                <w:szCs w:val="20"/>
                <w:lang w:eastAsia="es-MX"/>
              </w:rPr>
            </w:pPr>
          </w:p>
        </w:tc>
        <w:tc>
          <w:tcPr>
            <w:tcW w:w="1027" w:type="dxa"/>
            <w:tcBorders>
              <w:top w:val="nil"/>
              <w:left w:val="nil"/>
              <w:bottom w:val="single" w:sz="4" w:space="0" w:color="auto"/>
              <w:right w:val="single" w:sz="4" w:space="0" w:color="auto"/>
            </w:tcBorders>
            <w:shd w:val="clear" w:color="auto" w:fill="FFB13F"/>
            <w:noWrap/>
            <w:vAlign w:val="center"/>
            <w:hideMark/>
          </w:tcPr>
          <w:p w14:paraId="3EB0E644" w14:textId="77777777" w:rsidR="00E508D2" w:rsidRPr="00C5236B" w:rsidRDefault="00E508D2" w:rsidP="003B6BF6">
            <w:pPr>
              <w:spacing w:after="0" w:line="240" w:lineRule="auto"/>
              <w:jc w:val="center"/>
              <w:rPr>
                <w:rFonts w:ascii="Arial" w:eastAsia="Times New Roman" w:hAnsi="Arial" w:cs="Arial"/>
                <w:b/>
                <w:bCs/>
                <w:sz w:val="20"/>
                <w:szCs w:val="20"/>
                <w:lang w:eastAsia="es-MX"/>
              </w:rPr>
            </w:pPr>
            <w:r w:rsidRPr="00C5236B">
              <w:rPr>
                <w:rFonts w:ascii="Arial" w:eastAsia="Times New Roman" w:hAnsi="Arial" w:cs="Arial"/>
                <w:b/>
                <w:bCs/>
                <w:sz w:val="20"/>
                <w:szCs w:val="20"/>
                <w:lang w:eastAsia="es-MX"/>
              </w:rPr>
              <w:t>Hombres</w:t>
            </w:r>
          </w:p>
        </w:tc>
        <w:tc>
          <w:tcPr>
            <w:tcW w:w="874" w:type="dxa"/>
            <w:tcBorders>
              <w:top w:val="nil"/>
              <w:left w:val="nil"/>
              <w:bottom w:val="single" w:sz="4" w:space="0" w:color="auto"/>
              <w:right w:val="single" w:sz="4" w:space="0" w:color="auto"/>
            </w:tcBorders>
            <w:shd w:val="clear" w:color="auto" w:fill="FFB13F"/>
            <w:noWrap/>
            <w:vAlign w:val="center"/>
            <w:hideMark/>
          </w:tcPr>
          <w:p w14:paraId="237E8237" w14:textId="77777777" w:rsidR="00E508D2" w:rsidRPr="00C5236B" w:rsidRDefault="00E508D2" w:rsidP="003B6BF6">
            <w:pPr>
              <w:spacing w:after="0" w:line="240" w:lineRule="auto"/>
              <w:jc w:val="center"/>
              <w:rPr>
                <w:rFonts w:ascii="Arial" w:eastAsia="Times New Roman" w:hAnsi="Arial" w:cs="Arial"/>
                <w:b/>
                <w:bCs/>
                <w:sz w:val="20"/>
                <w:szCs w:val="20"/>
                <w:lang w:eastAsia="es-MX"/>
              </w:rPr>
            </w:pPr>
            <w:r w:rsidRPr="00C5236B">
              <w:rPr>
                <w:rFonts w:ascii="Arial" w:eastAsia="Times New Roman" w:hAnsi="Arial" w:cs="Arial"/>
                <w:b/>
                <w:bCs/>
                <w:sz w:val="20"/>
                <w:szCs w:val="20"/>
                <w:lang w:eastAsia="es-MX"/>
              </w:rPr>
              <w:t>Mujeres</w:t>
            </w:r>
          </w:p>
        </w:tc>
        <w:tc>
          <w:tcPr>
            <w:tcW w:w="1046" w:type="dxa"/>
            <w:tcBorders>
              <w:top w:val="nil"/>
              <w:left w:val="nil"/>
              <w:bottom w:val="single" w:sz="4" w:space="0" w:color="auto"/>
              <w:right w:val="single" w:sz="4" w:space="0" w:color="auto"/>
            </w:tcBorders>
            <w:shd w:val="clear" w:color="auto" w:fill="FFB13F"/>
            <w:noWrap/>
            <w:vAlign w:val="center"/>
            <w:hideMark/>
          </w:tcPr>
          <w:p w14:paraId="475644B5" w14:textId="77777777" w:rsidR="00E508D2" w:rsidRPr="00C5236B" w:rsidRDefault="00E508D2" w:rsidP="003B6BF6">
            <w:pPr>
              <w:spacing w:after="0" w:line="240" w:lineRule="auto"/>
              <w:jc w:val="center"/>
              <w:rPr>
                <w:rFonts w:ascii="Arial" w:eastAsia="Times New Roman" w:hAnsi="Arial" w:cs="Arial"/>
                <w:b/>
                <w:bCs/>
                <w:sz w:val="20"/>
                <w:szCs w:val="20"/>
                <w:lang w:eastAsia="es-MX"/>
              </w:rPr>
            </w:pPr>
            <w:r w:rsidRPr="00C5236B">
              <w:rPr>
                <w:rFonts w:ascii="Arial" w:eastAsia="Times New Roman" w:hAnsi="Arial" w:cs="Arial"/>
                <w:b/>
                <w:bCs/>
                <w:sz w:val="20"/>
                <w:szCs w:val="20"/>
                <w:lang w:eastAsia="es-MX"/>
              </w:rPr>
              <w:t>Hombres</w:t>
            </w:r>
          </w:p>
        </w:tc>
        <w:tc>
          <w:tcPr>
            <w:tcW w:w="834" w:type="dxa"/>
            <w:tcBorders>
              <w:top w:val="nil"/>
              <w:left w:val="nil"/>
              <w:bottom w:val="single" w:sz="4" w:space="0" w:color="auto"/>
              <w:right w:val="single" w:sz="4" w:space="0" w:color="auto"/>
            </w:tcBorders>
            <w:shd w:val="clear" w:color="auto" w:fill="FFB13F"/>
            <w:noWrap/>
            <w:vAlign w:val="center"/>
            <w:hideMark/>
          </w:tcPr>
          <w:p w14:paraId="5396AD98" w14:textId="77777777" w:rsidR="00E508D2" w:rsidRPr="00C5236B" w:rsidRDefault="00E508D2" w:rsidP="003B6BF6">
            <w:pPr>
              <w:spacing w:after="0" w:line="240" w:lineRule="auto"/>
              <w:jc w:val="center"/>
              <w:rPr>
                <w:rFonts w:ascii="Arial" w:eastAsia="Times New Roman" w:hAnsi="Arial" w:cs="Arial"/>
                <w:b/>
                <w:bCs/>
                <w:sz w:val="20"/>
                <w:szCs w:val="20"/>
                <w:lang w:eastAsia="es-MX"/>
              </w:rPr>
            </w:pPr>
            <w:r w:rsidRPr="00C5236B">
              <w:rPr>
                <w:rFonts w:ascii="Arial" w:eastAsia="Times New Roman" w:hAnsi="Arial" w:cs="Arial"/>
                <w:b/>
                <w:bCs/>
                <w:sz w:val="20"/>
                <w:szCs w:val="20"/>
                <w:lang w:eastAsia="es-MX"/>
              </w:rPr>
              <w:t>Mujeres</w:t>
            </w:r>
          </w:p>
        </w:tc>
        <w:tc>
          <w:tcPr>
            <w:tcW w:w="935" w:type="dxa"/>
            <w:tcBorders>
              <w:top w:val="nil"/>
              <w:left w:val="nil"/>
              <w:bottom w:val="single" w:sz="4" w:space="0" w:color="auto"/>
              <w:right w:val="single" w:sz="4" w:space="0" w:color="auto"/>
            </w:tcBorders>
            <w:shd w:val="clear" w:color="auto" w:fill="FFB13F"/>
            <w:noWrap/>
            <w:vAlign w:val="center"/>
            <w:hideMark/>
          </w:tcPr>
          <w:p w14:paraId="568E71E4" w14:textId="77777777" w:rsidR="00E508D2" w:rsidRPr="00C5236B" w:rsidRDefault="00E508D2" w:rsidP="003B6BF6">
            <w:pPr>
              <w:spacing w:after="0" w:line="240" w:lineRule="auto"/>
              <w:jc w:val="center"/>
              <w:rPr>
                <w:rFonts w:ascii="Arial" w:eastAsia="Times New Roman" w:hAnsi="Arial" w:cs="Arial"/>
                <w:b/>
                <w:bCs/>
                <w:sz w:val="20"/>
                <w:szCs w:val="20"/>
                <w:lang w:eastAsia="es-MX"/>
              </w:rPr>
            </w:pPr>
            <w:r w:rsidRPr="00C5236B">
              <w:rPr>
                <w:rFonts w:ascii="Arial" w:eastAsia="Times New Roman" w:hAnsi="Arial" w:cs="Arial"/>
                <w:b/>
                <w:bCs/>
                <w:sz w:val="20"/>
                <w:szCs w:val="20"/>
                <w:lang w:eastAsia="es-MX"/>
              </w:rPr>
              <w:t>Hombres</w:t>
            </w:r>
          </w:p>
        </w:tc>
        <w:tc>
          <w:tcPr>
            <w:tcW w:w="834" w:type="dxa"/>
            <w:tcBorders>
              <w:top w:val="nil"/>
              <w:left w:val="nil"/>
              <w:bottom w:val="single" w:sz="4" w:space="0" w:color="auto"/>
              <w:right w:val="single" w:sz="4" w:space="0" w:color="auto"/>
            </w:tcBorders>
            <w:shd w:val="clear" w:color="auto" w:fill="FFB13F"/>
            <w:noWrap/>
            <w:vAlign w:val="center"/>
            <w:hideMark/>
          </w:tcPr>
          <w:p w14:paraId="31B41138" w14:textId="77777777" w:rsidR="00E508D2" w:rsidRPr="00C5236B" w:rsidRDefault="00E508D2" w:rsidP="003B6BF6">
            <w:pPr>
              <w:spacing w:after="0" w:line="240" w:lineRule="auto"/>
              <w:jc w:val="center"/>
              <w:rPr>
                <w:rFonts w:ascii="Arial" w:eastAsia="Times New Roman" w:hAnsi="Arial" w:cs="Arial"/>
                <w:b/>
                <w:bCs/>
                <w:sz w:val="20"/>
                <w:szCs w:val="20"/>
                <w:lang w:eastAsia="es-MX"/>
              </w:rPr>
            </w:pPr>
            <w:r w:rsidRPr="00C5236B">
              <w:rPr>
                <w:rFonts w:ascii="Arial" w:eastAsia="Times New Roman" w:hAnsi="Arial" w:cs="Arial"/>
                <w:b/>
                <w:bCs/>
                <w:sz w:val="20"/>
                <w:szCs w:val="20"/>
                <w:lang w:eastAsia="es-MX"/>
              </w:rPr>
              <w:t>Mujeres</w:t>
            </w:r>
          </w:p>
        </w:tc>
      </w:tr>
      <w:tr w:rsidR="003507C3" w:rsidRPr="0098390A" w14:paraId="229B89B1" w14:textId="77777777" w:rsidTr="00E763E3">
        <w:trPr>
          <w:trHeight w:val="311"/>
        </w:trPr>
        <w:tc>
          <w:tcPr>
            <w:tcW w:w="3416" w:type="dxa"/>
            <w:tcBorders>
              <w:top w:val="nil"/>
              <w:left w:val="single" w:sz="4" w:space="0" w:color="auto"/>
              <w:bottom w:val="single" w:sz="4" w:space="0" w:color="auto"/>
              <w:right w:val="single" w:sz="4" w:space="0" w:color="auto"/>
            </w:tcBorders>
            <w:shd w:val="clear" w:color="auto" w:fill="auto"/>
            <w:vAlign w:val="center"/>
            <w:hideMark/>
          </w:tcPr>
          <w:p w14:paraId="3D302FCB" w14:textId="77777777" w:rsidR="003507C3" w:rsidRPr="00C5236B" w:rsidRDefault="003507C3" w:rsidP="003507C3">
            <w:pPr>
              <w:spacing w:after="0" w:line="240" w:lineRule="auto"/>
              <w:rPr>
                <w:rFonts w:ascii="Arial" w:eastAsia="Times New Roman" w:hAnsi="Arial" w:cs="Arial"/>
                <w:sz w:val="20"/>
                <w:szCs w:val="20"/>
                <w:lang w:eastAsia="es-MX"/>
              </w:rPr>
            </w:pPr>
            <w:r w:rsidRPr="00C5236B">
              <w:rPr>
                <w:rFonts w:ascii="Arial" w:eastAsia="Times New Roman" w:hAnsi="Arial" w:cs="Arial"/>
                <w:sz w:val="20"/>
                <w:szCs w:val="20"/>
                <w:lang w:eastAsia="es-MX"/>
              </w:rPr>
              <w:t>Sin instrucción</w:t>
            </w:r>
          </w:p>
        </w:tc>
        <w:tc>
          <w:tcPr>
            <w:tcW w:w="1027" w:type="dxa"/>
            <w:tcBorders>
              <w:top w:val="nil"/>
              <w:left w:val="nil"/>
              <w:bottom w:val="single" w:sz="4" w:space="0" w:color="auto"/>
              <w:right w:val="single" w:sz="4" w:space="0" w:color="auto"/>
            </w:tcBorders>
            <w:shd w:val="clear" w:color="auto" w:fill="auto"/>
            <w:noWrap/>
            <w:vAlign w:val="center"/>
            <w:hideMark/>
          </w:tcPr>
          <w:p w14:paraId="7CA64AB8" w14:textId="6840E9CE"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8.8</w:t>
            </w:r>
          </w:p>
        </w:tc>
        <w:tc>
          <w:tcPr>
            <w:tcW w:w="874" w:type="dxa"/>
            <w:tcBorders>
              <w:top w:val="nil"/>
              <w:left w:val="nil"/>
              <w:bottom w:val="single" w:sz="4" w:space="0" w:color="auto"/>
              <w:right w:val="single" w:sz="4" w:space="0" w:color="auto"/>
            </w:tcBorders>
            <w:shd w:val="clear" w:color="auto" w:fill="auto"/>
            <w:noWrap/>
            <w:vAlign w:val="center"/>
            <w:hideMark/>
          </w:tcPr>
          <w:p w14:paraId="128D7C18" w14:textId="1B0BA5B2"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3.8</w:t>
            </w:r>
          </w:p>
        </w:tc>
        <w:tc>
          <w:tcPr>
            <w:tcW w:w="1046" w:type="dxa"/>
            <w:tcBorders>
              <w:top w:val="nil"/>
              <w:left w:val="nil"/>
              <w:bottom w:val="single" w:sz="4" w:space="0" w:color="auto"/>
              <w:right w:val="single" w:sz="4" w:space="0" w:color="auto"/>
            </w:tcBorders>
            <w:shd w:val="clear" w:color="auto" w:fill="auto"/>
            <w:noWrap/>
            <w:vAlign w:val="center"/>
            <w:hideMark/>
          </w:tcPr>
          <w:p w14:paraId="58DE52F3" w14:textId="425EAF30"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9.3</w:t>
            </w:r>
          </w:p>
        </w:tc>
        <w:tc>
          <w:tcPr>
            <w:tcW w:w="834" w:type="dxa"/>
            <w:tcBorders>
              <w:top w:val="nil"/>
              <w:left w:val="nil"/>
              <w:bottom w:val="single" w:sz="4" w:space="0" w:color="auto"/>
              <w:right w:val="single" w:sz="4" w:space="0" w:color="auto"/>
            </w:tcBorders>
            <w:shd w:val="clear" w:color="auto" w:fill="auto"/>
            <w:noWrap/>
            <w:vAlign w:val="center"/>
            <w:hideMark/>
          </w:tcPr>
          <w:p w14:paraId="642110E3" w14:textId="7F04C18A"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5.7</w:t>
            </w:r>
          </w:p>
        </w:tc>
        <w:tc>
          <w:tcPr>
            <w:tcW w:w="935" w:type="dxa"/>
            <w:tcBorders>
              <w:top w:val="nil"/>
              <w:left w:val="nil"/>
              <w:bottom w:val="single" w:sz="4" w:space="0" w:color="auto"/>
              <w:right w:val="single" w:sz="4" w:space="0" w:color="auto"/>
            </w:tcBorders>
            <w:shd w:val="clear" w:color="auto" w:fill="auto"/>
            <w:noWrap/>
            <w:vAlign w:val="center"/>
            <w:hideMark/>
          </w:tcPr>
          <w:p w14:paraId="6391C1C9" w14:textId="3299119C"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0.5</w:t>
            </w:r>
          </w:p>
        </w:tc>
        <w:tc>
          <w:tcPr>
            <w:tcW w:w="834" w:type="dxa"/>
            <w:tcBorders>
              <w:top w:val="nil"/>
              <w:left w:val="nil"/>
              <w:bottom w:val="single" w:sz="4" w:space="0" w:color="auto"/>
              <w:right w:val="single" w:sz="4" w:space="0" w:color="auto"/>
            </w:tcBorders>
            <w:shd w:val="clear" w:color="auto" w:fill="auto"/>
            <w:noWrap/>
            <w:vAlign w:val="center"/>
            <w:hideMark/>
          </w:tcPr>
          <w:p w14:paraId="69C41661" w14:textId="3EAD0BC9"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1.9</w:t>
            </w:r>
          </w:p>
        </w:tc>
      </w:tr>
      <w:tr w:rsidR="003507C3" w:rsidRPr="0098390A" w14:paraId="0C4E386E" w14:textId="77777777" w:rsidTr="00E763E3">
        <w:trPr>
          <w:trHeight w:val="311"/>
        </w:trPr>
        <w:tc>
          <w:tcPr>
            <w:tcW w:w="3416" w:type="dxa"/>
            <w:tcBorders>
              <w:top w:val="nil"/>
              <w:left w:val="single" w:sz="4" w:space="0" w:color="auto"/>
              <w:bottom w:val="single" w:sz="4" w:space="0" w:color="auto"/>
              <w:right w:val="single" w:sz="4" w:space="0" w:color="auto"/>
            </w:tcBorders>
            <w:shd w:val="clear" w:color="auto" w:fill="auto"/>
            <w:vAlign w:val="center"/>
            <w:hideMark/>
          </w:tcPr>
          <w:p w14:paraId="43FE07D8" w14:textId="77777777" w:rsidR="003507C3" w:rsidRPr="00C5236B" w:rsidRDefault="003507C3" w:rsidP="003507C3">
            <w:pPr>
              <w:spacing w:after="0" w:line="240" w:lineRule="auto"/>
              <w:rPr>
                <w:rFonts w:ascii="Arial" w:eastAsia="Times New Roman" w:hAnsi="Arial" w:cs="Arial"/>
                <w:sz w:val="20"/>
                <w:szCs w:val="20"/>
                <w:lang w:eastAsia="es-MX"/>
              </w:rPr>
            </w:pPr>
            <w:r w:rsidRPr="00C5236B">
              <w:rPr>
                <w:rFonts w:ascii="Arial" w:eastAsia="Times New Roman" w:hAnsi="Arial" w:cs="Arial"/>
                <w:sz w:val="20"/>
                <w:szCs w:val="20"/>
                <w:lang w:eastAsia="es-MX"/>
              </w:rPr>
              <w:t xml:space="preserve">Educación básica </w:t>
            </w:r>
          </w:p>
        </w:tc>
        <w:tc>
          <w:tcPr>
            <w:tcW w:w="1027" w:type="dxa"/>
            <w:tcBorders>
              <w:top w:val="nil"/>
              <w:left w:val="nil"/>
              <w:bottom w:val="single" w:sz="4" w:space="0" w:color="auto"/>
              <w:right w:val="single" w:sz="4" w:space="0" w:color="auto"/>
            </w:tcBorders>
            <w:shd w:val="clear" w:color="auto" w:fill="auto"/>
            <w:noWrap/>
            <w:vAlign w:val="center"/>
            <w:hideMark/>
          </w:tcPr>
          <w:p w14:paraId="037FBA52" w14:textId="057151CA"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52.0</w:t>
            </w:r>
          </w:p>
        </w:tc>
        <w:tc>
          <w:tcPr>
            <w:tcW w:w="874" w:type="dxa"/>
            <w:tcBorders>
              <w:top w:val="nil"/>
              <w:left w:val="nil"/>
              <w:bottom w:val="single" w:sz="4" w:space="0" w:color="auto"/>
              <w:right w:val="single" w:sz="4" w:space="0" w:color="auto"/>
            </w:tcBorders>
            <w:shd w:val="clear" w:color="auto" w:fill="auto"/>
            <w:noWrap/>
            <w:vAlign w:val="center"/>
            <w:hideMark/>
          </w:tcPr>
          <w:p w14:paraId="561B8EE4" w14:textId="380EFE37"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18.2</w:t>
            </w:r>
          </w:p>
        </w:tc>
        <w:tc>
          <w:tcPr>
            <w:tcW w:w="1046" w:type="dxa"/>
            <w:tcBorders>
              <w:top w:val="nil"/>
              <w:left w:val="nil"/>
              <w:bottom w:val="single" w:sz="4" w:space="0" w:color="auto"/>
              <w:right w:val="single" w:sz="4" w:space="0" w:color="auto"/>
            </w:tcBorders>
            <w:shd w:val="clear" w:color="auto" w:fill="auto"/>
            <w:noWrap/>
            <w:vAlign w:val="center"/>
            <w:hideMark/>
          </w:tcPr>
          <w:p w14:paraId="7A459605" w14:textId="2A855339"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50.1</w:t>
            </w:r>
          </w:p>
        </w:tc>
        <w:tc>
          <w:tcPr>
            <w:tcW w:w="834" w:type="dxa"/>
            <w:tcBorders>
              <w:top w:val="nil"/>
              <w:left w:val="nil"/>
              <w:bottom w:val="single" w:sz="4" w:space="0" w:color="auto"/>
              <w:right w:val="single" w:sz="4" w:space="0" w:color="auto"/>
            </w:tcBorders>
            <w:shd w:val="clear" w:color="auto" w:fill="auto"/>
            <w:noWrap/>
            <w:vAlign w:val="center"/>
            <w:hideMark/>
          </w:tcPr>
          <w:p w14:paraId="5A992BCF" w14:textId="581F804C"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19.3</w:t>
            </w:r>
          </w:p>
        </w:tc>
        <w:tc>
          <w:tcPr>
            <w:tcW w:w="935" w:type="dxa"/>
            <w:tcBorders>
              <w:top w:val="nil"/>
              <w:left w:val="nil"/>
              <w:bottom w:val="single" w:sz="4" w:space="0" w:color="auto"/>
              <w:right w:val="single" w:sz="4" w:space="0" w:color="auto"/>
            </w:tcBorders>
            <w:shd w:val="clear" w:color="auto" w:fill="auto"/>
            <w:noWrap/>
            <w:vAlign w:val="center"/>
            <w:hideMark/>
          </w:tcPr>
          <w:p w14:paraId="413296EA" w14:textId="7D27829A"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-1.9</w:t>
            </w:r>
          </w:p>
        </w:tc>
        <w:tc>
          <w:tcPr>
            <w:tcW w:w="834" w:type="dxa"/>
            <w:tcBorders>
              <w:top w:val="nil"/>
              <w:left w:val="nil"/>
              <w:bottom w:val="single" w:sz="4" w:space="0" w:color="auto"/>
              <w:right w:val="single" w:sz="4" w:space="0" w:color="auto"/>
            </w:tcBorders>
            <w:shd w:val="clear" w:color="auto" w:fill="auto"/>
            <w:noWrap/>
            <w:vAlign w:val="center"/>
            <w:hideMark/>
          </w:tcPr>
          <w:p w14:paraId="4CD46C5E" w14:textId="3FA353DD"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1.1</w:t>
            </w:r>
          </w:p>
        </w:tc>
      </w:tr>
      <w:tr w:rsidR="003507C3" w:rsidRPr="0098390A" w14:paraId="67C597B7" w14:textId="77777777" w:rsidTr="00E763E3">
        <w:trPr>
          <w:trHeight w:val="311"/>
        </w:trPr>
        <w:tc>
          <w:tcPr>
            <w:tcW w:w="3416" w:type="dxa"/>
            <w:tcBorders>
              <w:top w:val="nil"/>
              <w:left w:val="single" w:sz="4" w:space="0" w:color="auto"/>
              <w:bottom w:val="single" w:sz="4" w:space="0" w:color="auto"/>
              <w:right w:val="single" w:sz="4" w:space="0" w:color="auto"/>
            </w:tcBorders>
            <w:shd w:val="clear" w:color="auto" w:fill="auto"/>
            <w:vAlign w:val="center"/>
            <w:hideMark/>
          </w:tcPr>
          <w:p w14:paraId="2FD7851D" w14:textId="77777777" w:rsidR="003507C3" w:rsidRPr="00C5236B" w:rsidRDefault="003507C3" w:rsidP="003507C3">
            <w:pPr>
              <w:spacing w:after="0" w:line="240" w:lineRule="auto"/>
              <w:rPr>
                <w:rFonts w:ascii="Arial" w:eastAsia="Times New Roman" w:hAnsi="Arial" w:cs="Arial"/>
                <w:sz w:val="20"/>
                <w:szCs w:val="20"/>
                <w:lang w:eastAsia="es-MX"/>
              </w:rPr>
            </w:pPr>
            <w:r w:rsidRPr="00C5236B">
              <w:rPr>
                <w:rFonts w:ascii="Arial" w:eastAsia="Times New Roman" w:hAnsi="Arial" w:cs="Arial"/>
                <w:sz w:val="20"/>
                <w:szCs w:val="20"/>
                <w:lang w:eastAsia="es-MX"/>
              </w:rPr>
              <w:t xml:space="preserve">Educación media superior </w:t>
            </w:r>
          </w:p>
        </w:tc>
        <w:tc>
          <w:tcPr>
            <w:tcW w:w="1027" w:type="dxa"/>
            <w:tcBorders>
              <w:top w:val="nil"/>
              <w:left w:val="nil"/>
              <w:bottom w:val="single" w:sz="4" w:space="0" w:color="auto"/>
              <w:right w:val="single" w:sz="4" w:space="0" w:color="auto"/>
            </w:tcBorders>
            <w:shd w:val="clear" w:color="auto" w:fill="auto"/>
            <w:noWrap/>
            <w:vAlign w:val="center"/>
            <w:hideMark/>
          </w:tcPr>
          <w:p w14:paraId="7A1A895D" w14:textId="42E78507"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21.5</w:t>
            </w:r>
          </w:p>
        </w:tc>
        <w:tc>
          <w:tcPr>
            <w:tcW w:w="874" w:type="dxa"/>
            <w:tcBorders>
              <w:top w:val="nil"/>
              <w:left w:val="nil"/>
              <w:bottom w:val="single" w:sz="4" w:space="0" w:color="auto"/>
              <w:right w:val="single" w:sz="4" w:space="0" w:color="auto"/>
            </w:tcBorders>
            <w:shd w:val="clear" w:color="auto" w:fill="auto"/>
            <w:noWrap/>
            <w:vAlign w:val="center"/>
            <w:hideMark/>
          </w:tcPr>
          <w:p w14:paraId="6714C133" w14:textId="2C649D62"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30.6</w:t>
            </w:r>
          </w:p>
        </w:tc>
        <w:tc>
          <w:tcPr>
            <w:tcW w:w="1046" w:type="dxa"/>
            <w:tcBorders>
              <w:top w:val="nil"/>
              <w:left w:val="nil"/>
              <w:bottom w:val="single" w:sz="4" w:space="0" w:color="auto"/>
              <w:right w:val="single" w:sz="4" w:space="0" w:color="auto"/>
            </w:tcBorders>
            <w:shd w:val="clear" w:color="auto" w:fill="auto"/>
            <w:noWrap/>
            <w:vAlign w:val="center"/>
            <w:hideMark/>
          </w:tcPr>
          <w:p w14:paraId="2244AAA7" w14:textId="4D6BAC9B"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21.6</w:t>
            </w:r>
          </w:p>
        </w:tc>
        <w:tc>
          <w:tcPr>
            <w:tcW w:w="834" w:type="dxa"/>
            <w:tcBorders>
              <w:top w:val="nil"/>
              <w:left w:val="nil"/>
              <w:bottom w:val="single" w:sz="4" w:space="0" w:color="auto"/>
              <w:right w:val="single" w:sz="4" w:space="0" w:color="auto"/>
            </w:tcBorders>
            <w:shd w:val="clear" w:color="auto" w:fill="auto"/>
            <w:noWrap/>
            <w:vAlign w:val="center"/>
            <w:hideMark/>
          </w:tcPr>
          <w:p w14:paraId="3F539C70" w14:textId="6E6F4AAE"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29.8</w:t>
            </w:r>
          </w:p>
        </w:tc>
        <w:tc>
          <w:tcPr>
            <w:tcW w:w="935" w:type="dxa"/>
            <w:tcBorders>
              <w:top w:val="nil"/>
              <w:left w:val="nil"/>
              <w:bottom w:val="single" w:sz="4" w:space="0" w:color="auto"/>
              <w:right w:val="single" w:sz="4" w:space="0" w:color="auto"/>
            </w:tcBorders>
            <w:shd w:val="clear" w:color="auto" w:fill="auto"/>
            <w:noWrap/>
            <w:vAlign w:val="center"/>
            <w:hideMark/>
          </w:tcPr>
          <w:p w14:paraId="05A55161" w14:textId="58520A34"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0.1</w:t>
            </w:r>
          </w:p>
        </w:tc>
        <w:tc>
          <w:tcPr>
            <w:tcW w:w="834" w:type="dxa"/>
            <w:tcBorders>
              <w:top w:val="nil"/>
              <w:left w:val="nil"/>
              <w:bottom w:val="single" w:sz="4" w:space="0" w:color="auto"/>
              <w:right w:val="single" w:sz="4" w:space="0" w:color="auto"/>
            </w:tcBorders>
            <w:shd w:val="clear" w:color="auto" w:fill="auto"/>
            <w:noWrap/>
            <w:vAlign w:val="center"/>
            <w:hideMark/>
          </w:tcPr>
          <w:p w14:paraId="322F9DCD" w14:textId="65167FB6"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-0.8</w:t>
            </w:r>
          </w:p>
        </w:tc>
      </w:tr>
      <w:tr w:rsidR="003507C3" w:rsidRPr="0098390A" w14:paraId="09C1DB72" w14:textId="77777777" w:rsidTr="00E763E3">
        <w:trPr>
          <w:trHeight w:val="311"/>
        </w:trPr>
        <w:tc>
          <w:tcPr>
            <w:tcW w:w="3416" w:type="dxa"/>
            <w:tcBorders>
              <w:top w:val="nil"/>
              <w:left w:val="single" w:sz="4" w:space="0" w:color="auto"/>
              <w:bottom w:val="single" w:sz="4" w:space="0" w:color="auto"/>
              <w:right w:val="single" w:sz="4" w:space="0" w:color="auto"/>
            </w:tcBorders>
            <w:shd w:val="clear" w:color="auto" w:fill="auto"/>
            <w:vAlign w:val="center"/>
            <w:hideMark/>
          </w:tcPr>
          <w:p w14:paraId="225A23F2" w14:textId="77777777" w:rsidR="003507C3" w:rsidRPr="00C5236B" w:rsidRDefault="003507C3" w:rsidP="003507C3">
            <w:pPr>
              <w:spacing w:after="0" w:line="240" w:lineRule="auto"/>
              <w:rPr>
                <w:rFonts w:ascii="Arial" w:eastAsia="Times New Roman" w:hAnsi="Arial" w:cs="Arial"/>
                <w:sz w:val="20"/>
                <w:szCs w:val="20"/>
                <w:lang w:eastAsia="es-MX"/>
              </w:rPr>
            </w:pPr>
            <w:r w:rsidRPr="00C5236B">
              <w:rPr>
                <w:rFonts w:ascii="Arial" w:eastAsia="Times New Roman" w:hAnsi="Arial" w:cs="Arial"/>
                <w:sz w:val="20"/>
                <w:szCs w:val="20"/>
                <w:lang w:eastAsia="es-MX"/>
              </w:rPr>
              <w:t xml:space="preserve">Educación superior </w:t>
            </w:r>
          </w:p>
        </w:tc>
        <w:tc>
          <w:tcPr>
            <w:tcW w:w="1027" w:type="dxa"/>
            <w:tcBorders>
              <w:top w:val="nil"/>
              <w:left w:val="nil"/>
              <w:bottom w:val="single" w:sz="4" w:space="0" w:color="auto"/>
              <w:right w:val="single" w:sz="4" w:space="0" w:color="auto"/>
            </w:tcBorders>
            <w:shd w:val="clear" w:color="auto" w:fill="auto"/>
            <w:noWrap/>
            <w:vAlign w:val="center"/>
            <w:hideMark/>
          </w:tcPr>
          <w:p w14:paraId="7721B3EE" w14:textId="2BBF80AA"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17.7</w:t>
            </w:r>
          </w:p>
        </w:tc>
        <w:tc>
          <w:tcPr>
            <w:tcW w:w="874" w:type="dxa"/>
            <w:tcBorders>
              <w:top w:val="nil"/>
              <w:left w:val="nil"/>
              <w:bottom w:val="single" w:sz="4" w:space="0" w:color="auto"/>
              <w:right w:val="single" w:sz="4" w:space="0" w:color="auto"/>
            </w:tcBorders>
            <w:shd w:val="clear" w:color="auto" w:fill="auto"/>
            <w:noWrap/>
            <w:vAlign w:val="center"/>
            <w:hideMark/>
          </w:tcPr>
          <w:p w14:paraId="6300BA6E" w14:textId="61B957B6"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47.4</w:t>
            </w:r>
          </w:p>
        </w:tc>
        <w:tc>
          <w:tcPr>
            <w:tcW w:w="1046" w:type="dxa"/>
            <w:tcBorders>
              <w:top w:val="nil"/>
              <w:left w:val="nil"/>
              <w:bottom w:val="single" w:sz="4" w:space="0" w:color="auto"/>
              <w:right w:val="single" w:sz="4" w:space="0" w:color="auto"/>
            </w:tcBorders>
            <w:shd w:val="clear" w:color="auto" w:fill="auto"/>
            <w:noWrap/>
            <w:vAlign w:val="center"/>
            <w:hideMark/>
          </w:tcPr>
          <w:p w14:paraId="2DFCE94D" w14:textId="68F37A15"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19.1</w:t>
            </w:r>
          </w:p>
        </w:tc>
        <w:tc>
          <w:tcPr>
            <w:tcW w:w="834" w:type="dxa"/>
            <w:tcBorders>
              <w:top w:val="nil"/>
              <w:left w:val="nil"/>
              <w:bottom w:val="single" w:sz="4" w:space="0" w:color="auto"/>
              <w:right w:val="single" w:sz="4" w:space="0" w:color="auto"/>
            </w:tcBorders>
            <w:shd w:val="clear" w:color="auto" w:fill="auto"/>
            <w:noWrap/>
            <w:vAlign w:val="center"/>
            <w:hideMark/>
          </w:tcPr>
          <w:p w14:paraId="5A8EF28F" w14:textId="034C3D7D"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45.3</w:t>
            </w:r>
          </w:p>
        </w:tc>
        <w:tc>
          <w:tcPr>
            <w:tcW w:w="935" w:type="dxa"/>
            <w:tcBorders>
              <w:top w:val="nil"/>
              <w:left w:val="nil"/>
              <w:bottom w:val="single" w:sz="4" w:space="0" w:color="auto"/>
              <w:right w:val="single" w:sz="4" w:space="0" w:color="auto"/>
            </w:tcBorders>
            <w:shd w:val="clear" w:color="auto" w:fill="auto"/>
            <w:noWrap/>
            <w:vAlign w:val="center"/>
            <w:hideMark/>
          </w:tcPr>
          <w:p w14:paraId="38FC2BA5" w14:textId="7FF2D23E"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1.4</w:t>
            </w:r>
          </w:p>
        </w:tc>
        <w:tc>
          <w:tcPr>
            <w:tcW w:w="834" w:type="dxa"/>
            <w:tcBorders>
              <w:top w:val="nil"/>
              <w:left w:val="nil"/>
              <w:bottom w:val="single" w:sz="4" w:space="0" w:color="auto"/>
              <w:right w:val="single" w:sz="4" w:space="0" w:color="auto"/>
            </w:tcBorders>
            <w:shd w:val="clear" w:color="auto" w:fill="auto"/>
            <w:noWrap/>
            <w:vAlign w:val="center"/>
            <w:hideMark/>
          </w:tcPr>
          <w:p w14:paraId="3D232EA9" w14:textId="2A6FCF6D" w:rsidR="003507C3" w:rsidRPr="00C5236B" w:rsidRDefault="003507C3" w:rsidP="0086465C">
            <w:pPr>
              <w:spacing w:after="0" w:line="240" w:lineRule="auto"/>
              <w:ind w:left="-491" w:right="238"/>
              <w:jc w:val="right"/>
              <w:rPr>
                <w:rFonts w:ascii="Arial" w:eastAsia="Times New Roman" w:hAnsi="Arial" w:cs="Arial"/>
                <w:sz w:val="20"/>
                <w:szCs w:val="20"/>
                <w:lang w:eastAsia="es-MX"/>
              </w:rPr>
            </w:pPr>
            <w:r w:rsidRPr="00C5236B">
              <w:rPr>
                <w:rFonts w:ascii="Arial" w:hAnsi="Arial" w:cs="Arial"/>
                <w:color w:val="000000"/>
                <w:sz w:val="20"/>
                <w:szCs w:val="20"/>
              </w:rPr>
              <w:t>-2.1</w:t>
            </w:r>
          </w:p>
        </w:tc>
      </w:tr>
    </w:tbl>
    <w:p w14:paraId="6D0C53EB" w14:textId="477CAD08" w:rsidR="00E508D2" w:rsidRDefault="00E508D2" w:rsidP="00E508D2">
      <w:pPr>
        <w:pStyle w:val="Default"/>
        <w:jc w:val="both"/>
        <w:rPr>
          <w:color w:val="auto"/>
          <w:sz w:val="16"/>
          <w:lang w:eastAsia="es-MX"/>
        </w:rPr>
      </w:pPr>
      <w:r>
        <w:rPr>
          <w:color w:val="auto"/>
          <w:sz w:val="16"/>
          <w:vertAlign w:val="superscript"/>
          <w:lang w:eastAsia="es-MX"/>
        </w:rPr>
        <w:t xml:space="preserve">p/ </w:t>
      </w:r>
      <w:r>
        <w:rPr>
          <w:color w:val="auto"/>
          <w:sz w:val="16"/>
          <w:lang w:eastAsia="es-MX"/>
        </w:rPr>
        <w:t xml:space="preserve">Cifras preliminares </w:t>
      </w:r>
    </w:p>
    <w:p w14:paraId="0CFC3E5C" w14:textId="02C3236D" w:rsidR="00E508D2" w:rsidRDefault="00E508D2" w:rsidP="00E508D2">
      <w:pPr>
        <w:pStyle w:val="Default"/>
        <w:jc w:val="both"/>
        <w:rPr>
          <w:b/>
          <w:color w:val="auto"/>
          <w:sz w:val="16"/>
          <w:lang w:eastAsia="es-MX"/>
        </w:rPr>
      </w:pPr>
      <w:r w:rsidRPr="00BF15FB">
        <w:rPr>
          <w:color w:val="auto"/>
          <w:sz w:val="16"/>
          <w:lang w:eastAsia="es-MX"/>
        </w:rPr>
        <w:t>Fuente</w:t>
      </w:r>
      <w:r w:rsidRPr="00F85500">
        <w:rPr>
          <w:color w:val="auto"/>
          <w:sz w:val="16"/>
          <w:lang w:eastAsia="es-MX"/>
        </w:rPr>
        <w:t xml:space="preserve">: </w:t>
      </w:r>
      <w:r w:rsidRPr="005430F9">
        <w:rPr>
          <w:color w:val="auto"/>
          <w:sz w:val="16"/>
          <w:lang w:eastAsia="es-MX"/>
        </w:rPr>
        <w:t>INEGI</w:t>
      </w:r>
    </w:p>
    <w:p w14:paraId="5B6282F9" w14:textId="77777777" w:rsidR="003F5B51" w:rsidRDefault="003F5B51" w:rsidP="00E508D2">
      <w:pPr>
        <w:pStyle w:val="Default"/>
        <w:jc w:val="both"/>
        <w:rPr>
          <w:b/>
          <w:color w:val="auto"/>
          <w:sz w:val="16"/>
          <w:lang w:eastAsia="es-MX"/>
        </w:rPr>
      </w:pPr>
    </w:p>
    <w:p w14:paraId="3DB3049C" w14:textId="77777777" w:rsidR="00752A92" w:rsidRDefault="00752A92" w:rsidP="00F85500">
      <w:pPr>
        <w:pStyle w:val="Default"/>
        <w:ind w:left="-567" w:right="-518"/>
        <w:jc w:val="both"/>
        <w:rPr>
          <w:color w:val="auto"/>
          <w:lang w:eastAsia="es-MX"/>
        </w:rPr>
      </w:pPr>
    </w:p>
    <w:p w14:paraId="6C9069FB" w14:textId="77777777" w:rsidR="00752A92" w:rsidRDefault="00752A92" w:rsidP="00F85500">
      <w:pPr>
        <w:pStyle w:val="Default"/>
        <w:ind w:left="-567" w:right="-518"/>
        <w:jc w:val="both"/>
        <w:rPr>
          <w:color w:val="auto"/>
          <w:lang w:eastAsia="es-MX"/>
        </w:rPr>
      </w:pPr>
    </w:p>
    <w:p w14:paraId="2CE8B8DC" w14:textId="77777777" w:rsidR="00752A92" w:rsidRDefault="00752A92" w:rsidP="00F85500">
      <w:pPr>
        <w:pStyle w:val="Default"/>
        <w:ind w:left="-567" w:right="-518"/>
        <w:jc w:val="both"/>
        <w:rPr>
          <w:color w:val="auto"/>
          <w:lang w:eastAsia="es-MX"/>
        </w:rPr>
      </w:pPr>
    </w:p>
    <w:p w14:paraId="219678D3" w14:textId="77777777" w:rsidR="00752A92" w:rsidRDefault="00752A92" w:rsidP="00F85500">
      <w:pPr>
        <w:pStyle w:val="Default"/>
        <w:ind w:left="-567" w:right="-518"/>
        <w:jc w:val="both"/>
        <w:rPr>
          <w:color w:val="auto"/>
          <w:lang w:eastAsia="es-MX"/>
        </w:rPr>
      </w:pPr>
    </w:p>
    <w:p w14:paraId="695F5394" w14:textId="0A95ACAB" w:rsidR="00250654" w:rsidRPr="005430F9" w:rsidRDefault="00F85500" w:rsidP="005430F9">
      <w:pPr>
        <w:pStyle w:val="Default"/>
        <w:ind w:left="-567" w:right="-518"/>
        <w:jc w:val="both"/>
        <w:rPr>
          <w:color w:val="auto"/>
          <w:lang w:eastAsia="es-MX"/>
        </w:rPr>
      </w:pPr>
      <w:r>
        <w:rPr>
          <w:color w:val="auto"/>
          <w:lang w:eastAsia="es-MX"/>
        </w:rPr>
        <w:t>En 2021, l</w:t>
      </w:r>
      <w:r w:rsidR="00250654" w:rsidRPr="005430F9">
        <w:rPr>
          <w:color w:val="auto"/>
          <w:lang w:eastAsia="es-MX"/>
        </w:rPr>
        <w:t>a participación porcentual de las empresas</w:t>
      </w:r>
      <w:r w:rsidR="00D350C2" w:rsidRPr="005430F9">
        <w:rPr>
          <w:color w:val="auto"/>
          <w:lang w:eastAsia="es-MX"/>
        </w:rPr>
        <w:t xml:space="preserve"> constructoras</w:t>
      </w:r>
      <w:r w:rsidR="00250654" w:rsidRPr="005430F9">
        <w:rPr>
          <w:color w:val="auto"/>
          <w:lang w:eastAsia="es-MX"/>
        </w:rPr>
        <w:t xml:space="preserve"> que </w:t>
      </w:r>
      <w:r w:rsidR="00250654" w:rsidRPr="005430F9">
        <w:rPr>
          <w:i/>
          <w:color w:val="auto"/>
          <w:lang w:eastAsia="es-MX"/>
        </w:rPr>
        <w:t>capacitaron al personal dependiente de la razón social</w:t>
      </w:r>
      <w:r w:rsidR="00250654" w:rsidRPr="005430F9">
        <w:rPr>
          <w:color w:val="auto"/>
          <w:lang w:eastAsia="es-MX"/>
        </w:rPr>
        <w:t xml:space="preserve"> alcanzó 24.3</w:t>
      </w:r>
      <w:r>
        <w:rPr>
          <w:color w:val="auto"/>
          <w:lang w:eastAsia="es-MX"/>
        </w:rPr>
        <w:t xml:space="preserve"> </w:t>
      </w:r>
      <w:r w:rsidR="005268AA">
        <w:rPr>
          <w:color w:val="auto"/>
          <w:lang w:eastAsia="es-MX"/>
        </w:rPr>
        <w:t xml:space="preserve">por ciento. Así, superó </w:t>
      </w:r>
      <w:r w:rsidR="009B4895" w:rsidRPr="005430F9">
        <w:rPr>
          <w:color w:val="auto"/>
          <w:lang w:eastAsia="es-MX"/>
        </w:rPr>
        <w:t>el</w:t>
      </w:r>
      <w:r w:rsidR="00250654" w:rsidRPr="005430F9">
        <w:rPr>
          <w:color w:val="auto"/>
          <w:lang w:eastAsia="es-MX"/>
        </w:rPr>
        <w:t xml:space="preserve"> nivel registrado en 2020</w:t>
      </w:r>
      <w:r w:rsidR="005268AA">
        <w:rPr>
          <w:color w:val="auto"/>
          <w:lang w:eastAsia="es-MX"/>
        </w:rPr>
        <w:t>,</w:t>
      </w:r>
      <w:r w:rsidR="00250654" w:rsidRPr="005430F9">
        <w:rPr>
          <w:color w:val="auto"/>
          <w:lang w:eastAsia="es-MX"/>
        </w:rPr>
        <w:t xml:space="preserve"> que </w:t>
      </w:r>
      <w:r w:rsidR="00D350C2" w:rsidRPr="005430F9">
        <w:rPr>
          <w:color w:val="auto"/>
          <w:lang w:eastAsia="es-MX"/>
        </w:rPr>
        <w:t xml:space="preserve">fue de </w:t>
      </w:r>
      <w:r w:rsidR="00250654" w:rsidRPr="005430F9">
        <w:rPr>
          <w:color w:val="auto"/>
          <w:lang w:eastAsia="es-MX"/>
        </w:rPr>
        <w:t>24.1 por ciento.</w:t>
      </w:r>
    </w:p>
    <w:p w14:paraId="2BADC983" w14:textId="658C303F" w:rsidR="00D350C2" w:rsidRDefault="00D350C2" w:rsidP="00250654">
      <w:pPr>
        <w:widowControl w:val="0"/>
        <w:autoSpaceDE w:val="0"/>
        <w:autoSpaceDN w:val="0"/>
        <w:adjustRightInd w:val="0"/>
        <w:spacing w:after="0" w:line="240" w:lineRule="auto"/>
        <w:jc w:val="center"/>
        <w:rPr>
          <w:rFonts w:ascii="Arial" w:hAnsi="Arial" w:cs="Arial"/>
          <w:b/>
          <w:szCs w:val="24"/>
          <w:lang w:eastAsia="es-MX"/>
        </w:rPr>
      </w:pPr>
    </w:p>
    <w:p w14:paraId="4E23DB9E" w14:textId="77777777" w:rsidR="001D508A" w:rsidRDefault="001D508A" w:rsidP="00250654">
      <w:pPr>
        <w:widowControl w:val="0"/>
        <w:autoSpaceDE w:val="0"/>
        <w:autoSpaceDN w:val="0"/>
        <w:adjustRightInd w:val="0"/>
        <w:spacing w:after="0" w:line="240" w:lineRule="auto"/>
        <w:jc w:val="center"/>
        <w:rPr>
          <w:rFonts w:ascii="Arial" w:hAnsi="Arial" w:cs="Arial"/>
          <w:b/>
          <w:szCs w:val="24"/>
          <w:lang w:eastAsia="es-MX"/>
        </w:rPr>
      </w:pPr>
    </w:p>
    <w:p w14:paraId="6BD594B0" w14:textId="3F9DBF8F" w:rsidR="00250654" w:rsidRPr="005430F9" w:rsidRDefault="00250654" w:rsidP="00250654">
      <w:pPr>
        <w:widowControl w:val="0"/>
        <w:autoSpaceDE w:val="0"/>
        <w:autoSpaceDN w:val="0"/>
        <w:adjustRightInd w:val="0"/>
        <w:spacing w:after="0" w:line="240" w:lineRule="auto"/>
        <w:jc w:val="center"/>
        <w:rPr>
          <w:rFonts w:ascii="Arial" w:hAnsi="Arial" w:cs="Arial"/>
          <w:sz w:val="20"/>
          <w:szCs w:val="20"/>
          <w:lang w:eastAsia="es-MX"/>
        </w:rPr>
      </w:pPr>
      <w:r w:rsidRPr="005430F9">
        <w:rPr>
          <w:rFonts w:ascii="Arial" w:hAnsi="Arial" w:cs="Arial"/>
          <w:sz w:val="20"/>
          <w:szCs w:val="20"/>
          <w:lang w:eastAsia="es-MX"/>
        </w:rPr>
        <w:t>Gráfica 6</w:t>
      </w:r>
    </w:p>
    <w:p w14:paraId="74539B7F" w14:textId="77777777" w:rsidR="00927B51" w:rsidRDefault="00F85500">
      <w:pPr>
        <w:widowControl w:val="0"/>
        <w:autoSpaceDE w:val="0"/>
        <w:autoSpaceDN w:val="0"/>
        <w:adjustRightInd w:val="0"/>
        <w:spacing w:after="0" w:line="240" w:lineRule="auto"/>
        <w:jc w:val="center"/>
        <w:rPr>
          <w:rFonts w:ascii="Arial Negrita" w:hAnsi="Arial Negrita" w:cs="Arial"/>
          <w:b/>
          <w:bCs/>
          <w:smallCaps/>
          <w:color w:val="000000"/>
        </w:rPr>
      </w:pPr>
      <w:r w:rsidRPr="005268AA">
        <w:rPr>
          <w:rFonts w:ascii="Arial Negrita" w:hAnsi="Arial Negrita" w:cs="Arial"/>
          <w:b/>
          <w:bCs/>
          <w:smallCaps/>
          <w:color w:val="000000"/>
        </w:rPr>
        <w:t>E</w:t>
      </w:r>
      <w:r w:rsidR="00250654" w:rsidRPr="005268AA">
        <w:rPr>
          <w:rFonts w:ascii="Arial Negrita" w:hAnsi="Arial Negrita" w:cs="Arial"/>
          <w:b/>
          <w:bCs/>
          <w:smallCaps/>
          <w:color w:val="000000"/>
        </w:rPr>
        <w:t>mpresas constructoras que capacitaron</w:t>
      </w:r>
      <w:r w:rsidRPr="005268AA">
        <w:rPr>
          <w:rFonts w:ascii="Arial Negrita" w:hAnsi="Arial Negrita" w:cs="Arial"/>
          <w:b/>
          <w:bCs/>
          <w:smallCaps/>
          <w:color w:val="000000"/>
        </w:rPr>
        <w:t xml:space="preserve"> </w:t>
      </w:r>
      <w:r w:rsidR="00250654" w:rsidRPr="005268AA">
        <w:rPr>
          <w:rFonts w:ascii="Arial Negrita" w:hAnsi="Arial Negrita" w:cs="Arial"/>
          <w:b/>
          <w:bCs/>
          <w:smallCaps/>
          <w:color w:val="000000"/>
        </w:rPr>
        <w:t>al personal dependiente</w:t>
      </w:r>
      <w:r w:rsidR="00543103" w:rsidRPr="005268AA">
        <w:rPr>
          <w:rFonts w:ascii="Arial Negrita" w:hAnsi="Arial Negrita" w:cs="Arial"/>
          <w:b/>
          <w:bCs/>
          <w:smallCaps/>
          <w:color w:val="000000"/>
        </w:rPr>
        <w:t xml:space="preserve"> </w:t>
      </w:r>
    </w:p>
    <w:p w14:paraId="131167CC" w14:textId="4FA7D2ED" w:rsidR="00250654" w:rsidRPr="005268AA" w:rsidRDefault="00543103">
      <w:pPr>
        <w:widowControl w:val="0"/>
        <w:autoSpaceDE w:val="0"/>
        <w:autoSpaceDN w:val="0"/>
        <w:adjustRightInd w:val="0"/>
        <w:spacing w:after="0" w:line="240" w:lineRule="auto"/>
        <w:jc w:val="center"/>
        <w:rPr>
          <w:rFonts w:ascii="Arial Negrita" w:hAnsi="Arial Negrita" w:cs="Arial"/>
          <w:b/>
          <w:bCs/>
          <w:smallCaps/>
          <w:color w:val="000000"/>
        </w:rPr>
      </w:pPr>
      <w:r w:rsidRPr="005268AA">
        <w:rPr>
          <w:rFonts w:ascii="Arial Negrita" w:hAnsi="Arial Negrita" w:cs="Arial"/>
          <w:b/>
          <w:bCs/>
          <w:smallCaps/>
          <w:color w:val="000000"/>
        </w:rPr>
        <w:t xml:space="preserve">de la razón social </w:t>
      </w:r>
    </w:p>
    <w:p w14:paraId="1DC7B994" w14:textId="77777777" w:rsidR="00250654" w:rsidRPr="00927B51" w:rsidRDefault="00250654" w:rsidP="00250654">
      <w:pPr>
        <w:widowControl w:val="0"/>
        <w:autoSpaceDE w:val="0"/>
        <w:autoSpaceDN w:val="0"/>
        <w:adjustRightInd w:val="0"/>
        <w:spacing w:after="0" w:line="240" w:lineRule="auto"/>
        <w:jc w:val="center"/>
        <w:rPr>
          <w:rFonts w:ascii="Arial" w:hAnsi="Arial" w:cs="Arial"/>
          <w:bCs/>
          <w:color w:val="000000"/>
          <w:sz w:val="18"/>
          <w:szCs w:val="18"/>
        </w:rPr>
      </w:pPr>
      <w:r w:rsidRPr="00927B51">
        <w:rPr>
          <w:rFonts w:ascii="Arial" w:hAnsi="Arial" w:cs="Arial"/>
          <w:bCs/>
          <w:color w:val="000000"/>
          <w:sz w:val="18"/>
          <w:szCs w:val="18"/>
        </w:rPr>
        <w:t>(Porcentaje)</w:t>
      </w:r>
    </w:p>
    <w:p w14:paraId="12272CA6" w14:textId="77777777" w:rsidR="00250654" w:rsidRDefault="00250654" w:rsidP="00250654">
      <w:pPr>
        <w:widowControl w:val="0"/>
        <w:autoSpaceDE w:val="0"/>
        <w:autoSpaceDN w:val="0"/>
        <w:adjustRightInd w:val="0"/>
        <w:spacing w:after="0" w:line="240" w:lineRule="auto"/>
        <w:jc w:val="center"/>
        <w:rPr>
          <w:rFonts w:ascii="Arial" w:hAnsi="Arial" w:cs="Arial"/>
          <w:b/>
          <w:bCs/>
          <w:color w:val="000000"/>
        </w:rPr>
      </w:pPr>
      <w:r>
        <w:rPr>
          <w:noProof/>
        </w:rPr>
        <w:drawing>
          <wp:inline distT="0" distB="0" distL="0" distR="0" wp14:anchorId="518CC770" wp14:editId="5B57BAD8">
            <wp:extent cx="4863465" cy="1702340"/>
            <wp:effectExtent l="0" t="0" r="0" b="0"/>
            <wp:docPr id="19" name="Gráfico 19">
              <a:extLst xmlns:a="http://schemas.openxmlformats.org/drawingml/2006/main">
                <a:ext uri="{FF2B5EF4-FFF2-40B4-BE49-F238E27FC236}">
                  <a16:creationId xmlns:a16="http://schemas.microsoft.com/office/drawing/2014/main" id="{07056783-978A-46DE-94F4-25EC16214E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3E89388" w14:textId="2B0DD07F" w:rsidR="00250654" w:rsidRDefault="00250654" w:rsidP="00250654">
      <w:pPr>
        <w:pStyle w:val="Default"/>
        <w:jc w:val="both"/>
        <w:rPr>
          <w:color w:val="auto"/>
          <w:sz w:val="16"/>
          <w:lang w:eastAsia="es-MX"/>
        </w:rPr>
      </w:pPr>
      <w:r>
        <w:rPr>
          <w:color w:val="auto"/>
          <w:sz w:val="16"/>
          <w:vertAlign w:val="superscript"/>
          <w:lang w:eastAsia="es-MX"/>
        </w:rPr>
        <w:t xml:space="preserve">     P/ </w:t>
      </w:r>
      <w:r>
        <w:rPr>
          <w:color w:val="auto"/>
          <w:sz w:val="16"/>
          <w:lang w:eastAsia="es-MX"/>
        </w:rPr>
        <w:t xml:space="preserve">Cifras preliminares </w:t>
      </w:r>
    </w:p>
    <w:p w14:paraId="0C7076DE" w14:textId="13B5F48C" w:rsidR="00250654" w:rsidRDefault="00250654" w:rsidP="00250654">
      <w:pPr>
        <w:pStyle w:val="Default"/>
        <w:jc w:val="both"/>
        <w:rPr>
          <w:b/>
          <w:color w:val="auto"/>
          <w:sz w:val="16"/>
          <w:lang w:eastAsia="es-MX"/>
        </w:rPr>
      </w:pPr>
      <w:r>
        <w:rPr>
          <w:color w:val="auto"/>
          <w:sz w:val="16"/>
          <w:lang w:eastAsia="es-MX"/>
        </w:rPr>
        <w:t xml:space="preserve">    </w:t>
      </w:r>
      <w:r w:rsidRPr="00BF15FB">
        <w:rPr>
          <w:color w:val="auto"/>
          <w:sz w:val="16"/>
          <w:lang w:eastAsia="es-MX"/>
        </w:rPr>
        <w:t xml:space="preserve">Fuente: </w:t>
      </w:r>
      <w:r w:rsidRPr="005430F9">
        <w:rPr>
          <w:color w:val="auto"/>
          <w:sz w:val="16"/>
          <w:lang w:eastAsia="es-MX"/>
        </w:rPr>
        <w:t>INEGI</w:t>
      </w:r>
    </w:p>
    <w:p w14:paraId="234A02EF" w14:textId="77777777" w:rsidR="00250654" w:rsidRDefault="00250654" w:rsidP="00BB32E4">
      <w:pPr>
        <w:pStyle w:val="Default"/>
        <w:jc w:val="both"/>
        <w:rPr>
          <w:color w:val="auto"/>
          <w:sz w:val="22"/>
          <w:lang w:eastAsia="es-MX"/>
        </w:rPr>
      </w:pPr>
    </w:p>
    <w:p w14:paraId="5E748D7C" w14:textId="3A2EDCF2" w:rsidR="005268AA" w:rsidRPr="005430F9" w:rsidRDefault="001236F4" w:rsidP="005268AA">
      <w:pPr>
        <w:pStyle w:val="Default"/>
        <w:ind w:left="-567" w:right="-518"/>
        <w:jc w:val="both"/>
        <w:rPr>
          <w:color w:val="auto"/>
          <w:lang w:eastAsia="es-MX"/>
        </w:rPr>
      </w:pPr>
      <w:r w:rsidRPr="005430F9">
        <w:rPr>
          <w:color w:val="auto"/>
          <w:lang w:eastAsia="es-MX"/>
        </w:rPr>
        <w:t xml:space="preserve">Los gastos </w:t>
      </w:r>
      <w:r w:rsidR="00752A92">
        <w:rPr>
          <w:color w:val="auto"/>
          <w:lang w:eastAsia="es-MX"/>
        </w:rPr>
        <w:t>a través de</w:t>
      </w:r>
      <w:r w:rsidR="00752A92" w:rsidRPr="005430F9">
        <w:rPr>
          <w:color w:val="auto"/>
          <w:lang w:eastAsia="es-MX"/>
        </w:rPr>
        <w:t xml:space="preserve"> </w:t>
      </w:r>
      <w:r w:rsidR="00543103" w:rsidRPr="005430F9">
        <w:rPr>
          <w:color w:val="auto"/>
          <w:lang w:eastAsia="es-MX"/>
        </w:rPr>
        <w:t>medios electrónicos</w:t>
      </w:r>
      <w:r w:rsidRPr="005430F9">
        <w:rPr>
          <w:color w:val="auto"/>
          <w:lang w:eastAsia="es-MX"/>
        </w:rPr>
        <w:t xml:space="preserve"> representa</w:t>
      </w:r>
      <w:r w:rsidR="00EA1A7A" w:rsidRPr="005430F9">
        <w:rPr>
          <w:color w:val="auto"/>
          <w:lang w:eastAsia="es-MX"/>
        </w:rPr>
        <w:t>ron</w:t>
      </w:r>
      <w:r w:rsidRPr="005430F9">
        <w:rPr>
          <w:color w:val="auto"/>
          <w:lang w:eastAsia="es-MX"/>
        </w:rPr>
        <w:t xml:space="preserve"> </w:t>
      </w:r>
      <w:r w:rsidR="00AD2826" w:rsidRPr="005430F9">
        <w:rPr>
          <w:color w:val="auto"/>
          <w:lang w:eastAsia="es-MX"/>
        </w:rPr>
        <w:t>26.3</w:t>
      </w:r>
      <w:r w:rsidR="00752A92">
        <w:rPr>
          <w:color w:val="auto"/>
          <w:lang w:eastAsia="es-MX"/>
        </w:rPr>
        <w:t xml:space="preserve"> </w:t>
      </w:r>
      <w:r w:rsidRPr="005430F9">
        <w:rPr>
          <w:color w:val="auto"/>
          <w:lang w:eastAsia="es-MX"/>
        </w:rPr>
        <w:t xml:space="preserve">% del total de los </w:t>
      </w:r>
      <w:r w:rsidR="00927B51">
        <w:rPr>
          <w:color w:val="auto"/>
          <w:lang w:eastAsia="es-MX"/>
        </w:rPr>
        <w:t xml:space="preserve">                       </w:t>
      </w:r>
      <w:r w:rsidR="007B0A59">
        <w:rPr>
          <w:color w:val="auto"/>
          <w:lang w:eastAsia="es-MX"/>
        </w:rPr>
        <w:t xml:space="preserve">324 mil millones de </w:t>
      </w:r>
      <w:r w:rsidRPr="005430F9">
        <w:rPr>
          <w:color w:val="auto"/>
          <w:lang w:eastAsia="es-MX"/>
        </w:rPr>
        <w:t xml:space="preserve">gastos </w:t>
      </w:r>
      <w:r w:rsidR="00EA1A7A" w:rsidRPr="005430F9">
        <w:rPr>
          <w:color w:val="auto"/>
          <w:lang w:eastAsia="es-MX"/>
        </w:rPr>
        <w:t xml:space="preserve">por consumo de bienes y servicios </w:t>
      </w:r>
      <w:r w:rsidR="00752A92">
        <w:rPr>
          <w:color w:val="auto"/>
          <w:lang w:eastAsia="es-MX"/>
        </w:rPr>
        <w:t xml:space="preserve">que </w:t>
      </w:r>
      <w:r w:rsidRPr="005430F9">
        <w:rPr>
          <w:color w:val="auto"/>
          <w:lang w:eastAsia="es-MX"/>
        </w:rPr>
        <w:t>reporta</w:t>
      </w:r>
      <w:r w:rsidR="00752A92">
        <w:rPr>
          <w:color w:val="auto"/>
          <w:lang w:eastAsia="es-MX"/>
        </w:rPr>
        <w:t>ron</w:t>
      </w:r>
      <w:r w:rsidRPr="005430F9">
        <w:rPr>
          <w:color w:val="auto"/>
          <w:lang w:eastAsia="es-MX"/>
        </w:rPr>
        <w:t xml:space="preserve"> las </w:t>
      </w:r>
      <w:r w:rsidR="00D13BBC" w:rsidRPr="005430F9">
        <w:rPr>
          <w:color w:val="auto"/>
          <w:lang w:eastAsia="es-MX"/>
        </w:rPr>
        <w:t>e</w:t>
      </w:r>
      <w:r w:rsidR="006A097E" w:rsidRPr="005430F9">
        <w:rPr>
          <w:color w:val="auto"/>
          <w:lang w:eastAsia="es-MX"/>
        </w:rPr>
        <w:t>mpresas constructoras</w:t>
      </w:r>
      <w:r w:rsidRPr="005430F9">
        <w:rPr>
          <w:color w:val="auto"/>
          <w:lang w:eastAsia="es-MX"/>
        </w:rPr>
        <w:t xml:space="preserve"> en 202</w:t>
      </w:r>
      <w:r w:rsidR="00AD2826" w:rsidRPr="005430F9">
        <w:rPr>
          <w:color w:val="auto"/>
          <w:lang w:eastAsia="es-MX"/>
        </w:rPr>
        <w:t>1</w:t>
      </w:r>
      <w:r w:rsidRPr="005430F9">
        <w:rPr>
          <w:color w:val="auto"/>
          <w:lang w:eastAsia="es-MX"/>
        </w:rPr>
        <w:t>.</w:t>
      </w:r>
      <w:r w:rsidR="005268AA" w:rsidRPr="005268AA">
        <w:rPr>
          <w:color w:val="auto"/>
          <w:lang w:eastAsia="es-MX"/>
        </w:rPr>
        <w:t xml:space="preserve"> </w:t>
      </w:r>
      <w:r w:rsidR="005268AA" w:rsidRPr="00752A92">
        <w:rPr>
          <w:color w:val="auto"/>
          <w:lang w:eastAsia="es-MX"/>
        </w:rPr>
        <w:t>En</w:t>
      </w:r>
      <w:r w:rsidR="005268AA">
        <w:rPr>
          <w:color w:val="auto"/>
          <w:lang w:eastAsia="es-MX"/>
        </w:rPr>
        <w:t xml:space="preserve"> ese mismo año, </w:t>
      </w:r>
      <w:r w:rsidR="005268AA" w:rsidRPr="00752A92">
        <w:rPr>
          <w:color w:val="auto"/>
          <w:lang w:eastAsia="es-MX"/>
        </w:rPr>
        <w:t>l</w:t>
      </w:r>
      <w:r w:rsidR="005268AA" w:rsidRPr="005430F9">
        <w:rPr>
          <w:color w:val="auto"/>
          <w:lang w:eastAsia="es-MX"/>
        </w:rPr>
        <w:t xml:space="preserve">os gastos efectuados a través </w:t>
      </w:r>
      <w:r w:rsidR="005268AA" w:rsidRPr="005430F9">
        <w:rPr>
          <w:i/>
          <w:color w:val="auto"/>
          <w:lang w:eastAsia="es-MX"/>
        </w:rPr>
        <w:t>páginas web de proveedores</w:t>
      </w:r>
      <w:r w:rsidR="005268AA" w:rsidRPr="005430F9">
        <w:rPr>
          <w:color w:val="auto"/>
          <w:lang w:eastAsia="es-MX"/>
        </w:rPr>
        <w:t xml:space="preserve"> y </w:t>
      </w:r>
      <w:r w:rsidR="005268AA" w:rsidRPr="005430F9">
        <w:rPr>
          <w:i/>
          <w:color w:val="auto"/>
          <w:lang w:eastAsia="es-MX"/>
        </w:rPr>
        <w:t>correo electrónico</w:t>
      </w:r>
      <w:r w:rsidR="005268AA" w:rsidRPr="005430F9">
        <w:rPr>
          <w:color w:val="auto"/>
          <w:lang w:eastAsia="es-MX"/>
        </w:rPr>
        <w:t xml:space="preserve"> aporta</w:t>
      </w:r>
      <w:r w:rsidR="005268AA" w:rsidRPr="00752A92">
        <w:rPr>
          <w:color w:val="auto"/>
          <w:lang w:eastAsia="es-MX"/>
        </w:rPr>
        <w:t>ro</w:t>
      </w:r>
      <w:r w:rsidR="005268AA" w:rsidRPr="005430F9">
        <w:rPr>
          <w:color w:val="auto"/>
          <w:lang w:eastAsia="es-MX"/>
        </w:rPr>
        <w:t>n 50</w:t>
      </w:r>
      <w:r w:rsidR="005268AA" w:rsidRPr="00752A92">
        <w:rPr>
          <w:color w:val="auto"/>
          <w:lang w:eastAsia="es-MX"/>
        </w:rPr>
        <w:t xml:space="preserve">.0 </w:t>
      </w:r>
      <w:r w:rsidR="005268AA" w:rsidRPr="005430F9">
        <w:rPr>
          <w:color w:val="auto"/>
          <w:lang w:eastAsia="es-MX"/>
        </w:rPr>
        <w:t xml:space="preserve">% del total de las transacciones </w:t>
      </w:r>
      <w:r w:rsidR="005268AA" w:rsidRPr="00752A92">
        <w:rPr>
          <w:color w:val="auto"/>
          <w:lang w:eastAsia="es-MX"/>
        </w:rPr>
        <w:t xml:space="preserve">que se </w:t>
      </w:r>
      <w:r w:rsidR="005268AA" w:rsidRPr="005430F9">
        <w:rPr>
          <w:color w:val="auto"/>
          <w:lang w:eastAsia="es-MX"/>
        </w:rPr>
        <w:t>realiza</w:t>
      </w:r>
      <w:r w:rsidR="005268AA" w:rsidRPr="00752A92">
        <w:rPr>
          <w:color w:val="auto"/>
          <w:lang w:eastAsia="es-MX"/>
        </w:rPr>
        <w:t>ron</w:t>
      </w:r>
      <w:r w:rsidR="005268AA" w:rsidRPr="005430F9">
        <w:rPr>
          <w:color w:val="auto"/>
          <w:lang w:eastAsia="es-MX"/>
        </w:rPr>
        <w:t xml:space="preserve"> por medios electrónicos.</w:t>
      </w:r>
    </w:p>
    <w:p w14:paraId="3864AC62" w14:textId="77777777" w:rsidR="005268AA" w:rsidRDefault="005268AA" w:rsidP="005268AA">
      <w:pPr>
        <w:pStyle w:val="Default"/>
        <w:jc w:val="center"/>
        <w:rPr>
          <w:b/>
          <w:color w:val="auto"/>
          <w:sz w:val="22"/>
          <w:lang w:eastAsia="es-MX"/>
        </w:rPr>
      </w:pPr>
    </w:p>
    <w:p w14:paraId="1B31F74D" w14:textId="77777777" w:rsidR="00752A92" w:rsidRPr="005430F9" w:rsidRDefault="00752A92" w:rsidP="005430F9">
      <w:pPr>
        <w:pStyle w:val="Default"/>
        <w:ind w:left="-567" w:right="-518"/>
        <w:jc w:val="both"/>
        <w:rPr>
          <w:color w:val="auto"/>
          <w:lang w:eastAsia="es-MX"/>
        </w:rPr>
      </w:pPr>
    </w:p>
    <w:p w14:paraId="3E39ECD8" w14:textId="409C2B00" w:rsidR="005A1E42" w:rsidRPr="005430F9" w:rsidRDefault="005A1E42" w:rsidP="005A1E42">
      <w:pPr>
        <w:pStyle w:val="Default"/>
        <w:jc w:val="center"/>
        <w:rPr>
          <w:color w:val="auto"/>
          <w:sz w:val="20"/>
          <w:szCs w:val="20"/>
          <w:lang w:eastAsia="es-MX"/>
        </w:rPr>
      </w:pPr>
      <w:r w:rsidRPr="005430F9">
        <w:rPr>
          <w:color w:val="auto"/>
          <w:sz w:val="20"/>
          <w:szCs w:val="20"/>
          <w:lang w:eastAsia="es-MX"/>
        </w:rPr>
        <w:t xml:space="preserve">Gráfica </w:t>
      </w:r>
      <w:r w:rsidR="00250654" w:rsidRPr="005430F9">
        <w:rPr>
          <w:color w:val="auto"/>
          <w:sz w:val="20"/>
          <w:szCs w:val="20"/>
          <w:lang w:eastAsia="es-MX"/>
        </w:rPr>
        <w:t>7</w:t>
      </w:r>
    </w:p>
    <w:p w14:paraId="72C1B524" w14:textId="46A4366A" w:rsidR="00F85500" w:rsidRDefault="007B0A59" w:rsidP="004C02D2">
      <w:pPr>
        <w:pStyle w:val="Default"/>
        <w:jc w:val="center"/>
        <w:rPr>
          <w:rFonts w:ascii="Arial Negrita" w:hAnsi="Arial Negrita"/>
          <w:b/>
          <w:smallCaps/>
          <w:color w:val="auto"/>
          <w:sz w:val="22"/>
          <w:lang w:eastAsia="es-MX"/>
        </w:rPr>
      </w:pPr>
      <w:r>
        <w:rPr>
          <w:rFonts w:ascii="Arial Negrita" w:hAnsi="Arial Negrita"/>
          <w:b/>
          <w:smallCaps/>
          <w:color w:val="auto"/>
          <w:sz w:val="22"/>
          <w:lang w:eastAsia="es-MX"/>
        </w:rPr>
        <w:t>Medios</w:t>
      </w:r>
      <w:r w:rsidRPr="005430F9">
        <w:rPr>
          <w:rFonts w:ascii="Arial Negrita" w:hAnsi="Arial Negrita"/>
          <w:b/>
          <w:smallCaps/>
          <w:color w:val="auto"/>
          <w:sz w:val="22"/>
          <w:lang w:eastAsia="es-MX"/>
        </w:rPr>
        <w:t xml:space="preserve"> </w:t>
      </w:r>
      <w:r w:rsidR="00D47598" w:rsidRPr="005430F9">
        <w:rPr>
          <w:rFonts w:ascii="Arial Negrita" w:hAnsi="Arial Negrita"/>
          <w:b/>
          <w:smallCaps/>
          <w:color w:val="auto"/>
          <w:sz w:val="22"/>
          <w:lang w:eastAsia="es-MX"/>
        </w:rPr>
        <w:t xml:space="preserve">de transacción </w:t>
      </w:r>
      <w:r w:rsidR="00F85500">
        <w:rPr>
          <w:rFonts w:ascii="Arial Negrita" w:hAnsi="Arial Negrita"/>
          <w:b/>
          <w:smallCaps/>
          <w:color w:val="auto"/>
          <w:sz w:val="22"/>
          <w:lang w:eastAsia="es-MX"/>
        </w:rPr>
        <w:t>de</w:t>
      </w:r>
      <w:r w:rsidR="00D47598" w:rsidRPr="005430F9">
        <w:rPr>
          <w:rFonts w:ascii="Arial Negrita" w:hAnsi="Arial Negrita"/>
          <w:b/>
          <w:smallCaps/>
          <w:color w:val="auto"/>
          <w:sz w:val="22"/>
          <w:lang w:eastAsia="es-MX"/>
        </w:rPr>
        <w:t xml:space="preserve"> los </w:t>
      </w:r>
      <w:r w:rsidR="005A1E42" w:rsidRPr="005430F9">
        <w:rPr>
          <w:rFonts w:ascii="Arial Negrita" w:hAnsi="Arial Negrita"/>
          <w:b/>
          <w:smallCaps/>
          <w:color w:val="auto"/>
          <w:sz w:val="22"/>
          <w:lang w:eastAsia="es-MX"/>
        </w:rPr>
        <w:t>gastos</w:t>
      </w:r>
      <w:r w:rsidR="00D47598" w:rsidRPr="005430F9">
        <w:rPr>
          <w:rFonts w:ascii="Arial Negrita" w:hAnsi="Arial Negrita"/>
          <w:b/>
          <w:smallCaps/>
          <w:color w:val="auto"/>
          <w:sz w:val="22"/>
          <w:lang w:eastAsia="es-MX"/>
        </w:rPr>
        <w:t xml:space="preserve"> </w:t>
      </w:r>
      <w:r w:rsidR="00F85500">
        <w:rPr>
          <w:rFonts w:ascii="Arial Negrita" w:hAnsi="Arial Negrita"/>
          <w:b/>
          <w:smallCaps/>
          <w:color w:val="auto"/>
          <w:sz w:val="22"/>
          <w:lang w:eastAsia="es-MX"/>
        </w:rPr>
        <w:t xml:space="preserve">que las empresas constructoras </w:t>
      </w:r>
    </w:p>
    <w:p w14:paraId="4F3FF4D5" w14:textId="199EB78A" w:rsidR="004C02D2" w:rsidRPr="005430F9" w:rsidRDefault="00D47598" w:rsidP="004C02D2">
      <w:pPr>
        <w:pStyle w:val="Default"/>
        <w:jc w:val="center"/>
        <w:rPr>
          <w:rFonts w:ascii="Arial Negrita" w:hAnsi="Arial Negrita"/>
          <w:b/>
          <w:smallCaps/>
          <w:color w:val="auto"/>
          <w:sz w:val="22"/>
          <w:vertAlign w:val="superscript"/>
          <w:lang w:eastAsia="es-MX"/>
        </w:rPr>
      </w:pPr>
      <w:r w:rsidRPr="005430F9">
        <w:rPr>
          <w:rFonts w:ascii="Arial Negrita" w:hAnsi="Arial Negrita"/>
          <w:b/>
          <w:smallCaps/>
          <w:color w:val="auto"/>
          <w:sz w:val="22"/>
          <w:lang w:eastAsia="es-MX"/>
        </w:rPr>
        <w:t>realiza</w:t>
      </w:r>
      <w:r w:rsidR="00F85500">
        <w:rPr>
          <w:rFonts w:ascii="Arial Negrita" w:hAnsi="Arial Negrita"/>
          <w:b/>
          <w:smallCaps/>
          <w:color w:val="auto"/>
          <w:sz w:val="22"/>
          <w:lang w:eastAsia="es-MX"/>
        </w:rPr>
        <w:t>ron</w:t>
      </w:r>
      <w:r w:rsidRPr="005430F9">
        <w:rPr>
          <w:rFonts w:ascii="Arial Negrita" w:hAnsi="Arial Negrita"/>
          <w:b/>
          <w:smallCaps/>
          <w:color w:val="auto"/>
          <w:sz w:val="22"/>
          <w:lang w:eastAsia="es-MX"/>
        </w:rPr>
        <w:t xml:space="preserve"> </w:t>
      </w:r>
      <w:r w:rsidR="00CE3D2F">
        <w:rPr>
          <w:rFonts w:ascii="Arial Negrita" w:hAnsi="Arial Negrita"/>
          <w:b/>
          <w:smallCaps/>
          <w:color w:val="auto"/>
          <w:sz w:val="22"/>
          <w:lang w:eastAsia="es-MX"/>
        </w:rPr>
        <w:t xml:space="preserve">a través de </w:t>
      </w:r>
      <w:r w:rsidRPr="005430F9">
        <w:rPr>
          <w:rFonts w:ascii="Arial Negrita" w:hAnsi="Arial Negrita"/>
          <w:b/>
          <w:smallCaps/>
          <w:color w:val="auto"/>
          <w:sz w:val="22"/>
          <w:lang w:eastAsia="es-MX"/>
        </w:rPr>
        <w:t>medios electrónicos</w:t>
      </w:r>
      <w:r w:rsidR="004C02D2" w:rsidRPr="005430F9">
        <w:rPr>
          <w:rFonts w:ascii="Arial Negrita" w:hAnsi="Arial Negrita"/>
          <w:b/>
          <w:smallCaps/>
          <w:color w:val="auto"/>
          <w:sz w:val="22"/>
          <w:lang w:eastAsia="es-MX"/>
        </w:rPr>
        <w:t xml:space="preserve"> </w:t>
      </w:r>
    </w:p>
    <w:p w14:paraId="49B7261D" w14:textId="43546F6E" w:rsidR="00DB1D72" w:rsidRPr="005430F9" w:rsidRDefault="00543103" w:rsidP="00DB1D72">
      <w:pPr>
        <w:pStyle w:val="Default"/>
        <w:jc w:val="center"/>
        <w:rPr>
          <w:noProof/>
          <w:sz w:val="18"/>
          <w:szCs w:val="18"/>
          <w:lang w:eastAsia="es-MX"/>
        </w:rPr>
      </w:pPr>
      <w:r w:rsidRPr="005430F9">
        <w:rPr>
          <w:noProof/>
          <w:sz w:val="18"/>
          <w:szCs w:val="18"/>
        </w:rPr>
        <w:drawing>
          <wp:anchor distT="0" distB="0" distL="114300" distR="114300" simplePos="0" relativeHeight="251664384" behindDoc="0" locked="0" layoutInCell="1" allowOverlap="1" wp14:anchorId="0C0E52BC" wp14:editId="08FBBEAD">
            <wp:simplePos x="0" y="0"/>
            <wp:positionH relativeFrom="margin">
              <wp:align>center</wp:align>
            </wp:positionH>
            <wp:positionV relativeFrom="paragraph">
              <wp:posOffset>219656</wp:posOffset>
            </wp:positionV>
            <wp:extent cx="5437505" cy="2259330"/>
            <wp:effectExtent l="0" t="0" r="0" b="7620"/>
            <wp:wrapSquare wrapText="bothSides"/>
            <wp:docPr id="20" name="Gráfico 20">
              <a:extLst xmlns:a="http://schemas.openxmlformats.org/drawingml/2006/main">
                <a:ext uri="{FF2B5EF4-FFF2-40B4-BE49-F238E27FC236}">
                  <a16:creationId xmlns:a16="http://schemas.microsoft.com/office/drawing/2014/main" id="{36F01C22-11B2-47C5-923F-FB715EB313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4C02D2" w:rsidRPr="005430F9">
        <w:rPr>
          <w:color w:val="auto"/>
          <w:sz w:val="18"/>
          <w:szCs w:val="18"/>
          <w:lang w:eastAsia="es-MX"/>
        </w:rPr>
        <w:t xml:space="preserve">(Porcentaje) </w:t>
      </w:r>
    </w:p>
    <w:p w14:paraId="1C479723" w14:textId="3F96B082" w:rsidR="005A1E42" w:rsidRDefault="005A1E42" w:rsidP="00037E53">
      <w:pPr>
        <w:pStyle w:val="Default"/>
        <w:ind w:firstLine="142"/>
        <w:jc w:val="both"/>
        <w:rPr>
          <w:color w:val="auto"/>
          <w:sz w:val="16"/>
          <w:lang w:eastAsia="es-MX"/>
        </w:rPr>
      </w:pPr>
      <w:r>
        <w:rPr>
          <w:color w:val="auto"/>
          <w:sz w:val="16"/>
          <w:vertAlign w:val="superscript"/>
          <w:lang w:eastAsia="es-MX"/>
        </w:rPr>
        <w:t xml:space="preserve">  </w:t>
      </w:r>
      <w:r w:rsidR="00B14B1C">
        <w:rPr>
          <w:color w:val="auto"/>
          <w:sz w:val="16"/>
          <w:vertAlign w:val="superscript"/>
          <w:lang w:eastAsia="es-MX"/>
        </w:rPr>
        <w:t>p</w:t>
      </w:r>
      <w:r>
        <w:rPr>
          <w:color w:val="auto"/>
          <w:sz w:val="16"/>
          <w:vertAlign w:val="superscript"/>
          <w:lang w:eastAsia="es-MX"/>
        </w:rPr>
        <w:t xml:space="preserve">/ </w:t>
      </w:r>
      <w:r>
        <w:rPr>
          <w:color w:val="auto"/>
          <w:sz w:val="16"/>
          <w:lang w:eastAsia="es-MX"/>
        </w:rPr>
        <w:t>Cifras preliminares</w:t>
      </w:r>
    </w:p>
    <w:p w14:paraId="017DEA91" w14:textId="345890E4" w:rsidR="005A1E42" w:rsidRPr="00BF15FB" w:rsidRDefault="005A1E42" w:rsidP="00037E53">
      <w:pPr>
        <w:pStyle w:val="Default"/>
        <w:ind w:firstLine="142"/>
        <w:jc w:val="both"/>
        <w:rPr>
          <w:color w:val="auto"/>
          <w:sz w:val="16"/>
          <w:lang w:eastAsia="es-MX"/>
        </w:rPr>
      </w:pPr>
      <w:r>
        <w:rPr>
          <w:color w:val="auto"/>
          <w:sz w:val="16"/>
          <w:lang w:eastAsia="es-MX"/>
        </w:rPr>
        <w:lastRenderedPageBreak/>
        <w:t xml:space="preserve">  </w:t>
      </w:r>
      <w:r w:rsidRPr="00BF15FB">
        <w:rPr>
          <w:color w:val="auto"/>
          <w:sz w:val="16"/>
          <w:lang w:eastAsia="es-MX"/>
        </w:rPr>
        <w:t xml:space="preserve">Fuente: </w:t>
      </w:r>
      <w:r w:rsidRPr="005430F9">
        <w:rPr>
          <w:color w:val="auto"/>
          <w:sz w:val="16"/>
          <w:lang w:eastAsia="es-MX"/>
        </w:rPr>
        <w:t>INEGI</w:t>
      </w:r>
    </w:p>
    <w:p w14:paraId="79FD4AD6" w14:textId="77777777" w:rsidR="003B73F7" w:rsidRDefault="003B73F7" w:rsidP="00E943C0">
      <w:pPr>
        <w:pStyle w:val="Default"/>
        <w:jc w:val="both"/>
        <w:rPr>
          <w:color w:val="auto"/>
          <w:sz w:val="22"/>
          <w:lang w:eastAsia="es-MX"/>
        </w:rPr>
      </w:pPr>
    </w:p>
    <w:p w14:paraId="0919F285" w14:textId="5F704D0A" w:rsidR="004D678A" w:rsidRPr="005430F9" w:rsidRDefault="00CE3D2F" w:rsidP="005430F9">
      <w:pPr>
        <w:pStyle w:val="Default"/>
        <w:ind w:left="-567" w:right="-518"/>
        <w:jc w:val="both"/>
        <w:rPr>
          <w:color w:val="auto"/>
          <w:lang w:eastAsia="es-MX"/>
        </w:rPr>
      </w:pPr>
      <w:r>
        <w:rPr>
          <w:color w:val="auto"/>
          <w:lang w:eastAsia="es-MX"/>
        </w:rPr>
        <w:t>En 2021, l</w:t>
      </w:r>
      <w:r w:rsidR="004D678A" w:rsidRPr="005430F9">
        <w:rPr>
          <w:color w:val="auto"/>
          <w:lang w:eastAsia="es-MX"/>
        </w:rPr>
        <w:t xml:space="preserve">os ingresos obtenidos por </w:t>
      </w:r>
      <w:r w:rsidR="009B4895" w:rsidRPr="005430F9">
        <w:rPr>
          <w:color w:val="auto"/>
          <w:lang w:eastAsia="es-MX"/>
        </w:rPr>
        <w:t>medios</w:t>
      </w:r>
      <w:r w:rsidR="004D678A" w:rsidRPr="005430F9">
        <w:rPr>
          <w:color w:val="auto"/>
          <w:lang w:eastAsia="es-MX"/>
        </w:rPr>
        <w:t xml:space="preserve"> electrónico</w:t>
      </w:r>
      <w:r w:rsidR="009B4895" w:rsidRPr="005430F9">
        <w:rPr>
          <w:color w:val="auto"/>
          <w:lang w:eastAsia="es-MX"/>
        </w:rPr>
        <w:t>s</w:t>
      </w:r>
      <w:r w:rsidR="004D678A" w:rsidRPr="005430F9">
        <w:rPr>
          <w:color w:val="auto"/>
          <w:lang w:eastAsia="es-MX"/>
        </w:rPr>
        <w:t xml:space="preserve"> </w:t>
      </w:r>
      <w:r w:rsidRPr="00845887">
        <w:rPr>
          <w:color w:val="auto"/>
          <w:lang w:eastAsia="es-MX"/>
        </w:rPr>
        <w:t>por el suministro de bienes y servicios de las empresas constructoras</w:t>
      </w:r>
      <w:r>
        <w:rPr>
          <w:color w:val="auto"/>
          <w:lang w:eastAsia="es-MX"/>
        </w:rPr>
        <w:t xml:space="preserve"> </w:t>
      </w:r>
      <w:r w:rsidR="004D678A" w:rsidRPr="005430F9">
        <w:rPr>
          <w:color w:val="auto"/>
          <w:lang w:eastAsia="es-MX"/>
        </w:rPr>
        <w:t>representa</w:t>
      </w:r>
      <w:r>
        <w:rPr>
          <w:color w:val="auto"/>
          <w:lang w:eastAsia="es-MX"/>
        </w:rPr>
        <w:t>ro</w:t>
      </w:r>
      <w:r w:rsidR="004D678A" w:rsidRPr="005430F9">
        <w:rPr>
          <w:color w:val="auto"/>
          <w:lang w:eastAsia="es-MX"/>
        </w:rPr>
        <w:t>n</w:t>
      </w:r>
      <w:r>
        <w:rPr>
          <w:color w:val="auto"/>
          <w:lang w:eastAsia="es-MX"/>
        </w:rPr>
        <w:t xml:space="preserve"> </w:t>
      </w:r>
      <w:r w:rsidR="004D678A" w:rsidRPr="005430F9">
        <w:rPr>
          <w:color w:val="auto"/>
          <w:lang w:eastAsia="es-MX"/>
        </w:rPr>
        <w:t>10.7</w:t>
      </w:r>
      <w:r>
        <w:rPr>
          <w:color w:val="auto"/>
          <w:lang w:eastAsia="es-MX"/>
        </w:rPr>
        <w:t xml:space="preserve"> </w:t>
      </w:r>
      <w:r w:rsidR="004D678A" w:rsidRPr="005430F9">
        <w:rPr>
          <w:color w:val="auto"/>
          <w:lang w:eastAsia="es-MX"/>
        </w:rPr>
        <w:t>% de los ingresos totales</w:t>
      </w:r>
      <w:r w:rsidR="00875C1F">
        <w:rPr>
          <w:color w:val="auto"/>
          <w:lang w:eastAsia="es-MX"/>
        </w:rPr>
        <w:t xml:space="preserve"> que ascendieron a 624 mil millones de pesos</w:t>
      </w:r>
      <w:r w:rsidR="004D678A" w:rsidRPr="005430F9">
        <w:rPr>
          <w:color w:val="auto"/>
          <w:lang w:eastAsia="es-MX"/>
        </w:rPr>
        <w:t>.</w:t>
      </w:r>
    </w:p>
    <w:p w14:paraId="1E2E6082" w14:textId="77777777" w:rsidR="00E508D2" w:rsidRPr="005430F9" w:rsidRDefault="00E508D2" w:rsidP="005430F9">
      <w:pPr>
        <w:pStyle w:val="Default"/>
        <w:ind w:left="-567" w:right="-518"/>
        <w:jc w:val="both"/>
        <w:rPr>
          <w:color w:val="auto"/>
          <w:lang w:eastAsia="es-MX"/>
        </w:rPr>
      </w:pPr>
    </w:p>
    <w:p w14:paraId="74391F8F" w14:textId="6E86D425" w:rsidR="005A1E42" w:rsidRPr="005430F9" w:rsidRDefault="005A745F" w:rsidP="005430F9">
      <w:pPr>
        <w:pStyle w:val="Default"/>
        <w:ind w:left="-567" w:right="-518"/>
        <w:jc w:val="both"/>
        <w:rPr>
          <w:color w:val="auto"/>
          <w:lang w:eastAsia="es-MX"/>
        </w:rPr>
      </w:pPr>
      <w:r w:rsidRPr="005430F9">
        <w:rPr>
          <w:color w:val="auto"/>
          <w:lang w:eastAsia="es-MX"/>
        </w:rPr>
        <w:t>L</w:t>
      </w:r>
      <w:r w:rsidR="001D300C" w:rsidRPr="005430F9">
        <w:rPr>
          <w:color w:val="auto"/>
          <w:lang w:eastAsia="es-MX"/>
        </w:rPr>
        <w:t>a</w:t>
      </w:r>
      <w:r w:rsidR="00E943C0" w:rsidRPr="005430F9">
        <w:rPr>
          <w:color w:val="auto"/>
          <w:lang w:eastAsia="es-MX"/>
        </w:rPr>
        <w:t xml:space="preserve">s </w:t>
      </w:r>
      <w:r w:rsidR="00C841C8" w:rsidRPr="005430F9">
        <w:rPr>
          <w:color w:val="auto"/>
          <w:lang w:eastAsia="es-MX"/>
        </w:rPr>
        <w:t>e</w:t>
      </w:r>
      <w:r w:rsidR="001D300C" w:rsidRPr="005430F9">
        <w:rPr>
          <w:color w:val="auto"/>
          <w:lang w:eastAsia="es-MX"/>
        </w:rPr>
        <w:t xml:space="preserve">mpresas constructoras </w:t>
      </w:r>
      <w:r w:rsidR="00E943C0" w:rsidRPr="005430F9">
        <w:rPr>
          <w:color w:val="auto"/>
          <w:lang w:eastAsia="es-MX"/>
        </w:rPr>
        <w:t xml:space="preserve">obtuvieron </w:t>
      </w:r>
      <w:r w:rsidR="00CE3D2F">
        <w:rPr>
          <w:color w:val="auto"/>
          <w:lang w:eastAsia="es-MX"/>
        </w:rPr>
        <w:t xml:space="preserve">la </w:t>
      </w:r>
      <w:r w:rsidR="00E943C0" w:rsidRPr="005430F9">
        <w:rPr>
          <w:color w:val="auto"/>
          <w:lang w:eastAsia="es-MX"/>
        </w:rPr>
        <w:t xml:space="preserve">mayor cantidad de ingresos </w:t>
      </w:r>
      <w:r w:rsidR="00CE3D2F">
        <w:rPr>
          <w:color w:val="auto"/>
          <w:lang w:eastAsia="es-MX"/>
        </w:rPr>
        <w:t xml:space="preserve">mediante </w:t>
      </w:r>
      <w:r w:rsidR="00250654" w:rsidRPr="005430F9">
        <w:rPr>
          <w:i/>
          <w:color w:val="auto"/>
          <w:lang w:eastAsia="es-MX"/>
        </w:rPr>
        <w:t>otra modalidad informática</w:t>
      </w:r>
      <w:r w:rsidR="008F7BC3">
        <w:rPr>
          <w:iCs/>
          <w:color w:val="auto"/>
          <w:lang w:eastAsia="es-MX"/>
        </w:rPr>
        <w:t>,</w:t>
      </w:r>
      <w:r w:rsidR="001D300C" w:rsidRPr="005430F9">
        <w:rPr>
          <w:color w:val="auto"/>
          <w:lang w:eastAsia="es-MX"/>
        </w:rPr>
        <w:t xml:space="preserve"> </w:t>
      </w:r>
      <w:r w:rsidR="009B4895" w:rsidRPr="005430F9">
        <w:rPr>
          <w:color w:val="auto"/>
          <w:lang w:eastAsia="es-MX"/>
        </w:rPr>
        <w:t xml:space="preserve">con </w:t>
      </w:r>
      <w:r w:rsidR="00250654" w:rsidRPr="005430F9">
        <w:rPr>
          <w:color w:val="auto"/>
          <w:lang w:eastAsia="es-MX"/>
        </w:rPr>
        <w:t>33.2</w:t>
      </w:r>
      <w:r w:rsidR="00CE3D2F">
        <w:rPr>
          <w:color w:val="auto"/>
          <w:lang w:eastAsia="es-MX"/>
        </w:rPr>
        <w:t xml:space="preserve"> por ciento. </w:t>
      </w:r>
      <w:r w:rsidR="008F7BC3">
        <w:rPr>
          <w:color w:val="auto"/>
          <w:lang w:eastAsia="es-MX"/>
        </w:rPr>
        <w:t>S</w:t>
      </w:r>
      <w:r w:rsidR="00CE3D2F">
        <w:rPr>
          <w:color w:val="auto"/>
          <w:lang w:eastAsia="es-MX"/>
        </w:rPr>
        <w:t>iguieron el</w:t>
      </w:r>
      <w:r w:rsidR="00E943C0" w:rsidRPr="005430F9">
        <w:rPr>
          <w:color w:val="auto"/>
          <w:lang w:eastAsia="es-MX"/>
        </w:rPr>
        <w:t xml:space="preserve"> </w:t>
      </w:r>
      <w:r w:rsidR="00250654" w:rsidRPr="005430F9">
        <w:rPr>
          <w:i/>
          <w:color w:val="auto"/>
          <w:lang w:eastAsia="es-MX"/>
        </w:rPr>
        <w:t>correo electrónico</w:t>
      </w:r>
      <w:r w:rsidR="008F7BC3">
        <w:rPr>
          <w:iCs/>
          <w:color w:val="auto"/>
          <w:lang w:eastAsia="es-MX"/>
        </w:rPr>
        <w:t>,</w:t>
      </w:r>
      <w:r w:rsidR="00E943C0" w:rsidRPr="005430F9">
        <w:rPr>
          <w:color w:val="auto"/>
          <w:lang w:eastAsia="es-MX"/>
        </w:rPr>
        <w:t xml:space="preserve"> </w:t>
      </w:r>
      <w:r w:rsidR="00CE3D2F">
        <w:rPr>
          <w:color w:val="auto"/>
          <w:lang w:eastAsia="es-MX"/>
        </w:rPr>
        <w:t xml:space="preserve">con </w:t>
      </w:r>
      <w:r w:rsidR="00250654" w:rsidRPr="005430F9">
        <w:rPr>
          <w:color w:val="auto"/>
          <w:lang w:eastAsia="es-MX"/>
        </w:rPr>
        <w:t>29.3</w:t>
      </w:r>
      <w:r w:rsidR="00CE3D2F">
        <w:rPr>
          <w:color w:val="auto"/>
          <w:lang w:eastAsia="es-MX"/>
        </w:rPr>
        <w:t xml:space="preserve"> </w:t>
      </w:r>
      <w:r w:rsidR="00E943C0" w:rsidRPr="005430F9">
        <w:rPr>
          <w:color w:val="auto"/>
          <w:lang w:eastAsia="es-MX"/>
        </w:rPr>
        <w:t>%</w:t>
      </w:r>
      <w:r w:rsidR="008F7BC3">
        <w:rPr>
          <w:color w:val="auto"/>
          <w:lang w:eastAsia="es-MX"/>
        </w:rPr>
        <w:t xml:space="preserve">; </w:t>
      </w:r>
      <w:r w:rsidR="00CE3D2F">
        <w:rPr>
          <w:color w:val="auto"/>
          <w:lang w:eastAsia="es-MX"/>
        </w:rPr>
        <w:t xml:space="preserve"> </w:t>
      </w:r>
      <w:r w:rsidR="003F5B51" w:rsidRPr="005430F9">
        <w:rPr>
          <w:i/>
          <w:color w:val="auto"/>
          <w:lang w:eastAsia="es-MX"/>
        </w:rPr>
        <w:t>página</w:t>
      </w:r>
      <w:r w:rsidR="00250654" w:rsidRPr="005430F9">
        <w:rPr>
          <w:i/>
          <w:color w:val="auto"/>
          <w:lang w:eastAsia="es-MX"/>
        </w:rPr>
        <w:t xml:space="preserve"> web de la empresa</w:t>
      </w:r>
      <w:r w:rsidR="008F7BC3">
        <w:rPr>
          <w:iCs/>
          <w:color w:val="auto"/>
          <w:lang w:eastAsia="es-MX"/>
        </w:rPr>
        <w:t>,</w:t>
      </w:r>
      <w:r w:rsidR="00E943C0" w:rsidRPr="005430F9">
        <w:rPr>
          <w:color w:val="auto"/>
          <w:lang w:eastAsia="es-MX"/>
        </w:rPr>
        <w:t xml:space="preserve"> </w:t>
      </w:r>
      <w:r w:rsidR="00CE3D2F">
        <w:rPr>
          <w:color w:val="auto"/>
          <w:lang w:eastAsia="es-MX"/>
        </w:rPr>
        <w:t xml:space="preserve">con </w:t>
      </w:r>
      <w:r w:rsidR="00250654" w:rsidRPr="005430F9">
        <w:rPr>
          <w:color w:val="auto"/>
          <w:lang w:eastAsia="es-MX"/>
        </w:rPr>
        <w:t>26.7</w:t>
      </w:r>
      <w:r w:rsidR="00CE3D2F">
        <w:rPr>
          <w:color w:val="auto"/>
          <w:lang w:eastAsia="es-MX"/>
        </w:rPr>
        <w:t xml:space="preserve"> </w:t>
      </w:r>
      <w:r w:rsidR="00E943C0" w:rsidRPr="005430F9">
        <w:rPr>
          <w:color w:val="auto"/>
          <w:lang w:eastAsia="es-MX"/>
        </w:rPr>
        <w:t>%</w:t>
      </w:r>
      <w:r w:rsidR="008F7BC3">
        <w:rPr>
          <w:color w:val="auto"/>
          <w:lang w:eastAsia="es-MX"/>
        </w:rPr>
        <w:t>;</w:t>
      </w:r>
      <w:r w:rsidR="00E943C0" w:rsidRPr="005430F9">
        <w:rPr>
          <w:color w:val="auto"/>
          <w:lang w:eastAsia="es-MX"/>
        </w:rPr>
        <w:t xml:space="preserve"> </w:t>
      </w:r>
      <w:r w:rsidR="00E943C0" w:rsidRPr="005430F9">
        <w:rPr>
          <w:i/>
          <w:color w:val="auto"/>
          <w:lang w:eastAsia="es-MX"/>
        </w:rPr>
        <w:t>redes sociales</w:t>
      </w:r>
      <w:r w:rsidR="008F7BC3">
        <w:rPr>
          <w:iCs/>
          <w:color w:val="auto"/>
          <w:lang w:eastAsia="es-MX"/>
        </w:rPr>
        <w:t>, con</w:t>
      </w:r>
      <w:r w:rsidR="00E943C0" w:rsidRPr="005430F9">
        <w:rPr>
          <w:color w:val="auto"/>
          <w:lang w:eastAsia="es-MX"/>
        </w:rPr>
        <w:t xml:space="preserve"> </w:t>
      </w:r>
      <w:r w:rsidR="00250654" w:rsidRPr="005430F9">
        <w:rPr>
          <w:color w:val="auto"/>
          <w:lang w:eastAsia="es-MX"/>
        </w:rPr>
        <w:t>9.7</w:t>
      </w:r>
      <w:r w:rsidR="00CE3D2F">
        <w:rPr>
          <w:color w:val="auto"/>
          <w:lang w:eastAsia="es-MX"/>
        </w:rPr>
        <w:t xml:space="preserve"> </w:t>
      </w:r>
      <w:r w:rsidR="00E943C0" w:rsidRPr="005430F9">
        <w:rPr>
          <w:color w:val="auto"/>
          <w:lang w:eastAsia="es-MX"/>
        </w:rPr>
        <w:t>% y</w:t>
      </w:r>
      <w:r w:rsidR="00CE3D2F">
        <w:rPr>
          <w:color w:val="auto"/>
          <w:lang w:eastAsia="es-MX"/>
        </w:rPr>
        <w:t xml:space="preserve"> </w:t>
      </w:r>
      <w:r w:rsidR="00E943C0" w:rsidRPr="005430F9">
        <w:rPr>
          <w:i/>
          <w:color w:val="auto"/>
          <w:lang w:eastAsia="es-MX"/>
        </w:rPr>
        <w:t>páginas web de terceros</w:t>
      </w:r>
      <w:r w:rsidR="008F7BC3">
        <w:rPr>
          <w:iCs/>
          <w:color w:val="auto"/>
          <w:lang w:eastAsia="es-MX"/>
        </w:rPr>
        <w:t>,</w:t>
      </w:r>
      <w:r w:rsidR="00E943C0" w:rsidRPr="005430F9">
        <w:rPr>
          <w:color w:val="auto"/>
          <w:lang w:eastAsia="es-MX"/>
        </w:rPr>
        <w:t xml:space="preserve"> </w:t>
      </w:r>
      <w:r w:rsidR="00CE3D2F">
        <w:rPr>
          <w:color w:val="auto"/>
          <w:lang w:eastAsia="es-MX"/>
        </w:rPr>
        <w:t xml:space="preserve">con </w:t>
      </w:r>
      <w:r w:rsidR="004C02D2" w:rsidRPr="005430F9">
        <w:rPr>
          <w:color w:val="auto"/>
          <w:lang w:eastAsia="es-MX"/>
        </w:rPr>
        <w:t>1.</w:t>
      </w:r>
      <w:r w:rsidR="00250654" w:rsidRPr="005430F9">
        <w:rPr>
          <w:color w:val="auto"/>
          <w:lang w:eastAsia="es-MX"/>
        </w:rPr>
        <w:t>1</w:t>
      </w:r>
      <w:r w:rsidR="00E943C0" w:rsidRPr="005430F9">
        <w:rPr>
          <w:color w:val="auto"/>
          <w:lang w:eastAsia="es-MX"/>
        </w:rPr>
        <w:t xml:space="preserve"> por ciento.</w:t>
      </w:r>
    </w:p>
    <w:p w14:paraId="4E7CA3F7" w14:textId="77777777" w:rsidR="004E37D0" w:rsidRPr="005430F9" w:rsidRDefault="004E37D0" w:rsidP="00E943C0">
      <w:pPr>
        <w:pStyle w:val="Default"/>
        <w:jc w:val="both"/>
        <w:rPr>
          <w:color w:val="auto"/>
          <w:sz w:val="18"/>
          <w:szCs w:val="18"/>
          <w:lang w:eastAsia="es-MX"/>
        </w:rPr>
      </w:pPr>
    </w:p>
    <w:p w14:paraId="1EAB0DAE" w14:textId="541B042B" w:rsidR="004C02D2" w:rsidRPr="005430F9" w:rsidRDefault="004C02D2" w:rsidP="004C02D2">
      <w:pPr>
        <w:pStyle w:val="Default"/>
        <w:jc w:val="center"/>
        <w:rPr>
          <w:color w:val="auto"/>
          <w:sz w:val="18"/>
          <w:szCs w:val="18"/>
          <w:lang w:eastAsia="es-MX"/>
        </w:rPr>
      </w:pPr>
      <w:r w:rsidRPr="005430F9">
        <w:rPr>
          <w:color w:val="auto"/>
          <w:sz w:val="18"/>
          <w:szCs w:val="18"/>
          <w:lang w:eastAsia="es-MX"/>
        </w:rPr>
        <w:t xml:space="preserve">Gráfica </w:t>
      </w:r>
      <w:r w:rsidR="000F4019" w:rsidRPr="005430F9">
        <w:rPr>
          <w:color w:val="auto"/>
          <w:sz w:val="18"/>
          <w:szCs w:val="18"/>
          <w:lang w:eastAsia="es-MX"/>
        </w:rPr>
        <w:t>8</w:t>
      </w:r>
      <w:r w:rsidR="00D47598" w:rsidRPr="005430F9">
        <w:rPr>
          <w:color w:val="auto"/>
          <w:sz w:val="18"/>
          <w:szCs w:val="18"/>
          <w:lang w:eastAsia="es-MX"/>
        </w:rPr>
        <w:t xml:space="preserve"> </w:t>
      </w:r>
    </w:p>
    <w:p w14:paraId="0B3050C4" w14:textId="65C2C848" w:rsidR="00ED2C92" w:rsidRPr="005430F9" w:rsidRDefault="00CE3D2F" w:rsidP="00ED2C92">
      <w:pPr>
        <w:pStyle w:val="Default"/>
        <w:jc w:val="center"/>
        <w:rPr>
          <w:rFonts w:ascii="Arial Negrita" w:hAnsi="Arial Negrita"/>
          <w:b/>
          <w:smallCaps/>
          <w:color w:val="auto"/>
          <w:sz w:val="22"/>
          <w:vertAlign w:val="superscript"/>
          <w:lang w:eastAsia="es-MX"/>
        </w:rPr>
      </w:pPr>
      <w:r>
        <w:rPr>
          <w:rFonts w:ascii="Arial Negrita" w:hAnsi="Arial Negrita"/>
          <w:b/>
          <w:smallCaps/>
          <w:color w:val="auto"/>
          <w:sz w:val="22"/>
          <w:lang w:eastAsia="es-MX"/>
        </w:rPr>
        <w:t>Tipos</w:t>
      </w:r>
      <w:r w:rsidR="00D47598" w:rsidRPr="005430F9">
        <w:rPr>
          <w:rFonts w:ascii="Arial Negrita" w:hAnsi="Arial Negrita"/>
          <w:b/>
          <w:smallCaps/>
          <w:color w:val="auto"/>
          <w:sz w:val="22"/>
          <w:lang w:eastAsia="es-MX"/>
        </w:rPr>
        <w:t xml:space="preserve"> de transacción </w:t>
      </w:r>
      <w:r>
        <w:rPr>
          <w:rFonts w:ascii="Arial Negrita" w:hAnsi="Arial Negrita"/>
          <w:b/>
          <w:smallCaps/>
          <w:color w:val="auto"/>
          <w:sz w:val="22"/>
          <w:lang w:eastAsia="es-MX"/>
        </w:rPr>
        <w:t>de</w:t>
      </w:r>
      <w:r w:rsidR="00D47598" w:rsidRPr="005430F9">
        <w:rPr>
          <w:rFonts w:ascii="Arial Negrita" w:hAnsi="Arial Negrita"/>
          <w:b/>
          <w:smallCaps/>
          <w:color w:val="auto"/>
          <w:sz w:val="22"/>
          <w:lang w:eastAsia="es-MX"/>
        </w:rPr>
        <w:t xml:space="preserve"> los </w:t>
      </w:r>
      <w:r w:rsidR="00C06D88" w:rsidRPr="005430F9">
        <w:rPr>
          <w:rFonts w:ascii="Arial Negrita" w:hAnsi="Arial Negrita"/>
          <w:b/>
          <w:smallCaps/>
          <w:color w:val="auto"/>
          <w:sz w:val="22"/>
          <w:lang w:eastAsia="es-MX"/>
        </w:rPr>
        <w:t>ingresos</w:t>
      </w:r>
      <w:r>
        <w:rPr>
          <w:rFonts w:ascii="Arial Negrita" w:hAnsi="Arial Negrita"/>
          <w:b/>
          <w:smallCaps/>
          <w:color w:val="auto"/>
          <w:sz w:val="22"/>
          <w:lang w:eastAsia="es-MX"/>
        </w:rPr>
        <w:t xml:space="preserve"> </w:t>
      </w:r>
      <w:r w:rsidR="008F7BC3">
        <w:rPr>
          <w:rFonts w:ascii="Arial Negrita" w:hAnsi="Arial Negrita"/>
          <w:b/>
          <w:smallCaps/>
          <w:color w:val="auto"/>
          <w:sz w:val="22"/>
          <w:lang w:eastAsia="es-MX"/>
        </w:rPr>
        <w:t>de</w:t>
      </w:r>
      <w:r>
        <w:rPr>
          <w:rFonts w:ascii="Arial Negrita" w:hAnsi="Arial Negrita"/>
          <w:b/>
          <w:smallCaps/>
          <w:color w:val="auto"/>
          <w:sz w:val="22"/>
          <w:lang w:eastAsia="es-MX"/>
        </w:rPr>
        <w:t xml:space="preserve"> </w:t>
      </w:r>
      <w:r w:rsidRPr="00845887">
        <w:rPr>
          <w:rFonts w:ascii="Arial Negrita" w:hAnsi="Arial Negrita"/>
          <w:b/>
          <w:smallCaps/>
          <w:color w:val="auto"/>
          <w:sz w:val="22"/>
          <w:lang w:eastAsia="es-MX"/>
        </w:rPr>
        <w:t>las empresas constructoras</w:t>
      </w:r>
      <w:r w:rsidR="00D47598" w:rsidRPr="005430F9">
        <w:rPr>
          <w:rFonts w:ascii="Arial Negrita" w:hAnsi="Arial Negrita"/>
          <w:b/>
          <w:smallCaps/>
          <w:color w:val="auto"/>
          <w:sz w:val="22"/>
          <w:lang w:eastAsia="es-MX"/>
        </w:rPr>
        <w:t xml:space="preserve"> a través de medios electrónicos </w:t>
      </w:r>
    </w:p>
    <w:p w14:paraId="02212106" w14:textId="42AB42F8" w:rsidR="00ED2C92" w:rsidRPr="005430F9" w:rsidRDefault="00D47598" w:rsidP="00ED2C92">
      <w:pPr>
        <w:pStyle w:val="Default"/>
        <w:jc w:val="center"/>
        <w:rPr>
          <w:color w:val="auto"/>
          <w:sz w:val="18"/>
          <w:szCs w:val="18"/>
          <w:vertAlign w:val="superscript"/>
          <w:lang w:eastAsia="es-MX"/>
        </w:rPr>
      </w:pPr>
      <w:r w:rsidRPr="005430F9">
        <w:rPr>
          <w:color w:val="auto"/>
          <w:sz w:val="18"/>
          <w:szCs w:val="18"/>
          <w:lang w:eastAsia="es-MX"/>
        </w:rPr>
        <w:t xml:space="preserve">(Porcentaje) </w:t>
      </w:r>
    </w:p>
    <w:p w14:paraId="0C98EEE7" w14:textId="3F350D85" w:rsidR="00CE3D2F" w:rsidRDefault="00CE3D2F" w:rsidP="00D80625">
      <w:pPr>
        <w:pStyle w:val="Default"/>
        <w:jc w:val="both"/>
        <w:rPr>
          <w:color w:val="auto"/>
          <w:sz w:val="16"/>
          <w:vertAlign w:val="superscript"/>
          <w:lang w:eastAsia="es-MX"/>
        </w:rPr>
      </w:pPr>
      <w:r>
        <w:rPr>
          <w:noProof/>
        </w:rPr>
        <w:drawing>
          <wp:anchor distT="0" distB="0" distL="114300" distR="114300" simplePos="0" relativeHeight="251665408" behindDoc="0" locked="0" layoutInCell="1" allowOverlap="1" wp14:anchorId="61850121" wp14:editId="1142EC02">
            <wp:simplePos x="0" y="0"/>
            <wp:positionH relativeFrom="margin">
              <wp:posOffset>91440</wp:posOffset>
            </wp:positionH>
            <wp:positionV relativeFrom="paragraph">
              <wp:posOffset>19685</wp:posOffset>
            </wp:positionV>
            <wp:extent cx="5143500" cy="1828800"/>
            <wp:effectExtent l="0" t="0" r="0" b="0"/>
            <wp:wrapSquare wrapText="bothSides"/>
            <wp:docPr id="21" name="Gráfico 21">
              <a:extLst xmlns:a="http://schemas.openxmlformats.org/drawingml/2006/main">
                <a:ext uri="{FF2B5EF4-FFF2-40B4-BE49-F238E27FC236}">
                  <a16:creationId xmlns:a16="http://schemas.microsoft.com/office/drawing/2014/main" id="{BF732807-3940-47CA-8C4F-7E3BC2D862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877043">
        <w:rPr>
          <w:color w:val="auto"/>
          <w:sz w:val="16"/>
          <w:vertAlign w:val="superscript"/>
          <w:lang w:eastAsia="es-MX"/>
        </w:rPr>
        <w:t xml:space="preserve">   </w:t>
      </w:r>
    </w:p>
    <w:p w14:paraId="62121D38" w14:textId="77777777" w:rsidR="00CE3D2F" w:rsidRDefault="00CE3D2F" w:rsidP="00D80625">
      <w:pPr>
        <w:pStyle w:val="Default"/>
        <w:jc w:val="both"/>
        <w:rPr>
          <w:color w:val="auto"/>
          <w:sz w:val="16"/>
          <w:vertAlign w:val="superscript"/>
          <w:lang w:eastAsia="es-MX"/>
        </w:rPr>
      </w:pPr>
    </w:p>
    <w:p w14:paraId="1F3EBE1B" w14:textId="77777777" w:rsidR="00CE3D2F" w:rsidRDefault="00CE3D2F" w:rsidP="00D80625">
      <w:pPr>
        <w:pStyle w:val="Default"/>
        <w:jc w:val="both"/>
        <w:rPr>
          <w:color w:val="auto"/>
          <w:sz w:val="16"/>
          <w:vertAlign w:val="superscript"/>
          <w:lang w:eastAsia="es-MX"/>
        </w:rPr>
      </w:pPr>
    </w:p>
    <w:p w14:paraId="0B5AB8D0" w14:textId="77777777" w:rsidR="00CE3D2F" w:rsidRDefault="00CE3D2F" w:rsidP="00D80625">
      <w:pPr>
        <w:pStyle w:val="Default"/>
        <w:jc w:val="both"/>
        <w:rPr>
          <w:color w:val="auto"/>
          <w:sz w:val="16"/>
          <w:vertAlign w:val="superscript"/>
          <w:lang w:eastAsia="es-MX"/>
        </w:rPr>
      </w:pPr>
    </w:p>
    <w:p w14:paraId="29980764" w14:textId="77777777" w:rsidR="00CE3D2F" w:rsidRDefault="00CE3D2F" w:rsidP="00D80625">
      <w:pPr>
        <w:pStyle w:val="Default"/>
        <w:jc w:val="both"/>
        <w:rPr>
          <w:color w:val="auto"/>
          <w:sz w:val="16"/>
          <w:vertAlign w:val="superscript"/>
          <w:lang w:eastAsia="es-MX"/>
        </w:rPr>
      </w:pPr>
    </w:p>
    <w:p w14:paraId="33F28680" w14:textId="77777777" w:rsidR="00CE3D2F" w:rsidRDefault="00CE3D2F" w:rsidP="00D80625">
      <w:pPr>
        <w:pStyle w:val="Default"/>
        <w:jc w:val="both"/>
        <w:rPr>
          <w:color w:val="auto"/>
          <w:sz w:val="16"/>
          <w:vertAlign w:val="superscript"/>
          <w:lang w:eastAsia="es-MX"/>
        </w:rPr>
      </w:pPr>
    </w:p>
    <w:p w14:paraId="081AAFB6" w14:textId="77777777" w:rsidR="00CE3D2F" w:rsidRDefault="00CE3D2F" w:rsidP="00D80625">
      <w:pPr>
        <w:pStyle w:val="Default"/>
        <w:jc w:val="both"/>
        <w:rPr>
          <w:color w:val="auto"/>
          <w:sz w:val="16"/>
          <w:vertAlign w:val="superscript"/>
          <w:lang w:eastAsia="es-MX"/>
        </w:rPr>
      </w:pPr>
    </w:p>
    <w:p w14:paraId="08FEF24F" w14:textId="77777777" w:rsidR="00CE3D2F" w:rsidRDefault="00CE3D2F" w:rsidP="00D80625">
      <w:pPr>
        <w:pStyle w:val="Default"/>
        <w:jc w:val="both"/>
        <w:rPr>
          <w:color w:val="auto"/>
          <w:sz w:val="16"/>
          <w:vertAlign w:val="superscript"/>
          <w:lang w:eastAsia="es-MX"/>
        </w:rPr>
      </w:pPr>
    </w:p>
    <w:p w14:paraId="6D64159E" w14:textId="77777777" w:rsidR="00CE3D2F" w:rsidRDefault="00CE3D2F" w:rsidP="00D80625">
      <w:pPr>
        <w:pStyle w:val="Default"/>
        <w:jc w:val="both"/>
        <w:rPr>
          <w:color w:val="auto"/>
          <w:sz w:val="16"/>
          <w:vertAlign w:val="superscript"/>
          <w:lang w:eastAsia="es-MX"/>
        </w:rPr>
      </w:pPr>
    </w:p>
    <w:p w14:paraId="5669133F" w14:textId="77777777" w:rsidR="00CE3D2F" w:rsidRDefault="00CE3D2F" w:rsidP="00D80625">
      <w:pPr>
        <w:pStyle w:val="Default"/>
        <w:jc w:val="both"/>
        <w:rPr>
          <w:color w:val="auto"/>
          <w:sz w:val="16"/>
          <w:vertAlign w:val="superscript"/>
          <w:lang w:eastAsia="es-MX"/>
        </w:rPr>
      </w:pPr>
    </w:p>
    <w:p w14:paraId="5C458167" w14:textId="77777777" w:rsidR="00CE3D2F" w:rsidRDefault="00CE3D2F" w:rsidP="00D80625">
      <w:pPr>
        <w:pStyle w:val="Default"/>
        <w:jc w:val="both"/>
        <w:rPr>
          <w:color w:val="auto"/>
          <w:sz w:val="16"/>
          <w:vertAlign w:val="superscript"/>
          <w:lang w:eastAsia="es-MX"/>
        </w:rPr>
      </w:pPr>
    </w:p>
    <w:p w14:paraId="29336174" w14:textId="77777777" w:rsidR="00CE3D2F" w:rsidRDefault="00CE3D2F" w:rsidP="00D80625">
      <w:pPr>
        <w:pStyle w:val="Default"/>
        <w:jc w:val="both"/>
        <w:rPr>
          <w:color w:val="auto"/>
          <w:sz w:val="16"/>
          <w:vertAlign w:val="superscript"/>
          <w:lang w:eastAsia="es-MX"/>
        </w:rPr>
      </w:pPr>
    </w:p>
    <w:p w14:paraId="1415BE36" w14:textId="77777777" w:rsidR="00CE3D2F" w:rsidRDefault="00CE3D2F" w:rsidP="00D80625">
      <w:pPr>
        <w:pStyle w:val="Default"/>
        <w:jc w:val="both"/>
        <w:rPr>
          <w:color w:val="auto"/>
          <w:sz w:val="16"/>
          <w:vertAlign w:val="superscript"/>
          <w:lang w:eastAsia="es-MX"/>
        </w:rPr>
      </w:pPr>
    </w:p>
    <w:p w14:paraId="1BE499B9" w14:textId="77777777" w:rsidR="00CE3D2F" w:rsidRDefault="00CE3D2F" w:rsidP="00D80625">
      <w:pPr>
        <w:pStyle w:val="Default"/>
        <w:jc w:val="both"/>
        <w:rPr>
          <w:color w:val="auto"/>
          <w:sz w:val="16"/>
          <w:vertAlign w:val="superscript"/>
          <w:lang w:eastAsia="es-MX"/>
        </w:rPr>
      </w:pPr>
    </w:p>
    <w:p w14:paraId="4ADC6D6B" w14:textId="77777777" w:rsidR="00CE3D2F" w:rsidRDefault="00CE3D2F" w:rsidP="00D80625">
      <w:pPr>
        <w:pStyle w:val="Default"/>
        <w:jc w:val="both"/>
        <w:rPr>
          <w:color w:val="auto"/>
          <w:sz w:val="16"/>
          <w:vertAlign w:val="superscript"/>
          <w:lang w:eastAsia="es-MX"/>
        </w:rPr>
      </w:pPr>
    </w:p>
    <w:p w14:paraId="556F2C7A" w14:textId="77777777" w:rsidR="00CE3D2F" w:rsidRDefault="00877043" w:rsidP="00D80625">
      <w:pPr>
        <w:pStyle w:val="Default"/>
        <w:jc w:val="both"/>
        <w:rPr>
          <w:color w:val="auto"/>
          <w:sz w:val="16"/>
          <w:vertAlign w:val="superscript"/>
          <w:lang w:eastAsia="es-MX"/>
        </w:rPr>
      </w:pPr>
      <w:r>
        <w:rPr>
          <w:color w:val="auto"/>
          <w:sz w:val="16"/>
          <w:vertAlign w:val="superscript"/>
          <w:lang w:eastAsia="es-MX"/>
        </w:rPr>
        <w:t xml:space="preserve">  </w:t>
      </w:r>
    </w:p>
    <w:p w14:paraId="347FDFCC" w14:textId="7C8A707B" w:rsidR="00D80625" w:rsidRDefault="00B14B1C" w:rsidP="00D80625">
      <w:pPr>
        <w:pStyle w:val="Default"/>
        <w:jc w:val="both"/>
        <w:rPr>
          <w:color w:val="auto"/>
          <w:sz w:val="16"/>
          <w:lang w:eastAsia="es-MX"/>
        </w:rPr>
      </w:pPr>
      <w:r>
        <w:rPr>
          <w:color w:val="auto"/>
          <w:sz w:val="16"/>
          <w:vertAlign w:val="superscript"/>
          <w:lang w:eastAsia="es-MX"/>
        </w:rPr>
        <w:t>p</w:t>
      </w:r>
      <w:r w:rsidR="00D80625">
        <w:rPr>
          <w:color w:val="auto"/>
          <w:sz w:val="16"/>
          <w:vertAlign w:val="superscript"/>
          <w:lang w:eastAsia="es-MX"/>
        </w:rPr>
        <w:t>/</w:t>
      </w:r>
      <w:r w:rsidR="00AD1DD3">
        <w:rPr>
          <w:color w:val="auto"/>
          <w:sz w:val="16"/>
          <w:vertAlign w:val="superscript"/>
          <w:lang w:eastAsia="es-MX"/>
        </w:rPr>
        <w:t xml:space="preserve"> </w:t>
      </w:r>
      <w:r w:rsidR="00D80625">
        <w:rPr>
          <w:color w:val="auto"/>
          <w:sz w:val="16"/>
          <w:lang w:eastAsia="es-MX"/>
        </w:rPr>
        <w:t xml:space="preserve">Cifras preliminares </w:t>
      </w:r>
    </w:p>
    <w:p w14:paraId="77A39C4A" w14:textId="7199946B" w:rsidR="00351F4E" w:rsidRPr="00ED2C92" w:rsidRDefault="0032613B" w:rsidP="00ED2C92">
      <w:pPr>
        <w:pStyle w:val="Default"/>
        <w:jc w:val="both"/>
        <w:rPr>
          <w:color w:val="auto"/>
          <w:sz w:val="16"/>
          <w:lang w:eastAsia="es-MX"/>
        </w:rPr>
      </w:pPr>
      <w:r>
        <w:rPr>
          <w:color w:val="auto"/>
          <w:sz w:val="16"/>
          <w:lang w:eastAsia="es-MX"/>
        </w:rPr>
        <w:t xml:space="preserve"> </w:t>
      </w:r>
      <w:r w:rsidR="00DE5673">
        <w:rPr>
          <w:color w:val="auto"/>
          <w:sz w:val="16"/>
          <w:lang w:eastAsia="es-MX"/>
        </w:rPr>
        <w:t xml:space="preserve"> </w:t>
      </w:r>
      <w:r w:rsidR="00877043">
        <w:rPr>
          <w:color w:val="auto"/>
          <w:sz w:val="16"/>
          <w:lang w:eastAsia="es-MX"/>
        </w:rPr>
        <w:t xml:space="preserve"> </w:t>
      </w:r>
      <w:r w:rsidR="00D80625" w:rsidRPr="00BF15FB">
        <w:rPr>
          <w:color w:val="auto"/>
          <w:sz w:val="16"/>
          <w:lang w:eastAsia="es-MX"/>
        </w:rPr>
        <w:t xml:space="preserve">Fuente: </w:t>
      </w:r>
      <w:r w:rsidR="00D80625" w:rsidRPr="005430F9">
        <w:rPr>
          <w:color w:val="auto"/>
          <w:sz w:val="16"/>
          <w:lang w:eastAsia="es-MX"/>
        </w:rPr>
        <w:t>INEGI</w:t>
      </w:r>
    </w:p>
    <w:p w14:paraId="6370B149" w14:textId="77777777" w:rsidR="009B4895" w:rsidRDefault="009B4895" w:rsidP="002008B8">
      <w:pPr>
        <w:widowControl w:val="0"/>
        <w:autoSpaceDE w:val="0"/>
        <w:autoSpaceDN w:val="0"/>
        <w:adjustRightInd w:val="0"/>
        <w:spacing w:after="0" w:line="240" w:lineRule="auto"/>
        <w:jc w:val="both"/>
        <w:rPr>
          <w:rFonts w:ascii="Arial" w:hAnsi="Arial" w:cs="Arial"/>
          <w:color w:val="000000"/>
        </w:rPr>
      </w:pPr>
    </w:p>
    <w:p w14:paraId="28A10CF0"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768F2BB8"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5A7B627D"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6665F63B"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626BF0C5"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4DF43323"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2D908646"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5B508BD8"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0EDA6190"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5204EAFB"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18B01593"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2EE9AD37"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011272B9"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7C5B8B0E"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1A958E65"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53FC7F59"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755A3264"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23948AFC"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0B7AD6BE"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70DC7B63"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3E80CFA4"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1FD97D13" w14:textId="77777777" w:rsidR="001230BB" w:rsidRDefault="001230BB" w:rsidP="00F85500">
      <w:pPr>
        <w:widowControl w:val="0"/>
        <w:autoSpaceDE w:val="0"/>
        <w:autoSpaceDN w:val="0"/>
        <w:adjustRightInd w:val="0"/>
        <w:spacing w:after="0" w:line="240" w:lineRule="auto"/>
        <w:ind w:left="-567" w:right="-518"/>
        <w:jc w:val="both"/>
        <w:rPr>
          <w:rFonts w:ascii="Arial" w:hAnsi="Arial" w:cs="Arial"/>
          <w:color w:val="000000"/>
          <w:sz w:val="24"/>
          <w:szCs w:val="24"/>
        </w:rPr>
      </w:pPr>
    </w:p>
    <w:p w14:paraId="230DFBB2" w14:textId="6EAA8C69" w:rsidR="000022AA" w:rsidRPr="005430F9" w:rsidRDefault="000022AA" w:rsidP="005430F9">
      <w:pPr>
        <w:widowControl w:val="0"/>
        <w:autoSpaceDE w:val="0"/>
        <w:autoSpaceDN w:val="0"/>
        <w:adjustRightInd w:val="0"/>
        <w:spacing w:after="0" w:line="240" w:lineRule="auto"/>
        <w:ind w:left="-567" w:right="-518"/>
        <w:jc w:val="both"/>
        <w:rPr>
          <w:rFonts w:ascii="Arial" w:hAnsi="Arial" w:cs="Arial"/>
          <w:color w:val="000000"/>
          <w:sz w:val="24"/>
          <w:szCs w:val="24"/>
        </w:rPr>
      </w:pPr>
      <w:r w:rsidRPr="005430F9">
        <w:rPr>
          <w:rFonts w:ascii="Arial" w:hAnsi="Arial" w:cs="Arial"/>
          <w:color w:val="000000"/>
          <w:sz w:val="24"/>
          <w:szCs w:val="24"/>
        </w:rPr>
        <w:t>Como parte de la oferta estadística de la EAEC</w:t>
      </w:r>
      <w:r w:rsidR="00F85500">
        <w:rPr>
          <w:rFonts w:ascii="Arial" w:hAnsi="Arial" w:cs="Arial"/>
          <w:color w:val="000000"/>
          <w:sz w:val="24"/>
          <w:szCs w:val="24"/>
        </w:rPr>
        <w:t>,</w:t>
      </w:r>
      <w:r w:rsidR="002008B8" w:rsidRPr="005430F9">
        <w:rPr>
          <w:rFonts w:ascii="Arial" w:hAnsi="Arial" w:cs="Arial"/>
          <w:color w:val="000000"/>
          <w:sz w:val="24"/>
          <w:szCs w:val="24"/>
        </w:rPr>
        <w:t xml:space="preserve"> se genera</w:t>
      </w:r>
      <w:r w:rsidR="00F85500">
        <w:rPr>
          <w:rFonts w:ascii="Arial" w:hAnsi="Arial" w:cs="Arial"/>
          <w:color w:val="000000"/>
          <w:sz w:val="24"/>
          <w:szCs w:val="24"/>
        </w:rPr>
        <w:t>ro</w:t>
      </w:r>
      <w:r w:rsidR="002008B8" w:rsidRPr="005430F9">
        <w:rPr>
          <w:rFonts w:ascii="Arial" w:hAnsi="Arial" w:cs="Arial"/>
          <w:color w:val="000000"/>
          <w:sz w:val="24"/>
          <w:szCs w:val="24"/>
        </w:rPr>
        <w:t>n resultados por entidad federativa</w:t>
      </w:r>
      <w:r w:rsidR="00C841C8" w:rsidRPr="005430F9">
        <w:rPr>
          <w:rFonts w:ascii="Arial" w:hAnsi="Arial" w:cs="Arial"/>
          <w:color w:val="000000"/>
          <w:sz w:val="24"/>
          <w:szCs w:val="24"/>
        </w:rPr>
        <w:t>.</w:t>
      </w:r>
      <w:r w:rsidR="002008B8" w:rsidRPr="005430F9">
        <w:rPr>
          <w:rFonts w:ascii="Arial" w:hAnsi="Arial" w:cs="Arial"/>
          <w:color w:val="000000"/>
          <w:sz w:val="24"/>
          <w:szCs w:val="24"/>
        </w:rPr>
        <w:t xml:space="preserve"> </w:t>
      </w:r>
      <w:r w:rsidR="00C841C8" w:rsidRPr="005430F9">
        <w:rPr>
          <w:rFonts w:ascii="Arial" w:hAnsi="Arial" w:cs="Arial"/>
          <w:color w:val="000000"/>
          <w:sz w:val="24"/>
          <w:szCs w:val="24"/>
        </w:rPr>
        <w:t>A</w:t>
      </w:r>
      <w:r w:rsidRPr="005430F9">
        <w:rPr>
          <w:rFonts w:ascii="Arial" w:hAnsi="Arial" w:cs="Arial"/>
          <w:color w:val="000000"/>
          <w:sz w:val="24"/>
          <w:szCs w:val="24"/>
        </w:rPr>
        <w:t xml:space="preserve"> </w:t>
      </w:r>
      <w:r w:rsidR="002008B8" w:rsidRPr="005430F9">
        <w:rPr>
          <w:rFonts w:ascii="Arial" w:hAnsi="Arial" w:cs="Arial"/>
          <w:color w:val="000000"/>
          <w:sz w:val="24"/>
          <w:szCs w:val="24"/>
        </w:rPr>
        <w:t>continuación,</w:t>
      </w:r>
      <w:r w:rsidRPr="005430F9">
        <w:rPr>
          <w:rFonts w:ascii="Arial" w:hAnsi="Arial" w:cs="Arial"/>
          <w:color w:val="000000"/>
          <w:sz w:val="24"/>
          <w:szCs w:val="24"/>
        </w:rPr>
        <w:t xml:space="preserve"> se presentan </w:t>
      </w:r>
      <w:r w:rsidR="003D0D54" w:rsidRPr="005430F9">
        <w:rPr>
          <w:rFonts w:ascii="Arial" w:hAnsi="Arial" w:cs="Arial"/>
          <w:color w:val="000000"/>
          <w:sz w:val="24"/>
          <w:szCs w:val="24"/>
        </w:rPr>
        <w:t>lo</w:t>
      </w:r>
      <w:r w:rsidR="002008B8" w:rsidRPr="005430F9">
        <w:rPr>
          <w:rFonts w:ascii="Arial" w:hAnsi="Arial" w:cs="Arial"/>
          <w:color w:val="000000"/>
          <w:sz w:val="24"/>
          <w:szCs w:val="24"/>
        </w:rPr>
        <w:t>s dos principa</w:t>
      </w:r>
      <w:r w:rsidR="00C841C8" w:rsidRPr="005430F9">
        <w:rPr>
          <w:rFonts w:ascii="Arial" w:hAnsi="Arial" w:cs="Arial"/>
          <w:color w:val="000000"/>
          <w:sz w:val="24"/>
          <w:szCs w:val="24"/>
        </w:rPr>
        <w:t>les indicadores de la encuesta con dicho nivel de desagregación.</w:t>
      </w:r>
    </w:p>
    <w:p w14:paraId="5CE17E62" w14:textId="77777777" w:rsidR="0091411F" w:rsidRDefault="0091411F" w:rsidP="00C45B3E">
      <w:pPr>
        <w:widowControl w:val="0"/>
        <w:autoSpaceDE w:val="0"/>
        <w:autoSpaceDN w:val="0"/>
        <w:adjustRightInd w:val="0"/>
        <w:spacing w:after="0" w:line="240" w:lineRule="auto"/>
        <w:rPr>
          <w:rFonts w:ascii="Arial" w:hAnsi="Arial" w:cs="Arial"/>
          <w:b/>
          <w:bCs/>
          <w:color w:val="000000"/>
        </w:rPr>
      </w:pPr>
    </w:p>
    <w:p w14:paraId="51BA6339" w14:textId="2E997B97" w:rsidR="000022AA" w:rsidRPr="005430F9" w:rsidRDefault="000022AA" w:rsidP="000022AA">
      <w:pPr>
        <w:widowControl w:val="0"/>
        <w:autoSpaceDE w:val="0"/>
        <w:autoSpaceDN w:val="0"/>
        <w:adjustRightInd w:val="0"/>
        <w:spacing w:after="0" w:line="240" w:lineRule="auto"/>
        <w:jc w:val="center"/>
        <w:rPr>
          <w:rFonts w:ascii="Arial" w:hAnsi="Arial" w:cs="Arial"/>
          <w:bCs/>
          <w:color w:val="000000"/>
          <w:sz w:val="18"/>
          <w:szCs w:val="18"/>
        </w:rPr>
      </w:pPr>
      <w:r w:rsidRPr="005430F9">
        <w:rPr>
          <w:rFonts w:ascii="Arial" w:hAnsi="Arial" w:cs="Arial"/>
          <w:bCs/>
          <w:color w:val="000000"/>
          <w:sz w:val="18"/>
          <w:szCs w:val="18"/>
        </w:rPr>
        <w:t xml:space="preserve">Cuadro </w:t>
      </w:r>
      <w:r w:rsidR="002C2D13" w:rsidRPr="005430F9">
        <w:rPr>
          <w:rFonts w:ascii="Arial" w:hAnsi="Arial" w:cs="Arial"/>
          <w:bCs/>
          <w:color w:val="000000"/>
          <w:sz w:val="18"/>
          <w:szCs w:val="18"/>
        </w:rPr>
        <w:t>8</w:t>
      </w:r>
    </w:p>
    <w:p w14:paraId="348EB8BE" w14:textId="3C1D7513" w:rsidR="003408EC" w:rsidRPr="005430F9" w:rsidRDefault="002008B8">
      <w:pPr>
        <w:widowControl w:val="0"/>
        <w:autoSpaceDE w:val="0"/>
        <w:autoSpaceDN w:val="0"/>
        <w:adjustRightInd w:val="0"/>
        <w:spacing w:after="0" w:line="240" w:lineRule="auto"/>
        <w:jc w:val="center"/>
        <w:rPr>
          <w:rFonts w:ascii="Arial Negrita" w:hAnsi="Arial Negrita" w:cs="Arial"/>
          <w:b/>
          <w:bCs/>
          <w:smallCaps/>
          <w:color w:val="000000"/>
        </w:rPr>
      </w:pPr>
      <w:r w:rsidRPr="005430F9">
        <w:rPr>
          <w:rFonts w:ascii="Arial Negrita" w:hAnsi="Arial Negrita" w:cs="Arial"/>
          <w:b/>
          <w:bCs/>
          <w:smallCaps/>
          <w:color w:val="000000"/>
        </w:rPr>
        <w:t>Personal ocupado</w:t>
      </w:r>
      <w:r w:rsidR="00C841C8" w:rsidRPr="005430F9">
        <w:rPr>
          <w:rFonts w:ascii="Arial Negrita" w:hAnsi="Arial Negrita" w:cs="Arial"/>
          <w:b/>
          <w:bCs/>
          <w:smallCaps/>
          <w:color w:val="000000"/>
        </w:rPr>
        <w:t xml:space="preserve"> total de las empresas constructoras</w:t>
      </w:r>
      <w:r w:rsidR="00C26349" w:rsidRPr="005430F9">
        <w:rPr>
          <w:rFonts w:ascii="Arial Negrita" w:hAnsi="Arial Negrita" w:cs="Arial"/>
          <w:b/>
          <w:bCs/>
          <w:smallCaps/>
          <w:color w:val="000000"/>
        </w:rPr>
        <w:t>,</w:t>
      </w:r>
      <w:r w:rsidR="00C841C8" w:rsidRPr="005430F9">
        <w:rPr>
          <w:rFonts w:ascii="Arial Negrita" w:hAnsi="Arial Negrita" w:cs="Arial"/>
          <w:b/>
          <w:bCs/>
          <w:smallCaps/>
          <w:color w:val="000000"/>
        </w:rPr>
        <w:t xml:space="preserve"> </w:t>
      </w:r>
      <w:r w:rsidR="00C26349" w:rsidRPr="005430F9">
        <w:rPr>
          <w:rFonts w:ascii="Arial Negrita" w:hAnsi="Arial Negrita" w:cs="Arial"/>
          <w:b/>
          <w:smallCaps/>
          <w:lang w:eastAsia="es-MX"/>
        </w:rPr>
        <w:t>202</w:t>
      </w:r>
      <w:r w:rsidR="000F4019" w:rsidRPr="005430F9">
        <w:rPr>
          <w:rFonts w:ascii="Arial Negrita" w:hAnsi="Arial Negrita" w:cs="Arial"/>
          <w:b/>
          <w:smallCaps/>
          <w:lang w:eastAsia="es-MX"/>
        </w:rPr>
        <w:t>1</w:t>
      </w:r>
      <w:r w:rsidR="00B14B1C" w:rsidRPr="005430F9">
        <w:rPr>
          <w:rFonts w:ascii="Arial Negrita" w:hAnsi="Arial Negrita" w:cs="Arial"/>
          <w:b/>
          <w:smallCaps/>
          <w:vertAlign w:val="superscript"/>
          <w:lang w:eastAsia="es-MX"/>
        </w:rPr>
        <w:t>p</w:t>
      </w:r>
      <w:r w:rsidR="00C26349" w:rsidRPr="005430F9">
        <w:rPr>
          <w:rFonts w:ascii="Arial Negrita" w:hAnsi="Arial Negrita" w:cs="Arial"/>
          <w:b/>
          <w:smallCaps/>
          <w:vertAlign w:val="superscript"/>
          <w:lang w:eastAsia="es-MX"/>
        </w:rPr>
        <w:t>/</w:t>
      </w:r>
    </w:p>
    <w:tbl>
      <w:tblPr>
        <w:tblW w:w="8264" w:type="dxa"/>
        <w:jc w:val="center"/>
        <w:tblCellMar>
          <w:left w:w="70" w:type="dxa"/>
          <w:right w:w="70" w:type="dxa"/>
        </w:tblCellMar>
        <w:tblLook w:val="04A0" w:firstRow="1" w:lastRow="0" w:firstColumn="1" w:lastColumn="0" w:noHBand="0" w:noVBand="1"/>
      </w:tblPr>
      <w:tblGrid>
        <w:gridCol w:w="3763"/>
        <w:gridCol w:w="2186"/>
        <w:gridCol w:w="2315"/>
      </w:tblGrid>
      <w:tr w:rsidR="000F4019" w:rsidRPr="00954BB9" w14:paraId="4D07BBBE" w14:textId="77777777" w:rsidTr="00D3530D">
        <w:trPr>
          <w:trHeight w:val="561"/>
          <w:jc w:val="center"/>
        </w:trPr>
        <w:tc>
          <w:tcPr>
            <w:tcW w:w="3763" w:type="dxa"/>
            <w:tcBorders>
              <w:top w:val="single" w:sz="4" w:space="0" w:color="auto"/>
              <w:left w:val="single" w:sz="4" w:space="0" w:color="auto"/>
              <w:bottom w:val="single" w:sz="4" w:space="0" w:color="auto"/>
              <w:right w:val="single" w:sz="4" w:space="0" w:color="auto"/>
            </w:tcBorders>
            <w:shd w:val="clear" w:color="auto" w:fill="FFB13F"/>
            <w:vAlign w:val="center"/>
            <w:hideMark/>
          </w:tcPr>
          <w:p w14:paraId="29B6C66A" w14:textId="77777777" w:rsidR="000F4019" w:rsidRPr="00954BB9" w:rsidRDefault="000F4019" w:rsidP="002652BF">
            <w:pPr>
              <w:spacing w:after="0" w:line="240" w:lineRule="auto"/>
              <w:jc w:val="center"/>
              <w:rPr>
                <w:rFonts w:ascii="Arial" w:eastAsia="Times New Roman" w:hAnsi="Arial" w:cs="Arial"/>
                <w:b/>
                <w:bCs/>
                <w:sz w:val="20"/>
                <w:szCs w:val="20"/>
                <w:lang w:eastAsia="es-MX"/>
              </w:rPr>
            </w:pPr>
            <w:r w:rsidRPr="00954BB9">
              <w:rPr>
                <w:rFonts w:ascii="Arial" w:eastAsia="Times New Roman" w:hAnsi="Arial" w:cs="Arial"/>
                <w:b/>
                <w:bCs/>
                <w:sz w:val="20"/>
                <w:szCs w:val="20"/>
                <w:lang w:eastAsia="es-MX"/>
              </w:rPr>
              <w:t xml:space="preserve">Entidad federativa </w:t>
            </w:r>
          </w:p>
        </w:tc>
        <w:tc>
          <w:tcPr>
            <w:tcW w:w="2186" w:type="dxa"/>
            <w:tcBorders>
              <w:top w:val="single" w:sz="4" w:space="0" w:color="auto"/>
              <w:left w:val="nil"/>
              <w:bottom w:val="single" w:sz="4" w:space="0" w:color="auto"/>
              <w:right w:val="single" w:sz="4" w:space="0" w:color="auto"/>
            </w:tcBorders>
            <w:shd w:val="clear" w:color="auto" w:fill="FFB13F"/>
            <w:vAlign w:val="center"/>
            <w:hideMark/>
          </w:tcPr>
          <w:p w14:paraId="63E69A3C" w14:textId="77777777" w:rsidR="000F4019" w:rsidRPr="00954BB9" w:rsidRDefault="000F4019" w:rsidP="002652BF">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Número de personas</w:t>
            </w:r>
          </w:p>
        </w:tc>
        <w:tc>
          <w:tcPr>
            <w:tcW w:w="2315" w:type="dxa"/>
            <w:tcBorders>
              <w:top w:val="single" w:sz="4" w:space="0" w:color="auto"/>
              <w:left w:val="nil"/>
              <w:bottom w:val="single" w:sz="4" w:space="0" w:color="auto"/>
              <w:right w:val="single" w:sz="4" w:space="0" w:color="auto"/>
            </w:tcBorders>
            <w:shd w:val="clear" w:color="auto" w:fill="FFB13F"/>
            <w:vAlign w:val="center"/>
            <w:hideMark/>
          </w:tcPr>
          <w:p w14:paraId="49F81343" w14:textId="77777777" w:rsidR="000F4019" w:rsidRPr="00954BB9" w:rsidRDefault="000F4019" w:rsidP="002652BF">
            <w:pPr>
              <w:spacing w:after="0" w:line="240" w:lineRule="auto"/>
              <w:jc w:val="center"/>
              <w:rPr>
                <w:rFonts w:ascii="Arial" w:eastAsia="Times New Roman" w:hAnsi="Arial" w:cs="Arial"/>
                <w:b/>
                <w:bCs/>
                <w:color w:val="000000"/>
                <w:sz w:val="20"/>
                <w:szCs w:val="20"/>
                <w:lang w:eastAsia="es-MX"/>
              </w:rPr>
            </w:pPr>
            <w:r w:rsidRPr="00954BB9">
              <w:rPr>
                <w:rFonts w:ascii="Arial" w:eastAsia="Times New Roman" w:hAnsi="Arial" w:cs="Arial"/>
                <w:b/>
                <w:bCs/>
                <w:color w:val="000000"/>
                <w:sz w:val="20"/>
                <w:szCs w:val="20"/>
                <w:lang w:eastAsia="es-MX"/>
              </w:rPr>
              <w:t>Participación porcentual</w:t>
            </w:r>
          </w:p>
        </w:tc>
      </w:tr>
      <w:tr w:rsidR="000F4019" w:rsidRPr="00954BB9" w14:paraId="6BC2FFDD"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3CBA5006" w14:textId="77777777" w:rsidR="000F4019" w:rsidRPr="00515933" w:rsidRDefault="000F4019" w:rsidP="000F4019">
            <w:pPr>
              <w:spacing w:after="0" w:line="240" w:lineRule="auto"/>
              <w:rPr>
                <w:rFonts w:ascii="Arial" w:eastAsia="Times New Roman" w:hAnsi="Arial" w:cs="Arial"/>
                <w:b/>
                <w:bCs/>
                <w:sz w:val="20"/>
                <w:szCs w:val="20"/>
                <w:lang w:eastAsia="es-MX"/>
              </w:rPr>
            </w:pPr>
            <w:r w:rsidRPr="00515933">
              <w:rPr>
                <w:rFonts w:ascii="Arial" w:eastAsia="Times New Roman" w:hAnsi="Arial" w:cs="Arial"/>
                <w:b/>
                <w:bCs/>
                <w:sz w:val="20"/>
                <w:szCs w:val="20"/>
                <w:lang w:eastAsia="es-MX"/>
              </w:rPr>
              <w:t>Estados Unidos Mexicanos</w:t>
            </w:r>
          </w:p>
        </w:tc>
        <w:tc>
          <w:tcPr>
            <w:tcW w:w="2186" w:type="dxa"/>
            <w:tcBorders>
              <w:top w:val="nil"/>
              <w:left w:val="nil"/>
              <w:bottom w:val="single" w:sz="4" w:space="0" w:color="auto"/>
              <w:right w:val="single" w:sz="4" w:space="0" w:color="auto"/>
            </w:tcBorders>
            <w:shd w:val="clear" w:color="auto" w:fill="auto"/>
            <w:noWrap/>
            <w:vAlign w:val="center"/>
            <w:hideMark/>
          </w:tcPr>
          <w:p w14:paraId="529CD483" w14:textId="60E75E64" w:rsidR="000F4019" w:rsidRPr="00515933" w:rsidRDefault="000F4019" w:rsidP="003F5B51">
            <w:pPr>
              <w:spacing w:after="0" w:line="240" w:lineRule="auto"/>
              <w:ind w:right="640"/>
              <w:jc w:val="right"/>
              <w:rPr>
                <w:rFonts w:ascii="Arial" w:eastAsia="Times New Roman" w:hAnsi="Arial" w:cs="Arial"/>
                <w:b/>
                <w:bCs/>
                <w:sz w:val="20"/>
                <w:szCs w:val="20"/>
                <w:highlight w:val="yellow"/>
                <w:lang w:eastAsia="es-MX"/>
              </w:rPr>
            </w:pPr>
            <w:r w:rsidRPr="00515933">
              <w:rPr>
                <w:rFonts w:ascii="Arial" w:hAnsi="Arial" w:cs="Arial"/>
                <w:b/>
                <w:bCs/>
                <w:color w:val="000000"/>
                <w:sz w:val="20"/>
                <w:szCs w:val="20"/>
              </w:rPr>
              <w:t>604</w:t>
            </w:r>
            <w:r w:rsidR="003F5B51" w:rsidRPr="00515933">
              <w:rPr>
                <w:rFonts w:ascii="Arial" w:hAnsi="Arial" w:cs="Arial"/>
                <w:b/>
                <w:bCs/>
                <w:color w:val="000000"/>
                <w:sz w:val="20"/>
                <w:szCs w:val="20"/>
              </w:rPr>
              <w:t xml:space="preserve"> </w:t>
            </w:r>
            <w:r w:rsidRPr="00515933">
              <w:rPr>
                <w:rFonts w:ascii="Arial" w:hAnsi="Arial" w:cs="Arial"/>
                <w:b/>
                <w:bCs/>
                <w:color w:val="000000"/>
                <w:sz w:val="20"/>
                <w:szCs w:val="20"/>
              </w:rPr>
              <w:t>814</w:t>
            </w:r>
          </w:p>
        </w:tc>
        <w:tc>
          <w:tcPr>
            <w:tcW w:w="2315" w:type="dxa"/>
            <w:tcBorders>
              <w:top w:val="nil"/>
              <w:left w:val="nil"/>
              <w:bottom w:val="single" w:sz="4" w:space="0" w:color="auto"/>
              <w:right w:val="single" w:sz="4" w:space="0" w:color="auto"/>
            </w:tcBorders>
            <w:shd w:val="clear" w:color="auto" w:fill="auto"/>
            <w:noWrap/>
            <w:vAlign w:val="center"/>
            <w:hideMark/>
          </w:tcPr>
          <w:p w14:paraId="1DC3633E" w14:textId="55638737" w:rsidR="000F4019" w:rsidRPr="00515933" w:rsidRDefault="000F4019" w:rsidP="003F5B51">
            <w:pPr>
              <w:spacing w:after="0" w:line="240" w:lineRule="auto"/>
              <w:ind w:right="826"/>
              <w:jc w:val="right"/>
              <w:rPr>
                <w:rFonts w:ascii="Arial" w:eastAsia="Times New Roman" w:hAnsi="Arial" w:cs="Arial"/>
                <w:b/>
                <w:bCs/>
                <w:sz w:val="20"/>
                <w:szCs w:val="20"/>
                <w:lang w:eastAsia="es-MX"/>
              </w:rPr>
            </w:pPr>
            <w:r w:rsidRPr="00515933">
              <w:rPr>
                <w:rFonts w:ascii="Arial" w:hAnsi="Arial" w:cs="Arial"/>
                <w:b/>
                <w:bCs/>
                <w:color w:val="000000"/>
                <w:sz w:val="20"/>
                <w:szCs w:val="20"/>
              </w:rPr>
              <w:t>100.0</w:t>
            </w:r>
          </w:p>
        </w:tc>
      </w:tr>
      <w:tr w:rsidR="000F4019" w:rsidRPr="00954BB9" w14:paraId="57FCFBA4"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32DE9FEC"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Aguascalientes</w:t>
            </w:r>
          </w:p>
        </w:tc>
        <w:tc>
          <w:tcPr>
            <w:tcW w:w="2186" w:type="dxa"/>
            <w:tcBorders>
              <w:top w:val="nil"/>
              <w:left w:val="nil"/>
              <w:bottom w:val="single" w:sz="4" w:space="0" w:color="auto"/>
              <w:right w:val="single" w:sz="4" w:space="0" w:color="auto"/>
            </w:tcBorders>
            <w:shd w:val="clear" w:color="auto" w:fill="auto"/>
            <w:noWrap/>
            <w:vAlign w:val="center"/>
            <w:hideMark/>
          </w:tcPr>
          <w:p w14:paraId="21A9E419" w14:textId="5151E030"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8</w:t>
            </w:r>
            <w:r w:rsidR="0086465C" w:rsidRPr="00515933">
              <w:rPr>
                <w:rFonts w:ascii="Arial" w:hAnsi="Arial" w:cs="Arial"/>
                <w:color w:val="000000"/>
                <w:sz w:val="20"/>
                <w:szCs w:val="20"/>
              </w:rPr>
              <w:t xml:space="preserve"> </w:t>
            </w:r>
            <w:r w:rsidRPr="00515933">
              <w:rPr>
                <w:rFonts w:ascii="Arial" w:hAnsi="Arial" w:cs="Arial"/>
                <w:color w:val="000000"/>
                <w:sz w:val="20"/>
                <w:szCs w:val="20"/>
              </w:rPr>
              <w:t>524</w:t>
            </w:r>
          </w:p>
        </w:tc>
        <w:tc>
          <w:tcPr>
            <w:tcW w:w="2315" w:type="dxa"/>
            <w:tcBorders>
              <w:top w:val="nil"/>
              <w:left w:val="nil"/>
              <w:bottom w:val="single" w:sz="4" w:space="0" w:color="auto"/>
              <w:right w:val="single" w:sz="4" w:space="0" w:color="auto"/>
            </w:tcBorders>
            <w:shd w:val="clear" w:color="auto" w:fill="auto"/>
            <w:noWrap/>
            <w:vAlign w:val="center"/>
            <w:hideMark/>
          </w:tcPr>
          <w:p w14:paraId="5A71BA17" w14:textId="51AB087D"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1.4</w:t>
            </w:r>
          </w:p>
        </w:tc>
      </w:tr>
      <w:tr w:rsidR="000F4019" w:rsidRPr="00954BB9" w14:paraId="629B1786"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1F4EA303"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Baja California</w:t>
            </w:r>
          </w:p>
        </w:tc>
        <w:tc>
          <w:tcPr>
            <w:tcW w:w="2186" w:type="dxa"/>
            <w:tcBorders>
              <w:top w:val="nil"/>
              <w:left w:val="nil"/>
              <w:bottom w:val="single" w:sz="4" w:space="0" w:color="auto"/>
              <w:right w:val="single" w:sz="4" w:space="0" w:color="auto"/>
            </w:tcBorders>
            <w:shd w:val="clear" w:color="auto" w:fill="auto"/>
            <w:noWrap/>
            <w:vAlign w:val="center"/>
            <w:hideMark/>
          </w:tcPr>
          <w:p w14:paraId="26D07B2A" w14:textId="58708008"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17</w:t>
            </w:r>
            <w:r w:rsidR="0086465C" w:rsidRPr="00515933">
              <w:rPr>
                <w:rFonts w:ascii="Arial" w:hAnsi="Arial" w:cs="Arial"/>
                <w:color w:val="000000"/>
                <w:sz w:val="20"/>
                <w:szCs w:val="20"/>
              </w:rPr>
              <w:t xml:space="preserve"> </w:t>
            </w:r>
            <w:r w:rsidRPr="00515933">
              <w:rPr>
                <w:rFonts w:ascii="Arial" w:hAnsi="Arial" w:cs="Arial"/>
                <w:color w:val="000000"/>
                <w:sz w:val="20"/>
                <w:szCs w:val="20"/>
              </w:rPr>
              <w:t>273</w:t>
            </w:r>
          </w:p>
        </w:tc>
        <w:tc>
          <w:tcPr>
            <w:tcW w:w="2315" w:type="dxa"/>
            <w:tcBorders>
              <w:top w:val="nil"/>
              <w:left w:val="nil"/>
              <w:bottom w:val="single" w:sz="4" w:space="0" w:color="auto"/>
              <w:right w:val="single" w:sz="4" w:space="0" w:color="auto"/>
            </w:tcBorders>
            <w:shd w:val="clear" w:color="auto" w:fill="auto"/>
            <w:noWrap/>
            <w:vAlign w:val="center"/>
            <w:hideMark/>
          </w:tcPr>
          <w:p w14:paraId="6F567388" w14:textId="006C029C"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2.9</w:t>
            </w:r>
          </w:p>
        </w:tc>
      </w:tr>
      <w:tr w:rsidR="000F4019" w:rsidRPr="00954BB9" w14:paraId="36F811C8"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72E257E7"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Baja California Sur</w:t>
            </w:r>
          </w:p>
        </w:tc>
        <w:tc>
          <w:tcPr>
            <w:tcW w:w="2186" w:type="dxa"/>
            <w:tcBorders>
              <w:top w:val="nil"/>
              <w:left w:val="nil"/>
              <w:bottom w:val="single" w:sz="4" w:space="0" w:color="auto"/>
              <w:right w:val="single" w:sz="4" w:space="0" w:color="auto"/>
            </w:tcBorders>
            <w:shd w:val="clear" w:color="auto" w:fill="auto"/>
            <w:noWrap/>
            <w:vAlign w:val="center"/>
            <w:hideMark/>
          </w:tcPr>
          <w:p w14:paraId="70532C28" w14:textId="03F74C07"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6</w:t>
            </w:r>
            <w:r w:rsidR="0086465C" w:rsidRPr="00515933">
              <w:rPr>
                <w:rFonts w:ascii="Arial" w:hAnsi="Arial" w:cs="Arial"/>
                <w:color w:val="000000"/>
                <w:sz w:val="20"/>
                <w:szCs w:val="20"/>
              </w:rPr>
              <w:t xml:space="preserve"> </w:t>
            </w:r>
            <w:r w:rsidRPr="00515933">
              <w:rPr>
                <w:rFonts w:ascii="Arial" w:hAnsi="Arial" w:cs="Arial"/>
                <w:color w:val="000000"/>
                <w:sz w:val="20"/>
                <w:szCs w:val="20"/>
              </w:rPr>
              <w:t>319</w:t>
            </w:r>
          </w:p>
        </w:tc>
        <w:tc>
          <w:tcPr>
            <w:tcW w:w="2315" w:type="dxa"/>
            <w:tcBorders>
              <w:top w:val="nil"/>
              <w:left w:val="nil"/>
              <w:bottom w:val="single" w:sz="4" w:space="0" w:color="auto"/>
              <w:right w:val="single" w:sz="4" w:space="0" w:color="auto"/>
            </w:tcBorders>
            <w:shd w:val="clear" w:color="auto" w:fill="auto"/>
            <w:noWrap/>
            <w:vAlign w:val="center"/>
            <w:hideMark/>
          </w:tcPr>
          <w:p w14:paraId="2BE979F2" w14:textId="618A43B1"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1.0</w:t>
            </w:r>
          </w:p>
        </w:tc>
      </w:tr>
      <w:tr w:rsidR="000F4019" w:rsidRPr="00954BB9" w14:paraId="01C7A7E7"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65CEE977"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 xml:space="preserve">Campeche </w:t>
            </w:r>
          </w:p>
        </w:tc>
        <w:tc>
          <w:tcPr>
            <w:tcW w:w="2186" w:type="dxa"/>
            <w:tcBorders>
              <w:top w:val="nil"/>
              <w:left w:val="nil"/>
              <w:bottom w:val="single" w:sz="4" w:space="0" w:color="auto"/>
              <w:right w:val="single" w:sz="4" w:space="0" w:color="auto"/>
            </w:tcBorders>
            <w:shd w:val="clear" w:color="auto" w:fill="auto"/>
            <w:noWrap/>
            <w:vAlign w:val="center"/>
            <w:hideMark/>
          </w:tcPr>
          <w:p w14:paraId="4DDF62D4" w14:textId="5E9674B1"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10</w:t>
            </w:r>
            <w:r w:rsidR="0086465C" w:rsidRPr="00515933">
              <w:rPr>
                <w:rFonts w:ascii="Arial" w:hAnsi="Arial" w:cs="Arial"/>
                <w:color w:val="000000"/>
                <w:sz w:val="20"/>
                <w:szCs w:val="20"/>
              </w:rPr>
              <w:t xml:space="preserve"> </w:t>
            </w:r>
            <w:r w:rsidRPr="00515933">
              <w:rPr>
                <w:rFonts w:ascii="Arial" w:hAnsi="Arial" w:cs="Arial"/>
                <w:color w:val="000000"/>
                <w:sz w:val="20"/>
                <w:szCs w:val="20"/>
              </w:rPr>
              <w:t>440</w:t>
            </w:r>
          </w:p>
        </w:tc>
        <w:tc>
          <w:tcPr>
            <w:tcW w:w="2315" w:type="dxa"/>
            <w:tcBorders>
              <w:top w:val="nil"/>
              <w:left w:val="nil"/>
              <w:bottom w:val="single" w:sz="4" w:space="0" w:color="auto"/>
              <w:right w:val="single" w:sz="4" w:space="0" w:color="auto"/>
            </w:tcBorders>
            <w:shd w:val="clear" w:color="auto" w:fill="auto"/>
            <w:noWrap/>
            <w:vAlign w:val="center"/>
            <w:hideMark/>
          </w:tcPr>
          <w:p w14:paraId="4ADC5578" w14:textId="7B17FE89"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1.7</w:t>
            </w:r>
          </w:p>
        </w:tc>
      </w:tr>
      <w:tr w:rsidR="000F4019" w:rsidRPr="00954BB9" w14:paraId="3C9DA65A"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6380EB15"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Coahuila de Zaragoza</w:t>
            </w:r>
          </w:p>
        </w:tc>
        <w:tc>
          <w:tcPr>
            <w:tcW w:w="2186" w:type="dxa"/>
            <w:tcBorders>
              <w:top w:val="nil"/>
              <w:left w:val="nil"/>
              <w:bottom w:val="single" w:sz="4" w:space="0" w:color="auto"/>
              <w:right w:val="single" w:sz="4" w:space="0" w:color="auto"/>
            </w:tcBorders>
            <w:shd w:val="clear" w:color="auto" w:fill="auto"/>
            <w:noWrap/>
            <w:vAlign w:val="center"/>
            <w:hideMark/>
          </w:tcPr>
          <w:p w14:paraId="63C77E3D" w14:textId="38533D7D"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19</w:t>
            </w:r>
            <w:r w:rsidR="0086465C" w:rsidRPr="00515933">
              <w:rPr>
                <w:rFonts w:ascii="Arial" w:hAnsi="Arial" w:cs="Arial"/>
                <w:color w:val="000000"/>
                <w:sz w:val="20"/>
                <w:szCs w:val="20"/>
              </w:rPr>
              <w:t xml:space="preserve"> </w:t>
            </w:r>
            <w:r w:rsidRPr="00515933">
              <w:rPr>
                <w:rFonts w:ascii="Arial" w:hAnsi="Arial" w:cs="Arial"/>
                <w:color w:val="000000"/>
                <w:sz w:val="20"/>
                <w:szCs w:val="20"/>
              </w:rPr>
              <w:t>571</w:t>
            </w:r>
          </w:p>
        </w:tc>
        <w:tc>
          <w:tcPr>
            <w:tcW w:w="2315" w:type="dxa"/>
            <w:tcBorders>
              <w:top w:val="nil"/>
              <w:left w:val="nil"/>
              <w:bottom w:val="single" w:sz="4" w:space="0" w:color="auto"/>
              <w:right w:val="single" w:sz="4" w:space="0" w:color="auto"/>
            </w:tcBorders>
            <w:shd w:val="clear" w:color="auto" w:fill="auto"/>
            <w:noWrap/>
            <w:vAlign w:val="center"/>
            <w:hideMark/>
          </w:tcPr>
          <w:p w14:paraId="59B62B08" w14:textId="4B9BFFAC"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3.2</w:t>
            </w:r>
          </w:p>
        </w:tc>
      </w:tr>
      <w:tr w:rsidR="000F4019" w:rsidRPr="00954BB9" w14:paraId="23836791"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07039960"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Colima</w:t>
            </w:r>
          </w:p>
        </w:tc>
        <w:tc>
          <w:tcPr>
            <w:tcW w:w="2186" w:type="dxa"/>
            <w:tcBorders>
              <w:top w:val="nil"/>
              <w:left w:val="nil"/>
              <w:bottom w:val="single" w:sz="4" w:space="0" w:color="auto"/>
              <w:right w:val="single" w:sz="4" w:space="0" w:color="auto"/>
            </w:tcBorders>
            <w:shd w:val="clear" w:color="auto" w:fill="auto"/>
            <w:noWrap/>
            <w:vAlign w:val="center"/>
            <w:hideMark/>
          </w:tcPr>
          <w:p w14:paraId="301FA0B6" w14:textId="52909745"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6</w:t>
            </w:r>
            <w:r w:rsidR="0086465C" w:rsidRPr="00515933">
              <w:rPr>
                <w:rFonts w:ascii="Arial" w:hAnsi="Arial" w:cs="Arial"/>
                <w:color w:val="000000"/>
                <w:sz w:val="20"/>
                <w:szCs w:val="20"/>
              </w:rPr>
              <w:t xml:space="preserve"> </w:t>
            </w:r>
            <w:r w:rsidRPr="00515933">
              <w:rPr>
                <w:rFonts w:ascii="Arial" w:hAnsi="Arial" w:cs="Arial"/>
                <w:color w:val="000000"/>
                <w:sz w:val="20"/>
                <w:szCs w:val="20"/>
              </w:rPr>
              <w:t>517</w:t>
            </w:r>
          </w:p>
        </w:tc>
        <w:tc>
          <w:tcPr>
            <w:tcW w:w="2315" w:type="dxa"/>
            <w:tcBorders>
              <w:top w:val="nil"/>
              <w:left w:val="nil"/>
              <w:bottom w:val="single" w:sz="4" w:space="0" w:color="auto"/>
              <w:right w:val="single" w:sz="4" w:space="0" w:color="auto"/>
            </w:tcBorders>
            <w:shd w:val="clear" w:color="auto" w:fill="auto"/>
            <w:noWrap/>
            <w:vAlign w:val="center"/>
            <w:hideMark/>
          </w:tcPr>
          <w:p w14:paraId="6F4ACC10" w14:textId="0048DA2E"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1.1</w:t>
            </w:r>
          </w:p>
        </w:tc>
      </w:tr>
      <w:tr w:rsidR="000F4019" w:rsidRPr="00954BB9" w14:paraId="700027D7"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0328F2EE"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Chiapas</w:t>
            </w:r>
          </w:p>
        </w:tc>
        <w:tc>
          <w:tcPr>
            <w:tcW w:w="2186" w:type="dxa"/>
            <w:tcBorders>
              <w:top w:val="nil"/>
              <w:left w:val="nil"/>
              <w:bottom w:val="single" w:sz="4" w:space="0" w:color="auto"/>
              <w:right w:val="single" w:sz="4" w:space="0" w:color="auto"/>
            </w:tcBorders>
            <w:shd w:val="clear" w:color="auto" w:fill="auto"/>
            <w:noWrap/>
            <w:vAlign w:val="center"/>
            <w:hideMark/>
          </w:tcPr>
          <w:p w14:paraId="54FC525A" w14:textId="22A8F355"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12</w:t>
            </w:r>
            <w:r w:rsidR="0086465C" w:rsidRPr="00515933">
              <w:rPr>
                <w:rFonts w:ascii="Arial" w:hAnsi="Arial" w:cs="Arial"/>
                <w:color w:val="000000"/>
                <w:sz w:val="20"/>
                <w:szCs w:val="20"/>
              </w:rPr>
              <w:t xml:space="preserve"> </w:t>
            </w:r>
            <w:r w:rsidRPr="00515933">
              <w:rPr>
                <w:rFonts w:ascii="Arial" w:hAnsi="Arial" w:cs="Arial"/>
                <w:color w:val="000000"/>
                <w:sz w:val="20"/>
                <w:szCs w:val="20"/>
              </w:rPr>
              <w:t>653</w:t>
            </w:r>
          </w:p>
        </w:tc>
        <w:tc>
          <w:tcPr>
            <w:tcW w:w="2315" w:type="dxa"/>
            <w:tcBorders>
              <w:top w:val="nil"/>
              <w:left w:val="nil"/>
              <w:bottom w:val="single" w:sz="4" w:space="0" w:color="auto"/>
              <w:right w:val="single" w:sz="4" w:space="0" w:color="auto"/>
            </w:tcBorders>
            <w:shd w:val="clear" w:color="auto" w:fill="auto"/>
            <w:noWrap/>
            <w:vAlign w:val="center"/>
            <w:hideMark/>
          </w:tcPr>
          <w:p w14:paraId="0D50CE1F" w14:textId="7F32A446"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2.1</w:t>
            </w:r>
          </w:p>
        </w:tc>
      </w:tr>
      <w:tr w:rsidR="000F4019" w:rsidRPr="00954BB9" w14:paraId="73289AFD"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5105663B"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Chihuahua</w:t>
            </w:r>
          </w:p>
        </w:tc>
        <w:tc>
          <w:tcPr>
            <w:tcW w:w="2186" w:type="dxa"/>
            <w:tcBorders>
              <w:top w:val="nil"/>
              <w:left w:val="nil"/>
              <w:bottom w:val="single" w:sz="4" w:space="0" w:color="auto"/>
              <w:right w:val="single" w:sz="4" w:space="0" w:color="auto"/>
            </w:tcBorders>
            <w:shd w:val="clear" w:color="auto" w:fill="auto"/>
            <w:noWrap/>
            <w:vAlign w:val="center"/>
            <w:hideMark/>
          </w:tcPr>
          <w:p w14:paraId="572FBA7A" w14:textId="795C2BD9"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17</w:t>
            </w:r>
            <w:r w:rsidR="0086465C" w:rsidRPr="00515933">
              <w:rPr>
                <w:rFonts w:ascii="Arial" w:hAnsi="Arial" w:cs="Arial"/>
                <w:color w:val="000000"/>
                <w:sz w:val="20"/>
                <w:szCs w:val="20"/>
              </w:rPr>
              <w:t xml:space="preserve"> </w:t>
            </w:r>
            <w:r w:rsidRPr="00515933">
              <w:rPr>
                <w:rFonts w:ascii="Arial" w:hAnsi="Arial" w:cs="Arial"/>
                <w:color w:val="000000"/>
                <w:sz w:val="20"/>
                <w:szCs w:val="20"/>
              </w:rPr>
              <w:t>325</w:t>
            </w:r>
          </w:p>
        </w:tc>
        <w:tc>
          <w:tcPr>
            <w:tcW w:w="2315" w:type="dxa"/>
            <w:tcBorders>
              <w:top w:val="nil"/>
              <w:left w:val="nil"/>
              <w:bottom w:val="single" w:sz="4" w:space="0" w:color="auto"/>
              <w:right w:val="single" w:sz="4" w:space="0" w:color="auto"/>
            </w:tcBorders>
            <w:shd w:val="clear" w:color="auto" w:fill="auto"/>
            <w:noWrap/>
            <w:vAlign w:val="center"/>
            <w:hideMark/>
          </w:tcPr>
          <w:p w14:paraId="0C27EFD6" w14:textId="0E848AFA"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2.9</w:t>
            </w:r>
          </w:p>
        </w:tc>
      </w:tr>
      <w:tr w:rsidR="000F4019" w:rsidRPr="00954BB9" w14:paraId="6024667A"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77CEC93A" w14:textId="3DFD250A" w:rsidR="000F4019" w:rsidRPr="00515933" w:rsidRDefault="004D678A"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Ciudad de México</w:t>
            </w:r>
          </w:p>
        </w:tc>
        <w:tc>
          <w:tcPr>
            <w:tcW w:w="2186" w:type="dxa"/>
            <w:tcBorders>
              <w:top w:val="nil"/>
              <w:left w:val="nil"/>
              <w:bottom w:val="single" w:sz="4" w:space="0" w:color="auto"/>
              <w:right w:val="single" w:sz="4" w:space="0" w:color="auto"/>
            </w:tcBorders>
            <w:shd w:val="clear" w:color="auto" w:fill="auto"/>
            <w:noWrap/>
            <w:vAlign w:val="center"/>
            <w:hideMark/>
          </w:tcPr>
          <w:p w14:paraId="530AB6DF" w14:textId="25194E8A"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89</w:t>
            </w:r>
            <w:r w:rsidR="0086465C" w:rsidRPr="00515933">
              <w:rPr>
                <w:rFonts w:ascii="Arial" w:hAnsi="Arial" w:cs="Arial"/>
                <w:color w:val="000000"/>
                <w:sz w:val="20"/>
                <w:szCs w:val="20"/>
              </w:rPr>
              <w:t xml:space="preserve"> </w:t>
            </w:r>
            <w:r w:rsidRPr="00515933">
              <w:rPr>
                <w:rFonts w:ascii="Arial" w:hAnsi="Arial" w:cs="Arial"/>
                <w:color w:val="000000"/>
                <w:sz w:val="20"/>
                <w:szCs w:val="20"/>
              </w:rPr>
              <w:t>82</w:t>
            </w:r>
            <w:r w:rsidR="008719DB" w:rsidRPr="00515933">
              <w:rPr>
                <w:rFonts w:ascii="Arial" w:hAnsi="Arial" w:cs="Arial"/>
                <w:color w:val="000000"/>
                <w:sz w:val="20"/>
                <w:szCs w:val="20"/>
              </w:rPr>
              <w:t>9</w:t>
            </w:r>
          </w:p>
        </w:tc>
        <w:tc>
          <w:tcPr>
            <w:tcW w:w="2315" w:type="dxa"/>
            <w:tcBorders>
              <w:top w:val="nil"/>
              <w:left w:val="nil"/>
              <w:bottom w:val="single" w:sz="4" w:space="0" w:color="auto"/>
              <w:right w:val="single" w:sz="4" w:space="0" w:color="auto"/>
            </w:tcBorders>
            <w:shd w:val="clear" w:color="auto" w:fill="auto"/>
            <w:noWrap/>
            <w:vAlign w:val="center"/>
            <w:hideMark/>
          </w:tcPr>
          <w:p w14:paraId="403F86D5" w14:textId="23FE771A"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14.9</w:t>
            </w:r>
          </w:p>
        </w:tc>
      </w:tr>
      <w:tr w:rsidR="000F4019" w:rsidRPr="00954BB9" w14:paraId="0625BBA6"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6F7C5300"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Durango</w:t>
            </w:r>
          </w:p>
        </w:tc>
        <w:tc>
          <w:tcPr>
            <w:tcW w:w="2186" w:type="dxa"/>
            <w:tcBorders>
              <w:top w:val="nil"/>
              <w:left w:val="nil"/>
              <w:bottom w:val="single" w:sz="4" w:space="0" w:color="auto"/>
              <w:right w:val="single" w:sz="4" w:space="0" w:color="auto"/>
            </w:tcBorders>
            <w:shd w:val="clear" w:color="auto" w:fill="auto"/>
            <w:noWrap/>
            <w:vAlign w:val="center"/>
            <w:hideMark/>
          </w:tcPr>
          <w:p w14:paraId="0F890A6F" w14:textId="6C77C955"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7</w:t>
            </w:r>
            <w:r w:rsidR="0086465C" w:rsidRPr="00515933">
              <w:rPr>
                <w:rFonts w:ascii="Arial" w:hAnsi="Arial" w:cs="Arial"/>
                <w:color w:val="000000"/>
                <w:sz w:val="20"/>
                <w:szCs w:val="20"/>
              </w:rPr>
              <w:t xml:space="preserve"> </w:t>
            </w:r>
            <w:r w:rsidRPr="00515933">
              <w:rPr>
                <w:rFonts w:ascii="Arial" w:hAnsi="Arial" w:cs="Arial"/>
                <w:color w:val="000000"/>
                <w:sz w:val="20"/>
                <w:szCs w:val="20"/>
              </w:rPr>
              <w:t>813</w:t>
            </w:r>
          </w:p>
        </w:tc>
        <w:tc>
          <w:tcPr>
            <w:tcW w:w="2315" w:type="dxa"/>
            <w:tcBorders>
              <w:top w:val="nil"/>
              <w:left w:val="nil"/>
              <w:bottom w:val="single" w:sz="4" w:space="0" w:color="auto"/>
              <w:right w:val="single" w:sz="4" w:space="0" w:color="auto"/>
            </w:tcBorders>
            <w:shd w:val="clear" w:color="auto" w:fill="auto"/>
            <w:noWrap/>
            <w:vAlign w:val="center"/>
            <w:hideMark/>
          </w:tcPr>
          <w:p w14:paraId="24A5C28F" w14:textId="5527FFF6"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1.3</w:t>
            </w:r>
          </w:p>
        </w:tc>
      </w:tr>
      <w:tr w:rsidR="000F4019" w:rsidRPr="00954BB9" w14:paraId="0771B094"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709C7EA8"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Guanajuato</w:t>
            </w:r>
          </w:p>
        </w:tc>
        <w:tc>
          <w:tcPr>
            <w:tcW w:w="2186" w:type="dxa"/>
            <w:tcBorders>
              <w:top w:val="nil"/>
              <w:left w:val="nil"/>
              <w:bottom w:val="single" w:sz="4" w:space="0" w:color="auto"/>
              <w:right w:val="single" w:sz="4" w:space="0" w:color="auto"/>
            </w:tcBorders>
            <w:shd w:val="clear" w:color="auto" w:fill="auto"/>
            <w:noWrap/>
            <w:vAlign w:val="center"/>
            <w:hideMark/>
          </w:tcPr>
          <w:p w14:paraId="3EB3EB71" w14:textId="53F267EF"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29</w:t>
            </w:r>
            <w:r w:rsidR="0086465C" w:rsidRPr="00515933">
              <w:rPr>
                <w:rFonts w:ascii="Arial" w:hAnsi="Arial" w:cs="Arial"/>
                <w:color w:val="000000"/>
                <w:sz w:val="20"/>
                <w:szCs w:val="20"/>
              </w:rPr>
              <w:t xml:space="preserve"> </w:t>
            </w:r>
            <w:r w:rsidRPr="00515933">
              <w:rPr>
                <w:rFonts w:ascii="Arial" w:hAnsi="Arial" w:cs="Arial"/>
                <w:color w:val="000000"/>
                <w:sz w:val="20"/>
                <w:szCs w:val="20"/>
              </w:rPr>
              <w:t>362</w:t>
            </w:r>
          </w:p>
        </w:tc>
        <w:tc>
          <w:tcPr>
            <w:tcW w:w="2315" w:type="dxa"/>
            <w:tcBorders>
              <w:top w:val="nil"/>
              <w:left w:val="nil"/>
              <w:bottom w:val="single" w:sz="4" w:space="0" w:color="auto"/>
              <w:right w:val="single" w:sz="4" w:space="0" w:color="auto"/>
            </w:tcBorders>
            <w:shd w:val="clear" w:color="auto" w:fill="auto"/>
            <w:noWrap/>
            <w:vAlign w:val="center"/>
            <w:hideMark/>
          </w:tcPr>
          <w:p w14:paraId="44DDAE3A" w14:textId="009F8473"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4.9</w:t>
            </w:r>
          </w:p>
        </w:tc>
      </w:tr>
      <w:tr w:rsidR="000F4019" w:rsidRPr="00954BB9" w14:paraId="6B9FAF2E"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2F8FD883"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Guerrero</w:t>
            </w:r>
          </w:p>
        </w:tc>
        <w:tc>
          <w:tcPr>
            <w:tcW w:w="2186" w:type="dxa"/>
            <w:tcBorders>
              <w:top w:val="nil"/>
              <w:left w:val="nil"/>
              <w:bottom w:val="single" w:sz="4" w:space="0" w:color="auto"/>
              <w:right w:val="single" w:sz="4" w:space="0" w:color="auto"/>
            </w:tcBorders>
            <w:shd w:val="clear" w:color="auto" w:fill="auto"/>
            <w:noWrap/>
            <w:vAlign w:val="center"/>
            <w:hideMark/>
          </w:tcPr>
          <w:p w14:paraId="3C71DCA7" w14:textId="6C349A86"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6</w:t>
            </w:r>
            <w:r w:rsidR="0086465C" w:rsidRPr="00515933">
              <w:rPr>
                <w:rFonts w:ascii="Arial" w:hAnsi="Arial" w:cs="Arial"/>
                <w:color w:val="000000"/>
                <w:sz w:val="20"/>
                <w:szCs w:val="20"/>
              </w:rPr>
              <w:t xml:space="preserve"> </w:t>
            </w:r>
            <w:r w:rsidRPr="00515933">
              <w:rPr>
                <w:rFonts w:ascii="Arial" w:hAnsi="Arial" w:cs="Arial"/>
                <w:color w:val="000000"/>
                <w:sz w:val="20"/>
                <w:szCs w:val="20"/>
              </w:rPr>
              <w:t>819</w:t>
            </w:r>
          </w:p>
        </w:tc>
        <w:tc>
          <w:tcPr>
            <w:tcW w:w="2315" w:type="dxa"/>
            <w:tcBorders>
              <w:top w:val="nil"/>
              <w:left w:val="nil"/>
              <w:bottom w:val="single" w:sz="4" w:space="0" w:color="auto"/>
              <w:right w:val="single" w:sz="4" w:space="0" w:color="auto"/>
            </w:tcBorders>
            <w:shd w:val="clear" w:color="auto" w:fill="auto"/>
            <w:noWrap/>
            <w:vAlign w:val="center"/>
            <w:hideMark/>
          </w:tcPr>
          <w:p w14:paraId="3D79257B" w14:textId="23768E0C"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1.1</w:t>
            </w:r>
          </w:p>
        </w:tc>
      </w:tr>
      <w:tr w:rsidR="000F4019" w:rsidRPr="00954BB9" w14:paraId="646D0CF8"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68106D32"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Hidalgo</w:t>
            </w:r>
          </w:p>
        </w:tc>
        <w:tc>
          <w:tcPr>
            <w:tcW w:w="2186" w:type="dxa"/>
            <w:tcBorders>
              <w:top w:val="nil"/>
              <w:left w:val="nil"/>
              <w:bottom w:val="single" w:sz="4" w:space="0" w:color="auto"/>
              <w:right w:val="single" w:sz="4" w:space="0" w:color="auto"/>
            </w:tcBorders>
            <w:shd w:val="clear" w:color="auto" w:fill="auto"/>
            <w:noWrap/>
            <w:vAlign w:val="center"/>
            <w:hideMark/>
          </w:tcPr>
          <w:p w14:paraId="593A102C" w14:textId="0E6C51D2"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8</w:t>
            </w:r>
            <w:r w:rsidR="0086465C" w:rsidRPr="00515933">
              <w:rPr>
                <w:rFonts w:ascii="Arial" w:hAnsi="Arial" w:cs="Arial"/>
                <w:color w:val="000000"/>
                <w:sz w:val="20"/>
                <w:szCs w:val="20"/>
              </w:rPr>
              <w:t xml:space="preserve"> </w:t>
            </w:r>
            <w:r w:rsidRPr="00515933">
              <w:rPr>
                <w:rFonts w:ascii="Arial" w:hAnsi="Arial" w:cs="Arial"/>
                <w:color w:val="000000"/>
                <w:sz w:val="20"/>
                <w:szCs w:val="20"/>
              </w:rPr>
              <w:t>204</w:t>
            </w:r>
          </w:p>
        </w:tc>
        <w:tc>
          <w:tcPr>
            <w:tcW w:w="2315" w:type="dxa"/>
            <w:tcBorders>
              <w:top w:val="nil"/>
              <w:left w:val="nil"/>
              <w:bottom w:val="single" w:sz="4" w:space="0" w:color="auto"/>
              <w:right w:val="single" w:sz="4" w:space="0" w:color="auto"/>
            </w:tcBorders>
            <w:shd w:val="clear" w:color="auto" w:fill="auto"/>
            <w:noWrap/>
            <w:vAlign w:val="center"/>
            <w:hideMark/>
          </w:tcPr>
          <w:p w14:paraId="326B962D" w14:textId="6B6DCCD9"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1.4</w:t>
            </w:r>
          </w:p>
        </w:tc>
      </w:tr>
      <w:tr w:rsidR="000F4019" w:rsidRPr="00954BB9" w14:paraId="6E2299F3"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46977104"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Jalisco</w:t>
            </w:r>
          </w:p>
        </w:tc>
        <w:tc>
          <w:tcPr>
            <w:tcW w:w="2186" w:type="dxa"/>
            <w:tcBorders>
              <w:top w:val="nil"/>
              <w:left w:val="nil"/>
              <w:bottom w:val="single" w:sz="4" w:space="0" w:color="auto"/>
              <w:right w:val="single" w:sz="4" w:space="0" w:color="auto"/>
            </w:tcBorders>
            <w:shd w:val="clear" w:color="auto" w:fill="auto"/>
            <w:noWrap/>
            <w:vAlign w:val="center"/>
            <w:hideMark/>
          </w:tcPr>
          <w:p w14:paraId="3AD78803" w14:textId="461C5E96"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50</w:t>
            </w:r>
            <w:r w:rsidR="0086465C" w:rsidRPr="00515933">
              <w:rPr>
                <w:rFonts w:ascii="Arial" w:hAnsi="Arial" w:cs="Arial"/>
                <w:color w:val="000000"/>
                <w:sz w:val="20"/>
                <w:szCs w:val="20"/>
              </w:rPr>
              <w:t xml:space="preserve"> </w:t>
            </w:r>
            <w:r w:rsidRPr="00515933">
              <w:rPr>
                <w:rFonts w:ascii="Arial" w:hAnsi="Arial" w:cs="Arial"/>
                <w:color w:val="000000"/>
                <w:sz w:val="20"/>
                <w:szCs w:val="20"/>
              </w:rPr>
              <w:t>043</w:t>
            </w:r>
          </w:p>
        </w:tc>
        <w:tc>
          <w:tcPr>
            <w:tcW w:w="2315" w:type="dxa"/>
            <w:tcBorders>
              <w:top w:val="nil"/>
              <w:left w:val="nil"/>
              <w:bottom w:val="single" w:sz="4" w:space="0" w:color="auto"/>
              <w:right w:val="single" w:sz="4" w:space="0" w:color="auto"/>
            </w:tcBorders>
            <w:shd w:val="clear" w:color="auto" w:fill="auto"/>
            <w:noWrap/>
            <w:vAlign w:val="center"/>
            <w:hideMark/>
          </w:tcPr>
          <w:p w14:paraId="30094180" w14:textId="55A18086"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8.3</w:t>
            </w:r>
          </w:p>
        </w:tc>
      </w:tr>
      <w:tr w:rsidR="000F4019" w:rsidRPr="00954BB9" w14:paraId="46E390FE"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4078DFEF" w14:textId="3920DD71" w:rsidR="000F4019" w:rsidRPr="00515933" w:rsidRDefault="004D678A"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Estado de México</w:t>
            </w:r>
          </w:p>
        </w:tc>
        <w:tc>
          <w:tcPr>
            <w:tcW w:w="2186" w:type="dxa"/>
            <w:tcBorders>
              <w:top w:val="nil"/>
              <w:left w:val="nil"/>
              <w:bottom w:val="single" w:sz="4" w:space="0" w:color="auto"/>
              <w:right w:val="single" w:sz="4" w:space="0" w:color="auto"/>
            </w:tcBorders>
            <w:shd w:val="clear" w:color="auto" w:fill="auto"/>
            <w:noWrap/>
            <w:vAlign w:val="center"/>
            <w:hideMark/>
          </w:tcPr>
          <w:p w14:paraId="7833B9F3" w14:textId="5449A99A"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25</w:t>
            </w:r>
            <w:r w:rsidR="0086465C" w:rsidRPr="00515933">
              <w:rPr>
                <w:rFonts w:ascii="Arial" w:hAnsi="Arial" w:cs="Arial"/>
                <w:color w:val="000000"/>
                <w:sz w:val="20"/>
                <w:szCs w:val="20"/>
              </w:rPr>
              <w:t xml:space="preserve"> </w:t>
            </w:r>
            <w:r w:rsidRPr="00515933">
              <w:rPr>
                <w:rFonts w:ascii="Arial" w:hAnsi="Arial" w:cs="Arial"/>
                <w:color w:val="000000"/>
                <w:sz w:val="20"/>
                <w:szCs w:val="20"/>
              </w:rPr>
              <w:t>49</w:t>
            </w:r>
            <w:r w:rsidR="008719DB" w:rsidRPr="00515933">
              <w:rPr>
                <w:rFonts w:ascii="Arial" w:hAnsi="Arial" w:cs="Arial"/>
                <w:color w:val="000000"/>
                <w:sz w:val="20"/>
                <w:szCs w:val="20"/>
              </w:rPr>
              <w:t>3</w:t>
            </w:r>
          </w:p>
        </w:tc>
        <w:tc>
          <w:tcPr>
            <w:tcW w:w="2315" w:type="dxa"/>
            <w:tcBorders>
              <w:top w:val="nil"/>
              <w:left w:val="nil"/>
              <w:bottom w:val="single" w:sz="4" w:space="0" w:color="auto"/>
              <w:right w:val="single" w:sz="4" w:space="0" w:color="auto"/>
            </w:tcBorders>
            <w:shd w:val="clear" w:color="auto" w:fill="auto"/>
            <w:noWrap/>
            <w:vAlign w:val="center"/>
            <w:hideMark/>
          </w:tcPr>
          <w:p w14:paraId="66903F91" w14:textId="4F544606"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4.2</w:t>
            </w:r>
          </w:p>
        </w:tc>
      </w:tr>
      <w:tr w:rsidR="000F4019" w:rsidRPr="00954BB9" w14:paraId="713F6665"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233E28A8"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Michoacán de Ocampo</w:t>
            </w:r>
          </w:p>
        </w:tc>
        <w:tc>
          <w:tcPr>
            <w:tcW w:w="2186" w:type="dxa"/>
            <w:tcBorders>
              <w:top w:val="nil"/>
              <w:left w:val="nil"/>
              <w:bottom w:val="single" w:sz="4" w:space="0" w:color="auto"/>
              <w:right w:val="single" w:sz="4" w:space="0" w:color="auto"/>
            </w:tcBorders>
            <w:shd w:val="clear" w:color="auto" w:fill="auto"/>
            <w:noWrap/>
            <w:vAlign w:val="center"/>
            <w:hideMark/>
          </w:tcPr>
          <w:p w14:paraId="22AA7A58" w14:textId="75EC1910"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12</w:t>
            </w:r>
            <w:r w:rsidR="0086465C" w:rsidRPr="00515933">
              <w:rPr>
                <w:rFonts w:ascii="Arial" w:hAnsi="Arial" w:cs="Arial"/>
                <w:color w:val="000000"/>
                <w:sz w:val="20"/>
                <w:szCs w:val="20"/>
              </w:rPr>
              <w:t xml:space="preserve"> </w:t>
            </w:r>
            <w:r w:rsidRPr="00515933">
              <w:rPr>
                <w:rFonts w:ascii="Arial" w:hAnsi="Arial" w:cs="Arial"/>
                <w:color w:val="000000"/>
                <w:sz w:val="20"/>
                <w:szCs w:val="20"/>
              </w:rPr>
              <w:t>697</w:t>
            </w:r>
          </w:p>
        </w:tc>
        <w:tc>
          <w:tcPr>
            <w:tcW w:w="2315" w:type="dxa"/>
            <w:tcBorders>
              <w:top w:val="nil"/>
              <w:left w:val="nil"/>
              <w:bottom w:val="single" w:sz="4" w:space="0" w:color="auto"/>
              <w:right w:val="single" w:sz="4" w:space="0" w:color="auto"/>
            </w:tcBorders>
            <w:shd w:val="clear" w:color="auto" w:fill="auto"/>
            <w:noWrap/>
            <w:vAlign w:val="center"/>
            <w:hideMark/>
          </w:tcPr>
          <w:p w14:paraId="653D06EC" w14:textId="362B730E"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2.1</w:t>
            </w:r>
          </w:p>
        </w:tc>
      </w:tr>
      <w:tr w:rsidR="000F4019" w:rsidRPr="00954BB9" w14:paraId="39B2E9AB"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2848341E"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Morelos</w:t>
            </w:r>
          </w:p>
        </w:tc>
        <w:tc>
          <w:tcPr>
            <w:tcW w:w="2186" w:type="dxa"/>
            <w:tcBorders>
              <w:top w:val="nil"/>
              <w:left w:val="nil"/>
              <w:bottom w:val="single" w:sz="4" w:space="0" w:color="auto"/>
              <w:right w:val="single" w:sz="4" w:space="0" w:color="auto"/>
            </w:tcBorders>
            <w:shd w:val="clear" w:color="auto" w:fill="auto"/>
            <w:noWrap/>
            <w:vAlign w:val="center"/>
            <w:hideMark/>
          </w:tcPr>
          <w:p w14:paraId="75042D73" w14:textId="44F45652"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4</w:t>
            </w:r>
            <w:r w:rsidR="0086465C" w:rsidRPr="00515933">
              <w:rPr>
                <w:rFonts w:ascii="Arial" w:hAnsi="Arial" w:cs="Arial"/>
                <w:color w:val="000000"/>
                <w:sz w:val="20"/>
                <w:szCs w:val="20"/>
              </w:rPr>
              <w:t xml:space="preserve"> </w:t>
            </w:r>
            <w:r w:rsidRPr="00515933">
              <w:rPr>
                <w:rFonts w:ascii="Arial" w:hAnsi="Arial" w:cs="Arial"/>
                <w:color w:val="000000"/>
                <w:sz w:val="20"/>
                <w:szCs w:val="20"/>
              </w:rPr>
              <w:t>839</w:t>
            </w:r>
          </w:p>
        </w:tc>
        <w:tc>
          <w:tcPr>
            <w:tcW w:w="2315" w:type="dxa"/>
            <w:tcBorders>
              <w:top w:val="nil"/>
              <w:left w:val="nil"/>
              <w:bottom w:val="single" w:sz="4" w:space="0" w:color="auto"/>
              <w:right w:val="single" w:sz="4" w:space="0" w:color="auto"/>
            </w:tcBorders>
            <w:shd w:val="clear" w:color="auto" w:fill="auto"/>
            <w:noWrap/>
            <w:vAlign w:val="center"/>
            <w:hideMark/>
          </w:tcPr>
          <w:p w14:paraId="78E664B8" w14:textId="10A589BD"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0.8</w:t>
            </w:r>
          </w:p>
        </w:tc>
      </w:tr>
      <w:tr w:rsidR="000F4019" w:rsidRPr="00954BB9" w14:paraId="330D7F94"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1FBB24A8"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Nayarit</w:t>
            </w:r>
          </w:p>
        </w:tc>
        <w:tc>
          <w:tcPr>
            <w:tcW w:w="2186" w:type="dxa"/>
            <w:tcBorders>
              <w:top w:val="nil"/>
              <w:left w:val="nil"/>
              <w:bottom w:val="single" w:sz="4" w:space="0" w:color="auto"/>
              <w:right w:val="single" w:sz="4" w:space="0" w:color="auto"/>
            </w:tcBorders>
            <w:shd w:val="clear" w:color="auto" w:fill="auto"/>
            <w:noWrap/>
            <w:vAlign w:val="center"/>
            <w:hideMark/>
          </w:tcPr>
          <w:p w14:paraId="697A0B35" w14:textId="5F837285"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6</w:t>
            </w:r>
            <w:r w:rsidR="0086465C" w:rsidRPr="00515933">
              <w:rPr>
                <w:rFonts w:ascii="Arial" w:hAnsi="Arial" w:cs="Arial"/>
                <w:color w:val="000000"/>
                <w:sz w:val="20"/>
                <w:szCs w:val="20"/>
              </w:rPr>
              <w:t xml:space="preserve"> </w:t>
            </w:r>
            <w:r w:rsidRPr="00515933">
              <w:rPr>
                <w:rFonts w:ascii="Arial" w:hAnsi="Arial" w:cs="Arial"/>
                <w:color w:val="000000"/>
                <w:sz w:val="20"/>
                <w:szCs w:val="20"/>
              </w:rPr>
              <w:t>328</w:t>
            </w:r>
          </w:p>
        </w:tc>
        <w:tc>
          <w:tcPr>
            <w:tcW w:w="2315" w:type="dxa"/>
            <w:tcBorders>
              <w:top w:val="nil"/>
              <w:left w:val="nil"/>
              <w:bottom w:val="single" w:sz="4" w:space="0" w:color="auto"/>
              <w:right w:val="single" w:sz="4" w:space="0" w:color="auto"/>
            </w:tcBorders>
            <w:shd w:val="clear" w:color="auto" w:fill="auto"/>
            <w:noWrap/>
            <w:vAlign w:val="center"/>
            <w:hideMark/>
          </w:tcPr>
          <w:p w14:paraId="2C6ED5D1" w14:textId="0FB886DB"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1.0</w:t>
            </w:r>
          </w:p>
        </w:tc>
      </w:tr>
      <w:tr w:rsidR="000F4019" w:rsidRPr="00954BB9" w14:paraId="3F3136ED"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27E423A3"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Nuevo León</w:t>
            </w:r>
          </w:p>
        </w:tc>
        <w:tc>
          <w:tcPr>
            <w:tcW w:w="2186" w:type="dxa"/>
            <w:tcBorders>
              <w:top w:val="nil"/>
              <w:left w:val="nil"/>
              <w:bottom w:val="single" w:sz="4" w:space="0" w:color="auto"/>
              <w:right w:val="single" w:sz="4" w:space="0" w:color="auto"/>
            </w:tcBorders>
            <w:shd w:val="clear" w:color="auto" w:fill="auto"/>
            <w:noWrap/>
            <w:vAlign w:val="center"/>
            <w:hideMark/>
          </w:tcPr>
          <w:p w14:paraId="7637FA01" w14:textId="6F87C678"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58</w:t>
            </w:r>
            <w:r w:rsidR="0086465C" w:rsidRPr="00515933">
              <w:rPr>
                <w:rFonts w:ascii="Arial" w:hAnsi="Arial" w:cs="Arial"/>
                <w:color w:val="000000"/>
                <w:sz w:val="20"/>
                <w:szCs w:val="20"/>
              </w:rPr>
              <w:t xml:space="preserve"> </w:t>
            </w:r>
            <w:r w:rsidRPr="00515933">
              <w:rPr>
                <w:rFonts w:ascii="Arial" w:hAnsi="Arial" w:cs="Arial"/>
                <w:color w:val="000000"/>
                <w:sz w:val="20"/>
                <w:szCs w:val="20"/>
              </w:rPr>
              <w:t>057</w:t>
            </w:r>
          </w:p>
        </w:tc>
        <w:tc>
          <w:tcPr>
            <w:tcW w:w="2315" w:type="dxa"/>
            <w:tcBorders>
              <w:top w:val="nil"/>
              <w:left w:val="nil"/>
              <w:bottom w:val="single" w:sz="4" w:space="0" w:color="auto"/>
              <w:right w:val="single" w:sz="4" w:space="0" w:color="auto"/>
            </w:tcBorders>
            <w:shd w:val="clear" w:color="auto" w:fill="auto"/>
            <w:noWrap/>
            <w:vAlign w:val="center"/>
            <w:hideMark/>
          </w:tcPr>
          <w:p w14:paraId="0DF305C6" w14:textId="488F38AB"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9.6</w:t>
            </w:r>
          </w:p>
        </w:tc>
      </w:tr>
      <w:tr w:rsidR="000F4019" w:rsidRPr="00954BB9" w14:paraId="66E2E225"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5E14EC33"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Oaxaca</w:t>
            </w:r>
          </w:p>
        </w:tc>
        <w:tc>
          <w:tcPr>
            <w:tcW w:w="2186" w:type="dxa"/>
            <w:tcBorders>
              <w:top w:val="nil"/>
              <w:left w:val="nil"/>
              <w:bottom w:val="single" w:sz="4" w:space="0" w:color="auto"/>
              <w:right w:val="single" w:sz="4" w:space="0" w:color="auto"/>
            </w:tcBorders>
            <w:shd w:val="clear" w:color="auto" w:fill="auto"/>
            <w:noWrap/>
            <w:vAlign w:val="center"/>
            <w:hideMark/>
          </w:tcPr>
          <w:p w14:paraId="63B65304" w14:textId="1793C791"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7</w:t>
            </w:r>
            <w:r w:rsidR="0086465C" w:rsidRPr="00515933">
              <w:rPr>
                <w:rFonts w:ascii="Arial" w:hAnsi="Arial" w:cs="Arial"/>
                <w:color w:val="000000"/>
                <w:sz w:val="20"/>
                <w:szCs w:val="20"/>
              </w:rPr>
              <w:t xml:space="preserve"> </w:t>
            </w:r>
            <w:r w:rsidRPr="00515933">
              <w:rPr>
                <w:rFonts w:ascii="Arial" w:hAnsi="Arial" w:cs="Arial"/>
                <w:color w:val="000000"/>
                <w:sz w:val="20"/>
                <w:szCs w:val="20"/>
              </w:rPr>
              <w:t>771</w:t>
            </w:r>
          </w:p>
        </w:tc>
        <w:tc>
          <w:tcPr>
            <w:tcW w:w="2315" w:type="dxa"/>
            <w:tcBorders>
              <w:top w:val="nil"/>
              <w:left w:val="nil"/>
              <w:bottom w:val="single" w:sz="4" w:space="0" w:color="auto"/>
              <w:right w:val="single" w:sz="4" w:space="0" w:color="auto"/>
            </w:tcBorders>
            <w:shd w:val="clear" w:color="auto" w:fill="auto"/>
            <w:noWrap/>
            <w:vAlign w:val="center"/>
            <w:hideMark/>
          </w:tcPr>
          <w:p w14:paraId="439FDCB5" w14:textId="2879F83C"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1.3</w:t>
            </w:r>
          </w:p>
        </w:tc>
      </w:tr>
      <w:tr w:rsidR="000F4019" w:rsidRPr="00954BB9" w14:paraId="60F61D07"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290A8FD7"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Puebla</w:t>
            </w:r>
          </w:p>
        </w:tc>
        <w:tc>
          <w:tcPr>
            <w:tcW w:w="2186" w:type="dxa"/>
            <w:tcBorders>
              <w:top w:val="nil"/>
              <w:left w:val="nil"/>
              <w:bottom w:val="single" w:sz="4" w:space="0" w:color="auto"/>
              <w:right w:val="single" w:sz="4" w:space="0" w:color="auto"/>
            </w:tcBorders>
            <w:shd w:val="clear" w:color="auto" w:fill="auto"/>
            <w:noWrap/>
            <w:vAlign w:val="center"/>
            <w:hideMark/>
          </w:tcPr>
          <w:p w14:paraId="153D0240" w14:textId="2967B881"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12</w:t>
            </w:r>
            <w:r w:rsidR="0086465C" w:rsidRPr="00515933">
              <w:rPr>
                <w:rFonts w:ascii="Arial" w:hAnsi="Arial" w:cs="Arial"/>
                <w:color w:val="000000"/>
                <w:sz w:val="20"/>
                <w:szCs w:val="20"/>
              </w:rPr>
              <w:t xml:space="preserve"> </w:t>
            </w:r>
            <w:r w:rsidRPr="00515933">
              <w:rPr>
                <w:rFonts w:ascii="Arial" w:hAnsi="Arial" w:cs="Arial"/>
                <w:color w:val="000000"/>
                <w:sz w:val="20"/>
                <w:szCs w:val="20"/>
              </w:rPr>
              <w:t>374</w:t>
            </w:r>
          </w:p>
        </w:tc>
        <w:tc>
          <w:tcPr>
            <w:tcW w:w="2315" w:type="dxa"/>
            <w:tcBorders>
              <w:top w:val="nil"/>
              <w:left w:val="nil"/>
              <w:bottom w:val="single" w:sz="4" w:space="0" w:color="auto"/>
              <w:right w:val="single" w:sz="4" w:space="0" w:color="auto"/>
            </w:tcBorders>
            <w:shd w:val="clear" w:color="auto" w:fill="auto"/>
            <w:noWrap/>
            <w:vAlign w:val="center"/>
            <w:hideMark/>
          </w:tcPr>
          <w:p w14:paraId="780B34D1" w14:textId="08703935"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2.0</w:t>
            </w:r>
          </w:p>
        </w:tc>
      </w:tr>
      <w:tr w:rsidR="000F4019" w:rsidRPr="00954BB9" w14:paraId="5EAB9FD8"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5CC46CFC"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Querétaro</w:t>
            </w:r>
          </w:p>
        </w:tc>
        <w:tc>
          <w:tcPr>
            <w:tcW w:w="2186" w:type="dxa"/>
            <w:tcBorders>
              <w:top w:val="nil"/>
              <w:left w:val="nil"/>
              <w:bottom w:val="single" w:sz="4" w:space="0" w:color="auto"/>
              <w:right w:val="single" w:sz="4" w:space="0" w:color="auto"/>
            </w:tcBorders>
            <w:shd w:val="clear" w:color="auto" w:fill="auto"/>
            <w:noWrap/>
            <w:vAlign w:val="center"/>
            <w:hideMark/>
          </w:tcPr>
          <w:p w14:paraId="7695D869" w14:textId="185EAB4D"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15</w:t>
            </w:r>
            <w:r w:rsidR="0086465C" w:rsidRPr="00515933">
              <w:rPr>
                <w:rFonts w:ascii="Arial" w:hAnsi="Arial" w:cs="Arial"/>
                <w:color w:val="000000"/>
                <w:sz w:val="20"/>
                <w:szCs w:val="20"/>
              </w:rPr>
              <w:t xml:space="preserve"> </w:t>
            </w:r>
            <w:r w:rsidRPr="00515933">
              <w:rPr>
                <w:rFonts w:ascii="Arial" w:hAnsi="Arial" w:cs="Arial"/>
                <w:color w:val="000000"/>
                <w:sz w:val="20"/>
                <w:szCs w:val="20"/>
              </w:rPr>
              <w:t>027</w:t>
            </w:r>
          </w:p>
        </w:tc>
        <w:tc>
          <w:tcPr>
            <w:tcW w:w="2315" w:type="dxa"/>
            <w:tcBorders>
              <w:top w:val="nil"/>
              <w:left w:val="nil"/>
              <w:bottom w:val="single" w:sz="4" w:space="0" w:color="auto"/>
              <w:right w:val="single" w:sz="4" w:space="0" w:color="auto"/>
            </w:tcBorders>
            <w:shd w:val="clear" w:color="auto" w:fill="auto"/>
            <w:noWrap/>
            <w:vAlign w:val="center"/>
            <w:hideMark/>
          </w:tcPr>
          <w:p w14:paraId="1943F21A" w14:textId="01270426"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2.5</w:t>
            </w:r>
          </w:p>
        </w:tc>
      </w:tr>
      <w:tr w:rsidR="000F4019" w:rsidRPr="00954BB9" w14:paraId="7728C543"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791FF77C"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Quintana Roo</w:t>
            </w:r>
          </w:p>
        </w:tc>
        <w:tc>
          <w:tcPr>
            <w:tcW w:w="2186" w:type="dxa"/>
            <w:tcBorders>
              <w:top w:val="nil"/>
              <w:left w:val="nil"/>
              <w:bottom w:val="single" w:sz="4" w:space="0" w:color="auto"/>
              <w:right w:val="single" w:sz="4" w:space="0" w:color="auto"/>
            </w:tcBorders>
            <w:shd w:val="clear" w:color="auto" w:fill="auto"/>
            <w:noWrap/>
            <w:vAlign w:val="center"/>
            <w:hideMark/>
          </w:tcPr>
          <w:p w14:paraId="5A663DF7" w14:textId="2853D087"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10</w:t>
            </w:r>
            <w:r w:rsidR="0086465C" w:rsidRPr="00515933">
              <w:rPr>
                <w:rFonts w:ascii="Arial" w:hAnsi="Arial" w:cs="Arial"/>
                <w:color w:val="000000"/>
                <w:sz w:val="20"/>
                <w:szCs w:val="20"/>
              </w:rPr>
              <w:t xml:space="preserve"> </w:t>
            </w:r>
            <w:r w:rsidRPr="00515933">
              <w:rPr>
                <w:rFonts w:ascii="Arial" w:hAnsi="Arial" w:cs="Arial"/>
                <w:color w:val="000000"/>
                <w:sz w:val="20"/>
                <w:szCs w:val="20"/>
              </w:rPr>
              <w:t>865</w:t>
            </w:r>
          </w:p>
        </w:tc>
        <w:tc>
          <w:tcPr>
            <w:tcW w:w="2315" w:type="dxa"/>
            <w:tcBorders>
              <w:top w:val="nil"/>
              <w:left w:val="nil"/>
              <w:bottom w:val="single" w:sz="4" w:space="0" w:color="auto"/>
              <w:right w:val="single" w:sz="4" w:space="0" w:color="auto"/>
            </w:tcBorders>
            <w:shd w:val="clear" w:color="auto" w:fill="auto"/>
            <w:noWrap/>
            <w:vAlign w:val="center"/>
            <w:hideMark/>
          </w:tcPr>
          <w:p w14:paraId="5E0EC1AC" w14:textId="5AB40F59"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1.8</w:t>
            </w:r>
          </w:p>
        </w:tc>
      </w:tr>
      <w:tr w:rsidR="000F4019" w:rsidRPr="00954BB9" w14:paraId="432463D2"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72249D1D"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San Luis Potosí</w:t>
            </w:r>
          </w:p>
        </w:tc>
        <w:tc>
          <w:tcPr>
            <w:tcW w:w="2186" w:type="dxa"/>
            <w:tcBorders>
              <w:top w:val="nil"/>
              <w:left w:val="nil"/>
              <w:bottom w:val="single" w:sz="4" w:space="0" w:color="auto"/>
              <w:right w:val="single" w:sz="4" w:space="0" w:color="auto"/>
            </w:tcBorders>
            <w:shd w:val="clear" w:color="auto" w:fill="auto"/>
            <w:noWrap/>
            <w:vAlign w:val="center"/>
            <w:hideMark/>
          </w:tcPr>
          <w:p w14:paraId="01AC5275" w14:textId="171996D8"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14</w:t>
            </w:r>
            <w:r w:rsidR="0086465C" w:rsidRPr="00515933">
              <w:rPr>
                <w:rFonts w:ascii="Arial" w:hAnsi="Arial" w:cs="Arial"/>
                <w:color w:val="000000"/>
                <w:sz w:val="20"/>
                <w:szCs w:val="20"/>
              </w:rPr>
              <w:t xml:space="preserve"> </w:t>
            </w:r>
            <w:r w:rsidRPr="00515933">
              <w:rPr>
                <w:rFonts w:ascii="Arial" w:hAnsi="Arial" w:cs="Arial"/>
                <w:color w:val="000000"/>
                <w:sz w:val="20"/>
                <w:szCs w:val="20"/>
              </w:rPr>
              <w:t>024</w:t>
            </w:r>
          </w:p>
        </w:tc>
        <w:tc>
          <w:tcPr>
            <w:tcW w:w="2315" w:type="dxa"/>
            <w:tcBorders>
              <w:top w:val="nil"/>
              <w:left w:val="nil"/>
              <w:bottom w:val="single" w:sz="4" w:space="0" w:color="auto"/>
              <w:right w:val="single" w:sz="4" w:space="0" w:color="auto"/>
            </w:tcBorders>
            <w:shd w:val="clear" w:color="auto" w:fill="auto"/>
            <w:noWrap/>
            <w:vAlign w:val="center"/>
            <w:hideMark/>
          </w:tcPr>
          <w:p w14:paraId="273F5173" w14:textId="31D5965E"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2.3</w:t>
            </w:r>
          </w:p>
        </w:tc>
      </w:tr>
      <w:tr w:rsidR="000F4019" w:rsidRPr="00954BB9" w14:paraId="7F4B8A44"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66164E39"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Sinaloa</w:t>
            </w:r>
          </w:p>
        </w:tc>
        <w:tc>
          <w:tcPr>
            <w:tcW w:w="2186" w:type="dxa"/>
            <w:tcBorders>
              <w:top w:val="nil"/>
              <w:left w:val="nil"/>
              <w:bottom w:val="single" w:sz="4" w:space="0" w:color="auto"/>
              <w:right w:val="single" w:sz="4" w:space="0" w:color="auto"/>
            </w:tcBorders>
            <w:shd w:val="clear" w:color="auto" w:fill="auto"/>
            <w:noWrap/>
            <w:vAlign w:val="center"/>
            <w:hideMark/>
          </w:tcPr>
          <w:p w14:paraId="00C3BFDF" w14:textId="1C470473"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26</w:t>
            </w:r>
            <w:r w:rsidR="0086465C" w:rsidRPr="00515933">
              <w:rPr>
                <w:rFonts w:ascii="Arial" w:hAnsi="Arial" w:cs="Arial"/>
                <w:color w:val="000000"/>
                <w:sz w:val="20"/>
                <w:szCs w:val="20"/>
              </w:rPr>
              <w:t xml:space="preserve"> </w:t>
            </w:r>
            <w:r w:rsidRPr="00515933">
              <w:rPr>
                <w:rFonts w:ascii="Arial" w:hAnsi="Arial" w:cs="Arial"/>
                <w:color w:val="000000"/>
                <w:sz w:val="20"/>
                <w:szCs w:val="20"/>
              </w:rPr>
              <w:t>243</w:t>
            </w:r>
          </w:p>
        </w:tc>
        <w:tc>
          <w:tcPr>
            <w:tcW w:w="2315" w:type="dxa"/>
            <w:tcBorders>
              <w:top w:val="nil"/>
              <w:left w:val="nil"/>
              <w:bottom w:val="single" w:sz="4" w:space="0" w:color="auto"/>
              <w:right w:val="single" w:sz="4" w:space="0" w:color="auto"/>
            </w:tcBorders>
            <w:shd w:val="clear" w:color="auto" w:fill="auto"/>
            <w:noWrap/>
            <w:vAlign w:val="center"/>
            <w:hideMark/>
          </w:tcPr>
          <w:p w14:paraId="7036BF08" w14:textId="2D1A3DC4"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4.3</w:t>
            </w:r>
          </w:p>
        </w:tc>
      </w:tr>
      <w:tr w:rsidR="000F4019" w:rsidRPr="00954BB9" w14:paraId="366A5948"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1004565B"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Sonora</w:t>
            </w:r>
          </w:p>
        </w:tc>
        <w:tc>
          <w:tcPr>
            <w:tcW w:w="2186" w:type="dxa"/>
            <w:tcBorders>
              <w:top w:val="nil"/>
              <w:left w:val="nil"/>
              <w:bottom w:val="single" w:sz="4" w:space="0" w:color="auto"/>
              <w:right w:val="single" w:sz="4" w:space="0" w:color="auto"/>
            </w:tcBorders>
            <w:shd w:val="clear" w:color="auto" w:fill="auto"/>
            <w:noWrap/>
            <w:vAlign w:val="center"/>
            <w:hideMark/>
          </w:tcPr>
          <w:p w14:paraId="11719A15" w14:textId="075121D2"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27</w:t>
            </w:r>
            <w:r w:rsidR="0086465C" w:rsidRPr="00515933">
              <w:rPr>
                <w:rFonts w:ascii="Arial" w:hAnsi="Arial" w:cs="Arial"/>
                <w:color w:val="000000"/>
                <w:sz w:val="20"/>
                <w:szCs w:val="20"/>
              </w:rPr>
              <w:t xml:space="preserve"> </w:t>
            </w:r>
            <w:r w:rsidRPr="00515933">
              <w:rPr>
                <w:rFonts w:ascii="Arial" w:hAnsi="Arial" w:cs="Arial"/>
                <w:color w:val="000000"/>
                <w:sz w:val="20"/>
                <w:szCs w:val="20"/>
              </w:rPr>
              <w:t>850</w:t>
            </w:r>
          </w:p>
        </w:tc>
        <w:tc>
          <w:tcPr>
            <w:tcW w:w="2315" w:type="dxa"/>
            <w:tcBorders>
              <w:top w:val="nil"/>
              <w:left w:val="nil"/>
              <w:bottom w:val="single" w:sz="4" w:space="0" w:color="auto"/>
              <w:right w:val="single" w:sz="4" w:space="0" w:color="auto"/>
            </w:tcBorders>
            <w:shd w:val="clear" w:color="auto" w:fill="auto"/>
            <w:noWrap/>
            <w:vAlign w:val="center"/>
            <w:hideMark/>
          </w:tcPr>
          <w:p w14:paraId="423CED59" w14:textId="0747CB26"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4.6</w:t>
            </w:r>
          </w:p>
        </w:tc>
      </w:tr>
      <w:tr w:rsidR="000F4019" w:rsidRPr="00954BB9" w14:paraId="014833A1"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28EFF2DA"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Tabasco</w:t>
            </w:r>
          </w:p>
        </w:tc>
        <w:tc>
          <w:tcPr>
            <w:tcW w:w="2186" w:type="dxa"/>
            <w:tcBorders>
              <w:top w:val="nil"/>
              <w:left w:val="nil"/>
              <w:bottom w:val="single" w:sz="4" w:space="0" w:color="auto"/>
              <w:right w:val="single" w:sz="4" w:space="0" w:color="auto"/>
            </w:tcBorders>
            <w:shd w:val="clear" w:color="auto" w:fill="auto"/>
            <w:noWrap/>
            <w:vAlign w:val="center"/>
            <w:hideMark/>
          </w:tcPr>
          <w:p w14:paraId="18446AEB" w14:textId="49E74D0D"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11</w:t>
            </w:r>
            <w:r w:rsidR="0086465C" w:rsidRPr="00515933">
              <w:rPr>
                <w:rFonts w:ascii="Arial" w:hAnsi="Arial" w:cs="Arial"/>
                <w:color w:val="000000"/>
                <w:sz w:val="20"/>
                <w:szCs w:val="20"/>
              </w:rPr>
              <w:t xml:space="preserve"> </w:t>
            </w:r>
            <w:r w:rsidRPr="00515933">
              <w:rPr>
                <w:rFonts w:ascii="Arial" w:hAnsi="Arial" w:cs="Arial"/>
                <w:color w:val="000000"/>
                <w:sz w:val="20"/>
                <w:szCs w:val="20"/>
              </w:rPr>
              <w:t>009</w:t>
            </w:r>
          </w:p>
        </w:tc>
        <w:tc>
          <w:tcPr>
            <w:tcW w:w="2315" w:type="dxa"/>
            <w:tcBorders>
              <w:top w:val="nil"/>
              <w:left w:val="nil"/>
              <w:bottom w:val="single" w:sz="4" w:space="0" w:color="auto"/>
              <w:right w:val="single" w:sz="4" w:space="0" w:color="auto"/>
            </w:tcBorders>
            <w:shd w:val="clear" w:color="auto" w:fill="auto"/>
            <w:noWrap/>
            <w:vAlign w:val="center"/>
            <w:hideMark/>
          </w:tcPr>
          <w:p w14:paraId="3D1F9FF4" w14:textId="59DF05DE"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1.8</w:t>
            </w:r>
          </w:p>
        </w:tc>
      </w:tr>
      <w:tr w:rsidR="000F4019" w:rsidRPr="00954BB9" w14:paraId="4C051B7A"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49F14EC0"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Tamaulipas</w:t>
            </w:r>
          </w:p>
        </w:tc>
        <w:tc>
          <w:tcPr>
            <w:tcW w:w="2186" w:type="dxa"/>
            <w:tcBorders>
              <w:top w:val="nil"/>
              <w:left w:val="nil"/>
              <w:bottom w:val="single" w:sz="4" w:space="0" w:color="auto"/>
              <w:right w:val="single" w:sz="4" w:space="0" w:color="auto"/>
            </w:tcBorders>
            <w:shd w:val="clear" w:color="auto" w:fill="auto"/>
            <w:noWrap/>
            <w:vAlign w:val="center"/>
            <w:hideMark/>
          </w:tcPr>
          <w:p w14:paraId="4966FC7C" w14:textId="5DC947CC"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24</w:t>
            </w:r>
            <w:r w:rsidR="0086465C" w:rsidRPr="00515933">
              <w:rPr>
                <w:rFonts w:ascii="Arial" w:hAnsi="Arial" w:cs="Arial"/>
                <w:color w:val="000000"/>
                <w:sz w:val="20"/>
                <w:szCs w:val="20"/>
              </w:rPr>
              <w:t xml:space="preserve"> </w:t>
            </w:r>
            <w:r w:rsidRPr="00515933">
              <w:rPr>
                <w:rFonts w:ascii="Arial" w:hAnsi="Arial" w:cs="Arial"/>
                <w:color w:val="000000"/>
                <w:sz w:val="20"/>
                <w:szCs w:val="20"/>
              </w:rPr>
              <w:t>671</w:t>
            </w:r>
          </w:p>
        </w:tc>
        <w:tc>
          <w:tcPr>
            <w:tcW w:w="2315" w:type="dxa"/>
            <w:tcBorders>
              <w:top w:val="nil"/>
              <w:left w:val="nil"/>
              <w:bottom w:val="single" w:sz="4" w:space="0" w:color="auto"/>
              <w:right w:val="single" w:sz="4" w:space="0" w:color="auto"/>
            </w:tcBorders>
            <w:shd w:val="clear" w:color="auto" w:fill="auto"/>
            <w:noWrap/>
            <w:vAlign w:val="center"/>
            <w:hideMark/>
          </w:tcPr>
          <w:p w14:paraId="4CAAB596" w14:textId="493F509F"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4.1</w:t>
            </w:r>
          </w:p>
        </w:tc>
      </w:tr>
      <w:tr w:rsidR="000F4019" w:rsidRPr="00954BB9" w14:paraId="2D88F8EB"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7AFBE4F1"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Tlaxcala</w:t>
            </w:r>
          </w:p>
        </w:tc>
        <w:tc>
          <w:tcPr>
            <w:tcW w:w="2186" w:type="dxa"/>
            <w:tcBorders>
              <w:top w:val="nil"/>
              <w:left w:val="nil"/>
              <w:bottom w:val="single" w:sz="4" w:space="0" w:color="auto"/>
              <w:right w:val="single" w:sz="4" w:space="0" w:color="auto"/>
            </w:tcBorders>
            <w:shd w:val="clear" w:color="auto" w:fill="auto"/>
            <w:noWrap/>
            <w:vAlign w:val="center"/>
            <w:hideMark/>
          </w:tcPr>
          <w:p w14:paraId="2C8AF8A6" w14:textId="2107DD0E"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3</w:t>
            </w:r>
            <w:r w:rsidR="0086465C" w:rsidRPr="00515933">
              <w:rPr>
                <w:rFonts w:ascii="Arial" w:hAnsi="Arial" w:cs="Arial"/>
                <w:color w:val="000000"/>
                <w:sz w:val="20"/>
                <w:szCs w:val="20"/>
              </w:rPr>
              <w:t xml:space="preserve"> </w:t>
            </w:r>
            <w:r w:rsidRPr="00515933">
              <w:rPr>
                <w:rFonts w:ascii="Arial" w:hAnsi="Arial" w:cs="Arial"/>
                <w:color w:val="000000"/>
                <w:sz w:val="20"/>
                <w:szCs w:val="20"/>
              </w:rPr>
              <w:t>067</w:t>
            </w:r>
          </w:p>
        </w:tc>
        <w:tc>
          <w:tcPr>
            <w:tcW w:w="2315" w:type="dxa"/>
            <w:tcBorders>
              <w:top w:val="nil"/>
              <w:left w:val="nil"/>
              <w:bottom w:val="single" w:sz="4" w:space="0" w:color="auto"/>
              <w:right w:val="single" w:sz="4" w:space="0" w:color="auto"/>
            </w:tcBorders>
            <w:shd w:val="clear" w:color="auto" w:fill="auto"/>
            <w:noWrap/>
            <w:vAlign w:val="center"/>
            <w:hideMark/>
          </w:tcPr>
          <w:p w14:paraId="28B7C839" w14:textId="57698B75"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0.5</w:t>
            </w:r>
          </w:p>
        </w:tc>
      </w:tr>
      <w:tr w:rsidR="000F4019" w:rsidRPr="00954BB9" w14:paraId="13395E7C"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7AC20A69"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Veracruz de Ignacio de la Llave</w:t>
            </w:r>
          </w:p>
        </w:tc>
        <w:tc>
          <w:tcPr>
            <w:tcW w:w="2186" w:type="dxa"/>
            <w:tcBorders>
              <w:top w:val="nil"/>
              <w:left w:val="nil"/>
              <w:bottom w:val="single" w:sz="4" w:space="0" w:color="auto"/>
              <w:right w:val="single" w:sz="4" w:space="0" w:color="auto"/>
            </w:tcBorders>
            <w:shd w:val="clear" w:color="auto" w:fill="auto"/>
            <w:noWrap/>
            <w:vAlign w:val="center"/>
            <w:hideMark/>
          </w:tcPr>
          <w:p w14:paraId="01166372" w14:textId="4561A17B"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28</w:t>
            </w:r>
            <w:r w:rsidR="0086465C" w:rsidRPr="00515933">
              <w:rPr>
                <w:rFonts w:ascii="Arial" w:hAnsi="Arial" w:cs="Arial"/>
                <w:color w:val="000000"/>
                <w:sz w:val="20"/>
                <w:szCs w:val="20"/>
              </w:rPr>
              <w:t xml:space="preserve"> </w:t>
            </w:r>
            <w:r w:rsidRPr="00515933">
              <w:rPr>
                <w:rFonts w:ascii="Arial" w:hAnsi="Arial" w:cs="Arial"/>
                <w:color w:val="000000"/>
                <w:sz w:val="20"/>
                <w:szCs w:val="20"/>
              </w:rPr>
              <w:t>748</w:t>
            </w:r>
          </w:p>
        </w:tc>
        <w:tc>
          <w:tcPr>
            <w:tcW w:w="2315" w:type="dxa"/>
            <w:tcBorders>
              <w:top w:val="nil"/>
              <w:left w:val="nil"/>
              <w:bottom w:val="single" w:sz="4" w:space="0" w:color="auto"/>
              <w:right w:val="single" w:sz="4" w:space="0" w:color="auto"/>
            </w:tcBorders>
            <w:shd w:val="clear" w:color="auto" w:fill="auto"/>
            <w:noWrap/>
            <w:vAlign w:val="center"/>
            <w:hideMark/>
          </w:tcPr>
          <w:p w14:paraId="202A5631" w14:textId="39D96264"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4.8</w:t>
            </w:r>
          </w:p>
        </w:tc>
      </w:tr>
      <w:tr w:rsidR="000F4019" w:rsidRPr="00954BB9" w14:paraId="1982E643"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1AEA75DE"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Yucatán</w:t>
            </w:r>
          </w:p>
        </w:tc>
        <w:tc>
          <w:tcPr>
            <w:tcW w:w="2186" w:type="dxa"/>
            <w:tcBorders>
              <w:top w:val="nil"/>
              <w:left w:val="nil"/>
              <w:bottom w:val="single" w:sz="4" w:space="0" w:color="auto"/>
              <w:right w:val="single" w:sz="4" w:space="0" w:color="auto"/>
            </w:tcBorders>
            <w:shd w:val="clear" w:color="auto" w:fill="auto"/>
            <w:noWrap/>
            <w:vAlign w:val="center"/>
            <w:hideMark/>
          </w:tcPr>
          <w:p w14:paraId="2FB88FAE" w14:textId="45C10237"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18</w:t>
            </w:r>
            <w:r w:rsidR="0086465C" w:rsidRPr="00515933">
              <w:rPr>
                <w:rFonts w:ascii="Arial" w:hAnsi="Arial" w:cs="Arial"/>
                <w:color w:val="000000"/>
                <w:sz w:val="20"/>
                <w:szCs w:val="20"/>
              </w:rPr>
              <w:t xml:space="preserve"> </w:t>
            </w:r>
            <w:r w:rsidRPr="00515933">
              <w:rPr>
                <w:rFonts w:ascii="Arial" w:hAnsi="Arial" w:cs="Arial"/>
                <w:color w:val="000000"/>
                <w:sz w:val="20"/>
                <w:szCs w:val="20"/>
              </w:rPr>
              <w:t>869</w:t>
            </w:r>
          </w:p>
        </w:tc>
        <w:tc>
          <w:tcPr>
            <w:tcW w:w="2315" w:type="dxa"/>
            <w:tcBorders>
              <w:top w:val="nil"/>
              <w:left w:val="nil"/>
              <w:bottom w:val="single" w:sz="4" w:space="0" w:color="auto"/>
              <w:right w:val="single" w:sz="4" w:space="0" w:color="auto"/>
            </w:tcBorders>
            <w:shd w:val="clear" w:color="auto" w:fill="auto"/>
            <w:noWrap/>
            <w:vAlign w:val="center"/>
            <w:hideMark/>
          </w:tcPr>
          <w:p w14:paraId="26C2C817" w14:textId="1D944C71"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3.1</w:t>
            </w:r>
          </w:p>
        </w:tc>
      </w:tr>
      <w:tr w:rsidR="000F4019" w:rsidRPr="00954BB9" w14:paraId="389C22B2" w14:textId="77777777" w:rsidTr="000F4019">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4DC84BE4" w14:textId="77777777" w:rsidR="000F4019" w:rsidRPr="00515933" w:rsidRDefault="000F4019" w:rsidP="0086465C">
            <w:pPr>
              <w:spacing w:after="0" w:line="240" w:lineRule="auto"/>
              <w:ind w:left="60"/>
              <w:rPr>
                <w:rFonts w:ascii="Arial" w:eastAsia="Times New Roman" w:hAnsi="Arial" w:cs="Arial"/>
                <w:sz w:val="20"/>
                <w:szCs w:val="20"/>
                <w:lang w:eastAsia="es-MX"/>
              </w:rPr>
            </w:pPr>
            <w:r w:rsidRPr="00515933">
              <w:rPr>
                <w:rFonts w:ascii="Arial" w:eastAsia="Times New Roman" w:hAnsi="Arial" w:cs="Arial"/>
                <w:sz w:val="20"/>
                <w:szCs w:val="20"/>
                <w:lang w:eastAsia="es-MX"/>
              </w:rPr>
              <w:t>Zacatecas</w:t>
            </w:r>
          </w:p>
        </w:tc>
        <w:tc>
          <w:tcPr>
            <w:tcW w:w="2186" w:type="dxa"/>
            <w:tcBorders>
              <w:top w:val="nil"/>
              <w:left w:val="nil"/>
              <w:bottom w:val="single" w:sz="4" w:space="0" w:color="auto"/>
              <w:right w:val="single" w:sz="4" w:space="0" w:color="auto"/>
            </w:tcBorders>
            <w:shd w:val="clear" w:color="auto" w:fill="auto"/>
            <w:noWrap/>
            <w:vAlign w:val="center"/>
            <w:hideMark/>
          </w:tcPr>
          <w:p w14:paraId="18144279" w14:textId="5455762F" w:rsidR="000F4019" w:rsidRPr="00515933" w:rsidRDefault="000F4019" w:rsidP="003F5B51">
            <w:pPr>
              <w:spacing w:after="0" w:line="240" w:lineRule="auto"/>
              <w:ind w:right="640"/>
              <w:jc w:val="right"/>
              <w:rPr>
                <w:rFonts w:ascii="Arial" w:eastAsia="Times New Roman" w:hAnsi="Arial" w:cs="Arial"/>
                <w:sz w:val="20"/>
                <w:szCs w:val="20"/>
                <w:lang w:eastAsia="es-MX"/>
              </w:rPr>
            </w:pPr>
            <w:r w:rsidRPr="00515933">
              <w:rPr>
                <w:rFonts w:ascii="Arial" w:hAnsi="Arial" w:cs="Arial"/>
                <w:color w:val="000000"/>
                <w:sz w:val="20"/>
                <w:szCs w:val="20"/>
              </w:rPr>
              <w:t>6</w:t>
            </w:r>
            <w:r w:rsidR="0086465C" w:rsidRPr="00515933">
              <w:rPr>
                <w:rFonts w:ascii="Arial" w:hAnsi="Arial" w:cs="Arial"/>
                <w:color w:val="000000"/>
                <w:sz w:val="20"/>
                <w:szCs w:val="20"/>
              </w:rPr>
              <w:t xml:space="preserve"> </w:t>
            </w:r>
            <w:r w:rsidRPr="00515933">
              <w:rPr>
                <w:rFonts w:ascii="Arial" w:hAnsi="Arial" w:cs="Arial"/>
                <w:color w:val="000000"/>
                <w:sz w:val="20"/>
                <w:szCs w:val="20"/>
              </w:rPr>
              <w:t>190</w:t>
            </w:r>
          </w:p>
        </w:tc>
        <w:tc>
          <w:tcPr>
            <w:tcW w:w="2315" w:type="dxa"/>
            <w:tcBorders>
              <w:top w:val="nil"/>
              <w:left w:val="nil"/>
              <w:bottom w:val="single" w:sz="4" w:space="0" w:color="auto"/>
              <w:right w:val="single" w:sz="4" w:space="0" w:color="auto"/>
            </w:tcBorders>
            <w:shd w:val="clear" w:color="auto" w:fill="auto"/>
            <w:noWrap/>
            <w:vAlign w:val="center"/>
            <w:hideMark/>
          </w:tcPr>
          <w:p w14:paraId="22E14EE3" w14:textId="462E9F30" w:rsidR="000F4019" w:rsidRPr="00515933" w:rsidRDefault="000F4019" w:rsidP="003F5B51">
            <w:pPr>
              <w:spacing w:after="0" w:line="240" w:lineRule="auto"/>
              <w:ind w:right="826"/>
              <w:jc w:val="right"/>
              <w:rPr>
                <w:rFonts w:ascii="Arial" w:eastAsia="Times New Roman" w:hAnsi="Arial" w:cs="Arial"/>
                <w:sz w:val="20"/>
                <w:szCs w:val="20"/>
                <w:lang w:eastAsia="es-MX"/>
              </w:rPr>
            </w:pPr>
            <w:r w:rsidRPr="00515933">
              <w:rPr>
                <w:rFonts w:ascii="Arial" w:hAnsi="Arial" w:cs="Arial"/>
                <w:color w:val="000000"/>
                <w:sz w:val="20"/>
                <w:szCs w:val="20"/>
              </w:rPr>
              <w:t>1.0</w:t>
            </w:r>
          </w:p>
        </w:tc>
      </w:tr>
    </w:tbl>
    <w:p w14:paraId="58EBE466" w14:textId="660A2853" w:rsidR="008E775C" w:rsidRDefault="008E775C" w:rsidP="00B14B1C">
      <w:pPr>
        <w:pStyle w:val="Default"/>
        <w:jc w:val="both"/>
        <w:rPr>
          <w:color w:val="auto"/>
          <w:sz w:val="16"/>
          <w:lang w:eastAsia="es-MX"/>
        </w:rPr>
      </w:pPr>
      <w:r>
        <w:rPr>
          <w:color w:val="auto"/>
          <w:sz w:val="16"/>
          <w:vertAlign w:val="superscript"/>
          <w:lang w:eastAsia="es-MX"/>
        </w:rPr>
        <w:t xml:space="preserve">   </w:t>
      </w:r>
      <w:r w:rsidR="004957A7">
        <w:rPr>
          <w:color w:val="auto"/>
          <w:sz w:val="16"/>
          <w:vertAlign w:val="superscript"/>
          <w:lang w:eastAsia="es-MX"/>
        </w:rPr>
        <w:t xml:space="preserve">       </w:t>
      </w:r>
      <w:r>
        <w:rPr>
          <w:color w:val="auto"/>
          <w:sz w:val="16"/>
          <w:vertAlign w:val="superscript"/>
          <w:lang w:eastAsia="es-MX"/>
        </w:rPr>
        <w:t xml:space="preserve">p/ </w:t>
      </w:r>
      <w:r>
        <w:rPr>
          <w:color w:val="auto"/>
          <w:sz w:val="16"/>
          <w:lang w:eastAsia="es-MX"/>
        </w:rPr>
        <w:t xml:space="preserve">Cifras preliminares </w:t>
      </w:r>
    </w:p>
    <w:p w14:paraId="46EDBE06" w14:textId="51212D99" w:rsidR="00C26349" w:rsidRPr="005430F9" w:rsidRDefault="008E775C" w:rsidP="00ED2C92">
      <w:pPr>
        <w:pStyle w:val="Default"/>
        <w:jc w:val="both"/>
        <w:rPr>
          <w:color w:val="auto"/>
          <w:sz w:val="16"/>
          <w:lang w:eastAsia="es-MX"/>
        </w:rPr>
      </w:pPr>
      <w:r>
        <w:rPr>
          <w:color w:val="auto"/>
          <w:sz w:val="16"/>
          <w:lang w:eastAsia="es-MX"/>
        </w:rPr>
        <w:t xml:space="preserve">  </w:t>
      </w:r>
      <w:r w:rsidR="004957A7">
        <w:rPr>
          <w:color w:val="auto"/>
          <w:sz w:val="16"/>
          <w:lang w:eastAsia="es-MX"/>
        </w:rPr>
        <w:t xml:space="preserve">    </w:t>
      </w:r>
      <w:r w:rsidRPr="00BF15FB">
        <w:rPr>
          <w:color w:val="auto"/>
          <w:sz w:val="16"/>
          <w:lang w:eastAsia="es-MX"/>
        </w:rPr>
        <w:t xml:space="preserve">Fuente: </w:t>
      </w:r>
      <w:r w:rsidRPr="005430F9">
        <w:rPr>
          <w:color w:val="auto"/>
          <w:sz w:val="16"/>
          <w:lang w:eastAsia="es-MX"/>
        </w:rPr>
        <w:t>INEGI</w:t>
      </w:r>
    </w:p>
    <w:p w14:paraId="7A9FBDD5" w14:textId="7FAFD4E2" w:rsidR="00ED2C92" w:rsidRDefault="00ED2C92" w:rsidP="00ED2C92">
      <w:pPr>
        <w:pStyle w:val="Default"/>
        <w:jc w:val="both"/>
        <w:rPr>
          <w:color w:val="auto"/>
          <w:sz w:val="16"/>
          <w:lang w:eastAsia="es-MX"/>
        </w:rPr>
      </w:pPr>
    </w:p>
    <w:p w14:paraId="1786EBAA" w14:textId="2E0B8FFB" w:rsidR="00D3530D" w:rsidRDefault="00D3530D" w:rsidP="00ED2C92">
      <w:pPr>
        <w:pStyle w:val="Default"/>
        <w:jc w:val="both"/>
        <w:rPr>
          <w:color w:val="auto"/>
          <w:sz w:val="16"/>
          <w:lang w:eastAsia="es-MX"/>
        </w:rPr>
      </w:pPr>
    </w:p>
    <w:p w14:paraId="0C9F6502" w14:textId="59F2A284" w:rsidR="00D3530D" w:rsidRDefault="00D3530D" w:rsidP="00ED2C92">
      <w:pPr>
        <w:pStyle w:val="Default"/>
        <w:jc w:val="both"/>
        <w:rPr>
          <w:color w:val="auto"/>
          <w:sz w:val="16"/>
          <w:lang w:eastAsia="es-MX"/>
        </w:rPr>
      </w:pPr>
    </w:p>
    <w:p w14:paraId="299FB46A" w14:textId="4DFF912B" w:rsidR="000022AA" w:rsidRPr="005430F9" w:rsidRDefault="000022AA" w:rsidP="000022AA">
      <w:pPr>
        <w:widowControl w:val="0"/>
        <w:autoSpaceDE w:val="0"/>
        <w:autoSpaceDN w:val="0"/>
        <w:adjustRightInd w:val="0"/>
        <w:spacing w:after="0" w:line="240" w:lineRule="auto"/>
        <w:jc w:val="center"/>
        <w:rPr>
          <w:rFonts w:ascii="Arial" w:hAnsi="Arial" w:cs="Arial"/>
          <w:bCs/>
          <w:color w:val="000000"/>
          <w:sz w:val="20"/>
          <w:szCs w:val="20"/>
        </w:rPr>
      </w:pPr>
      <w:r w:rsidRPr="005430F9">
        <w:rPr>
          <w:rFonts w:ascii="Arial" w:hAnsi="Arial" w:cs="Arial"/>
          <w:bCs/>
          <w:color w:val="000000"/>
          <w:sz w:val="20"/>
          <w:szCs w:val="20"/>
        </w:rPr>
        <w:t xml:space="preserve">Cuadro </w:t>
      </w:r>
      <w:r w:rsidR="002C2D13" w:rsidRPr="005430F9">
        <w:rPr>
          <w:rFonts w:ascii="Arial" w:hAnsi="Arial" w:cs="Arial"/>
          <w:bCs/>
          <w:color w:val="000000"/>
          <w:sz w:val="20"/>
          <w:szCs w:val="20"/>
        </w:rPr>
        <w:t>9</w:t>
      </w:r>
    </w:p>
    <w:p w14:paraId="03EA417B" w14:textId="5B67FDAF" w:rsidR="003408EC" w:rsidRPr="005430F9" w:rsidRDefault="00BA741A">
      <w:pPr>
        <w:widowControl w:val="0"/>
        <w:autoSpaceDE w:val="0"/>
        <w:autoSpaceDN w:val="0"/>
        <w:adjustRightInd w:val="0"/>
        <w:spacing w:after="0" w:line="240" w:lineRule="auto"/>
        <w:jc w:val="center"/>
        <w:rPr>
          <w:rFonts w:ascii="Arial Negrita" w:hAnsi="Arial Negrita" w:cs="Arial"/>
          <w:b/>
          <w:bCs/>
          <w:smallCaps/>
          <w:color w:val="000000"/>
        </w:rPr>
      </w:pPr>
      <w:r w:rsidRPr="005430F9">
        <w:rPr>
          <w:rFonts w:ascii="Arial Negrita" w:hAnsi="Arial Negrita" w:cs="Arial"/>
          <w:b/>
          <w:bCs/>
          <w:smallCaps/>
          <w:color w:val="000000"/>
        </w:rPr>
        <w:t>Valor de producción</w:t>
      </w:r>
      <w:r w:rsidR="00C26349" w:rsidRPr="005430F9">
        <w:rPr>
          <w:rFonts w:ascii="Arial Negrita" w:hAnsi="Arial Negrita" w:cs="Arial"/>
          <w:b/>
          <w:bCs/>
          <w:smallCaps/>
          <w:color w:val="000000"/>
        </w:rPr>
        <w:t xml:space="preserve"> total de las empresas constructoras, </w:t>
      </w:r>
      <w:r w:rsidR="00C26349" w:rsidRPr="005430F9">
        <w:rPr>
          <w:rFonts w:ascii="Arial Negrita" w:hAnsi="Arial Negrita" w:cs="Arial"/>
          <w:b/>
          <w:smallCaps/>
          <w:lang w:eastAsia="es-MX"/>
        </w:rPr>
        <w:t>202</w:t>
      </w:r>
      <w:r w:rsidR="000F4019" w:rsidRPr="005430F9">
        <w:rPr>
          <w:rFonts w:ascii="Arial Negrita" w:hAnsi="Arial Negrita" w:cs="Arial"/>
          <w:b/>
          <w:smallCaps/>
          <w:lang w:eastAsia="es-MX"/>
        </w:rPr>
        <w:t>1</w:t>
      </w:r>
      <w:r w:rsidR="00B14B1C" w:rsidRPr="005430F9">
        <w:rPr>
          <w:rFonts w:ascii="Arial Negrita" w:hAnsi="Arial Negrita" w:cs="Arial"/>
          <w:b/>
          <w:smallCaps/>
          <w:vertAlign w:val="superscript"/>
          <w:lang w:eastAsia="es-MX"/>
        </w:rPr>
        <w:t>p</w:t>
      </w:r>
      <w:r w:rsidR="00C26349" w:rsidRPr="005430F9">
        <w:rPr>
          <w:rFonts w:ascii="Arial Negrita" w:hAnsi="Arial Negrita" w:cs="Arial"/>
          <w:b/>
          <w:smallCaps/>
          <w:vertAlign w:val="superscript"/>
          <w:lang w:eastAsia="es-MX"/>
        </w:rPr>
        <w:t>/</w:t>
      </w:r>
    </w:p>
    <w:tbl>
      <w:tblPr>
        <w:tblW w:w="7808" w:type="dxa"/>
        <w:jc w:val="center"/>
        <w:tblCellMar>
          <w:left w:w="70" w:type="dxa"/>
          <w:right w:w="70" w:type="dxa"/>
        </w:tblCellMar>
        <w:tblLook w:val="04A0" w:firstRow="1" w:lastRow="0" w:firstColumn="1" w:lastColumn="0" w:noHBand="0" w:noVBand="1"/>
      </w:tblPr>
      <w:tblGrid>
        <w:gridCol w:w="4013"/>
        <w:gridCol w:w="1816"/>
        <w:gridCol w:w="1979"/>
      </w:tblGrid>
      <w:tr w:rsidR="000022AA" w:rsidRPr="00E60FE5" w14:paraId="7476AAD7" w14:textId="77777777" w:rsidTr="00D3530D">
        <w:trPr>
          <w:trHeight w:val="789"/>
          <w:jc w:val="center"/>
        </w:trPr>
        <w:tc>
          <w:tcPr>
            <w:tcW w:w="4013" w:type="dxa"/>
            <w:tcBorders>
              <w:top w:val="single" w:sz="4" w:space="0" w:color="auto"/>
              <w:left w:val="single" w:sz="4" w:space="0" w:color="auto"/>
              <w:bottom w:val="single" w:sz="4" w:space="0" w:color="auto"/>
              <w:right w:val="single" w:sz="4" w:space="0" w:color="auto"/>
            </w:tcBorders>
            <w:shd w:val="clear" w:color="auto" w:fill="FFB13F"/>
            <w:vAlign w:val="center"/>
            <w:hideMark/>
          </w:tcPr>
          <w:p w14:paraId="64116232" w14:textId="77777777" w:rsidR="000022AA" w:rsidRPr="00E60FE5" w:rsidRDefault="000022AA" w:rsidP="002652BF">
            <w:pPr>
              <w:spacing w:after="0" w:line="240" w:lineRule="auto"/>
              <w:rPr>
                <w:rFonts w:ascii="Arial" w:eastAsia="Times New Roman" w:hAnsi="Arial" w:cs="Arial"/>
                <w:b/>
                <w:bCs/>
                <w:sz w:val="20"/>
                <w:szCs w:val="20"/>
                <w:lang w:eastAsia="es-MX"/>
              </w:rPr>
            </w:pPr>
            <w:r w:rsidRPr="00E60FE5">
              <w:rPr>
                <w:rFonts w:ascii="Arial" w:eastAsia="Times New Roman" w:hAnsi="Arial" w:cs="Arial"/>
                <w:b/>
                <w:bCs/>
                <w:sz w:val="20"/>
                <w:szCs w:val="20"/>
                <w:lang w:eastAsia="es-MX"/>
              </w:rPr>
              <w:t>Entidad federativa</w:t>
            </w:r>
          </w:p>
        </w:tc>
        <w:tc>
          <w:tcPr>
            <w:tcW w:w="1816" w:type="dxa"/>
            <w:tcBorders>
              <w:top w:val="single" w:sz="4" w:space="0" w:color="auto"/>
              <w:left w:val="nil"/>
              <w:bottom w:val="single" w:sz="4" w:space="0" w:color="auto"/>
              <w:right w:val="single" w:sz="4" w:space="0" w:color="auto"/>
            </w:tcBorders>
            <w:shd w:val="clear" w:color="auto" w:fill="FFB13F"/>
            <w:vAlign w:val="center"/>
            <w:hideMark/>
          </w:tcPr>
          <w:p w14:paraId="09F107D0" w14:textId="77777777" w:rsidR="000022AA" w:rsidRPr="00E60FE5" w:rsidRDefault="000022AA" w:rsidP="002652BF">
            <w:pPr>
              <w:spacing w:after="0" w:line="240" w:lineRule="auto"/>
              <w:jc w:val="center"/>
              <w:rPr>
                <w:rFonts w:ascii="Arial" w:eastAsia="Times New Roman" w:hAnsi="Arial" w:cs="Arial"/>
                <w:b/>
                <w:bCs/>
                <w:color w:val="000000"/>
                <w:sz w:val="20"/>
                <w:szCs w:val="20"/>
                <w:lang w:eastAsia="es-MX"/>
              </w:rPr>
            </w:pPr>
            <w:r w:rsidRPr="00E60FE5">
              <w:rPr>
                <w:rFonts w:ascii="Arial" w:eastAsia="Times New Roman" w:hAnsi="Arial" w:cs="Arial"/>
                <w:b/>
                <w:bCs/>
                <w:color w:val="000000"/>
                <w:sz w:val="20"/>
                <w:szCs w:val="20"/>
                <w:lang w:eastAsia="es-MX"/>
              </w:rPr>
              <w:t>Miles de pesos corrientes</w:t>
            </w:r>
          </w:p>
        </w:tc>
        <w:tc>
          <w:tcPr>
            <w:tcW w:w="1979" w:type="dxa"/>
            <w:tcBorders>
              <w:top w:val="single" w:sz="4" w:space="0" w:color="auto"/>
              <w:left w:val="nil"/>
              <w:bottom w:val="single" w:sz="4" w:space="0" w:color="auto"/>
              <w:right w:val="single" w:sz="4" w:space="0" w:color="auto"/>
            </w:tcBorders>
            <w:shd w:val="clear" w:color="auto" w:fill="FFB13F"/>
            <w:vAlign w:val="center"/>
            <w:hideMark/>
          </w:tcPr>
          <w:p w14:paraId="7EC55C66" w14:textId="77777777" w:rsidR="000022AA" w:rsidRPr="00E60FE5" w:rsidRDefault="000022AA" w:rsidP="002652BF">
            <w:pPr>
              <w:spacing w:after="0" w:line="240" w:lineRule="auto"/>
              <w:jc w:val="center"/>
              <w:rPr>
                <w:rFonts w:ascii="Arial" w:eastAsia="Times New Roman" w:hAnsi="Arial" w:cs="Arial"/>
                <w:b/>
                <w:bCs/>
                <w:color w:val="000000"/>
                <w:sz w:val="20"/>
                <w:szCs w:val="20"/>
                <w:lang w:eastAsia="es-MX"/>
              </w:rPr>
            </w:pPr>
            <w:r w:rsidRPr="00E60FE5">
              <w:rPr>
                <w:rFonts w:ascii="Arial" w:eastAsia="Times New Roman" w:hAnsi="Arial" w:cs="Arial"/>
                <w:b/>
                <w:bCs/>
                <w:color w:val="000000"/>
                <w:sz w:val="20"/>
                <w:szCs w:val="20"/>
                <w:lang w:eastAsia="es-MX"/>
              </w:rPr>
              <w:t>Participación porcentual</w:t>
            </w:r>
          </w:p>
        </w:tc>
      </w:tr>
      <w:tr w:rsidR="00230B42" w:rsidRPr="00E60FE5" w14:paraId="465D512E"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0784E8A1" w14:textId="77777777" w:rsidR="00230B42" w:rsidRPr="00515933" w:rsidRDefault="00230B42" w:rsidP="00230B42">
            <w:pPr>
              <w:spacing w:after="0" w:line="240" w:lineRule="auto"/>
              <w:rPr>
                <w:rFonts w:ascii="Arial" w:eastAsia="Times New Roman" w:hAnsi="Arial" w:cs="Arial"/>
                <w:b/>
                <w:bCs/>
                <w:sz w:val="20"/>
                <w:szCs w:val="20"/>
                <w:lang w:eastAsia="es-MX"/>
              </w:rPr>
            </w:pPr>
            <w:r w:rsidRPr="00515933">
              <w:rPr>
                <w:rFonts w:ascii="Arial" w:eastAsia="Times New Roman" w:hAnsi="Arial" w:cs="Arial"/>
                <w:b/>
                <w:bCs/>
                <w:sz w:val="20"/>
                <w:szCs w:val="20"/>
                <w:lang w:eastAsia="es-MX"/>
              </w:rPr>
              <w:t>Estados Unidos Mexicanos</w:t>
            </w:r>
          </w:p>
        </w:tc>
        <w:tc>
          <w:tcPr>
            <w:tcW w:w="1816" w:type="dxa"/>
            <w:tcBorders>
              <w:top w:val="nil"/>
              <w:left w:val="nil"/>
              <w:bottom w:val="single" w:sz="4" w:space="0" w:color="auto"/>
              <w:right w:val="single" w:sz="4" w:space="0" w:color="auto"/>
            </w:tcBorders>
            <w:shd w:val="clear" w:color="auto" w:fill="auto"/>
            <w:noWrap/>
            <w:vAlign w:val="center"/>
            <w:hideMark/>
          </w:tcPr>
          <w:p w14:paraId="10DD18F8" w14:textId="59F20520" w:rsidR="00230B42" w:rsidRPr="00515933" w:rsidRDefault="00230B42" w:rsidP="00D3530D">
            <w:pPr>
              <w:spacing w:after="0" w:line="240" w:lineRule="auto"/>
              <w:ind w:left="-971" w:right="231"/>
              <w:jc w:val="right"/>
              <w:rPr>
                <w:rFonts w:ascii="Arial" w:eastAsia="Times New Roman" w:hAnsi="Arial" w:cs="Arial"/>
                <w:b/>
                <w:bCs/>
                <w:sz w:val="20"/>
                <w:szCs w:val="20"/>
                <w:lang w:eastAsia="es-MX"/>
              </w:rPr>
            </w:pPr>
            <w:r w:rsidRPr="00515933">
              <w:rPr>
                <w:rFonts w:ascii="Arial" w:hAnsi="Arial" w:cs="Arial"/>
                <w:b/>
                <w:bCs/>
                <w:color w:val="000000"/>
                <w:sz w:val="20"/>
                <w:szCs w:val="20"/>
              </w:rPr>
              <w:t>465</w:t>
            </w:r>
            <w:r w:rsidR="003F5B51" w:rsidRPr="00515933">
              <w:rPr>
                <w:rFonts w:ascii="Arial" w:hAnsi="Arial" w:cs="Arial"/>
                <w:b/>
                <w:bCs/>
                <w:color w:val="000000"/>
                <w:sz w:val="20"/>
                <w:szCs w:val="20"/>
              </w:rPr>
              <w:t xml:space="preserve"> </w:t>
            </w:r>
            <w:r w:rsidRPr="00515933">
              <w:rPr>
                <w:rFonts w:ascii="Arial" w:hAnsi="Arial" w:cs="Arial"/>
                <w:b/>
                <w:bCs/>
                <w:color w:val="000000"/>
                <w:sz w:val="20"/>
                <w:szCs w:val="20"/>
              </w:rPr>
              <w:t>255</w:t>
            </w:r>
            <w:r w:rsidR="003F5B51" w:rsidRPr="00515933">
              <w:rPr>
                <w:rFonts w:ascii="Arial" w:hAnsi="Arial" w:cs="Arial"/>
                <w:b/>
                <w:bCs/>
                <w:color w:val="000000"/>
                <w:sz w:val="20"/>
                <w:szCs w:val="20"/>
              </w:rPr>
              <w:t xml:space="preserve"> </w:t>
            </w:r>
            <w:r w:rsidRPr="00515933">
              <w:rPr>
                <w:rFonts w:ascii="Arial" w:hAnsi="Arial" w:cs="Arial"/>
                <w:b/>
                <w:bCs/>
                <w:color w:val="000000"/>
                <w:sz w:val="20"/>
                <w:szCs w:val="20"/>
              </w:rPr>
              <w:t>063</w:t>
            </w:r>
          </w:p>
        </w:tc>
        <w:tc>
          <w:tcPr>
            <w:tcW w:w="1979" w:type="dxa"/>
            <w:tcBorders>
              <w:top w:val="nil"/>
              <w:left w:val="nil"/>
              <w:bottom w:val="single" w:sz="4" w:space="0" w:color="auto"/>
              <w:right w:val="single" w:sz="4" w:space="0" w:color="auto"/>
            </w:tcBorders>
            <w:shd w:val="clear" w:color="auto" w:fill="auto"/>
            <w:noWrap/>
            <w:vAlign w:val="center"/>
            <w:hideMark/>
          </w:tcPr>
          <w:p w14:paraId="0D13A994" w14:textId="7BBF17BC" w:rsidR="00230B42" w:rsidRPr="00515933" w:rsidRDefault="00230B42" w:rsidP="00D3530D">
            <w:pPr>
              <w:spacing w:after="0" w:line="240" w:lineRule="auto"/>
              <w:ind w:left="-971" w:right="657"/>
              <w:jc w:val="right"/>
              <w:rPr>
                <w:rFonts w:ascii="Arial" w:eastAsia="Times New Roman" w:hAnsi="Arial" w:cs="Arial"/>
                <w:b/>
                <w:bCs/>
                <w:sz w:val="20"/>
                <w:szCs w:val="20"/>
                <w:lang w:eastAsia="es-MX"/>
              </w:rPr>
            </w:pPr>
            <w:r w:rsidRPr="00515933">
              <w:rPr>
                <w:rFonts w:ascii="Arial" w:hAnsi="Arial" w:cs="Arial"/>
                <w:b/>
                <w:bCs/>
                <w:color w:val="000000"/>
                <w:sz w:val="20"/>
                <w:szCs w:val="20"/>
              </w:rPr>
              <w:t>100.0</w:t>
            </w:r>
          </w:p>
        </w:tc>
      </w:tr>
      <w:tr w:rsidR="00230B42" w:rsidRPr="00E60FE5" w14:paraId="18386D57"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05003751"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Aguascalientes</w:t>
            </w:r>
          </w:p>
        </w:tc>
        <w:tc>
          <w:tcPr>
            <w:tcW w:w="1816" w:type="dxa"/>
            <w:tcBorders>
              <w:top w:val="nil"/>
              <w:left w:val="nil"/>
              <w:bottom w:val="single" w:sz="4" w:space="0" w:color="auto"/>
              <w:right w:val="single" w:sz="4" w:space="0" w:color="auto"/>
            </w:tcBorders>
            <w:shd w:val="clear" w:color="auto" w:fill="auto"/>
            <w:noWrap/>
            <w:vAlign w:val="center"/>
            <w:hideMark/>
          </w:tcPr>
          <w:p w14:paraId="7456DD96" w14:textId="10A6735F"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6</w:t>
            </w:r>
            <w:r w:rsidR="00D3530D" w:rsidRPr="00515933">
              <w:rPr>
                <w:rFonts w:ascii="Arial" w:hAnsi="Arial" w:cs="Arial"/>
                <w:color w:val="000000"/>
                <w:sz w:val="20"/>
                <w:szCs w:val="20"/>
              </w:rPr>
              <w:t xml:space="preserve"> </w:t>
            </w:r>
            <w:r w:rsidRPr="00515933">
              <w:rPr>
                <w:rFonts w:ascii="Arial" w:hAnsi="Arial" w:cs="Arial"/>
                <w:color w:val="000000"/>
                <w:sz w:val="20"/>
                <w:szCs w:val="20"/>
              </w:rPr>
              <w:t>659</w:t>
            </w:r>
            <w:r w:rsidR="00D3530D" w:rsidRPr="00515933">
              <w:rPr>
                <w:rFonts w:ascii="Arial" w:hAnsi="Arial" w:cs="Arial"/>
                <w:color w:val="000000"/>
                <w:sz w:val="20"/>
                <w:szCs w:val="20"/>
              </w:rPr>
              <w:t xml:space="preserve"> </w:t>
            </w:r>
            <w:r w:rsidRPr="00515933">
              <w:rPr>
                <w:rFonts w:ascii="Arial" w:hAnsi="Arial" w:cs="Arial"/>
                <w:color w:val="000000"/>
                <w:sz w:val="20"/>
                <w:szCs w:val="20"/>
              </w:rPr>
              <w:t>363</w:t>
            </w:r>
          </w:p>
        </w:tc>
        <w:tc>
          <w:tcPr>
            <w:tcW w:w="1979" w:type="dxa"/>
            <w:tcBorders>
              <w:top w:val="nil"/>
              <w:left w:val="nil"/>
              <w:bottom w:val="single" w:sz="4" w:space="0" w:color="auto"/>
              <w:right w:val="single" w:sz="4" w:space="0" w:color="auto"/>
            </w:tcBorders>
            <w:shd w:val="clear" w:color="auto" w:fill="auto"/>
            <w:noWrap/>
            <w:vAlign w:val="center"/>
            <w:hideMark/>
          </w:tcPr>
          <w:p w14:paraId="437FC86A" w14:textId="0858E53A"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1.4</w:t>
            </w:r>
          </w:p>
        </w:tc>
      </w:tr>
      <w:tr w:rsidR="00230B42" w:rsidRPr="00E60FE5" w14:paraId="41C2FEA3"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47C76C7C"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Baja California</w:t>
            </w:r>
          </w:p>
        </w:tc>
        <w:tc>
          <w:tcPr>
            <w:tcW w:w="1816" w:type="dxa"/>
            <w:tcBorders>
              <w:top w:val="nil"/>
              <w:left w:val="nil"/>
              <w:bottom w:val="single" w:sz="4" w:space="0" w:color="auto"/>
              <w:right w:val="single" w:sz="4" w:space="0" w:color="auto"/>
            </w:tcBorders>
            <w:shd w:val="clear" w:color="auto" w:fill="auto"/>
            <w:noWrap/>
            <w:vAlign w:val="center"/>
            <w:hideMark/>
          </w:tcPr>
          <w:p w14:paraId="4899AEA2" w14:textId="61A7E6F4"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13</w:t>
            </w:r>
            <w:r w:rsidR="00D3530D" w:rsidRPr="00515933">
              <w:rPr>
                <w:rFonts w:ascii="Arial" w:hAnsi="Arial" w:cs="Arial"/>
                <w:color w:val="000000"/>
                <w:sz w:val="20"/>
                <w:szCs w:val="20"/>
              </w:rPr>
              <w:t xml:space="preserve"> </w:t>
            </w:r>
            <w:r w:rsidRPr="00515933">
              <w:rPr>
                <w:rFonts w:ascii="Arial" w:hAnsi="Arial" w:cs="Arial"/>
                <w:color w:val="000000"/>
                <w:sz w:val="20"/>
                <w:szCs w:val="20"/>
              </w:rPr>
              <w:t>186</w:t>
            </w:r>
            <w:r w:rsidR="00D3530D" w:rsidRPr="00515933">
              <w:rPr>
                <w:rFonts w:ascii="Arial" w:hAnsi="Arial" w:cs="Arial"/>
                <w:color w:val="000000"/>
                <w:sz w:val="20"/>
                <w:szCs w:val="20"/>
              </w:rPr>
              <w:t xml:space="preserve"> </w:t>
            </w:r>
            <w:r w:rsidRPr="00515933">
              <w:rPr>
                <w:rFonts w:ascii="Arial" w:hAnsi="Arial" w:cs="Arial"/>
                <w:color w:val="000000"/>
                <w:sz w:val="20"/>
                <w:szCs w:val="20"/>
              </w:rPr>
              <w:t>326</w:t>
            </w:r>
          </w:p>
        </w:tc>
        <w:tc>
          <w:tcPr>
            <w:tcW w:w="1979" w:type="dxa"/>
            <w:tcBorders>
              <w:top w:val="nil"/>
              <w:left w:val="nil"/>
              <w:bottom w:val="single" w:sz="4" w:space="0" w:color="auto"/>
              <w:right w:val="single" w:sz="4" w:space="0" w:color="auto"/>
            </w:tcBorders>
            <w:shd w:val="clear" w:color="auto" w:fill="auto"/>
            <w:noWrap/>
            <w:vAlign w:val="center"/>
            <w:hideMark/>
          </w:tcPr>
          <w:p w14:paraId="4ACD51AC" w14:textId="575A01A3"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2.8</w:t>
            </w:r>
          </w:p>
        </w:tc>
      </w:tr>
      <w:tr w:rsidR="00230B42" w:rsidRPr="00E60FE5" w14:paraId="53AC9002"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70AF942B"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Baja California Sur</w:t>
            </w:r>
          </w:p>
        </w:tc>
        <w:tc>
          <w:tcPr>
            <w:tcW w:w="1816" w:type="dxa"/>
            <w:tcBorders>
              <w:top w:val="nil"/>
              <w:left w:val="nil"/>
              <w:bottom w:val="single" w:sz="4" w:space="0" w:color="auto"/>
              <w:right w:val="single" w:sz="4" w:space="0" w:color="auto"/>
            </w:tcBorders>
            <w:shd w:val="clear" w:color="auto" w:fill="auto"/>
            <w:noWrap/>
            <w:vAlign w:val="center"/>
            <w:hideMark/>
          </w:tcPr>
          <w:p w14:paraId="1AD43779" w14:textId="2376B423"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3</w:t>
            </w:r>
            <w:r w:rsidR="00D3530D" w:rsidRPr="00515933">
              <w:rPr>
                <w:rFonts w:ascii="Arial" w:hAnsi="Arial" w:cs="Arial"/>
                <w:color w:val="000000"/>
                <w:sz w:val="20"/>
                <w:szCs w:val="20"/>
              </w:rPr>
              <w:t xml:space="preserve"> </w:t>
            </w:r>
            <w:r w:rsidRPr="00515933">
              <w:rPr>
                <w:rFonts w:ascii="Arial" w:hAnsi="Arial" w:cs="Arial"/>
                <w:color w:val="000000"/>
                <w:sz w:val="20"/>
                <w:szCs w:val="20"/>
              </w:rPr>
              <w:t>086</w:t>
            </w:r>
            <w:r w:rsidR="00D3530D" w:rsidRPr="00515933">
              <w:rPr>
                <w:rFonts w:ascii="Arial" w:hAnsi="Arial" w:cs="Arial"/>
                <w:color w:val="000000"/>
                <w:sz w:val="20"/>
                <w:szCs w:val="20"/>
              </w:rPr>
              <w:t xml:space="preserve"> </w:t>
            </w:r>
            <w:r w:rsidRPr="00515933">
              <w:rPr>
                <w:rFonts w:ascii="Arial" w:hAnsi="Arial" w:cs="Arial"/>
                <w:color w:val="000000"/>
                <w:sz w:val="20"/>
                <w:szCs w:val="20"/>
              </w:rPr>
              <w:t>397</w:t>
            </w:r>
          </w:p>
        </w:tc>
        <w:tc>
          <w:tcPr>
            <w:tcW w:w="1979" w:type="dxa"/>
            <w:tcBorders>
              <w:top w:val="nil"/>
              <w:left w:val="nil"/>
              <w:bottom w:val="single" w:sz="4" w:space="0" w:color="auto"/>
              <w:right w:val="single" w:sz="4" w:space="0" w:color="auto"/>
            </w:tcBorders>
            <w:shd w:val="clear" w:color="auto" w:fill="auto"/>
            <w:noWrap/>
            <w:vAlign w:val="center"/>
            <w:hideMark/>
          </w:tcPr>
          <w:p w14:paraId="5A60EE8D" w14:textId="5D4B5F1E"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0.7</w:t>
            </w:r>
          </w:p>
        </w:tc>
      </w:tr>
      <w:tr w:rsidR="00230B42" w:rsidRPr="00E60FE5" w14:paraId="2D158028"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1E1D6F13"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 xml:space="preserve">Campeche </w:t>
            </w:r>
          </w:p>
        </w:tc>
        <w:tc>
          <w:tcPr>
            <w:tcW w:w="1816" w:type="dxa"/>
            <w:tcBorders>
              <w:top w:val="nil"/>
              <w:left w:val="nil"/>
              <w:bottom w:val="single" w:sz="4" w:space="0" w:color="auto"/>
              <w:right w:val="single" w:sz="4" w:space="0" w:color="auto"/>
            </w:tcBorders>
            <w:shd w:val="clear" w:color="auto" w:fill="auto"/>
            <w:noWrap/>
            <w:vAlign w:val="center"/>
            <w:hideMark/>
          </w:tcPr>
          <w:p w14:paraId="6A3AF747" w14:textId="1E5E42A2"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12</w:t>
            </w:r>
            <w:r w:rsidR="00D3530D" w:rsidRPr="00515933">
              <w:rPr>
                <w:rFonts w:ascii="Arial" w:hAnsi="Arial" w:cs="Arial"/>
                <w:color w:val="000000"/>
                <w:sz w:val="20"/>
                <w:szCs w:val="20"/>
              </w:rPr>
              <w:t xml:space="preserve"> </w:t>
            </w:r>
            <w:r w:rsidRPr="00515933">
              <w:rPr>
                <w:rFonts w:ascii="Arial" w:hAnsi="Arial" w:cs="Arial"/>
                <w:color w:val="000000"/>
                <w:sz w:val="20"/>
                <w:szCs w:val="20"/>
              </w:rPr>
              <w:t>419</w:t>
            </w:r>
            <w:r w:rsidR="00D3530D" w:rsidRPr="00515933">
              <w:rPr>
                <w:rFonts w:ascii="Arial" w:hAnsi="Arial" w:cs="Arial"/>
                <w:color w:val="000000"/>
                <w:sz w:val="20"/>
                <w:szCs w:val="20"/>
              </w:rPr>
              <w:t xml:space="preserve"> </w:t>
            </w:r>
            <w:r w:rsidRPr="00515933">
              <w:rPr>
                <w:rFonts w:ascii="Arial" w:hAnsi="Arial" w:cs="Arial"/>
                <w:color w:val="000000"/>
                <w:sz w:val="20"/>
                <w:szCs w:val="20"/>
              </w:rPr>
              <w:t>650</w:t>
            </w:r>
          </w:p>
        </w:tc>
        <w:tc>
          <w:tcPr>
            <w:tcW w:w="1979" w:type="dxa"/>
            <w:tcBorders>
              <w:top w:val="nil"/>
              <w:left w:val="nil"/>
              <w:bottom w:val="single" w:sz="4" w:space="0" w:color="auto"/>
              <w:right w:val="single" w:sz="4" w:space="0" w:color="auto"/>
            </w:tcBorders>
            <w:shd w:val="clear" w:color="auto" w:fill="auto"/>
            <w:noWrap/>
            <w:vAlign w:val="center"/>
            <w:hideMark/>
          </w:tcPr>
          <w:p w14:paraId="732D54A7" w14:textId="64A357A3"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2.7</w:t>
            </w:r>
          </w:p>
        </w:tc>
      </w:tr>
      <w:tr w:rsidR="00230B42" w:rsidRPr="00E60FE5" w14:paraId="195219FE"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2CE2512E"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Coahuila de Zaragoza</w:t>
            </w:r>
          </w:p>
        </w:tc>
        <w:tc>
          <w:tcPr>
            <w:tcW w:w="1816" w:type="dxa"/>
            <w:tcBorders>
              <w:top w:val="nil"/>
              <w:left w:val="nil"/>
              <w:bottom w:val="single" w:sz="4" w:space="0" w:color="auto"/>
              <w:right w:val="single" w:sz="4" w:space="0" w:color="auto"/>
            </w:tcBorders>
            <w:shd w:val="clear" w:color="auto" w:fill="auto"/>
            <w:noWrap/>
            <w:vAlign w:val="center"/>
            <w:hideMark/>
          </w:tcPr>
          <w:p w14:paraId="0151129A" w14:textId="35DA42B8"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9</w:t>
            </w:r>
            <w:r w:rsidR="00D3530D" w:rsidRPr="00515933">
              <w:rPr>
                <w:rFonts w:ascii="Arial" w:hAnsi="Arial" w:cs="Arial"/>
                <w:color w:val="000000"/>
                <w:sz w:val="20"/>
                <w:szCs w:val="20"/>
              </w:rPr>
              <w:t xml:space="preserve"> </w:t>
            </w:r>
            <w:r w:rsidRPr="00515933">
              <w:rPr>
                <w:rFonts w:ascii="Arial" w:hAnsi="Arial" w:cs="Arial"/>
                <w:color w:val="000000"/>
                <w:sz w:val="20"/>
                <w:szCs w:val="20"/>
              </w:rPr>
              <w:t>539</w:t>
            </w:r>
            <w:r w:rsidR="00D3530D" w:rsidRPr="00515933">
              <w:rPr>
                <w:rFonts w:ascii="Arial" w:hAnsi="Arial" w:cs="Arial"/>
                <w:color w:val="000000"/>
                <w:sz w:val="20"/>
                <w:szCs w:val="20"/>
              </w:rPr>
              <w:t xml:space="preserve"> </w:t>
            </w:r>
            <w:r w:rsidRPr="00515933">
              <w:rPr>
                <w:rFonts w:ascii="Arial" w:hAnsi="Arial" w:cs="Arial"/>
                <w:color w:val="000000"/>
                <w:sz w:val="20"/>
                <w:szCs w:val="20"/>
              </w:rPr>
              <w:t>381</w:t>
            </w:r>
          </w:p>
        </w:tc>
        <w:tc>
          <w:tcPr>
            <w:tcW w:w="1979" w:type="dxa"/>
            <w:tcBorders>
              <w:top w:val="nil"/>
              <w:left w:val="nil"/>
              <w:bottom w:val="single" w:sz="4" w:space="0" w:color="auto"/>
              <w:right w:val="single" w:sz="4" w:space="0" w:color="auto"/>
            </w:tcBorders>
            <w:shd w:val="clear" w:color="auto" w:fill="auto"/>
            <w:noWrap/>
            <w:vAlign w:val="center"/>
            <w:hideMark/>
          </w:tcPr>
          <w:p w14:paraId="1E435CF6" w14:textId="0274F64D"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2.1</w:t>
            </w:r>
          </w:p>
        </w:tc>
      </w:tr>
      <w:tr w:rsidR="00230B42" w:rsidRPr="00E60FE5" w14:paraId="5CA96CA4"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7DBBF555"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Colima</w:t>
            </w:r>
          </w:p>
        </w:tc>
        <w:tc>
          <w:tcPr>
            <w:tcW w:w="1816" w:type="dxa"/>
            <w:tcBorders>
              <w:top w:val="nil"/>
              <w:left w:val="nil"/>
              <w:bottom w:val="single" w:sz="4" w:space="0" w:color="auto"/>
              <w:right w:val="single" w:sz="4" w:space="0" w:color="auto"/>
            </w:tcBorders>
            <w:shd w:val="clear" w:color="auto" w:fill="auto"/>
            <w:noWrap/>
            <w:vAlign w:val="center"/>
            <w:hideMark/>
          </w:tcPr>
          <w:p w14:paraId="2EBFAE16" w14:textId="4E1BE5E3"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3</w:t>
            </w:r>
            <w:r w:rsidR="00D3530D" w:rsidRPr="00515933">
              <w:rPr>
                <w:rFonts w:ascii="Arial" w:hAnsi="Arial" w:cs="Arial"/>
                <w:color w:val="000000"/>
                <w:sz w:val="20"/>
                <w:szCs w:val="20"/>
              </w:rPr>
              <w:t xml:space="preserve"> </w:t>
            </w:r>
            <w:r w:rsidRPr="00515933">
              <w:rPr>
                <w:rFonts w:ascii="Arial" w:hAnsi="Arial" w:cs="Arial"/>
                <w:color w:val="000000"/>
                <w:sz w:val="20"/>
                <w:szCs w:val="20"/>
              </w:rPr>
              <w:t>922</w:t>
            </w:r>
            <w:r w:rsidR="00D3530D" w:rsidRPr="00515933">
              <w:rPr>
                <w:rFonts w:ascii="Arial" w:hAnsi="Arial" w:cs="Arial"/>
                <w:color w:val="000000"/>
                <w:sz w:val="20"/>
                <w:szCs w:val="20"/>
              </w:rPr>
              <w:t xml:space="preserve"> </w:t>
            </w:r>
            <w:r w:rsidRPr="00515933">
              <w:rPr>
                <w:rFonts w:ascii="Arial" w:hAnsi="Arial" w:cs="Arial"/>
                <w:color w:val="000000"/>
                <w:sz w:val="20"/>
                <w:szCs w:val="20"/>
              </w:rPr>
              <w:t>692</w:t>
            </w:r>
          </w:p>
        </w:tc>
        <w:tc>
          <w:tcPr>
            <w:tcW w:w="1979" w:type="dxa"/>
            <w:tcBorders>
              <w:top w:val="nil"/>
              <w:left w:val="nil"/>
              <w:bottom w:val="single" w:sz="4" w:space="0" w:color="auto"/>
              <w:right w:val="single" w:sz="4" w:space="0" w:color="auto"/>
            </w:tcBorders>
            <w:shd w:val="clear" w:color="auto" w:fill="auto"/>
            <w:noWrap/>
            <w:vAlign w:val="center"/>
            <w:hideMark/>
          </w:tcPr>
          <w:p w14:paraId="0A8648F4" w14:textId="7876399F"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0.8</w:t>
            </w:r>
          </w:p>
        </w:tc>
      </w:tr>
      <w:tr w:rsidR="00230B42" w:rsidRPr="00E60FE5" w14:paraId="024B88DA"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6AB9ABAA"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Chiapas</w:t>
            </w:r>
          </w:p>
        </w:tc>
        <w:tc>
          <w:tcPr>
            <w:tcW w:w="1816" w:type="dxa"/>
            <w:tcBorders>
              <w:top w:val="nil"/>
              <w:left w:val="nil"/>
              <w:bottom w:val="single" w:sz="4" w:space="0" w:color="auto"/>
              <w:right w:val="single" w:sz="4" w:space="0" w:color="auto"/>
            </w:tcBorders>
            <w:shd w:val="clear" w:color="auto" w:fill="auto"/>
            <w:noWrap/>
            <w:vAlign w:val="center"/>
            <w:hideMark/>
          </w:tcPr>
          <w:p w14:paraId="6FFB7BA9" w14:textId="2A23EA0D"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8</w:t>
            </w:r>
            <w:r w:rsidR="00D3530D" w:rsidRPr="00515933">
              <w:rPr>
                <w:rFonts w:ascii="Arial" w:hAnsi="Arial" w:cs="Arial"/>
                <w:color w:val="000000"/>
                <w:sz w:val="20"/>
                <w:szCs w:val="20"/>
              </w:rPr>
              <w:t xml:space="preserve"> </w:t>
            </w:r>
            <w:r w:rsidRPr="00515933">
              <w:rPr>
                <w:rFonts w:ascii="Arial" w:hAnsi="Arial" w:cs="Arial"/>
                <w:color w:val="000000"/>
                <w:sz w:val="20"/>
                <w:szCs w:val="20"/>
              </w:rPr>
              <w:t>351</w:t>
            </w:r>
            <w:r w:rsidR="00D3530D" w:rsidRPr="00515933">
              <w:rPr>
                <w:rFonts w:ascii="Arial" w:hAnsi="Arial" w:cs="Arial"/>
                <w:color w:val="000000"/>
                <w:sz w:val="20"/>
                <w:szCs w:val="20"/>
              </w:rPr>
              <w:t xml:space="preserve"> </w:t>
            </w:r>
            <w:r w:rsidRPr="00515933">
              <w:rPr>
                <w:rFonts w:ascii="Arial" w:hAnsi="Arial" w:cs="Arial"/>
                <w:color w:val="000000"/>
                <w:sz w:val="20"/>
                <w:szCs w:val="20"/>
              </w:rPr>
              <w:t>876</w:t>
            </w:r>
          </w:p>
        </w:tc>
        <w:tc>
          <w:tcPr>
            <w:tcW w:w="1979" w:type="dxa"/>
            <w:tcBorders>
              <w:top w:val="nil"/>
              <w:left w:val="nil"/>
              <w:bottom w:val="single" w:sz="4" w:space="0" w:color="auto"/>
              <w:right w:val="single" w:sz="4" w:space="0" w:color="auto"/>
            </w:tcBorders>
            <w:shd w:val="clear" w:color="auto" w:fill="auto"/>
            <w:noWrap/>
            <w:vAlign w:val="center"/>
            <w:hideMark/>
          </w:tcPr>
          <w:p w14:paraId="1DC3F99C" w14:textId="519A4A3D"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1.8</w:t>
            </w:r>
          </w:p>
        </w:tc>
      </w:tr>
      <w:tr w:rsidR="00230B42" w:rsidRPr="00E60FE5" w14:paraId="14DCAB8C"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26CDC8FF"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Chihuahua</w:t>
            </w:r>
          </w:p>
        </w:tc>
        <w:tc>
          <w:tcPr>
            <w:tcW w:w="1816" w:type="dxa"/>
            <w:tcBorders>
              <w:top w:val="nil"/>
              <w:left w:val="nil"/>
              <w:bottom w:val="single" w:sz="4" w:space="0" w:color="auto"/>
              <w:right w:val="single" w:sz="4" w:space="0" w:color="auto"/>
            </w:tcBorders>
            <w:shd w:val="clear" w:color="auto" w:fill="auto"/>
            <w:noWrap/>
            <w:vAlign w:val="center"/>
            <w:hideMark/>
          </w:tcPr>
          <w:p w14:paraId="3FA4A226" w14:textId="42DE95C1"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12</w:t>
            </w:r>
            <w:r w:rsidR="00D3530D" w:rsidRPr="00515933">
              <w:rPr>
                <w:rFonts w:ascii="Arial" w:hAnsi="Arial" w:cs="Arial"/>
                <w:color w:val="000000"/>
                <w:sz w:val="20"/>
                <w:szCs w:val="20"/>
              </w:rPr>
              <w:t xml:space="preserve"> </w:t>
            </w:r>
            <w:r w:rsidRPr="00515933">
              <w:rPr>
                <w:rFonts w:ascii="Arial" w:hAnsi="Arial" w:cs="Arial"/>
                <w:color w:val="000000"/>
                <w:sz w:val="20"/>
                <w:szCs w:val="20"/>
              </w:rPr>
              <w:t>809</w:t>
            </w:r>
            <w:r w:rsidR="00D3530D" w:rsidRPr="00515933">
              <w:rPr>
                <w:rFonts w:ascii="Arial" w:hAnsi="Arial" w:cs="Arial"/>
                <w:color w:val="000000"/>
                <w:sz w:val="20"/>
                <w:szCs w:val="20"/>
              </w:rPr>
              <w:t xml:space="preserve"> </w:t>
            </w:r>
            <w:r w:rsidRPr="00515933">
              <w:rPr>
                <w:rFonts w:ascii="Arial" w:hAnsi="Arial" w:cs="Arial"/>
                <w:color w:val="000000"/>
                <w:sz w:val="20"/>
                <w:szCs w:val="20"/>
              </w:rPr>
              <w:t>826</w:t>
            </w:r>
          </w:p>
        </w:tc>
        <w:tc>
          <w:tcPr>
            <w:tcW w:w="1979" w:type="dxa"/>
            <w:tcBorders>
              <w:top w:val="nil"/>
              <w:left w:val="nil"/>
              <w:bottom w:val="single" w:sz="4" w:space="0" w:color="auto"/>
              <w:right w:val="single" w:sz="4" w:space="0" w:color="auto"/>
            </w:tcBorders>
            <w:shd w:val="clear" w:color="auto" w:fill="auto"/>
            <w:noWrap/>
            <w:vAlign w:val="center"/>
            <w:hideMark/>
          </w:tcPr>
          <w:p w14:paraId="29ED6F89" w14:textId="230BEF20"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2.8</w:t>
            </w:r>
          </w:p>
        </w:tc>
      </w:tr>
      <w:tr w:rsidR="00230B42" w:rsidRPr="00E60FE5" w14:paraId="54A8BA68"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70ADC5FD" w14:textId="10CC5AF2"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Ciudad de México</w:t>
            </w:r>
          </w:p>
        </w:tc>
        <w:tc>
          <w:tcPr>
            <w:tcW w:w="1816" w:type="dxa"/>
            <w:tcBorders>
              <w:top w:val="nil"/>
              <w:left w:val="nil"/>
              <w:bottom w:val="single" w:sz="4" w:space="0" w:color="auto"/>
              <w:right w:val="single" w:sz="4" w:space="0" w:color="auto"/>
            </w:tcBorders>
            <w:shd w:val="clear" w:color="auto" w:fill="auto"/>
            <w:noWrap/>
            <w:vAlign w:val="center"/>
            <w:hideMark/>
          </w:tcPr>
          <w:p w14:paraId="55917A96" w14:textId="66AB4E06"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101</w:t>
            </w:r>
            <w:r w:rsidR="00D3530D" w:rsidRPr="00515933">
              <w:rPr>
                <w:rFonts w:ascii="Arial" w:hAnsi="Arial" w:cs="Arial"/>
                <w:color w:val="000000"/>
                <w:sz w:val="20"/>
                <w:szCs w:val="20"/>
              </w:rPr>
              <w:t xml:space="preserve"> </w:t>
            </w:r>
            <w:r w:rsidRPr="00515933">
              <w:rPr>
                <w:rFonts w:ascii="Arial" w:hAnsi="Arial" w:cs="Arial"/>
                <w:color w:val="000000"/>
                <w:sz w:val="20"/>
                <w:szCs w:val="20"/>
              </w:rPr>
              <w:t>855</w:t>
            </w:r>
            <w:r w:rsidR="00D3530D" w:rsidRPr="00515933">
              <w:rPr>
                <w:rFonts w:ascii="Arial" w:hAnsi="Arial" w:cs="Arial"/>
                <w:color w:val="000000"/>
                <w:sz w:val="20"/>
                <w:szCs w:val="20"/>
              </w:rPr>
              <w:t xml:space="preserve"> </w:t>
            </w:r>
            <w:r w:rsidRPr="00515933">
              <w:rPr>
                <w:rFonts w:ascii="Arial" w:hAnsi="Arial" w:cs="Arial"/>
                <w:color w:val="000000"/>
                <w:sz w:val="20"/>
                <w:szCs w:val="20"/>
              </w:rPr>
              <w:t>9</w:t>
            </w:r>
            <w:r w:rsidR="008719DB" w:rsidRPr="00515933">
              <w:rPr>
                <w:rFonts w:ascii="Arial" w:hAnsi="Arial" w:cs="Arial"/>
                <w:color w:val="000000"/>
                <w:sz w:val="20"/>
                <w:szCs w:val="20"/>
              </w:rPr>
              <w:t>20</w:t>
            </w:r>
          </w:p>
        </w:tc>
        <w:tc>
          <w:tcPr>
            <w:tcW w:w="1979" w:type="dxa"/>
            <w:tcBorders>
              <w:top w:val="nil"/>
              <w:left w:val="nil"/>
              <w:bottom w:val="single" w:sz="4" w:space="0" w:color="auto"/>
              <w:right w:val="single" w:sz="4" w:space="0" w:color="auto"/>
            </w:tcBorders>
            <w:shd w:val="clear" w:color="auto" w:fill="auto"/>
            <w:noWrap/>
            <w:vAlign w:val="center"/>
            <w:hideMark/>
          </w:tcPr>
          <w:p w14:paraId="4918BA1D" w14:textId="39FC7CCD"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21.9</w:t>
            </w:r>
          </w:p>
        </w:tc>
      </w:tr>
      <w:tr w:rsidR="00230B42" w:rsidRPr="00E60FE5" w14:paraId="6F8F5CFF"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680419BF"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Durango</w:t>
            </w:r>
          </w:p>
        </w:tc>
        <w:tc>
          <w:tcPr>
            <w:tcW w:w="1816" w:type="dxa"/>
            <w:tcBorders>
              <w:top w:val="nil"/>
              <w:left w:val="nil"/>
              <w:bottom w:val="single" w:sz="4" w:space="0" w:color="auto"/>
              <w:right w:val="single" w:sz="4" w:space="0" w:color="auto"/>
            </w:tcBorders>
            <w:shd w:val="clear" w:color="auto" w:fill="auto"/>
            <w:noWrap/>
            <w:vAlign w:val="center"/>
            <w:hideMark/>
          </w:tcPr>
          <w:p w14:paraId="005C98CB" w14:textId="5115F075"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5</w:t>
            </w:r>
            <w:r w:rsidR="00D3530D" w:rsidRPr="00515933">
              <w:rPr>
                <w:rFonts w:ascii="Arial" w:hAnsi="Arial" w:cs="Arial"/>
                <w:color w:val="000000"/>
                <w:sz w:val="20"/>
                <w:szCs w:val="20"/>
              </w:rPr>
              <w:t xml:space="preserve"> </w:t>
            </w:r>
            <w:r w:rsidRPr="00515933">
              <w:rPr>
                <w:rFonts w:ascii="Arial" w:hAnsi="Arial" w:cs="Arial"/>
                <w:color w:val="000000"/>
                <w:sz w:val="20"/>
                <w:szCs w:val="20"/>
              </w:rPr>
              <w:t>236</w:t>
            </w:r>
            <w:r w:rsidR="00D3530D" w:rsidRPr="00515933">
              <w:rPr>
                <w:rFonts w:ascii="Arial" w:hAnsi="Arial" w:cs="Arial"/>
                <w:color w:val="000000"/>
                <w:sz w:val="20"/>
                <w:szCs w:val="20"/>
              </w:rPr>
              <w:t xml:space="preserve"> </w:t>
            </w:r>
            <w:r w:rsidRPr="00515933">
              <w:rPr>
                <w:rFonts w:ascii="Arial" w:hAnsi="Arial" w:cs="Arial"/>
                <w:color w:val="000000"/>
                <w:sz w:val="20"/>
                <w:szCs w:val="20"/>
              </w:rPr>
              <w:t>377</w:t>
            </w:r>
          </w:p>
        </w:tc>
        <w:tc>
          <w:tcPr>
            <w:tcW w:w="1979" w:type="dxa"/>
            <w:tcBorders>
              <w:top w:val="nil"/>
              <w:left w:val="nil"/>
              <w:bottom w:val="single" w:sz="4" w:space="0" w:color="auto"/>
              <w:right w:val="single" w:sz="4" w:space="0" w:color="auto"/>
            </w:tcBorders>
            <w:shd w:val="clear" w:color="auto" w:fill="auto"/>
            <w:noWrap/>
            <w:vAlign w:val="center"/>
            <w:hideMark/>
          </w:tcPr>
          <w:p w14:paraId="7B5E6681" w14:textId="0FC73A01"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1.1</w:t>
            </w:r>
          </w:p>
        </w:tc>
      </w:tr>
      <w:tr w:rsidR="00230B42" w:rsidRPr="00E60FE5" w14:paraId="367E7283"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69EF8DB5"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Guanajuato</w:t>
            </w:r>
          </w:p>
        </w:tc>
        <w:tc>
          <w:tcPr>
            <w:tcW w:w="1816" w:type="dxa"/>
            <w:tcBorders>
              <w:top w:val="nil"/>
              <w:left w:val="nil"/>
              <w:bottom w:val="single" w:sz="4" w:space="0" w:color="auto"/>
              <w:right w:val="single" w:sz="4" w:space="0" w:color="auto"/>
            </w:tcBorders>
            <w:shd w:val="clear" w:color="auto" w:fill="auto"/>
            <w:noWrap/>
            <w:vAlign w:val="center"/>
            <w:hideMark/>
          </w:tcPr>
          <w:p w14:paraId="261C4853" w14:textId="0F2B9EC8"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15</w:t>
            </w:r>
            <w:r w:rsidR="00D3530D" w:rsidRPr="00515933">
              <w:rPr>
                <w:rFonts w:ascii="Arial" w:hAnsi="Arial" w:cs="Arial"/>
                <w:color w:val="000000"/>
                <w:sz w:val="20"/>
                <w:szCs w:val="20"/>
              </w:rPr>
              <w:t xml:space="preserve"> </w:t>
            </w:r>
            <w:r w:rsidRPr="00515933">
              <w:rPr>
                <w:rFonts w:ascii="Arial" w:hAnsi="Arial" w:cs="Arial"/>
                <w:color w:val="000000"/>
                <w:sz w:val="20"/>
                <w:szCs w:val="20"/>
              </w:rPr>
              <w:t>279</w:t>
            </w:r>
            <w:r w:rsidR="00D3530D" w:rsidRPr="00515933">
              <w:rPr>
                <w:rFonts w:ascii="Arial" w:hAnsi="Arial" w:cs="Arial"/>
                <w:color w:val="000000"/>
                <w:sz w:val="20"/>
                <w:szCs w:val="20"/>
              </w:rPr>
              <w:t xml:space="preserve"> </w:t>
            </w:r>
            <w:r w:rsidRPr="00515933">
              <w:rPr>
                <w:rFonts w:ascii="Arial" w:hAnsi="Arial" w:cs="Arial"/>
                <w:color w:val="000000"/>
                <w:sz w:val="20"/>
                <w:szCs w:val="20"/>
              </w:rPr>
              <w:t>294</w:t>
            </w:r>
          </w:p>
        </w:tc>
        <w:tc>
          <w:tcPr>
            <w:tcW w:w="1979" w:type="dxa"/>
            <w:tcBorders>
              <w:top w:val="nil"/>
              <w:left w:val="nil"/>
              <w:bottom w:val="single" w:sz="4" w:space="0" w:color="auto"/>
              <w:right w:val="single" w:sz="4" w:space="0" w:color="auto"/>
            </w:tcBorders>
            <w:shd w:val="clear" w:color="auto" w:fill="auto"/>
            <w:noWrap/>
            <w:vAlign w:val="center"/>
            <w:hideMark/>
          </w:tcPr>
          <w:p w14:paraId="260F5D63" w14:textId="15A5BA95"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3.3</w:t>
            </w:r>
          </w:p>
        </w:tc>
      </w:tr>
      <w:tr w:rsidR="00230B42" w:rsidRPr="00E60FE5" w14:paraId="242925E2"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2BFBD35F"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Guerrero</w:t>
            </w:r>
          </w:p>
        </w:tc>
        <w:tc>
          <w:tcPr>
            <w:tcW w:w="1816" w:type="dxa"/>
            <w:tcBorders>
              <w:top w:val="nil"/>
              <w:left w:val="nil"/>
              <w:bottom w:val="single" w:sz="4" w:space="0" w:color="auto"/>
              <w:right w:val="single" w:sz="4" w:space="0" w:color="auto"/>
            </w:tcBorders>
            <w:shd w:val="clear" w:color="auto" w:fill="auto"/>
            <w:noWrap/>
            <w:vAlign w:val="center"/>
            <w:hideMark/>
          </w:tcPr>
          <w:p w14:paraId="76E8BDCC" w14:textId="385606C9"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4</w:t>
            </w:r>
            <w:r w:rsidR="00D3530D" w:rsidRPr="00515933">
              <w:rPr>
                <w:rFonts w:ascii="Arial" w:hAnsi="Arial" w:cs="Arial"/>
                <w:color w:val="000000"/>
                <w:sz w:val="20"/>
                <w:szCs w:val="20"/>
              </w:rPr>
              <w:t xml:space="preserve"> </w:t>
            </w:r>
            <w:r w:rsidRPr="00515933">
              <w:rPr>
                <w:rFonts w:ascii="Arial" w:hAnsi="Arial" w:cs="Arial"/>
                <w:color w:val="000000"/>
                <w:sz w:val="20"/>
                <w:szCs w:val="20"/>
              </w:rPr>
              <w:t>039</w:t>
            </w:r>
            <w:r w:rsidR="00D3530D" w:rsidRPr="00515933">
              <w:rPr>
                <w:rFonts w:ascii="Arial" w:hAnsi="Arial" w:cs="Arial"/>
                <w:color w:val="000000"/>
                <w:sz w:val="20"/>
                <w:szCs w:val="20"/>
              </w:rPr>
              <w:t xml:space="preserve"> </w:t>
            </w:r>
            <w:r w:rsidRPr="00515933">
              <w:rPr>
                <w:rFonts w:ascii="Arial" w:hAnsi="Arial" w:cs="Arial"/>
                <w:color w:val="000000"/>
                <w:sz w:val="20"/>
                <w:szCs w:val="20"/>
              </w:rPr>
              <w:t>733</w:t>
            </w:r>
          </w:p>
        </w:tc>
        <w:tc>
          <w:tcPr>
            <w:tcW w:w="1979" w:type="dxa"/>
            <w:tcBorders>
              <w:top w:val="nil"/>
              <w:left w:val="nil"/>
              <w:bottom w:val="single" w:sz="4" w:space="0" w:color="auto"/>
              <w:right w:val="single" w:sz="4" w:space="0" w:color="auto"/>
            </w:tcBorders>
            <w:shd w:val="clear" w:color="auto" w:fill="auto"/>
            <w:noWrap/>
            <w:vAlign w:val="center"/>
            <w:hideMark/>
          </w:tcPr>
          <w:p w14:paraId="59C63697" w14:textId="3E566982"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0.9</w:t>
            </w:r>
          </w:p>
        </w:tc>
      </w:tr>
      <w:tr w:rsidR="00230B42" w:rsidRPr="00E60FE5" w14:paraId="5CA526F6"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599F1F93"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Hidalgo</w:t>
            </w:r>
          </w:p>
        </w:tc>
        <w:tc>
          <w:tcPr>
            <w:tcW w:w="1816" w:type="dxa"/>
            <w:tcBorders>
              <w:top w:val="nil"/>
              <w:left w:val="nil"/>
              <w:bottom w:val="single" w:sz="4" w:space="0" w:color="auto"/>
              <w:right w:val="single" w:sz="4" w:space="0" w:color="auto"/>
            </w:tcBorders>
            <w:shd w:val="clear" w:color="auto" w:fill="auto"/>
            <w:noWrap/>
            <w:vAlign w:val="center"/>
            <w:hideMark/>
          </w:tcPr>
          <w:p w14:paraId="488B2763" w14:textId="52B1A2C6"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4</w:t>
            </w:r>
            <w:r w:rsidR="00D3530D" w:rsidRPr="00515933">
              <w:rPr>
                <w:rFonts w:ascii="Arial" w:hAnsi="Arial" w:cs="Arial"/>
                <w:color w:val="000000"/>
                <w:sz w:val="20"/>
                <w:szCs w:val="20"/>
              </w:rPr>
              <w:t xml:space="preserve"> </w:t>
            </w:r>
            <w:r w:rsidRPr="00515933">
              <w:rPr>
                <w:rFonts w:ascii="Arial" w:hAnsi="Arial" w:cs="Arial"/>
                <w:color w:val="000000"/>
                <w:sz w:val="20"/>
                <w:szCs w:val="20"/>
              </w:rPr>
              <w:t>908</w:t>
            </w:r>
            <w:r w:rsidR="00D3530D" w:rsidRPr="00515933">
              <w:rPr>
                <w:rFonts w:ascii="Arial" w:hAnsi="Arial" w:cs="Arial"/>
                <w:color w:val="000000"/>
                <w:sz w:val="20"/>
                <w:szCs w:val="20"/>
              </w:rPr>
              <w:t xml:space="preserve"> </w:t>
            </w:r>
            <w:r w:rsidRPr="00515933">
              <w:rPr>
                <w:rFonts w:ascii="Arial" w:hAnsi="Arial" w:cs="Arial"/>
                <w:color w:val="000000"/>
                <w:sz w:val="20"/>
                <w:szCs w:val="20"/>
              </w:rPr>
              <w:t>903</w:t>
            </w:r>
          </w:p>
        </w:tc>
        <w:tc>
          <w:tcPr>
            <w:tcW w:w="1979" w:type="dxa"/>
            <w:tcBorders>
              <w:top w:val="nil"/>
              <w:left w:val="nil"/>
              <w:bottom w:val="single" w:sz="4" w:space="0" w:color="auto"/>
              <w:right w:val="single" w:sz="4" w:space="0" w:color="auto"/>
            </w:tcBorders>
            <w:shd w:val="clear" w:color="auto" w:fill="auto"/>
            <w:noWrap/>
            <w:vAlign w:val="center"/>
            <w:hideMark/>
          </w:tcPr>
          <w:p w14:paraId="1D72EAC4" w14:textId="209932E5"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1.1</w:t>
            </w:r>
          </w:p>
        </w:tc>
      </w:tr>
      <w:tr w:rsidR="00230B42" w:rsidRPr="00E60FE5" w14:paraId="3C7978CA"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46D48954"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Jalisco</w:t>
            </w:r>
          </w:p>
        </w:tc>
        <w:tc>
          <w:tcPr>
            <w:tcW w:w="1816" w:type="dxa"/>
            <w:tcBorders>
              <w:top w:val="nil"/>
              <w:left w:val="nil"/>
              <w:bottom w:val="single" w:sz="4" w:space="0" w:color="auto"/>
              <w:right w:val="single" w:sz="4" w:space="0" w:color="auto"/>
            </w:tcBorders>
            <w:shd w:val="clear" w:color="auto" w:fill="auto"/>
            <w:noWrap/>
            <w:vAlign w:val="center"/>
            <w:hideMark/>
          </w:tcPr>
          <w:p w14:paraId="62A52CD0" w14:textId="5E996E7F"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30</w:t>
            </w:r>
            <w:r w:rsidR="00D3530D" w:rsidRPr="00515933">
              <w:rPr>
                <w:rFonts w:ascii="Arial" w:hAnsi="Arial" w:cs="Arial"/>
                <w:color w:val="000000"/>
                <w:sz w:val="20"/>
                <w:szCs w:val="20"/>
              </w:rPr>
              <w:t xml:space="preserve"> </w:t>
            </w:r>
            <w:r w:rsidRPr="00515933">
              <w:rPr>
                <w:rFonts w:ascii="Arial" w:hAnsi="Arial" w:cs="Arial"/>
                <w:color w:val="000000"/>
                <w:sz w:val="20"/>
                <w:szCs w:val="20"/>
              </w:rPr>
              <w:t>609</w:t>
            </w:r>
            <w:r w:rsidR="00D3530D" w:rsidRPr="00515933">
              <w:rPr>
                <w:rFonts w:ascii="Arial" w:hAnsi="Arial" w:cs="Arial"/>
                <w:color w:val="000000"/>
                <w:sz w:val="20"/>
                <w:szCs w:val="20"/>
              </w:rPr>
              <w:t xml:space="preserve"> </w:t>
            </w:r>
            <w:r w:rsidRPr="00515933">
              <w:rPr>
                <w:rFonts w:ascii="Arial" w:hAnsi="Arial" w:cs="Arial"/>
                <w:color w:val="000000"/>
                <w:sz w:val="20"/>
                <w:szCs w:val="20"/>
              </w:rPr>
              <w:t>012</w:t>
            </w:r>
          </w:p>
        </w:tc>
        <w:tc>
          <w:tcPr>
            <w:tcW w:w="1979" w:type="dxa"/>
            <w:tcBorders>
              <w:top w:val="nil"/>
              <w:left w:val="nil"/>
              <w:bottom w:val="single" w:sz="4" w:space="0" w:color="auto"/>
              <w:right w:val="single" w:sz="4" w:space="0" w:color="auto"/>
            </w:tcBorders>
            <w:shd w:val="clear" w:color="auto" w:fill="auto"/>
            <w:noWrap/>
            <w:vAlign w:val="center"/>
            <w:hideMark/>
          </w:tcPr>
          <w:p w14:paraId="75B50478" w14:textId="075C4E1C"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6.6</w:t>
            </w:r>
          </w:p>
        </w:tc>
      </w:tr>
      <w:tr w:rsidR="00230B42" w:rsidRPr="00E60FE5" w14:paraId="79A4ECB9"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1B1BA757" w14:textId="0A543D43" w:rsidR="00230B42" w:rsidRPr="00515933" w:rsidRDefault="00230B42" w:rsidP="00B10CAA">
            <w:pPr>
              <w:spacing w:after="0" w:line="240" w:lineRule="auto"/>
              <w:ind w:left="61"/>
              <w:rPr>
                <w:rFonts w:ascii="Arial" w:eastAsia="Times New Roman" w:hAnsi="Arial" w:cs="Arial"/>
                <w:sz w:val="20"/>
                <w:szCs w:val="20"/>
                <w:highlight w:val="yellow"/>
                <w:lang w:eastAsia="es-MX"/>
              </w:rPr>
            </w:pPr>
            <w:r w:rsidRPr="00515933">
              <w:rPr>
                <w:rFonts w:ascii="Arial" w:eastAsia="Times New Roman" w:hAnsi="Arial" w:cs="Arial"/>
                <w:sz w:val="20"/>
                <w:szCs w:val="20"/>
                <w:lang w:eastAsia="es-MX"/>
              </w:rPr>
              <w:t>Estado de México</w:t>
            </w:r>
          </w:p>
        </w:tc>
        <w:tc>
          <w:tcPr>
            <w:tcW w:w="1816" w:type="dxa"/>
            <w:tcBorders>
              <w:top w:val="nil"/>
              <w:left w:val="nil"/>
              <w:bottom w:val="single" w:sz="4" w:space="0" w:color="auto"/>
              <w:right w:val="single" w:sz="4" w:space="0" w:color="auto"/>
            </w:tcBorders>
            <w:shd w:val="clear" w:color="auto" w:fill="auto"/>
            <w:noWrap/>
            <w:vAlign w:val="center"/>
            <w:hideMark/>
          </w:tcPr>
          <w:p w14:paraId="0EEF72CD" w14:textId="06DCAC98"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57</w:t>
            </w:r>
            <w:r w:rsidR="00D3530D" w:rsidRPr="00515933">
              <w:rPr>
                <w:rFonts w:ascii="Arial" w:hAnsi="Arial" w:cs="Arial"/>
                <w:color w:val="000000"/>
                <w:sz w:val="20"/>
                <w:szCs w:val="20"/>
              </w:rPr>
              <w:t xml:space="preserve"> </w:t>
            </w:r>
            <w:r w:rsidRPr="00515933">
              <w:rPr>
                <w:rFonts w:ascii="Arial" w:hAnsi="Arial" w:cs="Arial"/>
                <w:color w:val="000000"/>
                <w:sz w:val="20"/>
                <w:szCs w:val="20"/>
              </w:rPr>
              <w:t>308</w:t>
            </w:r>
            <w:r w:rsidR="00D3530D" w:rsidRPr="00515933">
              <w:rPr>
                <w:rFonts w:ascii="Arial" w:hAnsi="Arial" w:cs="Arial"/>
                <w:color w:val="000000"/>
                <w:sz w:val="20"/>
                <w:szCs w:val="20"/>
              </w:rPr>
              <w:t xml:space="preserve"> </w:t>
            </w:r>
            <w:r w:rsidRPr="00515933">
              <w:rPr>
                <w:rFonts w:ascii="Arial" w:hAnsi="Arial" w:cs="Arial"/>
                <w:color w:val="000000"/>
                <w:sz w:val="20"/>
                <w:szCs w:val="20"/>
              </w:rPr>
              <w:t>6</w:t>
            </w:r>
            <w:r w:rsidR="008719DB" w:rsidRPr="00515933">
              <w:rPr>
                <w:rFonts w:ascii="Arial" w:hAnsi="Arial" w:cs="Arial"/>
                <w:color w:val="000000"/>
                <w:sz w:val="20"/>
                <w:szCs w:val="20"/>
              </w:rPr>
              <w:t>70</w:t>
            </w:r>
          </w:p>
        </w:tc>
        <w:tc>
          <w:tcPr>
            <w:tcW w:w="1979" w:type="dxa"/>
            <w:tcBorders>
              <w:top w:val="nil"/>
              <w:left w:val="nil"/>
              <w:bottom w:val="single" w:sz="4" w:space="0" w:color="auto"/>
              <w:right w:val="single" w:sz="4" w:space="0" w:color="auto"/>
            </w:tcBorders>
            <w:shd w:val="clear" w:color="auto" w:fill="auto"/>
            <w:noWrap/>
            <w:vAlign w:val="center"/>
            <w:hideMark/>
          </w:tcPr>
          <w:p w14:paraId="1313CCCF" w14:textId="78D7B5A7"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12.3</w:t>
            </w:r>
          </w:p>
        </w:tc>
      </w:tr>
      <w:tr w:rsidR="00230B42" w:rsidRPr="00E60FE5" w14:paraId="238C0247" w14:textId="77777777" w:rsidTr="00515933">
        <w:trPr>
          <w:trHeight w:val="263"/>
          <w:jc w:val="center"/>
        </w:trPr>
        <w:tc>
          <w:tcPr>
            <w:tcW w:w="4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A7901"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Michoacán de Ocampo</w:t>
            </w:r>
          </w:p>
        </w:tc>
        <w:tc>
          <w:tcPr>
            <w:tcW w:w="1816" w:type="dxa"/>
            <w:tcBorders>
              <w:top w:val="nil"/>
              <w:left w:val="nil"/>
              <w:bottom w:val="single" w:sz="4" w:space="0" w:color="auto"/>
              <w:right w:val="single" w:sz="4" w:space="0" w:color="auto"/>
            </w:tcBorders>
            <w:shd w:val="clear" w:color="auto" w:fill="auto"/>
            <w:noWrap/>
            <w:vAlign w:val="center"/>
            <w:hideMark/>
          </w:tcPr>
          <w:p w14:paraId="5DA108AF" w14:textId="76628791"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7</w:t>
            </w:r>
            <w:r w:rsidR="00D3530D" w:rsidRPr="00515933">
              <w:rPr>
                <w:rFonts w:ascii="Arial" w:hAnsi="Arial" w:cs="Arial"/>
                <w:color w:val="000000"/>
                <w:sz w:val="20"/>
                <w:szCs w:val="20"/>
              </w:rPr>
              <w:t xml:space="preserve"> </w:t>
            </w:r>
            <w:r w:rsidRPr="00515933">
              <w:rPr>
                <w:rFonts w:ascii="Arial" w:hAnsi="Arial" w:cs="Arial"/>
                <w:color w:val="000000"/>
                <w:sz w:val="20"/>
                <w:szCs w:val="20"/>
              </w:rPr>
              <w:t>401</w:t>
            </w:r>
            <w:r w:rsidR="00D3530D" w:rsidRPr="00515933">
              <w:rPr>
                <w:rFonts w:ascii="Arial" w:hAnsi="Arial" w:cs="Arial"/>
                <w:color w:val="000000"/>
                <w:sz w:val="20"/>
                <w:szCs w:val="20"/>
              </w:rPr>
              <w:t xml:space="preserve"> </w:t>
            </w:r>
            <w:r w:rsidRPr="00515933">
              <w:rPr>
                <w:rFonts w:ascii="Arial" w:hAnsi="Arial" w:cs="Arial"/>
                <w:color w:val="000000"/>
                <w:sz w:val="20"/>
                <w:szCs w:val="20"/>
              </w:rPr>
              <w:t>573</w:t>
            </w:r>
          </w:p>
        </w:tc>
        <w:tc>
          <w:tcPr>
            <w:tcW w:w="1979" w:type="dxa"/>
            <w:tcBorders>
              <w:top w:val="nil"/>
              <w:left w:val="nil"/>
              <w:bottom w:val="single" w:sz="4" w:space="0" w:color="auto"/>
              <w:right w:val="single" w:sz="4" w:space="0" w:color="auto"/>
            </w:tcBorders>
            <w:shd w:val="clear" w:color="auto" w:fill="auto"/>
            <w:noWrap/>
            <w:vAlign w:val="center"/>
            <w:hideMark/>
          </w:tcPr>
          <w:p w14:paraId="05D6FBF1" w14:textId="0C37E20C"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1.6</w:t>
            </w:r>
          </w:p>
        </w:tc>
      </w:tr>
      <w:tr w:rsidR="00230B42" w:rsidRPr="00E60FE5" w14:paraId="6CDC627B" w14:textId="77777777" w:rsidTr="00515933">
        <w:trPr>
          <w:trHeight w:val="263"/>
          <w:jc w:val="center"/>
        </w:trPr>
        <w:tc>
          <w:tcPr>
            <w:tcW w:w="4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01A56"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Morelos</w:t>
            </w:r>
          </w:p>
        </w:tc>
        <w:tc>
          <w:tcPr>
            <w:tcW w:w="1816" w:type="dxa"/>
            <w:tcBorders>
              <w:top w:val="nil"/>
              <w:left w:val="nil"/>
              <w:bottom w:val="single" w:sz="4" w:space="0" w:color="auto"/>
              <w:right w:val="single" w:sz="4" w:space="0" w:color="auto"/>
            </w:tcBorders>
            <w:shd w:val="clear" w:color="auto" w:fill="auto"/>
            <w:noWrap/>
            <w:vAlign w:val="center"/>
            <w:hideMark/>
          </w:tcPr>
          <w:p w14:paraId="2F3F2617" w14:textId="0820E010"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2</w:t>
            </w:r>
            <w:r w:rsidR="00D3530D" w:rsidRPr="00515933">
              <w:rPr>
                <w:rFonts w:ascii="Arial" w:hAnsi="Arial" w:cs="Arial"/>
                <w:color w:val="000000"/>
                <w:sz w:val="20"/>
                <w:szCs w:val="20"/>
              </w:rPr>
              <w:t xml:space="preserve"> </w:t>
            </w:r>
            <w:r w:rsidRPr="00515933">
              <w:rPr>
                <w:rFonts w:ascii="Arial" w:hAnsi="Arial" w:cs="Arial"/>
                <w:color w:val="000000"/>
                <w:sz w:val="20"/>
                <w:szCs w:val="20"/>
              </w:rPr>
              <w:t>963</w:t>
            </w:r>
            <w:r w:rsidR="00D3530D" w:rsidRPr="00515933">
              <w:rPr>
                <w:rFonts w:ascii="Arial" w:hAnsi="Arial" w:cs="Arial"/>
                <w:color w:val="000000"/>
                <w:sz w:val="20"/>
                <w:szCs w:val="20"/>
              </w:rPr>
              <w:t xml:space="preserve"> </w:t>
            </w:r>
            <w:r w:rsidRPr="00515933">
              <w:rPr>
                <w:rFonts w:ascii="Arial" w:hAnsi="Arial" w:cs="Arial"/>
                <w:color w:val="000000"/>
                <w:sz w:val="20"/>
                <w:szCs w:val="20"/>
              </w:rPr>
              <w:t>892</w:t>
            </w:r>
          </w:p>
        </w:tc>
        <w:tc>
          <w:tcPr>
            <w:tcW w:w="1979" w:type="dxa"/>
            <w:tcBorders>
              <w:top w:val="nil"/>
              <w:left w:val="nil"/>
              <w:bottom w:val="single" w:sz="4" w:space="0" w:color="auto"/>
              <w:right w:val="single" w:sz="4" w:space="0" w:color="auto"/>
            </w:tcBorders>
            <w:shd w:val="clear" w:color="auto" w:fill="auto"/>
            <w:noWrap/>
            <w:vAlign w:val="center"/>
            <w:hideMark/>
          </w:tcPr>
          <w:p w14:paraId="24A519D2" w14:textId="17F468C8"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0.6</w:t>
            </w:r>
          </w:p>
        </w:tc>
      </w:tr>
      <w:tr w:rsidR="00230B42" w:rsidRPr="00E60FE5" w14:paraId="1F6E9EC4" w14:textId="77777777" w:rsidTr="00515933">
        <w:trPr>
          <w:trHeight w:val="263"/>
          <w:jc w:val="center"/>
        </w:trPr>
        <w:tc>
          <w:tcPr>
            <w:tcW w:w="4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AF6AD"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Nayarit</w:t>
            </w:r>
          </w:p>
        </w:tc>
        <w:tc>
          <w:tcPr>
            <w:tcW w:w="1816" w:type="dxa"/>
            <w:tcBorders>
              <w:top w:val="nil"/>
              <w:left w:val="nil"/>
              <w:bottom w:val="single" w:sz="4" w:space="0" w:color="auto"/>
              <w:right w:val="single" w:sz="4" w:space="0" w:color="auto"/>
            </w:tcBorders>
            <w:shd w:val="clear" w:color="auto" w:fill="auto"/>
            <w:noWrap/>
            <w:vAlign w:val="center"/>
            <w:hideMark/>
          </w:tcPr>
          <w:p w14:paraId="68963D90" w14:textId="16EF6EA2"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2</w:t>
            </w:r>
            <w:r w:rsidR="00D3530D" w:rsidRPr="00515933">
              <w:rPr>
                <w:rFonts w:ascii="Arial" w:hAnsi="Arial" w:cs="Arial"/>
                <w:color w:val="000000"/>
                <w:sz w:val="20"/>
                <w:szCs w:val="20"/>
              </w:rPr>
              <w:t xml:space="preserve"> </w:t>
            </w:r>
            <w:r w:rsidRPr="00515933">
              <w:rPr>
                <w:rFonts w:ascii="Arial" w:hAnsi="Arial" w:cs="Arial"/>
                <w:color w:val="000000"/>
                <w:sz w:val="20"/>
                <w:szCs w:val="20"/>
              </w:rPr>
              <w:t>978,451</w:t>
            </w:r>
          </w:p>
        </w:tc>
        <w:tc>
          <w:tcPr>
            <w:tcW w:w="1979" w:type="dxa"/>
            <w:tcBorders>
              <w:top w:val="nil"/>
              <w:left w:val="nil"/>
              <w:bottom w:val="single" w:sz="4" w:space="0" w:color="auto"/>
              <w:right w:val="single" w:sz="4" w:space="0" w:color="auto"/>
            </w:tcBorders>
            <w:shd w:val="clear" w:color="auto" w:fill="auto"/>
            <w:noWrap/>
            <w:vAlign w:val="center"/>
            <w:hideMark/>
          </w:tcPr>
          <w:p w14:paraId="66C49AAC" w14:textId="47FEBA7A"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0.6</w:t>
            </w:r>
          </w:p>
        </w:tc>
      </w:tr>
      <w:tr w:rsidR="00230B42" w:rsidRPr="00E60FE5" w14:paraId="4EA7B0A8" w14:textId="77777777" w:rsidTr="00515933">
        <w:trPr>
          <w:trHeight w:val="263"/>
          <w:jc w:val="center"/>
        </w:trPr>
        <w:tc>
          <w:tcPr>
            <w:tcW w:w="4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D765A"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Nuevo León</w:t>
            </w:r>
          </w:p>
        </w:tc>
        <w:tc>
          <w:tcPr>
            <w:tcW w:w="1816" w:type="dxa"/>
            <w:tcBorders>
              <w:top w:val="nil"/>
              <w:left w:val="nil"/>
              <w:bottom w:val="single" w:sz="4" w:space="0" w:color="auto"/>
              <w:right w:val="single" w:sz="4" w:space="0" w:color="auto"/>
            </w:tcBorders>
            <w:shd w:val="clear" w:color="auto" w:fill="auto"/>
            <w:noWrap/>
            <w:vAlign w:val="center"/>
            <w:hideMark/>
          </w:tcPr>
          <w:p w14:paraId="724260E4" w14:textId="14EB3C52"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46</w:t>
            </w:r>
            <w:r w:rsidR="00D3530D" w:rsidRPr="00515933">
              <w:rPr>
                <w:rFonts w:ascii="Arial" w:hAnsi="Arial" w:cs="Arial"/>
                <w:color w:val="000000"/>
                <w:sz w:val="20"/>
                <w:szCs w:val="20"/>
              </w:rPr>
              <w:t xml:space="preserve"> </w:t>
            </w:r>
            <w:r w:rsidRPr="00515933">
              <w:rPr>
                <w:rFonts w:ascii="Arial" w:hAnsi="Arial" w:cs="Arial"/>
                <w:color w:val="000000"/>
                <w:sz w:val="20"/>
                <w:szCs w:val="20"/>
              </w:rPr>
              <w:t>860</w:t>
            </w:r>
            <w:r w:rsidR="00D3530D" w:rsidRPr="00515933">
              <w:rPr>
                <w:rFonts w:ascii="Arial" w:hAnsi="Arial" w:cs="Arial"/>
                <w:color w:val="000000"/>
                <w:sz w:val="20"/>
                <w:szCs w:val="20"/>
              </w:rPr>
              <w:t xml:space="preserve"> </w:t>
            </w:r>
            <w:r w:rsidRPr="00515933">
              <w:rPr>
                <w:rFonts w:ascii="Arial" w:hAnsi="Arial" w:cs="Arial"/>
                <w:color w:val="000000"/>
                <w:sz w:val="20"/>
                <w:szCs w:val="20"/>
              </w:rPr>
              <w:t>6</w:t>
            </w:r>
            <w:r w:rsidR="008719DB" w:rsidRPr="00515933">
              <w:rPr>
                <w:rFonts w:ascii="Arial" w:hAnsi="Arial" w:cs="Arial"/>
                <w:color w:val="000000"/>
                <w:sz w:val="20"/>
                <w:szCs w:val="20"/>
              </w:rPr>
              <w:t>18</w:t>
            </w:r>
          </w:p>
        </w:tc>
        <w:tc>
          <w:tcPr>
            <w:tcW w:w="1979" w:type="dxa"/>
            <w:tcBorders>
              <w:top w:val="nil"/>
              <w:left w:val="nil"/>
              <w:bottom w:val="single" w:sz="4" w:space="0" w:color="auto"/>
              <w:right w:val="single" w:sz="4" w:space="0" w:color="auto"/>
            </w:tcBorders>
            <w:shd w:val="clear" w:color="auto" w:fill="auto"/>
            <w:noWrap/>
            <w:vAlign w:val="center"/>
            <w:hideMark/>
          </w:tcPr>
          <w:p w14:paraId="778BF0F4" w14:textId="036D6C21"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10.1</w:t>
            </w:r>
          </w:p>
        </w:tc>
      </w:tr>
      <w:tr w:rsidR="00230B42" w:rsidRPr="00E60FE5" w14:paraId="08763F9F"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12310C27"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Oaxaca</w:t>
            </w:r>
          </w:p>
        </w:tc>
        <w:tc>
          <w:tcPr>
            <w:tcW w:w="1816" w:type="dxa"/>
            <w:tcBorders>
              <w:top w:val="nil"/>
              <w:left w:val="nil"/>
              <w:bottom w:val="single" w:sz="4" w:space="0" w:color="auto"/>
              <w:right w:val="single" w:sz="4" w:space="0" w:color="auto"/>
            </w:tcBorders>
            <w:shd w:val="clear" w:color="auto" w:fill="auto"/>
            <w:noWrap/>
            <w:vAlign w:val="center"/>
            <w:hideMark/>
          </w:tcPr>
          <w:p w14:paraId="7EABF5F4" w14:textId="1E6DBB68"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4</w:t>
            </w:r>
            <w:r w:rsidR="00D3530D" w:rsidRPr="00515933">
              <w:rPr>
                <w:rFonts w:ascii="Arial" w:hAnsi="Arial" w:cs="Arial"/>
                <w:color w:val="000000"/>
                <w:sz w:val="20"/>
                <w:szCs w:val="20"/>
              </w:rPr>
              <w:t xml:space="preserve"> </w:t>
            </w:r>
            <w:r w:rsidRPr="00515933">
              <w:rPr>
                <w:rFonts w:ascii="Arial" w:hAnsi="Arial" w:cs="Arial"/>
                <w:color w:val="000000"/>
                <w:sz w:val="20"/>
                <w:szCs w:val="20"/>
              </w:rPr>
              <w:t>623</w:t>
            </w:r>
            <w:r w:rsidR="00D3530D" w:rsidRPr="00515933">
              <w:rPr>
                <w:rFonts w:ascii="Arial" w:hAnsi="Arial" w:cs="Arial"/>
                <w:color w:val="000000"/>
                <w:sz w:val="20"/>
                <w:szCs w:val="20"/>
              </w:rPr>
              <w:t xml:space="preserve"> </w:t>
            </w:r>
            <w:r w:rsidRPr="00515933">
              <w:rPr>
                <w:rFonts w:ascii="Arial" w:hAnsi="Arial" w:cs="Arial"/>
                <w:color w:val="000000"/>
                <w:sz w:val="20"/>
                <w:szCs w:val="20"/>
              </w:rPr>
              <w:t>136</w:t>
            </w:r>
          </w:p>
        </w:tc>
        <w:tc>
          <w:tcPr>
            <w:tcW w:w="1979" w:type="dxa"/>
            <w:tcBorders>
              <w:top w:val="nil"/>
              <w:left w:val="nil"/>
              <w:bottom w:val="single" w:sz="4" w:space="0" w:color="auto"/>
              <w:right w:val="single" w:sz="4" w:space="0" w:color="auto"/>
            </w:tcBorders>
            <w:shd w:val="clear" w:color="auto" w:fill="auto"/>
            <w:noWrap/>
            <w:vAlign w:val="center"/>
            <w:hideMark/>
          </w:tcPr>
          <w:p w14:paraId="26077DEA" w14:textId="00669BC2"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1.0</w:t>
            </w:r>
          </w:p>
        </w:tc>
      </w:tr>
      <w:tr w:rsidR="00230B42" w:rsidRPr="00E60FE5" w14:paraId="66A7EC3A"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3B73606C"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Puebla</w:t>
            </w:r>
          </w:p>
        </w:tc>
        <w:tc>
          <w:tcPr>
            <w:tcW w:w="1816" w:type="dxa"/>
            <w:tcBorders>
              <w:top w:val="nil"/>
              <w:left w:val="nil"/>
              <w:bottom w:val="single" w:sz="4" w:space="0" w:color="auto"/>
              <w:right w:val="single" w:sz="4" w:space="0" w:color="auto"/>
            </w:tcBorders>
            <w:shd w:val="clear" w:color="auto" w:fill="auto"/>
            <w:noWrap/>
            <w:vAlign w:val="center"/>
            <w:hideMark/>
          </w:tcPr>
          <w:p w14:paraId="5446E8C6" w14:textId="0F1835B4"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6</w:t>
            </w:r>
            <w:r w:rsidR="00D3530D" w:rsidRPr="00515933">
              <w:rPr>
                <w:rFonts w:ascii="Arial" w:hAnsi="Arial" w:cs="Arial"/>
                <w:color w:val="000000"/>
                <w:sz w:val="20"/>
                <w:szCs w:val="20"/>
              </w:rPr>
              <w:t xml:space="preserve"> </w:t>
            </w:r>
            <w:r w:rsidRPr="00515933">
              <w:rPr>
                <w:rFonts w:ascii="Arial" w:hAnsi="Arial" w:cs="Arial"/>
                <w:color w:val="000000"/>
                <w:sz w:val="20"/>
                <w:szCs w:val="20"/>
              </w:rPr>
              <w:t>486</w:t>
            </w:r>
            <w:r w:rsidR="00D3530D" w:rsidRPr="00515933">
              <w:rPr>
                <w:rFonts w:ascii="Arial" w:hAnsi="Arial" w:cs="Arial"/>
                <w:color w:val="000000"/>
                <w:sz w:val="20"/>
                <w:szCs w:val="20"/>
              </w:rPr>
              <w:t xml:space="preserve"> </w:t>
            </w:r>
            <w:r w:rsidRPr="00515933">
              <w:rPr>
                <w:rFonts w:ascii="Arial" w:hAnsi="Arial" w:cs="Arial"/>
                <w:color w:val="000000"/>
                <w:sz w:val="20"/>
                <w:szCs w:val="20"/>
              </w:rPr>
              <w:t>466</w:t>
            </w:r>
          </w:p>
        </w:tc>
        <w:tc>
          <w:tcPr>
            <w:tcW w:w="1979" w:type="dxa"/>
            <w:tcBorders>
              <w:top w:val="nil"/>
              <w:left w:val="nil"/>
              <w:bottom w:val="single" w:sz="4" w:space="0" w:color="auto"/>
              <w:right w:val="single" w:sz="4" w:space="0" w:color="auto"/>
            </w:tcBorders>
            <w:shd w:val="clear" w:color="auto" w:fill="auto"/>
            <w:noWrap/>
            <w:vAlign w:val="center"/>
            <w:hideMark/>
          </w:tcPr>
          <w:p w14:paraId="3F5CD018" w14:textId="2E233CD4"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1.4</w:t>
            </w:r>
          </w:p>
        </w:tc>
      </w:tr>
      <w:tr w:rsidR="00230B42" w:rsidRPr="00E60FE5" w14:paraId="52AB3A7B"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531E6029"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Querétaro</w:t>
            </w:r>
          </w:p>
        </w:tc>
        <w:tc>
          <w:tcPr>
            <w:tcW w:w="1816" w:type="dxa"/>
            <w:tcBorders>
              <w:top w:val="nil"/>
              <w:left w:val="nil"/>
              <w:bottom w:val="single" w:sz="4" w:space="0" w:color="auto"/>
              <w:right w:val="single" w:sz="4" w:space="0" w:color="auto"/>
            </w:tcBorders>
            <w:shd w:val="clear" w:color="auto" w:fill="auto"/>
            <w:noWrap/>
            <w:vAlign w:val="center"/>
            <w:hideMark/>
          </w:tcPr>
          <w:p w14:paraId="4F5BDEBC" w14:textId="57EEE409"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7</w:t>
            </w:r>
            <w:r w:rsidR="00D3530D" w:rsidRPr="00515933">
              <w:rPr>
                <w:rFonts w:ascii="Arial" w:hAnsi="Arial" w:cs="Arial"/>
                <w:color w:val="000000"/>
                <w:sz w:val="20"/>
                <w:szCs w:val="20"/>
              </w:rPr>
              <w:t xml:space="preserve"> </w:t>
            </w:r>
            <w:r w:rsidRPr="00515933">
              <w:rPr>
                <w:rFonts w:ascii="Arial" w:hAnsi="Arial" w:cs="Arial"/>
                <w:color w:val="000000"/>
                <w:sz w:val="20"/>
                <w:szCs w:val="20"/>
              </w:rPr>
              <w:t>280</w:t>
            </w:r>
            <w:r w:rsidR="00D3530D" w:rsidRPr="00515933">
              <w:rPr>
                <w:rFonts w:ascii="Arial" w:hAnsi="Arial" w:cs="Arial"/>
                <w:color w:val="000000"/>
                <w:sz w:val="20"/>
                <w:szCs w:val="20"/>
              </w:rPr>
              <w:t xml:space="preserve"> </w:t>
            </w:r>
            <w:r w:rsidRPr="00515933">
              <w:rPr>
                <w:rFonts w:ascii="Arial" w:hAnsi="Arial" w:cs="Arial"/>
                <w:color w:val="000000"/>
                <w:sz w:val="20"/>
                <w:szCs w:val="20"/>
              </w:rPr>
              <w:t>123</w:t>
            </w:r>
          </w:p>
        </w:tc>
        <w:tc>
          <w:tcPr>
            <w:tcW w:w="1979" w:type="dxa"/>
            <w:tcBorders>
              <w:top w:val="nil"/>
              <w:left w:val="nil"/>
              <w:bottom w:val="single" w:sz="4" w:space="0" w:color="auto"/>
              <w:right w:val="single" w:sz="4" w:space="0" w:color="auto"/>
            </w:tcBorders>
            <w:shd w:val="clear" w:color="auto" w:fill="auto"/>
            <w:noWrap/>
            <w:vAlign w:val="center"/>
            <w:hideMark/>
          </w:tcPr>
          <w:p w14:paraId="127CA3F9" w14:textId="5F495CD3"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1.6</w:t>
            </w:r>
          </w:p>
        </w:tc>
      </w:tr>
      <w:tr w:rsidR="00230B42" w:rsidRPr="00E60FE5" w14:paraId="1870889C"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0DEF7547"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Quintana Roo</w:t>
            </w:r>
          </w:p>
        </w:tc>
        <w:tc>
          <w:tcPr>
            <w:tcW w:w="1816" w:type="dxa"/>
            <w:tcBorders>
              <w:top w:val="nil"/>
              <w:left w:val="nil"/>
              <w:bottom w:val="single" w:sz="4" w:space="0" w:color="auto"/>
              <w:right w:val="single" w:sz="4" w:space="0" w:color="auto"/>
            </w:tcBorders>
            <w:shd w:val="clear" w:color="auto" w:fill="auto"/>
            <w:noWrap/>
            <w:vAlign w:val="center"/>
            <w:hideMark/>
          </w:tcPr>
          <w:p w14:paraId="3672CA2F" w14:textId="714D799E"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5</w:t>
            </w:r>
            <w:r w:rsidR="00D3530D" w:rsidRPr="00515933">
              <w:rPr>
                <w:rFonts w:ascii="Arial" w:hAnsi="Arial" w:cs="Arial"/>
                <w:color w:val="000000"/>
                <w:sz w:val="20"/>
                <w:szCs w:val="20"/>
              </w:rPr>
              <w:t xml:space="preserve"> </w:t>
            </w:r>
            <w:r w:rsidRPr="00515933">
              <w:rPr>
                <w:rFonts w:ascii="Arial" w:hAnsi="Arial" w:cs="Arial"/>
                <w:color w:val="000000"/>
                <w:sz w:val="20"/>
                <w:szCs w:val="20"/>
              </w:rPr>
              <w:t>380</w:t>
            </w:r>
            <w:r w:rsidR="00D3530D" w:rsidRPr="00515933">
              <w:rPr>
                <w:rFonts w:ascii="Arial" w:hAnsi="Arial" w:cs="Arial"/>
                <w:color w:val="000000"/>
                <w:sz w:val="20"/>
                <w:szCs w:val="20"/>
              </w:rPr>
              <w:t xml:space="preserve"> </w:t>
            </w:r>
            <w:r w:rsidRPr="00515933">
              <w:rPr>
                <w:rFonts w:ascii="Arial" w:hAnsi="Arial" w:cs="Arial"/>
                <w:color w:val="000000"/>
                <w:sz w:val="20"/>
                <w:szCs w:val="20"/>
              </w:rPr>
              <w:t>237</w:t>
            </w:r>
          </w:p>
        </w:tc>
        <w:tc>
          <w:tcPr>
            <w:tcW w:w="1979" w:type="dxa"/>
            <w:tcBorders>
              <w:top w:val="nil"/>
              <w:left w:val="nil"/>
              <w:bottom w:val="single" w:sz="4" w:space="0" w:color="auto"/>
              <w:right w:val="single" w:sz="4" w:space="0" w:color="auto"/>
            </w:tcBorders>
            <w:shd w:val="clear" w:color="auto" w:fill="auto"/>
            <w:noWrap/>
            <w:vAlign w:val="center"/>
            <w:hideMark/>
          </w:tcPr>
          <w:p w14:paraId="6CC3390D" w14:textId="09A2D798"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1.2</w:t>
            </w:r>
          </w:p>
        </w:tc>
      </w:tr>
      <w:tr w:rsidR="00230B42" w:rsidRPr="00E60FE5" w14:paraId="44AA6A26"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303576E7"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San Luis Potosí</w:t>
            </w:r>
          </w:p>
        </w:tc>
        <w:tc>
          <w:tcPr>
            <w:tcW w:w="1816" w:type="dxa"/>
            <w:tcBorders>
              <w:top w:val="nil"/>
              <w:left w:val="nil"/>
              <w:bottom w:val="single" w:sz="4" w:space="0" w:color="auto"/>
              <w:right w:val="single" w:sz="4" w:space="0" w:color="auto"/>
            </w:tcBorders>
            <w:shd w:val="clear" w:color="auto" w:fill="auto"/>
            <w:noWrap/>
            <w:vAlign w:val="center"/>
            <w:hideMark/>
          </w:tcPr>
          <w:p w14:paraId="0E1F5888" w14:textId="771573B0"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5</w:t>
            </w:r>
            <w:r w:rsidR="00D3530D" w:rsidRPr="00515933">
              <w:rPr>
                <w:rFonts w:ascii="Arial" w:hAnsi="Arial" w:cs="Arial"/>
                <w:color w:val="000000"/>
                <w:sz w:val="20"/>
                <w:szCs w:val="20"/>
              </w:rPr>
              <w:t xml:space="preserve"> </w:t>
            </w:r>
            <w:r w:rsidRPr="00515933">
              <w:rPr>
                <w:rFonts w:ascii="Arial" w:hAnsi="Arial" w:cs="Arial"/>
                <w:color w:val="000000"/>
                <w:sz w:val="20"/>
                <w:szCs w:val="20"/>
              </w:rPr>
              <w:t>946</w:t>
            </w:r>
            <w:r w:rsidR="00D3530D" w:rsidRPr="00515933">
              <w:rPr>
                <w:rFonts w:ascii="Arial" w:hAnsi="Arial" w:cs="Arial"/>
                <w:color w:val="000000"/>
                <w:sz w:val="20"/>
                <w:szCs w:val="20"/>
              </w:rPr>
              <w:t xml:space="preserve"> </w:t>
            </w:r>
            <w:r w:rsidRPr="00515933">
              <w:rPr>
                <w:rFonts w:ascii="Arial" w:hAnsi="Arial" w:cs="Arial"/>
                <w:color w:val="000000"/>
                <w:sz w:val="20"/>
                <w:szCs w:val="20"/>
              </w:rPr>
              <w:t>494</w:t>
            </w:r>
          </w:p>
        </w:tc>
        <w:tc>
          <w:tcPr>
            <w:tcW w:w="1979" w:type="dxa"/>
            <w:tcBorders>
              <w:top w:val="nil"/>
              <w:left w:val="nil"/>
              <w:bottom w:val="single" w:sz="4" w:space="0" w:color="auto"/>
              <w:right w:val="single" w:sz="4" w:space="0" w:color="auto"/>
            </w:tcBorders>
            <w:shd w:val="clear" w:color="auto" w:fill="auto"/>
            <w:noWrap/>
            <w:vAlign w:val="center"/>
            <w:hideMark/>
          </w:tcPr>
          <w:p w14:paraId="6394205D" w14:textId="71B22183"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1.3</w:t>
            </w:r>
          </w:p>
        </w:tc>
      </w:tr>
      <w:tr w:rsidR="00230B42" w:rsidRPr="00E60FE5" w14:paraId="7259CDE8"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58B70FE4"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Sinaloa</w:t>
            </w:r>
          </w:p>
        </w:tc>
        <w:tc>
          <w:tcPr>
            <w:tcW w:w="1816" w:type="dxa"/>
            <w:tcBorders>
              <w:top w:val="nil"/>
              <w:left w:val="nil"/>
              <w:bottom w:val="single" w:sz="4" w:space="0" w:color="auto"/>
              <w:right w:val="single" w:sz="4" w:space="0" w:color="auto"/>
            </w:tcBorders>
            <w:shd w:val="clear" w:color="auto" w:fill="auto"/>
            <w:noWrap/>
            <w:vAlign w:val="center"/>
            <w:hideMark/>
          </w:tcPr>
          <w:p w14:paraId="01E980BD" w14:textId="3168BE64"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23</w:t>
            </w:r>
            <w:r w:rsidR="00D3530D" w:rsidRPr="00515933">
              <w:rPr>
                <w:rFonts w:ascii="Arial" w:hAnsi="Arial" w:cs="Arial"/>
                <w:color w:val="000000"/>
                <w:sz w:val="20"/>
                <w:szCs w:val="20"/>
              </w:rPr>
              <w:t xml:space="preserve"> </w:t>
            </w:r>
            <w:r w:rsidRPr="00515933">
              <w:rPr>
                <w:rFonts w:ascii="Arial" w:hAnsi="Arial" w:cs="Arial"/>
                <w:color w:val="000000"/>
                <w:sz w:val="20"/>
                <w:szCs w:val="20"/>
              </w:rPr>
              <w:t>600</w:t>
            </w:r>
            <w:r w:rsidR="00D3530D" w:rsidRPr="00515933">
              <w:rPr>
                <w:rFonts w:ascii="Arial" w:hAnsi="Arial" w:cs="Arial"/>
                <w:color w:val="000000"/>
                <w:sz w:val="20"/>
                <w:szCs w:val="20"/>
              </w:rPr>
              <w:t xml:space="preserve"> </w:t>
            </w:r>
            <w:r w:rsidRPr="00515933">
              <w:rPr>
                <w:rFonts w:ascii="Arial" w:hAnsi="Arial" w:cs="Arial"/>
                <w:color w:val="000000"/>
                <w:sz w:val="20"/>
                <w:szCs w:val="20"/>
              </w:rPr>
              <w:t>952</w:t>
            </w:r>
          </w:p>
        </w:tc>
        <w:tc>
          <w:tcPr>
            <w:tcW w:w="1979" w:type="dxa"/>
            <w:tcBorders>
              <w:top w:val="nil"/>
              <w:left w:val="nil"/>
              <w:bottom w:val="single" w:sz="4" w:space="0" w:color="auto"/>
              <w:right w:val="single" w:sz="4" w:space="0" w:color="auto"/>
            </w:tcBorders>
            <w:shd w:val="clear" w:color="auto" w:fill="auto"/>
            <w:noWrap/>
            <w:vAlign w:val="center"/>
            <w:hideMark/>
          </w:tcPr>
          <w:p w14:paraId="75FC7D24" w14:textId="6CA606B0"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5.1</w:t>
            </w:r>
          </w:p>
        </w:tc>
      </w:tr>
      <w:tr w:rsidR="00230B42" w:rsidRPr="00E60FE5" w14:paraId="0F9A42DA"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7A3D298D"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Sonora</w:t>
            </w:r>
          </w:p>
        </w:tc>
        <w:tc>
          <w:tcPr>
            <w:tcW w:w="1816" w:type="dxa"/>
            <w:tcBorders>
              <w:top w:val="nil"/>
              <w:left w:val="nil"/>
              <w:bottom w:val="single" w:sz="4" w:space="0" w:color="auto"/>
              <w:right w:val="single" w:sz="4" w:space="0" w:color="auto"/>
            </w:tcBorders>
            <w:shd w:val="clear" w:color="auto" w:fill="auto"/>
            <w:noWrap/>
            <w:vAlign w:val="center"/>
            <w:hideMark/>
          </w:tcPr>
          <w:p w14:paraId="176FF232" w14:textId="1126F447"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13</w:t>
            </w:r>
            <w:r w:rsidR="00D3530D" w:rsidRPr="00515933">
              <w:rPr>
                <w:rFonts w:ascii="Arial" w:hAnsi="Arial" w:cs="Arial"/>
                <w:color w:val="000000"/>
                <w:sz w:val="20"/>
                <w:szCs w:val="20"/>
              </w:rPr>
              <w:t xml:space="preserve"> </w:t>
            </w:r>
            <w:r w:rsidRPr="00515933">
              <w:rPr>
                <w:rFonts w:ascii="Arial" w:hAnsi="Arial" w:cs="Arial"/>
                <w:color w:val="000000"/>
                <w:sz w:val="20"/>
                <w:szCs w:val="20"/>
              </w:rPr>
              <w:t>508</w:t>
            </w:r>
            <w:r w:rsidR="00D3530D" w:rsidRPr="00515933">
              <w:rPr>
                <w:rFonts w:ascii="Arial" w:hAnsi="Arial" w:cs="Arial"/>
                <w:color w:val="000000"/>
                <w:sz w:val="20"/>
                <w:szCs w:val="20"/>
              </w:rPr>
              <w:t xml:space="preserve"> </w:t>
            </w:r>
            <w:r w:rsidRPr="00515933">
              <w:rPr>
                <w:rFonts w:ascii="Arial" w:hAnsi="Arial" w:cs="Arial"/>
                <w:color w:val="000000"/>
                <w:sz w:val="20"/>
                <w:szCs w:val="20"/>
              </w:rPr>
              <w:t>71</w:t>
            </w:r>
            <w:r w:rsidR="008719DB" w:rsidRPr="00515933">
              <w:rPr>
                <w:rFonts w:ascii="Arial" w:hAnsi="Arial" w:cs="Arial"/>
                <w:color w:val="000000"/>
                <w:sz w:val="20"/>
                <w:szCs w:val="20"/>
              </w:rPr>
              <w:t>2</w:t>
            </w:r>
          </w:p>
        </w:tc>
        <w:tc>
          <w:tcPr>
            <w:tcW w:w="1979" w:type="dxa"/>
            <w:tcBorders>
              <w:top w:val="nil"/>
              <w:left w:val="nil"/>
              <w:bottom w:val="single" w:sz="4" w:space="0" w:color="auto"/>
              <w:right w:val="single" w:sz="4" w:space="0" w:color="auto"/>
            </w:tcBorders>
            <w:shd w:val="clear" w:color="auto" w:fill="auto"/>
            <w:noWrap/>
            <w:vAlign w:val="center"/>
            <w:hideMark/>
          </w:tcPr>
          <w:p w14:paraId="3CAB3843" w14:textId="05AB3E9A"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2.9</w:t>
            </w:r>
          </w:p>
        </w:tc>
      </w:tr>
      <w:tr w:rsidR="00230B42" w:rsidRPr="00E60FE5" w14:paraId="2620D218"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2C0356E0"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Tabasco</w:t>
            </w:r>
          </w:p>
        </w:tc>
        <w:tc>
          <w:tcPr>
            <w:tcW w:w="1816" w:type="dxa"/>
            <w:tcBorders>
              <w:top w:val="nil"/>
              <w:left w:val="nil"/>
              <w:bottom w:val="single" w:sz="4" w:space="0" w:color="auto"/>
              <w:right w:val="single" w:sz="4" w:space="0" w:color="auto"/>
            </w:tcBorders>
            <w:shd w:val="clear" w:color="auto" w:fill="auto"/>
            <w:noWrap/>
            <w:vAlign w:val="center"/>
            <w:hideMark/>
          </w:tcPr>
          <w:p w14:paraId="17289343" w14:textId="3C1FDC53"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12</w:t>
            </w:r>
            <w:r w:rsidR="00D3530D" w:rsidRPr="00515933">
              <w:rPr>
                <w:rFonts w:ascii="Arial" w:hAnsi="Arial" w:cs="Arial"/>
                <w:color w:val="000000"/>
                <w:sz w:val="20"/>
                <w:szCs w:val="20"/>
              </w:rPr>
              <w:t xml:space="preserve"> </w:t>
            </w:r>
            <w:r w:rsidRPr="00515933">
              <w:rPr>
                <w:rFonts w:ascii="Arial" w:hAnsi="Arial" w:cs="Arial"/>
                <w:color w:val="000000"/>
                <w:sz w:val="20"/>
                <w:szCs w:val="20"/>
              </w:rPr>
              <w:t>065</w:t>
            </w:r>
            <w:r w:rsidR="00D3530D" w:rsidRPr="00515933">
              <w:rPr>
                <w:rFonts w:ascii="Arial" w:hAnsi="Arial" w:cs="Arial"/>
                <w:color w:val="000000"/>
                <w:sz w:val="20"/>
                <w:szCs w:val="20"/>
              </w:rPr>
              <w:t xml:space="preserve"> </w:t>
            </w:r>
            <w:r w:rsidRPr="00515933">
              <w:rPr>
                <w:rFonts w:ascii="Arial" w:hAnsi="Arial" w:cs="Arial"/>
                <w:color w:val="000000"/>
                <w:sz w:val="20"/>
                <w:szCs w:val="20"/>
              </w:rPr>
              <w:t>342</w:t>
            </w:r>
          </w:p>
        </w:tc>
        <w:tc>
          <w:tcPr>
            <w:tcW w:w="1979" w:type="dxa"/>
            <w:tcBorders>
              <w:top w:val="nil"/>
              <w:left w:val="nil"/>
              <w:bottom w:val="single" w:sz="4" w:space="0" w:color="auto"/>
              <w:right w:val="single" w:sz="4" w:space="0" w:color="auto"/>
            </w:tcBorders>
            <w:shd w:val="clear" w:color="auto" w:fill="auto"/>
            <w:noWrap/>
            <w:vAlign w:val="center"/>
            <w:hideMark/>
          </w:tcPr>
          <w:p w14:paraId="0AA63A8C" w14:textId="4BB2B2F8"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2.6</w:t>
            </w:r>
          </w:p>
        </w:tc>
      </w:tr>
      <w:tr w:rsidR="00230B42" w:rsidRPr="00E60FE5" w14:paraId="571B515C"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5428B643"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Tamaulipas</w:t>
            </w:r>
          </w:p>
        </w:tc>
        <w:tc>
          <w:tcPr>
            <w:tcW w:w="1816" w:type="dxa"/>
            <w:tcBorders>
              <w:top w:val="nil"/>
              <w:left w:val="nil"/>
              <w:bottom w:val="single" w:sz="4" w:space="0" w:color="auto"/>
              <w:right w:val="single" w:sz="4" w:space="0" w:color="auto"/>
            </w:tcBorders>
            <w:shd w:val="clear" w:color="auto" w:fill="auto"/>
            <w:noWrap/>
            <w:vAlign w:val="center"/>
            <w:hideMark/>
          </w:tcPr>
          <w:p w14:paraId="38E5167C" w14:textId="3DAF2C0E"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11</w:t>
            </w:r>
            <w:r w:rsidR="00D3530D" w:rsidRPr="00515933">
              <w:rPr>
                <w:rFonts w:ascii="Arial" w:hAnsi="Arial" w:cs="Arial"/>
                <w:color w:val="000000"/>
                <w:sz w:val="20"/>
                <w:szCs w:val="20"/>
              </w:rPr>
              <w:t xml:space="preserve"> </w:t>
            </w:r>
            <w:r w:rsidRPr="00515933">
              <w:rPr>
                <w:rFonts w:ascii="Arial" w:hAnsi="Arial" w:cs="Arial"/>
                <w:color w:val="000000"/>
                <w:sz w:val="20"/>
                <w:szCs w:val="20"/>
              </w:rPr>
              <w:t>455</w:t>
            </w:r>
            <w:r w:rsidR="00D3530D" w:rsidRPr="00515933">
              <w:rPr>
                <w:rFonts w:ascii="Arial" w:hAnsi="Arial" w:cs="Arial"/>
                <w:color w:val="000000"/>
                <w:sz w:val="20"/>
                <w:szCs w:val="20"/>
              </w:rPr>
              <w:t xml:space="preserve"> </w:t>
            </w:r>
            <w:r w:rsidRPr="00515933">
              <w:rPr>
                <w:rFonts w:ascii="Arial" w:hAnsi="Arial" w:cs="Arial"/>
                <w:color w:val="000000"/>
                <w:sz w:val="20"/>
                <w:szCs w:val="20"/>
              </w:rPr>
              <w:t>807</w:t>
            </w:r>
          </w:p>
        </w:tc>
        <w:tc>
          <w:tcPr>
            <w:tcW w:w="1979" w:type="dxa"/>
            <w:tcBorders>
              <w:top w:val="nil"/>
              <w:left w:val="nil"/>
              <w:bottom w:val="single" w:sz="4" w:space="0" w:color="auto"/>
              <w:right w:val="single" w:sz="4" w:space="0" w:color="auto"/>
            </w:tcBorders>
            <w:shd w:val="clear" w:color="auto" w:fill="auto"/>
            <w:noWrap/>
            <w:vAlign w:val="center"/>
            <w:hideMark/>
          </w:tcPr>
          <w:p w14:paraId="479C6D56" w14:textId="67015ADA"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2.5</w:t>
            </w:r>
          </w:p>
        </w:tc>
      </w:tr>
      <w:tr w:rsidR="00230B42" w:rsidRPr="00E60FE5" w14:paraId="60D30898"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4E0D1D73"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Tlaxcala</w:t>
            </w:r>
          </w:p>
        </w:tc>
        <w:tc>
          <w:tcPr>
            <w:tcW w:w="1816" w:type="dxa"/>
            <w:tcBorders>
              <w:top w:val="nil"/>
              <w:left w:val="nil"/>
              <w:bottom w:val="single" w:sz="4" w:space="0" w:color="auto"/>
              <w:right w:val="single" w:sz="4" w:space="0" w:color="auto"/>
            </w:tcBorders>
            <w:shd w:val="clear" w:color="auto" w:fill="auto"/>
            <w:noWrap/>
            <w:vAlign w:val="center"/>
            <w:hideMark/>
          </w:tcPr>
          <w:p w14:paraId="682F9540" w14:textId="318D55E9"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884</w:t>
            </w:r>
            <w:r w:rsidR="00D3530D" w:rsidRPr="00515933">
              <w:rPr>
                <w:rFonts w:ascii="Arial" w:hAnsi="Arial" w:cs="Arial"/>
                <w:color w:val="000000"/>
                <w:sz w:val="20"/>
                <w:szCs w:val="20"/>
              </w:rPr>
              <w:t xml:space="preserve"> </w:t>
            </w:r>
            <w:r w:rsidRPr="00515933">
              <w:rPr>
                <w:rFonts w:ascii="Arial" w:hAnsi="Arial" w:cs="Arial"/>
                <w:color w:val="000000"/>
                <w:sz w:val="20"/>
                <w:szCs w:val="20"/>
              </w:rPr>
              <w:t>763</w:t>
            </w:r>
          </w:p>
        </w:tc>
        <w:tc>
          <w:tcPr>
            <w:tcW w:w="1979" w:type="dxa"/>
            <w:tcBorders>
              <w:top w:val="nil"/>
              <w:left w:val="nil"/>
              <w:bottom w:val="single" w:sz="4" w:space="0" w:color="auto"/>
              <w:right w:val="single" w:sz="4" w:space="0" w:color="auto"/>
            </w:tcBorders>
            <w:shd w:val="clear" w:color="auto" w:fill="auto"/>
            <w:noWrap/>
            <w:vAlign w:val="center"/>
            <w:hideMark/>
          </w:tcPr>
          <w:p w14:paraId="047D953D" w14:textId="0B23E08D"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0.2</w:t>
            </w:r>
          </w:p>
        </w:tc>
      </w:tr>
      <w:tr w:rsidR="00230B42" w:rsidRPr="00E60FE5" w14:paraId="404E125E"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1AFD9B58"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Veracruz de Ignacio de la Llave</w:t>
            </w:r>
          </w:p>
        </w:tc>
        <w:tc>
          <w:tcPr>
            <w:tcW w:w="1816" w:type="dxa"/>
            <w:tcBorders>
              <w:top w:val="nil"/>
              <w:left w:val="nil"/>
              <w:bottom w:val="single" w:sz="4" w:space="0" w:color="auto"/>
              <w:right w:val="single" w:sz="4" w:space="0" w:color="auto"/>
            </w:tcBorders>
            <w:shd w:val="clear" w:color="auto" w:fill="auto"/>
            <w:noWrap/>
            <w:vAlign w:val="center"/>
            <w:hideMark/>
          </w:tcPr>
          <w:p w14:paraId="0E3D3692" w14:textId="203F9037"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13</w:t>
            </w:r>
            <w:r w:rsidR="00D3530D" w:rsidRPr="00515933">
              <w:rPr>
                <w:rFonts w:ascii="Arial" w:hAnsi="Arial" w:cs="Arial"/>
                <w:color w:val="000000"/>
                <w:sz w:val="20"/>
                <w:szCs w:val="20"/>
              </w:rPr>
              <w:t xml:space="preserve"> </w:t>
            </w:r>
            <w:r w:rsidRPr="00515933">
              <w:rPr>
                <w:rFonts w:ascii="Arial" w:hAnsi="Arial" w:cs="Arial"/>
                <w:color w:val="000000"/>
                <w:sz w:val="20"/>
                <w:szCs w:val="20"/>
              </w:rPr>
              <w:t>817</w:t>
            </w:r>
            <w:r w:rsidR="00D3530D" w:rsidRPr="00515933">
              <w:rPr>
                <w:rFonts w:ascii="Arial" w:hAnsi="Arial" w:cs="Arial"/>
                <w:color w:val="000000"/>
                <w:sz w:val="20"/>
                <w:szCs w:val="20"/>
              </w:rPr>
              <w:t xml:space="preserve"> </w:t>
            </w:r>
            <w:r w:rsidRPr="00515933">
              <w:rPr>
                <w:rFonts w:ascii="Arial" w:hAnsi="Arial" w:cs="Arial"/>
                <w:color w:val="000000"/>
                <w:sz w:val="20"/>
                <w:szCs w:val="20"/>
              </w:rPr>
              <w:t>723</w:t>
            </w:r>
          </w:p>
        </w:tc>
        <w:tc>
          <w:tcPr>
            <w:tcW w:w="1979" w:type="dxa"/>
            <w:tcBorders>
              <w:top w:val="nil"/>
              <w:left w:val="nil"/>
              <w:bottom w:val="single" w:sz="4" w:space="0" w:color="auto"/>
              <w:right w:val="single" w:sz="4" w:space="0" w:color="auto"/>
            </w:tcBorders>
            <w:shd w:val="clear" w:color="auto" w:fill="auto"/>
            <w:noWrap/>
            <w:vAlign w:val="center"/>
            <w:hideMark/>
          </w:tcPr>
          <w:p w14:paraId="5D6329F9" w14:textId="32A09E4E"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3.0</w:t>
            </w:r>
          </w:p>
        </w:tc>
      </w:tr>
      <w:tr w:rsidR="00230B42" w:rsidRPr="00E60FE5" w14:paraId="4778DDE0"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0E2382FB"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Yucatán</w:t>
            </w:r>
          </w:p>
        </w:tc>
        <w:tc>
          <w:tcPr>
            <w:tcW w:w="1816" w:type="dxa"/>
            <w:tcBorders>
              <w:top w:val="nil"/>
              <w:left w:val="nil"/>
              <w:bottom w:val="single" w:sz="4" w:space="0" w:color="auto"/>
              <w:right w:val="single" w:sz="4" w:space="0" w:color="auto"/>
            </w:tcBorders>
            <w:shd w:val="clear" w:color="auto" w:fill="auto"/>
            <w:noWrap/>
            <w:vAlign w:val="center"/>
            <w:hideMark/>
          </w:tcPr>
          <w:p w14:paraId="0364A111" w14:textId="61B87A7E"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7</w:t>
            </w:r>
            <w:r w:rsidR="00D3530D" w:rsidRPr="00515933">
              <w:rPr>
                <w:rFonts w:ascii="Arial" w:hAnsi="Arial" w:cs="Arial"/>
                <w:color w:val="000000"/>
                <w:sz w:val="20"/>
                <w:szCs w:val="20"/>
              </w:rPr>
              <w:t xml:space="preserve"> </w:t>
            </w:r>
            <w:r w:rsidRPr="00515933">
              <w:rPr>
                <w:rFonts w:ascii="Arial" w:hAnsi="Arial" w:cs="Arial"/>
                <w:color w:val="000000"/>
                <w:sz w:val="20"/>
                <w:szCs w:val="20"/>
              </w:rPr>
              <w:t>896</w:t>
            </w:r>
            <w:r w:rsidR="00D3530D" w:rsidRPr="00515933">
              <w:rPr>
                <w:rFonts w:ascii="Arial" w:hAnsi="Arial" w:cs="Arial"/>
                <w:color w:val="000000"/>
                <w:sz w:val="20"/>
                <w:szCs w:val="20"/>
              </w:rPr>
              <w:t xml:space="preserve"> </w:t>
            </w:r>
            <w:r w:rsidRPr="00515933">
              <w:rPr>
                <w:rFonts w:ascii="Arial" w:hAnsi="Arial" w:cs="Arial"/>
                <w:color w:val="000000"/>
                <w:sz w:val="20"/>
                <w:szCs w:val="20"/>
              </w:rPr>
              <w:t>376</w:t>
            </w:r>
          </w:p>
        </w:tc>
        <w:tc>
          <w:tcPr>
            <w:tcW w:w="1979" w:type="dxa"/>
            <w:tcBorders>
              <w:top w:val="nil"/>
              <w:left w:val="nil"/>
              <w:bottom w:val="single" w:sz="4" w:space="0" w:color="auto"/>
              <w:right w:val="single" w:sz="4" w:space="0" w:color="auto"/>
            </w:tcBorders>
            <w:shd w:val="clear" w:color="auto" w:fill="auto"/>
            <w:noWrap/>
            <w:vAlign w:val="center"/>
            <w:hideMark/>
          </w:tcPr>
          <w:p w14:paraId="4683C066" w14:textId="2BEEE04B"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1.7</w:t>
            </w:r>
          </w:p>
        </w:tc>
      </w:tr>
      <w:tr w:rsidR="00230B42" w:rsidRPr="00E60FE5" w14:paraId="285767F0" w14:textId="77777777" w:rsidTr="00515933">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center"/>
            <w:hideMark/>
          </w:tcPr>
          <w:p w14:paraId="02E4A588" w14:textId="77777777" w:rsidR="00230B42" w:rsidRPr="00515933" w:rsidRDefault="00230B42" w:rsidP="00B10CAA">
            <w:pPr>
              <w:spacing w:after="0" w:line="240" w:lineRule="auto"/>
              <w:ind w:left="61"/>
              <w:rPr>
                <w:rFonts w:ascii="Arial" w:eastAsia="Times New Roman" w:hAnsi="Arial" w:cs="Arial"/>
                <w:sz w:val="20"/>
                <w:szCs w:val="20"/>
                <w:lang w:eastAsia="es-MX"/>
              </w:rPr>
            </w:pPr>
            <w:r w:rsidRPr="00515933">
              <w:rPr>
                <w:rFonts w:ascii="Arial" w:eastAsia="Times New Roman" w:hAnsi="Arial" w:cs="Arial"/>
                <w:sz w:val="20"/>
                <w:szCs w:val="20"/>
                <w:lang w:eastAsia="es-MX"/>
              </w:rPr>
              <w:t>Zacatecas</w:t>
            </w:r>
          </w:p>
        </w:tc>
        <w:tc>
          <w:tcPr>
            <w:tcW w:w="1816" w:type="dxa"/>
            <w:tcBorders>
              <w:top w:val="nil"/>
              <w:left w:val="nil"/>
              <w:bottom w:val="single" w:sz="4" w:space="0" w:color="auto"/>
              <w:right w:val="single" w:sz="4" w:space="0" w:color="auto"/>
            </w:tcBorders>
            <w:shd w:val="clear" w:color="auto" w:fill="auto"/>
            <w:noWrap/>
            <w:vAlign w:val="center"/>
            <w:hideMark/>
          </w:tcPr>
          <w:p w14:paraId="18AF0D01" w14:textId="7FA9CBF4" w:rsidR="00230B42" w:rsidRPr="00515933" w:rsidRDefault="00230B42" w:rsidP="00D3530D">
            <w:pPr>
              <w:spacing w:after="0" w:line="240" w:lineRule="auto"/>
              <w:ind w:left="-971" w:right="231"/>
              <w:jc w:val="right"/>
              <w:rPr>
                <w:rFonts w:ascii="Arial" w:eastAsia="Times New Roman" w:hAnsi="Arial" w:cs="Arial"/>
                <w:sz w:val="20"/>
                <w:szCs w:val="20"/>
                <w:lang w:eastAsia="es-MX"/>
              </w:rPr>
            </w:pPr>
            <w:r w:rsidRPr="00515933">
              <w:rPr>
                <w:rFonts w:ascii="Arial" w:hAnsi="Arial" w:cs="Arial"/>
                <w:color w:val="000000"/>
                <w:sz w:val="20"/>
                <w:szCs w:val="20"/>
              </w:rPr>
              <w:t>2</w:t>
            </w:r>
            <w:r w:rsidR="00D3530D" w:rsidRPr="00515933">
              <w:rPr>
                <w:rFonts w:ascii="Arial" w:hAnsi="Arial" w:cs="Arial"/>
                <w:color w:val="000000"/>
                <w:sz w:val="20"/>
                <w:szCs w:val="20"/>
              </w:rPr>
              <w:t xml:space="preserve"> </w:t>
            </w:r>
            <w:r w:rsidRPr="00515933">
              <w:rPr>
                <w:rFonts w:ascii="Arial" w:hAnsi="Arial" w:cs="Arial"/>
                <w:color w:val="000000"/>
                <w:sz w:val="20"/>
                <w:szCs w:val="20"/>
              </w:rPr>
              <w:t>890</w:t>
            </w:r>
            <w:r w:rsidR="00D3530D" w:rsidRPr="00515933">
              <w:rPr>
                <w:rFonts w:ascii="Arial" w:hAnsi="Arial" w:cs="Arial"/>
                <w:color w:val="000000"/>
                <w:sz w:val="20"/>
                <w:szCs w:val="20"/>
              </w:rPr>
              <w:t xml:space="preserve"> </w:t>
            </w:r>
            <w:r w:rsidRPr="00515933">
              <w:rPr>
                <w:rFonts w:ascii="Arial" w:hAnsi="Arial" w:cs="Arial"/>
                <w:color w:val="000000"/>
                <w:sz w:val="20"/>
                <w:szCs w:val="20"/>
              </w:rPr>
              <w:t>978</w:t>
            </w:r>
          </w:p>
        </w:tc>
        <w:tc>
          <w:tcPr>
            <w:tcW w:w="1979" w:type="dxa"/>
            <w:tcBorders>
              <w:top w:val="nil"/>
              <w:left w:val="nil"/>
              <w:bottom w:val="single" w:sz="4" w:space="0" w:color="auto"/>
              <w:right w:val="single" w:sz="4" w:space="0" w:color="auto"/>
            </w:tcBorders>
            <w:shd w:val="clear" w:color="auto" w:fill="auto"/>
            <w:noWrap/>
            <w:vAlign w:val="center"/>
            <w:hideMark/>
          </w:tcPr>
          <w:p w14:paraId="0E92947E" w14:textId="0BC00594" w:rsidR="00230B42" w:rsidRPr="00515933" w:rsidRDefault="00230B42" w:rsidP="00D3530D">
            <w:pPr>
              <w:spacing w:after="0" w:line="240" w:lineRule="auto"/>
              <w:ind w:left="-971" w:right="657"/>
              <w:jc w:val="right"/>
              <w:rPr>
                <w:rFonts w:ascii="Arial" w:eastAsia="Times New Roman" w:hAnsi="Arial" w:cs="Arial"/>
                <w:sz w:val="20"/>
                <w:szCs w:val="20"/>
                <w:lang w:eastAsia="es-MX"/>
              </w:rPr>
            </w:pPr>
            <w:r w:rsidRPr="00515933">
              <w:rPr>
                <w:rFonts w:ascii="Arial" w:hAnsi="Arial" w:cs="Arial"/>
                <w:color w:val="000000"/>
                <w:sz w:val="20"/>
                <w:szCs w:val="20"/>
              </w:rPr>
              <w:t>0.6</w:t>
            </w:r>
          </w:p>
        </w:tc>
      </w:tr>
    </w:tbl>
    <w:p w14:paraId="3C3B2493" w14:textId="5A8BC797" w:rsidR="008E775C" w:rsidRDefault="008E775C" w:rsidP="00BA741A">
      <w:pPr>
        <w:pStyle w:val="Default"/>
        <w:ind w:left="426"/>
        <w:jc w:val="both"/>
        <w:rPr>
          <w:color w:val="auto"/>
          <w:sz w:val="16"/>
          <w:lang w:eastAsia="es-MX"/>
        </w:rPr>
      </w:pPr>
      <w:r>
        <w:rPr>
          <w:color w:val="auto"/>
          <w:sz w:val="16"/>
          <w:vertAlign w:val="superscript"/>
          <w:lang w:eastAsia="es-MX"/>
        </w:rPr>
        <w:t xml:space="preserve">   p/ </w:t>
      </w:r>
      <w:r>
        <w:rPr>
          <w:color w:val="auto"/>
          <w:sz w:val="16"/>
          <w:lang w:eastAsia="es-MX"/>
        </w:rPr>
        <w:t>Cifras preliminares</w:t>
      </w:r>
    </w:p>
    <w:p w14:paraId="2B501D1F" w14:textId="3F7C0E0F" w:rsidR="003408EC" w:rsidRDefault="008E775C" w:rsidP="00126DA8">
      <w:pPr>
        <w:pStyle w:val="Default"/>
        <w:ind w:left="426"/>
        <w:jc w:val="both"/>
        <w:rPr>
          <w:color w:val="auto"/>
          <w:sz w:val="22"/>
          <w:lang w:eastAsia="es-MX"/>
        </w:rPr>
      </w:pPr>
      <w:r>
        <w:rPr>
          <w:color w:val="auto"/>
          <w:sz w:val="16"/>
          <w:lang w:eastAsia="es-MX"/>
        </w:rPr>
        <w:t xml:space="preserve">  </w:t>
      </w:r>
      <w:r w:rsidRPr="00BF15FB">
        <w:rPr>
          <w:color w:val="auto"/>
          <w:sz w:val="16"/>
          <w:lang w:eastAsia="es-MX"/>
        </w:rPr>
        <w:t xml:space="preserve">Fuente: </w:t>
      </w:r>
      <w:r w:rsidRPr="005430F9">
        <w:rPr>
          <w:color w:val="auto"/>
          <w:sz w:val="16"/>
          <w:lang w:eastAsia="es-MX"/>
        </w:rPr>
        <w:t>INEGI</w:t>
      </w:r>
    </w:p>
    <w:p w14:paraId="2A5F23DA" w14:textId="77777777" w:rsidR="003408EC" w:rsidRDefault="003408EC" w:rsidP="00513162">
      <w:pPr>
        <w:pStyle w:val="Default"/>
        <w:jc w:val="both"/>
        <w:rPr>
          <w:color w:val="auto"/>
          <w:sz w:val="22"/>
          <w:lang w:eastAsia="es-MX"/>
        </w:rPr>
      </w:pPr>
    </w:p>
    <w:p w14:paraId="0FB1D046" w14:textId="79BCF575" w:rsidR="00513162" w:rsidRPr="005430F9" w:rsidRDefault="00513162" w:rsidP="005430F9">
      <w:pPr>
        <w:pStyle w:val="Default"/>
        <w:ind w:left="-567" w:right="-518"/>
        <w:jc w:val="both"/>
        <w:rPr>
          <w:color w:val="auto"/>
          <w:lang w:eastAsia="es-MX"/>
        </w:rPr>
      </w:pPr>
      <w:r w:rsidRPr="005430F9">
        <w:rPr>
          <w:color w:val="auto"/>
          <w:lang w:eastAsia="es-MX"/>
        </w:rPr>
        <w:t>Los resultados completos de la EA</w:t>
      </w:r>
      <w:r w:rsidR="000022AA" w:rsidRPr="005430F9">
        <w:rPr>
          <w:color w:val="auto"/>
          <w:lang w:eastAsia="es-MX"/>
        </w:rPr>
        <w:t>EC</w:t>
      </w:r>
      <w:r w:rsidRPr="005430F9">
        <w:rPr>
          <w:color w:val="auto"/>
          <w:lang w:eastAsia="es-MX"/>
        </w:rPr>
        <w:t xml:space="preserve"> 202</w:t>
      </w:r>
      <w:r w:rsidR="000F4019" w:rsidRPr="005430F9">
        <w:rPr>
          <w:color w:val="auto"/>
          <w:lang w:eastAsia="es-MX"/>
        </w:rPr>
        <w:t>1</w:t>
      </w:r>
      <w:r w:rsidRPr="005430F9">
        <w:rPr>
          <w:color w:val="auto"/>
          <w:lang w:eastAsia="es-MX"/>
        </w:rPr>
        <w:t xml:space="preserve"> y años previos </w:t>
      </w:r>
      <w:r w:rsidR="00CE3D2F">
        <w:rPr>
          <w:color w:val="auto"/>
          <w:lang w:eastAsia="es-MX"/>
        </w:rPr>
        <w:t>pueden consultarse e</w:t>
      </w:r>
      <w:r w:rsidR="008D0D2A">
        <w:rPr>
          <w:color w:val="auto"/>
          <w:lang w:eastAsia="es-MX"/>
        </w:rPr>
        <w:t>n</w:t>
      </w:r>
      <w:r w:rsidR="00CE3D2F">
        <w:rPr>
          <w:color w:val="auto"/>
          <w:lang w:eastAsia="es-MX"/>
        </w:rPr>
        <w:t>:</w:t>
      </w:r>
    </w:p>
    <w:bookmarkStart w:id="6" w:name="_Hlk89866003"/>
    <w:p w14:paraId="2F04BDA4" w14:textId="77777777" w:rsidR="00E742D9" w:rsidRPr="005430F9" w:rsidRDefault="00E742D9" w:rsidP="005430F9">
      <w:pPr>
        <w:widowControl w:val="0"/>
        <w:autoSpaceDE w:val="0"/>
        <w:autoSpaceDN w:val="0"/>
        <w:adjustRightInd w:val="0"/>
        <w:spacing w:after="0" w:line="240" w:lineRule="auto"/>
        <w:ind w:left="-567" w:right="-518"/>
        <w:jc w:val="both"/>
        <w:rPr>
          <w:rFonts w:ascii="Arial" w:eastAsiaTheme="minorEastAsia" w:hAnsi="Arial" w:cs="Arial"/>
          <w:bCs/>
          <w:sz w:val="24"/>
          <w:szCs w:val="24"/>
          <w:lang w:eastAsia="es-MX"/>
        </w:rPr>
      </w:pPr>
      <w:r w:rsidRPr="005430F9">
        <w:rPr>
          <w:rFonts w:ascii="Arial" w:eastAsiaTheme="minorEastAsia" w:hAnsi="Arial" w:cs="Arial"/>
          <w:bCs/>
          <w:sz w:val="24"/>
          <w:szCs w:val="24"/>
          <w:lang w:eastAsia="es-MX"/>
        </w:rPr>
        <w:fldChar w:fldCharType="begin"/>
      </w:r>
      <w:r w:rsidRPr="005430F9">
        <w:rPr>
          <w:rFonts w:ascii="Arial" w:eastAsiaTheme="minorEastAsia" w:hAnsi="Arial" w:cs="Arial"/>
          <w:bCs/>
          <w:sz w:val="24"/>
          <w:szCs w:val="24"/>
          <w:lang w:eastAsia="es-MX"/>
        </w:rPr>
        <w:instrText xml:space="preserve"> HYPERLINK "https://www.inegi.org.mx/programas/eaec/2013/" </w:instrText>
      </w:r>
      <w:r w:rsidRPr="005430F9">
        <w:rPr>
          <w:rFonts w:ascii="Arial" w:eastAsiaTheme="minorEastAsia" w:hAnsi="Arial" w:cs="Arial"/>
          <w:bCs/>
          <w:sz w:val="24"/>
          <w:szCs w:val="24"/>
          <w:lang w:eastAsia="es-MX"/>
        </w:rPr>
        <w:fldChar w:fldCharType="separate"/>
      </w:r>
      <w:r w:rsidRPr="005430F9">
        <w:rPr>
          <w:rStyle w:val="Hipervnculo"/>
          <w:rFonts w:ascii="Arial" w:eastAsiaTheme="minorEastAsia" w:hAnsi="Arial" w:cs="Arial"/>
          <w:bCs/>
          <w:sz w:val="24"/>
          <w:szCs w:val="24"/>
          <w:lang w:eastAsia="es-MX"/>
        </w:rPr>
        <w:t>https://www.inegi.org.mx/programas/eaec/2013/</w:t>
      </w:r>
      <w:r w:rsidRPr="005430F9">
        <w:rPr>
          <w:rFonts w:ascii="Arial" w:eastAsiaTheme="minorEastAsia" w:hAnsi="Arial" w:cs="Arial"/>
          <w:bCs/>
          <w:sz w:val="24"/>
          <w:szCs w:val="24"/>
          <w:lang w:eastAsia="es-MX"/>
        </w:rPr>
        <w:fldChar w:fldCharType="end"/>
      </w:r>
    </w:p>
    <w:p w14:paraId="24CADF15" w14:textId="77777777" w:rsidR="004957A7" w:rsidRDefault="004957A7" w:rsidP="001576B3">
      <w:pPr>
        <w:widowControl w:val="0"/>
        <w:autoSpaceDE w:val="0"/>
        <w:autoSpaceDN w:val="0"/>
        <w:adjustRightInd w:val="0"/>
        <w:spacing w:after="0" w:line="240" w:lineRule="auto"/>
        <w:jc w:val="both"/>
        <w:rPr>
          <w:rFonts w:ascii="Arial" w:eastAsiaTheme="minorEastAsia" w:hAnsi="Arial" w:cs="Arial"/>
          <w:b/>
          <w:bCs/>
          <w:lang w:eastAsia="es-MX"/>
        </w:rPr>
      </w:pPr>
    </w:p>
    <w:p w14:paraId="7D530249" w14:textId="77777777" w:rsidR="001230BB" w:rsidRPr="00845887" w:rsidRDefault="001230BB" w:rsidP="001230BB">
      <w:pPr>
        <w:ind w:left="-426" w:right="142"/>
        <w:jc w:val="center"/>
        <w:rPr>
          <w:rFonts w:ascii="Arial" w:hAnsi="Arial" w:cs="Arial"/>
          <w:sz w:val="24"/>
          <w:szCs w:val="24"/>
        </w:rPr>
      </w:pPr>
      <w:r w:rsidRPr="00845887">
        <w:rPr>
          <w:rFonts w:ascii="Arial" w:hAnsi="Arial" w:cs="Arial"/>
          <w:sz w:val="24"/>
          <w:szCs w:val="24"/>
        </w:rPr>
        <w:t>Dirección de Atención a Medios/ Dirección General Adjunta de Comunicación</w:t>
      </w:r>
    </w:p>
    <w:p w14:paraId="4A059584" w14:textId="77777777" w:rsidR="001230BB" w:rsidRDefault="001230BB" w:rsidP="001230BB">
      <w:pPr>
        <w:ind w:left="-426" w:right="-518"/>
        <w:jc w:val="center"/>
        <w:rPr>
          <w:noProof/>
          <w:lang w:eastAsia="es-MX"/>
        </w:rPr>
        <w:sectPr w:rsidR="001230BB" w:rsidSect="001B0FE6">
          <w:headerReference w:type="default" r:id="rId20"/>
          <w:footerReference w:type="default" r:id="rId21"/>
          <w:type w:val="continuous"/>
          <w:pgSz w:w="12240" w:h="15840"/>
          <w:pgMar w:top="1843" w:right="1701" w:bottom="1276" w:left="1701" w:header="708" w:footer="708" w:gutter="0"/>
          <w:cols w:space="708"/>
          <w:docGrid w:linePitch="360"/>
        </w:sectPr>
      </w:pPr>
      <w:r w:rsidRPr="00FF1218">
        <w:rPr>
          <w:noProof/>
          <w:lang w:eastAsia="es-MX"/>
        </w:rPr>
        <w:lastRenderedPageBreak/>
        <w:drawing>
          <wp:inline distT="0" distB="0" distL="0" distR="0" wp14:anchorId="7784F37A" wp14:editId="427D7E84">
            <wp:extent cx="310356" cy="323850"/>
            <wp:effectExtent l="0" t="0" r="0" b="0"/>
            <wp:docPr id="24" name="Imagen 24" descr="C:\Users\saladeprensa\Desktop\NVOS LOGOS\F.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2328" cy="325908"/>
                    </a:xfrm>
                    <a:prstGeom prst="rect">
                      <a:avLst/>
                    </a:prstGeom>
                    <a:noFill/>
                    <a:ln>
                      <a:noFill/>
                    </a:ln>
                  </pic:spPr>
                </pic:pic>
              </a:graphicData>
            </a:graphic>
          </wp:inline>
        </w:drawing>
      </w:r>
      <w:r w:rsidRPr="00F35AD4">
        <w:rPr>
          <w:noProof/>
          <w:lang w:eastAsia="es-MX"/>
        </w:rPr>
        <w:t xml:space="preserve"> </w:t>
      </w:r>
      <w:r w:rsidRPr="00FF1218">
        <w:rPr>
          <w:noProof/>
          <w:lang w:eastAsia="es-MX"/>
        </w:rPr>
        <w:drawing>
          <wp:inline distT="0" distB="0" distL="0" distR="0" wp14:anchorId="636B56B5" wp14:editId="27EA45E8">
            <wp:extent cx="314325" cy="314325"/>
            <wp:effectExtent l="0" t="0" r="9525" b="9525"/>
            <wp:docPr id="25" name="Imagen 25" descr="C:\Users\saladeprensa\Desktop\NVOS LOGOS\I.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F35AD4">
        <w:rPr>
          <w:noProof/>
          <w:lang w:eastAsia="es-MX"/>
        </w:rPr>
        <w:t xml:space="preserve"> </w:t>
      </w:r>
      <w:r w:rsidRPr="00FF1218">
        <w:rPr>
          <w:noProof/>
          <w:lang w:eastAsia="es-MX"/>
        </w:rPr>
        <w:drawing>
          <wp:inline distT="0" distB="0" distL="0" distR="0" wp14:anchorId="61889B30" wp14:editId="50B66C55">
            <wp:extent cx="323850" cy="323850"/>
            <wp:effectExtent l="0" t="0" r="0" b="0"/>
            <wp:docPr id="26" name="Imagen 26" descr="C:\Users\saladeprensa\Desktop\NVOS LOGOS\T.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F35AD4">
        <w:rPr>
          <w:noProof/>
          <w:lang w:eastAsia="es-MX"/>
        </w:rPr>
        <w:t xml:space="preserve"> </w:t>
      </w:r>
      <w:r w:rsidRPr="00FF1218">
        <w:rPr>
          <w:noProof/>
          <w:lang w:eastAsia="es-MX"/>
        </w:rPr>
        <w:drawing>
          <wp:inline distT="0" distB="0" distL="0" distR="0" wp14:anchorId="0166E84D" wp14:editId="63EA8945">
            <wp:extent cx="323850" cy="323850"/>
            <wp:effectExtent l="0" t="0" r="0" b="0"/>
            <wp:docPr id="31" name="Imagen 31" descr="C:\Users\saladeprensa\Desktop\NVOS LOGOS\Y.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F35AD4">
        <w:rPr>
          <w:noProof/>
          <w:lang w:eastAsia="es-MX"/>
        </w:rPr>
        <w:t xml:space="preserve">  </w:t>
      </w:r>
      <w:r w:rsidRPr="00FF1218">
        <w:rPr>
          <w:noProof/>
          <w:sz w:val="14"/>
          <w:szCs w:val="18"/>
          <w:lang w:eastAsia="es-MX"/>
        </w:rPr>
        <w:drawing>
          <wp:inline distT="0" distB="0" distL="0" distR="0" wp14:anchorId="37A0F7DB" wp14:editId="35515F0E">
            <wp:extent cx="2286000" cy="274320"/>
            <wp:effectExtent l="0" t="0" r="0" b="0"/>
            <wp:docPr id="32" name="Imagen 32">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6CA1975" w14:textId="19B6D0A4" w:rsidR="001230BB" w:rsidRPr="005430F9" w:rsidRDefault="001230BB" w:rsidP="005430F9">
      <w:pPr>
        <w:spacing w:after="0" w:line="240" w:lineRule="auto"/>
        <w:ind w:left="-567" w:right="-518"/>
        <w:jc w:val="center"/>
        <w:rPr>
          <w:rFonts w:ascii="Arial" w:hAnsi="Arial" w:cs="Arial"/>
          <w:b/>
          <w:sz w:val="24"/>
          <w:szCs w:val="24"/>
        </w:rPr>
      </w:pPr>
      <w:r w:rsidRPr="005430F9">
        <w:rPr>
          <w:rFonts w:ascii="Arial" w:hAnsi="Arial" w:cs="Arial"/>
          <w:b/>
          <w:sz w:val="24"/>
          <w:szCs w:val="24"/>
        </w:rPr>
        <w:t>ANEXO</w:t>
      </w:r>
    </w:p>
    <w:p w14:paraId="156EE1D9" w14:textId="59DAF322" w:rsidR="001230BB" w:rsidRPr="005430F9" w:rsidRDefault="001230BB" w:rsidP="005430F9">
      <w:pPr>
        <w:spacing w:after="0" w:line="240" w:lineRule="auto"/>
        <w:ind w:left="-567" w:right="-518"/>
        <w:jc w:val="center"/>
        <w:rPr>
          <w:rFonts w:ascii="Arial" w:hAnsi="Arial" w:cs="Arial"/>
          <w:b/>
          <w:sz w:val="24"/>
          <w:szCs w:val="24"/>
        </w:rPr>
      </w:pPr>
    </w:p>
    <w:p w14:paraId="3FAE4D1F" w14:textId="06046217" w:rsidR="001230BB" w:rsidRPr="005430F9" w:rsidRDefault="001230BB" w:rsidP="005430F9">
      <w:pPr>
        <w:spacing w:after="0" w:line="240" w:lineRule="auto"/>
        <w:ind w:left="-567" w:right="-518"/>
        <w:jc w:val="center"/>
        <w:rPr>
          <w:rFonts w:ascii="Arial" w:hAnsi="Arial" w:cs="Arial"/>
          <w:b/>
          <w:sz w:val="24"/>
          <w:szCs w:val="24"/>
        </w:rPr>
      </w:pPr>
      <w:r w:rsidRPr="005430F9">
        <w:rPr>
          <w:rFonts w:ascii="Arial" w:hAnsi="Arial" w:cs="Arial"/>
          <w:b/>
          <w:sz w:val="24"/>
          <w:szCs w:val="24"/>
        </w:rPr>
        <w:t>NOTA TÉCNICA</w:t>
      </w:r>
    </w:p>
    <w:p w14:paraId="0BF6EBB1" w14:textId="77777777" w:rsidR="009B4895" w:rsidRDefault="009B4895">
      <w:pPr>
        <w:widowControl w:val="0"/>
        <w:autoSpaceDE w:val="0"/>
        <w:autoSpaceDN w:val="0"/>
        <w:adjustRightInd w:val="0"/>
        <w:spacing w:after="0" w:line="240" w:lineRule="auto"/>
        <w:jc w:val="both"/>
        <w:rPr>
          <w:rFonts w:ascii="Arial" w:eastAsiaTheme="minorEastAsia" w:hAnsi="Arial" w:cs="Arial"/>
          <w:b/>
          <w:bCs/>
          <w:lang w:eastAsia="es-MX"/>
        </w:rPr>
      </w:pPr>
    </w:p>
    <w:p w14:paraId="59732667" w14:textId="63701179" w:rsidR="001230BB" w:rsidRDefault="001230BB">
      <w:pPr>
        <w:spacing w:after="0" w:line="240" w:lineRule="auto"/>
        <w:ind w:left="-567" w:right="-518"/>
        <w:jc w:val="both"/>
        <w:rPr>
          <w:rFonts w:ascii="Arial" w:eastAsia="Times New Roman" w:hAnsi="Arial" w:cs="Arial"/>
          <w:sz w:val="24"/>
          <w:szCs w:val="24"/>
          <w:lang w:eastAsia="es-MX"/>
        </w:rPr>
      </w:pPr>
      <w:r w:rsidRPr="00845887">
        <w:rPr>
          <w:rFonts w:ascii="Arial" w:eastAsia="Times New Roman" w:hAnsi="Arial" w:cs="Arial"/>
          <w:sz w:val="24"/>
          <w:szCs w:val="24"/>
          <w:lang w:eastAsia="es-MX"/>
        </w:rPr>
        <w:t xml:space="preserve">La oferta estadística </w:t>
      </w:r>
      <w:r>
        <w:rPr>
          <w:rFonts w:ascii="Arial" w:eastAsia="Times New Roman" w:hAnsi="Arial" w:cs="Arial"/>
          <w:sz w:val="24"/>
          <w:szCs w:val="24"/>
          <w:lang w:eastAsia="es-MX"/>
        </w:rPr>
        <w:t xml:space="preserve">de la EAEC se </w:t>
      </w:r>
      <w:r w:rsidRPr="00845887">
        <w:rPr>
          <w:rFonts w:ascii="Arial" w:eastAsia="Times New Roman" w:hAnsi="Arial" w:cs="Arial"/>
          <w:sz w:val="24"/>
          <w:szCs w:val="24"/>
          <w:lang w:eastAsia="es-MX"/>
        </w:rPr>
        <w:t>conforma por valores absolutos de personal ocupado, remuneraciones, gastos por consumo de bienes y servicios, ingresos por suministro de bienes y servicios, valor de producción, existencias y activos fijos</w:t>
      </w:r>
      <w:r>
        <w:rPr>
          <w:rFonts w:ascii="Arial" w:eastAsia="Times New Roman" w:hAnsi="Arial" w:cs="Arial"/>
          <w:sz w:val="24"/>
          <w:szCs w:val="24"/>
          <w:lang w:eastAsia="es-MX"/>
        </w:rPr>
        <w:t xml:space="preserve">. Estas variables se </w:t>
      </w:r>
      <w:r w:rsidRPr="00845887">
        <w:rPr>
          <w:rFonts w:ascii="Arial" w:eastAsia="Times New Roman" w:hAnsi="Arial" w:cs="Arial"/>
          <w:sz w:val="24"/>
          <w:szCs w:val="24"/>
          <w:lang w:eastAsia="es-MX"/>
        </w:rPr>
        <w:t>desagregan por sector y subsector de acuerdo con el Sistema de Clasificación Industrial de América del Norte (SCIAN) 2013</w:t>
      </w:r>
      <w:r>
        <w:rPr>
          <w:rFonts w:ascii="Arial" w:eastAsia="Times New Roman" w:hAnsi="Arial" w:cs="Arial"/>
          <w:sz w:val="24"/>
          <w:szCs w:val="24"/>
          <w:lang w:eastAsia="es-MX"/>
        </w:rPr>
        <w:t>. Esto</w:t>
      </w:r>
      <w:r w:rsidRPr="00845887">
        <w:rPr>
          <w:rFonts w:ascii="Arial" w:eastAsia="Times New Roman" w:hAnsi="Arial" w:cs="Arial"/>
          <w:sz w:val="24"/>
          <w:szCs w:val="24"/>
          <w:lang w:eastAsia="es-MX"/>
        </w:rPr>
        <w:t xml:space="preserve"> permite dar seguimiento al comportamiento de la actividad económica d</w:t>
      </w:r>
      <w:r>
        <w:rPr>
          <w:rFonts w:ascii="Arial" w:eastAsia="Times New Roman" w:hAnsi="Arial" w:cs="Arial"/>
          <w:sz w:val="24"/>
          <w:szCs w:val="24"/>
          <w:lang w:eastAsia="es-MX"/>
        </w:rPr>
        <w:t>el</w:t>
      </w:r>
      <w:r w:rsidRPr="00845887">
        <w:rPr>
          <w:rFonts w:ascii="Arial" w:eastAsia="Times New Roman" w:hAnsi="Arial" w:cs="Arial"/>
          <w:sz w:val="24"/>
          <w:szCs w:val="24"/>
          <w:lang w:eastAsia="es-MX"/>
        </w:rPr>
        <w:t xml:space="preserve"> sector</w:t>
      </w:r>
      <w:r>
        <w:rPr>
          <w:rFonts w:ascii="Arial" w:eastAsia="Times New Roman" w:hAnsi="Arial" w:cs="Arial"/>
          <w:sz w:val="24"/>
          <w:szCs w:val="24"/>
          <w:lang w:eastAsia="es-MX"/>
        </w:rPr>
        <w:t xml:space="preserve"> Construcción</w:t>
      </w:r>
      <w:r w:rsidRPr="00845887">
        <w:rPr>
          <w:rFonts w:ascii="Arial" w:eastAsia="Times New Roman" w:hAnsi="Arial" w:cs="Arial"/>
          <w:sz w:val="24"/>
          <w:szCs w:val="24"/>
          <w:lang w:eastAsia="es-MX"/>
        </w:rPr>
        <w:t xml:space="preserve">. </w:t>
      </w:r>
    </w:p>
    <w:p w14:paraId="3FEC2DAD" w14:textId="77777777" w:rsidR="001230BB" w:rsidRDefault="001230BB">
      <w:pPr>
        <w:spacing w:after="0" w:line="240" w:lineRule="auto"/>
        <w:ind w:left="-567" w:right="-518"/>
        <w:jc w:val="both"/>
        <w:rPr>
          <w:rFonts w:ascii="Arial" w:eastAsia="Times New Roman" w:hAnsi="Arial" w:cs="Arial"/>
          <w:sz w:val="24"/>
          <w:szCs w:val="24"/>
          <w:lang w:eastAsia="es-MX"/>
        </w:rPr>
      </w:pPr>
    </w:p>
    <w:p w14:paraId="1B0BFFE0" w14:textId="4AF2BB37" w:rsidR="001576B3" w:rsidRPr="004B1724" w:rsidRDefault="008F7BC3" w:rsidP="004B1724">
      <w:pPr>
        <w:spacing w:after="0" w:line="240" w:lineRule="auto"/>
        <w:ind w:left="-567" w:right="-518"/>
        <w:jc w:val="both"/>
      </w:pPr>
      <w:r>
        <w:rPr>
          <w:rFonts w:ascii="Arial" w:eastAsia="Times New Roman" w:hAnsi="Arial" w:cs="Arial"/>
          <w:sz w:val="24"/>
          <w:szCs w:val="24"/>
          <w:lang w:eastAsia="es-MX"/>
        </w:rPr>
        <w:t xml:space="preserve">La </w:t>
      </w:r>
      <w:r w:rsidRPr="008F7BC3">
        <w:rPr>
          <w:rFonts w:ascii="Arial" w:eastAsia="Times New Roman" w:hAnsi="Arial" w:cs="Arial"/>
          <w:sz w:val="24"/>
          <w:szCs w:val="24"/>
          <w:lang w:eastAsia="es-MX"/>
        </w:rPr>
        <w:t xml:space="preserve">EAEC </w:t>
      </w:r>
      <w:r w:rsidR="001230BB" w:rsidRPr="008F7BC3">
        <w:rPr>
          <w:rFonts w:ascii="Arial" w:eastAsia="Times New Roman" w:hAnsi="Arial" w:cs="Arial"/>
          <w:sz w:val="24"/>
          <w:szCs w:val="24"/>
          <w:lang w:eastAsia="es-MX"/>
        </w:rPr>
        <w:t xml:space="preserve">pone a disposición de </w:t>
      </w:r>
      <w:r w:rsidRPr="008F7BC3">
        <w:rPr>
          <w:rFonts w:ascii="Arial" w:eastAsia="Times New Roman" w:hAnsi="Arial" w:cs="Arial"/>
          <w:sz w:val="24"/>
          <w:szCs w:val="24"/>
          <w:lang w:eastAsia="es-MX"/>
        </w:rPr>
        <w:t xml:space="preserve">las y </w:t>
      </w:r>
      <w:r w:rsidR="001230BB" w:rsidRPr="008F7BC3">
        <w:rPr>
          <w:rFonts w:ascii="Arial" w:eastAsia="Times New Roman" w:hAnsi="Arial" w:cs="Arial"/>
          <w:sz w:val="24"/>
          <w:szCs w:val="24"/>
          <w:lang w:eastAsia="es-MX"/>
        </w:rPr>
        <w:t>los usuarios información de carácter cualitativo sobre la capacitación, gastos e ingresos del comercio electrónico y características generales de las empresas constructoras. Además, presenta resultados por entidad federativa</w:t>
      </w:r>
      <w:r w:rsidRPr="008F7BC3">
        <w:rPr>
          <w:rFonts w:ascii="Arial" w:eastAsia="Times New Roman" w:hAnsi="Arial" w:cs="Arial"/>
          <w:sz w:val="24"/>
          <w:szCs w:val="24"/>
          <w:lang w:eastAsia="es-MX"/>
        </w:rPr>
        <w:t xml:space="preserve">. Esta encuesta </w:t>
      </w:r>
      <w:r w:rsidR="001230BB" w:rsidRPr="004B1724">
        <w:rPr>
          <w:rFonts w:ascii="Arial" w:eastAsia="Times New Roman" w:hAnsi="Arial" w:cs="Arial"/>
          <w:sz w:val="24"/>
          <w:szCs w:val="24"/>
          <w:lang w:eastAsia="es-MX"/>
        </w:rPr>
        <w:t xml:space="preserve">surgió </w:t>
      </w:r>
      <w:r>
        <w:rPr>
          <w:rFonts w:ascii="Arial" w:eastAsia="Times New Roman" w:hAnsi="Arial" w:cs="Arial"/>
          <w:sz w:val="24"/>
          <w:szCs w:val="24"/>
          <w:lang w:eastAsia="es-MX"/>
        </w:rPr>
        <w:t xml:space="preserve">en el año </w:t>
      </w:r>
      <w:r w:rsidR="001230BB" w:rsidRPr="004B1724">
        <w:rPr>
          <w:rFonts w:ascii="Arial" w:eastAsia="Times New Roman" w:hAnsi="Arial" w:cs="Arial"/>
          <w:sz w:val="24"/>
          <w:szCs w:val="24"/>
          <w:lang w:eastAsia="es-MX"/>
        </w:rPr>
        <w:t>2000</w:t>
      </w:r>
      <w:r>
        <w:rPr>
          <w:rFonts w:ascii="Arial" w:eastAsia="Times New Roman" w:hAnsi="Arial" w:cs="Arial"/>
          <w:sz w:val="24"/>
          <w:szCs w:val="24"/>
          <w:lang w:eastAsia="es-MX"/>
        </w:rPr>
        <w:t xml:space="preserve">. </w:t>
      </w:r>
      <w:r w:rsidR="001230BB" w:rsidRPr="004B1724">
        <w:rPr>
          <w:rFonts w:ascii="Arial" w:eastAsia="Times New Roman" w:hAnsi="Arial" w:cs="Arial"/>
          <w:sz w:val="24"/>
          <w:szCs w:val="24"/>
          <w:lang w:eastAsia="es-MX"/>
        </w:rPr>
        <w:t xml:space="preserve">La EAEC serie 2013 ofrece información del periodo 2013-2021. </w:t>
      </w:r>
      <w:r w:rsidR="001230BB" w:rsidRPr="004B1724">
        <w:rPr>
          <w:rFonts w:ascii="Arial" w:hAnsi="Arial" w:cs="Arial"/>
          <w:sz w:val="24"/>
          <w:szCs w:val="24"/>
        </w:rPr>
        <w:t>En 2023, se realizará la difusión de la actualización 2018 de las Encuestas Económicas Nacionales. En este contexto, la EAEC dará inicio con la difusión de su nueva serie estadística.</w:t>
      </w:r>
      <w:bookmarkEnd w:id="6"/>
    </w:p>
    <w:p w14:paraId="37CF2C53" w14:textId="2D924AA2" w:rsidR="00024C5A" w:rsidRPr="008F7BC3" w:rsidRDefault="00024C5A" w:rsidP="005430F9">
      <w:pPr>
        <w:pStyle w:val="Default"/>
        <w:ind w:right="-518"/>
        <w:jc w:val="both"/>
        <w:rPr>
          <w:rFonts w:eastAsia="Calibri"/>
        </w:rPr>
      </w:pPr>
    </w:p>
    <w:p w14:paraId="509125FF" w14:textId="77777777" w:rsidR="00024C5A" w:rsidRDefault="00024C5A" w:rsidP="005430F9">
      <w:pPr>
        <w:pStyle w:val="Default"/>
        <w:ind w:right="-518"/>
        <w:jc w:val="both"/>
        <w:rPr>
          <w:color w:val="auto"/>
          <w:sz w:val="22"/>
          <w:lang w:eastAsia="es-MX"/>
        </w:rPr>
      </w:pPr>
    </w:p>
    <w:p w14:paraId="3663E89A" w14:textId="4634DFAF" w:rsidR="001576B3" w:rsidRPr="005430F9" w:rsidRDefault="001576B3">
      <w:pPr>
        <w:pStyle w:val="Default"/>
        <w:ind w:left="-567" w:right="-518"/>
        <w:jc w:val="both"/>
        <w:rPr>
          <w:rFonts w:ascii="Arial Negrita" w:hAnsi="Arial Negrita"/>
          <w:b/>
          <w:smallCaps/>
          <w:color w:val="auto"/>
          <w:lang w:eastAsia="es-MX"/>
        </w:rPr>
      </w:pPr>
      <w:r w:rsidRPr="005430F9">
        <w:rPr>
          <w:rFonts w:ascii="Arial Negrita" w:hAnsi="Arial Negrita"/>
          <w:b/>
          <w:smallCaps/>
          <w:color w:val="auto"/>
          <w:lang w:eastAsia="es-MX"/>
        </w:rPr>
        <w:t>Aspectos metodológicos</w:t>
      </w:r>
    </w:p>
    <w:p w14:paraId="31DF2693" w14:textId="77777777" w:rsidR="001576B3" w:rsidRPr="005430F9" w:rsidRDefault="001576B3" w:rsidP="005430F9">
      <w:pPr>
        <w:pStyle w:val="Default"/>
        <w:ind w:left="-567" w:right="-518"/>
        <w:jc w:val="both"/>
        <w:rPr>
          <w:b/>
          <w:color w:val="auto"/>
          <w:lang w:eastAsia="es-MX"/>
        </w:rPr>
      </w:pPr>
    </w:p>
    <w:p w14:paraId="23074E15" w14:textId="27015377" w:rsidR="001576B3" w:rsidRPr="005430F9" w:rsidRDefault="00C96A75" w:rsidP="005430F9">
      <w:pPr>
        <w:pStyle w:val="Pa10"/>
        <w:spacing w:line="240" w:lineRule="auto"/>
        <w:ind w:left="-567" w:right="-518"/>
        <w:jc w:val="both"/>
      </w:pPr>
      <w:r>
        <w:rPr>
          <w:rStyle w:val="A1"/>
          <w:color w:val="auto"/>
          <w:sz w:val="24"/>
          <w:szCs w:val="24"/>
          <w:lang w:val="es-MX"/>
        </w:rPr>
        <w:t>Para realizar la EAEC s</w:t>
      </w:r>
      <w:r w:rsidR="00E742D9" w:rsidRPr="005430F9">
        <w:rPr>
          <w:rStyle w:val="A1"/>
          <w:color w:val="auto"/>
          <w:sz w:val="24"/>
          <w:szCs w:val="24"/>
        </w:rPr>
        <w:t xml:space="preserve">e </w:t>
      </w:r>
      <w:proofErr w:type="spellStart"/>
      <w:r w:rsidR="00E742D9" w:rsidRPr="005430F9">
        <w:rPr>
          <w:rStyle w:val="A1"/>
          <w:color w:val="auto"/>
          <w:sz w:val="24"/>
          <w:szCs w:val="24"/>
        </w:rPr>
        <w:t>aplica</w:t>
      </w:r>
      <w:proofErr w:type="spellEnd"/>
      <w:r>
        <w:rPr>
          <w:rStyle w:val="A1"/>
          <w:color w:val="auto"/>
          <w:sz w:val="24"/>
          <w:szCs w:val="24"/>
          <w:lang w:val="es-MX"/>
        </w:rPr>
        <w:t>ro</w:t>
      </w:r>
      <w:r w:rsidR="00E742D9" w:rsidRPr="005430F9">
        <w:rPr>
          <w:rStyle w:val="A1"/>
          <w:color w:val="auto"/>
          <w:sz w:val="24"/>
          <w:szCs w:val="24"/>
        </w:rPr>
        <w:t xml:space="preserve">n las </w:t>
      </w:r>
      <w:r w:rsidRPr="005430F9">
        <w:t>«</w:t>
      </w:r>
      <w:proofErr w:type="spellStart"/>
      <w:r w:rsidRPr="00C96A75">
        <w:rPr>
          <w:rStyle w:val="A1"/>
          <w:color w:val="auto"/>
          <w:sz w:val="24"/>
          <w:szCs w:val="24"/>
        </w:rPr>
        <w:t>R</w:t>
      </w:r>
      <w:r w:rsidR="00E742D9" w:rsidRPr="005430F9">
        <w:rPr>
          <w:rStyle w:val="A1"/>
          <w:color w:val="auto"/>
          <w:sz w:val="24"/>
          <w:szCs w:val="24"/>
        </w:rPr>
        <w:t>ecomendaciones</w:t>
      </w:r>
      <w:proofErr w:type="spellEnd"/>
      <w:r w:rsidR="00E742D9" w:rsidRPr="005430F9">
        <w:rPr>
          <w:rStyle w:val="A1"/>
          <w:color w:val="auto"/>
          <w:sz w:val="24"/>
          <w:szCs w:val="24"/>
        </w:rPr>
        <w:t xml:space="preserve"> </w:t>
      </w:r>
      <w:proofErr w:type="spellStart"/>
      <w:r w:rsidR="00E742D9" w:rsidRPr="005430F9">
        <w:rPr>
          <w:rStyle w:val="A1"/>
          <w:color w:val="auto"/>
          <w:sz w:val="24"/>
          <w:szCs w:val="24"/>
        </w:rPr>
        <w:t>internacionales</w:t>
      </w:r>
      <w:proofErr w:type="spellEnd"/>
      <w:r w:rsidR="00E742D9" w:rsidRPr="005430F9">
        <w:rPr>
          <w:rStyle w:val="A1"/>
          <w:color w:val="auto"/>
          <w:sz w:val="24"/>
          <w:szCs w:val="24"/>
        </w:rPr>
        <w:t xml:space="preserve"> para </w:t>
      </w:r>
      <w:proofErr w:type="spellStart"/>
      <w:r w:rsidR="00E742D9" w:rsidRPr="005430F9">
        <w:rPr>
          <w:rStyle w:val="A1"/>
          <w:color w:val="auto"/>
          <w:sz w:val="24"/>
          <w:szCs w:val="24"/>
        </w:rPr>
        <w:t>estadísticas</w:t>
      </w:r>
      <w:proofErr w:type="spellEnd"/>
      <w:r w:rsidR="00E742D9" w:rsidRPr="005430F9">
        <w:rPr>
          <w:rStyle w:val="A1"/>
          <w:color w:val="auto"/>
          <w:sz w:val="24"/>
          <w:szCs w:val="24"/>
        </w:rPr>
        <w:t xml:space="preserve"> </w:t>
      </w:r>
      <w:proofErr w:type="spellStart"/>
      <w:r w:rsidR="00E742D9" w:rsidRPr="005430F9">
        <w:rPr>
          <w:rStyle w:val="A1"/>
          <w:color w:val="auto"/>
          <w:sz w:val="24"/>
          <w:szCs w:val="24"/>
        </w:rPr>
        <w:t>industriales</w:t>
      </w:r>
      <w:proofErr w:type="spellEnd"/>
      <w:r w:rsidR="00E742D9" w:rsidRPr="005430F9">
        <w:rPr>
          <w:rStyle w:val="A1"/>
          <w:color w:val="auto"/>
          <w:sz w:val="24"/>
          <w:szCs w:val="24"/>
        </w:rPr>
        <w:t xml:space="preserve"> 2008</w:t>
      </w:r>
      <w:r w:rsidRPr="005430F9">
        <w:t>»</w:t>
      </w:r>
      <w:r w:rsidR="00E742D9" w:rsidRPr="005430F9">
        <w:rPr>
          <w:rStyle w:val="A1"/>
          <w:color w:val="auto"/>
          <w:sz w:val="24"/>
          <w:szCs w:val="24"/>
        </w:rPr>
        <w:t xml:space="preserve"> de la </w:t>
      </w:r>
      <w:proofErr w:type="spellStart"/>
      <w:r w:rsidR="00E742D9" w:rsidRPr="005430F9">
        <w:rPr>
          <w:rStyle w:val="A1"/>
          <w:color w:val="auto"/>
          <w:sz w:val="24"/>
          <w:szCs w:val="24"/>
        </w:rPr>
        <w:t>Organización</w:t>
      </w:r>
      <w:proofErr w:type="spellEnd"/>
      <w:r w:rsidR="00E742D9" w:rsidRPr="005430F9">
        <w:rPr>
          <w:rStyle w:val="A1"/>
          <w:color w:val="auto"/>
          <w:sz w:val="24"/>
          <w:szCs w:val="24"/>
        </w:rPr>
        <w:t xml:space="preserve"> de las </w:t>
      </w:r>
      <w:proofErr w:type="spellStart"/>
      <w:r w:rsidR="00E742D9" w:rsidRPr="005430F9">
        <w:rPr>
          <w:rStyle w:val="A1"/>
          <w:color w:val="auto"/>
          <w:sz w:val="24"/>
          <w:szCs w:val="24"/>
        </w:rPr>
        <w:t>Naciones</w:t>
      </w:r>
      <w:proofErr w:type="spellEnd"/>
      <w:r w:rsidR="00E742D9" w:rsidRPr="005430F9">
        <w:rPr>
          <w:rStyle w:val="A1"/>
          <w:color w:val="auto"/>
          <w:sz w:val="24"/>
          <w:szCs w:val="24"/>
        </w:rPr>
        <w:t xml:space="preserve"> </w:t>
      </w:r>
      <w:proofErr w:type="spellStart"/>
      <w:r w:rsidR="00E742D9" w:rsidRPr="005430F9">
        <w:rPr>
          <w:rStyle w:val="A1"/>
          <w:color w:val="auto"/>
          <w:sz w:val="24"/>
          <w:szCs w:val="24"/>
        </w:rPr>
        <w:t>Unidas</w:t>
      </w:r>
      <w:proofErr w:type="spellEnd"/>
      <w:r>
        <w:rPr>
          <w:rStyle w:val="A1"/>
          <w:color w:val="auto"/>
          <w:sz w:val="24"/>
          <w:szCs w:val="24"/>
          <w:lang w:val="es-MX"/>
        </w:rPr>
        <w:t xml:space="preserve"> (ONU)</w:t>
      </w:r>
      <w:r w:rsidR="00E742D9" w:rsidRPr="005430F9">
        <w:rPr>
          <w:rStyle w:val="A1"/>
          <w:color w:val="auto"/>
          <w:sz w:val="24"/>
          <w:szCs w:val="24"/>
        </w:rPr>
        <w:t>.</w:t>
      </w:r>
      <w:r>
        <w:rPr>
          <w:rStyle w:val="A1"/>
          <w:color w:val="auto"/>
          <w:sz w:val="24"/>
          <w:szCs w:val="24"/>
          <w:lang w:val="es-MX"/>
        </w:rPr>
        <w:t xml:space="preserve"> </w:t>
      </w:r>
      <w:r w:rsidR="001576B3" w:rsidRPr="005430F9">
        <w:t xml:space="preserve">La </w:t>
      </w:r>
      <w:proofErr w:type="spellStart"/>
      <w:r w:rsidR="001576B3" w:rsidRPr="005430F9">
        <w:t>unidad</w:t>
      </w:r>
      <w:proofErr w:type="spellEnd"/>
      <w:r w:rsidR="001576B3" w:rsidRPr="005430F9">
        <w:t xml:space="preserve"> de </w:t>
      </w:r>
      <w:proofErr w:type="spellStart"/>
      <w:r w:rsidR="001576B3" w:rsidRPr="005430F9">
        <w:t>observación</w:t>
      </w:r>
      <w:proofErr w:type="spellEnd"/>
      <w:r w:rsidR="001576B3" w:rsidRPr="005430F9">
        <w:t xml:space="preserve"> </w:t>
      </w:r>
      <w:proofErr w:type="spellStart"/>
      <w:r>
        <w:t>fuero</w:t>
      </w:r>
      <w:r w:rsidR="001576B3" w:rsidRPr="005430F9">
        <w:t>n</w:t>
      </w:r>
      <w:proofErr w:type="spellEnd"/>
      <w:r w:rsidR="001576B3" w:rsidRPr="005430F9">
        <w:t xml:space="preserve"> las </w:t>
      </w:r>
      <w:proofErr w:type="spellStart"/>
      <w:r w:rsidR="001576B3" w:rsidRPr="005430F9">
        <w:t>empresas</w:t>
      </w:r>
      <w:proofErr w:type="spellEnd"/>
      <w:r w:rsidR="001576B3" w:rsidRPr="005430F9">
        <w:t xml:space="preserve"> </w:t>
      </w:r>
      <w:proofErr w:type="spellStart"/>
      <w:r w:rsidR="001576B3" w:rsidRPr="005430F9">
        <w:t>clasificadas</w:t>
      </w:r>
      <w:proofErr w:type="spellEnd"/>
      <w:r w:rsidR="001576B3" w:rsidRPr="005430F9">
        <w:t xml:space="preserve"> </w:t>
      </w:r>
      <w:proofErr w:type="spellStart"/>
      <w:r w:rsidR="001576B3" w:rsidRPr="005430F9">
        <w:t>en</w:t>
      </w:r>
      <w:proofErr w:type="spellEnd"/>
      <w:r w:rsidR="001576B3" w:rsidRPr="005430F9">
        <w:t xml:space="preserve"> el sector 23</w:t>
      </w:r>
      <w:r w:rsidR="008F7BC3">
        <w:t>,</w:t>
      </w:r>
      <w:r w:rsidR="001576B3" w:rsidRPr="005430F9">
        <w:t xml:space="preserve"> </w:t>
      </w:r>
      <w:proofErr w:type="spellStart"/>
      <w:r w:rsidR="001576B3" w:rsidRPr="005430F9">
        <w:t>Construcción</w:t>
      </w:r>
      <w:proofErr w:type="spellEnd"/>
      <w:r w:rsidR="001576B3" w:rsidRPr="005430F9">
        <w:t xml:space="preserve">, </w:t>
      </w:r>
      <w:proofErr w:type="spellStart"/>
      <w:r w:rsidR="001576B3" w:rsidRPr="005430F9">
        <w:t>según</w:t>
      </w:r>
      <w:proofErr w:type="spellEnd"/>
      <w:r w:rsidR="001576B3" w:rsidRPr="005430F9">
        <w:t xml:space="preserve"> el Sistema de </w:t>
      </w:r>
      <w:proofErr w:type="spellStart"/>
      <w:r w:rsidR="001576B3" w:rsidRPr="005430F9">
        <w:t>Clasificación</w:t>
      </w:r>
      <w:proofErr w:type="spellEnd"/>
      <w:r w:rsidR="001576B3" w:rsidRPr="005430F9">
        <w:t xml:space="preserve"> Industrial de América del Norte (SCIAN) 2013. </w:t>
      </w:r>
    </w:p>
    <w:p w14:paraId="6A4B3984" w14:textId="77777777" w:rsidR="001576B3" w:rsidRPr="005430F9" w:rsidRDefault="001576B3" w:rsidP="005430F9">
      <w:pPr>
        <w:pStyle w:val="Default"/>
        <w:ind w:left="-567" w:right="-518"/>
        <w:jc w:val="both"/>
        <w:rPr>
          <w:color w:val="auto"/>
          <w:lang w:eastAsia="es-MX"/>
        </w:rPr>
      </w:pPr>
    </w:p>
    <w:p w14:paraId="0822CB51" w14:textId="4535F02C" w:rsidR="001576B3" w:rsidRPr="005430F9" w:rsidRDefault="001576B3" w:rsidP="005430F9">
      <w:pPr>
        <w:widowControl w:val="0"/>
        <w:autoSpaceDE w:val="0"/>
        <w:autoSpaceDN w:val="0"/>
        <w:adjustRightInd w:val="0"/>
        <w:spacing w:after="0" w:line="240" w:lineRule="auto"/>
        <w:ind w:left="-567" w:right="-518"/>
        <w:jc w:val="both"/>
        <w:rPr>
          <w:sz w:val="24"/>
          <w:szCs w:val="24"/>
        </w:rPr>
      </w:pPr>
      <w:r w:rsidRPr="005430F9">
        <w:rPr>
          <w:rFonts w:ascii="Arial" w:eastAsiaTheme="minorEastAsia" w:hAnsi="Arial" w:cs="Arial"/>
          <w:sz w:val="24"/>
          <w:szCs w:val="24"/>
          <w:lang w:eastAsia="es-MX"/>
        </w:rPr>
        <w:t>En este contexto, se considera</w:t>
      </w:r>
      <w:r w:rsidR="00C96A75">
        <w:rPr>
          <w:rFonts w:ascii="Arial" w:eastAsiaTheme="minorEastAsia" w:hAnsi="Arial" w:cs="Arial"/>
          <w:sz w:val="24"/>
          <w:szCs w:val="24"/>
          <w:lang w:eastAsia="es-MX"/>
        </w:rPr>
        <w:t>ro</w:t>
      </w:r>
      <w:r w:rsidR="00F00864" w:rsidRPr="005430F9">
        <w:rPr>
          <w:rFonts w:ascii="Arial" w:eastAsiaTheme="minorEastAsia" w:hAnsi="Arial" w:cs="Arial"/>
          <w:sz w:val="24"/>
          <w:szCs w:val="24"/>
          <w:lang w:eastAsia="es-MX"/>
        </w:rPr>
        <w:t>n</w:t>
      </w:r>
      <w:r w:rsidRPr="005430F9">
        <w:rPr>
          <w:rFonts w:ascii="Arial" w:eastAsiaTheme="minorEastAsia" w:hAnsi="Arial" w:cs="Arial"/>
          <w:sz w:val="24"/>
          <w:szCs w:val="24"/>
          <w:lang w:eastAsia="es-MX"/>
        </w:rPr>
        <w:t xml:space="preserve"> las empresas que se dedican principalmente a la ejecución de obras de construcción, tales como residenciales, plantas e instalaciones industriales, vías de comunicación, construcciones marítimas, demoliciones, </w:t>
      </w:r>
      <w:r w:rsidR="00126DA8" w:rsidRPr="005430F9">
        <w:rPr>
          <w:rFonts w:ascii="Arial" w:eastAsiaTheme="minorEastAsia" w:hAnsi="Arial" w:cs="Arial"/>
          <w:sz w:val="24"/>
          <w:szCs w:val="24"/>
          <w:lang w:eastAsia="es-MX"/>
        </w:rPr>
        <w:t>etcétera</w:t>
      </w:r>
      <w:r w:rsidRPr="005430F9">
        <w:rPr>
          <w:rFonts w:ascii="Arial" w:eastAsiaTheme="minorEastAsia" w:hAnsi="Arial" w:cs="Arial"/>
          <w:sz w:val="24"/>
          <w:szCs w:val="24"/>
          <w:lang w:eastAsia="es-MX"/>
        </w:rPr>
        <w:t xml:space="preserve">, así como a las </w:t>
      </w:r>
      <w:r w:rsidR="008F7BC3">
        <w:rPr>
          <w:rFonts w:ascii="Arial" w:eastAsiaTheme="minorEastAsia" w:hAnsi="Arial" w:cs="Arial"/>
          <w:sz w:val="24"/>
          <w:szCs w:val="24"/>
          <w:lang w:eastAsia="es-MX"/>
        </w:rPr>
        <w:t xml:space="preserve">que realizan </w:t>
      </w:r>
      <w:r w:rsidRPr="005430F9">
        <w:rPr>
          <w:rFonts w:ascii="Arial" w:eastAsiaTheme="minorEastAsia" w:hAnsi="Arial" w:cs="Arial"/>
          <w:sz w:val="24"/>
          <w:szCs w:val="24"/>
          <w:lang w:eastAsia="es-MX"/>
        </w:rPr>
        <w:t xml:space="preserve">reparaciones, mantenimiento y reformas mayores. </w:t>
      </w:r>
      <w:r w:rsidRPr="005430F9">
        <w:rPr>
          <w:rFonts w:ascii="Arial" w:hAnsi="Arial" w:cs="Arial"/>
          <w:sz w:val="24"/>
          <w:szCs w:val="24"/>
        </w:rPr>
        <w:t xml:space="preserve">La temática cubierta por la EAEC </w:t>
      </w:r>
      <w:r w:rsidR="00C96A75" w:rsidRPr="005430F9">
        <w:rPr>
          <w:rFonts w:ascii="Arial" w:hAnsi="Arial" w:cs="Arial"/>
          <w:sz w:val="24"/>
          <w:szCs w:val="24"/>
        </w:rPr>
        <w:t>fue</w:t>
      </w:r>
      <w:r w:rsidRPr="005430F9">
        <w:rPr>
          <w:rFonts w:ascii="Arial" w:hAnsi="Arial" w:cs="Arial"/>
          <w:sz w:val="24"/>
          <w:szCs w:val="24"/>
        </w:rPr>
        <w:t xml:space="preserve"> la siguiente:</w:t>
      </w:r>
    </w:p>
    <w:p w14:paraId="39DE9108" w14:textId="77777777" w:rsidR="001576B3" w:rsidRPr="005430F9" w:rsidRDefault="001576B3" w:rsidP="005430F9">
      <w:pPr>
        <w:pStyle w:val="Default"/>
        <w:ind w:left="-567" w:right="-518"/>
        <w:jc w:val="both"/>
      </w:pPr>
    </w:p>
    <w:p w14:paraId="2A6EB8FF" w14:textId="414BA366" w:rsidR="001576B3" w:rsidRPr="005430F9" w:rsidRDefault="001576B3" w:rsidP="005430F9">
      <w:pPr>
        <w:pStyle w:val="Default"/>
        <w:numPr>
          <w:ilvl w:val="0"/>
          <w:numId w:val="15"/>
        </w:numPr>
        <w:ind w:left="284" w:right="-518" w:hanging="284"/>
        <w:jc w:val="both"/>
      </w:pPr>
      <w:r w:rsidRPr="005430F9">
        <w:t>Personal ocupado dependiente de la razón social</w:t>
      </w:r>
    </w:p>
    <w:p w14:paraId="74BBE759" w14:textId="0DC84A9D" w:rsidR="001576B3" w:rsidRPr="005430F9" w:rsidRDefault="001576B3" w:rsidP="005430F9">
      <w:pPr>
        <w:pStyle w:val="Default"/>
        <w:numPr>
          <w:ilvl w:val="0"/>
          <w:numId w:val="15"/>
        </w:numPr>
        <w:ind w:left="284" w:right="-518" w:hanging="284"/>
        <w:jc w:val="both"/>
      </w:pPr>
      <w:r w:rsidRPr="005430F9">
        <w:t>Personal no dependiente de la razón social</w:t>
      </w:r>
    </w:p>
    <w:p w14:paraId="67A743EE" w14:textId="57E3123F" w:rsidR="001576B3" w:rsidRPr="005430F9" w:rsidRDefault="001576B3" w:rsidP="005430F9">
      <w:pPr>
        <w:pStyle w:val="Default"/>
        <w:numPr>
          <w:ilvl w:val="0"/>
          <w:numId w:val="15"/>
        </w:numPr>
        <w:ind w:left="284" w:right="-518" w:hanging="284"/>
        <w:jc w:val="both"/>
      </w:pPr>
      <w:r w:rsidRPr="005430F9">
        <w:t>Capacitación</w:t>
      </w:r>
    </w:p>
    <w:p w14:paraId="16E5F261" w14:textId="3D3FD0FB" w:rsidR="001576B3" w:rsidRPr="005430F9" w:rsidRDefault="001576B3" w:rsidP="005430F9">
      <w:pPr>
        <w:pStyle w:val="Default"/>
        <w:numPr>
          <w:ilvl w:val="0"/>
          <w:numId w:val="15"/>
        </w:numPr>
        <w:ind w:left="284" w:right="-518" w:hanging="284"/>
        <w:jc w:val="both"/>
      </w:pPr>
      <w:r w:rsidRPr="005430F9">
        <w:t>Remuneraciones</w:t>
      </w:r>
    </w:p>
    <w:p w14:paraId="0E9042D1" w14:textId="5440FBB5" w:rsidR="001576B3" w:rsidRPr="005430F9" w:rsidRDefault="001576B3" w:rsidP="005430F9">
      <w:pPr>
        <w:pStyle w:val="Default"/>
        <w:numPr>
          <w:ilvl w:val="0"/>
          <w:numId w:val="15"/>
        </w:numPr>
        <w:ind w:left="284" w:right="-518" w:hanging="284"/>
        <w:jc w:val="both"/>
        <w:rPr>
          <w:color w:val="000000" w:themeColor="text1"/>
        </w:rPr>
      </w:pPr>
      <w:r w:rsidRPr="005430F9">
        <w:rPr>
          <w:color w:val="000000" w:themeColor="text1"/>
        </w:rPr>
        <w:t>Gastos por consumo de bienes y servicios</w:t>
      </w:r>
    </w:p>
    <w:p w14:paraId="4F5FFBA8" w14:textId="5C053661" w:rsidR="001576B3" w:rsidRPr="005430F9" w:rsidRDefault="001576B3" w:rsidP="005430F9">
      <w:pPr>
        <w:pStyle w:val="Default"/>
        <w:numPr>
          <w:ilvl w:val="0"/>
          <w:numId w:val="15"/>
        </w:numPr>
        <w:ind w:left="284" w:right="-518" w:hanging="284"/>
        <w:jc w:val="both"/>
        <w:rPr>
          <w:color w:val="000000" w:themeColor="text1"/>
        </w:rPr>
      </w:pPr>
      <w:r w:rsidRPr="005430F9">
        <w:rPr>
          <w:color w:val="000000" w:themeColor="text1"/>
        </w:rPr>
        <w:t>Gastos por comercio electrónico</w:t>
      </w:r>
    </w:p>
    <w:p w14:paraId="30462A8F" w14:textId="4F040918" w:rsidR="001576B3" w:rsidRPr="005430F9" w:rsidRDefault="001576B3" w:rsidP="005430F9">
      <w:pPr>
        <w:pStyle w:val="Default"/>
        <w:numPr>
          <w:ilvl w:val="0"/>
          <w:numId w:val="15"/>
        </w:numPr>
        <w:ind w:left="284" w:right="-518" w:hanging="284"/>
        <w:jc w:val="both"/>
        <w:rPr>
          <w:color w:val="000000" w:themeColor="text1"/>
        </w:rPr>
      </w:pPr>
      <w:r w:rsidRPr="005430F9">
        <w:rPr>
          <w:color w:val="000000" w:themeColor="text1"/>
        </w:rPr>
        <w:t>Gastos fiscales, financieros y donaciones</w:t>
      </w:r>
    </w:p>
    <w:p w14:paraId="0EDB7137" w14:textId="68DDC019" w:rsidR="001576B3" w:rsidRPr="005430F9" w:rsidRDefault="001576B3" w:rsidP="005430F9">
      <w:pPr>
        <w:pStyle w:val="Default"/>
        <w:numPr>
          <w:ilvl w:val="0"/>
          <w:numId w:val="15"/>
        </w:numPr>
        <w:ind w:left="284" w:right="-518" w:hanging="284"/>
        <w:jc w:val="both"/>
        <w:rPr>
          <w:color w:val="000000" w:themeColor="text1"/>
        </w:rPr>
      </w:pPr>
      <w:r w:rsidRPr="005430F9">
        <w:rPr>
          <w:color w:val="000000" w:themeColor="text1"/>
        </w:rPr>
        <w:t>Ingresos por suministro de bienes y servicios</w:t>
      </w:r>
    </w:p>
    <w:p w14:paraId="1393067A" w14:textId="1E1F6BE1" w:rsidR="001576B3" w:rsidRPr="005430F9" w:rsidRDefault="001576B3" w:rsidP="005430F9">
      <w:pPr>
        <w:pStyle w:val="Default"/>
        <w:numPr>
          <w:ilvl w:val="0"/>
          <w:numId w:val="15"/>
        </w:numPr>
        <w:ind w:left="284" w:right="-518" w:hanging="284"/>
        <w:jc w:val="both"/>
        <w:rPr>
          <w:color w:val="000000" w:themeColor="text1"/>
        </w:rPr>
      </w:pPr>
      <w:r w:rsidRPr="005430F9">
        <w:rPr>
          <w:color w:val="000000" w:themeColor="text1"/>
        </w:rPr>
        <w:t>Ingresos por comercio electrónico</w:t>
      </w:r>
    </w:p>
    <w:p w14:paraId="0A6C3257" w14:textId="367A66B0" w:rsidR="001576B3" w:rsidRPr="005430F9" w:rsidRDefault="009D6EF8" w:rsidP="005430F9">
      <w:pPr>
        <w:pStyle w:val="Default"/>
        <w:numPr>
          <w:ilvl w:val="0"/>
          <w:numId w:val="15"/>
        </w:numPr>
        <w:ind w:left="284" w:right="-518" w:hanging="284"/>
        <w:jc w:val="both"/>
        <w:rPr>
          <w:color w:val="000000" w:themeColor="text1"/>
        </w:rPr>
      </w:pPr>
      <w:r w:rsidRPr="005430F9">
        <w:rPr>
          <w:rFonts w:eastAsia="Times New Roman"/>
          <w:color w:val="000000" w:themeColor="text1"/>
          <w:lang w:eastAsia="es-MX"/>
        </w:rPr>
        <w:t>I</w:t>
      </w:r>
      <w:r w:rsidR="001576B3" w:rsidRPr="005430F9">
        <w:rPr>
          <w:rFonts w:eastAsia="Times New Roman"/>
          <w:color w:val="000000" w:themeColor="text1"/>
          <w:lang w:eastAsia="es-MX"/>
        </w:rPr>
        <w:t>ngresos financieros, subsidios y donaciones</w:t>
      </w:r>
    </w:p>
    <w:p w14:paraId="73D3FA09" w14:textId="10C24083" w:rsidR="001576B3" w:rsidRPr="005430F9" w:rsidRDefault="001576B3" w:rsidP="005430F9">
      <w:pPr>
        <w:pStyle w:val="Default"/>
        <w:numPr>
          <w:ilvl w:val="0"/>
          <w:numId w:val="15"/>
        </w:numPr>
        <w:ind w:left="284" w:right="-518" w:hanging="284"/>
        <w:jc w:val="both"/>
        <w:rPr>
          <w:color w:val="000000" w:themeColor="text1"/>
        </w:rPr>
      </w:pPr>
      <w:r w:rsidRPr="005430F9">
        <w:rPr>
          <w:rFonts w:eastAsia="Times New Roman"/>
          <w:color w:val="000000" w:themeColor="text1"/>
          <w:lang w:eastAsia="es-MX"/>
        </w:rPr>
        <w:t>Valor de producción</w:t>
      </w:r>
    </w:p>
    <w:p w14:paraId="262C2195" w14:textId="07319B83" w:rsidR="001576B3" w:rsidRPr="005430F9" w:rsidRDefault="001576B3" w:rsidP="005430F9">
      <w:pPr>
        <w:pStyle w:val="Default"/>
        <w:numPr>
          <w:ilvl w:val="0"/>
          <w:numId w:val="15"/>
        </w:numPr>
        <w:ind w:left="284" w:right="-518" w:hanging="284"/>
        <w:jc w:val="both"/>
        <w:rPr>
          <w:color w:val="000000" w:themeColor="text1"/>
        </w:rPr>
      </w:pPr>
      <w:r w:rsidRPr="005430F9">
        <w:rPr>
          <w:rFonts w:eastAsia="Times New Roman"/>
          <w:color w:val="000000" w:themeColor="text1"/>
          <w:lang w:eastAsia="es-MX"/>
        </w:rPr>
        <w:lastRenderedPageBreak/>
        <w:t>Existencias</w:t>
      </w:r>
    </w:p>
    <w:p w14:paraId="061123C7" w14:textId="1527B3BB" w:rsidR="001576B3" w:rsidRPr="005430F9" w:rsidRDefault="001576B3" w:rsidP="005430F9">
      <w:pPr>
        <w:pStyle w:val="Default"/>
        <w:numPr>
          <w:ilvl w:val="0"/>
          <w:numId w:val="15"/>
        </w:numPr>
        <w:ind w:left="284" w:right="-518" w:hanging="284"/>
        <w:jc w:val="both"/>
        <w:rPr>
          <w:color w:val="000000" w:themeColor="text1"/>
        </w:rPr>
      </w:pPr>
      <w:r w:rsidRPr="005430F9">
        <w:rPr>
          <w:rFonts w:eastAsia="Times New Roman"/>
          <w:color w:val="000000" w:themeColor="text1"/>
          <w:lang w:eastAsia="es-MX"/>
        </w:rPr>
        <w:t>Activos fijos</w:t>
      </w:r>
    </w:p>
    <w:p w14:paraId="5A964A2E" w14:textId="2F26B6D2" w:rsidR="001576B3" w:rsidRPr="005430F9" w:rsidRDefault="001576B3" w:rsidP="005430F9">
      <w:pPr>
        <w:pStyle w:val="Default"/>
        <w:numPr>
          <w:ilvl w:val="0"/>
          <w:numId w:val="15"/>
        </w:numPr>
        <w:ind w:left="284" w:right="-518" w:hanging="284"/>
        <w:jc w:val="both"/>
        <w:rPr>
          <w:color w:val="000000" w:themeColor="text1"/>
        </w:rPr>
      </w:pPr>
      <w:r w:rsidRPr="005430F9">
        <w:rPr>
          <w:rFonts w:eastAsia="Times New Roman"/>
          <w:color w:val="000000" w:themeColor="text1"/>
          <w:lang w:eastAsia="es-MX"/>
        </w:rPr>
        <w:t>Características generales de la</w:t>
      </w:r>
      <w:r w:rsidR="00F00864" w:rsidRPr="005430F9">
        <w:rPr>
          <w:rFonts w:eastAsia="Times New Roman"/>
          <w:color w:val="000000" w:themeColor="text1"/>
          <w:lang w:eastAsia="es-MX"/>
        </w:rPr>
        <w:t>s empresas</w:t>
      </w:r>
    </w:p>
    <w:p w14:paraId="2EB47BD2" w14:textId="77777777" w:rsidR="00C45B3E" w:rsidRPr="005430F9" w:rsidRDefault="00C45B3E" w:rsidP="005430F9">
      <w:pPr>
        <w:pStyle w:val="Default"/>
        <w:ind w:left="-567" w:right="-518"/>
        <w:jc w:val="both"/>
      </w:pPr>
    </w:p>
    <w:p w14:paraId="3AAD60B3" w14:textId="77777777" w:rsidR="00EF26A5" w:rsidRDefault="00EF26A5" w:rsidP="00EF26A5">
      <w:pPr>
        <w:pStyle w:val="Default"/>
        <w:ind w:left="-567" w:right="-518"/>
        <w:jc w:val="both"/>
        <w:rPr>
          <w:rFonts w:eastAsiaTheme="minorEastAsia"/>
          <w:lang w:eastAsia="es-MX"/>
        </w:rPr>
      </w:pPr>
    </w:p>
    <w:p w14:paraId="717E7E5D" w14:textId="35150E6F" w:rsidR="00EF26A5" w:rsidRPr="005430F9" w:rsidRDefault="001576B3" w:rsidP="00EF26A5">
      <w:pPr>
        <w:pStyle w:val="Default"/>
        <w:ind w:left="-567" w:right="-518"/>
        <w:jc w:val="both"/>
        <w:rPr>
          <w:rStyle w:val="A1"/>
          <w:sz w:val="24"/>
          <w:szCs w:val="24"/>
        </w:rPr>
      </w:pPr>
      <w:r w:rsidRPr="005430F9">
        <w:rPr>
          <w:rFonts w:eastAsiaTheme="minorEastAsia"/>
          <w:lang w:eastAsia="es-MX"/>
        </w:rPr>
        <w:t xml:space="preserve">La </w:t>
      </w:r>
      <w:r w:rsidR="00C96A75">
        <w:rPr>
          <w:rFonts w:eastAsiaTheme="minorEastAsia"/>
          <w:lang w:eastAsia="es-MX"/>
        </w:rPr>
        <w:t xml:space="preserve">EAEC tiene </w:t>
      </w:r>
      <w:r w:rsidRPr="005430F9">
        <w:rPr>
          <w:rFonts w:eastAsiaTheme="minorEastAsia"/>
          <w:lang w:eastAsia="es-MX"/>
        </w:rPr>
        <w:t>cobertura</w:t>
      </w:r>
      <w:r w:rsidR="00A32418" w:rsidRPr="005430F9">
        <w:rPr>
          <w:rFonts w:eastAsiaTheme="minorEastAsia"/>
          <w:lang w:eastAsia="es-MX"/>
        </w:rPr>
        <w:t xml:space="preserve"> geográfica nacional y por entidad federativa, así como por sector y subsector de actividad SCIAN, ambos</w:t>
      </w:r>
      <w:r w:rsidR="00C96A75">
        <w:rPr>
          <w:rFonts w:eastAsiaTheme="minorEastAsia"/>
          <w:lang w:eastAsia="es-MX"/>
        </w:rPr>
        <w:t>,</w:t>
      </w:r>
      <w:r w:rsidR="00A32418" w:rsidRPr="005430F9">
        <w:rPr>
          <w:rFonts w:eastAsiaTheme="minorEastAsia"/>
          <w:lang w:eastAsia="es-MX"/>
        </w:rPr>
        <w:t xml:space="preserve"> de manera independiente.</w:t>
      </w:r>
      <w:r w:rsidR="00EF26A5" w:rsidRPr="00EF26A5">
        <w:rPr>
          <w:rStyle w:val="A1"/>
          <w:sz w:val="24"/>
          <w:szCs w:val="24"/>
        </w:rPr>
        <w:t xml:space="preserve"> </w:t>
      </w:r>
      <w:r w:rsidR="00EF26A5" w:rsidRPr="005430F9">
        <w:rPr>
          <w:rStyle w:val="A1"/>
          <w:sz w:val="24"/>
          <w:szCs w:val="24"/>
        </w:rPr>
        <w:t xml:space="preserve">Para la serie 2013, el marco de la encuesta se conformó con el directorio de los resultados definitivos de los Censos Económicos 2014 (datos de 2013) </w:t>
      </w:r>
      <w:r w:rsidR="00EF26A5">
        <w:rPr>
          <w:rStyle w:val="A1"/>
          <w:sz w:val="24"/>
          <w:szCs w:val="24"/>
        </w:rPr>
        <w:t xml:space="preserve">y se actualizó con el </w:t>
      </w:r>
      <w:r w:rsidR="00EF26A5" w:rsidRPr="005430F9">
        <w:rPr>
          <w:rStyle w:val="A1"/>
          <w:sz w:val="24"/>
          <w:szCs w:val="24"/>
        </w:rPr>
        <w:t>Registro Estadístico de Negocios de México (RENEM).</w:t>
      </w:r>
    </w:p>
    <w:p w14:paraId="2BDEBEFB" w14:textId="1CC2A6C8" w:rsidR="001576B3" w:rsidRPr="005430F9" w:rsidRDefault="001576B3" w:rsidP="005430F9">
      <w:pPr>
        <w:widowControl w:val="0"/>
        <w:autoSpaceDE w:val="0"/>
        <w:autoSpaceDN w:val="0"/>
        <w:adjustRightInd w:val="0"/>
        <w:spacing w:after="0" w:line="240" w:lineRule="auto"/>
        <w:ind w:left="-567" w:right="-518"/>
        <w:jc w:val="both"/>
        <w:rPr>
          <w:rFonts w:ascii="Arial" w:eastAsiaTheme="minorEastAsia" w:hAnsi="Arial" w:cs="Arial"/>
          <w:sz w:val="24"/>
          <w:szCs w:val="24"/>
          <w:lang w:eastAsia="es-MX"/>
        </w:rPr>
      </w:pPr>
    </w:p>
    <w:p w14:paraId="0179ABA4" w14:textId="77777777" w:rsidR="00A32418" w:rsidRPr="005430F9" w:rsidRDefault="00A32418" w:rsidP="005430F9">
      <w:pPr>
        <w:widowControl w:val="0"/>
        <w:autoSpaceDE w:val="0"/>
        <w:autoSpaceDN w:val="0"/>
        <w:adjustRightInd w:val="0"/>
        <w:spacing w:after="0" w:line="240" w:lineRule="auto"/>
        <w:ind w:left="-567" w:right="-518"/>
        <w:jc w:val="both"/>
        <w:rPr>
          <w:rFonts w:ascii="Arial" w:eastAsiaTheme="minorEastAsia" w:hAnsi="Arial" w:cs="Arial"/>
          <w:sz w:val="20"/>
          <w:szCs w:val="20"/>
          <w:lang w:eastAsia="es-MX"/>
        </w:rPr>
      </w:pPr>
    </w:p>
    <w:p w14:paraId="33BA6322" w14:textId="19D03B5A" w:rsidR="001576B3" w:rsidRPr="005430F9" w:rsidRDefault="001576B3" w:rsidP="00363AD4">
      <w:pPr>
        <w:widowControl w:val="0"/>
        <w:autoSpaceDE w:val="0"/>
        <w:autoSpaceDN w:val="0"/>
        <w:adjustRightInd w:val="0"/>
        <w:spacing w:after="0" w:line="240" w:lineRule="auto"/>
        <w:jc w:val="center"/>
        <w:rPr>
          <w:rFonts w:ascii="Arial" w:eastAsiaTheme="minorEastAsia" w:hAnsi="Arial" w:cs="Arial"/>
          <w:bCs/>
          <w:sz w:val="20"/>
          <w:szCs w:val="20"/>
          <w:lang w:eastAsia="es-MX"/>
        </w:rPr>
      </w:pPr>
      <w:r w:rsidRPr="005430F9">
        <w:rPr>
          <w:rFonts w:ascii="Arial" w:eastAsiaTheme="minorEastAsia" w:hAnsi="Arial" w:cs="Arial"/>
          <w:bCs/>
          <w:sz w:val="20"/>
          <w:szCs w:val="20"/>
          <w:lang w:eastAsia="es-MX"/>
        </w:rPr>
        <w:t xml:space="preserve">Cuadro </w:t>
      </w:r>
      <w:r w:rsidR="002C2D13" w:rsidRPr="005430F9">
        <w:rPr>
          <w:rFonts w:ascii="Arial" w:eastAsiaTheme="minorEastAsia" w:hAnsi="Arial" w:cs="Arial"/>
          <w:bCs/>
          <w:sz w:val="20"/>
          <w:szCs w:val="20"/>
          <w:lang w:eastAsia="es-MX"/>
        </w:rPr>
        <w:t>10</w:t>
      </w:r>
    </w:p>
    <w:p w14:paraId="1079DDCE" w14:textId="77777777" w:rsidR="001576B3" w:rsidRPr="005430F9" w:rsidRDefault="001576B3" w:rsidP="00363AD4">
      <w:pPr>
        <w:widowControl w:val="0"/>
        <w:autoSpaceDE w:val="0"/>
        <w:autoSpaceDN w:val="0"/>
        <w:adjustRightInd w:val="0"/>
        <w:spacing w:after="0" w:line="240" w:lineRule="auto"/>
        <w:jc w:val="center"/>
        <w:rPr>
          <w:rFonts w:ascii="Arial Negrita" w:eastAsiaTheme="minorEastAsia" w:hAnsi="Arial Negrita" w:cs="Arial"/>
          <w:b/>
          <w:bCs/>
          <w:smallCaps/>
          <w:lang w:eastAsia="es-MX"/>
        </w:rPr>
      </w:pPr>
      <w:r w:rsidRPr="005430F9">
        <w:rPr>
          <w:rFonts w:ascii="Arial Negrita" w:eastAsiaTheme="minorEastAsia" w:hAnsi="Arial Negrita" w:cs="Arial"/>
          <w:b/>
          <w:bCs/>
          <w:smallCaps/>
          <w:lang w:eastAsia="es-MX"/>
        </w:rPr>
        <w:t>Marco de muestreo de la EAEC</w:t>
      </w:r>
    </w:p>
    <w:tbl>
      <w:tblPr>
        <w:tblStyle w:val="Tablaconcuadrcula"/>
        <w:tblW w:w="6682" w:type="dxa"/>
        <w:jc w:val="center"/>
        <w:tblLayout w:type="fixed"/>
        <w:tblLook w:val="04A0" w:firstRow="1" w:lastRow="0" w:firstColumn="1" w:lastColumn="0" w:noHBand="0" w:noVBand="1"/>
      </w:tblPr>
      <w:tblGrid>
        <w:gridCol w:w="2180"/>
        <w:gridCol w:w="2102"/>
        <w:gridCol w:w="2400"/>
      </w:tblGrid>
      <w:tr w:rsidR="00E742D9" w14:paraId="127ECCCC" w14:textId="77777777" w:rsidTr="00D3530D">
        <w:trPr>
          <w:trHeight w:val="529"/>
          <w:jc w:val="center"/>
        </w:trPr>
        <w:tc>
          <w:tcPr>
            <w:tcW w:w="2180" w:type="dxa"/>
            <w:shd w:val="clear" w:color="auto" w:fill="FFB13F"/>
            <w:vAlign w:val="center"/>
          </w:tcPr>
          <w:p w14:paraId="2E3EEDA2" w14:textId="77777777" w:rsidR="00E742D9" w:rsidRDefault="00E742D9" w:rsidP="00E742D9">
            <w:pPr>
              <w:widowControl w:val="0"/>
              <w:autoSpaceDE w:val="0"/>
              <w:autoSpaceDN w:val="0"/>
              <w:adjustRightInd w:val="0"/>
              <w:jc w:val="center"/>
              <w:rPr>
                <w:rFonts w:ascii="Arial" w:eastAsiaTheme="minorEastAsia" w:hAnsi="Arial" w:cs="Arial"/>
                <w:b/>
                <w:bCs/>
                <w:lang w:eastAsia="es-MX"/>
              </w:rPr>
            </w:pPr>
            <w:r w:rsidRPr="00637355">
              <w:rPr>
                <w:rFonts w:ascii="Arial" w:hAnsi="Arial" w:cs="Arial"/>
                <w:b/>
                <w:bCs/>
                <w:sz w:val="20"/>
                <w:szCs w:val="20"/>
              </w:rPr>
              <w:t>Unidades económicas</w:t>
            </w:r>
          </w:p>
        </w:tc>
        <w:tc>
          <w:tcPr>
            <w:tcW w:w="2102" w:type="dxa"/>
            <w:shd w:val="clear" w:color="auto" w:fill="FFB13F"/>
            <w:vAlign w:val="center"/>
          </w:tcPr>
          <w:p w14:paraId="3F2F2E1D" w14:textId="577B463C" w:rsidR="00E742D9" w:rsidRDefault="00E742D9" w:rsidP="00E742D9">
            <w:pPr>
              <w:widowControl w:val="0"/>
              <w:autoSpaceDE w:val="0"/>
              <w:autoSpaceDN w:val="0"/>
              <w:adjustRightInd w:val="0"/>
              <w:jc w:val="center"/>
              <w:rPr>
                <w:rFonts w:ascii="Arial" w:eastAsiaTheme="minorEastAsia" w:hAnsi="Arial" w:cs="Arial"/>
                <w:b/>
                <w:bCs/>
                <w:lang w:eastAsia="es-MX"/>
              </w:rPr>
            </w:pPr>
            <w:r w:rsidRPr="00637355">
              <w:rPr>
                <w:rFonts w:ascii="Arial" w:hAnsi="Arial" w:cs="Arial"/>
                <w:b/>
                <w:bCs/>
                <w:sz w:val="20"/>
                <w:szCs w:val="20"/>
              </w:rPr>
              <w:t xml:space="preserve">Personal </w:t>
            </w:r>
            <w:r w:rsidR="00C96A75">
              <w:rPr>
                <w:rFonts w:ascii="Arial" w:hAnsi="Arial" w:cs="Arial"/>
                <w:b/>
                <w:bCs/>
                <w:sz w:val="20"/>
                <w:szCs w:val="20"/>
              </w:rPr>
              <w:t>o</w:t>
            </w:r>
            <w:r w:rsidRPr="00637355">
              <w:rPr>
                <w:rFonts w:ascii="Arial" w:hAnsi="Arial" w:cs="Arial"/>
                <w:b/>
                <w:bCs/>
                <w:sz w:val="20"/>
                <w:szCs w:val="20"/>
              </w:rPr>
              <w:t>cupado</w:t>
            </w:r>
          </w:p>
        </w:tc>
        <w:tc>
          <w:tcPr>
            <w:tcW w:w="2400" w:type="dxa"/>
            <w:shd w:val="clear" w:color="auto" w:fill="FFB13F"/>
            <w:vAlign w:val="center"/>
          </w:tcPr>
          <w:p w14:paraId="1008F0F5" w14:textId="77777777" w:rsidR="00E742D9" w:rsidRPr="00637355" w:rsidRDefault="00E742D9" w:rsidP="00E742D9">
            <w:pPr>
              <w:autoSpaceDE w:val="0"/>
              <w:autoSpaceDN w:val="0"/>
              <w:adjustRightInd w:val="0"/>
              <w:jc w:val="center"/>
              <w:rPr>
                <w:rFonts w:ascii="Arial" w:hAnsi="Arial" w:cs="Arial"/>
                <w:b/>
                <w:bCs/>
                <w:sz w:val="20"/>
                <w:szCs w:val="20"/>
              </w:rPr>
            </w:pPr>
            <w:r w:rsidRPr="00637355">
              <w:rPr>
                <w:rFonts w:ascii="Arial" w:hAnsi="Arial" w:cs="Arial"/>
                <w:b/>
                <w:bCs/>
                <w:sz w:val="20"/>
                <w:szCs w:val="20"/>
              </w:rPr>
              <w:t>Valor de la producción</w:t>
            </w:r>
          </w:p>
          <w:p w14:paraId="42109DB4" w14:textId="77777777" w:rsidR="00E742D9" w:rsidRDefault="00E742D9" w:rsidP="00E742D9">
            <w:pPr>
              <w:widowControl w:val="0"/>
              <w:autoSpaceDE w:val="0"/>
              <w:autoSpaceDN w:val="0"/>
              <w:adjustRightInd w:val="0"/>
              <w:jc w:val="center"/>
              <w:rPr>
                <w:rFonts w:ascii="Arial" w:eastAsiaTheme="minorEastAsia" w:hAnsi="Arial" w:cs="Arial"/>
                <w:b/>
                <w:bCs/>
                <w:lang w:eastAsia="es-MX"/>
              </w:rPr>
            </w:pPr>
            <w:r w:rsidRPr="00637355">
              <w:rPr>
                <w:rFonts w:ascii="Arial" w:hAnsi="Arial" w:cs="Arial"/>
                <w:b/>
                <w:bCs/>
                <w:sz w:val="20"/>
                <w:szCs w:val="20"/>
              </w:rPr>
              <w:t>(miles de pesos)</w:t>
            </w:r>
          </w:p>
        </w:tc>
      </w:tr>
      <w:tr w:rsidR="00A32418" w14:paraId="711DBA0F" w14:textId="77777777" w:rsidTr="00363AD4">
        <w:trPr>
          <w:trHeight w:val="459"/>
          <w:jc w:val="center"/>
        </w:trPr>
        <w:tc>
          <w:tcPr>
            <w:tcW w:w="2180" w:type="dxa"/>
            <w:vAlign w:val="center"/>
          </w:tcPr>
          <w:p w14:paraId="25836FC0" w14:textId="428C5F1C" w:rsidR="00A32418" w:rsidRDefault="00A32418" w:rsidP="002652BF">
            <w:pPr>
              <w:widowControl w:val="0"/>
              <w:autoSpaceDE w:val="0"/>
              <w:autoSpaceDN w:val="0"/>
              <w:adjustRightInd w:val="0"/>
              <w:jc w:val="center"/>
              <w:rPr>
                <w:rFonts w:ascii="Arial" w:eastAsiaTheme="minorEastAsia" w:hAnsi="Arial" w:cs="Arial"/>
                <w:b/>
                <w:bCs/>
                <w:lang w:eastAsia="es-MX"/>
              </w:rPr>
            </w:pPr>
            <w:r w:rsidRPr="00637355">
              <w:rPr>
                <w:rFonts w:ascii="Arial" w:hAnsi="Arial" w:cs="Arial"/>
                <w:sz w:val="20"/>
                <w:szCs w:val="20"/>
              </w:rPr>
              <w:t>17</w:t>
            </w:r>
            <w:r w:rsidR="00D3530D">
              <w:rPr>
                <w:rFonts w:ascii="Arial" w:hAnsi="Arial" w:cs="Arial"/>
                <w:sz w:val="20"/>
                <w:szCs w:val="20"/>
              </w:rPr>
              <w:t xml:space="preserve"> </w:t>
            </w:r>
            <w:r w:rsidRPr="00637355">
              <w:rPr>
                <w:rFonts w:ascii="Arial" w:hAnsi="Arial" w:cs="Arial"/>
                <w:sz w:val="20"/>
                <w:szCs w:val="20"/>
              </w:rPr>
              <w:t>895</w:t>
            </w:r>
          </w:p>
        </w:tc>
        <w:tc>
          <w:tcPr>
            <w:tcW w:w="2102" w:type="dxa"/>
            <w:vAlign w:val="center"/>
          </w:tcPr>
          <w:p w14:paraId="3E62D0B9" w14:textId="77777777" w:rsidR="00A32418" w:rsidRPr="00637355" w:rsidRDefault="00A32418" w:rsidP="002652BF">
            <w:pPr>
              <w:autoSpaceDE w:val="0"/>
              <w:autoSpaceDN w:val="0"/>
              <w:adjustRightInd w:val="0"/>
              <w:jc w:val="center"/>
              <w:rPr>
                <w:rFonts w:ascii="Arial" w:hAnsi="Arial" w:cs="Arial"/>
                <w:sz w:val="20"/>
                <w:szCs w:val="20"/>
              </w:rPr>
            </w:pPr>
          </w:p>
          <w:p w14:paraId="6FEE16FB" w14:textId="3846DB75" w:rsidR="00A32418" w:rsidRPr="00637355" w:rsidRDefault="00A32418" w:rsidP="002652BF">
            <w:pPr>
              <w:autoSpaceDE w:val="0"/>
              <w:autoSpaceDN w:val="0"/>
              <w:adjustRightInd w:val="0"/>
              <w:jc w:val="center"/>
              <w:rPr>
                <w:rFonts w:ascii="Arial" w:hAnsi="Arial" w:cs="Arial"/>
                <w:sz w:val="20"/>
                <w:szCs w:val="20"/>
              </w:rPr>
            </w:pPr>
            <w:r w:rsidRPr="00637355">
              <w:rPr>
                <w:rFonts w:ascii="Arial" w:hAnsi="Arial" w:cs="Arial"/>
                <w:sz w:val="20"/>
                <w:szCs w:val="20"/>
              </w:rPr>
              <w:t>622</w:t>
            </w:r>
            <w:r w:rsidR="00D3530D">
              <w:rPr>
                <w:rFonts w:ascii="Arial" w:hAnsi="Arial" w:cs="Arial"/>
                <w:sz w:val="20"/>
                <w:szCs w:val="20"/>
              </w:rPr>
              <w:t xml:space="preserve"> </w:t>
            </w:r>
            <w:r w:rsidRPr="00637355">
              <w:rPr>
                <w:rFonts w:ascii="Arial" w:hAnsi="Arial" w:cs="Arial"/>
                <w:sz w:val="20"/>
                <w:szCs w:val="20"/>
              </w:rPr>
              <w:t>030</w:t>
            </w:r>
          </w:p>
          <w:p w14:paraId="1BF489DB" w14:textId="77777777" w:rsidR="00A32418" w:rsidRDefault="00A32418" w:rsidP="002652BF">
            <w:pPr>
              <w:widowControl w:val="0"/>
              <w:autoSpaceDE w:val="0"/>
              <w:autoSpaceDN w:val="0"/>
              <w:adjustRightInd w:val="0"/>
              <w:jc w:val="center"/>
              <w:rPr>
                <w:rFonts w:ascii="Arial" w:eastAsiaTheme="minorEastAsia" w:hAnsi="Arial" w:cs="Arial"/>
                <w:b/>
                <w:bCs/>
                <w:lang w:eastAsia="es-MX"/>
              </w:rPr>
            </w:pPr>
          </w:p>
        </w:tc>
        <w:tc>
          <w:tcPr>
            <w:tcW w:w="2400" w:type="dxa"/>
            <w:vAlign w:val="center"/>
          </w:tcPr>
          <w:p w14:paraId="0F5954FA" w14:textId="37A56C9B" w:rsidR="00A32418" w:rsidRDefault="00A32418" w:rsidP="002652BF">
            <w:pPr>
              <w:widowControl w:val="0"/>
              <w:autoSpaceDE w:val="0"/>
              <w:autoSpaceDN w:val="0"/>
              <w:adjustRightInd w:val="0"/>
              <w:jc w:val="center"/>
              <w:rPr>
                <w:rFonts w:ascii="Arial" w:eastAsiaTheme="minorEastAsia" w:hAnsi="Arial" w:cs="Arial"/>
                <w:b/>
                <w:bCs/>
                <w:lang w:eastAsia="es-MX"/>
              </w:rPr>
            </w:pPr>
            <w:r w:rsidRPr="00637355">
              <w:rPr>
                <w:rFonts w:ascii="Arial" w:hAnsi="Arial" w:cs="Arial"/>
                <w:sz w:val="20"/>
                <w:szCs w:val="20"/>
              </w:rPr>
              <w:t>333</w:t>
            </w:r>
            <w:r w:rsidR="00D3530D">
              <w:rPr>
                <w:rFonts w:ascii="Arial" w:hAnsi="Arial" w:cs="Arial"/>
                <w:sz w:val="20"/>
                <w:szCs w:val="20"/>
              </w:rPr>
              <w:t xml:space="preserve"> </w:t>
            </w:r>
            <w:r w:rsidRPr="00637355">
              <w:rPr>
                <w:rFonts w:ascii="Arial" w:hAnsi="Arial" w:cs="Arial"/>
                <w:sz w:val="20"/>
                <w:szCs w:val="20"/>
              </w:rPr>
              <w:t>560</w:t>
            </w:r>
            <w:r w:rsidR="00D3530D">
              <w:rPr>
                <w:rFonts w:ascii="Arial" w:hAnsi="Arial" w:cs="Arial"/>
                <w:sz w:val="20"/>
                <w:szCs w:val="20"/>
              </w:rPr>
              <w:t xml:space="preserve"> </w:t>
            </w:r>
            <w:r w:rsidRPr="00637355">
              <w:rPr>
                <w:rFonts w:ascii="Arial" w:hAnsi="Arial" w:cs="Arial"/>
                <w:sz w:val="20"/>
                <w:szCs w:val="20"/>
              </w:rPr>
              <w:t>006</w:t>
            </w:r>
          </w:p>
        </w:tc>
      </w:tr>
    </w:tbl>
    <w:p w14:paraId="1C77B6FB" w14:textId="5D9A7BB6" w:rsidR="001576B3" w:rsidRDefault="001576B3" w:rsidP="001576B3">
      <w:pPr>
        <w:pStyle w:val="Default"/>
        <w:jc w:val="both"/>
        <w:rPr>
          <w:rStyle w:val="A1"/>
          <w:sz w:val="22"/>
          <w:szCs w:val="22"/>
        </w:rPr>
      </w:pPr>
    </w:p>
    <w:p w14:paraId="1E382901" w14:textId="50015090" w:rsidR="00EF26A5" w:rsidRPr="005430F9" w:rsidRDefault="00DE3DA6" w:rsidP="00EF26A5">
      <w:pPr>
        <w:widowControl w:val="0"/>
        <w:autoSpaceDE w:val="0"/>
        <w:autoSpaceDN w:val="0"/>
        <w:adjustRightInd w:val="0"/>
        <w:spacing w:after="0" w:line="240" w:lineRule="auto"/>
        <w:ind w:left="-567" w:right="-518"/>
        <w:jc w:val="both"/>
        <w:rPr>
          <w:rFonts w:ascii="Arial" w:eastAsiaTheme="minorEastAsia" w:hAnsi="Arial" w:cs="Arial"/>
          <w:sz w:val="24"/>
          <w:szCs w:val="24"/>
          <w:lang w:eastAsia="es-MX"/>
        </w:rPr>
      </w:pPr>
      <w:r w:rsidRPr="004B1724">
        <w:rPr>
          <w:rFonts w:ascii="Arial" w:eastAsiaTheme="minorEastAsia" w:hAnsi="Arial" w:cs="Arial"/>
          <w:sz w:val="24"/>
          <w:szCs w:val="24"/>
          <w:lang w:eastAsia="es-MX"/>
        </w:rPr>
        <w:t xml:space="preserve">Las variables de selección de las empresas en muestra </w:t>
      </w:r>
      <w:r w:rsidR="00C96A75" w:rsidRPr="004B1724">
        <w:rPr>
          <w:rFonts w:ascii="Arial" w:eastAsiaTheme="minorEastAsia" w:hAnsi="Arial" w:cs="Arial"/>
          <w:lang w:eastAsia="es-MX"/>
        </w:rPr>
        <w:t>fueron</w:t>
      </w:r>
      <w:r w:rsidRPr="004B1724">
        <w:rPr>
          <w:rFonts w:ascii="Arial" w:eastAsiaTheme="minorEastAsia" w:hAnsi="Arial" w:cs="Arial"/>
          <w:sz w:val="24"/>
          <w:szCs w:val="24"/>
          <w:lang w:eastAsia="es-MX"/>
        </w:rPr>
        <w:t xml:space="preserve"> el valor de producción y el personal ocupado</w:t>
      </w:r>
      <w:r w:rsidR="004228A0" w:rsidRPr="004B1724">
        <w:rPr>
          <w:rFonts w:ascii="Arial" w:eastAsiaTheme="minorEastAsia" w:hAnsi="Arial" w:cs="Arial"/>
          <w:sz w:val="24"/>
          <w:szCs w:val="24"/>
          <w:lang w:eastAsia="es-MX"/>
        </w:rPr>
        <w:t xml:space="preserve"> (combinación lineal).</w:t>
      </w:r>
      <w:r w:rsidR="00EF26A5" w:rsidRPr="00EF26A5">
        <w:rPr>
          <w:rFonts w:ascii="Arial" w:eastAsiaTheme="minorEastAsia" w:hAnsi="Arial" w:cs="Arial"/>
          <w:sz w:val="24"/>
          <w:szCs w:val="24"/>
          <w:lang w:eastAsia="es-MX"/>
        </w:rPr>
        <w:t xml:space="preserve"> El esquema de muestreo fue probabilístico y estratificado, con selección independiente para cada estrato por dominio de estudio. </w:t>
      </w:r>
      <w:r w:rsidR="00EF26A5">
        <w:rPr>
          <w:rFonts w:ascii="Arial" w:eastAsiaTheme="minorEastAsia" w:hAnsi="Arial" w:cs="Arial"/>
          <w:sz w:val="24"/>
          <w:szCs w:val="24"/>
          <w:lang w:eastAsia="es-MX"/>
        </w:rPr>
        <w:t>Se c</w:t>
      </w:r>
      <w:r w:rsidR="00EF26A5" w:rsidRPr="00EF26A5">
        <w:rPr>
          <w:rFonts w:ascii="Arial" w:eastAsiaTheme="minorEastAsia" w:hAnsi="Arial" w:cs="Arial"/>
          <w:sz w:val="24"/>
          <w:szCs w:val="24"/>
          <w:lang w:eastAsia="es-MX"/>
        </w:rPr>
        <w:t xml:space="preserve">onsideró las empresas del estrato uno con certeza. </w:t>
      </w:r>
      <w:r w:rsidR="00EF26A5" w:rsidRPr="005430F9">
        <w:rPr>
          <w:rFonts w:ascii="Arial" w:eastAsiaTheme="minorEastAsia" w:hAnsi="Arial" w:cs="Arial"/>
          <w:sz w:val="24"/>
          <w:szCs w:val="24"/>
          <w:lang w:eastAsia="es-MX"/>
        </w:rPr>
        <w:t>Para la selección del tamaño de muestra se utilizó un nivel de confianza de 95</w:t>
      </w:r>
      <w:r w:rsidR="00EF26A5">
        <w:rPr>
          <w:rFonts w:ascii="Arial" w:eastAsiaTheme="minorEastAsia" w:hAnsi="Arial" w:cs="Arial"/>
          <w:sz w:val="24"/>
          <w:szCs w:val="24"/>
          <w:lang w:eastAsia="es-MX"/>
        </w:rPr>
        <w:t xml:space="preserve"> </w:t>
      </w:r>
      <w:r w:rsidR="00EF26A5" w:rsidRPr="005430F9">
        <w:rPr>
          <w:rFonts w:ascii="Arial" w:eastAsiaTheme="minorEastAsia" w:hAnsi="Arial" w:cs="Arial"/>
          <w:sz w:val="24"/>
          <w:szCs w:val="24"/>
          <w:lang w:eastAsia="es-MX"/>
        </w:rPr>
        <w:t>%, error relativo de 4.8</w:t>
      </w:r>
      <w:r w:rsidR="00EF26A5">
        <w:rPr>
          <w:rFonts w:ascii="Arial" w:eastAsiaTheme="minorEastAsia" w:hAnsi="Arial" w:cs="Arial"/>
          <w:sz w:val="24"/>
          <w:szCs w:val="24"/>
          <w:lang w:eastAsia="es-MX"/>
        </w:rPr>
        <w:t xml:space="preserve"> </w:t>
      </w:r>
      <w:r w:rsidR="00EF26A5" w:rsidRPr="005430F9">
        <w:rPr>
          <w:rFonts w:ascii="Arial" w:eastAsiaTheme="minorEastAsia" w:hAnsi="Arial" w:cs="Arial"/>
          <w:sz w:val="24"/>
          <w:szCs w:val="24"/>
          <w:lang w:eastAsia="es-MX"/>
        </w:rPr>
        <w:t>a 9.1</w:t>
      </w:r>
      <w:r w:rsidR="00EF26A5">
        <w:rPr>
          <w:rFonts w:ascii="Arial" w:eastAsiaTheme="minorEastAsia" w:hAnsi="Arial" w:cs="Arial"/>
          <w:sz w:val="24"/>
          <w:szCs w:val="24"/>
          <w:lang w:eastAsia="es-MX"/>
        </w:rPr>
        <w:t xml:space="preserve"> </w:t>
      </w:r>
      <w:r w:rsidR="00EF26A5" w:rsidRPr="005430F9">
        <w:rPr>
          <w:rFonts w:ascii="Arial" w:eastAsiaTheme="minorEastAsia" w:hAnsi="Arial" w:cs="Arial"/>
          <w:sz w:val="24"/>
          <w:szCs w:val="24"/>
          <w:lang w:eastAsia="es-MX"/>
        </w:rPr>
        <w:t xml:space="preserve">% </w:t>
      </w:r>
      <w:r w:rsidR="00EF26A5">
        <w:rPr>
          <w:rFonts w:ascii="Arial" w:eastAsiaTheme="minorEastAsia" w:hAnsi="Arial" w:cs="Arial"/>
          <w:sz w:val="24"/>
          <w:szCs w:val="24"/>
          <w:lang w:eastAsia="es-MX"/>
        </w:rPr>
        <w:t xml:space="preserve">y se </w:t>
      </w:r>
      <w:r w:rsidR="00EF26A5" w:rsidRPr="005430F9">
        <w:rPr>
          <w:rFonts w:ascii="Arial" w:eastAsiaTheme="minorEastAsia" w:hAnsi="Arial" w:cs="Arial"/>
          <w:sz w:val="24"/>
          <w:szCs w:val="24"/>
          <w:lang w:eastAsia="es-MX"/>
        </w:rPr>
        <w:t>calcul</w:t>
      </w:r>
      <w:r w:rsidR="00EF26A5">
        <w:rPr>
          <w:rFonts w:ascii="Arial" w:eastAsiaTheme="minorEastAsia" w:hAnsi="Arial" w:cs="Arial"/>
          <w:sz w:val="24"/>
          <w:szCs w:val="24"/>
          <w:lang w:eastAsia="es-MX"/>
        </w:rPr>
        <w:t>ó</w:t>
      </w:r>
      <w:r w:rsidR="00EF26A5" w:rsidRPr="005430F9">
        <w:rPr>
          <w:rFonts w:ascii="Arial" w:eastAsiaTheme="minorEastAsia" w:hAnsi="Arial" w:cs="Arial"/>
          <w:sz w:val="24"/>
          <w:szCs w:val="24"/>
          <w:lang w:eastAsia="es-MX"/>
        </w:rPr>
        <w:t xml:space="preserve"> según la entidad federativa</w:t>
      </w:r>
      <w:r w:rsidR="00EF26A5">
        <w:rPr>
          <w:rFonts w:ascii="Arial" w:eastAsiaTheme="minorEastAsia" w:hAnsi="Arial" w:cs="Arial"/>
          <w:sz w:val="24"/>
          <w:szCs w:val="24"/>
          <w:lang w:eastAsia="es-MX"/>
        </w:rPr>
        <w:t>. Se consideró</w:t>
      </w:r>
      <w:r w:rsidR="00EF26A5" w:rsidRPr="005430F9">
        <w:rPr>
          <w:rFonts w:ascii="Arial" w:eastAsiaTheme="minorEastAsia" w:hAnsi="Arial" w:cs="Arial"/>
          <w:sz w:val="24"/>
          <w:szCs w:val="24"/>
          <w:lang w:eastAsia="es-MX"/>
        </w:rPr>
        <w:t xml:space="preserve"> una tasa de no respuesta esperada de 20 por ciento.</w:t>
      </w:r>
      <w:r w:rsidR="00EF26A5" w:rsidRPr="005430F9">
        <w:rPr>
          <w:rStyle w:val="A1"/>
          <w:sz w:val="24"/>
          <w:szCs w:val="24"/>
        </w:rPr>
        <w:t xml:space="preserve"> </w:t>
      </w:r>
      <w:r w:rsidR="00EF26A5" w:rsidRPr="005430F9">
        <w:rPr>
          <w:rFonts w:ascii="Arial" w:eastAsiaTheme="minorEastAsia" w:hAnsi="Arial" w:cs="Arial"/>
          <w:sz w:val="24"/>
          <w:szCs w:val="24"/>
          <w:lang w:eastAsia="es-MX"/>
        </w:rPr>
        <w:t xml:space="preserve">El tamaño de muestra total </w:t>
      </w:r>
      <w:r w:rsidR="00EF26A5">
        <w:rPr>
          <w:rFonts w:ascii="Arial" w:eastAsiaTheme="minorEastAsia" w:hAnsi="Arial" w:cs="Arial"/>
          <w:sz w:val="24"/>
          <w:szCs w:val="24"/>
          <w:lang w:eastAsia="es-MX"/>
        </w:rPr>
        <w:t>fue</w:t>
      </w:r>
      <w:r w:rsidR="00EF26A5" w:rsidRPr="005430F9">
        <w:rPr>
          <w:rFonts w:ascii="Arial" w:eastAsiaTheme="minorEastAsia" w:hAnsi="Arial" w:cs="Arial"/>
          <w:sz w:val="24"/>
          <w:szCs w:val="24"/>
          <w:lang w:eastAsia="es-MX"/>
        </w:rPr>
        <w:t xml:space="preserve"> de 3</w:t>
      </w:r>
      <w:r w:rsidR="00EF26A5">
        <w:rPr>
          <w:rFonts w:ascii="Arial" w:eastAsiaTheme="minorEastAsia" w:hAnsi="Arial" w:cs="Arial"/>
          <w:sz w:val="24"/>
          <w:szCs w:val="24"/>
          <w:lang w:eastAsia="es-MX"/>
        </w:rPr>
        <w:t xml:space="preserve"> </w:t>
      </w:r>
      <w:r w:rsidR="00EF26A5" w:rsidRPr="005430F9">
        <w:rPr>
          <w:rFonts w:ascii="Arial" w:eastAsiaTheme="minorEastAsia" w:hAnsi="Arial" w:cs="Arial"/>
          <w:sz w:val="24"/>
          <w:szCs w:val="24"/>
          <w:lang w:eastAsia="es-MX"/>
        </w:rPr>
        <w:t xml:space="preserve">492 empresas. Los siguientes cuadros presentan la conformación de la muestra por subsector y entidad federativa, respectivamente. </w:t>
      </w:r>
    </w:p>
    <w:p w14:paraId="5B75873C" w14:textId="455B03A3" w:rsidR="001576B3" w:rsidRPr="005430F9" w:rsidRDefault="001576B3" w:rsidP="004B1724">
      <w:pPr>
        <w:widowControl w:val="0"/>
        <w:autoSpaceDE w:val="0"/>
        <w:autoSpaceDN w:val="0"/>
        <w:adjustRightInd w:val="0"/>
        <w:spacing w:after="0" w:line="240" w:lineRule="auto"/>
        <w:ind w:right="-518"/>
        <w:jc w:val="both"/>
        <w:rPr>
          <w:rFonts w:ascii="Arial" w:eastAsiaTheme="minorEastAsia" w:hAnsi="Arial" w:cs="Arial"/>
          <w:sz w:val="24"/>
          <w:szCs w:val="24"/>
          <w:lang w:eastAsia="es-MX"/>
        </w:rPr>
      </w:pPr>
    </w:p>
    <w:p w14:paraId="3D12CB39" w14:textId="77777777" w:rsidR="00ED2C92" w:rsidRDefault="00ED2C92" w:rsidP="001576B3">
      <w:pPr>
        <w:widowControl w:val="0"/>
        <w:autoSpaceDE w:val="0"/>
        <w:autoSpaceDN w:val="0"/>
        <w:adjustRightInd w:val="0"/>
        <w:spacing w:after="0" w:line="240" w:lineRule="auto"/>
        <w:jc w:val="center"/>
        <w:rPr>
          <w:rFonts w:ascii="Arial" w:hAnsi="Arial" w:cs="Arial"/>
          <w:b/>
          <w:bCs/>
          <w:color w:val="000000"/>
        </w:rPr>
      </w:pPr>
    </w:p>
    <w:p w14:paraId="3143820C" w14:textId="6481B74C" w:rsidR="001576B3" w:rsidRPr="005430F9" w:rsidRDefault="001576B3" w:rsidP="001576B3">
      <w:pPr>
        <w:widowControl w:val="0"/>
        <w:autoSpaceDE w:val="0"/>
        <w:autoSpaceDN w:val="0"/>
        <w:adjustRightInd w:val="0"/>
        <w:spacing w:after="0" w:line="240" w:lineRule="auto"/>
        <w:jc w:val="center"/>
        <w:rPr>
          <w:rFonts w:ascii="Arial" w:eastAsiaTheme="minorEastAsia" w:hAnsi="Arial" w:cs="Arial"/>
          <w:sz w:val="20"/>
          <w:szCs w:val="20"/>
          <w:lang w:eastAsia="es-MX"/>
        </w:rPr>
      </w:pPr>
      <w:r w:rsidRPr="005430F9">
        <w:rPr>
          <w:rFonts w:ascii="Arial" w:hAnsi="Arial" w:cs="Arial"/>
          <w:bCs/>
          <w:color w:val="000000"/>
          <w:sz w:val="20"/>
          <w:szCs w:val="20"/>
        </w:rPr>
        <w:t xml:space="preserve">Cuadro </w:t>
      </w:r>
      <w:r w:rsidR="002C2D13" w:rsidRPr="005430F9">
        <w:rPr>
          <w:rFonts w:ascii="Arial" w:hAnsi="Arial" w:cs="Arial"/>
          <w:bCs/>
          <w:color w:val="000000"/>
          <w:sz w:val="20"/>
          <w:szCs w:val="20"/>
        </w:rPr>
        <w:t>11</w:t>
      </w:r>
    </w:p>
    <w:p w14:paraId="05E0D6C3" w14:textId="77777777" w:rsidR="001576B3" w:rsidRPr="005430F9" w:rsidRDefault="001576B3" w:rsidP="001576B3">
      <w:pPr>
        <w:pStyle w:val="Default"/>
        <w:jc w:val="center"/>
        <w:rPr>
          <w:rFonts w:ascii="Arial Negrita" w:hAnsi="Arial Negrita"/>
          <w:b/>
          <w:bCs/>
          <w:smallCaps/>
          <w:sz w:val="22"/>
          <w:szCs w:val="22"/>
        </w:rPr>
      </w:pPr>
      <w:r w:rsidRPr="005430F9">
        <w:rPr>
          <w:rFonts w:ascii="Arial Negrita" w:hAnsi="Arial Negrita"/>
          <w:b/>
          <w:bCs/>
          <w:smallCaps/>
          <w:sz w:val="22"/>
          <w:szCs w:val="22"/>
        </w:rPr>
        <w:t>Tamaño de muestra por sector y subsector</w:t>
      </w:r>
      <w:r w:rsidR="00B32F20" w:rsidRPr="005430F9">
        <w:rPr>
          <w:rFonts w:ascii="Arial Negrita" w:hAnsi="Arial Negrita"/>
          <w:b/>
          <w:bCs/>
          <w:smallCaps/>
          <w:sz w:val="22"/>
          <w:szCs w:val="22"/>
        </w:rPr>
        <w:t xml:space="preserve"> de la EAEC</w:t>
      </w:r>
    </w:p>
    <w:tbl>
      <w:tblPr>
        <w:tblW w:w="7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655"/>
        <w:gridCol w:w="1573"/>
      </w:tblGrid>
      <w:tr w:rsidR="005A120F" w:rsidRPr="007F53F2" w14:paraId="3132FB0D" w14:textId="77777777" w:rsidTr="004228A0">
        <w:trPr>
          <w:trHeight w:val="561"/>
          <w:jc w:val="center"/>
        </w:trPr>
        <w:tc>
          <w:tcPr>
            <w:tcW w:w="5655" w:type="dxa"/>
            <w:tcBorders>
              <w:bottom w:val="single" w:sz="4" w:space="0" w:color="auto"/>
            </w:tcBorders>
            <w:shd w:val="clear" w:color="auto" w:fill="FFB13F"/>
            <w:tcMar>
              <w:top w:w="15" w:type="dxa"/>
              <w:left w:w="15" w:type="dxa"/>
              <w:bottom w:w="0" w:type="dxa"/>
              <w:right w:w="15" w:type="dxa"/>
            </w:tcMar>
            <w:vAlign w:val="center"/>
          </w:tcPr>
          <w:p w14:paraId="1D9BA67F" w14:textId="77777777" w:rsidR="005A120F" w:rsidRPr="00E742D9" w:rsidRDefault="00E742D9" w:rsidP="002652BF">
            <w:pPr>
              <w:pStyle w:val="Default"/>
              <w:jc w:val="center"/>
              <w:rPr>
                <w:b/>
                <w:bCs/>
                <w:color w:val="auto"/>
                <w:sz w:val="20"/>
                <w:szCs w:val="20"/>
              </w:rPr>
            </w:pPr>
            <w:r w:rsidRPr="00E742D9">
              <w:rPr>
                <w:b/>
                <w:bCs/>
                <w:color w:val="auto"/>
                <w:sz w:val="20"/>
                <w:szCs w:val="20"/>
              </w:rPr>
              <w:t>Dominio de estudio</w:t>
            </w:r>
          </w:p>
        </w:tc>
        <w:tc>
          <w:tcPr>
            <w:tcW w:w="1573" w:type="dxa"/>
            <w:tcBorders>
              <w:bottom w:val="single" w:sz="4" w:space="0" w:color="auto"/>
            </w:tcBorders>
            <w:shd w:val="clear" w:color="auto" w:fill="FFB13F"/>
            <w:vAlign w:val="center"/>
          </w:tcPr>
          <w:p w14:paraId="774F1DB1" w14:textId="77777777" w:rsidR="005A120F" w:rsidRPr="00E742D9" w:rsidRDefault="00E742D9" w:rsidP="002652BF">
            <w:pPr>
              <w:pStyle w:val="Default"/>
              <w:jc w:val="center"/>
              <w:rPr>
                <w:b/>
                <w:bCs/>
                <w:color w:val="auto"/>
                <w:sz w:val="20"/>
                <w:szCs w:val="20"/>
              </w:rPr>
            </w:pPr>
            <w:r w:rsidRPr="00E742D9">
              <w:rPr>
                <w:b/>
                <w:bCs/>
                <w:color w:val="auto"/>
                <w:sz w:val="20"/>
                <w:szCs w:val="20"/>
              </w:rPr>
              <w:t>Número de empresas</w:t>
            </w:r>
          </w:p>
        </w:tc>
      </w:tr>
      <w:tr w:rsidR="001576B3" w:rsidRPr="007F53F2" w14:paraId="7CE13C78" w14:textId="77777777" w:rsidTr="00515933">
        <w:trPr>
          <w:trHeight w:val="84"/>
          <w:jc w:val="center"/>
        </w:trPr>
        <w:tc>
          <w:tcPr>
            <w:tcW w:w="56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F3D2B0" w14:textId="2C59A294" w:rsidR="001576B3" w:rsidRPr="009F01A7" w:rsidRDefault="001576B3" w:rsidP="005A745F">
            <w:pPr>
              <w:pStyle w:val="NormalWeb"/>
              <w:spacing w:before="0" w:beforeAutospacing="0" w:after="0" w:afterAutospacing="0"/>
              <w:ind w:left="128"/>
              <w:textAlignment w:val="bottom"/>
              <w:rPr>
                <w:rFonts w:ascii="Arial" w:eastAsiaTheme="minorHAnsi" w:hAnsi="Arial" w:cs="Arial"/>
                <w:bCs/>
                <w:sz w:val="20"/>
                <w:szCs w:val="20"/>
                <w:lang w:eastAsia="en-US"/>
              </w:rPr>
            </w:pPr>
            <w:r w:rsidRPr="009F01A7">
              <w:rPr>
                <w:rFonts w:ascii="Arial" w:eastAsiaTheme="minorHAnsi" w:hAnsi="Arial" w:cs="Arial"/>
                <w:b/>
                <w:bCs/>
                <w:sz w:val="20"/>
                <w:szCs w:val="20"/>
                <w:lang w:eastAsia="en-US"/>
              </w:rPr>
              <w:t>Construcción</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23A798" w14:textId="72CF43E6" w:rsidR="001576B3" w:rsidRPr="009F01A7" w:rsidRDefault="001576B3" w:rsidP="005A745F">
            <w:pPr>
              <w:pStyle w:val="Default"/>
              <w:jc w:val="center"/>
              <w:rPr>
                <w:bCs/>
                <w:color w:val="auto"/>
                <w:sz w:val="20"/>
                <w:szCs w:val="20"/>
              </w:rPr>
            </w:pPr>
            <w:r w:rsidRPr="009F01A7">
              <w:rPr>
                <w:b/>
                <w:bCs/>
                <w:color w:val="auto"/>
                <w:sz w:val="20"/>
                <w:szCs w:val="20"/>
              </w:rPr>
              <w:t>3</w:t>
            </w:r>
            <w:r w:rsidR="00D3530D">
              <w:rPr>
                <w:b/>
                <w:bCs/>
                <w:color w:val="auto"/>
                <w:sz w:val="20"/>
                <w:szCs w:val="20"/>
              </w:rPr>
              <w:t xml:space="preserve"> </w:t>
            </w:r>
            <w:r w:rsidRPr="009F01A7">
              <w:rPr>
                <w:b/>
                <w:bCs/>
                <w:color w:val="auto"/>
                <w:sz w:val="20"/>
                <w:szCs w:val="20"/>
              </w:rPr>
              <w:t>492</w:t>
            </w:r>
          </w:p>
        </w:tc>
      </w:tr>
      <w:tr w:rsidR="005A745F" w:rsidRPr="007F53F2" w14:paraId="301175CE" w14:textId="77777777" w:rsidTr="00515933">
        <w:trPr>
          <w:trHeight w:val="115"/>
          <w:jc w:val="center"/>
        </w:trPr>
        <w:tc>
          <w:tcPr>
            <w:tcW w:w="56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08171B" w14:textId="0486D832" w:rsidR="005A745F" w:rsidRPr="009F01A7" w:rsidRDefault="005A745F" w:rsidP="005A745F">
            <w:pPr>
              <w:pStyle w:val="NormalWeb"/>
              <w:spacing w:before="0" w:beforeAutospacing="0" w:after="0" w:afterAutospacing="0"/>
              <w:ind w:left="270"/>
              <w:textAlignment w:val="bottom"/>
              <w:rPr>
                <w:rFonts w:ascii="Arial" w:eastAsiaTheme="minorHAnsi" w:hAnsi="Arial" w:cs="Arial"/>
                <w:b/>
                <w:bCs/>
                <w:sz w:val="20"/>
                <w:szCs w:val="20"/>
                <w:lang w:eastAsia="en-US"/>
              </w:rPr>
            </w:pPr>
            <w:r w:rsidRPr="009F01A7">
              <w:rPr>
                <w:rFonts w:ascii="Arial" w:eastAsiaTheme="minorHAnsi" w:hAnsi="Arial" w:cs="Arial"/>
                <w:bCs/>
                <w:sz w:val="20"/>
                <w:szCs w:val="20"/>
                <w:lang w:eastAsia="en-US"/>
              </w:rPr>
              <w:t>Edificación</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6B5110" w14:textId="44209748" w:rsidR="005A745F" w:rsidRPr="009F01A7" w:rsidRDefault="005A745F" w:rsidP="005A745F">
            <w:pPr>
              <w:pStyle w:val="Default"/>
              <w:jc w:val="center"/>
              <w:rPr>
                <w:b/>
                <w:bCs/>
                <w:color w:val="auto"/>
                <w:sz w:val="20"/>
                <w:szCs w:val="20"/>
              </w:rPr>
            </w:pPr>
            <w:r w:rsidRPr="009F01A7">
              <w:rPr>
                <w:bCs/>
                <w:color w:val="auto"/>
                <w:sz w:val="20"/>
                <w:szCs w:val="20"/>
              </w:rPr>
              <w:t>1</w:t>
            </w:r>
            <w:r>
              <w:rPr>
                <w:bCs/>
                <w:color w:val="auto"/>
                <w:sz w:val="20"/>
                <w:szCs w:val="20"/>
              </w:rPr>
              <w:t xml:space="preserve"> </w:t>
            </w:r>
            <w:r w:rsidRPr="009F01A7">
              <w:rPr>
                <w:bCs/>
                <w:color w:val="auto"/>
                <w:sz w:val="20"/>
                <w:szCs w:val="20"/>
              </w:rPr>
              <w:t>227</w:t>
            </w:r>
          </w:p>
        </w:tc>
      </w:tr>
      <w:tr w:rsidR="005A745F" w:rsidRPr="007F53F2" w14:paraId="4EDEC749" w14:textId="77777777" w:rsidTr="00515933">
        <w:trPr>
          <w:trHeight w:val="134"/>
          <w:jc w:val="center"/>
        </w:trPr>
        <w:tc>
          <w:tcPr>
            <w:tcW w:w="56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A90FA96" w14:textId="3F17461E" w:rsidR="005A745F" w:rsidRPr="009F01A7" w:rsidRDefault="005A745F" w:rsidP="005A745F">
            <w:pPr>
              <w:pStyle w:val="NormalWeb"/>
              <w:spacing w:before="0" w:beforeAutospacing="0" w:after="0" w:afterAutospacing="0"/>
              <w:ind w:left="270"/>
              <w:textAlignment w:val="bottom"/>
              <w:rPr>
                <w:rFonts w:ascii="Arial" w:eastAsiaTheme="minorHAnsi" w:hAnsi="Arial" w:cs="Arial"/>
                <w:b/>
                <w:bCs/>
                <w:sz w:val="20"/>
                <w:szCs w:val="20"/>
                <w:lang w:eastAsia="en-US"/>
              </w:rPr>
            </w:pPr>
            <w:r>
              <w:rPr>
                <w:rFonts w:ascii="Arial" w:eastAsiaTheme="minorHAnsi" w:hAnsi="Arial" w:cs="Arial"/>
                <w:bCs/>
                <w:sz w:val="20"/>
                <w:szCs w:val="20"/>
                <w:lang w:eastAsia="en-US"/>
              </w:rPr>
              <w:t>Construcción de obras de ingeniería civil</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EA201D" w14:textId="7AE9B3C7" w:rsidR="005A745F" w:rsidRPr="009F01A7" w:rsidRDefault="005A745F" w:rsidP="005A745F">
            <w:pPr>
              <w:pStyle w:val="Default"/>
              <w:jc w:val="center"/>
              <w:rPr>
                <w:b/>
                <w:bCs/>
                <w:color w:val="auto"/>
                <w:sz w:val="20"/>
                <w:szCs w:val="20"/>
              </w:rPr>
            </w:pPr>
            <w:r>
              <w:rPr>
                <w:bCs/>
                <w:color w:val="auto"/>
                <w:sz w:val="20"/>
                <w:szCs w:val="20"/>
              </w:rPr>
              <w:t>1 049</w:t>
            </w:r>
          </w:p>
        </w:tc>
      </w:tr>
      <w:tr w:rsidR="005A745F" w:rsidRPr="007F53F2" w14:paraId="064489CE" w14:textId="77777777" w:rsidTr="00515933">
        <w:trPr>
          <w:trHeight w:val="254"/>
          <w:jc w:val="center"/>
        </w:trPr>
        <w:tc>
          <w:tcPr>
            <w:tcW w:w="56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E3F977" w14:textId="58072DEE" w:rsidR="005A745F" w:rsidRPr="009F01A7" w:rsidRDefault="005A745F" w:rsidP="005A745F">
            <w:pPr>
              <w:pStyle w:val="NormalWeb"/>
              <w:spacing w:before="0" w:beforeAutospacing="0" w:after="0" w:afterAutospacing="0"/>
              <w:ind w:left="270"/>
              <w:textAlignment w:val="bottom"/>
              <w:rPr>
                <w:rFonts w:ascii="Arial" w:eastAsiaTheme="minorHAnsi" w:hAnsi="Arial" w:cs="Arial"/>
                <w:b/>
                <w:bCs/>
                <w:sz w:val="20"/>
                <w:szCs w:val="20"/>
                <w:lang w:eastAsia="en-US"/>
              </w:rPr>
            </w:pPr>
            <w:r>
              <w:rPr>
                <w:rFonts w:ascii="Arial" w:eastAsiaTheme="minorHAnsi" w:hAnsi="Arial" w:cs="Arial"/>
                <w:bCs/>
                <w:sz w:val="20"/>
                <w:szCs w:val="20"/>
                <w:lang w:eastAsia="en-US"/>
              </w:rPr>
              <w:t>Trabajos especializados para la construcción</w:t>
            </w:r>
          </w:p>
        </w:tc>
        <w:tc>
          <w:tcPr>
            <w:tcW w:w="1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E62C76" w14:textId="2679DE80" w:rsidR="005A745F" w:rsidRPr="009F01A7" w:rsidRDefault="005A745F" w:rsidP="005A745F">
            <w:pPr>
              <w:pStyle w:val="Default"/>
              <w:jc w:val="center"/>
              <w:rPr>
                <w:b/>
                <w:bCs/>
                <w:color w:val="auto"/>
                <w:sz w:val="20"/>
                <w:szCs w:val="20"/>
              </w:rPr>
            </w:pPr>
            <w:r w:rsidRPr="009F01A7">
              <w:rPr>
                <w:bCs/>
                <w:color w:val="auto"/>
                <w:sz w:val="20"/>
                <w:szCs w:val="20"/>
              </w:rPr>
              <w:t>1</w:t>
            </w:r>
            <w:r>
              <w:rPr>
                <w:bCs/>
                <w:color w:val="auto"/>
                <w:sz w:val="20"/>
                <w:szCs w:val="20"/>
              </w:rPr>
              <w:t xml:space="preserve"> </w:t>
            </w:r>
            <w:r w:rsidRPr="009F01A7">
              <w:rPr>
                <w:bCs/>
                <w:color w:val="auto"/>
                <w:sz w:val="20"/>
                <w:szCs w:val="20"/>
              </w:rPr>
              <w:t>2</w:t>
            </w:r>
            <w:r>
              <w:rPr>
                <w:bCs/>
                <w:color w:val="auto"/>
                <w:sz w:val="20"/>
                <w:szCs w:val="20"/>
              </w:rPr>
              <w:t>16</w:t>
            </w:r>
          </w:p>
        </w:tc>
      </w:tr>
    </w:tbl>
    <w:p w14:paraId="67D9C805" w14:textId="77777777" w:rsidR="001576B3" w:rsidRDefault="001576B3" w:rsidP="001576B3">
      <w:pPr>
        <w:widowControl w:val="0"/>
        <w:autoSpaceDE w:val="0"/>
        <w:autoSpaceDN w:val="0"/>
        <w:adjustRightInd w:val="0"/>
        <w:spacing w:after="0" w:line="240" w:lineRule="auto"/>
        <w:jc w:val="center"/>
        <w:rPr>
          <w:rFonts w:ascii="Arial" w:hAnsi="Arial" w:cs="Arial"/>
          <w:b/>
          <w:bCs/>
          <w:color w:val="000000"/>
        </w:rPr>
      </w:pPr>
    </w:p>
    <w:p w14:paraId="3A576924" w14:textId="5845E877" w:rsidR="00C45B3E" w:rsidRDefault="00C45B3E" w:rsidP="00C45B3E">
      <w:pPr>
        <w:widowControl w:val="0"/>
        <w:autoSpaceDE w:val="0"/>
        <w:autoSpaceDN w:val="0"/>
        <w:adjustRightInd w:val="0"/>
        <w:spacing w:after="0" w:line="240" w:lineRule="auto"/>
        <w:rPr>
          <w:rFonts w:ascii="Arial" w:hAnsi="Arial" w:cs="Arial"/>
          <w:b/>
          <w:bCs/>
          <w:color w:val="000000"/>
        </w:rPr>
      </w:pPr>
    </w:p>
    <w:p w14:paraId="0CF3F460" w14:textId="05F2C3DF" w:rsidR="003408EC" w:rsidRDefault="003408EC" w:rsidP="00C45B3E">
      <w:pPr>
        <w:widowControl w:val="0"/>
        <w:autoSpaceDE w:val="0"/>
        <w:autoSpaceDN w:val="0"/>
        <w:adjustRightInd w:val="0"/>
        <w:spacing w:after="0" w:line="240" w:lineRule="auto"/>
        <w:rPr>
          <w:rFonts w:ascii="Arial" w:hAnsi="Arial" w:cs="Arial"/>
          <w:b/>
          <w:bCs/>
          <w:color w:val="000000"/>
        </w:rPr>
      </w:pPr>
    </w:p>
    <w:p w14:paraId="4D50EFF1" w14:textId="5B6343D8" w:rsidR="003408EC" w:rsidRDefault="003408EC" w:rsidP="00C45B3E">
      <w:pPr>
        <w:widowControl w:val="0"/>
        <w:autoSpaceDE w:val="0"/>
        <w:autoSpaceDN w:val="0"/>
        <w:adjustRightInd w:val="0"/>
        <w:spacing w:after="0" w:line="240" w:lineRule="auto"/>
        <w:rPr>
          <w:rFonts w:ascii="Arial" w:hAnsi="Arial" w:cs="Arial"/>
          <w:b/>
          <w:bCs/>
          <w:color w:val="000000"/>
        </w:rPr>
      </w:pPr>
    </w:p>
    <w:p w14:paraId="0A2E92D5" w14:textId="77777777" w:rsidR="003408EC" w:rsidRDefault="003408EC" w:rsidP="00C45B3E">
      <w:pPr>
        <w:widowControl w:val="0"/>
        <w:autoSpaceDE w:val="0"/>
        <w:autoSpaceDN w:val="0"/>
        <w:adjustRightInd w:val="0"/>
        <w:spacing w:after="0" w:line="240" w:lineRule="auto"/>
        <w:rPr>
          <w:rFonts w:ascii="Arial" w:hAnsi="Arial" w:cs="Arial"/>
          <w:b/>
          <w:bCs/>
          <w:color w:val="000000"/>
        </w:rPr>
      </w:pPr>
    </w:p>
    <w:p w14:paraId="088AF91D" w14:textId="3393D765" w:rsidR="003408EC" w:rsidRDefault="003408EC" w:rsidP="00C45B3E">
      <w:pPr>
        <w:widowControl w:val="0"/>
        <w:autoSpaceDE w:val="0"/>
        <w:autoSpaceDN w:val="0"/>
        <w:adjustRightInd w:val="0"/>
        <w:spacing w:after="0" w:line="240" w:lineRule="auto"/>
        <w:rPr>
          <w:rFonts w:ascii="Arial" w:hAnsi="Arial" w:cs="Arial"/>
          <w:b/>
          <w:bCs/>
          <w:color w:val="000000"/>
        </w:rPr>
      </w:pPr>
    </w:p>
    <w:p w14:paraId="49BB0F5D" w14:textId="450D5D07" w:rsidR="00126DA8" w:rsidRDefault="00126DA8" w:rsidP="00C45B3E">
      <w:pPr>
        <w:widowControl w:val="0"/>
        <w:autoSpaceDE w:val="0"/>
        <w:autoSpaceDN w:val="0"/>
        <w:adjustRightInd w:val="0"/>
        <w:spacing w:after="0" w:line="240" w:lineRule="auto"/>
        <w:rPr>
          <w:rFonts w:ascii="Arial" w:hAnsi="Arial" w:cs="Arial"/>
          <w:b/>
          <w:bCs/>
          <w:color w:val="000000"/>
        </w:rPr>
      </w:pPr>
    </w:p>
    <w:p w14:paraId="2CB6AFD5" w14:textId="31E9E9DD" w:rsidR="00EF26A5" w:rsidRDefault="00EF26A5" w:rsidP="00C45B3E">
      <w:pPr>
        <w:widowControl w:val="0"/>
        <w:autoSpaceDE w:val="0"/>
        <w:autoSpaceDN w:val="0"/>
        <w:adjustRightInd w:val="0"/>
        <w:spacing w:after="0" w:line="240" w:lineRule="auto"/>
        <w:rPr>
          <w:rFonts w:ascii="Arial" w:hAnsi="Arial" w:cs="Arial"/>
          <w:b/>
          <w:bCs/>
          <w:color w:val="000000"/>
        </w:rPr>
      </w:pPr>
    </w:p>
    <w:p w14:paraId="75BD9E78" w14:textId="77777777" w:rsidR="00EF26A5" w:rsidRDefault="00EF26A5" w:rsidP="00C45B3E">
      <w:pPr>
        <w:widowControl w:val="0"/>
        <w:autoSpaceDE w:val="0"/>
        <w:autoSpaceDN w:val="0"/>
        <w:adjustRightInd w:val="0"/>
        <w:spacing w:after="0" w:line="240" w:lineRule="auto"/>
        <w:rPr>
          <w:rFonts w:ascii="Arial" w:hAnsi="Arial" w:cs="Arial"/>
          <w:b/>
          <w:bCs/>
          <w:color w:val="000000"/>
        </w:rPr>
      </w:pPr>
    </w:p>
    <w:p w14:paraId="7C1583F9" w14:textId="77777777" w:rsidR="00EF26A5" w:rsidRDefault="00EF26A5" w:rsidP="00C45B3E">
      <w:pPr>
        <w:widowControl w:val="0"/>
        <w:autoSpaceDE w:val="0"/>
        <w:autoSpaceDN w:val="0"/>
        <w:adjustRightInd w:val="0"/>
        <w:spacing w:after="0" w:line="240" w:lineRule="auto"/>
        <w:rPr>
          <w:rFonts w:ascii="Arial" w:hAnsi="Arial" w:cs="Arial"/>
          <w:b/>
          <w:bCs/>
          <w:color w:val="000000"/>
        </w:rPr>
      </w:pPr>
    </w:p>
    <w:p w14:paraId="1C965893" w14:textId="4ED0CB27" w:rsidR="00126DA8" w:rsidRDefault="00126DA8" w:rsidP="00C45B3E">
      <w:pPr>
        <w:widowControl w:val="0"/>
        <w:autoSpaceDE w:val="0"/>
        <w:autoSpaceDN w:val="0"/>
        <w:adjustRightInd w:val="0"/>
        <w:spacing w:after="0" w:line="240" w:lineRule="auto"/>
        <w:rPr>
          <w:rFonts w:ascii="Arial" w:hAnsi="Arial" w:cs="Arial"/>
          <w:b/>
          <w:bCs/>
          <w:color w:val="000000"/>
        </w:rPr>
      </w:pPr>
    </w:p>
    <w:p w14:paraId="3B0E8982" w14:textId="37BE211C" w:rsidR="00126DA8" w:rsidRDefault="00126DA8" w:rsidP="00C45B3E">
      <w:pPr>
        <w:widowControl w:val="0"/>
        <w:autoSpaceDE w:val="0"/>
        <w:autoSpaceDN w:val="0"/>
        <w:adjustRightInd w:val="0"/>
        <w:spacing w:after="0" w:line="240" w:lineRule="auto"/>
        <w:rPr>
          <w:rFonts w:ascii="Arial" w:hAnsi="Arial" w:cs="Arial"/>
          <w:b/>
          <w:bCs/>
          <w:color w:val="000000"/>
        </w:rPr>
      </w:pPr>
    </w:p>
    <w:p w14:paraId="140903B2" w14:textId="588B939A" w:rsidR="00126DA8" w:rsidRDefault="00126DA8" w:rsidP="00C45B3E">
      <w:pPr>
        <w:widowControl w:val="0"/>
        <w:autoSpaceDE w:val="0"/>
        <w:autoSpaceDN w:val="0"/>
        <w:adjustRightInd w:val="0"/>
        <w:spacing w:after="0" w:line="240" w:lineRule="auto"/>
        <w:rPr>
          <w:rFonts w:ascii="Arial" w:hAnsi="Arial" w:cs="Arial"/>
          <w:b/>
          <w:bCs/>
          <w:color w:val="000000"/>
        </w:rPr>
      </w:pPr>
    </w:p>
    <w:p w14:paraId="7DAA6125" w14:textId="77777777" w:rsidR="00EF26A5" w:rsidRDefault="00EF26A5" w:rsidP="00C45B3E">
      <w:pPr>
        <w:widowControl w:val="0"/>
        <w:autoSpaceDE w:val="0"/>
        <w:autoSpaceDN w:val="0"/>
        <w:adjustRightInd w:val="0"/>
        <w:spacing w:after="0" w:line="240" w:lineRule="auto"/>
        <w:rPr>
          <w:rFonts w:ascii="Arial" w:hAnsi="Arial" w:cs="Arial"/>
          <w:b/>
          <w:bCs/>
          <w:color w:val="000000"/>
        </w:rPr>
      </w:pPr>
    </w:p>
    <w:p w14:paraId="6F4978FD" w14:textId="70B38242" w:rsidR="00126DA8" w:rsidRDefault="00126DA8" w:rsidP="00C45B3E">
      <w:pPr>
        <w:widowControl w:val="0"/>
        <w:autoSpaceDE w:val="0"/>
        <w:autoSpaceDN w:val="0"/>
        <w:adjustRightInd w:val="0"/>
        <w:spacing w:after="0" w:line="240" w:lineRule="auto"/>
        <w:rPr>
          <w:rFonts w:ascii="Arial" w:hAnsi="Arial" w:cs="Arial"/>
          <w:b/>
          <w:bCs/>
          <w:color w:val="000000"/>
        </w:rPr>
      </w:pPr>
    </w:p>
    <w:p w14:paraId="31992406" w14:textId="5B07D25E" w:rsidR="00126DA8" w:rsidRDefault="00126DA8" w:rsidP="00C45B3E">
      <w:pPr>
        <w:widowControl w:val="0"/>
        <w:autoSpaceDE w:val="0"/>
        <w:autoSpaceDN w:val="0"/>
        <w:adjustRightInd w:val="0"/>
        <w:spacing w:after="0" w:line="240" w:lineRule="auto"/>
        <w:rPr>
          <w:rFonts w:ascii="Arial" w:hAnsi="Arial" w:cs="Arial"/>
          <w:b/>
          <w:bCs/>
          <w:color w:val="000000"/>
        </w:rPr>
      </w:pPr>
    </w:p>
    <w:p w14:paraId="257FC483" w14:textId="5F61C303" w:rsidR="001576B3" w:rsidRPr="005430F9" w:rsidRDefault="001576B3" w:rsidP="00C45B3E">
      <w:pPr>
        <w:widowControl w:val="0"/>
        <w:autoSpaceDE w:val="0"/>
        <w:autoSpaceDN w:val="0"/>
        <w:adjustRightInd w:val="0"/>
        <w:spacing w:after="0" w:line="240" w:lineRule="auto"/>
        <w:jc w:val="center"/>
        <w:rPr>
          <w:rFonts w:ascii="Arial" w:hAnsi="Arial" w:cs="Arial"/>
          <w:bCs/>
          <w:color w:val="000000"/>
          <w:sz w:val="20"/>
          <w:szCs w:val="20"/>
        </w:rPr>
      </w:pPr>
      <w:r w:rsidRPr="005430F9">
        <w:rPr>
          <w:rFonts w:ascii="Arial" w:hAnsi="Arial" w:cs="Arial"/>
          <w:bCs/>
          <w:color w:val="000000"/>
          <w:sz w:val="20"/>
          <w:szCs w:val="20"/>
        </w:rPr>
        <w:t xml:space="preserve">Cuadro </w:t>
      </w:r>
      <w:r w:rsidR="00D8658F" w:rsidRPr="005430F9">
        <w:rPr>
          <w:rFonts w:ascii="Arial" w:hAnsi="Arial" w:cs="Arial"/>
          <w:bCs/>
          <w:color w:val="000000"/>
          <w:sz w:val="20"/>
          <w:szCs w:val="20"/>
        </w:rPr>
        <w:t>1</w:t>
      </w:r>
      <w:r w:rsidR="002C2D13" w:rsidRPr="005430F9">
        <w:rPr>
          <w:rFonts w:ascii="Arial" w:hAnsi="Arial" w:cs="Arial"/>
          <w:bCs/>
          <w:color w:val="000000"/>
          <w:sz w:val="20"/>
          <w:szCs w:val="20"/>
        </w:rPr>
        <w:t>2</w:t>
      </w:r>
    </w:p>
    <w:p w14:paraId="31A2A65D" w14:textId="77777777" w:rsidR="001576B3" w:rsidRPr="005430F9" w:rsidRDefault="001576B3" w:rsidP="001576B3">
      <w:pPr>
        <w:widowControl w:val="0"/>
        <w:autoSpaceDE w:val="0"/>
        <w:autoSpaceDN w:val="0"/>
        <w:adjustRightInd w:val="0"/>
        <w:spacing w:after="0" w:line="240" w:lineRule="auto"/>
        <w:jc w:val="center"/>
        <w:rPr>
          <w:rFonts w:ascii="Arial Negrita" w:hAnsi="Arial Negrita"/>
          <w:smallCaps/>
        </w:rPr>
      </w:pPr>
      <w:r w:rsidRPr="005430F9">
        <w:rPr>
          <w:rFonts w:ascii="Arial Negrita" w:hAnsi="Arial Negrita" w:cs="Arial"/>
          <w:b/>
          <w:bCs/>
          <w:smallCaps/>
        </w:rPr>
        <w:t>Tamaño de muestra por entidad federativa</w:t>
      </w:r>
      <w:r w:rsidR="00B32F20" w:rsidRPr="005430F9">
        <w:rPr>
          <w:rFonts w:ascii="Arial Negrita" w:hAnsi="Arial Negrita" w:cs="Arial"/>
          <w:b/>
          <w:bCs/>
          <w:smallCaps/>
        </w:rPr>
        <w:t xml:space="preserve"> de la EAEC</w:t>
      </w:r>
    </w:p>
    <w:tbl>
      <w:tblPr>
        <w:tblStyle w:val="Tablaconcuadrcula2"/>
        <w:tblW w:w="7225" w:type="dxa"/>
        <w:jc w:val="center"/>
        <w:tblLook w:val="04A0" w:firstRow="1" w:lastRow="0" w:firstColumn="1" w:lastColumn="0" w:noHBand="0" w:noVBand="1"/>
      </w:tblPr>
      <w:tblGrid>
        <w:gridCol w:w="5807"/>
        <w:gridCol w:w="1418"/>
      </w:tblGrid>
      <w:tr w:rsidR="00E742D9" w:rsidRPr="00612E35" w14:paraId="1800B037" w14:textId="77777777" w:rsidTr="00D3530D">
        <w:trPr>
          <w:trHeight w:val="483"/>
          <w:jc w:val="center"/>
        </w:trPr>
        <w:tc>
          <w:tcPr>
            <w:tcW w:w="5807" w:type="dxa"/>
            <w:tcBorders>
              <w:bottom w:val="single" w:sz="4" w:space="0" w:color="auto"/>
            </w:tcBorders>
            <w:shd w:val="clear" w:color="auto" w:fill="FFB13F"/>
            <w:vAlign w:val="center"/>
          </w:tcPr>
          <w:p w14:paraId="47D51048" w14:textId="77777777" w:rsidR="00E742D9" w:rsidRPr="00E742D9" w:rsidRDefault="00E742D9" w:rsidP="002652BF">
            <w:pPr>
              <w:widowControl w:val="0"/>
              <w:autoSpaceDE w:val="0"/>
              <w:autoSpaceDN w:val="0"/>
              <w:adjustRightInd w:val="0"/>
              <w:jc w:val="center"/>
              <w:rPr>
                <w:rFonts w:ascii="Arial" w:hAnsi="Arial" w:cs="Arial"/>
                <w:b/>
                <w:color w:val="000000"/>
                <w:sz w:val="20"/>
                <w:szCs w:val="20"/>
              </w:rPr>
            </w:pPr>
            <w:r w:rsidRPr="00E742D9">
              <w:rPr>
                <w:rFonts w:ascii="Arial" w:hAnsi="Arial" w:cs="Arial"/>
                <w:b/>
                <w:color w:val="000000"/>
                <w:sz w:val="20"/>
                <w:szCs w:val="20"/>
              </w:rPr>
              <w:t>Dominio de estudio</w:t>
            </w:r>
          </w:p>
        </w:tc>
        <w:tc>
          <w:tcPr>
            <w:tcW w:w="1418" w:type="dxa"/>
            <w:tcBorders>
              <w:bottom w:val="single" w:sz="4" w:space="0" w:color="auto"/>
            </w:tcBorders>
            <w:shd w:val="clear" w:color="auto" w:fill="FFB13F"/>
            <w:vAlign w:val="center"/>
          </w:tcPr>
          <w:p w14:paraId="53DE7378" w14:textId="77777777" w:rsidR="00E742D9" w:rsidRPr="00E742D9" w:rsidRDefault="00E742D9" w:rsidP="002652BF">
            <w:pPr>
              <w:widowControl w:val="0"/>
              <w:autoSpaceDE w:val="0"/>
              <w:autoSpaceDN w:val="0"/>
              <w:adjustRightInd w:val="0"/>
              <w:jc w:val="center"/>
              <w:rPr>
                <w:rFonts w:ascii="Arial" w:hAnsi="Arial" w:cs="Arial"/>
                <w:b/>
                <w:color w:val="000000"/>
                <w:sz w:val="20"/>
                <w:szCs w:val="20"/>
              </w:rPr>
            </w:pPr>
            <w:r w:rsidRPr="00E742D9">
              <w:rPr>
                <w:rFonts w:ascii="Arial" w:hAnsi="Arial" w:cs="Arial"/>
                <w:b/>
                <w:color w:val="000000"/>
                <w:sz w:val="20"/>
                <w:szCs w:val="20"/>
              </w:rPr>
              <w:t>Número de empresas</w:t>
            </w:r>
          </w:p>
        </w:tc>
      </w:tr>
      <w:tr w:rsidR="001576B3" w:rsidRPr="00612E35" w14:paraId="5296B75F" w14:textId="77777777" w:rsidTr="00515933">
        <w:trPr>
          <w:trHeight w:val="117"/>
          <w:jc w:val="center"/>
        </w:trPr>
        <w:tc>
          <w:tcPr>
            <w:tcW w:w="5807" w:type="dxa"/>
            <w:tcBorders>
              <w:top w:val="single" w:sz="4" w:space="0" w:color="auto"/>
              <w:left w:val="single" w:sz="4" w:space="0" w:color="auto"/>
              <w:bottom w:val="single" w:sz="4" w:space="0" w:color="auto"/>
              <w:right w:val="single" w:sz="4" w:space="0" w:color="auto"/>
            </w:tcBorders>
            <w:vAlign w:val="center"/>
          </w:tcPr>
          <w:p w14:paraId="6D74FDDA" w14:textId="77777777" w:rsidR="001576B3" w:rsidRPr="00515933" w:rsidRDefault="001576B3" w:rsidP="002652BF">
            <w:pPr>
              <w:widowControl w:val="0"/>
              <w:autoSpaceDE w:val="0"/>
              <w:autoSpaceDN w:val="0"/>
              <w:adjustRightInd w:val="0"/>
              <w:jc w:val="both"/>
              <w:rPr>
                <w:rFonts w:ascii="Arial" w:hAnsi="Arial" w:cs="Arial"/>
                <w:b/>
                <w:color w:val="000000"/>
                <w:sz w:val="20"/>
                <w:szCs w:val="20"/>
              </w:rPr>
            </w:pPr>
            <w:r w:rsidRPr="00515933">
              <w:rPr>
                <w:rFonts w:ascii="Arial" w:hAnsi="Arial" w:cs="Arial"/>
                <w:b/>
                <w:color w:val="000000"/>
                <w:sz w:val="20"/>
                <w:szCs w:val="20"/>
              </w:rPr>
              <w:t>Nacional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3B8629" w14:textId="1EA5FF9E" w:rsidR="001576B3" w:rsidRPr="00515933" w:rsidRDefault="001576B3" w:rsidP="00D3530D">
            <w:pPr>
              <w:widowControl w:val="0"/>
              <w:autoSpaceDE w:val="0"/>
              <w:autoSpaceDN w:val="0"/>
              <w:adjustRightInd w:val="0"/>
              <w:ind w:left="-821" w:right="316"/>
              <w:jc w:val="right"/>
              <w:rPr>
                <w:rFonts w:ascii="Arial" w:hAnsi="Arial" w:cs="Arial"/>
                <w:b/>
                <w:sz w:val="20"/>
                <w:szCs w:val="20"/>
              </w:rPr>
            </w:pPr>
            <w:r w:rsidRPr="00515933">
              <w:rPr>
                <w:rFonts w:ascii="Arial" w:hAnsi="Arial" w:cs="Arial"/>
                <w:b/>
                <w:color w:val="000000"/>
                <w:sz w:val="20"/>
                <w:szCs w:val="20"/>
              </w:rPr>
              <w:t>3</w:t>
            </w:r>
            <w:r w:rsidR="00D3530D" w:rsidRPr="00515933">
              <w:rPr>
                <w:rFonts w:ascii="Arial" w:hAnsi="Arial" w:cs="Arial"/>
                <w:b/>
                <w:color w:val="000000"/>
                <w:sz w:val="20"/>
                <w:szCs w:val="20"/>
              </w:rPr>
              <w:t xml:space="preserve"> </w:t>
            </w:r>
            <w:r w:rsidRPr="00515933">
              <w:rPr>
                <w:rFonts w:ascii="Arial" w:hAnsi="Arial" w:cs="Arial"/>
                <w:b/>
                <w:color w:val="000000"/>
                <w:sz w:val="20"/>
                <w:szCs w:val="20"/>
              </w:rPr>
              <w:t>492</w:t>
            </w:r>
          </w:p>
        </w:tc>
      </w:tr>
      <w:tr w:rsidR="001576B3" w:rsidRPr="00612E35" w14:paraId="2D59F824"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7B05A79A"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Aguascalientes</w:t>
            </w:r>
          </w:p>
        </w:tc>
        <w:tc>
          <w:tcPr>
            <w:tcW w:w="1418" w:type="dxa"/>
            <w:tcBorders>
              <w:top w:val="single" w:sz="4" w:space="0" w:color="auto"/>
              <w:left w:val="single" w:sz="4" w:space="0" w:color="auto"/>
              <w:bottom w:val="single" w:sz="4" w:space="0" w:color="auto"/>
              <w:right w:val="single" w:sz="4" w:space="0" w:color="auto"/>
            </w:tcBorders>
            <w:vAlign w:val="center"/>
          </w:tcPr>
          <w:p w14:paraId="22FBB4F6"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90</w:t>
            </w:r>
          </w:p>
        </w:tc>
      </w:tr>
      <w:tr w:rsidR="001576B3" w:rsidRPr="00612E35" w14:paraId="7F5D8CD0"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6F914E73"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Baja California</w:t>
            </w:r>
          </w:p>
        </w:tc>
        <w:tc>
          <w:tcPr>
            <w:tcW w:w="1418" w:type="dxa"/>
            <w:tcBorders>
              <w:top w:val="single" w:sz="4" w:space="0" w:color="auto"/>
              <w:left w:val="single" w:sz="4" w:space="0" w:color="auto"/>
              <w:bottom w:val="single" w:sz="4" w:space="0" w:color="auto"/>
              <w:right w:val="single" w:sz="4" w:space="0" w:color="auto"/>
            </w:tcBorders>
            <w:vAlign w:val="center"/>
          </w:tcPr>
          <w:p w14:paraId="347B75A8"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112</w:t>
            </w:r>
          </w:p>
        </w:tc>
      </w:tr>
      <w:tr w:rsidR="001576B3" w:rsidRPr="00612E35" w14:paraId="2FA0C857"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42EFFF26"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Baja California Sur</w:t>
            </w:r>
          </w:p>
        </w:tc>
        <w:tc>
          <w:tcPr>
            <w:tcW w:w="1418" w:type="dxa"/>
            <w:tcBorders>
              <w:top w:val="single" w:sz="4" w:space="0" w:color="auto"/>
              <w:left w:val="single" w:sz="4" w:space="0" w:color="auto"/>
              <w:bottom w:val="single" w:sz="4" w:space="0" w:color="auto"/>
              <w:right w:val="single" w:sz="4" w:space="0" w:color="auto"/>
            </w:tcBorders>
            <w:vAlign w:val="center"/>
          </w:tcPr>
          <w:p w14:paraId="0C1C2AC0"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69</w:t>
            </w:r>
          </w:p>
        </w:tc>
      </w:tr>
      <w:tr w:rsidR="001576B3" w:rsidRPr="00612E35" w14:paraId="208F0738"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46327B1C"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Campeche</w:t>
            </w:r>
          </w:p>
        </w:tc>
        <w:tc>
          <w:tcPr>
            <w:tcW w:w="1418" w:type="dxa"/>
            <w:tcBorders>
              <w:top w:val="single" w:sz="4" w:space="0" w:color="auto"/>
              <w:left w:val="single" w:sz="4" w:space="0" w:color="auto"/>
              <w:bottom w:val="single" w:sz="4" w:space="0" w:color="auto"/>
              <w:right w:val="single" w:sz="4" w:space="0" w:color="auto"/>
            </w:tcBorders>
            <w:vAlign w:val="center"/>
          </w:tcPr>
          <w:p w14:paraId="19A9C248"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91</w:t>
            </w:r>
          </w:p>
        </w:tc>
      </w:tr>
      <w:tr w:rsidR="001576B3" w:rsidRPr="00612E35" w14:paraId="0AF5CBF1"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2A14B8A0"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Coahuila de Zaragoza</w:t>
            </w:r>
          </w:p>
        </w:tc>
        <w:tc>
          <w:tcPr>
            <w:tcW w:w="1418" w:type="dxa"/>
            <w:tcBorders>
              <w:top w:val="single" w:sz="4" w:space="0" w:color="auto"/>
              <w:left w:val="single" w:sz="4" w:space="0" w:color="auto"/>
              <w:bottom w:val="single" w:sz="4" w:space="0" w:color="auto"/>
              <w:right w:val="single" w:sz="4" w:space="0" w:color="auto"/>
            </w:tcBorders>
            <w:vAlign w:val="center"/>
          </w:tcPr>
          <w:p w14:paraId="77FB9E53"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133</w:t>
            </w:r>
          </w:p>
        </w:tc>
      </w:tr>
      <w:tr w:rsidR="001576B3" w:rsidRPr="00612E35" w14:paraId="4302F731"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129DA4B6"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Colima</w:t>
            </w:r>
          </w:p>
        </w:tc>
        <w:tc>
          <w:tcPr>
            <w:tcW w:w="1418" w:type="dxa"/>
            <w:tcBorders>
              <w:top w:val="single" w:sz="4" w:space="0" w:color="auto"/>
              <w:left w:val="single" w:sz="4" w:space="0" w:color="auto"/>
              <w:bottom w:val="single" w:sz="4" w:space="0" w:color="auto"/>
              <w:right w:val="single" w:sz="4" w:space="0" w:color="auto"/>
            </w:tcBorders>
            <w:vAlign w:val="center"/>
          </w:tcPr>
          <w:p w14:paraId="44C48A85"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76</w:t>
            </w:r>
          </w:p>
        </w:tc>
      </w:tr>
      <w:tr w:rsidR="001576B3" w:rsidRPr="00612E35" w14:paraId="090191AB"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63D1FBB3"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Chiapas</w:t>
            </w:r>
          </w:p>
        </w:tc>
        <w:tc>
          <w:tcPr>
            <w:tcW w:w="1418" w:type="dxa"/>
            <w:tcBorders>
              <w:top w:val="single" w:sz="4" w:space="0" w:color="auto"/>
              <w:left w:val="single" w:sz="4" w:space="0" w:color="auto"/>
              <w:bottom w:val="single" w:sz="4" w:space="0" w:color="auto"/>
              <w:right w:val="single" w:sz="4" w:space="0" w:color="auto"/>
            </w:tcBorders>
            <w:vAlign w:val="center"/>
          </w:tcPr>
          <w:p w14:paraId="09B1E742"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97</w:t>
            </w:r>
          </w:p>
        </w:tc>
      </w:tr>
      <w:tr w:rsidR="001576B3" w:rsidRPr="00612E35" w14:paraId="443F0107"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1C3DF390"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Chihuahua</w:t>
            </w:r>
          </w:p>
        </w:tc>
        <w:tc>
          <w:tcPr>
            <w:tcW w:w="1418" w:type="dxa"/>
            <w:tcBorders>
              <w:top w:val="single" w:sz="4" w:space="0" w:color="auto"/>
              <w:left w:val="single" w:sz="4" w:space="0" w:color="auto"/>
              <w:bottom w:val="single" w:sz="4" w:space="0" w:color="auto"/>
              <w:right w:val="single" w:sz="4" w:space="0" w:color="auto"/>
            </w:tcBorders>
            <w:vAlign w:val="center"/>
          </w:tcPr>
          <w:p w14:paraId="0FB595C3"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123</w:t>
            </w:r>
          </w:p>
        </w:tc>
      </w:tr>
      <w:tr w:rsidR="001576B3" w:rsidRPr="00612E35" w14:paraId="16AF64EE"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4017434F"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Ciudad de México</w:t>
            </w:r>
          </w:p>
        </w:tc>
        <w:tc>
          <w:tcPr>
            <w:tcW w:w="1418" w:type="dxa"/>
            <w:tcBorders>
              <w:top w:val="single" w:sz="4" w:space="0" w:color="auto"/>
              <w:left w:val="single" w:sz="4" w:space="0" w:color="auto"/>
              <w:bottom w:val="single" w:sz="4" w:space="0" w:color="auto"/>
              <w:right w:val="single" w:sz="4" w:space="0" w:color="auto"/>
            </w:tcBorders>
            <w:vAlign w:val="center"/>
          </w:tcPr>
          <w:p w14:paraId="577DF867"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246</w:t>
            </w:r>
          </w:p>
        </w:tc>
      </w:tr>
      <w:tr w:rsidR="001576B3" w:rsidRPr="00612E35" w14:paraId="2E970BD3"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61BFCC4F"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Durango</w:t>
            </w:r>
          </w:p>
        </w:tc>
        <w:tc>
          <w:tcPr>
            <w:tcW w:w="1418" w:type="dxa"/>
            <w:tcBorders>
              <w:top w:val="single" w:sz="4" w:space="0" w:color="auto"/>
              <w:left w:val="single" w:sz="4" w:space="0" w:color="auto"/>
              <w:bottom w:val="single" w:sz="4" w:space="0" w:color="auto"/>
              <w:right w:val="single" w:sz="4" w:space="0" w:color="auto"/>
            </w:tcBorders>
            <w:vAlign w:val="center"/>
          </w:tcPr>
          <w:p w14:paraId="160DE857"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86</w:t>
            </w:r>
          </w:p>
        </w:tc>
      </w:tr>
      <w:tr w:rsidR="001576B3" w:rsidRPr="00612E35" w14:paraId="103BEF56"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73AD7CA9"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Guanajuato</w:t>
            </w:r>
          </w:p>
        </w:tc>
        <w:tc>
          <w:tcPr>
            <w:tcW w:w="1418" w:type="dxa"/>
            <w:tcBorders>
              <w:top w:val="single" w:sz="4" w:space="0" w:color="auto"/>
              <w:left w:val="single" w:sz="4" w:space="0" w:color="auto"/>
              <w:bottom w:val="single" w:sz="4" w:space="0" w:color="auto"/>
              <w:right w:val="single" w:sz="4" w:space="0" w:color="auto"/>
            </w:tcBorders>
            <w:vAlign w:val="center"/>
          </w:tcPr>
          <w:p w14:paraId="61944585"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128</w:t>
            </w:r>
          </w:p>
        </w:tc>
      </w:tr>
      <w:tr w:rsidR="001576B3" w:rsidRPr="00612E35" w14:paraId="15347567"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66597EEC"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Guerrero</w:t>
            </w:r>
          </w:p>
        </w:tc>
        <w:tc>
          <w:tcPr>
            <w:tcW w:w="1418" w:type="dxa"/>
            <w:tcBorders>
              <w:top w:val="single" w:sz="4" w:space="0" w:color="auto"/>
              <w:left w:val="single" w:sz="4" w:space="0" w:color="auto"/>
              <w:bottom w:val="single" w:sz="4" w:space="0" w:color="auto"/>
              <w:right w:val="single" w:sz="4" w:space="0" w:color="auto"/>
            </w:tcBorders>
            <w:vAlign w:val="center"/>
          </w:tcPr>
          <w:p w14:paraId="126704EB"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77</w:t>
            </w:r>
          </w:p>
        </w:tc>
      </w:tr>
      <w:tr w:rsidR="001576B3" w:rsidRPr="00612E35" w14:paraId="63E1EADF"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1888B594"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Hidalgo</w:t>
            </w:r>
          </w:p>
        </w:tc>
        <w:tc>
          <w:tcPr>
            <w:tcW w:w="1418" w:type="dxa"/>
            <w:tcBorders>
              <w:top w:val="single" w:sz="4" w:space="0" w:color="auto"/>
              <w:left w:val="single" w:sz="4" w:space="0" w:color="auto"/>
              <w:bottom w:val="single" w:sz="4" w:space="0" w:color="auto"/>
              <w:right w:val="single" w:sz="4" w:space="0" w:color="auto"/>
            </w:tcBorders>
            <w:vAlign w:val="center"/>
          </w:tcPr>
          <w:p w14:paraId="4FAABB57"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100</w:t>
            </w:r>
          </w:p>
        </w:tc>
      </w:tr>
      <w:tr w:rsidR="001576B3" w:rsidRPr="00612E35" w14:paraId="35238A01"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6CFC46EC"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Jalisco</w:t>
            </w:r>
          </w:p>
        </w:tc>
        <w:tc>
          <w:tcPr>
            <w:tcW w:w="1418" w:type="dxa"/>
            <w:tcBorders>
              <w:top w:val="single" w:sz="4" w:space="0" w:color="auto"/>
              <w:left w:val="single" w:sz="4" w:space="0" w:color="auto"/>
              <w:bottom w:val="single" w:sz="4" w:space="0" w:color="auto"/>
              <w:right w:val="single" w:sz="4" w:space="0" w:color="auto"/>
            </w:tcBorders>
            <w:vAlign w:val="center"/>
          </w:tcPr>
          <w:p w14:paraId="2539CABD"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161</w:t>
            </w:r>
          </w:p>
        </w:tc>
      </w:tr>
      <w:tr w:rsidR="001576B3" w:rsidRPr="00612E35" w14:paraId="54D037EF"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2F721DEF"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México</w:t>
            </w:r>
          </w:p>
        </w:tc>
        <w:tc>
          <w:tcPr>
            <w:tcW w:w="1418" w:type="dxa"/>
            <w:tcBorders>
              <w:top w:val="single" w:sz="4" w:space="0" w:color="auto"/>
              <w:left w:val="single" w:sz="4" w:space="0" w:color="auto"/>
              <w:bottom w:val="single" w:sz="4" w:space="0" w:color="auto"/>
              <w:right w:val="single" w:sz="4" w:space="0" w:color="auto"/>
            </w:tcBorders>
            <w:vAlign w:val="center"/>
          </w:tcPr>
          <w:p w14:paraId="47F31DEF"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132</w:t>
            </w:r>
          </w:p>
        </w:tc>
      </w:tr>
      <w:tr w:rsidR="001576B3" w:rsidRPr="00612E35" w14:paraId="6FB6E97A"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52FEAB0F"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Michoacán de Ocampo</w:t>
            </w:r>
          </w:p>
        </w:tc>
        <w:tc>
          <w:tcPr>
            <w:tcW w:w="1418" w:type="dxa"/>
            <w:tcBorders>
              <w:top w:val="single" w:sz="4" w:space="0" w:color="auto"/>
              <w:left w:val="single" w:sz="4" w:space="0" w:color="auto"/>
              <w:bottom w:val="single" w:sz="4" w:space="0" w:color="auto"/>
              <w:right w:val="single" w:sz="4" w:space="0" w:color="auto"/>
            </w:tcBorders>
            <w:vAlign w:val="center"/>
          </w:tcPr>
          <w:p w14:paraId="0EF5331F"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100</w:t>
            </w:r>
          </w:p>
        </w:tc>
      </w:tr>
      <w:tr w:rsidR="001576B3" w:rsidRPr="00612E35" w14:paraId="5512FCA6"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5727D685"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Morelos</w:t>
            </w:r>
          </w:p>
        </w:tc>
        <w:tc>
          <w:tcPr>
            <w:tcW w:w="1418" w:type="dxa"/>
            <w:tcBorders>
              <w:top w:val="single" w:sz="4" w:space="0" w:color="auto"/>
              <w:left w:val="single" w:sz="4" w:space="0" w:color="auto"/>
              <w:bottom w:val="single" w:sz="4" w:space="0" w:color="auto"/>
              <w:right w:val="single" w:sz="4" w:space="0" w:color="auto"/>
            </w:tcBorders>
            <w:vAlign w:val="center"/>
          </w:tcPr>
          <w:p w14:paraId="2E5D870E"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70</w:t>
            </w:r>
          </w:p>
        </w:tc>
      </w:tr>
      <w:tr w:rsidR="001576B3" w:rsidRPr="00612E35" w14:paraId="043305C9"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547360F8"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Nayarit</w:t>
            </w:r>
          </w:p>
        </w:tc>
        <w:tc>
          <w:tcPr>
            <w:tcW w:w="1418" w:type="dxa"/>
            <w:tcBorders>
              <w:top w:val="single" w:sz="4" w:space="0" w:color="auto"/>
              <w:left w:val="single" w:sz="4" w:space="0" w:color="auto"/>
              <w:bottom w:val="single" w:sz="4" w:space="0" w:color="auto"/>
              <w:right w:val="single" w:sz="4" w:space="0" w:color="auto"/>
            </w:tcBorders>
            <w:vAlign w:val="center"/>
          </w:tcPr>
          <w:p w14:paraId="695BDCD0"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81</w:t>
            </w:r>
          </w:p>
        </w:tc>
      </w:tr>
      <w:tr w:rsidR="001576B3" w:rsidRPr="00612E35" w14:paraId="04BEA1C5"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3471AAEA"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Nuevo León</w:t>
            </w:r>
          </w:p>
        </w:tc>
        <w:tc>
          <w:tcPr>
            <w:tcW w:w="1418" w:type="dxa"/>
            <w:tcBorders>
              <w:top w:val="single" w:sz="4" w:space="0" w:color="auto"/>
              <w:left w:val="single" w:sz="4" w:space="0" w:color="auto"/>
              <w:bottom w:val="single" w:sz="4" w:space="0" w:color="auto"/>
              <w:right w:val="single" w:sz="4" w:space="0" w:color="auto"/>
            </w:tcBorders>
            <w:vAlign w:val="center"/>
          </w:tcPr>
          <w:p w14:paraId="07B6A402"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173</w:t>
            </w:r>
          </w:p>
        </w:tc>
      </w:tr>
      <w:tr w:rsidR="001576B3" w:rsidRPr="00612E35" w14:paraId="3D7F7551"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2050A928"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Oaxaca</w:t>
            </w:r>
          </w:p>
        </w:tc>
        <w:tc>
          <w:tcPr>
            <w:tcW w:w="1418" w:type="dxa"/>
            <w:tcBorders>
              <w:top w:val="single" w:sz="4" w:space="0" w:color="auto"/>
              <w:left w:val="single" w:sz="4" w:space="0" w:color="auto"/>
              <w:bottom w:val="single" w:sz="4" w:space="0" w:color="auto"/>
              <w:right w:val="single" w:sz="4" w:space="0" w:color="auto"/>
            </w:tcBorders>
            <w:vAlign w:val="center"/>
          </w:tcPr>
          <w:p w14:paraId="51762BE9"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121</w:t>
            </w:r>
          </w:p>
        </w:tc>
      </w:tr>
      <w:tr w:rsidR="001576B3" w:rsidRPr="00612E35" w14:paraId="6F899D47"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5DC47EF0"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Puebla</w:t>
            </w:r>
          </w:p>
        </w:tc>
        <w:tc>
          <w:tcPr>
            <w:tcW w:w="1418" w:type="dxa"/>
            <w:tcBorders>
              <w:top w:val="single" w:sz="4" w:space="0" w:color="auto"/>
              <w:left w:val="single" w:sz="4" w:space="0" w:color="auto"/>
              <w:bottom w:val="single" w:sz="4" w:space="0" w:color="auto"/>
              <w:right w:val="single" w:sz="4" w:space="0" w:color="auto"/>
            </w:tcBorders>
            <w:vAlign w:val="center"/>
          </w:tcPr>
          <w:p w14:paraId="5646A736"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112</w:t>
            </w:r>
          </w:p>
        </w:tc>
      </w:tr>
      <w:tr w:rsidR="001576B3" w:rsidRPr="00612E35" w14:paraId="1AD203FD"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0D63A4C2"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 xml:space="preserve">Querétaro </w:t>
            </w:r>
          </w:p>
        </w:tc>
        <w:tc>
          <w:tcPr>
            <w:tcW w:w="1418" w:type="dxa"/>
            <w:tcBorders>
              <w:top w:val="single" w:sz="4" w:space="0" w:color="auto"/>
              <w:left w:val="single" w:sz="4" w:space="0" w:color="auto"/>
              <w:bottom w:val="single" w:sz="4" w:space="0" w:color="auto"/>
              <w:right w:val="single" w:sz="4" w:space="0" w:color="auto"/>
            </w:tcBorders>
            <w:vAlign w:val="center"/>
          </w:tcPr>
          <w:p w14:paraId="42B4529C"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108</w:t>
            </w:r>
          </w:p>
        </w:tc>
      </w:tr>
      <w:tr w:rsidR="001576B3" w:rsidRPr="00612E35" w14:paraId="34B078BE"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05EFC82C"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Quintana Roo</w:t>
            </w:r>
          </w:p>
        </w:tc>
        <w:tc>
          <w:tcPr>
            <w:tcW w:w="1418" w:type="dxa"/>
            <w:tcBorders>
              <w:top w:val="single" w:sz="4" w:space="0" w:color="auto"/>
              <w:left w:val="single" w:sz="4" w:space="0" w:color="auto"/>
              <w:bottom w:val="single" w:sz="4" w:space="0" w:color="auto"/>
              <w:right w:val="single" w:sz="4" w:space="0" w:color="auto"/>
            </w:tcBorders>
            <w:vAlign w:val="center"/>
          </w:tcPr>
          <w:p w14:paraId="5ADEE97E"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79</w:t>
            </w:r>
          </w:p>
        </w:tc>
      </w:tr>
      <w:tr w:rsidR="001576B3" w:rsidRPr="00612E35" w14:paraId="4C7DA808"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7114CF10"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San Luis Potosí</w:t>
            </w:r>
          </w:p>
        </w:tc>
        <w:tc>
          <w:tcPr>
            <w:tcW w:w="1418" w:type="dxa"/>
            <w:tcBorders>
              <w:top w:val="single" w:sz="4" w:space="0" w:color="auto"/>
              <w:left w:val="single" w:sz="4" w:space="0" w:color="auto"/>
              <w:bottom w:val="single" w:sz="4" w:space="0" w:color="auto"/>
              <w:right w:val="single" w:sz="4" w:space="0" w:color="auto"/>
            </w:tcBorders>
            <w:vAlign w:val="center"/>
          </w:tcPr>
          <w:p w14:paraId="465881F0"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105</w:t>
            </w:r>
          </w:p>
        </w:tc>
      </w:tr>
      <w:tr w:rsidR="001576B3" w:rsidRPr="00612E35" w14:paraId="40830984"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0BA41E90"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Sinaloa</w:t>
            </w:r>
          </w:p>
        </w:tc>
        <w:tc>
          <w:tcPr>
            <w:tcW w:w="1418" w:type="dxa"/>
            <w:tcBorders>
              <w:top w:val="single" w:sz="4" w:space="0" w:color="auto"/>
              <w:left w:val="single" w:sz="4" w:space="0" w:color="auto"/>
              <w:bottom w:val="single" w:sz="4" w:space="0" w:color="auto"/>
              <w:right w:val="single" w:sz="4" w:space="0" w:color="auto"/>
            </w:tcBorders>
            <w:vAlign w:val="center"/>
          </w:tcPr>
          <w:p w14:paraId="3235441E"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105</w:t>
            </w:r>
          </w:p>
        </w:tc>
      </w:tr>
      <w:tr w:rsidR="001576B3" w:rsidRPr="00612E35" w14:paraId="48A5AAB9"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7E10E5E4"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Sonora</w:t>
            </w:r>
          </w:p>
        </w:tc>
        <w:tc>
          <w:tcPr>
            <w:tcW w:w="1418" w:type="dxa"/>
            <w:tcBorders>
              <w:top w:val="single" w:sz="4" w:space="0" w:color="auto"/>
              <w:left w:val="single" w:sz="4" w:space="0" w:color="auto"/>
              <w:bottom w:val="single" w:sz="4" w:space="0" w:color="auto"/>
              <w:right w:val="single" w:sz="4" w:space="0" w:color="auto"/>
            </w:tcBorders>
            <w:vAlign w:val="center"/>
          </w:tcPr>
          <w:p w14:paraId="69504CF8"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131</w:t>
            </w:r>
          </w:p>
        </w:tc>
      </w:tr>
      <w:tr w:rsidR="001576B3" w:rsidRPr="00612E35" w14:paraId="07463078"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169352E0"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Tabasco</w:t>
            </w:r>
          </w:p>
        </w:tc>
        <w:tc>
          <w:tcPr>
            <w:tcW w:w="1418" w:type="dxa"/>
            <w:tcBorders>
              <w:top w:val="single" w:sz="4" w:space="0" w:color="auto"/>
              <w:left w:val="single" w:sz="4" w:space="0" w:color="auto"/>
              <w:bottom w:val="single" w:sz="4" w:space="0" w:color="auto"/>
              <w:right w:val="single" w:sz="4" w:space="0" w:color="auto"/>
            </w:tcBorders>
            <w:vAlign w:val="center"/>
          </w:tcPr>
          <w:p w14:paraId="2CDF22C8"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99</w:t>
            </w:r>
          </w:p>
        </w:tc>
      </w:tr>
      <w:tr w:rsidR="001576B3" w:rsidRPr="00612E35" w14:paraId="1CC8ECD4"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2ABE2EF5"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Tamaulipas</w:t>
            </w:r>
          </w:p>
        </w:tc>
        <w:tc>
          <w:tcPr>
            <w:tcW w:w="1418" w:type="dxa"/>
            <w:tcBorders>
              <w:top w:val="single" w:sz="4" w:space="0" w:color="auto"/>
              <w:left w:val="single" w:sz="4" w:space="0" w:color="auto"/>
              <w:bottom w:val="single" w:sz="4" w:space="0" w:color="auto"/>
              <w:right w:val="single" w:sz="4" w:space="0" w:color="auto"/>
            </w:tcBorders>
            <w:vAlign w:val="center"/>
          </w:tcPr>
          <w:p w14:paraId="5D1C2BCB"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121</w:t>
            </w:r>
          </w:p>
        </w:tc>
      </w:tr>
      <w:tr w:rsidR="001576B3" w:rsidRPr="00612E35" w14:paraId="331B58D6"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633251F0"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Tlaxcala</w:t>
            </w:r>
          </w:p>
        </w:tc>
        <w:tc>
          <w:tcPr>
            <w:tcW w:w="1418" w:type="dxa"/>
            <w:tcBorders>
              <w:top w:val="single" w:sz="4" w:space="0" w:color="auto"/>
              <w:left w:val="single" w:sz="4" w:space="0" w:color="auto"/>
              <w:bottom w:val="single" w:sz="4" w:space="0" w:color="auto"/>
              <w:right w:val="single" w:sz="4" w:space="0" w:color="auto"/>
            </w:tcBorders>
            <w:vAlign w:val="center"/>
          </w:tcPr>
          <w:p w14:paraId="1C7E449F"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53</w:t>
            </w:r>
          </w:p>
        </w:tc>
      </w:tr>
      <w:tr w:rsidR="001576B3" w:rsidRPr="00612E35" w14:paraId="6203CBE2"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3B2BD1C0"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Veracruz de Ignacio de la Llave</w:t>
            </w:r>
          </w:p>
        </w:tc>
        <w:tc>
          <w:tcPr>
            <w:tcW w:w="1418" w:type="dxa"/>
            <w:tcBorders>
              <w:top w:val="single" w:sz="4" w:space="0" w:color="auto"/>
              <w:left w:val="single" w:sz="4" w:space="0" w:color="auto"/>
              <w:bottom w:val="single" w:sz="4" w:space="0" w:color="auto"/>
              <w:right w:val="single" w:sz="4" w:space="0" w:color="auto"/>
            </w:tcBorders>
            <w:vAlign w:val="center"/>
          </w:tcPr>
          <w:p w14:paraId="1B1A7B95"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132</w:t>
            </w:r>
          </w:p>
        </w:tc>
      </w:tr>
      <w:tr w:rsidR="001576B3" w:rsidRPr="00612E35" w14:paraId="1552DE37" w14:textId="77777777" w:rsidTr="00515933">
        <w:trPr>
          <w:jc w:val="center"/>
        </w:trPr>
        <w:tc>
          <w:tcPr>
            <w:tcW w:w="5807" w:type="dxa"/>
            <w:tcBorders>
              <w:top w:val="single" w:sz="4" w:space="0" w:color="auto"/>
              <w:left w:val="single" w:sz="4" w:space="0" w:color="auto"/>
              <w:bottom w:val="single" w:sz="4" w:space="0" w:color="auto"/>
              <w:right w:val="single" w:sz="4" w:space="0" w:color="auto"/>
            </w:tcBorders>
            <w:vAlign w:val="center"/>
          </w:tcPr>
          <w:p w14:paraId="46B18540"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Yucatán</w:t>
            </w:r>
          </w:p>
        </w:tc>
        <w:tc>
          <w:tcPr>
            <w:tcW w:w="1418" w:type="dxa"/>
            <w:tcBorders>
              <w:top w:val="single" w:sz="4" w:space="0" w:color="auto"/>
              <w:left w:val="single" w:sz="4" w:space="0" w:color="auto"/>
              <w:bottom w:val="single" w:sz="4" w:space="0" w:color="auto"/>
              <w:right w:val="single" w:sz="4" w:space="0" w:color="auto"/>
            </w:tcBorders>
            <w:vAlign w:val="center"/>
          </w:tcPr>
          <w:p w14:paraId="2351D486"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100</w:t>
            </w:r>
          </w:p>
        </w:tc>
      </w:tr>
      <w:tr w:rsidR="001576B3" w:rsidRPr="00612E35" w14:paraId="3019F940" w14:textId="77777777" w:rsidTr="00515933">
        <w:trPr>
          <w:trHeight w:val="64"/>
          <w:jc w:val="center"/>
        </w:trPr>
        <w:tc>
          <w:tcPr>
            <w:tcW w:w="5807" w:type="dxa"/>
            <w:tcBorders>
              <w:top w:val="single" w:sz="4" w:space="0" w:color="auto"/>
              <w:left w:val="single" w:sz="4" w:space="0" w:color="auto"/>
              <w:bottom w:val="single" w:sz="4" w:space="0" w:color="auto"/>
              <w:right w:val="single" w:sz="4" w:space="0" w:color="auto"/>
            </w:tcBorders>
            <w:vAlign w:val="center"/>
          </w:tcPr>
          <w:p w14:paraId="2723AD0A" w14:textId="77777777" w:rsidR="001576B3" w:rsidRPr="00515933" w:rsidRDefault="001576B3" w:rsidP="00D3530D">
            <w:pPr>
              <w:widowControl w:val="0"/>
              <w:autoSpaceDE w:val="0"/>
              <w:autoSpaceDN w:val="0"/>
              <w:adjustRightInd w:val="0"/>
              <w:ind w:left="33" w:firstLine="25"/>
              <w:jc w:val="both"/>
              <w:rPr>
                <w:rFonts w:ascii="Arial" w:hAnsi="Arial" w:cs="Arial"/>
                <w:color w:val="000000"/>
                <w:sz w:val="20"/>
                <w:szCs w:val="20"/>
                <w:lang w:val="es-ES"/>
              </w:rPr>
            </w:pPr>
            <w:r w:rsidRPr="00515933">
              <w:rPr>
                <w:rFonts w:ascii="Arial" w:hAnsi="Arial" w:cs="Arial"/>
                <w:color w:val="000000"/>
                <w:sz w:val="20"/>
                <w:szCs w:val="20"/>
                <w:lang w:val="es-ES"/>
              </w:rPr>
              <w:t>Zacatecas</w:t>
            </w:r>
          </w:p>
        </w:tc>
        <w:tc>
          <w:tcPr>
            <w:tcW w:w="1418" w:type="dxa"/>
            <w:tcBorders>
              <w:top w:val="single" w:sz="4" w:space="0" w:color="auto"/>
              <w:left w:val="single" w:sz="4" w:space="0" w:color="auto"/>
              <w:bottom w:val="single" w:sz="4" w:space="0" w:color="auto"/>
              <w:right w:val="single" w:sz="4" w:space="0" w:color="auto"/>
            </w:tcBorders>
            <w:vAlign w:val="center"/>
          </w:tcPr>
          <w:p w14:paraId="1EB20FEF" w14:textId="77777777" w:rsidR="001576B3" w:rsidRPr="00515933" w:rsidRDefault="001576B3" w:rsidP="00D3530D">
            <w:pPr>
              <w:widowControl w:val="0"/>
              <w:autoSpaceDE w:val="0"/>
              <w:autoSpaceDN w:val="0"/>
              <w:adjustRightInd w:val="0"/>
              <w:ind w:left="-821" w:right="316"/>
              <w:jc w:val="right"/>
              <w:rPr>
                <w:rFonts w:ascii="Arial" w:hAnsi="Arial" w:cs="Arial"/>
                <w:sz w:val="20"/>
                <w:szCs w:val="20"/>
              </w:rPr>
            </w:pPr>
            <w:r w:rsidRPr="00515933">
              <w:rPr>
                <w:rFonts w:ascii="Arial" w:hAnsi="Arial" w:cs="Arial"/>
                <w:color w:val="000000"/>
                <w:sz w:val="20"/>
                <w:szCs w:val="20"/>
              </w:rPr>
              <w:t>81</w:t>
            </w:r>
          </w:p>
        </w:tc>
      </w:tr>
    </w:tbl>
    <w:p w14:paraId="6F7BD348" w14:textId="77777777" w:rsidR="00BA741A" w:rsidRDefault="00BA741A" w:rsidP="00BA741A">
      <w:pPr>
        <w:pStyle w:val="Pa29"/>
        <w:spacing w:line="240" w:lineRule="auto"/>
        <w:jc w:val="both"/>
        <w:rPr>
          <w:rStyle w:val="A1"/>
          <w:sz w:val="22"/>
          <w:lang w:val="es-MX"/>
        </w:rPr>
      </w:pPr>
    </w:p>
    <w:p w14:paraId="7C65527C" w14:textId="2B38DBD3" w:rsidR="00BA741A" w:rsidRPr="005430F9" w:rsidRDefault="00BA741A" w:rsidP="005430F9">
      <w:pPr>
        <w:pStyle w:val="Pa29"/>
        <w:spacing w:line="240" w:lineRule="auto"/>
        <w:ind w:left="-567" w:right="-518"/>
        <w:jc w:val="both"/>
        <w:rPr>
          <w:rStyle w:val="A1"/>
          <w:sz w:val="24"/>
          <w:szCs w:val="24"/>
          <w:lang w:val="es-MX"/>
        </w:rPr>
      </w:pPr>
      <w:r w:rsidRPr="005430F9">
        <w:rPr>
          <w:rStyle w:val="A1"/>
          <w:sz w:val="24"/>
          <w:szCs w:val="24"/>
          <w:lang w:val="es-MX"/>
        </w:rPr>
        <w:t>Se utiliza</w:t>
      </w:r>
      <w:r w:rsidR="00C96A75">
        <w:rPr>
          <w:rStyle w:val="A1"/>
          <w:sz w:val="24"/>
          <w:szCs w:val="24"/>
          <w:lang w:val="es-MX"/>
        </w:rPr>
        <w:t>ro</w:t>
      </w:r>
      <w:r w:rsidRPr="005430F9">
        <w:rPr>
          <w:rStyle w:val="A1"/>
          <w:sz w:val="24"/>
          <w:szCs w:val="24"/>
          <w:lang w:val="es-MX"/>
        </w:rPr>
        <w:t xml:space="preserve">n dos modalidades para la captación de la información: </w:t>
      </w:r>
      <w:r w:rsidR="00C96A75">
        <w:rPr>
          <w:rStyle w:val="A1"/>
          <w:sz w:val="24"/>
          <w:szCs w:val="24"/>
          <w:lang w:val="es-MX"/>
        </w:rPr>
        <w:t>c</w:t>
      </w:r>
      <w:r w:rsidRPr="005430F9">
        <w:rPr>
          <w:rStyle w:val="A1"/>
          <w:sz w:val="24"/>
          <w:szCs w:val="24"/>
          <w:lang w:val="es-MX"/>
        </w:rPr>
        <w:t>uestionario impreso y cuestionario electrónico</w:t>
      </w:r>
      <w:r w:rsidR="00EF26A5">
        <w:rPr>
          <w:rStyle w:val="A1"/>
          <w:sz w:val="24"/>
          <w:szCs w:val="24"/>
          <w:lang w:val="es-MX"/>
        </w:rPr>
        <w:t xml:space="preserve">, por medio de la página del </w:t>
      </w:r>
      <w:r w:rsidRPr="005430F9">
        <w:rPr>
          <w:rStyle w:val="A1"/>
          <w:sz w:val="24"/>
          <w:szCs w:val="24"/>
          <w:lang w:val="es-MX"/>
        </w:rPr>
        <w:t>INEGI.</w:t>
      </w:r>
    </w:p>
    <w:p w14:paraId="561A5D73" w14:textId="77777777" w:rsidR="00BA741A" w:rsidRPr="005430F9" w:rsidRDefault="00BA741A" w:rsidP="005430F9">
      <w:pPr>
        <w:pStyle w:val="Pa10"/>
        <w:spacing w:line="240" w:lineRule="auto"/>
        <w:ind w:left="-567" w:right="-518"/>
        <w:jc w:val="both"/>
        <w:rPr>
          <w:rStyle w:val="A1"/>
          <w:sz w:val="24"/>
          <w:szCs w:val="24"/>
          <w:lang w:val="es-MX"/>
        </w:rPr>
      </w:pPr>
    </w:p>
    <w:p w14:paraId="6304889E" w14:textId="30DB5C1F" w:rsidR="00BA741A" w:rsidRPr="00C96A75" w:rsidRDefault="00BA741A" w:rsidP="005430F9">
      <w:pPr>
        <w:pStyle w:val="Pa10"/>
        <w:spacing w:line="240" w:lineRule="auto"/>
        <w:ind w:left="-567" w:right="-518"/>
        <w:jc w:val="both"/>
        <w:rPr>
          <w:color w:val="000000"/>
        </w:rPr>
      </w:pPr>
      <w:r w:rsidRPr="005430F9">
        <w:rPr>
          <w:rStyle w:val="A1"/>
          <w:sz w:val="24"/>
          <w:szCs w:val="24"/>
          <w:lang w:val="es-MX"/>
        </w:rPr>
        <w:t xml:space="preserve">Los resultados se difunden a los 12 meses de </w:t>
      </w:r>
      <w:r w:rsidR="00C96A75">
        <w:rPr>
          <w:rStyle w:val="A1"/>
          <w:sz w:val="24"/>
          <w:szCs w:val="24"/>
          <w:lang w:val="es-MX"/>
        </w:rPr>
        <w:t xml:space="preserve">que </w:t>
      </w:r>
      <w:r w:rsidRPr="005430F9">
        <w:rPr>
          <w:rStyle w:val="A1"/>
          <w:sz w:val="24"/>
          <w:szCs w:val="24"/>
          <w:lang w:val="es-MX"/>
        </w:rPr>
        <w:t>conclu</w:t>
      </w:r>
      <w:r w:rsidR="00C96A75">
        <w:rPr>
          <w:rStyle w:val="A1"/>
          <w:sz w:val="24"/>
          <w:szCs w:val="24"/>
          <w:lang w:val="es-MX"/>
        </w:rPr>
        <w:t>ye</w:t>
      </w:r>
      <w:r w:rsidRPr="005430F9">
        <w:rPr>
          <w:rStyle w:val="A1"/>
          <w:sz w:val="24"/>
          <w:szCs w:val="24"/>
          <w:lang w:val="es-MX"/>
        </w:rPr>
        <w:t xml:space="preserve"> el año de referencia de la información. </w:t>
      </w:r>
      <w:r w:rsidRPr="005430F9">
        <w:rPr>
          <w:color w:val="000000"/>
          <w:lang w:val="es-MX"/>
        </w:rPr>
        <w:t xml:space="preserve">La fecha de difusión de dicha encuesta </w:t>
      </w:r>
      <w:r w:rsidR="00C96A75">
        <w:rPr>
          <w:color w:val="000000"/>
          <w:lang w:val="es-MX"/>
        </w:rPr>
        <w:t>está</w:t>
      </w:r>
      <w:r w:rsidR="00EF26A5">
        <w:rPr>
          <w:color w:val="000000"/>
          <w:lang w:val="es-MX"/>
        </w:rPr>
        <w:t xml:space="preserve"> en</w:t>
      </w:r>
      <w:r w:rsidRPr="005430F9">
        <w:rPr>
          <w:color w:val="000000"/>
          <w:lang w:val="es-MX"/>
        </w:rPr>
        <w:t xml:space="preserve"> el Calendario de </w:t>
      </w:r>
      <w:r w:rsidR="00EF26A5">
        <w:rPr>
          <w:color w:val="000000"/>
          <w:lang w:val="es-MX"/>
        </w:rPr>
        <w:t>D</w:t>
      </w:r>
      <w:r w:rsidRPr="005430F9">
        <w:rPr>
          <w:color w:val="000000"/>
          <w:lang w:val="es-MX"/>
        </w:rPr>
        <w:t xml:space="preserve">ifusión de </w:t>
      </w:r>
      <w:r w:rsidR="00EF26A5">
        <w:rPr>
          <w:color w:val="000000"/>
          <w:lang w:val="es-MX"/>
        </w:rPr>
        <w:t>I</w:t>
      </w:r>
      <w:r w:rsidRPr="005430F9">
        <w:rPr>
          <w:color w:val="000000"/>
          <w:lang w:val="es-MX"/>
        </w:rPr>
        <w:t xml:space="preserve">nformación </w:t>
      </w:r>
      <w:r w:rsidR="00EF26A5">
        <w:rPr>
          <w:color w:val="000000"/>
          <w:lang w:val="es-MX"/>
        </w:rPr>
        <w:t>E</w:t>
      </w:r>
      <w:r w:rsidRPr="005430F9">
        <w:rPr>
          <w:color w:val="000000"/>
          <w:lang w:val="es-MX"/>
        </w:rPr>
        <w:t xml:space="preserve">stadística y </w:t>
      </w:r>
      <w:r w:rsidR="00EF26A5">
        <w:rPr>
          <w:color w:val="000000"/>
          <w:lang w:val="es-MX"/>
        </w:rPr>
        <w:t>G</w:t>
      </w:r>
      <w:r w:rsidRPr="005430F9">
        <w:rPr>
          <w:color w:val="000000"/>
          <w:lang w:val="es-MX"/>
        </w:rPr>
        <w:t xml:space="preserve">eográfica y de Interés Nacional, </w:t>
      </w:r>
      <w:r w:rsidR="00C96A75">
        <w:rPr>
          <w:color w:val="000000"/>
          <w:lang w:val="es-MX"/>
        </w:rPr>
        <w:t xml:space="preserve">que se </w:t>
      </w:r>
      <w:r w:rsidRPr="005430F9">
        <w:rPr>
          <w:color w:val="000000"/>
          <w:lang w:val="es-MX"/>
        </w:rPr>
        <w:t xml:space="preserve">publica en el </w:t>
      </w:r>
      <w:r w:rsidR="00EF26A5">
        <w:rPr>
          <w:color w:val="000000"/>
          <w:lang w:val="es-MX"/>
        </w:rPr>
        <w:t>s</w:t>
      </w:r>
      <w:r w:rsidRPr="005430F9">
        <w:rPr>
          <w:color w:val="000000"/>
          <w:lang w:val="es-MX"/>
        </w:rPr>
        <w:t>itio del INEGI:</w:t>
      </w:r>
    </w:p>
    <w:p w14:paraId="3FF9FCE0" w14:textId="77777777" w:rsidR="00BA741A" w:rsidRPr="005430F9" w:rsidRDefault="0078423C" w:rsidP="005430F9">
      <w:pPr>
        <w:autoSpaceDE w:val="0"/>
        <w:autoSpaceDN w:val="0"/>
        <w:adjustRightInd w:val="0"/>
        <w:spacing w:after="0" w:line="240" w:lineRule="auto"/>
        <w:ind w:left="-567" w:right="-518"/>
        <w:jc w:val="both"/>
        <w:rPr>
          <w:rStyle w:val="Hipervnculo"/>
          <w:rFonts w:ascii="Arial" w:hAnsi="Arial" w:cs="Arial"/>
          <w:sz w:val="24"/>
          <w:szCs w:val="24"/>
        </w:rPr>
      </w:pPr>
      <w:hyperlink r:id="rId32" w:history="1">
        <w:r w:rsidR="00BA741A" w:rsidRPr="005430F9">
          <w:rPr>
            <w:rStyle w:val="Hipervnculo"/>
            <w:rFonts w:ascii="Arial" w:hAnsi="Arial" w:cs="Arial"/>
            <w:sz w:val="24"/>
            <w:szCs w:val="24"/>
          </w:rPr>
          <w:t>https://www.inegi.org.mx/app/saladeprensa/calendario/default.html</w:t>
        </w:r>
      </w:hyperlink>
    </w:p>
    <w:p w14:paraId="0512FD88" w14:textId="6C80768A" w:rsidR="008B5689" w:rsidRPr="005430F9" w:rsidRDefault="008B5689" w:rsidP="005430F9">
      <w:pPr>
        <w:pStyle w:val="p0"/>
        <w:keepLines w:val="0"/>
        <w:widowControl/>
        <w:ind w:left="-567" w:right="-518"/>
        <w:rPr>
          <w:rFonts w:ascii="Arial" w:eastAsiaTheme="minorEastAsia" w:hAnsi="Arial"/>
          <w:snapToGrid/>
          <w:color w:val="auto"/>
          <w:lang w:eastAsia="en-US"/>
        </w:rPr>
      </w:pPr>
      <w:r w:rsidRPr="004B1724">
        <w:rPr>
          <w:rFonts w:ascii="Arial" w:eastAsiaTheme="minorEastAsia" w:hAnsi="Arial"/>
          <w:color w:val="auto"/>
        </w:rPr>
        <w:lastRenderedPageBreak/>
        <w:t>Nótese que el personal ocupado que se reporta en este programa estadístico es conceptualmente diferente al que se obtiene con la definición de puestos de trabajo afiliados al Instituto Mexicano del Seguro Social (IMSS). Para mayores detalles, consúltese la sección metadatos de la EAEC</w:t>
      </w:r>
      <w:r w:rsidRPr="005430F9">
        <w:rPr>
          <w:rFonts w:ascii="Arial" w:eastAsiaTheme="minorEastAsia" w:hAnsi="Arial"/>
        </w:rPr>
        <w:t>:</w:t>
      </w:r>
      <w:hyperlink r:id="rId33" w:history="1">
        <w:r w:rsidR="001A5C9A" w:rsidRPr="005430F9">
          <w:rPr>
            <w:rStyle w:val="Hipervnculo"/>
            <w:rFonts w:ascii="Arial" w:hAnsi="Arial"/>
            <w:lang w:val="es-MX"/>
          </w:rPr>
          <w:t>https://www.inegi.org.mx/programas/eaec/2013/</w:t>
        </w:r>
      </w:hyperlink>
    </w:p>
    <w:p w14:paraId="22DF3758" w14:textId="77777777" w:rsidR="007456DC" w:rsidRPr="00711D3B" w:rsidRDefault="007456DC" w:rsidP="001576B3">
      <w:pPr>
        <w:widowControl w:val="0"/>
        <w:autoSpaceDE w:val="0"/>
        <w:autoSpaceDN w:val="0"/>
        <w:adjustRightInd w:val="0"/>
        <w:spacing w:after="0" w:line="240" w:lineRule="auto"/>
        <w:jc w:val="center"/>
        <w:rPr>
          <w:rFonts w:ascii="Arial" w:eastAsiaTheme="minorEastAsia" w:hAnsi="Arial" w:cs="Arial"/>
          <w:color w:val="000000"/>
          <w:lang w:eastAsia="es-MX"/>
        </w:rPr>
      </w:pPr>
    </w:p>
    <w:p w14:paraId="090EB96E" w14:textId="77777777" w:rsidR="007835DE" w:rsidRDefault="007835DE" w:rsidP="001576B3">
      <w:pPr>
        <w:widowControl w:val="0"/>
        <w:autoSpaceDE w:val="0"/>
        <w:autoSpaceDN w:val="0"/>
        <w:adjustRightInd w:val="0"/>
        <w:spacing w:after="0" w:line="240" w:lineRule="auto"/>
        <w:jc w:val="center"/>
        <w:rPr>
          <w:rFonts w:ascii="Arial" w:eastAsiaTheme="minorEastAsia" w:hAnsi="Arial" w:cs="Arial"/>
          <w:color w:val="000000"/>
          <w:sz w:val="23"/>
          <w:szCs w:val="23"/>
          <w:lang w:eastAsia="es-MX"/>
        </w:rPr>
      </w:pPr>
    </w:p>
    <w:p w14:paraId="04362B55" w14:textId="6A69EE78" w:rsidR="001230BB" w:rsidRPr="005430F9" w:rsidRDefault="001230BB" w:rsidP="005430F9">
      <w:pPr>
        <w:widowControl w:val="0"/>
        <w:autoSpaceDE w:val="0"/>
        <w:autoSpaceDN w:val="0"/>
        <w:adjustRightInd w:val="0"/>
        <w:spacing w:after="0" w:line="240" w:lineRule="auto"/>
        <w:ind w:left="-567" w:right="-518"/>
        <w:jc w:val="both"/>
        <w:rPr>
          <w:rFonts w:ascii="Arial" w:eastAsiaTheme="minorEastAsia" w:hAnsi="Arial" w:cs="Arial"/>
          <w:b/>
          <w:bCs/>
          <w:sz w:val="24"/>
          <w:szCs w:val="24"/>
          <w:lang w:eastAsia="es-MX"/>
        </w:rPr>
      </w:pPr>
      <w:r w:rsidRPr="005430F9">
        <w:rPr>
          <w:rFonts w:ascii="Arial" w:eastAsiaTheme="minorEastAsia" w:hAnsi="Arial" w:cs="Arial"/>
          <w:b/>
          <w:bCs/>
          <w:sz w:val="24"/>
          <w:szCs w:val="24"/>
          <w:lang w:eastAsia="es-MX"/>
        </w:rPr>
        <w:t>Nota al usuario</w:t>
      </w:r>
    </w:p>
    <w:p w14:paraId="2D291640" w14:textId="77777777" w:rsidR="001230BB" w:rsidRPr="005430F9" w:rsidRDefault="001230BB" w:rsidP="005430F9">
      <w:pPr>
        <w:widowControl w:val="0"/>
        <w:autoSpaceDE w:val="0"/>
        <w:autoSpaceDN w:val="0"/>
        <w:adjustRightInd w:val="0"/>
        <w:spacing w:after="0" w:line="240" w:lineRule="auto"/>
        <w:ind w:left="-567" w:right="-518"/>
        <w:jc w:val="both"/>
        <w:rPr>
          <w:rFonts w:ascii="Arial" w:eastAsiaTheme="minorEastAsia" w:hAnsi="Arial" w:cs="Arial"/>
          <w:sz w:val="24"/>
          <w:szCs w:val="24"/>
          <w:lang w:eastAsia="es-MX"/>
        </w:rPr>
      </w:pPr>
    </w:p>
    <w:p w14:paraId="1C475BD6" w14:textId="7CEE704B" w:rsidR="001230BB" w:rsidRPr="005430F9" w:rsidRDefault="001230BB" w:rsidP="005430F9">
      <w:pPr>
        <w:widowControl w:val="0"/>
        <w:autoSpaceDE w:val="0"/>
        <w:autoSpaceDN w:val="0"/>
        <w:adjustRightInd w:val="0"/>
        <w:spacing w:after="0" w:line="240" w:lineRule="auto"/>
        <w:ind w:left="-567" w:right="-518"/>
        <w:jc w:val="both"/>
        <w:rPr>
          <w:rFonts w:ascii="Arial" w:eastAsiaTheme="minorEastAsia" w:hAnsi="Arial" w:cs="Arial"/>
          <w:sz w:val="24"/>
          <w:szCs w:val="24"/>
          <w:lang w:eastAsia="es-MX"/>
        </w:rPr>
      </w:pPr>
      <w:r w:rsidRPr="005430F9">
        <w:rPr>
          <w:rFonts w:ascii="Arial" w:eastAsiaTheme="minorEastAsia" w:hAnsi="Arial" w:cs="Arial"/>
          <w:sz w:val="24"/>
          <w:szCs w:val="24"/>
          <w:lang w:eastAsia="es-MX"/>
        </w:rPr>
        <w:t xml:space="preserve">La </w:t>
      </w:r>
      <w:r w:rsidR="001A5C9A">
        <w:rPr>
          <w:rFonts w:ascii="Arial" w:eastAsiaTheme="minorEastAsia" w:hAnsi="Arial" w:cs="Arial"/>
          <w:sz w:val="24"/>
          <w:szCs w:val="24"/>
          <w:lang w:eastAsia="es-MX"/>
        </w:rPr>
        <w:t>t</w:t>
      </w:r>
      <w:r w:rsidRPr="005430F9">
        <w:rPr>
          <w:rFonts w:ascii="Arial" w:eastAsiaTheme="minorEastAsia" w:hAnsi="Arial" w:cs="Arial"/>
          <w:sz w:val="24"/>
          <w:szCs w:val="24"/>
          <w:lang w:eastAsia="es-MX"/>
        </w:rPr>
        <w:t xml:space="preserve">asa de </w:t>
      </w:r>
      <w:r w:rsidR="001A5C9A">
        <w:rPr>
          <w:rFonts w:ascii="Arial" w:eastAsiaTheme="minorEastAsia" w:hAnsi="Arial" w:cs="Arial"/>
          <w:sz w:val="24"/>
          <w:szCs w:val="24"/>
          <w:lang w:eastAsia="es-MX"/>
        </w:rPr>
        <w:t>n</w:t>
      </w:r>
      <w:r w:rsidRPr="005430F9">
        <w:rPr>
          <w:rFonts w:ascii="Arial" w:eastAsiaTheme="minorEastAsia" w:hAnsi="Arial" w:cs="Arial"/>
          <w:sz w:val="24"/>
          <w:szCs w:val="24"/>
          <w:lang w:eastAsia="es-MX"/>
        </w:rPr>
        <w:t xml:space="preserve">o </w:t>
      </w:r>
      <w:r w:rsidR="001A5C9A">
        <w:rPr>
          <w:rFonts w:ascii="Arial" w:eastAsiaTheme="minorEastAsia" w:hAnsi="Arial" w:cs="Arial"/>
          <w:sz w:val="24"/>
          <w:szCs w:val="24"/>
          <w:lang w:eastAsia="es-MX"/>
        </w:rPr>
        <w:t>r</w:t>
      </w:r>
      <w:r w:rsidRPr="005430F9">
        <w:rPr>
          <w:rFonts w:ascii="Arial" w:eastAsiaTheme="minorEastAsia" w:hAnsi="Arial" w:cs="Arial"/>
          <w:sz w:val="24"/>
          <w:szCs w:val="24"/>
          <w:lang w:eastAsia="es-MX"/>
        </w:rPr>
        <w:t xml:space="preserve">espuesta de la EAEC, correspondiente </w:t>
      </w:r>
      <w:r w:rsidR="001A5C9A">
        <w:rPr>
          <w:rFonts w:ascii="Arial" w:eastAsiaTheme="minorEastAsia" w:hAnsi="Arial" w:cs="Arial"/>
          <w:sz w:val="24"/>
          <w:szCs w:val="24"/>
          <w:lang w:eastAsia="es-MX"/>
        </w:rPr>
        <w:t>a</w:t>
      </w:r>
      <w:r w:rsidRPr="005430F9">
        <w:rPr>
          <w:rFonts w:ascii="Arial" w:eastAsiaTheme="minorEastAsia" w:hAnsi="Arial" w:cs="Arial"/>
          <w:sz w:val="24"/>
          <w:szCs w:val="24"/>
          <w:lang w:eastAsia="es-MX"/>
        </w:rPr>
        <w:t xml:space="preserve"> 2021, registró porcentajes apropiados conforme al diseño estadístico de la encuesta</w:t>
      </w:r>
      <w:r w:rsidR="00EF26A5">
        <w:rPr>
          <w:rFonts w:ascii="Arial" w:eastAsiaTheme="minorEastAsia" w:hAnsi="Arial" w:cs="Arial"/>
          <w:sz w:val="24"/>
          <w:szCs w:val="24"/>
          <w:lang w:eastAsia="es-MX"/>
        </w:rPr>
        <w:t xml:space="preserve">. Esta </w:t>
      </w:r>
      <w:r w:rsidRPr="005430F9">
        <w:rPr>
          <w:rFonts w:ascii="Arial" w:eastAsiaTheme="minorEastAsia" w:hAnsi="Arial" w:cs="Arial"/>
          <w:sz w:val="24"/>
          <w:szCs w:val="24"/>
          <w:lang w:eastAsia="es-MX"/>
        </w:rPr>
        <w:t>no se concentró en algún dominio de estudio en particular y permitió la generación de estadísticas con niveles adecuados de cobertura y precisión.</w:t>
      </w:r>
    </w:p>
    <w:p w14:paraId="4B0F9748" w14:textId="77777777" w:rsidR="007835DE" w:rsidRDefault="007835DE" w:rsidP="001576B3">
      <w:pPr>
        <w:widowControl w:val="0"/>
        <w:autoSpaceDE w:val="0"/>
        <w:autoSpaceDN w:val="0"/>
        <w:adjustRightInd w:val="0"/>
        <w:spacing w:after="0" w:line="240" w:lineRule="auto"/>
        <w:jc w:val="center"/>
        <w:rPr>
          <w:rFonts w:ascii="Arial" w:eastAsiaTheme="minorEastAsia" w:hAnsi="Arial" w:cs="Arial"/>
          <w:color w:val="000000"/>
          <w:sz w:val="23"/>
          <w:szCs w:val="23"/>
          <w:lang w:eastAsia="es-MX"/>
        </w:rPr>
      </w:pPr>
    </w:p>
    <w:p w14:paraId="769D8F2A" w14:textId="552ABC48" w:rsidR="007835DE" w:rsidRPr="00845887" w:rsidRDefault="007835DE" w:rsidP="007835DE">
      <w:pPr>
        <w:spacing w:after="0" w:line="240" w:lineRule="auto"/>
        <w:ind w:left="-567" w:right="-518"/>
        <w:jc w:val="both"/>
        <w:rPr>
          <w:rFonts w:ascii="Arial" w:eastAsia="Calibri" w:hAnsi="Arial" w:cs="Arial"/>
          <w:sz w:val="24"/>
          <w:szCs w:val="24"/>
        </w:rPr>
      </w:pPr>
      <w:r w:rsidRPr="00845887">
        <w:rPr>
          <w:rFonts w:ascii="Arial" w:eastAsia="Calibri" w:hAnsi="Arial" w:cs="Arial"/>
          <w:sz w:val="24"/>
          <w:szCs w:val="24"/>
        </w:rPr>
        <w:t>.</w:t>
      </w:r>
    </w:p>
    <w:p w14:paraId="158A304D" w14:textId="77777777" w:rsidR="007835DE" w:rsidRPr="00845887" w:rsidRDefault="007835DE" w:rsidP="007835DE">
      <w:pPr>
        <w:pStyle w:val="Default"/>
        <w:ind w:left="-567" w:right="-518"/>
        <w:jc w:val="both"/>
        <w:rPr>
          <w:rFonts w:eastAsia="Times New Roman"/>
          <w:color w:val="auto"/>
          <w:lang w:eastAsia="es-MX"/>
        </w:rPr>
      </w:pPr>
    </w:p>
    <w:p w14:paraId="685AE184" w14:textId="6256F35E" w:rsidR="007456DC" w:rsidRDefault="007456DC" w:rsidP="001576B3">
      <w:pPr>
        <w:widowControl w:val="0"/>
        <w:autoSpaceDE w:val="0"/>
        <w:autoSpaceDN w:val="0"/>
        <w:adjustRightInd w:val="0"/>
        <w:spacing w:after="0" w:line="240" w:lineRule="auto"/>
        <w:jc w:val="center"/>
        <w:rPr>
          <w:rFonts w:ascii="Arial" w:eastAsiaTheme="minorEastAsia" w:hAnsi="Arial" w:cs="Arial"/>
          <w:color w:val="000000"/>
          <w:sz w:val="23"/>
          <w:szCs w:val="23"/>
          <w:lang w:eastAsia="es-MX"/>
        </w:rPr>
      </w:pPr>
    </w:p>
    <w:sectPr w:rsidR="007456DC" w:rsidSect="00C96A75">
      <w:headerReference w:type="default" r:id="rId34"/>
      <w:type w:val="continuous"/>
      <w:pgSz w:w="12240" w:h="15840"/>
      <w:pgMar w:top="1701" w:right="1701" w:bottom="993"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4D206" w16cex:dateUtc="2022-12-03T01:35:00Z"/>
  <w16cex:commentExtensible w16cex:durableId="2734BC04" w16cex:dateUtc="2022-12-03T00:01:00Z"/>
  <w16cex:commentExtensible w16cex:durableId="2734D2C5" w16cex:dateUtc="2022-12-03T01:38:00Z"/>
  <w16cex:commentExtensible w16cex:durableId="2734BF0B" w16cex:dateUtc="2022-12-03T00:14:00Z"/>
  <w16cex:commentExtensible w16cex:durableId="2734D309" w16cex:dateUtc="2022-12-03T01:39:00Z"/>
  <w16cex:commentExtensible w16cex:durableId="2734BD30" w16cex:dateUtc="2022-12-03T00:06:00Z"/>
  <w16cex:commentExtensible w16cex:durableId="2734D380" w16cex:dateUtc="2022-12-03T01:41:00Z"/>
  <w16cex:commentExtensible w16cex:durableId="2734BD8E" w16cex:dateUtc="2022-12-03T00:08:00Z"/>
  <w16cex:commentExtensible w16cex:durableId="2734D44E" w16cex:dateUtc="2022-12-03T01:45:00Z"/>
  <w16cex:commentExtensible w16cex:durableId="2734BB66" w16cex:dateUtc="2022-12-02T23:59:00Z"/>
  <w16cex:commentExtensible w16cex:durableId="2734D481" w16cex:dateUtc="2022-12-03T01:46:00Z"/>
  <w16cex:commentExtensible w16cex:durableId="2734D542" w16cex:dateUtc="2022-12-03T01:49:00Z"/>
  <w16cex:commentExtensible w16cex:durableId="273458F7" w16cex:dateUtc="2022-12-02T16:59:00Z"/>
  <w16cex:commentExtensible w16cex:durableId="2734DB06" w16cex:dateUtc="2022-12-03T02:13:00Z"/>
  <w16cex:commentExtensible w16cex:durableId="2734DB7E" w16cex:dateUtc="2022-12-03T02: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65E97" w14:textId="77777777" w:rsidR="0078423C" w:rsidRDefault="0078423C" w:rsidP="00F47EF4">
      <w:pPr>
        <w:spacing w:after="0" w:line="240" w:lineRule="auto"/>
      </w:pPr>
      <w:r>
        <w:separator/>
      </w:r>
    </w:p>
  </w:endnote>
  <w:endnote w:type="continuationSeparator" w:id="0">
    <w:p w14:paraId="3B8E38E8" w14:textId="77777777" w:rsidR="0078423C" w:rsidRDefault="0078423C" w:rsidP="00F4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egrita">
    <w:panose1 w:val="020B0704020202020204"/>
    <w:charset w:val="00"/>
    <w:family w:val="roman"/>
    <w:notTrueType/>
    <w:pitch w:val="default"/>
  </w:font>
  <w:font w:name="HELVETICA NEUE MEDIUM">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BA2B6" w14:textId="5ACB8A18" w:rsidR="0051111F" w:rsidRDefault="0051111F" w:rsidP="005430F9">
    <w:pPr>
      <w:pStyle w:val="Piedepgina"/>
      <w:tabs>
        <w:tab w:val="clear" w:pos="4419"/>
        <w:tab w:val="clear" w:pos="8838"/>
      </w:tabs>
      <w:ind w:left="-567" w:right="-518"/>
      <w:jc w:val="center"/>
    </w:pPr>
    <w:r w:rsidRPr="005430F9">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840CE" w14:textId="77777777" w:rsidR="0078423C" w:rsidRDefault="0078423C" w:rsidP="00F47EF4">
      <w:pPr>
        <w:spacing w:after="0" w:line="240" w:lineRule="auto"/>
      </w:pPr>
      <w:r>
        <w:separator/>
      </w:r>
    </w:p>
  </w:footnote>
  <w:footnote w:type="continuationSeparator" w:id="0">
    <w:p w14:paraId="1FE02C90" w14:textId="77777777" w:rsidR="0078423C" w:rsidRDefault="0078423C" w:rsidP="00F47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8A8AE" w14:textId="4795CA48" w:rsidR="00D17214" w:rsidRPr="005C2ACA" w:rsidRDefault="00D17214" w:rsidP="00D17214">
    <w:pPr>
      <w:pStyle w:val="Encabezado"/>
      <w:tabs>
        <w:tab w:val="clear" w:pos="4419"/>
        <w:tab w:val="clear" w:pos="8838"/>
      </w:tabs>
      <w:ind w:left="567" w:right="-518" w:hanging="11"/>
      <w:jc w:val="right"/>
      <w:rPr>
        <w:rFonts w:ascii="Arial" w:hAnsi="Arial" w:cs="Arial"/>
        <w:b/>
        <w:color w:val="002060"/>
      </w:rPr>
    </w:pPr>
    <w:r>
      <w:rPr>
        <w:noProof/>
      </w:rPr>
      <w:drawing>
        <wp:anchor distT="0" distB="0" distL="114300" distR="114300" simplePos="0" relativeHeight="251667456" behindDoc="0" locked="0" layoutInCell="1" allowOverlap="1" wp14:anchorId="437AE5C8" wp14:editId="65FFAE52">
          <wp:simplePos x="0" y="0"/>
          <wp:positionH relativeFrom="margin">
            <wp:posOffset>-375285</wp:posOffset>
          </wp:positionH>
          <wp:positionV relativeFrom="margin">
            <wp:posOffset>-846455</wp:posOffset>
          </wp:positionV>
          <wp:extent cx="742315" cy="771525"/>
          <wp:effectExtent l="0" t="0" r="63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31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2ACA">
      <w:rPr>
        <w:rFonts w:ascii="Arial" w:hAnsi="Arial" w:cs="Arial"/>
        <w:b/>
        <w:color w:val="002060"/>
      </w:rPr>
      <w:t>COMUNICADO DE PRENSA NÚM.</w:t>
    </w:r>
    <w:r>
      <w:rPr>
        <w:rFonts w:ascii="Arial" w:hAnsi="Arial" w:cs="Arial"/>
        <w:b/>
        <w:color w:val="002060"/>
      </w:rPr>
      <w:t xml:space="preserve"> 724/22</w:t>
    </w:r>
  </w:p>
  <w:p w14:paraId="3E8BDF3F" w14:textId="44D90BAF" w:rsidR="00D17214" w:rsidRPr="005C2ACA" w:rsidRDefault="00D17214" w:rsidP="00D17214">
    <w:pPr>
      <w:pStyle w:val="Encabezado"/>
      <w:tabs>
        <w:tab w:val="clear" w:pos="4419"/>
        <w:tab w:val="clear" w:pos="8838"/>
      </w:tabs>
      <w:ind w:left="567" w:right="-518" w:hanging="11"/>
      <w:jc w:val="right"/>
      <w:rPr>
        <w:rFonts w:ascii="Arial" w:hAnsi="Arial" w:cs="Arial"/>
        <w:b/>
        <w:color w:val="002060"/>
        <w:lang w:val="pt-BR"/>
      </w:rPr>
    </w:pPr>
    <w:r>
      <w:rPr>
        <w:rFonts w:ascii="Arial" w:hAnsi="Arial" w:cs="Arial"/>
        <w:b/>
        <w:color w:val="002060"/>
        <w:lang w:val="pt-BR"/>
      </w:rPr>
      <w:t xml:space="preserve">5 </w:t>
    </w:r>
    <w:r w:rsidRPr="005C2ACA">
      <w:rPr>
        <w:rFonts w:ascii="Arial" w:hAnsi="Arial" w:cs="Arial"/>
        <w:b/>
        <w:color w:val="002060"/>
        <w:lang w:val="pt-BR"/>
      </w:rPr>
      <w:t xml:space="preserve">DE </w:t>
    </w:r>
    <w:r>
      <w:rPr>
        <w:rFonts w:ascii="Arial" w:hAnsi="Arial" w:cs="Arial"/>
        <w:b/>
        <w:color w:val="002060"/>
        <w:lang w:val="pt-BR"/>
      </w:rPr>
      <w:t xml:space="preserve">DICIEMBRE </w:t>
    </w:r>
    <w:r w:rsidRPr="005C2ACA">
      <w:rPr>
        <w:rFonts w:ascii="Arial" w:hAnsi="Arial" w:cs="Arial"/>
        <w:b/>
        <w:color w:val="002060"/>
        <w:lang w:val="pt-BR"/>
      </w:rPr>
      <w:t>DE 20</w:t>
    </w:r>
    <w:r>
      <w:rPr>
        <w:rFonts w:ascii="Arial" w:hAnsi="Arial" w:cs="Arial"/>
        <w:b/>
        <w:color w:val="002060"/>
        <w:lang w:val="pt-BR"/>
      </w:rPr>
      <w:t>22</w:t>
    </w:r>
  </w:p>
  <w:p w14:paraId="17004B08" w14:textId="3C4393B4" w:rsidR="00D17214" w:rsidRPr="005C2ACA" w:rsidRDefault="00D17214" w:rsidP="00D17214">
    <w:pPr>
      <w:pStyle w:val="Encabezado"/>
      <w:tabs>
        <w:tab w:val="clear" w:pos="4419"/>
        <w:tab w:val="clear" w:pos="8838"/>
      </w:tabs>
      <w:ind w:left="567" w:right="-518" w:hanging="11"/>
      <w:jc w:val="right"/>
      <w:rPr>
        <w:rFonts w:ascii="Arial" w:hAnsi="Arial" w:cs="Arial"/>
        <w:b/>
        <w:color w:val="002060"/>
        <w:lang w:val="pt-BR"/>
      </w:rPr>
    </w:pPr>
    <w:r w:rsidRPr="005C2ACA">
      <w:rPr>
        <w:rFonts w:ascii="Arial" w:hAnsi="Arial" w:cs="Arial"/>
        <w:b/>
        <w:color w:val="002060"/>
        <w:lang w:val="pt-BR"/>
      </w:rPr>
      <w:t xml:space="preserve">PÁGINA </w:t>
    </w:r>
    <w:r w:rsidRPr="005C2ACA">
      <w:rPr>
        <w:rFonts w:ascii="Arial" w:hAnsi="Arial" w:cs="Arial"/>
        <w:b/>
        <w:color w:val="002060"/>
      </w:rPr>
      <w:fldChar w:fldCharType="begin"/>
    </w:r>
    <w:r w:rsidRPr="005C2ACA">
      <w:rPr>
        <w:rFonts w:ascii="Arial" w:hAnsi="Arial" w:cs="Arial"/>
        <w:b/>
        <w:color w:val="002060"/>
        <w:lang w:val="pt-BR"/>
      </w:rPr>
      <w:instrText xml:space="preserve">\PAGE </w:instrText>
    </w:r>
    <w:r w:rsidRPr="005C2ACA">
      <w:rPr>
        <w:rFonts w:ascii="Arial" w:hAnsi="Arial" w:cs="Arial"/>
        <w:color w:val="002060"/>
      </w:rPr>
      <w:fldChar w:fldCharType="separate"/>
    </w:r>
    <w:r>
      <w:rPr>
        <w:rFonts w:ascii="Arial" w:hAnsi="Arial" w:cs="Arial"/>
        <w:color w:val="002060"/>
      </w:rPr>
      <w:t>1</w:t>
    </w:r>
    <w:r w:rsidRPr="005C2ACA">
      <w:rPr>
        <w:rFonts w:ascii="Arial" w:hAnsi="Arial" w:cs="Arial"/>
        <w:color w:val="002060"/>
      </w:rPr>
      <w:fldChar w:fldCharType="end"/>
    </w:r>
    <w:r w:rsidRPr="005C2ACA">
      <w:rPr>
        <w:rFonts w:ascii="Arial" w:hAnsi="Arial" w:cs="Arial"/>
        <w:b/>
        <w:color w:val="002060"/>
        <w:lang w:val="pt-BR"/>
      </w:rPr>
      <w:t>/</w:t>
    </w:r>
    <w:r>
      <w:rPr>
        <w:rFonts w:ascii="Arial" w:hAnsi="Arial" w:cs="Arial"/>
        <w:b/>
        <w:color w:val="002060"/>
        <w:lang w:val="pt-BR"/>
      </w:rPr>
      <w:t>7</w:t>
    </w:r>
  </w:p>
  <w:p w14:paraId="10E556D4" w14:textId="69D64445" w:rsidR="0051111F" w:rsidRDefault="0051111F" w:rsidP="00D17214">
    <w:pPr>
      <w:pStyle w:val="Encabezado"/>
      <w:tabs>
        <w:tab w:val="clear" w:pos="4419"/>
        <w:tab w:val="clear" w:pos="8838"/>
        <w:tab w:val="left" w:pos="681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CBCDC" w14:textId="3C46B041" w:rsidR="0051111F" w:rsidRPr="00FE1C98" w:rsidRDefault="0051111F" w:rsidP="005430F9">
    <w:pPr>
      <w:pStyle w:val="Encabezado"/>
      <w:ind w:left="-567" w:right="-518"/>
      <w:jc w:val="center"/>
      <w:rPr>
        <w:rFonts w:ascii="Arial" w:hAnsi="Arial"/>
        <w:b/>
        <w:color w:val="002060"/>
        <w:sz w:val="24"/>
      </w:rPr>
    </w:pPr>
    <w:r w:rsidRPr="007835DE">
      <w:rPr>
        <w:noProof/>
      </w:rPr>
      <w:drawing>
        <wp:anchor distT="0" distB="0" distL="114300" distR="114300" simplePos="0" relativeHeight="251666432" behindDoc="1" locked="0" layoutInCell="1" allowOverlap="1" wp14:anchorId="4F3B7582" wp14:editId="261215D6">
          <wp:simplePos x="0" y="0"/>
          <wp:positionH relativeFrom="page">
            <wp:posOffset>3519170</wp:posOffset>
          </wp:positionH>
          <wp:positionV relativeFrom="page">
            <wp:posOffset>215900</wp:posOffset>
          </wp:positionV>
          <wp:extent cx="781050" cy="810260"/>
          <wp:effectExtent l="0" t="0" r="0" b="0"/>
          <wp:wrapNone/>
          <wp:docPr id="71" name="Imagen 7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10260"/>
                  </a:xfrm>
                  <a:prstGeom prst="rect">
                    <a:avLst/>
                  </a:prstGeom>
                  <a:noFill/>
                </pic:spPr>
              </pic:pic>
            </a:graphicData>
          </a:graphic>
          <wp14:sizeRelH relativeFrom="page">
            <wp14:pctWidth>0</wp14:pctWidth>
          </wp14:sizeRelH>
          <wp14:sizeRelV relativeFrom="page">
            <wp14:pctHeight>0</wp14:pctHeight>
          </wp14:sizeRelV>
        </wp:anchor>
      </w:drawing>
    </w:r>
  </w:p>
  <w:p w14:paraId="13B62F26" w14:textId="77777777" w:rsidR="0051111F" w:rsidRDefault="0051111F" w:rsidP="00F47EF4">
    <w:pPr>
      <w:pStyle w:val="Encabezado"/>
      <w:tabs>
        <w:tab w:val="clear" w:pos="4419"/>
        <w:tab w:val="clear" w:pos="8838"/>
        <w:tab w:val="left" w:pos="68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993E65"/>
    <w:multiLevelType w:val="hybridMultilevel"/>
    <w:tmpl w:val="603E24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A35A6"/>
    <w:multiLevelType w:val="hybridMultilevel"/>
    <w:tmpl w:val="7A8AA692"/>
    <w:lvl w:ilvl="0" w:tplc="AB6A7156">
      <w:start w:val="1"/>
      <w:numFmt w:val="upperRoman"/>
      <w:lvlText w:val="%1."/>
      <w:lvlJc w:val="left"/>
      <w:pPr>
        <w:ind w:left="1080" w:hanging="720"/>
      </w:pPr>
      <w:rPr>
        <w:rFonts w:eastAsiaTheme="minorHAnsi"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4C254D"/>
    <w:multiLevelType w:val="hybridMultilevel"/>
    <w:tmpl w:val="52669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45225B"/>
    <w:multiLevelType w:val="hybridMultilevel"/>
    <w:tmpl w:val="798A019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F9025B0"/>
    <w:multiLevelType w:val="hybridMultilevel"/>
    <w:tmpl w:val="F4A4DCC2"/>
    <w:lvl w:ilvl="0" w:tplc="8E4471F2">
      <w:start w:val="1"/>
      <w:numFmt w:val="upperRoman"/>
      <w:lvlText w:val="%1."/>
      <w:lvlJc w:val="left"/>
      <w:pPr>
        <w:ind w:left="578" w:hanging="720"/>
      </w:pPr>
      <w:rPr>
        <w:rFonts w:eastAsiaTheme="minorHAnsi" w:hint="default"/>
        <w:b/>
        <w:sz w:val="22"/>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5" w15:restartNumberingAfterBreak="0">
    <w:nsid w:val="48A35F74"/>
    <w:multiLevelType w:val="hybridMultilevel"/>
    <w:tmpl w:val="3FF645CE"/>
    <w:lvl w:ilvl="0" w:tplc="080A0001">
      <w:start w:val="1"/>
      <w:numFmt w:val="bullet"/>
      <w:lvlText w:val=""/>
      <w:lvlJc w:val="left"/>
      <w:pPr>
        <w:ind w:left="2707" w:hanging="360"/>
      </w:pPr>
      <w:rPr>
        <w:rFonts w:ascii="Symbol" w:hAnsi="Symbol" w:hint="default"/>
      </w:rPr>
    </w:lvl>
    <w:lvl w:ilvl="1" w:tplc="080A0003" w:tentative="1">
      <w:start w:val="1"/>
      <w:numFmt w:val="bullet"/>
      <w:lvlText w:val="o"/>
      <w:lvlJc w:val="left"/>
      <w:pPr>
        <w:ind w:left="3427" w:hanging="360"/>
      </w:pPr>
      <w:rPr>
        <w:rFonts w:ascii="Courier New" w:hAnsi="Courier New" w:cs="Courier New" w:hint="default"/>
      </w:rPr>
    </w:lvl>
    <w:lvl w:ilvl="2" w:tplc="080A0005" w:tentative="1">
      <w:start w:val="1"/>
      <w:numFmt w:val="bullet"/>
      <w:lvlText w:val=""/>
      <w:lvlJc w:val="left"/>
      <w:pPr>
        <w:ind w:left="4147" w:hanging="360"/>
      </w:pPr>
      <w:rPr>
        <w:rFonts w:ascii="Wingdings" w:hAnsi="Wingdings" w:hint="default"/>
      </w:rPr>
    </w:lvl>
    <w:lvl w:ilvl="3" w:tplc="080A0001" w:tentative="1">
      <w:start w:val="1"/>
      <w:numFmt w:val="bullet"/>
      <w:lvlText w:val=""/>
      <w:lvlJc w:val="left"/>
      <w:pPr>
        <w:ind w:left="4867" w:hanging="360"/>
      </w:pPr>
      <w:rPr>
        <w:rFonts w:ascii="Symbol" w:hAnsi="Symbol" w:hint="default"/>
      </w:rPr>
    </w:lvl>
    <w:lvl w:ilvl="4" w:tplc="080A0003" w:tentative="1">
      <w:start w:val="1"/>
      <w:numFmt w:val="bullet"/>
      <w:lvlText w:val="o"/>
      <w:lvlJc w:val="left"/>
      <w:pPr>
        <w:ind w:left="5587" w:hanging="360"/>
      </w:pPr>
      <w:rPr>
        <w:rFonts w:ascii="Courier New" w:hAnsi="Courier New" w:cs="Courier New" w:hint="default"/>
      </w:rPr>
    </w:lvl>
    <w:lvl w:ilvl="5" w:tplc="080A0005" w:tentative="1">
      <w:start w:val="1"/>
      <w:numFmt w:val="bullet"/>
      <w:lvlText w:val=""/>
      <w:lvlJc w:val="left"/>
      <w:pPr>
        <w:ind w:left="6307" w:hanging="360"/>
      </w:pPr>
      <w:rPr>
        <w:rFonts w:ascii="Wingdings" w:hAnsi="Wingdings" w:hint="default"/>
      </w:rPr>
    </w:lvl>
    <w:lvl w:ilvl="6" w:tplc="080A0001" w:tentative="1">
      <w:start w:val="1"/>
      <w:numFmt w:val="bullet"/>
      <w:lvlText w:val=""/>
      <w:lvlJc w:val="left"/>
      <w:pPr>
        <w:ind w:left="7027" w:hanging="360"/>
      </w:pPr>
      <w:rPr>
        <w:rFonts w:ascii="Symbol" w:hAnsi="Symbol" w:hint="default"/>
      </w:rPr>
    </w:lvl>
    <w:lvl w:ilvl="7" w:tplc="080A0003" w:tentative="1">
      <w:start w:val="1"/>
      <w:numFmt w:val="bullet"/>
      <w:lvlText w:val="o"/>
      <w:lvlJc w:val="left"/>
      <w:pPr>
        <w:ind w:left="7747" w:hanging="360"/>
      </w:pPr>
      <w:rPr>
        <w:rFonts w:ascii="Courier New" w:hAnsi="Courier New" w:cs="Courier New" w:hint="default"/>
      </w:rPr>
    </w:lvl>
    <w:lvl w:ilvl="8" w:tplc="080A0005" w:tentative="1">
      <w:start w:val="1"/>
      <w:numFmt w:val="bullet"/>
      <w:lvlText w:val=""/>
      <w:lvlJc w:val="left"/>
      <w:pPr>
        <w:ind w:left="8467" w:hanging="360"/>
      </w:pPr>
      <w:rPr>
        <w:rFonts w:ascii="Wingdings" w:hAnsi="Wingdings" w:hint="default"/>
      </w:rPr>
    </w:lvl>
  </w:abstractNum>
  <w:abstractNum w:abstractNumId="6" w15:restartNumberingAfterBreak="0">
    <w:nsid w:val="4EEB58A9"/>
    <w:multiLevelType w:val="hybridMultilevel"/>
    <w:tmpl w:val="BD920C78"/>
    <w:lvl w:ilvl="0" w:tplc="A2E80B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6720C7"/>
    <w:multiLevelType w:val="hybridMultilevel"/>
    <w:tmpl w:val="CD445878"/>
    <w:lvl w:ilvl="0" w:tplc="A6C4516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B976F3"/>
    <w:multiLevelType w:val="hybridMultilevel"/>
    <w:tmpl w:val="1F1CC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CA21E3"/>
    <w:multiLevelType w:val="hybridMultilevel"/>
    <w:tmpl w:val="959C0A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8A72EC"/>
    <w:multiLevelType w:val="multilevel"/>
    <w:tmpl w:val="16E0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D40485"/>
    <w:multiLevelType w:val="hybridMultilevel"/>
    <w:tmpl w:val="5D366252"/>
    <w:lvl w:ilvl="0" w:tplc="DDB6398E">
      <w:start w:val="1"/>
      <w:numFmt w:val="upperRoman"/>
      <w:lvlText w:val="%1."/>
      <w:lvlJc w:val="left"/>
      <w:pPr>
        <w:ind w:left="1080" w:hanging="720"/>
      </w:pPr>
      <w:rPr>
        <w:rFonts w:eastAsiaTheme="minorHAnsi"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55068DE"/>
    <w:multiLevelType w:val="hybridMultilevel"/>
    <w:tmpl w:val="9B42CC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472DA7"/>
    <w:multiLevelType w:val="hybridMultilevel"/>
    <w:tmpl w:val="40AEB0EE"/>
    <w:lvl w:ilvl="0" w:tplc="6CAC81A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25544D"/>
    <w:multiLevelType w:val="hybridMultilevel"/>
    <w:tmpl w:val="88A000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8763EA"/>
    <w:multiLevelType w:val="hybridMultilevel"/>
    <w:tmpl w:val="90DE1A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3"/>
  </w:num>
  <w:num w:numId="5">
    <w:abstractNumId w:val="1"/>
  </w:num>
  <w:num w:numId="6">
    <w:abstractNumId w:val="11"/>
  </w:num>
  <w:num w:numId="7">
    <w:abstractNumId w:val="4"/>
  </w:num>
  <w:num w:numId="8">
    <w:abstractNumId w:val="6"/>
  </w:num>
  <w:num w:numId="9">
    <w:abstractNumId w:val="12"/>
  </w:num>
  <w:num w:numId="10">
    <w:abstractNumId w:val="14"/>
  </w:num>
  <w:num w:numId="11">
    <w:abstractNumId w:val="9"/>
  </w:num>
  <w:num w:numId="12">
    <w:abstractNumId w:val="7"/>
  </w:num>
  <w:num w:numId="13">
    <w:abstractNumId w:val="10"/>
  </w:num>
  <w:num w:numId="14">
    <w:abstractNumId w:val="13"/>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MX" w:vendorID="64" w:dllVersion="0" w:nlCheck="1" w:checkStyle="0"/>
  <w:activeWritingStyle w:appName="MSWord" w:lang="pt-BR" w:vendorID="64" w:dllVersion="0"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6" w:nlCheck="1" w:checkStyle="0"/>
  <w:activeWritingStyle w:appName="MSWord" w:lang="es-MX" w:vendorID="64" w:dllVersion="4096" w:nlCheck="1" w:checkStyle="0"/>
  <w:activeWritingStyle w:appName="MSWord" w:lang="es-ES"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F4"/>
    <w:rsid w:val="00000CB1"/>
    <w:rsid w:val="00000E6D"/>
    <w:rsid w:val="00001BB0"/>
    <w:rsid w:val="000022AA"/>
    <w:rsid w:val="0000241E"/>
    <w:rsid w:val="000042EB"/>
    <w:rsid w:val="00007A43"/>
    <w:rsid w:val="00007DE5"/>
    <w:rsid w:val="00014502"/>
    <w:rsid w:val="00015AC6"/>
    <w:rsid w:val="000161B1"/>
    <w:rsid w:val="0002009A"/>
    <w:rsid w:val="00021D00"/>
    <w:rsid w:val="00021FAC"/>
    <w:rsid w:val="00024C5A"/>
    <w:rsid w:val="000265A0"/>
    <w:rsid w:val="00027462"/>
    <w:rsid w:val="00036FB8"/>
    <w:rsid w:val="00037E53"/>
    <w:rsid w:val="00041CCC"/>
    <w:rsid w:val="00042FFC"/>
    <w:rsid w:val="00043729"/>
    <w:rsid w:val="0004384E"/>
    <w:rsid w:val="0004589D"/>
    <w:rsid w:val="00045EDC"/>
    <w:rsid w:val="000470C0"/>
    <w:rsid w:val="000479F8"/>
    <w:rsid w:val="00047D22"/>
    <w:rsid w:val="00047E0C"/>
    <w:rsid w:val="0005283F"/>
    <w:rsid w:val="00054764"/>
    <w:rsid w:val="00056DE9"/>
    <w:rsid w:val="0005754C"/>
    <w:rsid w:val="000667A9"/>
    <w:rsid w:val="00067436"/>
    <w:rsid w:val="00070EAB"/>
    <w:rsid w:val="00070F02"/>
    <w:rsid w:val="00075E07"/>
    <w:rsid w:val="000761DA"/>
    <w:rsid w:val="00077431"/>
    <w:rsid w:val="0007762A"/>
    <w:rsid w:val="00081748"/>
    <w:rsid w:val="00084471"/>
    <w:rsid w:val="00084D08"/>
    <w:rsid w:val="00084E03"/>
    <w:rsid w:val="0008507F"/>
    <w:rsid w:val="0009443E"/>
    <w:rsid w:val="000956B9"/>
    <w:rsid w:val="0009716C"/>
    <w:rsid w:val="000971AD"/>
    <w:rsid w:val="00097EF8"/>
    <w:rsid w:val="000A08B7"/>
    <w:rsid w:val="000A0BD1"/>
    <w:rsid w:val="000A0DA1"/>
    <w:rsid w:val="000A2F48"/>
    <w:rsid w:val="000A3FCD"/>
    <w:rsid w:val="000B00F7"/>
    <w:rsid w:val="000C2347"/>
    <w:rsid w:val="000C2AEF"/>
    <w:rsid w:val="000C479E"/>
    <w:rsid w:val="000C6BB7"/>
    <w:rsid w:val="000D23CE"/>
    <w:rsid w:val="000D51B5"/>
    <w:rsid w:val="000D575D"/>
    <w:rsid w:val="000D5D34"/>
    <w:rsid w:val="000E10E0"/>
    <w:rsid w:val="000E393F"/>
    <w:rsid w:val="000E3AF7"/>
    <w:rsid w:val="000E699D"/>
    <w:rsid w:val="000E79B5"/>
    <w:rsid w:val="000F394E"/>
    <w:rsid w:val="000F4019"/>
    <w:rsid w:val="000F5F4C"/>
    <w:rsid w:val="000F6216"/>
    <w:rsid w:val="00100E6F"/>
    <w:rsid w:val="00101A83"/>
    <w:rsid w:val="00103D5A"/>
    <w:rsid w:val="0010465A"/>
    <w:rsid w:val="0010772A"/>
    <w:rsid w:val="00110305"/>
    <w:rsid w:val="00111772"/>
    <w:rsid w:val="00111B5D"/>
    <w:rsid w:val="0011241B"/>
    <w:rsid w:val="00113322"/>
    <w:rsid w:val="00114736"/>
    <w:rsid w:val="00114E3F"/>
    <w:rsid w:val="00121298"/>
    <w:rsid w:val="001230BB"/>
    <w:rsid w:val="001236F4"/>
    <w:rsid w:val="00123ABF"/>
    <w:rsid w:val="00126DA8"/>
    <w:rsid w:val="001304E6"/>
    <w:rsid w:val="00132EA4"/>
    <w:rsid w:val="001342F7"/>
    <w:rsid w:val="0014062A"/>
    <w:rsid w:val="00141CC3"/>
    <w:rsid w:val="00141FE7"/>
    <w:rsid w:val="00142E0B"/>
    <w:rsid w:val="0014693B"/>
    <w:rsid w:val="00151E63"/>
    <w:rsid w:val="001546DE"/>
    <w:rsid w:val="001576B3"/>
    <w:rsid w:val="00157823"/>
    <w:rsid w:val="00161482"/>
    <w:rsid w:val="00163D66"/>
    <w:rsid w:val="0016478B"/>
    <w:rsid w:val="0016491D"/>
    <w:rsid w:val="00170421"/>
    <w:rsid w:val="001723B4"/>
    <w:rsid w:val="00172C39"/>
    <w:rsid w:val="00172E22"/>
    <w:rsid w:val="00176B7E"/>
    <w:rsid w:val="001806ED"/>
    <w:rsid w:val="001877BA"/>
    <w:rsid w:val="00192150"/>
    <w:rsid w:val="00193899"/>
    <w:rsid w:val="001942A1"/>
    <w:rsid w:val="0019470E"/>
    <w:rsid w:val="00195DA0"/>
    <w:rsid w:val="0019713E"/>
    <w:rsid w:val="001A3337"/>
    <w:rsid w:val="001A3D39"/>
    <w:rsid w:val="001A4AD6"/>
    <w:rsid w:val="001A5344"/>
    <w:rsid w:val="001A5436"/>
    <w:rsid w:val="001A5C9A"/>
    <w:rsid w:val="001A6054"/>
    <w:rsid w:val="001A622A"/>
    <w:rsid w:val="001A7DDA"/>
    <w:rsid w:val="001B0FE6"/>
    <w:rsid w:val="001B5401"/>
    <w:rsid w:val="001C0C2B"/>
    <w:rsid w:val="001C2696"/>
    <w:rsid w:val="001D05A8"/>
    <w:rsid w:val="001D300C"/>
    <w:rsid w:val="001D3A52"/>
    <w:rsid w:val="001D4B18"/>
    <w:rsid w:val="001D508A"/>
    <w:rsid w:val="001D7DC5"/>
    <w:rsid w:val="001E2B26"/>
    <w:rsid w:val="001E2DC5"/>
    <w:rsid w:val="001E37C1"/>
    <w:rsid w:val="001E6323"/>
    <w:rsid w:val="001F0194"/>
    <w:rsid w:val="001F060E"/>
    <w:rsid w:val="001F06D4"/>
    <w:rsid w:val="001F543B"/>
    <w:rsid w:val="002008B8"/>
    <w:rsid w:val="002016C5"/>
    <w:rsid w:val="002046F5"/>
    <w:rsid w:val="002059CD"/>
    <w:rsid w:val="00205D19"/>
    <w:rsid w:val="00206604"/>
    <w:rsid w:val="0021228C"/>
    <w:rsid w:val="0021293B"/>
    <w:rsid w:val="00214402"/>
    <w:rsid w:val="00217050"/>
    <w:rsid w:val="00220489"/>
    <w:rsid w:val="00220504"/>
    <w:rsid w:val="002217D8"/>
    <w:rsid w:val="00221F3E"/>
    <w:rsid w:val="0022201E"/>
    <w:rsid w:val="00224D4D"/>
    <w:rsid w:val="00224E48"/>
    <w:rsid w:val="00225872"/>
    <w:rsid w:val="00227F2D"/>
    <w:rsid w:val="00230B42"/>
    <w:rsid w:val="00233AEF"/>
    <w:rsid w:val="00234530"/>
    <w:rsid w:val="00234E42"/>
    <w:rsid w:val="00234F9C"/>
    <w:rsid w:val="00237472"/>
    <w:rsid w:val="0024476D"/>
    <w:rsid w:val="00245951"/>
    <w:rsid w:val="00250654"/>
    <w:rsid w:val="002530A1"/>
    <w:rsid w:val="00262FEF"/>
    <w:rsid w:val="002652BF"/>
    <w:rsid w:val="00267F9D"/>
    <w:rsid w:val="002720EB"/>
    <w:rsid w:val="0027244E"/>
    <w:rsid w:val="0027262E"/>
    <w:rsid w:val="00273F9B"/>
    <w:rsid w:val="00274128"/>
    <w:rsid w:val="00281D23"/>
    <w:rsid w:val="00283D84"/>
    <w:rsid w:val="00283D9D"/>
    <w:rsid w:val="002848DD"/>
    <w:rsid w:val="00290078"/>
    <w:rsid w:val="002938EA"/>
    <w:rsid w:val="00294143"/>
    <w:rsid w:val="0029689D"/>
    <w:rsid w:val="002A0A30"/>
    <w:rsid w:val="002A16AA"/>
    <w:rsid w:val="002A22A2"/>
    <w:rsid w:val="002A2645"/>
    <w:rsid w:val="002A72B5"/>
    <w:rsid w:val="002A782B"/>
    <w:rsid w:val="002B0357"/>
    <w:rsid w:val="002B2CC1"/>
    <w:rsid w:val="002B5876"/>
    <w:rsid w:val="002B5D3C"/>
    <w:rsid w:val="002B63E5"/>
    <w:rsid w:val="002B7B03"/>
    <w:rsid w:val="002C2D13"/>
    <w:rsid w:val="002C799B"/>
    <w:rsid w:val="002D04F7"/>
    <w:rsid w:val="002D0A5E"/>
    <w:rsid w:val="002D0D95"/>
    <w:rsid w:val="002D3B00"/>
    <w:rsid w:val="002D3BEA"/>
    <w:rsid w:val="002D6B8A"/>
    <w:rsid w:val="002D7900"/>
    <w:rsid w:val="002E1523"/>
    <w:rsid w:val="002E2FF3"/>
    <w:rsid w:val="002E3518"/>
    <w:rsid w:val="002E57DB"/>
    <w:rsid w:val="002E5DAD"/>
    <w:rsid w:val="002E6038"/>
    <w:rsid w:val="002E6B57"/>
    <w:rsid w:val="002E6E49"/>
    <w:rsid w:val="002F4663"/>
    <w:rsid w:val="002F46A6"/>
    <w:rsid w:val="002F5482"/>
    <w:rsid w:val="003024B3"/>
    <w:rsid w:val="00305FDF"/>
    <w:rsid w:val="00307E5B"/>
    <w:rsid w:val="0031078C"/>
    <w:rsid w:val="003132B4"/>
    <w:rsid w:val="00313BEC"/>
    <w:rsid w:val="00317C6E"/>
    <w:rsid w:val="0032121F"/>
    <w:rsid w:val="0032308A"/>
    <w:rsid w:val="00323663"/>
    <w:rsid w:val="00325858"/>
    <w:rsid w:val="0032613B"/>
    <w:rsid w:val="003268AA"/>
    <w:rsid w:val="003268FC"/>
    <w:rsid w:val="003300CF"/>
    <w:rsid w:val="0033055B"/>
    <w:rsid w:val="00332A2B"/>
    <w:rsid w:val="00332E98"/>
    <w:rsid w:val="00333234"/>
    <w:rsid w:val="003408EC"/>
    <w:rsid w:val="0034223C"/>
    <w:rsid w:val="003423D6"/>
    <w:rsid w:val="00345B40"/>
    <w:rsid w:val="003507C3"/>
    <w:rsid w:val="00350BEA"/>
    <w:rsid w:val="00351F4E"/>
    <w:rsid w:val="003566BC"/>
    <w:rsid w:val="00356A76"/>
    <w:rsid w:val="00360633"/>
    <w:rsid w:val="00363AD0"/>
    <w:rsid w:val="00363AD4"/>
    <w:rsid w:val="00366F11"/>
    <w:rsid w:val="00371762"/>
    <w:rsid w:val="00373063"/>
    <w:rsid w:val="00373A26"/>
    <w:rsid w:val="00384087"/>
    <w:rsid w:val="00384825"/>
    <w:rsid w:val="003861E3"/>
    <w:rsid w:val="00390D56"/>
    <w:rsid w:val="0039258C"/>
    <w:rsid w:val="00396EC7"/>
    <w:rsid w:val="003A10BA"/>
    <w:rsid w:val="003A449D"/>
    <w:rsid w:val="003A575A"/>
    <w:rsid w:val="003A5BE7"/>
    <w:rsid w:val="003A6549"/>
    <w:rsid w:val="003B3D3F"/>
    <w:rsid w:val="003B490A"/>
    <w:rsid w:val="003B6BF6"/>
    <w:rsid w:val="003B73F7"/>
    <w:rsid w:val="003C00C4"/>
    <w:rsid w:val="003C1C11"/>
    <w:rsid w:val="003C6430"/>
    <w:rsid w:val="003C7BBF"/>
    <w:rsid w:val="003D0D54"/>
    <w:rsid w:val="003D3C1E"/>
    <w:rsid w:val="003D3C67"/>
    <w:rsid w:val="003D4661"/>
    <w:rsid w:val="003D4DF1"/>
    <w:rsid w:val="003D5FA1"/>
    <w:rsid w:val="003D604A"/>
    <w:rsid w:val="003E3838"/>
    <w:rsid w:val="003E4974"/>
    <w:rsid w:val="003E6102"/>
    <w:rsid w:val="003E6A63"/>
    <w:rsid w:val="003F2424"/>
    <w:rsid w:val="003F2BF8"/>
    <w:rsid w:val="003F4844"/>
    <w:rsid w:val="003F5AF8"/>
    <w:rsid w:val="003F5B51"/>
    <w:rsid w:val="00400914"/>
    <w:rsid w:val="00401609"/>
    <w:rsid w:val="0040250E"/>
    <w:rsid w:val="00403C0A"/>
    <w:rsid w:val="00404186"/>
    <w:rsid w:val="00404868"/>
    <w:rsid w:val="0040640C"/>
    <w:rsid w:val="00407597"/>
    <w:rsid w:val="004106FB"/>
    <w:rsid w:val="00410F40"/>
    <w:rsid w:val="00411F9D"/>
    <w:rsid w:val="004128F9"/>
    <w:rsid w:val="00416887"/>
    <w:rsid w:val="00417011"/>
    <w:rsid w:val="00420CD3"/>
    <w:rsid w:val="004228A0"/>
    <w:rsid w:val="00424800"/>
    <w:rsid w:val="00424A1F"/>
    <w:rsid w:val="00425D73"/>
    <w:rsid w:val="00431047"/>
    <w:rsid w:val="00432749"/>
    <w:rsid w:val="00433BDD"/>
    <w:rsid w:val="004352F9"/>
    <w:rsid w:val="00435C9F"/>
    <w:rsid w:val="004363AC"/>
    <w:rsid w:val="004412D3"/>
    <w:rsid w:val="00443E20"/>
    <w:rsid w:val="0044483C"/>
    <w:rsid w:val="00445659"/>
    <w:rsid w:val="0045183E"/>
    <w:rsid w:val="004571A6"/>
    <w:rsid w:val="00460EBE"/>
    <w:rsid w:val="00462962"/>
    <w:rsid w:val="00466274"/>
    <w:rsid w:val="00472E47"/>
    <w:rsid w:val="00473912"/>
    <w:rsid w:val="00474ADE"/>
    <w:rsid w:val="00475C62"/>
    <w:rsid w:val="00482554"/>
    <w:rsid w:val="00483DE2"/>
    <w:rsid w:val="00483F92"/>
    <w:rsid w:val="00491516"/>
    <w:rsid w:val="004939AC"/>
    <w:rsid w:val="00493D52"/>
    <w:rsid w:val="0049501A"/>
    <w:rsid w:val="004957A7"/>
    <w:rsid w:val="004A130B"/>
    <w:rsid w:val="004A2BFD"/>
    <w:rsid w:val="004A6509"/>
    <w:rsid w:val="004A6F60"/>
    <w:rsid w:val="004B1724"/>
    <w:rsid w:val="004B2425"/>
    <w:rsid w:val="004B289C"/>
    <w:rsid w:val="004B7609"/>
    <w:rsid w:val="004B7765"/>
    <w:rsid w:val="004C02D2"/>
    <w:rsid w:val="004C3C68"/>
    <w:rsid w:val="004C3ED9"/>
    <w:rsid w:val="004C690D"/>
    <w:rsid w:val="004D30F8"/>
    <w:rsid w:val="004D678A"/>
    <w:rsid w:val="004D69B4"/>
    <w:rsid w:val="004E37D0"/>
    <w:rsid w:val="004E4271"/>
    <w:rsid w:val="004E45EE"/>
    <w:rsid w:val="004E7780"/>
    <w:rsid w:val="004E7B4B"/>
    <w:rsid w:val="004F2981"/>
    <w:rsid w:val="004F4327"/>
    <w:rsid w:val="004F6B3E"/>
    <w:rsid w:val="00500F92"/>
    <w:rsid w:val="0050400D"/>
    <w:rsid w:val="00504F59"/>
    <w:rsid w:val="00507451"/>
    <w:rsid w:val="0051111F"/>
    <w:rsid w:val="00513162"/>
    <w:rsid w:val="00515933"/>
    <w:rsid w:val="00515A33"/>
    <w:rsid w:val="00517ACC"/>
    <w:rsid w:val="00523D1C"/>
    <w:rsid w:val="005268AA"/>
    <w:rsid w:val="005334B8"/>
    <w:rsid w:val="00534C43"/>
    <w:rsid w:val="00541D7F"/>
    <w:rsid w:val="005430F9"/>
    <w:rsid w:val="00543103"/>
    <w:rsid w:val="0054312A"/>
    <w:rsid w:val="00546228"/>
    <w:rsid w:val="00546378"/>
    <w:rsid w:val="00546ADF"/>
    <w:rsid w:val="00550CE4"/>
    <w:rsid w:val="00551E3F"/>
    <w:rsid w:val="005525E5"/>
    <w:rsid w:val="005548AB"/>
    <w:rsid w:val="005554D6"/>
    <w:rsid w:val="00560DC0"/>
    <w:rsid w:val="00561E80"/>
    <w:rsid w:val="00563152"/>
    <w:rsid w:val="00565ADB"/>
    <w:rsid w:val="00566AFB"/>
    <w:rsid w:val="00566C76"/>
    <w:rsid w:val="00570DCA"/>
    <w:rsid w:val="0057210D"/>
    <w:rsid w:val="00572B22"/>
    <w:rsid w:val="00572C80"/>
    <w:rsid w:val="00573DAD"/>
    <w:rsid w:val="00574328"/>
    <w:rsid w:val="00574BB4"/>
    <w:rsid w:val="00575E59"/>
    <w:rsid w:val="0057746E"/>
    <w:rsid w:val="00581849"/>
    <w:rsid w:val="0058713A"/>
    <w:rsid w:val="0059171B"/>
    <w:rsid w:val="00593E43"/>
    <w:rsid w:val="005A0A56"/>
    <w:rsid w:val="005A120F"/>
    <w:rsid w:val="005A12BA"/>
    <w:rsid w:val="005A154B"/>
    <w:rsid w:val="005A1955"/>
    <w:rsid w:val="005A1E42"/>
    <w:rsid w:val="005A2367"/>
    <w:rsid w:val="005A3130"/>
    <w:rsid w:val="005A3C05"/>
    <w:rsid w:val="005A4E6D"/>
    <w:rsid w:val="005A745F"/>
    <w:rsid w:val="005B1A25"/>
    <w:rsid w:val="005B3654"/>
    <w:rsid w:val="005B6881"/>
    <w:rsid w:val="005C2459"/>
    <w:rsid w:val="005C6401"/>
    <w:rsid w:val="005C76BD"/>
    <w:rsid w:val="005C7BD0"/>
    <w:rsid w:val="005C7C09"/>
    <w:rsid w:val="005D5154"/>
    <w:rsid w:val="005E148F"/>
    <w:rsid w:val="005E1F1D"/>
    <w:rsid w:val="005E5BED"/>
    <w:rsid w:val="005E67F3"/>
    <w:rsid w:val="005F047E"/>
    <w:rsid w:val="005F0C47"/>
    <w:rsid w:val="005F190E"/>
    <w:rsid w:val="005F38B2"/>
    <w:rsid w:val="005F3983"/>
    <w:rsid w:val="005F4CDA"/>
    <w:rsid w:val="005F52E0"/>
    <w:rsid w:val="005F70F6"/>
    <w:rsid w:val="00601B32"/>
    <w:rsid w:val="00606A93"/>
    <w:rsid w:val="00606F10"/>
    <w:rsid w:val="00610D26"/>
    <w:rsid w:val="00612E35"/>
    <w:rsid w:val="00613338"/>
    <w:rsid w:val="00616E92"/>
    <w:rsid w:val="00622A33"/>
    <w:rsid w:val="00623833"/>
    <w:rsid w:val="0062753C"/>
    <w:rsid w:val="00633D73"/>
    <w:rsid w:val="00637355"/>
    <w:rsid w:val="00637DDE"/>
    <w:rsid w:val="006407D9"/>
    <w:rsid w:val="006414A8"/>
    <w:rsid w:val="00642B91"/>
    <w:rsid w:val="006437B5"/>
    <w:rsid w:val="00647E8F"/>
    <w:rsid w:val="0065129E"/>
    <w:rsid w:val="0065272E"/>
    <w:rsid w:val="00652848"/>
    <w:rsid w:val="00652F58"/>
    <w:rsid w:val="006547B3"/>
    <w:rsid w:val="00663620"/>
    <w:rsid w:val="00664593"/>
    <w:rsid w:val="00664CE3"/>
    <w:rsid w:val="00664DB4"/>
    <w:rsid w:val="00664E67"/>
    <w:rsid w:val="00670214"/>
    <w:rsid w:val="00673FAE"/>
    <w:rsid w:val="00681F5E"/>
    <w:rsid w:val="0069160E"/>
    <w:rsid w:val="006923AF"/>
    <w:rsid w:val="0069590B"/>
    <w:rsid w:val="006A097E"/>
    <w:rsid w:val="006A1E0A"/>
    <w:rsid w:val="006A3245"/>
    <w:rsid w:val="006B1C4F"/>
    <w:rsid w:val="006B20D2"/>
    <w:rsid w:val="006B259C"/>
    <w:rsid w:val="006C0600"/>
    <w:rsid w:val="006C6C23"/>
    <w:rsid w:val="006C7A87"/>
    <w:rsid w:val="006D0618"/>
    <w:rsid w:val="006D3E8C"/>
    <w:rsid w:val="006D5E4D"/>
    <w:rsid w:val="006D6E36"/>
    <w:rsid w:val="006D78E9"/>
    <w:rsid w:val="006E3ACE"/>
    <w:rsid w:val="006F28FE"/>
    <w:rsid w:val="006F3159"/>
    <w:rsid w:val="006F3F89"/>
    <w:rsid w:val="006F4FC9"/>
    <w:rsid w:val="006F761C"/>
    <w:rsid w:val="007016AE"/>
    <w:rsid w:val="00703F27"/>
    <w:rsid w:val="00705295"/>
    <w:rsid w:val="00705D90"/>
    <w:rsid w:val="007064E2"/>
    <w:rsid w:val="00706727"/>
    <w:rsid w:val="0071019C"/>
    <w:rsid w:val="00711D3B"/>
    <w:rsid w:val="00713652"/>
    <w:rsid w:val="00723C6C"/>
    <w:rsid w:val="00726A0D"/>
    <w:rsid w:val="00726A25"/>
    <w:rsid w:val="0073060C"/>
    <w:rsid w:val="00732F31"/>
    <w:rsid w:val="007339B0"/>
    <w:rsid w:val="00734393"/>
    <w:rsid w:val="007346B2"/>
    <w:rsid w:val="00735227"/>
    <w:rsid w:val="00736E76"/>
    <w:rsid w:val="00737B2E"/>
    <w:rsid w:val="00742195"/>
    <w:rsid w:val="00742FE8"/>
    <w:rsid w:val="00743E5C"/>
    <w:rsid w:val="00744615"/>
    <w:rsid w:val="00744974"/>
    <w:rsid w:val="007456DC"/>
    <w:rsid w:val="00745963"/>
    <w:rsid w:val="007462C5"/>
    <w:rsid w:val="00750ABF"/>
    <w:rsid w:val="00752A92"/>
    <w:rsid w:val="007547AE"/>
    <w:rsid w:val="00754C28"/>
    <w:rsid w:val="007628E0"/>
    <w:rsid w:val="00766867"/>
    <w:rsid w:val="00767EF3"/>
    <w:rsid w:val="00771018"/>
    <w:rsid w:val="00772B0D"/>
    <w:rsid w:val="00773130"/>
    <w:rsid w:val="00773BBF"/>
    <w:rsid w:val="007835DE"/>
    <w:rsid w:val="0078423C"/>
    <w:rsid w:val="0078604F"/>
    <w:rsid w:val="00786EB2"/>
    <w:rsid w:val="00790150"/>
    <w:rsid w:val="007902EF"/>
    <w:rsid w:val="007908C9"/>
    <w:rsid w:val="00795AB5"/>
    <w:rsid w:val="007976B8"/>
    <w:rsid w:val="007A176F"/>
    <w:rsid w:val="007A1FBE"/>
    <w:rsid w:val="007A4186"/>
    <w:rsid w:val="007A43EA"/>
    <w:rsid w:val="007A53D1"/>
    <w:rsid w:val="007A76B2"/>
    <w:rsid w:val="007B03E0"/>
    <w:rsid w:val="007B0A59"/>
    <w:rsid w:val="007B4DC5"/>
    <w:rsid w:val="007B515A"/>
    <w:rsid w:val="007C4F13"/>
    <w:rsid w:val="007C6797"/>
    <w:rsid w:val="007C6995"/>
    <w:rsid w:val="007D067F"/>
    <w:rsid w:val="007D06A1"/>
    <w:rsid w:val="007D0EC2"/>
    <w:rsid w:val="007D168D"/>
    <w:rsid w:val="007D5AEE"/>
    <w:rsid w:val="007D74F7"/>
    <w:rsid w:val="007D7E07"/>
    <w:rsid w:val="007E0230"/>
    <w:rsid w:val="007E08AC"/>
    <w:rsid w:val="007E10D9"/>
    <w:rsid w:val="007E2AD9"/>
    <w:rsid w:val="007F2D93"/>
    <w:rsid w:val="007F53F2"/>
    <w:rsid w:val="007F61BC"/>
    <w:rsid w:val="007F6D60"/>
    <w:rsid w:val="007F7AE4"/>
    <w:rsid w:val="008008C3"/>
    <w:rsid w:val="0080211A"/>
    <w:rsid w:val="00803443"/>
    <w:rsid w:val="008065ED"/>
    <w:rsid w:val="00814956"/>
    <w:rsid w:val="008166AD"/>
    <w:rsid w:val="00817469"/>
    <w:rsid w:val="00822010"/>
    <w:rsid w:val="0082210E"/>
    <w:rsid w:val="00824C29"/>
    <w:rsid w:val="00827E8A"/>
    <w:rsid w:val="00831A50"/>
    <w:rsid w:val="00834215"/>
    <w:rsid w:val="00835C09"/>
    <w:rsid w:val="008379A9"/>
    <w:rsid w:val="00837B12"/>
    <w:rsid w:val="00845CA7"/>
    <w:rsid w:val="00846B2E"/>
    <w:rsid w:val="00847CF1"/>
    <w:rsid w:val="0085051F"/>
    <w:rsid w:val="008506DB"/>
    <w:rsid w:val="008541B1"/>
    <w:rsid w:val="0085509C"/>
    <w:rsid w:val="0085526B"/>
    <w:rsid w:val="00855A28"/>
    <w:rsid w:val="00860DAA"/>
    <w:rsid w:val="008610EF"/>
    <w:rsid w:val="008615D3"/>
    <w:rsid w:val="0086465C"/>
    <w:rsid w:val="008718AB"/>
    <w:rsid w:val="008719DB"/>
    <w:rsid w:val="00874864"/>
    <w:rsid w:val="00874CCF"/>
    <w:rsid w:val="00875C1F"/>
    <w:rsid w:val="00877043"/>
    <w:rsid w:val="00880312"/>
    <w:rsid w:val="00881304"/>
    <w:rsid w:val="00883E3B"/>
    <w:rsid w:val="00890DDC"/>
    <w:rsid w:val="0089369A"/>
    <w:rsid w:val="00893CE6"/>
    <w:rsid w:val="0089538B"/>
    <w:rsid w:val="00897052"/>
    <w:rsid w:val="0089721E"/>
    <w:rsid w:val="008A1AE6"/>
    <w:rsid w:val="008A3A61"/>
    <w:rsid w:val="008A49BE"/>
    <w:rsid w:val="008A4F54"/>
    <w:rsid w:val="008A5101"/>
    <w:rsid w:val="008A6568"/>
    <w:rsid w:val="008B0399"/>
    <w:rsid w:val="008B417A"/>
    <w:rsid w:val="008B5689"/>
    <w:rsid w:val="008B56DB"/>
    <w:rsid w:val="008B65EF"/>
    <w:rsid w:val="008C03E9"/>
    <w:rsid w:val="008C0D4F"/>
    <w:rsid w:val="008C1355"/>
    <w:rsid w:val="008C216B"/>
    <w:rsid w:val="008C2BFD"/>
    <w:rsid w:val="008C698D"/>
    <w:rsid w:val="008C6CBB"/>
    <w:rsid w:val="008D0D2A"/>
    <w:rsid w:val="008D1423"/>
    <w:rsid w:val="008D3D3C"/>
    <w:rsid w:val="008E07DE"/>
    <w:rsid w:val="008E0E59"/>
    <w:rsid w:val="008E148E"/>
    <w:rsid w:val="008E3533"/>
    <w:rsid w:val="008E3647"/>
    <w:rsid w:val="008E5688"/>
    <w:rsid w:val="008E609F"/>
    <w:rsid w:val="008E7190"/>
    <w:rsid w:val="008E775C"/>
    <w:rsid w:val="008F010E"/>
    <w:rsid w:val="008F3E12"/>
    <w:rsid w:val="008F7BC3"/>
    <w:rsid w:val="009018C0"/>
    <w:rsid w:val="00903256"/>
    <w:rsid w:val="009036FE"/>
    <w:rsid w:val="00903A81"/>
    <w:rsid w:val="00905092"/>
    <w:rsid w:val="00910752"/>
    <w:rsid w:val="00912401"/>
    <w:rsid w:val="00912BC2"/>
    <w:rsid w:val="00912C62"/>
    <w:rsid w:val="00912C6F"/>
    <w:rsid w:val="00912F3A"/>
    <w:rsid w:val="0091411F"/>
    <w:rsid w:val="00915EAD"/>
    <w:rsid w:val="00916A4F"/>
    <w:rsid w:val="00917604"/>
    <w:rsid w:val="00923416"/>
    <w:rsid w:val="009261B1"/>
    <w:rsid w:val="00926F71"/>
    <w:rsid w:val="0092743A"/>
    <w:rsid w:val="00927B51"/>
    <w:rsid w:val="009349ED"/>
    <w:rsid w:val="009376C1"/>
    <w:rsid w:val="00943755"/>
    <w:rsid w:val="00943C8D"/>
    <w:rsid w:val="009470B9"/>
    <w:rsid w:val="00954BB9"/>
    <w:rsid w:val="00954CE1"/>
    <w:rsid w:val="00956FF0"/>
    <w:rsid w:val="00964B6B"/>
    <w:rsid w:val="009731DF"/>
    <w:rsid w:val="0097351A"/>
    <w:rsid w:val="00975BF5"/>
    <w:rsid w:val="00977478"/>
    <w:rsid w:val="00981E69"/>
    <w:rsid w:val="00982528"/>
    <w:rsid w:val="0098383D"/>
    <w:rsid w:val="0098390A"/>
    <w:rsid w:val="0098408D"/>
    <w:rsid w:val="00985F98"/>
    <w:rsid w:val="00986657"/>
    <w:rsid w:val="00986762"/>
    <w:rsid w:val="0099037F"/>
    <w:rsid w:val="00992465"/>
    <w:rsid w:val="00994C7F"/>
    <w:rsid w:val="00997EFF"/>
    <w:rsid w:val="009A0483"/>
    <w:rsid w:val="009A0BEE"/>
    <w:rsid w:val="009A103D"/>
    <w:rsid w:val="009A129F"/>
    <w:rsid w:val="009A40C0"/>
    <w:rsid w:val="009A4943"/>
    <w:rsid w:val="009B029C"/>
    <w:rsid w:val="009B1E80"/>
    <w:rsid w:val="009B2285"/>
    <w:rsid w:val="009B3786"/>
    <w:rsid w:val="009B3F1E"/>
    <w:rsid w:val="009B4496"/>
    <w:rsid w:val="009B479B"/>
    <w:rsid w:val="009B4895"/>
    <w:rsid w:val="009B4AD6"/>
    <w:rsid w:val="009B5ADE"/>
    <w:rsid w:val="009B77D1"/>
    <w:rsid w:val="009C09D4"/>
    <w:rsid w:val="009C283D"/>
    <w:rsid w:val="009D1530"/>
    <w:rsid w:val="009D5DBC"/>
    <w:rsid w:val="009D6EF8"/>
    <w:rsid w:val="009E15E9"/>
    <w:rsid w:val="009E2AB1"/>
    <w:rsid w:val="009E3FBB"/>
    <w:rsid w:val="009E4142"/>
    <w:rsid w:val="009F0269"/>
    <w:rsid w:val="009F1088"/>
    <w:rsid w:val="009F19AE"/>
    <w:rsid w:val="009F32F6"/>
    <w:rsid w:val="00A00450"/>
    <w:rsid w:val="00A00D4D"/>
    <w:rsid w:val="00A0312A"/>
    <w:rsid w:val="00A0356E"/>
    <w:rsid w:val="00A03802"/>
    <w:rsid w:val="00A039A4"/>
    <w:rsid w:val="00A03A5C"/>
    <w:rsid w:val="00A051F0"/>
    <w:rsid w:val="00A068BE"/>
    <w:rsid w:val="00A106CD"/>
    <w:rsid w:val="00A111C2"/>
    <w:rsid w:val="00A1122B"/>
    <w:rsid w:val="00A12836"/>
    <w:rsid w:val="00A145A3"/>
    <w:rsid w:val="00A15878"/>
    <w:rsid w:val="00A15E53"/>
    <w:rsid w:val="00A241D2"/>
    <w:rsid w:val="00A2530A"/>
    <w:rsid w:val="00A2691F"/>
    <w:rsid w:val="00A32418"/>
    <w:rsid w:val="00A33670"/>
    <w:rsid w:val="00A349ED"/>
    <w:rsid w:val="00A42211"/>
    <w:rsid w:val="00A43509"/>
    <w:rsid w:val="00A44F59"/>
    <w:rsid w:val="00A4586E"/>
    <w:rsid w:val="00A4775E"/>
    <w:rsid w:val="00A47BA9"/>
    <w:rsid w:val="00A511D4"/>
    <w:rsid w:val="00A53440"/>
    <w:rsid w:val="00A53939"/>
    <w:rsid w:val="00A5523F"/>
    <w:rsid w:val="00A55B2E"/>
    <w:rsid w:val="00A56183"/>
    <w:rsid w:val="00A578C9"/>
    <w:rsid w:val="00A738F7"/>
    <w:rsid w:val="00A75BA6"/>
    <w:rsid w:val="00A76F29"/>
    <w:rsid w:val="00A805A9"/>
    <w:rsid w:val="00A81DB5"/>
    <w:rsid w:val="00A84A9E"/>
    <w:rsid w:val="00A857BE"/>
    <w:rsid w:val="00A8620B"/>
    <w:rsid w:val="00A87007"/>
    <w:rsid w:val="00A9182F"/>
    <w:rsid w:val="00A927A7"/>
    <w:rsid w:val="00A9585D"/>
    <w:rsid w:val="00A96DBC"/>
    <w:rsid w:val="00AA0654"/>
    <w:rsid w:val="00AA2E2A"/>
    <w:rsid w:val="00AB2E56"/>
    <w:rsid w:val="00AB3DD9"/>
    <w:rsid w:val="00AB4899"/>
    <w:rsid w:val="00AB4AA1"/>
    <w:rsid w:val="00AC19EB"/>
    <w:rsid w:val="00AC3463"/>
    <w:rsid w:val="00AC3612"/>
    <w:rsid w:val="00AD1D88"/>
    <w:rsid w:val="00AD1DD3"/>
    <w:rsid w:val="00AD2826"/>
    <w:rsid w:val="00AD411E"/>
    <w:rsid w:val="00AD63A1"/>
    <w:rsid w:val="00AE05A4"/>
    <w:rsid w:val="00AE5F72"/>
    <w:rsid w:val="00AE7AAC"/>
    <w:rsid w:val="00AF0FF0"/>
    <w:rsid w:val="00AF2066"/>
    <w:rsid w:val="00AF3A79"/>
    <w:rsid w:val="00AF5895"/>
    <w:rsid w:val="00AF6C56"/>
    <w:rsid w:val="00B00B6F"/>
    <w:rsid w:val="00B0478F"/>
    <w:rsid w:val="00B06FFB"/>
    <w:rsid w:val="00B10CAA"/>
    <w:rsid w:val="00B11FB0"/>
    <w:rsid w:val="00B14B1C"/>
    <w:rsid w:val="00B150EC"/>
    <w:rsid w:val="00B164D0"/>
    <w:rsid w:val="00B201C8"/>
    <w:rsid w:val="00B22131"/>
    <w:rsid w:val="00B2292D"/>
    <w:rsid w:val="00B243DE"/>
    <w:rsid w:val="00B3030B"/>
    <w:rsid w:val="00B309AB"/>
    <w:rsid w:val="00B31480"/>
    <w:rsid w:val="00B32F20"/>
    <w:rsid w:val="00B32FF4"/>
    <w:rsid w:val="00B35569"/>
    <w:rsid w:val="00B36026"/>
    <w:rsid w:val="00B36B99"/>
    <w:rsid w:val="00B36FCA"/>
    <w:rsid w:val="00B374D2"/>
    <w:rsid w:val="00B37805"/>
    <w:rsid w:val="00B401FA"/>
    <w:rsid w:val="00B40383"/>
    <w:rsid w:val="00B40A26"/>
    <w:rsid w:val="00B42BBD"/>
    <w:rsid w:val="00B43431"/>
    <w:rsid w:val="00B47857"/>
    <w:rsid w:val="00B53633"/>
    <w:rsid w:val="00B56427"/>
    <w:rsid w:val="00B604D8"/>
    <w:rsid w:val="00B662CC"/>
    <w:rsid w:val="00B67AAE"/>
    <w:rsid w:val="00B70CDD"/>
    <w:rsid w:val="00B73A98"/>
    <w:rsid w:val="00B73D9A"/>
    <w:rsid w:val="00B74A58"/>
    <w:rsid w:val="00B75F56"/>
    <w:rsid w:val="00B763A1"/>
    <w:rsid w:val="00B76FC1"/>
    <w:rsid w:val="00B8277A"/>
    <w:rsid w:val="00B844A3"/>
    <w:rsid w:val="00B86C97"/>
    <w:rsid w:val="00B8734A"/>
    <w:rsid w:val="00B875D8"/>
    <w:rsid w:val="00B90002"/>
    <w:rsid w:val="00B9111C"/>
    <w:rsid w:val="00B946CD"/>
    <w:rsid w:val="00BA3352"/>
    <w:rsid w:val="00BA40B4"/>
    <w:rsid w:val="00BA5AE8"/>
    <w:rsid w:val="00BA5D1B"/>
    <w:rsid w:val="00BA67A8"/>
    <w:rsid w:val="00BA6E95"/>
    <w:rsid w:val="00BA741A"/>
    <w:rsid w:val="00BB1A7D"/>
    <w:rsid w:val="00BB2950"/>
    <w:rsid w:val="00BB304C"/>
    <w:rsid w:val="00BB32E4"/>
    <w:rsid w:val="00BB77F2"/>
    <w:rsid w:val="00BC06C5"/>
    <w:rsid w:val="00BC7340"/>
    <w:rsid w:val="00BD264E"/>
    <w:rsid w:val="00BD35FE"/>
    <w:rsid w:val="00BD416C"/>
    <w:rsid w:val="00BD5A29"/>
    <w:rsid w:val="00BD6C8A"/>
    <w:rsid w:val="00BD6F81"/>
    <w:rsid w:val="00BE1CAA"/>
    <w:rsid w:val="00BE5E65"/>
    <w:rsid w:val="00BF3A90"/>
    <w:rsid w:val="00BF4B40"/>
    <w:rsid w:val="00BF4C58"/>
    <w:rsid w:val="00BF72CA"/>
    <w:rsid w:val="00C019B6"/>
    <w:rsid w:val="00C064E0"/>
    <w:rsid w:val="00C06D88"/>
    <w:rsid w:val="00C131A5"/>
    <w:rsid w:val="00C151BE"/>
    <w:rsid w:val="00C2070A"/>
    <w:rsid w:val="00C21824"/>
    <w:rsid w:val="00C22924"/>
    <w:rsid w:val="00C22A0B"/>
    <w:rsid w:val="00C23B19"/>
    <w:rsid w:val="00C2419D"/>
    <w:rsid w:val="00C25DEA"/>
    <w:rsid w:val="00C26349"/>
    <w:rsid w:val="00C27E9D"/>
    <w:rsid w:val="00C30D8B"/>
    <w:rsid w:val="00C34EE5"/>
    <w:rsid w:val="00C3722A"/>
    <w:rsid w:val="00C41F4C"/>
    <w:rsid w:val="00C42711"/>
    <w:rsid w:val="00C42F05"/>
    <w:rsid w:val="00C45B3E"/>
    <w:rsid w:val="00C50FDC"/>
    <w:rsid w:val="00C51441"/>
    <w:rsid w:val="00C5236B"/>
    <w:rsid w:val="00C53D64"/>
    <w:rsid w:val="00C57ABD"/>
    <w:rsid w:val="00C57FC4"/>
    <w:rsid w:val="00C60C87"/>
    <w:rsid w:val="00C6116C"/>
    <w:rsid w:val="00C618C5"/>
    <w:rsid w:val="00C630F1"/>
    <w:rsid w:val="00C64878"/>
    <w:rsid w:val="00C64931"/>
    <w:rsid w:val="00C66ACF"/>
    <w:rsid w:val="00C7007D"/>
    <w:rsid w:val="00C7280A"/>
    <w:rsid w:val="00C73CD8"/>
    <w:rsid w:val="00C810D1"/>
    <w:rsid w:val="00C819EC"/>
    <w:rsid w:val="00C84140"/>
    <w:rsid w:val="00C841C8"/>
    <w:rsid w:val="00C8741C"/>
    <w:rsid w:val="00C91122"/>
    <w:rsid w:val="00C921BF"/>
    <w:rsid w:val="00C92D0F"/>
    <w:rsid w:val="00C949F2"/>
    <w:rsid w:val="00C96014"/>
    <w:rsid w:val="00C96A75"/>
    <w:rsid w:val="00C97E5E"/>
    <w:rsid w:val="00CA0C5A"/>
    <w:rsid w:val="00CA10B6"/>
    <w:rsid w:val="00CA4F64"/>
    <w:rsid w:val="00CA5454"/>
    <w:rsid w:val="00CA6C3C"/>
    <w:rsid w:val="00CA7B0D"/>
    <w:rsid w:val="00CB160A"/>
    <w:rsid w:val="00CB2543"/>
    <w:rsid w:val="00CB44B3"/>
    <w:rsid w:val="00CB50B0"/>
    <w:rsid w:val="00CB50C5"/>
    <w:rsid w:val="00CB7E5B"/>
    <w:rsid w:val="00CC1307"/>
    <w:rsid w:val="00CC3A0A"/>
    <w:rsid w:val="00CC4101"/>
    <w:rsid w:val="00CD1A4E"/>
    <w:rsid w:val="00CD24FC"/>
    <w:rsid w:val="00CD7DE4"/>
    <w:rsid w:val="00CE1AAF"/>
    <w:rsid w:val="00CE2F37"/>
    <w:rsid w:val="00CE3342"/>
    <w:rsid w:val="00CE3D2F"/>
    <w:rsid w:val="00CE44EC"/>
    <w:rsid w:val="00CE5755"/>
    <w:rsid w:val="00CE7830"/>
    <w:rsid w:val="00CF07EB"/>
    <w:rsid w:val="00CF0806"/>
    <w:rsid w:val="00CF2AD8"/>
    <w:rsid w:val="00CF2D87"/>
    <w:rsid w:val="00CF4417"/>
    <w:rsid w:val="00CF7384"/>
    <w:rsid w:val="00D00388"/>
    <w:rsid w:val="00D009A4"/>
    <w:rsid w:val="00D108C8"/>
    <w:rsid w:val="00D10D4E"/>
    <w:rsid w:val="00D13BBC"/>
    <w:rsid w:val="00D1429B"/>
    <w:rsid w:val="00D17214"/>
    <w:rsid w:val="00D17FA2"/>
    <w:rsid w:val="00D22E74"/>
    <w:rsid w:val="00D231CE"/>
    <w:rsid w:val="00D241C8"/>
    <w:rsid w:val="00D24B74"/>
    <w:rsid w:val="00D260EA"/>
    <w:rsid w:val="00D26405"/>
    <w:rsid w:val="00D27315"/>
    <w:rsid w:val="00D3208B"/>
    <w:rsid w:val="00D3464A"/>
    <w:rsid w:val="00D34AEC"/>
    <w:rsid w:val="00D350C2"/>
    <w:rsid w:val="00D3530D"/>
    <w:rsid w:val="00D35EA0"/>
    <w:rsid w:val="00D40FB1"/>
    <w:rsid w:val="00D4222F"/>
    <w:rsid w:val="00D47085"/>
    <w:rsid w:val="00D47598"/>
    <w:rsid w:val="00D5077A"/>
    <w:rsid w:val="00D50EA2"/>
    <w:rsid w:val="00D5158F"/>
    <w:rsid w:val="00D533EA"/>
    <w:rsid w:val="00D65F15"/>
    <w:rsid w:val="00D662B9"/>
    <w:rsid w:val="00D67688"/>
    <w:rsid w:val="00D67714"/>
    <w:rsid w:val="00D67F50"/>
    <w:rsid w:val="00D72996"/>
    <w:rsid w:val="00D741E2"/>
    <w:rsid w:val="00D7522B"/>
    <w:rsid w:val="00D8014D"/>
    <w:rsid w:val="00D801C6"/>
    <w:rsid w:val="00D803F7"/>
    <w:rsid w:val="00D80625"/>
    <w:rsid w:val="00D813F4"/>
    <w:rsid w:val="00D82674"/>
    <w:rsid w:val="00D83F5B"/>
    <w:rsid w:val="00D8620E"/>
    <w:rsid w:val="00D8658F"/>
    <w:rsid w:val="00D91DE2"/>
    <w:rsid w:val="00D93423"/>
    <w:rsid w:val="00D93DBE"/>
    <w:rsid w:val="00D96CC6"/>
    <w:rsid w:val="00DA1180"/>
    <w:rsid w:val="00DA3773"/>
    <w:rsid w:val="00DA37B3"/>
    <w:rsid w:val="00DA72EB"/>
    <w:rsid w:val="00DB1297"/>
    <w:rsid w:val="00DB12BF"/>
    <w:rsid w:val="00DB1317"/>
    <w:rsid w:val="00DB1D72"/>
    <w:rsid w:val="00DB284A"/>
    <w:rsid w:val="00DB3567"/>
    <w:rsid w:val="00DB47BC"/>
    <w:rsid w:val="00DB55E3"/>
    <w:rsid w:val="00DB761A"/>
    <w:rsid w:val="00DC0178"/>
    <w:rsid w:val="00DC0B97"/>
    <w:rsid w:val="00DC21CA"/>
    <w:rsid w:val="00DC50C5"/>
    <w:rsid w:val="00DC6763"/>
    <w:rsid w:val="00DC6911"/>
    <w:rsid w:val="00DC692C"/>
    <w:rsid w:val="00DC71A6"/>
    <w:rsid w:val="00DD362B"/>
    <w:rsid w:val="00DD6B8D"/>
    <w:rsid w:val="00DE1436"/>
    <w:rsid w:val="00DE2FFE"/>
    <w:rsid w:val="00DE3DA6"/>
    <w:rsid w:val="00DE4AD0"/>
    <w:rsid w:val="00DE5673"/>
    <w:rsid w:val="00DE64C8"/>
    <w:rsid w:val="00DF12A9"/>
    <w:rsid w:val="00DF2C02"/>
    <w:rsid w:val="00DF305E"/>
    <w:rsid w:val="00DF5758"/>
    <w:rsid w:val="00DF5F71"/>
    <w:rsid w:val="00DF6C25"/>
    <w:rsid w:val="00DF7052"/>
    <w:rsid w:val="00E005B2"/>
    <w:rsid w:val="00E01794"/>
    <w:rsid w:val="00E01FB1"/>
    <w:rsid w:val="00E02413"/>
    <w:rsid w:val="00E0420F"/>
    <w:rsid w:val="00E06B67"/>
    <w:rsid w:val="00E10539"/>
    <w:rsid w:val="00E1102F"/>
    <w:rsid w:val="00E131D9"/>
    <w:rsid w:val="00E13FB8"/>
    <w:rsid w:val="00E168E6"/>
    <w:rsid w:val="00E2025A"/>
    <w:rsid w:val="00E27FC6"/>
    <w:rsid w:val="00E3050B"/>
    <w:rsid w:val="00E3076E"/>
    <w:rsid w:val="00E32269"/>
    <w:rsid w:val="00E322AD"/>
    <w:rsid w:val="00E3310A"/>
    <w:rsid w:val="00E45BD6"/>
    <w:rsid w:val="00E4621D"/>
    <w:rsid w:val="00E4761C"/>
    <w:rsid w:val="00E478CF"/>
    <w:rsid w:val="00E5004A"/>
    <w:rsid w:val="00E50062"/>
    <w:rsid w:val="00E508D2"/>
    <w:rsid w:val="00E50C91"/>
    <w:rsid w:val="00E5405D"/>
    <w:rsid w:val="00E570FF"/>
    <w:rsid w:val="00E57F6D"/>
    <w:rsid w:val="00E60FE5"/>
    <w:rsid w:val="00E61795"/>
    <w:rsid w:val="00E61C1B"/>
    <w:rsid w:val="00E62221"/>
    <w:rsid w:val="00E6362A"/>
    <w:rsid w:val="00E63A0A"/>
    <w:rsid w:val="00E6514B"/>
    <w:rsid w:val="00E65C9B"/>
    <w:rsid w:val="00E65D20"/>
    <w:rsid w:val="00E73CD1"/>
    <w:rsid w:val="00E742D9"/>
    <w:rsid w:val="00E75E17"/>
    <w:rsid w:val="00E763E3"/>
    <w:rsid w:val="00E76BB3"/>
    <w:rsid w:val="00E76F78"/>
    <w:rsid w:val="00E82C79"/>
    <w:rsid w:val="00E83B4F"/>
    <w:rsid w:val="00E869ED"/>
    <w:rsid w:val="00E86EC0"/>
    <w:rsid w:val="00E87FC0"/>
    <w:rsid w:val="00E90513"/>
    <w:rsid w:val="00E91D90"/>
    <w:rsid w:val="00E935A7"/>
    <w:rsid w:val="00E943C0"/>
    <w:rsid w:val="00E9539E"/>
    <w:rsid w:val="00E96F99"/>
    <w:rsid w:val="00EA0C51"/>
    <w:rsid w:val="00EA0C99"/>
    <w:rsid w:val="00EA1A7A"/>
    <w:rsid w:val="00EA1B0E"/>
    <w:rsid w:val="00EA35D5"/>
    <w:rsid w:val="00EA45DE"/>
    <w:rsid w:val="00EA4D7A"/>
    <w:rsid w:val="00EA5E7A"/>
    <w:rsid w:val="00EB0892"/>
    <w:rsid w:val="00EB1CA7"/>
    <w:rsid w:val="00EB3293"/>
    <w:rsid w:val="00ED2C92"/>
    <w:rsid w:val="00ED5F1C"/>
    <w:rsid w:val="00ED63CA"/>
    <w:rsid w:val="00ED64AE"/>
    <w:rsid w:val="00ED781F"/>
    <w:rsid w:val="00EE1D91"/>
    <w:rsid w:val="00EE5B65"/>
    <w:rsid w:val="00EE64CF"/>
    <w:rsid w:val="00EE6E8F"/>
    <w:rsid w:val="00EF109D"/>
    <w:rsid w:val="00EF160F"/>
    <w:rsid w:val="00EF26A5"/>
    <w:rsid w:val="00EF33A8"/>
    <w:rsid w:val="00EF4539"/>
    <w:rsid w:val="00F00845"/>
    <w:rsid w:val="00F00864"/>
    <w:rsid w:val="00F01CF9"/>
    <w:rsid w:val="00F043E9"/>
    <w:rsid w:val="00F06D7B"/>
    <w:rsid w:val="00F111EC"/>
    <w:rsid w:val="00F151CA"/>
    <w:rsid w:val="00F1622E"/>
    <w:rsid w:val="00F16295"/>
    <w:rsid w:val="00F1718D"/>
    <w:rsid w:val="00F20CAB"/>
    <w:rsid w:val="00F22DA1"/>
    <w:rsid w:val="00F23478"/>
    <w:rsid w:val="00F269F3"/>
    <w:rsid w:val="00F3232E"/>
    <w:rsid w:val="00F32AD5"/>
    <w:rsid w:val="00F416E7"/>
    <w:rsid w:val="00F4227E"/>
    <w:rsid w:val="00F44919"/>
    <w:rsid w:val="00F45E07"/>
    <w:rsid w:val="00F47EF4"/>
    <w:rsid w:val="00F56234"/>
    <w:rsid w:val="00F562A2"/>
    <w:rsid w:val="00F573F7"/>
    <w:rsid w:val="00F57FC0"/>
    <w:rsid w:val="00F61231"/>
    <w:rsid w:val="00F665F9"/>
    <w:rsid w:val="00F67857"/>
    <w:rsid w:val="00F70313"/>
    <w:rsid w:val="00F708A6"/>
    <w:rsid w:val="00F71320"/>
    <w:rsid w:val="00F74959"/>
    <w:rsid w:val="00F76B93"/>
    <w:rsid w:val="00F773BB"/>
    <w:rsid w:val="00F812F8"/>
    <w:rsid w:val="00F842C4"/>
    <w:rsid w:val="00F85500"/>
    <w:rsid w:val="00F85E92"/>
    <w:rsid w:val="00F86745"/>
    <w:rsid w:val="00F870E0"/>
    <w:rsid w:val="00F87B64"/>
    <w:rsid w:val="00F94299"/>
    <w:rsid w:val="00F95B51"/>
    <w:rsid w:val="00F96003"/>
    <w:rsid w:val="00F978DA"/>
    <w:rsid w:val="00FA330A"/>
    <w:rsid w:val="00FA3650"/>
    <w:rsid w:val="00FA691B"/>
    <w:rsid w:val="00FB0181"/>
    <w:rsid w:val="00FB17A0"/>
    <w:rsid w:val="00FB3AF7"/>
    <w:rsid w:val="00FB53B7"/>
    <w:rsid w:val="00FB6042"/>
    <w:rsid w:val="00FB748F"/>
    <w:rsid w:val="00FC35FC"/>
    <w:rsid w:val="00FC7AC9"/>
    <w:rsid w:val="00FD1D6A"/>
    <w:rsid w:val="00FD34FF"/>
    <w:rsid w:val="00FD4EFD"/>
    <w:rsid w:val="00FD6A24"/>
    <w:rsid w:val="00FE37EE"/>
    <w:rsid w:val="00FF42EB"/>
    <w:rsid w:val="00FF5C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6F9FE"/>
  <w15:chartTrackingRefBased/>
  <w15:docId w15:val="{9F4831DB-209F-4019-A9CD-2A8A581F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0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EF4"/>
    <w:pPr>
      <w:ind w:left="720"/>
      <w:contextualSpacing/>
    </w:pPr>
  </w:style>
  <w:style w:type="character" w:styleId="Hipervnculo">
    <w:name w:val="Hyperlink"/>
    <w:basedOn w:val="Fuentedeprrafopredeter"/>
    <w:uiPriority w:val="99"/>
    <w:unhideWhenUsed/>
    <w:rsid w:val="00F47EF4"/>
    <w:rPr>
      <w:color w:val="0563C1" w:themeColor="hyperlink"/>
      <w:u w:val="single"/>
    </w:rPr>
  </w:style>
  <w:style w:type="table" w:styleId="Tablaconcuadrcula">
    <w:name w:val="Table Grid"/>
    <w:basedOn w:val="Tablanormal"/>
    <w:uiPriority w:val="39"/>
    <w:rsid w:val="00F47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7EF4"/>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notapie">
    <w:name w:val="footnote text"/>
    <w:basedOn w:val="Normal"/>
    <w:link w:val="TextonotapieCar"/>
    <w:uiPriority w:val="99"/>
    <w:semiHidden/>
    <w:unhideWhenUsed/>
    <w:rsid w:val="00F47E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7EF4"/>
    <w:rPr>
      <w:sz w:val="20"/>
      <w:szCs w:val="20"/>
    </w:rPr>
  </w:style>
  <w:style w:type="character" w:styleId="Refdenotaalpie">
    <w:name w:val="footnote reference"/>
    <w:basedOn w:val="Fuentedeprrafopredeter"/>
    <w:semiHidden/>
    <w:unhideWhenUsed/>
    <w:rsid w:val="00F47EF4"/>
    <w:rPr>
      <w:vertAlign w:val="superscript"/>
    </w:rPr>
  </w:style>
  <w:style w:type="paragraph" w:styleId="Encabezado">
    <w:name w:val="header"/>
    <w:basedOn w:val="Normal"/>
    <w:link w:val="EncabezadoCar"/>
    <w:unhideWhenUsed/>
    <w:rsid w:val="00F47EF4"/>
    <w:pPr>
      <w:tabs>
        <w:tab w:val="center" w:pos="4419"/>
        <w:tab w:val="right" w:pos="8838"/>
      </w:tabs>
      <w:spacing w:after="0" w:line="240" w:lineRule="auto"/>
    </w:pPr>
  </w:style>
  <w:style w:type="character" w:customStyle="1" w:styleId="EncabezadoCar">
    <w:name w:val="Encabezado Car"/>
    <w:basedOn w:val="Fuentedeprrafopredeter"/>
    <w:link w:val="Encabezado"/>
    <w:rsid w:val="00F47EF4"/>
  </w:style>
  <w:style w:type="paragraph" w:styleId="Piedepgina">
    <w:name w:val="footer"/>
    <w:basedOn w:val="Normal"/>
    <w:link w:val="PiedepginaCar"/>
    <w:uiPriority w:val="99"/>
    <w:unhideWhenUsed/>
    <w:rsid w:val="00F47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EF4"/>
  </w:style>
  <w:style w:type="character" w:customStyle="1" w:styleId="Mencinsinresolver1">
    <w:name w:val="Mención sin resolver1"/>
    <w:basedOn w:val="Fuentedeprrafopredeter"/>
    <w:uiPriority w:val="99"/>
    <w:semiHidden/>
    <w:unhideWhenUsed/>
    <w:rsid w:val="00F47EF4"/>
    <w:rPr>
      <w:color w:val="605E5C"/>
      <w:shd w:val="clear" w:color="auto" w:fill="E1DFDD"/>
    </w:rPr>
  </w:style>
  <w:style w:type="paragraph" w:styleId="Textodeglobo">
    <w:name w:val="Balloon Text"/>
    <w:basedOn w:val="Normal"/>
    <w:link w:val="TextodegloboCar"/>
    <w:uiPriority w:val="99"/>
    <w:semiHidden/>
    <w:unhideWhenUsed/>
    <w:rsid w:val="00C64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487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9018C0"/>
    <w:rPr>
      <w:color w:val="605E5C"/>
      <w:shd w:val="clear" w:color="auto" w:fill="E1DFDD"/>
    </w:rPr>
  </w:style>
  <w:style w:type="character" w:styleId="Hipervnculovisitado">
    <w:name w:val="FollowedHyperlink"/>
    <w:basedOn w:val="Fuentedeprrafopredeter"/>
    <w:uiPriority w:val="99"/>
    <w:semiHidden/>
    <w:unhideWhenUsed/>
    <w:rsid w:val="00E73CD1"/>
    <w:rPr>
      <w:color w:val="954F72" w:themeColor="followedHyperlink"/>
      <w:u w:val="single"/>
    </w:rPr>
  </w:style>
  <w:style w:type="character" w:styleId="nfasissutil">
    <w:name w:val="Subtle Emphasis"/>
    <w:basedOn w:val="Fuentedeprrafopredeter"/>
    <w:uiPriority w:val="19"/>
    <w:qFormat/>
    <w:rsid w:val="008E07DE"/>
    <w:rPr>
      <w:i/>
      <w:iCs/>
      <w:color w:val="404040" w:themeColor="text1" w:themeTint="BF"/>
    </w:rPr>
  </w:style>
  <w:style w:type="paragraph" w:customStyle="1" w:styleId="Default">
    <w:name w:val="Default"/>
    <w:rsid w:val="0014062A"/>
    <w:pPr>
      <w:autoSpaceDE w:val="0"/>
      <w:autoSpaceDN w:val="0"/>
      <w:adjustRightInd w:val="0"/>
      <w:spacing w:after="0" w:line="240" w:lineRule="auto"/>
    </w:pPr>
    <w:rPr>
      <w:rFonts w:ascii="Arial" w:hAnsi="Arial" w:cs="Arial"/>
      <w:color w:val="000000"/>
      <w:sz w:val="24"/>
      <w:szCs w:val="24"/>
    </w:rPr>
  </w:style>
  <w:style w:type="paragraph" w:customStyle="1" w:styleId="Pa27">
    <w:name w:val="Pa27"/>
    <w:basedOn w:val="Default"/>
    <w:next w:val="Default"/>
    <w:uiPriority w:val="99"/>
    <w:rsid w:val="00D26405"/>
    <w:pPr>
      <w:spacing w:line="221" w:lineRule="atLeast"/>
    </w:pPr>
    <w:rPr>
      <w:color w:val="auto"/>
      <w:lang w:val="en-US"/>
    </w:rPr>
  </w:style>
  <w:style w:type="character" w:customStyle="1" w:styleId="A1">
    <w:name w:val="A1"/>
    <w:uiPriority w:val="99"/>
    <w:rsid w:val="00D26405"/>
    <w:rPr>
      <w:color w:val="000000"/>
      <w:sz w:val="20"/>
      <w:szCs w:val="20"/>
    </w:rPr>
  </w:style>
  <w:style w:type="paragraph" w:customStyle="1" w:styleId="Pa10">
    <w:name w:val="Pa10"/>
    <w:basedOn w:val="Default"/>
    <w:next w:val="Default"/>
    <w:uiPriority w:val="99"/>
    <w:rsid w:val="00D26405"/>
    <w:pPr>
      <w:spacing w:line="221" w:lineRule="atLeast"/>
    </w:pPr>
    <w:rPr>
      <w:color w:val="auto"/>
      <w:lang w:val="en-US"/>
    </w:rPr>
  </w:style>
  <w:style w:type="paragraph" w:customStyle="1" w:styleId="texto">
    <w:name w:val="texto"/>
    <w:basedOn w:val="Normal"/>
    <w:uiPriority w:val="99"/>
    <w:rsid w:val="00D26405"/>
    <w:pPr>
      <w:keepLines/>
      <w:widowControl w:val="0"/>
      <w:spacing w:before="240" w:after="0" w:line="240" w:lineRule="auto"/>
      <w:jc w:val="both"/>
    </w:pPr>
    <w:rPr>
      <w:rFonts w:ascii="Arial" w:eastAsia="Times New Roman" w:hAnsi="Arial" w:cs="Times New Roman"/>
      <w:snapToGrid w:val="0"/>
      <w:color w:val="000080"/>
      <w:sz w:val="24"/>
      <w:szCs w:val="20"/>
      <w:lang w:eastAsia="es-ES"/>
    </w:rPr>
  </w:style>
  <w:style w:type="paragraph" w:customStyle="1" w:styleId="Pa9">
    <w:name w:val="Pa9"/>
    <w:basedOn w:val="Default"/>
    <w:next w:val="Default"/>
    <w:uiPriority w:val="99"/>
    <w:rsid w:val="00D26405"/>
    <w:pPr>
      <w:spacing w:line="221" w:lineRule="atLeast"/>
    </w:pPr>
    <w:rPr>
      <w:color w:val="auto"/>
      <w:lang w:val="en-US"/>
    </w:rPr>
  </w:style>
  <w:style w:type="paragraph" w:customStyle="1" w:styleId="Pa29">
    <w:name w:val="Pa29"/>
    <w:basedOn w:val="Default"/>
    <w:next w:val="Default"/>
    <w:uiPriority w:val="99"/>
    <w:rsid w:val="00D26405"/>
    <w:pPr>
      <w:spacing w:line="221" w:lineRule="atLeast"/>
    </w:pPr>
    <w:rPr>
      <w:color w:val="auto"/>
      <w:lang w:val="en-US"/>
    </w:rPr>
  </w:style>
  <w:style w:type="table" w:styleId="Tabladelista1clara-nfasis6">
    <w:name w:val="List Table 1 Light Accent 6"/>
    <w:basedOn w:val="Tablanormal"/>
    <w:uiPriority w:val="46"/>
    <w:rsid w:val="00D009A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E0420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Mencinsinresolver3">
    <w:name w:val="Mención sin resolver3"/>
    <w:basedOn w:val="Fuentedeprrafopredeter"/>
    <w:uiPriority w:val="99"/>
    <w:semiHidden/>
    <w:unhideWhenUsed/>
    <w:rsid w:val="00C21824"/>
    <w:rPr>
      <w:color w:val="605E5C"/>
      <w:shd w:val="clear" w:color="auto" w:fill="E1DFDD"/>
    </w:rPr>
  </w:style>
  <w:style w:type="table" w:customStyle="1" w:styleId="Tablaconcuadrcula1">
    <w:name w:val="Tabla con cuadrícula1"/>
    <w:basedOn w:val="Tablanormal"/>
    <w:next w:val="Tablaconcuadrcula"/>
    <w:uiPriority w:val="59"/>
    <w:rsid w:val="00612E35"/>
    <w:pPr>
      <w:spacing w:after="0" w:line="240" w:lineRule="auto"/>
    </w:pPr>
    <w:rPr>
      <w:rFonts w:eastAsiaTheme="minorEastAsia"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12E35"/>
    <w:pPr>
      <w:spacing w:after="0" w:line="240" w:lineRule="auto"/>
    </w:pPr>
    <w:rPr>
      <w:rFonts w:eastAsiaTheme="minorEastAsia"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2">
    <w:name w:val="Grid Table 4 Accent 2"/>
    <w:basedOn w:val="Tablanormal"/>
    <w:uiPriority w:val="49"/>
    <w:rsid w:val="00DB55E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encinsinresolver4">
    <w:name w:val="Mención sin resolver4"/>
    <w:basedOn w:val="Fuentedeprrafopredeter"/>
    <w:uiPriority w:val="99"/>
    <w:semiHidden/>
    <w:unhideWhenUsed/>
    <w:rsid w:val="00997EFF"/>
    <w:rPr>
      <w:color w:val="605E5C"/>
      <w:shd w:val="clear" w:color="auto" w:fill="E1DFDD"/>
    </w:rPr>
  </w:style>
  <w:style w:type="paragraph" w:customStyle="1" w:styleId="p0">
    <w:name w:val="p0"/>
    <w:basedOn w:val="Normal"/>
    <w:rsid w:val="008B5689"/>
    <w:pPr>
      <w:keepLines/>
      <w:widowControl w:val="0"/>
      <w:spacing w:before="240" w:after="0" w:line="240" w:lineRule="auto"/>
      <w:jc w:val="both"/>
    </w:pPr>
    <w:rPr>
      <w:rFonts w:ascii="Helvetica" w:eastAsia="Times New Roman" w:hAnsi="Helvetica" w:cs="Arial"/>
      <w:snapToGrid w:val="0"/>
      <w:color w:val="0000FF"/>
      <w:sz w:val="24"/>
      <w:szCs w:val="24"/>
      <w:lang w:val="es-ES_tradnl" w:eastAsia="es-ES"/>
    </w:rPr>
  </w:style>
  <w:style w:type="character" w:styleId="Mencinsinresolver">
    <w:name w:val="Unresolved Mention"/>
    <w:basedOn w:val="Fuentedeprrafopredeter"/>
    <w:uiPriority w:val="99"/>
    <w:semiHidden/>
    <w:unhideWhenUsed/>
    <w:rsid w:val="008B5689"/>
    <w:rPr>
      <w:color w:val="605E5C"/>
      <w:shd w:val="clear" w:color="auto" w:fill="E1DFDD"/>
    </w:rPr>
  </w:style>
  <w:style w:type="character" w:styleId="Refdecomentario">
    <w:name w:val="annotation reference"/>
    <w:basedOn w:val="Fuentedeprrafopredeter"/>
    <w:uiPriority w:val="99"/>
    <w:semiHidden/>
    <w:unhideWhenUsed/>
    <w:rsid w:val="00BF3A90"/>
    <w:rPr>
      <w:sz w:val="16"/>
      <w:szCs w:val="16"/>
    </w:rPr>
  </w:style>
  <w:style w:type="paragraph" w:styleId="Textocomentario">
    <w:name w:val="annotation text"/>
    <w:basedOn w:val="Normal"/>
    <w:link w:val="TextocomentarioCar"/>
    <w:uiPriority w:val="99"/>
    <w:unhideWhenUsed/>
    <w:rsid w:val="00BF3A90"/>
    <w:pPr>
      <w:spacing w:line="240" w:lineRule="auto"/>
    </w:pPr>
    <w:rPr>
      <w:sz w:val="20"/>
      <w:szCs w:val="20"/>
    </w:rPr>
  </w:style>
  <w:style w:type="character" w:customStyle="1" w:styleId="TextocomentarioCar">
    <w:name w:val="Texto comentario Car"/>
    <w:basedOn w:val="Fuentedeprrafopredeter"/>
    <w:link w:val="Textocomentario"/>
    <w:uiPriority w:val="99"/>
    <w:rsid w:val="00BF3A90"/>
    <w:rPr>
      <w:sz w:val="20"/>
      <w:szCs w:val="20"/>
    </w:rPr>
  </w:style>
  <w:style w:type="paragraph" w:styleId="Asuntodelcomentario">
    <w:name w:val="annotation subject"/>
    <w:basedOn w:val="Textocomentario"/>
    <w:next w:val="Textocomentario"/>
    <w:link w:val="AsuntodelcomentarioCar"/>
    <w:uiPriority w:val="99"/>
    <w:semiHidden/>
    <w:unhideWhenUsed/>
    <w:rsid w:val="00BF3A90"/>
    <w:rPr>
      <w:b/>
      <w:bCs/>
    </w:rPr>
  </w:style>
  <w:style w:type="character" w:customStyle="1" w:styleId="AsuntodelcomentarioCar">
    <w:name w:val="Asunto del comentario Car"/>
    <w:basedOn w:val="TextocomentarioCar"/>
    <w:link w:val="Asuntodelcomentario"/>
    <w:uiPriority w:val="99"/>
    <w:semiHidden/>
    <w:rsid w:val="00BF3A90"/>
    <w:rPr>
      <w:b/>
      <w:bCs/>
      <w:sz w:val="20"/>
      <w:szCs w:val="20"/>
    </w:rPr>
  </w:style>
  <w:style w:type="paragraph" w:styleId="Revisin">
    <w:name w:val="Revision"/>
    <w:hidden/>
    <w:uiPriority w:val="99"/>
    <w:semiHidden/>
    <w:rsid w:val="005430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1633">
      <w:bodyDiv w:val="1"/>
      <w:marLeft w:val="0"/>
      <w:marRight w:val="0"/>
      <w:marTop w:val="0"/>
      <w:marBottom w:val="0"/>
      <w:divBdr>
        <w:top w:val="none" w:sz="0" w:space="0" w:color="auto"/>
        <w:left w:val="none" w:sz="0" w:space="0" w:color="auto"/>
        <w:bottom w:val="none" w:sz="0" w:space="0" w:color="auto"/>
        <w:right w:val="none" w:sz="0" w:space="0" w:color="auto"/>
      </w:divBdr>
    </w:div>
    <w:div w:id="12153876">
      <w:bodyDiv w:val="1"/>
      <w:marLeft w:val="0"/>
      <w:marRight w:val="0"/>
      <w:marTop w:val="0"/>
      <w:marBottom w:val="0"/>
      <w:divBdr>
        <w:top w:val="none" w:sz="0" w:space="0" w:color="auto"/>
        <w:left w:val="none" w:sz="0" w:space="0" w:color="auto"/>
        <w:bottom w:val="none" w:sz="0" w:space="0" w:color="auto"/>
        <w:right w:val="none" w:sz="0" w:space="0" w:color="auto"/>
      </w:divBdr>
    </w:div>
    <w:div w:id="58603225">
      <w:bodyDiv w:val="1"/>
      <w:marLeft w:val="0"/>
      <w:marRight w:val="0"/>
      <w:marTop w:val="0"/>
      <w:marBottom w:val="0"/>
      <w:divBdr>
        <w:top w:val="none" w:sz="0" w:space="0" w:color="auto"/>
        <w:left w:val="none" w:sz="0" w:space="0" w:color="auto"/>
        <w:bottom w:val="none" w:sz="0" w:space="0" w:color="auto"/>
        <w:right w:val="none" w:sz="0" w:space="0" w:color="auto"/>
      </w:divBdr>
    </w:div>
    <w:div w:id="164323883">
      <w:bodyDiv w:val="1"/>
      <w:marLeft w:val="0"/>
      <w:marRight w:val="0"/>
      <w:marTop w:val="0"/>
      <w:marBottom w:val="0"/>
      <w:divBdr>
        <w:top w:val="none" w:sz="0" w:space="0" w:color="auto"/>
        <w:left w:val="none" w:sz="0" w:space="0" w:color="auto"/>
        <w:bottom w:val="none" w:sz="0" w:space="0" w:color="auto"/>
        <w:right w:val="none" w:sz="0" w:space="0" w:color="auto"/>
      </w:divBdr>
    </w:div>
    <w:div w:id="187762878">
      <w:bodyDiv w:val="1"/>
      <w:marLeft w:val="0"/>
      <w:marRight w:val="0"/>
      <w:marTop w:val="0"/>
      <w:marBottom w:val="0"/>
      <w:divBdr>
        <w:top w:val="none" w:sz="0" w:space="0" w:color="auto"/>
        <w:left w:val="none" w:sz="0" w:space="0" w:color="auto"/>
        <w:bottom w:val="none" w:sz="0" w:space="0" w:color="auto"/>
        <w:right w:val="none" w:sz="0" w:space="0" w:color="auto"/>
      </w:divBdr>
    </w:div>
    <w:div w:id="227344425">
      <w:bodyDiv w:val="1"/>
      <w:marLeft w:val="0"/>
      <w:marRight w:val="0"/>
      <w:marTop w:val="0"/>
      <w:marBottom w:val="0"/>
      <w:divBdr>
        <w:top w:val="none" w:sz="0" w:space="0" w:color="auto"/>
        <w:left w:val="none" w:sz="0" w:space="0" w:color="auto"/>
        <w:bottom w:val="none" w:sz="0" w:space="0" w:color="auto"/>
        <w:right w:val="none" w:sz="0" w:space="0" w:color="auto"/>
      </w:divBdr>
    </w:div>
    <w:div w:id="236979993">
      <w:bodyDiv w:val="1"/>
      <w:marLeft w:val="0"/>
      <w:marRight w:val="0"/>
      <w:marTop w:val="0"/>
      <w:marBottom w:val="0"/>
      <w:divBdr>
        <w:top w:val="none" w:sz="0" w:space="0" w:color="auto"/>
        <w:left w:val="none" w:sz="0" w:space="0" w:color="auto"/>
        <w:bottom w:val="none" w:sz="0" w:space="0" w:color="auto"/>
        <w:right w:val="none" w:sz="0" w:space="0" w:color="auto"/>
      </w:divBdr>
    </w:div>
    <w:div w:id="251357680">
      <w:bodyDiv w:val="1"/>
      <w:marLeft w:val="0"/>
      <w:marRight w:val="0"/>
      <w:marTop w:val="0"/>
      <w:marBottom w:val="0"/>
      <w:divBdr>
        <w:top w:val="none" w:sz="0" w:space="0" w:color="auto"/>
        <w:left w:val="none" w:sz="0" w:space="0" w:color="auto"/>
        <w:bottom w:val="none" w:sz="0" w:space="0" w:color="auto"/>
        <w:right w:val="none" w:sz="0" w:space="0" w:color="auto"/>
      </w:divBdr>
    </w:div>
    <w:div w:id="255793152">
      <w:bodyDiv w:val="1"/>
      <w:marLeft w:val="0"/>
      <w:marRight w:val="0"/>
      <w:marTop w:val="0"/>
      <w:marBottom w:val="0"/>
      <w:divBdr>
        <w:top w:val="none" w:sz="0" w:space="0" w:color="auto"/>
        <w:left w:val="none" w:sz="0" w:space="0" w:color="auto"/>
        <w:bottom w:val="none" w:sz="0" w:space="0" w:color="auto"/>
        <w:right w:val="none" w:sz="0" w:space="0" w:color="auto"/>
      </w:divBdr>
    </w:div>
    <w:div w:id="258568870">
      <w:bodyDiv w:val="1"/>
      <w:marLeft w:val="0"/>
      <w:marRight w:val="0"/>
      <w:marTop w:val="0"/>
      <w:marBottom w:val="0"/>
      <w:divBdr>
        <w:top w:val="none" w:sz="0" w:space="0" w:color="auto"/>
        <w:left w:val="none" w:sz="0" w:space="0" w:color="auto"/>
        <w:bottom w:val="none" w:sz="0" w:space="0" w:color="auto"/>
        <w:right w:val="none" w:sz="0" w:space="0" w:color="auto"/>
      </w:divBdr>
    </w:div>
    <w:div w:id="320279457">
      <w:bodyDiv w:val="1"/>
      <w:marLeft w:val="0"/>
      <w:marRight w:val="0"/>
      <w:marTop w:val="0"/>
      <w:marBottom w:val="0"/>
      <w:divBdr>
        <w:top w:val="none" w:sz="0" w:space="0" w:color="auto"/>
        <w:left w:val="none" w:sz="0" w:space="0" w:color="auto"/>
        <w:bottom w:val="none" w:sz="0" w:space="0" w:color="auto"/>
        <w:right w:val="none" w:sz="0" w:space="0" w:color="auto"/>
      </w:divBdr>
    </w:div>
    <w:div w:id="322662005">
      <w:bodyDiv w:val="1"/>
      <w:marLeft w:val="0"/>
      <w:marRight w:val="0"/>
      <w:marTop w:val="0"/>
      <w:marBottom w:val="0"/>
      <w:divBdr>
        <w:top w:val="none" w:sz="0" w:space="0" w:color="auto"/>
        <w:left w:val="none" w:sz="0" w:space="0" w:color="auto"/>
        <w:bottom w:val="none" w:sz="0" w:space="0" w:color="auto"/>
        <w:right w:val="none" w:sz="0" w:space="0" w:color="auto"/>
      </w:divBdr>
    </w:div>
    <w:div w:id="332877313">
      <w:bodyDiv w:val="1"/>
      <w:marLeft w:val="0"/>
      <w:marRight w:val="0"/>
      <w:marTop w:val="0"/>
      <w:marBottom w:val="0"/>
      <w:divBdr>
        <w:top w:val="none" w:sz="0" w:space="0" w:color="auto"/>
        <w:left w:val="none" w:sz="0" w:space="0" w:color="auto"/>
        <w:bottom w:val="none" w:sz="0" w:space="0" w:color="auto"/>
        <w:right w:val="none" w:sz="0" w:space="0" w:color="auto"/>
      </w:divBdr>
    </w:div>
    <w:div w:id="343556457">
      <w:bodyDiv w:val="1"/>
      <w:marLeft w:val="0"/>
      <w:marRight w:val="0"/>
      <w:marTop w:val="0"/>
      <w:marBottom w:val="0"/>
      <w:divBdr>
        <w:top w:val="none" w:sz="0" w:space="0" w:color="auto"/>
        <w:left w:val="none" w:sz="0" w:space="0" w:color="auto"/>
        <w:bottom w:val="none" w:sz="0" w:space="0" w:color="auto"/>
        <w:right w:val="none" w:sz="0" w:space="0" w:color="auto"/>
      </w:divBdr>
    </w:div>
    <w:div w:id="349184510">
      <w:bodyDiv w:val="1"/>
      <w:marLeft w:val="0"/>
      <w:marRight w:val="0"/>
      <w:marTop w:val="0"/>
      <w:marBottom w:val="0"/>
      <w:divBdr>
        <w:top w:val="none" w:sz="0" w:space="0" w:color="auto"/>
        <w:left w:val="none" w:sz="0" w:space="0" w:color="auto"/>
        <w:bottom w:val="none" w:sz="0" w:space="0" w:color="auto"/>
        <w:right w:val="none" w:sz="0" w:space="0" w:color="auto"/>
      </w:divBdr>
    </w:div>
    <w:div w:id="421486644">
      <w:bodyDiv w:val="1"/>
      <w:marLeft w:val="0"/>
      <w:marRight w:val="0"/>
      <w:marTop w:val="0"/>
      <w:marBottom w:val="0"/>
      <w:divBdr>
        <w:top w:val="none" w:sz="0" w:space="0" w:color="auto"/>
        <w:left w:val="none" w:sz="0" w:space="0" w:color="auto"/>
        <w:bottom w:val="none" w:sz="0" w:space="0" w:color="auto"/>
        <w:right w:val="none" w:sz="0" w:space="0" w:color="auto"/>
      </w:divBdr>
    </w:div>
    <w:div w:id="457841128">
      <w:bodyDiv w:val="1"/>
      <w:marLeft w:val="0"/>
      <w:marRight w:val="0"/>
      <w:marTop w:val="0"/>
      <w:marBottom w:val="0"/>
      <w:divBdr>
        <w:top w:val="none" w:sz="0" w:space="0" w:color="auto"/>
        <w:left w:val="none" w:sz="0" w:space="0" w:color="auto"/>
        <w:bottom w:val="none" w:sz="0" w:space="0" w:color="auto"/>
        <w:right w:val="none" w:sz="0" w:space="0" w:color="auto"/>
      </w:divBdr>
    </w:div>
    <w:div w:id="460923913">
      <w:bodyDiv w:val="1"/>
      <w:marLeft w:val="0"/>
      <w:marRight w:val="0"/>
      <w:marTop w:val="0"/>
      <w:marBottom w:val="0"/>
      <w:divBdr>
        <w:top w:val="none" w:sz="0" w:space="0" w:color="auto"/>
        <w:left w:val="none" w:sz="0" w:space="0" w:color="auto"/>
        <w:bottom w:val="none" w:sz="0" w:space="0" w:color="auto"/>
        <w:right w:val="none" w:sz="0" w:space="0" w:color="auto"/>
      </w:divBdr>
    </w:div>
    <w:div w:id="468547950">
      <w:bodyDiv w:val="1"/>
      <w:marLeft w:val="0"/>
      <w:marRight w:val="0"/>
      <w:marTop w:val="0"/>
      <w:marBottom w:val="0"/>
      <w:divBdr>
        <w:top w:val="none" w:sz="0" w:space="0" w:color="auto"/>
        <w:left w:val="none" w:sz="0" w:space="0" w:color="auto"/>
        <w:bottom w:val="none" w:sz="0" w:space="0" w:color="auto"/>
        <w:right w:val="none" w:sz="0" w:space="0" w:color="auto"/>
      </w:divBdr>
    </w:div>
    <w:div w:id="470683052">
      <w:bodyDiv w:val="1"/>
      <w:marLeft w:val="0"/>
      <w:marRight w:val="0"/>
      <w:marTop w:val="0"/>
      <w:marBottom w:val="0"/>
      <w:divBdr>
        <w:top w:val="none" w:sz="0" w:space="0" w:color="auto"/>
        <w:left w:val="none" w:sz="0" w:space="0" w:color="auto"/>
        <w:bottom w:val="none" w:sz="0" w:space="0" w:color="auto"/>
        <w:right w:val="none" w:sz="0" w:space="0" w:color="auto"/>
      </w:divBdr>
    </w:div>
    <w:div w:id="518274137">
      <w:bodyDiv w:val="1"/>
      <w:marLeft w:val="0"/>
      <w:marRight w:val="0"/>
      <w:marTop w:val="0"/>
      <w:marBottom w:val="0"/>
      <w:divBdr>
        <w:top w:val="none" w:sz="0" w:space="0" w:color="auto"/>
        <w:left w:val="none" w:sz="0" w:space="0" w:color="auto"/>
        <w:bottom w:val="none" w:sz="0" w:space="0" w:color="auto"/>
        <w:right w:val="none" w:sz="0" w:space="0" w:color="auto"/>
      </w:divBdr>
    </w:div>
    <w:div w:id="530147397">
      <w:bodyDiv w:val="1"/>
      <w:marLeft w:val="0"/>
      <w:marRight w:val="0"/>
      <w:marTop w:val="0"/>
      <w:marBottom w:val="0"/>
      <w:divBdr>
        <w:top w:val="none" w:sz="0" w:space="0" w:color="auto"/>
        <w:left w:val="none" w:sz="0" w:space="0" w:color="auto"/>
        <w:bottom w:val="none" w:sz="0" w:space="0" w:color="auto"/>
        <w:right w:val="none" w:sz="0" w:space="0" w:color="auto"/>
      </w:divBdr>
    </w:div>
    <w:div w:id="531458402">
      <w:bodyDiv w:val="1"/>
      <w:marLeft w:val="0"/>
      <w:marRight w:val="0"/>
      <w:marTop w:val="0"/>
      <w:marBottom w:val="0"/>
      <w:divBdr>
        <w:top w:val="none" w:sz="0" w:space="0" w:color="auto"/>
        <w:left w:val="none" w:sz="0" w:space="0" w:color="auto"/>
        <w:bottom w:val="none" w:sz="0" w:space="0" w:color="auto"/>
        <w:right w:val="none" w:sz="0" w:space="0" w:color="auto"/>
      </w:divBdr>
    </w:div>
    <w:div w:id="559099776">
      <w:bodyDiv w:val="1"/>
      <w:marLeft w:val="0"/>
      <w:marRight w:val="0"/>
      <w:marTop w:val="0"/>
      <w:marBottom w:val="0"/>
      <w:divBdr>
        <w:top w:val="none" w:sz="0" w:space="0" w:color="auto"/>
        <w:left w:val="none" w:sz="0" w:space="0" w:color="auto"/>
        <w:bottom w:val="none" w:sz="0" w:space="0" w:color="auto"/>
        <w:right w:val="none" w:sz="0" w:space="0" w:color="auto"/>
      </w:divBdr>
    </w:div>
    <w:div w:id="605163069">
      <w:bodyDiv w:val="1"/>
      <w:marLeft w:val="0"/>
      <w:marRight w:val="0"/>
      <w:marTop w:val="0"/>
      <w:marBottom w:val="0"/>
      <w:divBdr>
        <w:top w:val="none" w:sz="0" w:space="0" w:color="auto"/>
        <w:left w:val="none" w:sz="0" w:space="0" w:color="auto"/>
        <w:bottom w:val="none" w:sz="0" w:space="0" w:color="auto"/>
        <w:right w:val="none" w:sz="0" w:space="0" w:color="auto"/>
      </w:divBdr>
    </w:div>
    <w:div w:id="632902138">
      <w:bodyDiv w:val="1"/>
      <w:marLeft w:val="0"/>
      <w:marRight w:val="0"/>
      <w:marTop w:val="0"/>
      <w:marBottom w:val="0"/>
      <w:divBdr>
        <w:top w:val="none" w:sz="0" w:space="0" w:color="auto"/>
        <w:left w:val="none" w:sz="0" w:space="0" w:color="auto"/>
        <w:bottom w:val="none" w:sz="0" w:space="0" w:color="auto"/>
        <w:right w:val="none" w:sz="0" w:space="0" w:color="auto"/>
      </w:divBdr>
    </w:div>
    <w:div w:id="643778372">
      <w:bodyDiv w:val="1"/>
      <w:marLeft w:val="0"/>
      <w:marRight w:val="0"/>
      <w:marTop w:val="0"/>
      <w:marBottom w:val="0"/>
      <w:divBdr>
        <w:top w:val="none" w:sz="0" w:space="0" w:color="auto"/>
        <w:left w:val="none" w:sz="0" w:space="0" w:color="auto"/>
        <w:bottom w:val="none" w:sz="0" w:space="0" w:color="auto"/>
        <w:right w:val="none" w:sz="0" w:space="0" w:color="auto"/>
      </w:divBdr>
    </w:div>
    <w:div w:id="670832684">
      <w:bodyDiv w:val="1"/>
      <w:marLeft w:val="0"/>
      <w:marRight w:val="0"/>
      <w:marTop w:val="0"/>
      <w:marBottom w:val="0"/>
      <w:divBdr>
        <w:top w:val="none" w:sz="0" w:space="0" w:color="auto"/>
        <w:left w:val="none" w:sz="0" w:space="0" w:color="auto"/>
        <w:bottom w:val="none" w:sz="0" w:space="0" w:color="auto"/>
        <w:right w:val="none" w:sz="0" w:space="0" w:color="auto"/>
      </w:divBdr>
    </w:div>
    <w:div w:id="670837320">
      <w:bodyDiv w:val="1"/>
      <w:marLeft w:val="0"/>
      <w:marRight w:val="0"/>
      <w:marTop w:val="0"/>
      <w:marBottom w:val="0"/>
      <w:divBdr>
        <w:top w:val="none" w:sz="0" w:space="0" w:color="auto"/>
        <w:left w:val="none" w:sz="0" w:space="0" w:color="auto"/>
        <w:bottom w:val="none" w:sz="0" w:space="0" w:color="auto"/>
        <w:right w:val="none" w:sz="0" w:space="0" w:color="auto"/>
      </w:divBdr>
    </w:div>
    <w:div w:id="700788508">
      <w:bodyDiv w:val="1"/>
      <w:marLeft w:val="0"/>
      <w:marRight w:val="0"/>
      <w:marTop w:val="0"/>
      <w:marBottom w:val="0"/>
      <w:divBdr>
        <w:top w:val="none" w:sz="0" w:space="0" w:color="auto"/>
        <w:left w:val="none" w:sz="0" w:space="0" w:color="auto"/>
        <w:bottom w:val="none" w:sz="0" w:space="0" w:color="auto"/>
        <w:right w:val="none" w:sz="0" w:space="0" w:color="auto"/>
      </w:divBdr>
    </w:div>
    <w:div w:id="704913981">
      <w:bodyDiv w:val="1"/>
      <w:marLeft w:val="0"/>
      <w:marRight w:val="0"/>
      <w:marTop w:val="0"/>
      <w:marBottom w:val="0"/>
      <w:divBdr>
        <w:top w:val="none" w:sz="0" w:space="0" w:color="auto"/>
        <w:left w:val="none" w:sz="0" w:space="0" w:color="auto"/>
        <w:bottom w:val="none" w:sz="0" w:space="0" w:color="auto"/>
        <w:right w:val="none" w:sz="0" w:space="0" w:color="auto"/>
      </w:divBdr>
    </w:div>
    <w:div w:id="728771879">
      <w:bodyDiv w:val="1"/>
      <w:marLeft w:val="0"/>
      <w:marRight w:val="0"/>
      <w:marTop w:val="0"/>
      <w:marBottom w:val="0"/>
      <w:divBdr>
        <w:top w:val="none" w:sz="0" w:space="0" w:color="auto"/>
        <w:left w:val="none" w:sz="0" w:space="0" w:color="auto"/>
        <w:bottom w:val="none" w:sz="0" w:space="0" w:color="auto"/>
        <w:right w:val="none" w:sz="0" w:space="0" w:color="auto"/>
      </w:divBdr>
    </w:div>
    <w:div w:id="736712299">
      <w:bodyDiv w:val="1"/>
      <w:marLeft w:val="0"/>
      <w:marRight w:val="0"/>
      <w:marTop w:val="0"/>
      <w:marBottom w:val="0"/>
      <w:divBdr>
        <w:top w:val="none" w:sz="0" w:space="0" w:color="auto"/>
        <w:left w:val="none" w:sz="0" w:space="0" w:color="auto"/>
        <w:bottom w:val="none" w:sz="0" w:space="0" w:color="auto"/>
        <w:right w:val="none" w:sz="0" w:space="0" w:color="auto"/>
      </w:divBdr>
    </w:div>
    <w:div w:id="750657203">
      <w:bodyDiv w:val="1"/>
      <w:marLeft w:val="0"/>
      <w:marRight w:val="0"/>
      <w:marTop w:val="0"/>
      <w:marBottom w:val="0"/>
      <w:divBdr>
        <w:top w:val="none" w:sz="0" w:space="0" w:color="auto"/>
        <w:left w:val="none" w:sz="0" w:space="0" w:color="auto"/>
        <w:bottom w:val="none" w:sz="0" w:space="0" w:color="auto"/>
        <w:right w:val="none" w:sz="0" w:space="0" w:color="auto"/>
      </w:divBdr>
    </w:div>
    <w:div w:id="769667588">
      <w:bodyDiv w:val="1"/>
      <w:marLeft w:val="0"/>
      <w:marRight w:val="0"/>
      <w:marTop w:val="0"/>
      <w:marBottom w:val="0"/>
      <w:divBdr>
        <w:top w:val="none" w:sz="0" w:space="0" w:color="auto"/>
        <w:left w:val="none" w:sz="0" w:space="0" w:color="auto"/>
        <w:bottom w:val="none" w:sz="0" w:space="0" w:color="auto"/>
        <w:right w:val="none" w:sz="0" w:space="0" w:color="auto"/>
      </w:divBdr>
    </w:div>
    <w:div w:id="792673889">
      <w:bodyDiv w:val="1"/>
      <w:marLeft w:val="0"/>
      <w:marRight w:val="0"/>
      <w:marTop w:val="0"/>
      <w:marBottom w:val="0"/>
      <w:divBdr>
        <w:top w:val="none" w:sz="0" w:space="0" w:color="auto"/>
        <w:left w:val="none" w:sz="0" w:space="0" w:color="auto"/>
        <w:bottom w:val="none" w:sz="0" w:space="0" w:color="auto"/>
        <w:right w:val="none" w:sz="0" w:space="0" w:color="auto"/>
      </w:divBdr>
    </w:div>
    <w:div w:id="796292828">
      <w:bodyDiv w:val="1"/>
      <w:marLeft w:val="0"/>
      <w:marRight w:val="0"/>
      <w:marTop w:val="0"/>
      <w:marBottom w:val="0"/>
      <w:divBdr>
        <w:top w:val="none" w:sz="0" w:space="0" w:color="auto"/>
        <w:left w:val="none" w:sz="0" w:space="0" w:color="auto"/>
        <w:bottom w:val="none" w:sz="0" w:space="0" w:color="auto"/>
        <w:right w:val="none" w:sz="0" w:space="0" w:color="auto"/>
      </w:divBdr>
    </w:div>
    <w:div w:id="813446588">
      <w:bodyDiv w:val="1"/>
      <w:marLeft w:val="0"/>
      <w:marRight w:val="0"/>
      <w:marTop w:val="0"/>
      <w:marBottom w:val="0"/>
      <w:divBdr>
        <w:top w:val="none" w:sz="0" w:space="0" w:color="auto"/>
        <w:left w:val="none" w:sz="0" w:space="0" w:color="auto"/>
        <w:bottom w:val="none" w:sz="0" w:space="0" w:color="auto"/>
        <w:right w:val="none" w:sz="0" w:space="0" w:color="auto"/>
      </w:divBdr>
    </w:div>
    <w:div w:id="832909924">
      <w:bodyDiv w:val="1"/>
      <w:marLeft w:val="0"/>
      <w:marRight w:val="0"/>
      <w:marTop w:val="0"/>
      <w:marBottom w:val="0"/>
      <w:divBdr>
        <w:top w:val="none" w:sz="0" w:space="0" w:color="auto"/>
        <w:left w:val="none" w:sz="0" w:space="0" w:color="auto"/>
        <w:bottom w:val="none" w:sz="0" w:space="0" w:color="auto"/>
        <w:right w:val="none" w:sz="0" w:space="0" w:color="auto"/>
      </w:divBdr>
    </w:div>
    <w:div w:id="846596868">
      <w:bodyDiv w:val="1"/>
      <w:marLeft w:val="0"/>
      <w:marRight w:val="0"/>
      <w:marTop w:val="0"/>
      <w:marBottom w:val="0"/>
      <w:divBdr>
        <w:top w:val="none" w:sz="0" w:space="0" w:color="auto"/>
        <w:left w:val="none" w:sz="0" w:space="0" w:color="auto"/>
        <w:bottom w:val="none" w:sz="0" w:space="0" w:color="auto"/>
        <w:right w:val="none" w:sz="0" w:space="0" w:color="auto"/>
      </w:divBdr>
    </w:div>
    <w:div w:id="854272836">
      <w:bodyDiv w:val="1"/>
      <w:marLeft w:val="0"/>
      <w:marRight w:val="0"/>
      <w:marTop w:val="0"/>
      <w:marBottom w:val="0"/>
      <w:divBdr>
        <w:top w:val="none" w:sz="0" w:space="0" w:color="auto"/>
        <w:left w:val="none" w:sz="0" w:space="0" w:color="auto"/>
        <w:bottom w:val="none" w:sz="0" w:space="0" w:color="auto"/>
        <w:right w:val="none" w:sz="0" w:space="0" w:color="auto"/>
      </w:divBdr>
    </w:div>
    <w:div w:id="881481518">
      <w:bodyDiv w:val="1"/>
      <w:marLeft w:val="0"/>
      <w:marRight w:val="0"/>
      <w:marTop w:val="0"/>
      <w:marBottom w:val="0"/>
      <w:divBdr>
        <w:top w:val="none" w:sz="0" w:space="0" w:color="auto"/>
        <w:left w:val="none" w:sz="0" w:space="0" w:color="auto"/>
        <w:bottom w:val="none" w:sz="0" w:space="0" w:color="auto"/>
        <w:right w:val="none" w:sz="0" w:space="0" w:color="auto"/>
      </w:divBdr>
    </w:div>
    <w:div w:id="905997840">
      <w:bodyDiv w:val="1"/>
      <w:marLeft w:val="0"/>
      <w:marRight w:val="0"/>
      <w:marTop w:val="0"/>
      <w:marBottom w:val="0"/>
      <w:divBdr>
        <w:top w:val="none" w:sz="0" w:space="0" w:color="auto"/>
        <w:left w:val="none" w:sz="0" w:space="0" w:color="auto"/>
        <w:bottom w:val="none" w:sz="0" w:space="0" w:color="auto"/>
        <w:right w:val="none" w:sz="0" w:space="0" w:color="auto"/>
      </w:divBdr>
    </w:div>
    <w:div w:id="918442161">
      <w:bodyDiv w:val="1"/>
      <w:marLeft w:val="0"/>
      <w:marRight w:val="0"/>
      <w:marTop w:val="0"/>
      <w:marBottom w:val="0"/>
      <w:divBdr>
        <w:top w:val="none" w:sz="0" w:space="0" w:color="auto"/>
        <w:left w:val="none" w:sz="0" w:space="0" w:color="auto"/>
        <w:bottom w:val="none" w:sz="0" w:space="0" w:color="auto"/>
        <w:right w:val="none" w:sz="0" w:space="0" w:color="auto"/>
      </w:divBdr>
    </w:div>
    <w:div w:id="929309556">
      <w:bodyDiv w:val="1"/>
      <w:marLeft w:val="0"/>
      <w:marRight w:val="0"/>
      <w:marTop w:val="0"/>
      <w:marBottom w:val="0"/>
      <w:divBdr>
        <w:top w:val="none" w:sz="0" w:space="0" w:color="auto"/>
        <w:left w:val="none" w:sz="0" w:space="0" w:color="auto"/>
        <w:bottom w:val="none" w:sz="0" w:space="0" w:color="auto"/>
        <w:right w:val="none" w:sz="0" w:space="0" w:color="auto"/>
      </w:divBdr>
    </w:div>
    <w:div w:id="964114656">
      <w:bodyDiv w:val="1"/>
      <w:marLeft w:val="0"/>
      <w:marRight w:val="0"/>
      <w:marTop w:val="0"/>
      <w:marBottom w:val="0"/>
      <w:divBdr>
        <w:top w:val="none" w:sz="0" w:space="0" w:color="auto"/>
        <w:left w:val="none" w:sz="0" w:space="0" w:color="auto"/>
        <w:bottom w:val="none" w:sz="0" w:space="0" w:color="auto"/>
        <w:right w:val="none" w:sz="0" w:space="0" w:color="auto"/>
      </w:divBdr>
    </w:div>
    <w:div w:id="981039832">
      <w:bodyDiv w:val="1"/>
      <w:marLeft w:val="0"/>
      <w:marRight w:val="0"/>
      <w:marTop w:val="0"/>
      <w:marBottom w:val="0"/>
      <w:divBdr>
        <w:top w:val="none" w:sz="0" w:space="0" w:color="auto"/>
        <w:left w:val="none" w:sz="0" w:space="0" w:color="auto"/>
        <w:bottom w:val="none" w:sz="0" w:space="0" w:color="auto"/>
        <w:right w:val="none" w:sz="0" w:space="0" w:color="auto"/>
      </w:divBdr>
    </w:div>
    <w:div w:id="1001155363">
      <w:bodyDiv w:val="1"/>
      <w:marLeft w:val="0"/>
      <w:marRight w:val="0"/>
      <w:marTop w:val="0"/>
      <w:marBottom w:val="0"/>
      <w:divBdr>
        <w:top w:val="none" w:sz="0" w:space="0" w:color="auto"/>
        <w:left w:val="none" w:sz="0" w:space="0" w:color="auto"/>
        <w:bottom w:val="none" w:sz="0" w:space="0" w:color="auto"/>
        <w:right w:val="none" w:sz="0" w:space="0" w:color="auto"/>
      </w:divBdr>
    </w:div>
    <w:div w:id="1017074456">
      <w:bodyDiv w:val="1"/>
      <w:marLeft w:val="0"/>
      <w:marRight w:val="0"/>
      <w:marTop w:val="0"/>
      <w:marBottom w:val="0"/>
      <w:divBdr>
        <w:top w:val="none" w:sz="0" w:space="0" w:color="auto"/>
        <w:left w:val="none" w:sz="0" w:space="0" w:color="auto"/>
        <w:bottom w:val="none" w:sz="0" w:space="0" w:color="auto"/>
        <w:right w:val="none" w:sz="0" w:space="0" w:color="auto"/>
      </w:divBdr>
    </w:div>
    <w:div w:id="1025907783">
      <w:bodyDiv w:val="1"/>
      <w:marLeft w:val="0"/>
      <w:marRight w:val="0"/>
      <w:marTop w:val="0"/>
      <w:marBottom w:val="0"/>
      <w:divBdr>
        <w:top w:val="none" w:sz="0" w:space="0" w:color="auto"/>
        <w:left w:val="none" w:sz="0" w:space="0" w:color="auto"/>
        <w:bottom w:val="none" w:sz="0" w:space="0" w:color="auto"/>
        <w:right w:val="none" w:sz="0" w:space="0" w:color="auto"/>
      </w:divBdr>
    </w:div>
    <w:div w:id="1036388519">
      <w:bodyDiv w:val="1"/>
      <w:marLeft w:val="0"/>
      <w:marRight w:val="0"/>
      <w:marTop w:val="0"/>
      <w:marBottom w:val="0"/>
      <w:divBdr>
        <w:top w:val="none" w:sz="0" w:space="0" w:color="auto"/>
        <w:left w:val="none" w:sz="0" w:space="0" w:color="auto"/>
        <w:bottom w:val="none" w:sz="0" w:space="0" w:color="auto"/>
        <w:right w:val="none" w:sz="0" w:space="0" w:color="auto"/>
      </w:divBdr>
    </w:div>
    <w:div w:id="1100567421">
      <w:bodyDiv w:val="1"/>
      <w:marLeft w:val="0"/>
      <w:marRight w:val="0"/>
      <w:marTop w:val="0"/>
      <w:marBottom w:val="0"/>
      <w:divBdr>
        <w:top w:val="none" w:sz="0" w:space="0" w:color="auto"/>
        <w:left w:val="none" w:sz="0" w:space="0" w:color="auto"/>
        <w:bottom w:val="none" w:sz="0" w:space="0" w:color="auto"/>
        <w:right w:val="none" w:sz="0" w:space="0" w:color="auto"/>
      </w:divBdr>
    </w:div>
    <w:div w:id="1110778213">
      <w:bodyDiv w:val="1"/>
      <w:marLeft w:val="0"/>
      <w:marRight w:val="0"/>
      <w:marTop w:val="0"/>
      <w:marBottom w:val="0"/>
      <w:divBdr>
        <w:top w:val="none" w:sz="0" w:space="0" w:color="auto"/>
        <w:left w:val="none" w:sz="0" w:space="0" w:color="auto"/>
        <w:bottom w:val="none" w:sz="0" w:space="0" w:color="auto"/>
        <w:right w:val="none" w:sz="0" w:space="0" w:color="auto"/>
      </w:divBdr>
    </w:div>
    <w:div w:id="1140347222">
      <w:bodyDiv w:val="1"/>
      <w:marLeft w:val="0"/>
      <w:marRight w:val="0"/>
      <w:marTop w:val="0"/>
      <w:marBottom w:val="0"/>
      <w:divBdr>
        <w:top w:val="none" w:sz="0" w:space="0" w:color="auto"/>
        <w:left w:val="none" w:sz="0" w:space="0" w:color="auto"/>
        <w:bottom w:val="none" w:sz="0" w:space="0" w:color="auto"/>
        <w:right w:val="none" w:sz="0" w:space="0" w:color="auto"/>
      </w:divBdr>
    </w:div>
    <w:div w:id="1162819536">
      <w:bodyDiv w:val="1"/>
      <w:marLeft w:val="0"/>
      <w:marRight w:val="0"/>
      <w:marTop w:val="0"/>
      <w:marBottom w:val="0"/>
      <w:divBdr>
        <w:top w:val="none" w:sz="0" w:space="0" w:color="auto"/>
        <w:left w:val="none" w:sz="0" w:space="0" w:color="auto"/>
        <w:bottom w:val="none" w:sz="0" w:space="0" w:color="auto"/>
        <w:right w:val="none" w:sz="0" w:space="0" w:color="auto"/>
      </w:divBdr>
    </w:div>
    <w:div w:id="1180703116">
      <w:bodyDiv w:val="1"/>
      <w:marLeft w:val="0"/>
      <w:marRight w:val="0"/>
      <w:marTop w:val="0"/>
      <w:marBottom w:val="0"/>
      <w:divBdr>
        <w:top w:val="none" w:sz="0" w:space="0" w:color="auto"/>
        <w:left w:val="none" w:sz="0" w:space="0" w:color="auto"/>
        <w:bottom w:val="none" w:sz="0" w:space="0" w:color="auto"/>
        <w:right w:val="none" w:sz="0" w:space="0" w:color="auto"/>
      </w:divBdr>
    </w:div>
    <w:div w:id="1182205842">
      <w:bodyDiv w:val="1"/>
      <w:marLeft w:val="0"/>
      <w:marRight w:val="0"/>
      <w:marTop w:val="0"/>
      <w:marBottom w:val="0"/>
      <w:divBdr>
        <w:top w:val="none" w:sz="0" w:space="0" w:color="auto"/>
        <w:left w:val="none" w:sz="0" w:space="0" w:color="auto"/>
        <w:bottom w:val="none" w:sz="0" w:space="0" w:color="auto"/>
        <w:right w:val="none" w:sz="0" w:space="0" w:color="auto"/>
      </w:divBdr>
    </w:div>
    <w:div w:id="1242981271">
      <w:bodyDiv w:val="1"/>
      <w:marLeft w:val="0"/>
      <w:marRight w:val="0"/>
      <w:marTop w:val="0"/>
      <w:marBottom w:val="0"/>
      <w:divBdr>
        <w:top w:val="none" w:sz="0" w:space="0" w:color="auto"/>
        <w:left w:val="none" w:sz="0" w:space="0" w:color="auto"/>
        <w:bottom w:val="none" w:sz="0" w:space="0" w:color="auto"/>
        <w:right w:val="none" w:sz="0" w:space="0" w:color="auto"/>
      </w:divBdr>
    </w:div>
    <w:div w:id="1254975016">
      <w:bodyDiv w:val="1"/>
      <w:marLeft w:val="0"/>
      <w:marRight w:val="0"/>
      <w:marTop w:val="0"/>
      <w:marBottom w:val="0"/>
      <w:divBdr>
        <w:top w:val="none" w:sz="0" w:space="0" w:color="auto"/>
        <w:left w:val="none" w:sz="0" w:space="0" w:color="auto"/>
        <w:bottom w:val="none" w:sz="0" w:space="0" w:color="auto"/>
        <w:right w:val="none" w:sz="0" w:space="0" w:color="auto"/>
      </w:divBdr>
    </w:div>
    <w:div w:id="1264462093">
      <w:bodyDiv w:val="1"/>
      <w:marLeft w:val="0"/>
      <w:marRight w:val="0"/>
      <w:marTop w:val="0"/>
      <w:marBottom w:val="0"/>
      <w:divBdr>
        <w:top w:val="none" w:sz="0" w:space="0" w:color="auto"/>
        <w:left w:val="none" w:sz="0" w:space="0" w:color="auto"/>
        <w:bottom w:val="none" w:sz="0" w:space="0" w:color="auto"/>
        <w:right w:val="none" w:sz="0" w:space="0" w:color="auto"/>
      </w:divBdr>
    </w:div>
    <w:div w:id="1278373669">
      <w:bodyDiv w:val="1"/>
      <w:marLeft w:val="0"/>
      <w:marRight w:val="0"/>
      <w:marTop w:val="0"/>
      <w:marBottom w:val="0"/>
      <w:divBdr>
        <w:top w:val="none" w:sz="0" w:space="0" w:color="auto"/>
        <w:left w:val="none" w:sz="0" w:space="0" w:color="auto"/>
        <w:bottom w:val="none" w:sz="0" w:space="0" w:color="auto"/>
        <w:right w:val="none" w:sz="0" w:space="0" w:color="auto"/>
      </w:divBdr>
    </w:div>
    <w:div w:id="1323780647">
      <w:bodyDiv w:val="1"/>
      <w:marLeft w:val="0"/>
      <w:marRight w:val="0"/>
      <w:marTop w:val="0"/>
      <w:marBottom w:val="0"/>
      <w:divBdr>
        <w:top w:val="none" w:sz="0" w:space="0" w:color="auto"/>
        <w:left w:val="none" w:sz="0" w:space="0" w:color="auto"/>
        <w:bottom w:val="none" w:sz="0" w:space="0" w:color="auto"/>
        <w:right w:val="none" w:sz="0" w:space="0" w:color="auto"/>
      </w:divBdr>
    </w:div>
    <w:div w:id="1399670496">
      <w:bodyDiv w:val="1"/>
      <w:marLeft w:val="0"/>
      <w:marRight w:val="0"/>
      <w:marTop w:val="0"/>
      <w:marBottom w:val="0"/>
      <w:divBdr>
        <w:top w:val="none" w:sz="0" w:space="0" w:color="auto"/>
        <w:left w:val="none" w:sz="0" w:space="0" w:color="auto"/>
        <w:bottom w:val="none" w:sz="0" w:space="0" w:color="auto"/>
        <w:right w:val="none" w:sz="0" w:space="0" w:color="auto"/>
      </w:divBdr>
    </w:div>
    <w:div w:id="1451390095">
      <w:bodyDiv w:val="1"/>
      <w:marLeft w:val="0"/>
      <w:marRight w:val="0"/>
      <w:marTop w:val="0"/>
      <w:marBottom w:val="0"/>
      <w:divBdr>
        <w:top w:val="none" w:sz="0" w:space="0" w:color="auto"/>
        <w:left w:val="none" w:sz="0" w:space="0" w:color="auto"/>
        <w:bottom w:val="none" w:sz="0" w:space="0" w:color="auto"/>
        <w:right w:val="none" w:sz="0" w:space="0" w:color="auto"/>
      </w:divBdr>
    </w:div>
    <w:div w:id="1460955975">
      <w:bodyDiv w:val="1"/>
      <w:marLeft w:val="0"/>
      <w:marRight w:val="0"/>
      <w:marTop w:val="0"/>
      <w:marBottom w:val="0"/>
      <w:divBdr>
        <w:top w:val="none" w:sz="0" w:space="0" w:color="auto"/>
        <w:left w:val="none" w:sz="0" w:space="0" w:color="auto"/>
        <w:bottom w:val="none" w:sz="0" w:space="0" w:color="auto"/>
        <w:right w:val="none" w:sz="0" w:space="0" w:color="auto"/>
      </w:divBdr>
    </w:div>
    <w:div w:id="1466192366">
      <w:bodyDiv w:val="1"/>
      <w:marLeft w:val="0"/>
      <w:marRight w:val="0"/>
      <w:marTop w:val="0"/>
      <w:marBottom w:val="0"/>
      <w:divBdr>
        <w:top w:val="none" w:sz="0" w:space="0" w:color="auto"/>
        <w:left w:val="none" w:sz="0" w:space="0" w:color="auto"/>
        <w:bottom w:val="none" w:sz="0" w:space="0" w:color="auto"/>
        <w:right w:val="none" w:sz="0" w:space="0" w:color="auto"/>
      </w:divBdr>
    </w:div>
    <w:div w:id="1471820207">
      <w:bodyDiv w:val="1"/>
      <w:marLeft w:val="0"/>
      <w:marRight w:val="0"/>
      <w:marTop w:val="0"/>
      <w:marBottom w:val="0"/>
      <w:divBdr>
        <w:top w:val="none" w:sz="0" w:space="0" w:color="auto"/>
        <w:left w:val="none" w:sz="0" w:space="0" w:color="auto"/>
        <w:bottom w:val="none" w:sz="0" w:space="0" w:color="auto"/>
        <w:right w:val="none" w:sz="0" w:space="0" w:color="auto"/>
      </w:divBdr>
    </w:div>
    <w:div w:id="1472284929">
      <w:bodyDiv w:val="1"/>
      <w:marLeft w:val="0"/>
      <w:marRight w:val="0"/>
      <w:marTop w:val="0"/>
      <w:marBottom w:val="0"/>
      <w:divBdr>
        <w:top w:val="none" w:sz="0" w:space="0" w:color="auto"/>
        <w:left w:val="none" w:sz="0" w:space="0" w:color="auto"/>
        <w:bottom w:val="none" w:sz="0" w:space="0" w:color="auto"/>
        <w:right w:val="none" w:sz="0" w:space="0" w:color="auto"/>
      </w:divBdr>
    </w:div>
    <w:div w:id="1480148571">
      <w:bodyDiv w:val="1"/>
      <w:marLeft w:val="0"/>
      <w:marRight w:val="0"/>
      <w:marTop w:val="0"/>
      <w:marBottom w:val="0"/>
      <w:divBdr>
        <w:top w:val="none" w:sz="0" w:space="0" w:color="auto"/>
        <w:left w:val="none" w:sz="0" w:space="0" w:color="auto"/>
        <w:bottom w:val="none" w:sz="0" w:space="0" w:color="auto"/>
        <w:right w:val="none" w:sz="0" w:space="0" w:color="auto"/>
      </w:divBdr>
    </w:div>
    <w:div w:id="1486776985">
      <w:bodyDiv w:val="1"/>
      <w:marLeft w:val="0"/>
      <w:marRight w:val="0"/>
      <w:marTop w:val="0"/>
      <w:marBottom w:val="0"/>
      <w:divBdr>
        <w:top w:val="none" w:sz="0" w:space="0" w:color="auto"/>
        <w:left w:val="none" w:sz="0" w:space="0" w:color="auto"/>
        <w:bottom w:val="none" w:sz="0" w:space="0" w:color="auto"/>
        <w:right w:val="none" w:sz="0" w:space="0" w:color="auto"/>
      </w:divBdr>
    </w:div>
    <w:div w:id="1501310171">
      <w:bodyDiv w:val="1"/>
      <w:marLeft w:val="0"/>
      <w:marRight w:val="0"/>
      <w:marTop w:val="0"/>
      <w:marBottom w:val="0"/>
      <w:divBdr>
        <w:top w:val="none" w:sz="0" w:space="0" w:color="auto"/>
        <w:left w:val="none" w:sz="0" w:space="0" w:color="auto"/>
        <w:bottom w:val="none" w:sz="0" w:space="0" w:color="auto"/>
        <w:right w:val="none" w:sz="0" w:space="0" w:color="auto"/>
      </w:divBdr>
    </w:div>
    <w:div w:id="1550535976">
      <w:bodyDiv w:val="1"/>
      <w:marLeft w:val="0"/>
      <w:marRight w:val="0"/>
      <w:marTop w:val="0"/>
      <w:marBottom w:val="0"/>
      <w:divBdr>
        <w:top w:val="none" w:sz="0" w:space="0" w:color="auto"/>
        <w:left w:val="none" w:sz="0" w:space="0" w:color="auto"/>
        <w:bottom w:val="none" w:sz="0" w:space="0" w:color="auto"/>
        <w:right w:val="none" w:sz="0" w:space="0" w:color="auto"/>
      </w:divBdr>
    </w:div>
    <w:div w:id="1562247326">
      <w:bodyDiv w:val="1"/>
      <w:marLeft w:val="0"/>
      <w:marRight w:val="0"/>
      <w:marTop w:val="0"/>
      <w:marBottom w:val="0"/>
      <w:divBdr>
        <w:top w:val="none" w:sz="0" w:space="0" w:color="auto"/>
        <w:left w:val="none" w:sz="0" w:space="0" w:color="auto"/>
        <w:bottom w:val="none" w:sz="0" w:space="0" w:color="auto"/>
        <w:right w:val="none" w:sz="0" w:space="0" w:color="auto"/>
      </w:divBdr>
    </w:div>
    <w:div w:id="1562598669">
      <w:bodyDiv w:val="1"/>
      <w:marLeft w:val="0"/>
      <w:marRight w:val="0"/>
      <w:marTop w:val="0"/>
      <w:marBottom w:val="0"/>
      <w:divBdr>
        <w:top w:val="none" w:sz="0" w:space="0" w:color="auto"/>
        <w:left w:val="none" w:sz="0" w:space="0" w:color="auto"/>
        <w:bottom w:val="none" w:sz="0" w:space="0" w:color="auto"/>
        <w:right w:val="none" w:sz="0" w:space="0" w:color="auto"/>
      </w:divBdr>
    </w:div>
    <w:div w:id="1578441928">
      <w:bodyDiv w:val="1"/>
      <w:marLeft w:val="0"/>
      <w:marRight w:val="0"/>
      <w:marTop w:val="0"/>
      <w:marBottom w:val="0"/>
      <w:divBdr>
        <w:top w:val="none" w:sz="0" w:space="0" w:color="auto"/>
        <w:left w:val="none" w:sz="0" w:space="0" w:color="auto"/>
        <w:bottom w:val="none" w:sz="0" w:space="0" w:color="auto"/>
        <w:right w:val="none" w:sz="0" w:space="0" w:color="auto"/>
      </w:divBdr>
    </w:div>
    <w:div w:id="1591962987">
      <w:bodyDiv w:val="1"/>
      <w:marLeft w:val="0"/>
      <w:marRight w:val="0"/>
      <w:marTop w:val="0"/>
      <w:marBottom w:val="0"/>
      <w:divBdr>
        <w:top w:val="none" w:sz="0" w:space="0" w:color="auto"/>
        <w:left w:val="none" w:sz="0" w:space="0" w:color="auto"/>
        <w:bottom w:val="none" w:sz="0" w:space="0" w:color="auto"/>
        <w:right w:val="none" w:sz="0" w:space="0" w:color="auto"/>
      </w:divBdr>
    </w:div>
    <w:div w:id="1609004451">
      <w:bodyDiv w:val="1"/>
      <w:marLeft w:val="0"/>
      <w:marRight w:val="0"/>
      <w:marTop w:val="0"/>
      <w:marBottom w:val="0"/>
      <w:divBdr>
        <w:top w:val="none" w:sz="0" w:space="0" w:color="auto"/>
        <w:left w:val="none" w:sz="0" w:space="0" w:color="auto"/>
        <w:bottom w:val="none" w:sz="0" w:space="0" w:color="auto"/>
        <w:right w:val="none" w:sz="0" w:space="0" w:color="auto"/>
      </w:divBdr>
    </w:div>
    <w:div w:id="1654287791">
      <w:bodyDiv w:val="1"/>
      <w:marLeft w:val="0"/>
      <w:marRight w:val="0"/>
      <w:marTop w:val="0"/>
      <w:marBottom w:val="0"/>
      <w:divBdr>
        <w:top w:val="none" w:sz="0" w:space="0" w:color="auto"/>
        <w:left w:val="none" w:sz="0" w:space="0" w:color="auto"/>
        <w:bottom w:val="none" w:sz="0" w:space="0" w:color="auto"/>
        <w:right w:val="none" w:sz="0" w:space="0" w:color="auto"/>
      </w:divBdr>
    </w:div>
    <w:div w:id="1657956785">
      <w:bodyDiv w:val="1"/>
      <w:marLeft w:val="0"/>
      <w:marRight w:val="0"/>
      <w:marTop w:val="0"/>
      <w:marBottom w:val="0"/>
      <w:divBdr>
        <w:top w:val="none" w:sz="0" w:space="0" w:color="auto"/>
        <w:left w:val="none" w:sz="0" w:space="0" w:color="auto"/>
        <w:bottom w:val="none" w:sz="0" w:space="0" w:color="auto"/>
        <w:right w:val="none" w:sz="0" w:space="0" w:color="auto"/>
      </w:divBdr>
    </w:div>
    <w:div w:id="1676417300">
      <w:bodyDiv w:val="1"/>
      <w:marLeft w:val="0"/>
      <w:marRight w:val="0"/>
      <w:marTop w:val="0"/>
      <w:marBottom w:val="0"/>
      <w:divBdr>
        <w:top w:val="none" w:sz="0" w:space="0" w:color="auto"/>
        <w:left w:val="none" w:sz="0" w:space="0" w:color="auto"/>
        <w:bottom w:val="none" w:sz="0" w:space="0" w:color="auto"/>
        <w:right w:val="none" w:sz="0" w:space="0" w:color="auto"/>
      </w:divBdr>
      <w:divsChild>
        <w:div w:id="426195719">
          <w:marLeft w:val="0"/>
          <w:marRight w:val="0"/>
          <w:marTop w:val="0"/>
          <w:marBottom w:val="0"/>
          <w:divBdr>
            <w:top w:val="none" w:sz="0" w:space="0" w:color="auto"/>
            <w:left w:val="none" w:sz="0" w:space="0" w:color="auto"/>
            <w:bottom w:val="none" w:sz="0" w:space="0" w:color="auto"/>
            <w:right w:val="none" w:sz="0" w:space="0" w:color="auto"/>
          </w:divBdr>
          <w:divsChild>
            <w:div w:id="785393597">
              <w:marLeft w:val="0"/>
              <w:marRight w:val="0"/>
              <w:marTop w:val="0"/>
              <w:marBottom w:val="0"/>
              <w:divBdr>
                <w:top w:val="none" w:sz="0" w:space="0" w:color="auto"/>
                <w:left w:val="none" w:sz="0" w:space="0" w:color="auto"/>
                <w:bottom w:val="none" w:sz="0" w:space="0" w:color="auto"/>
                <w:right w:val="none" w:sz="0" w:space="0" w:color="auto"/>
              </w:divBdr>
              <w:divsChild>
                <w:div w:id="2133133320">
                  <w:marLeft w:val="0"/>
                  <w:marRight w:val="0"/>
                  <w:marTop w:val="0"/>
                  <w:marBottom w:val="0"/>
                  <w:divBdr>
                    <w:top w:val="none" w:sz="0" w:space="0" w:color="auto"/>
                    <w:left w:val="none" w:sz="0" w:space="0" w:color="auto"/>
                    <w:bottom w:val="none" w:sz="0" w:space="0" w:color="auto"/>
                    <w:right w:val="none" w:sz="0" w:space="0" w:color="auto"/>
                  </w:divBdr>
                  <w:divsChild>
                    <w:div w:id="1479883316">
                      <w:marLeft w:val="0"/>
                      <w:marRight w:val="0"/>
                      <w:marTop w:val="0"/>
                      <w:marBottom w:val="0"/>
                      <w:divBdr>
                        <w:top w:val="none" w:sz="0" w:space="0" w:color="auto"/>
                        <w:left w:val="none" w:sz="0" w:space="0" w:color="auto"/>
                        <w:bottom w:val="none" w:sz="0" w:space="0" w:color="auto"/>
                        <w:right w:val="none" w:sz="0" w:space="0" w:color="auto"/>
                      </w:divBdr>
                      <w:divsChild>
                        <w:div w:id="769853880">
                          <w:marLeft w:val="0"/>
                          <w:marRight w:val="0"/>
                          <w:marTop w:val="0"/>
                          <w:marBottom w:val="0"/>
                          <w:divBdr>
                            <w:top w:val="none" w:sz="0" w:space="0" w:color="auto"/>
                            <w:left w:val="none" w:sz="0" w:space="0" w:color="auto"/>
                            <w:bottom w:val="none" w:sz="0" w:space="0" w:color="auto"/>
                            <w:right w:val="none" w:sz="0" w:space="0" w:color="auto"/>
                          </w:divBdr>
                          <w:divsChild>
                            <w:div w:id="57561665">
                              <w:marLeft w:val="0"/>
                              <w:marRight w:val="0"/>
                              <w:marTop w:val="0"/>
                              <w:marBottom w:val="0"/>
                              <w:divBdr>
                                <w:top w:val="none" w:sz="0" w:space="0" w:color="auto"/>
                                <w:left w:val="none" w:sz="0" w:space="0" w:color="auto"/>
                                <w:bottom w:val="none" w:sz="0" w:space="0" w:color="auto"/>
                                <w:right w:val="none" w:sz="0" w:space="0" w:color="auto"/>
                              </w:divBdr>
                              <w:divsChild>
                                <w:div w:id="233005683">
                                  <w:marLeft w:val="0"/>
                                  <w:marRight w:val="0"/>
                                  <w:marTop w:val="0"/>
                                  <w:marBottom w:val="0"/>
                                  <w:divBdr>
                                    <w:top w:val="none" w:sz="0" w:space="0" w:color="auto"/>
                                    <w:left w:val="none" w:sz="0" w:space="0" w:color="auto"/>
                                    <w:bottom w:val="none" w:sz="0" w:space="0" w:color="auto"/>
                                    <w:right w:val="none" w:sz="0" w:space="0" w:color="auto"/>
                                  </w:divBdr>
                                  <w:divsChild>
                                    <w:div w:id="1826630476">
                                      <w:marLeft w:val="0"/>
                                      <w:marRight w:val="0"/>
                                      <w:marTop w:val="0"/>
                                      <w:marBottom w:val="0"/>
                                      <w:divBdr>
                                        <w:top w:val="none" w:sz="0" w:space="0" w:color="auto"/>
                                        <w:left w:val="none" w:sz="0" w:space="0" w:color="auto"/>
                                        <w:bottom w:val="none" w:sz="0" w:space="0" w:color="auto"/>
                                        <w:right w:val="none" w:sz="0" w:space="0" w:color="auto"/>
                                      </w:divBdr>
                                      <w:divsChild>
                                        <w:div w:id="9810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871388">
          <w:marLeft w:val="0"/>
          <w:marRight w:val="0"/>
          <w:marTop w:val="0"/>
          <w:marBottom w:val="0"/>
          <w:divBdr>
            <w:top w:val="none" w:sz="0" w:space="0" w:color="auto"/>
            <w:left w:val="none" w:sz="0" w:space="0" w:color="auto"/>
            <w:bottom w:val="none" w:sz="0" w:space="0" w:color="auto"/>
            <w:right w:val="none" w:sz="0" w:space="0" w:color="auto"/>
          </w:divBdr>
          <w:divsChild>
            <w:div w:id="1349866036">
              <w:marLeft w:val="0"/>
              <w:marRight w:val="0"/>
              <w:marTop w:val="0"/>
              <w:marBottom w:val="0"/>
              <w:divBdr>
                <w:top w:val="none" w:sz="0" w:space="0" w:color="auto"/>
                <w:left w:val="none" w:sz="0" w:space="0" w:color="auto"/>
                <w:bottom w:val="none" w:sz="0" w:space="0" w:color="auto"/>
                <w:right w:val="none" w:sz="0" w:space="0" w:color="auto"/>
              </w:divBdr>
              <w:divsChild>
                <w:div w:id="457451868">
                  <w:marLeft w:val="-15"/>
                  <w:marRight w:val="-15"/>
                  <w:marTop w:val="0"/>
                  <w:marBottom w:val="0"/>
                  <w:divBdr>
                    <w:top w:val="none" w:sz="0" w:space="0" w:color="auto"/>
                    <w:left w:val="none" w:sz="0" w:space="0" w:color="auto"/>
                    <w:bottom w:val="none" w:sz="0" w:space="0" w:color="auto"/>
                    <w:right w:val="none" w:sz="0" w:space="0" w:color="auto"/>
                  </w:divBdr>
                </w:div>
                <w:div w:id="1654606348">
                  <w:marLeft w:val="0"/>
                  <w:marRight w:val="0"/>
                  <w:marTop w:val="0"/>
                  <w:marBottom w:val="0"/>
                  <w:divBdr>
                    <w:top w:val="none" w:sz="0" w:space="0" w:color="auto"/>
                    <w:left w:val="none" w:sz="0" w:space="0" w:color="auto"/>
                    <w:bottom w:val="none" w:sz="0" w:space="0" w:color="auto"/>
                    <w:right w:val="none" w:sz="0" w:space="0" w:color="auto"/>
                  </w:divBdr>
                  <w:divsChild>
                    <w:div w:id="683359455">
                      <w:marLeft w:val="0"/>
                      <w:marRight w:val="0"/>
                      <w:marTop w:val="0"/>
                      <w:marBottom w:val="0"/>
                      <w:divBdr>
                        <w:top w:val="single" w:sz="24" w:space="0" w:color="0F0F0F"/>
                        <w:left w:val="single" w:sz="24" w:space="0" w:color="0F0F0F"/>
                        <w:bottom w:val="single" w:sz="24" w:space="0" w:color="0F0F0F"/>
                        <w:right w:val="single" w:sz="24" w:space="0" w:color="0F0F0F"/>
                      </w:divBdr>
                      <w:divsChild>
                        <w:div w:id="3322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048298">
      <w:bodyDiv w:val="1"/>
      <w:marLeft w:val="0"/>
      <w:marRight w:val="0"/>
      <w:marTop w:val="0"/>
      <w:marBottom w:val="0"/>
      <w:divBdr>
        <w:top w:val="none" w:sz="0" w:space="0" w:color="auto"/>
        <w:left w:val="none" w:sz="0" w:space="0" w:color="auto"/>
        <w:bottom w:val="none" w:sz="0" w:space="0" w:color="auto"/>
        <w:right w:val="none" w:sz="0" w:space="0" w:color="auto"/>
      </w:divBdr>
    </w:div>
    <w:div w:id="1699353735">
      <w:bodyDiv w:val="1"/>
      <w:marLeft w:val="0"/>
      <w:marRight w:val="0"/>
      <w:marTop w:val="0"/>
      <w:marBottom w:val="0"/>
      <w:divBdr>
        <w:top w:val="none" w:sz="0" w:space="0" w:color="auto"/>
        <w:left w:val="none" w:sz="0" w:space="0" w:color="auto"/>
        <w:bottom w:val="none" w:sz="0" w:space="0" w:color="auto"/>
        <w:right w:val="none" w:sz="0" w:space="0" w:color="auto"/>
      </w:divBdr>
    </w:div>
    <w:div w:id="1707025784">
      <w:bodyDiv w:val="1"/>
      <w:marLeft w:val="0"/>
      <w:marRight w:val="0"/>
      <w:marTop w:val="0"/>
      <w:marBottom w:val="0"/>
      <w:divBdr>
        <w:top w:val="none" w:sz="0" w:space="0" w:color="auto"/>
        <w:left w:val="none" w:sz="0" w:space="0" w:color="auto"/>
        <w:bottom w:val="none" w:sz="0" w:space="0" w:color="auto"/>
        <w:right w:val="none" w:sz="0" w:space="0" w:color="auto"/>
      </w:divBdr>
    </w:div>
    <w:div w:id="1720058074">
      <w:bodyDiv w:val="1"/>
      <w:marLeft w:val="0"/>
      <w:marRight w:val="0"/>
      <w:marTop w:val="0"/>
      <w:marBottom w:val="0"/>
      <w:divBdr>
        <w:top w:val="none" w:sz="0" w:space="0" w:color="auto"/>
        <w:left w:val="none" w:sz="0" w:space="0" w:color="auto"/>
        <w:bottom w:val="none" w:sz="0" w:space="0" w:color="auto"/>
        <w:right w:val="none" w:sz="0" w:space="0" w:color="auto"/>
      </w:divBdr>
    </w:div>
    <w:div w:id="1804886878">
      <w:bodyDiv w:val="1"/>
      <w:marLeft w:val="0"/>
      <w:marRight w:val="0"/>
      <w:marTop w:val="0"/>
      <w:marBottom w:val="0"/>
      <w:divBdr>
        <w:top w:val="none" w:sz="0" w:space="0" w:color="auto"/>
        <w:left w:val="none" w:sz="0" w:space="0" w:color="auto"/>
        <w:bottom w:val="none" w:sz="0" w:space="0" w:color="auto"/>
        <w:right w:val="none" w:sz="0" w:space="0" w:color="auto"/>
      </w:divBdr>
    </w:div>
    <w:div w:id="1806967728">
      <w:bodyDiv w:val="1"/>
      <w:marLeft w:val="0"/>
      <w:marRight w:val="0"/>
      <w:marTop w:val="0"/>
      <w:marBottom w:val="0"/>
      <w:divBdr>
        <w:top w:val="none" w:sz="0" w:space="0" w:color="auto"/>
        <w:left w:val="none" w:sz="0" w:space="0" w:color="auto"/>
        <w:bottom w:val="none" w:sz="0" w:space="0" w:color="auto"/>
        <w:right w:val="none" w:sz="0" w:space="0" w:color="auto"/>
      </w:divBdr>
    </w:div>
    <w:div w:id="1812402132">
      <w:bodyDiv w:val="1"/>
      <w:marLeft w:val="0"/>
      <w:marRight w:val="0"/>
      <w:marTop w:val="0"/>
      <w:marBottom w:val="0"/>
      <w:divBdr>
        <w:top w:val="none" w:sz="0" w:space="0" w:color="auto"/>
        <w:left w:val="none" w:sz="0" w:space="0" w:color="auto"/>
        <w:bottom w:val="none" w:sz="0" w:space="0" w:color="auto"/>
        <w:right w:val="none" w:sz="0" w:space="0" w:color="auto"/>
      </w:divBdr>
    </w:div>
    <w:div w:id="1835146021">
      <w:bodyDiv w:val="1"/>
      <w:marLeft w:val="0"/>
      <w:marRight w:val="0"/>
      <w:marTop w:val="0"/>
      <w:marBottom w:val="0"/>
      <w:divBdr>
        <w:top w:val="none" w:sz="0" w:space="0" w:color="auto"/>
        <w:left w:val="none" w:sz="0" w:space="0" w:color="auto"/>
        <w:bottom w:val="none" w:sz="0" w:space="0" w:color="auto"/>
        <w:right w:val="none" w:sz="0" w:space="0" w:color="auto"/>
      </w:divBdr>
    </w:div>
    <w:div w:id="1838110971">
      <w:bodyDiv w:val="1"/>
      <w:marLeft w:val="0"/>
      <w:marRight w:val="0"/>
      <w:marTop w:val="0"/>
      <w:marBottom w:val="0"/>
      <w:divBdr>
        <w:top w:val="none" w:sz="0" w:space="0" w:color="auto"/>
        <w:left w:val="none" w:sz="0" w:space="0" w:color="auto"/>
        <w:bottom w:val="none" w:sz="0" w:space="0" w:color="auto"/>
        <w:right w:val="none" w:sz="0" w:space="0" w:color="auto"/>
      </w:divBdr>
    </w:div>
    <w:div w:id="1866215827">
      <w:bodyDiv w:val="1"/>
      <w:marLeft w:val="0"/>
      <w:marRight w:val="0"/>
      <w:marTop w:val="0"/>
      <w:marBottom w:val="0"/>
      <w:divBdr>
        <w:top w:val="none" w:sz="0" w:space="0" w:color="auto"/>
        <w:left w:val="none" w:sz="0" w:space="0" w:color="auto"/>
        <w:bottom w:val="none" w:sz="0" w:space="0" w:color="auto"/>
        <w:right w:val="none" w:sz="0" w:space="0" w:color="auto"/>
      </w:divBdr>
    </w:div>
    <w:div w:id="1874338857">
      <w:bodyDiv w:val="1"/>
      <w:marLeft w:val="0"/>
      <w:marRight w:val="0"/>
      <w:marTop w:val="0"/>
      <w:marBottom w:val="0"/>
      <w:divBdr>
        <w:top w:val="none" w:sz="0" w:space="0" w:color="auto"/>
        <w:left w:val="none" w:sz="0" w:space="0" w:color="auto"/>
        <w:bottom w:val="none" w:sz="0" w:space="0" w:color="auto"/>
        <w:right w:val="none" w:sz="0" w:space="0" w:color="auto"/>
      </w:divBdr>
    </w:div>
    <w:div w:id="1883131748">
      <w:bodyDiv w:val="1"/>
      <w:marLeft w:val="0"/>
      <w:marRight w:val="0"/>
      <w:marTop w:val="0"/>
      <w:marBottom w:val="0"/>
      <w:divBdr>
        <w:top w:val="none" w:sz="0" w:space="0" w:color="auto"/>
        <w:left w:val="none" w:sz="0" w:space="0" w:color="auto"/>
        <w:bottom w:val="none" w:sz="0" w:space="0" w:color="auto"/>
        <w:right w:val="none" w:sz="0" w:space="0" w:color="auto"/>
      </w:divBdr>
    </w:div>
    <w:div w:id="1938177084">
      <w:bodyDiv w:val="1"/>
      <w:marLeft w:val="0"/>
      <w:marRight w:val="0"/>
      <w:marTop w:val="0"/>
      <w:marBottom w:val="0"/>
      <w:divBdr>
        <w:top w:val="none" w:sz="0" w:space="0" w:color="auto"/>
        <w:left w:val="none" w:sz="0" w:space="0" w:color="auto"/>
        <w:bottom w:val="none" w:sz="0" w:space="0" w:color="auto"/>
        <w:right w:val="none" w:sz="0" w:space="0" w:color="auto"/>
      </w:divBdr>
    </w:div>
    <w:div w:id="1948153064">
      <w:bodyDiv w:val="1"/>
      <w:marLeft w:val="0"/>
      <w:marRight w:val="0"/>
      <w:marTop w:val="0"/>
      <w:marBottom w:val="0"/>
      <w:divBdr>
        <w:top w:val="none" w:sz="0" w:space="0" w:color="auto"/>
        <w:left w:val="none" w:sz="0" w:space="0" w:color="auto"/>
        <w:bottom w:val="none" w:sz="0" w:space="0" w:color="auto"/>
        <w:right w:val="none" w:sz="0" w:space="0" w:color="auto"/>
      </w:divBdr>
    </w:div>
    <w:div w:id="1982493035">
      <w:bodyDiv w:val="1"/>
      <w:marLeft w:val="0"/>
      <w:marRight w:val="0"/>
      <w:marTop w:val="0"/>
      <w:marBottom w:val="0"/>
      <w:divBdr>
        <w:top w:val="none" w:sz="0" w:space="0" w:color="auto"/>
        <w:left w:val="none" w:sz="0" w:space="0" w:color="auto"/>
        <w:bottom w:val="none" w:sz="0" w:space="0" w:color="auto"/>
        <w:right w:val="none" w:sz="0" w:space="0" w:color="auto"/>
      </w:divBdr>
    </w:div>
    <w:div w:id="1996764057">
      <w:bodyDiv w:val="1"/>
      <w:marLeft w:val="0"/>
      <w:marRight w:val="0"/>
      <w:marTop w:val="0"/>
      <w:marBottom w:val="0"/>
      <w:divBdr>
        <w:top w:val="none" w:sz="0" w:space="0" w:color="auto"/>
        <w:left w:val="none" w:sz="0" w:space="0" w:color="auto"/>
        <w:bottom w:val="none" w:sz="0" w:space="0" w:color="auto"/>
        <w:right w:val="none" w:sz="0" w:space="0" w:color="auto"/>
      </w:divBdr>
    </w:div>
    <w:div w:id="1998460736">
      <w:bodyDiv w:val="1"/>
      <w:marLeft w:val="0"/>
      <w:marRight w:val="0"/>
      <w:marTop w:val="0"/>
      <w:marBottom w:val="0"/>
      <w:divBdr>
        <w:top w:val="none" w:sz="0" w:space="0" w:color="auto"/>
        <w:left w:val="none" w:sz="0" w:space="0" w:color="auto"/>
        <w:bottom w:val="none" w:sz="0" w:space="0" w:color="auto"/>
        <w:right w:val="none" w:sz="0" w:space="0" w:color="auto"/>
      </w:divBdr>
    </w:div>
    <w:div w:id="1998876084">
      <w:bodyDiv w:val="1"/>
      <w:marLeft w:val="0"/>
      <w:marRight w:val="0"/>
      <w:marTop w:val="0"/>
      <w:marBottom w:val="0"/>
      <w:divBdr>
        <w:top w:val="none" w:sz="0" w:space="0" w:color="auto"/>
        <w:left w:val="none" w:sz="0" w:space="0" w:color="auto"/>
        <w:bottom w:val="none" w:sz="0" w:space="0" w:color="auto"/>
        <w:right w:val="none" w:sz="0" w:space="0" w:color="auto"/>
      </w:divBdr>
    </w:div>
    <w:div w:id="2004355881">
      <w:bodyDiv w:val="1"/>
      <w:marLeft w:val="0"/>
      <w:marRight w:val="0"/>
      <w:marTop w:val="0"/>
      <w:marBottom w:val="0"/>
      <w:divBdr>
        <w:top w:val="none" w:sz="0" w:space="0" w:color="auto"/>
        <w:left w:val="none" w:sz="0" w:space="0" w:color="auto"/>
        <w:bottom w:val="none" w:sz="0" w:space="0" w:color="auto"/>
        <w:right w:val="none" w:sz="0" w:space="0" w:color="auto"/>
      </w:divBdr>
    </w:div>
    <w:div w:id="2007585600">
      <w:bodyDiv w:val="1"/>
      <w:marLeft w:val="0"/>
      <w:marRight w:val="0"/>
      <w:marTop w:val="0"/>
      <w:marBottom w:val="0"/>
      <w:divBdr>
        <w:top w:val="none" w:sz="0" w:space="0" w:color="auto"/>
        <w:left w:val="none" w:sz="0" w:space="0" w:color="auto"/>
        <w:bottom w:val="none" w:sz="0" w:space="0" w:color="auto"/>
        <w:right w:val="none" w:sz="0" w:space="0" w:color="auto"/>
      </w:divBdr>
    </w:div>
    <w:div w:id="2025280436">
      <w:bodyDiv w:val="1"/>
      <w:marLeft w:val="0"/>
      <w:marRight w:val="0"/>
      <w:marTop w:val="0"/>
      <w:marBottom w:val="0"/>
      <w:divBdr>
        <w:top w:val="none" w:sz="0" w:space="0" w:color="auto"/>
        <w:left w:val="none" w:sz="0" w:space="0" w:color="auto"/>
        <w:bottom w:val="none" w:sz="0" w:space="0" w:color="auto"/>
        <w:right w:val="none" w:sz="0" w:space="0" w:color="auto"/>
      </w:divBdr>
    </w:div>
    <w:div w:id="2040162770">
      <w:bodyDiv w:val="1"/>
      <w:marLeft w:val="0"/>
      <w:marRight w:val="0"/>
      <w:marTop w:val="0"/>
      <w:marBottom w:val="0"/>
      <w:divBdr>
        <w:top w:val="none" w:sz="0" w:space="0" w:color="auto"/>
        <w:left w:val="none" w:sz="0" w:space="0" w:color="auto"/>
        <w:bottom w:val="none" w:sz="0" w:space="0" w:color="auto"/>
        <w:right w:val="none" w:sz="0" w:space="0" w:color="auto"/>
      </w:divBdr>
    </w:div>
    <w:div w:id="2054959043">
      <w:bodyDiv w:val="1"/>
      <w:marLeft w:val="0"/>
      <w:marRight w:val="0"/>
      <w:marTop w:val="0"/>
      <w:marBottom w:val="0"/>
      <w:divBdr>
        <w:top w:val="none" w:sz="0" w:space="0" w:color="auto"/>
        <w:left w:val="none" w:sz="0" w:space="0" w:color="auto"/>
        <w:bottom w:val="none" w:sz="0" w:space="0" w:color="auto"/>
        <w:right w:val="none" w:sz="0" w:space="0" w:color="auto"/>
      </w:divBdr>
    </w:div>
    <w:div w:id="2083067363">
      <w:bodyDiv w:val="1"/>
      <w:marLeft w:val="0"/>
      <w:marRight w:val="0"/>
      <w:marTop w:val="0"/>
      <w:marBottom w:val="0"/>
      <w:divBdr>
        <w:top w:val="none" w:sz="0" w:space="0" w:color="auto"/>
        <w:left w:val="none" w:sz="0" w:space="0" w:color="auto"/>
        <w:bottom w:val="none" w:sz="0" w:space="0" w:color="auto"/>
        <w:right w:val="none" w:sz="0" w:space="0" w:color="auto"/>
      </w:divBdr>
    </w:div>
    <w:div w:id="2087876362">
      <w:bodyDiv w:val="1"/>
      <w:marLeft w:val="0"/>
      <w:marRight w:val="0"/>
      <w:marTop w:val="0"/>
      <w:marBottom w:val="0"/>
      <w:divBdr>
        <w:top w:val="none" w:sz="0" w:space="0" w:color="auto"/>
        <w:left w:val="none" w:sz="0" w:space="0" w:color="auto"/>
        <w:bottom w:val="none" w:sz="0" w:space="0" w:color="auto"/>
        <w:right w:val="none" w:sz="0" w:space="0" w:color="auto"/>
      </w:divBdr>
    </w:div>
    <w:div w:id="2121602342">
      <w:bodyDiv w:val="1"/>
      <w:marLeft w:val="0"/>
      <w:marRight w:val="0"/>
      <w:marTop w:val="0"/>
      <w:marBottom w:val="0"/>
      <w:divBdr>
        <w:top w:val="none" w:sz="0" w:space="0" w:color="auto"/>
        <w:left w:val="none" w:sz="0" w:space="0" w:color="auto"/>
        <w:bottom w:val="none" w:sz="0" w:space="0" w:color="auto"/>
        <w:right w:val="none" w:sz="0" w:space="0" w:color="auto"/>
      </w:divBdr>
    </w:div>
    <w:div w:id="2135248218">
      <w:bodyDiv w:val="1"/>
      <w:marLeft w:val="0"/>
      <w:marRight w:val="0"/>
      <w:marTop w:val="0"/>
      <w:marBottom w:val="0"/>
      <w:divBdr>
        <w:top w:val="none" w:sz="0" w:space="0" w:color="auto"/>
        <w:left w:val="none" w:sz="0" w:space="0" w:color="auto"/>
        <w:bottom w:val="none" w:sz="0" w:space="0" w:color="auto"/>
        <w:right w:val="none" w:sz="0" w:space="0" w:color="auto"/>
      </w:divBdr>
    </w:div>
    <w:div w:id="2137019936">
      <w:bodyDiv w:val="1"/>
      <w:marLeft w:val="0"/>
      <w:marRight w:val="0"/>
      <w:marTop w:val="0"/>
      <w:marBottom w:val="0"/>
      <w:divBdr>
        <w:top w:val="none" w:sz="0" w:space="0" w:color="auto"/>
        <w:left w:val="none" w:sz="0" w:space="0" w:color="auto"/>
        <w:bottom w:val="none" w:sz="0" w:space="0" w:color="auto"/>
        <w:right w:val="none" w:sz="0" w:space="0" w:color="auto"/>
      </w:divBdr>
    </w:div>
    <w:div w:id="21444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9.xml"/><Relationship Id="rId26" Type="http://schemas.openxmlformats.org/officeDocument/2006/relationships/hyperlink" Target="https://twitter.com/INEGI_INFORMA" TargetMode="External"/><Relationship Id="rId21" Type="http://schemas.openxmlformats.org/officeDocument/2006/relationships/footer" Target="footer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image" Target="media/image7.jpeg"/><Relationship Id="rId33" Type="http://schemas.openxmlformats.org/officeDocument/2006/relationships/hyperlink" Target="https://www.inegi.org.mx/programas/eaec/2013/"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1.xm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www.instagram.com/inegi_informa/" TargetMode="External"/><Relationship Id="rId32" Type="http://schemas.openxmlformats.org/officeDocument/2006/relationships/hyperlink" Target="https://www.inegi.org.mx/app/saladeprensa/calendario/default.html"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image" Target="media/image6.jpeg"/><Relationship Id="rId28" Type="http://schemas.openxmlformats.org/officeDocument/2006/relationships/hyperlink" Target="https://www.youtube.com/user/INEGIInforma"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hart" Target="charts/chart10.xm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 Id="rId22" Type="http://schemas.openxmlformats.org/officeDocument/2006/relationships/hyperlink" Target="https://www.facebook.com/INEGIInforma/" TargetMode="External"/><Relationship Id="rId27" Type="http://schemas.openxmlformats.org/officeDocument/2006/relationships/image" Target="media/image8.jpeg"/><Relationship Id="rId30" Type="http://schemas.openxmlformats.org/officeDocument/2006/relationships/hyperlink" Target="http://www.inegi.org.mx/" TargetMode="External"/><Relationship Id="rId35"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charts/_rels/chart1.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0.xml"/><Relationship Id="rId1" Type="http://schemas.microsoft.com/office/2011/relationships/chartStyle" Target="style10.xml"/><Relationship Id="rId5" Type="http://schemas.openxmlformats.org/officeDocument/2006/relationships/chartUserShapes" Target="../drawings/drawing4.xml"/><Relationship Id="rId4" Type="http://schemas.openxmlformats.org/officeDocument/2006/relationships/package" Target="../embeddings/Microsoft_Excel_Worksheet5.xlsx"/></Relationships>
</file>

<file path=word/charts/_rels/chart2.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Encuestas%20de%20Construccion%202022\EAEC%202022\Nota%20tecnica%20y%20presentacion%20EAEC%202022\Graficas%20y%20cuadros%20nota%20tecnica%202022%20EAEC%20Alex.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Encuestas%20de%20Construccion%202022\EAEC%202022\Nota%20tecnica%20y%20presentacion%20EAEC%202022\Graficas%20y%20cuadros%20nota%20tecnica%202022%20EAEC%20Alex.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1.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2.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8.xml"/><Relationship Id="rId1" Type="http://schemas.microsoft.com/office/2011/relationships/chartStyle" Target="style8.xml"/><Relationship Id="rId5" Type="http://schemas.openxmlformats.org/officeDocument/2006/relationships/chartUserShapes" Target="../drawings/drawing2.xml"/><Relationship Id="rId4" Type="http://schemas.openxmlformats.org/officeDocument/2006/relationships/package" Target="../embeddings/Microsoft_Excel_Worksheet3.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9.xml"/><Relationship Id="rId1" Type="http://schemas.microsoft.com/office/2011/relationships/chartStyle" Target="style9.xml"/><Relationship Id="rId5" Type="http://schemas.openxmlformats.org/officeDocument/2006/relationships/chartUserShapes" Target="../drawings/drawing3.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b="1">
                <a:solidFill>
                  <a:schemeClr val="tx1"/>
                </a:solidFill>
                <a:latin typeface="Arial" panose="020B0604020202020204" pitchFamily="34" charset="0"/>
                <a:cs typeface="Arial" panose="020B0604020202020204" pitchFamily="34" charset="0"/>
              </a:rPr>
              <a:t>2020</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s-MX"/>
        </a:p>
      </c:txPr>
    </c:title>
    <c:autoTitleDeleted val="0"/>
    <c:plotArea>
      <c:layout/>
      <c:pieChart>
        <c:varyColors val="1"/>
        <c:ser>
          <c:idx val="0"/>
          <c:order val="0"/>
          <c:spPr>
            <a:solidFill>
              <a:schemeClr val="accent2"/>
            </a:solidFill>
          </c:spPr>
          <c:dPt>
            <c:idx val="0"/>
            <c:bubble3D val="0"/>
            <c:spPr>
              <a:solidFill>
                <a:schemeClr val="accent2">
                  <a:shade val="65000"/>
                </a:schemeClr>
              </a:solidFill>
              <a:ln w="19050">
                <a:solidFill>
                  <a:schemeClr val="lt1"/>
                </a:solidFill>
              </a:ln>
              <a:effectLst/>
            </c:spPr>
            <c:extLst>
              <c:ext xmlns:c16="http://schemas.microsoft.com/office/drawing/2014/chart" uri="{C3380CC4-5D6E-409C-BE32-E72D297353CC}">
                <c16:uniqueId val="{00000001-E9B7-430B-A7BF-BB9C8796B0D6}"/>
              </c:ext>
            </c:extLst>
          </c:dPt>
          <c:dPt>
            <c:idx val="1"/>
            <c:bubble3D val="0"/>
            <c:spPr>
              <a:solidFill>
                <a:srgbClr val="FFB13F"/>
              </a:solidFill>
              <a:ln w="19050">
                <a:solidFill>
                  <a:schemeClr val="lt1"/>
                </a:solidFill>
              </a:ln>
              <a:effectLst/>
            </c:spPr>
            <c:extLst>
              <c:ext xmlns:c16="http://schemas.microsoft.com/office/drawing/2014/chart" uri="{C3380CC4-5D6E-409C-BE32-E72D297353CC}">
                <c16:uniqueId val="{00000003-E9B7-430B-A7BF-BB9C8796B0D6}"/>
              </c:ext>
            </c:extLst>
          </c:dPt>
          <c:dPt>
            <c:idx val="2"/>
            <c:bubble3D val="0"/>
            <c:spPr>
              <a:solidFill>
                <a:srgbClr val="FFCE85"/>
              </a:solidFill>
              <a:ln w="19050">
                <a:solidFill>
                  <a:schemeClr val="lt1"/>
                </a:solidFill>
              </a:ln>
              <a:effectLst/>
            </c:spPr>
            <c:extLst>
              <c:ext xmlns:c16="http://schemas.microsoft.com/office/drawing/2014/chart" uri="{C3380CC4-5D6E-409C-BE32-E72D297353CC}">
                <c16:uniqueId val="{00000005-E9B7-430B-A7BF-BB9C8796B0D6}"/>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Hoja1!$B$7:$B$9</c:f>
              <c:strCache>
                <c:ptCount val="3"/>
                <c:pt idx="0">
                  <c:v>236 Edificación</c:v>
                </c:pt>
                <c:pt idx="1">
                  <c:v>237 Construcción de obras de ingeniería civil </c:v>
                </c:pt>
                <c:pt idx="2">
                  <c:v>238 Trabajos especializados para la construcción </c:v>
                </c:pt>
              </c:strCache>
            </c:strRef>
          </c:cat>
          <c:val>
            <c:numRef>
              <c:f>Hoja1!$D$7:$D$9</c:f>
              <c:numCache>
                <c:formatCode>#,##0.0</c:formatCode>
                <c:ptCount val="3"/>
                <c:pt idx="0">
                  <c:v>52.704558685324052</c:v>
                </c:pt>
                <c:pt idx="1">
                  <c:v>33.456355632747012</c:v>
                </c:pt>
                <c:pt idx="2">
                  <c:v>13.839085681928918</c:v>
                </c:pt>
              </c:numCache>
            </c:numRef>
          </c:val>
          <c:extLst>
            <c:ext xmlns:c16="http://schemas.microsoft.com/office/drawing/2014/chart" uri="{C3380CC4-5D6E-409C-BE32-E72D297353CC}">
              <c16:uniqueId val="{00000006-E9B7-430B-A7BF-BB9C8796B0D6}"/>
            </c:ext>
          </c:extLst>
        </c:ser>
        <c:dLbls>
          <c:dLblPos val="ctr"/>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Hoja1!$C$117</c:f>
              <c:strCache>
                <c:ptCount val="1"/>
                <c:pt idx="0">
                  <c:v>2020</c:v>
                </c:pt>
              </c:strCache>
            </c:strRef>
          </c:tx>
          <c:spPr>
            <a:solidFill>
              <a:srgbClr val="ED7D31"/>
            </a:solidFill>
            <a:ln w="19050">
              <a:solidFill>
                <a:srgbClr val="ED7D31"/>
              </a:solidFill>
            </a:ln>
            <a:effectLst/>
          </c:spPr>
          <c:invertIfNegative val="0"/>
          <c:dLbls>
            <c:dLbl>
              <c:idx val="0"/>
              <c:layout>
                <c:manualLayout>
                  <c:x val="-0.15990399105870928"/>
                  <c:y val="0"/>
                </c:manualLayout>
              </c:layout>
              <c:tx>
                <c:rich>
                  <a:bodyPr/>
                  <a:lstStyle/>
                  <a:p>
                    <a:r>
                      <a:rPr lang="en-US"/>
                      <a:t>33.8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A2-497C-8DCA-BC2942E7E401}"/>
                </c:ext>
              </c:extLst>
            </c:dLbl>
            <c:dLbl>
              <c:idx val="1"/>
              <c:layout>
                <c:manualLayout>
                  <c:x val="-2.7528182013897479E-2"/>
                  <c:y val="-4.2437781360066642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A2-497C-8DCA-BC2942E7E401}"/>
                </c:ext>
              </c:extLst>
            </c:dLbl>
            <c:dLbl>
              <c:idx val="2"/>
              <c:layout>
                <c:manualLayout>
                  <c:x val="-6.8074553508036623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A2-497C-8DCA-BC2942E7E401}"/>
                </c:ext>
              </c:extLst>
            </c:dLbl>
            <c:dLbl>
              <c:idx val="3"/>
              <c:layout>
                <c:manualLayout>
                  <c:x val="-0.11379166609409426"/>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A2-497C-8DCA-BC2942E7E401}"/>
                </c:ext>
              </c:extLst>
            </c:dLbl>
            <c:dLbl>
              <c:idx val="4"/>
              <c:layout>
                <c:manualLayout>
                  <c:x val="-0.14558491706861248"/>
                  <c:y val="-4.629629629629799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EA2-497C-8DCA-BC2942E7E401}"/>
                </c:ext>
              </c:extLst>
            </c:dLbl>
            <c:numFmt formatCode="#,##0.0;#,##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Hoja1!$D$115:$H$115</c:f>
              <c:strCache>
                <c:ptCount val="5"/>
                <c:pt idx="0">
                  <c:v>Página web de la empresa</c:v>
                </c:pt>
                <c:pt idx="1">
                  <c:v>Páginas web de terceros</c:v>
                </c:pt>
                <c:pt idx="2">
                  <c:v>Redes sociales</c:v>
                </c:pt>
                <c:pt idx="3">
                  <c:v>Correo electrónico</c:v>
                </c:pt>
                <c:pt idx="4">
                  <c:v>Otra modalidad informatica</c:v>
                </c:pt>
              </c:strCache>
            </c:strRef>
          </c:cat>
          <c:val>
            <c:numRef>
              <c:f>Hoja1!$D$117:$H$117</c:f>
              <c:numCache>
                <c:formatCode>0.0</c:formatCode>
                <c:ptCount val="5"/>
                <c:pt idx="0">
                  <c:v>-33.686895230798299</c:v>
                </c:pt>
                <c:pt idx="1">
                  <c:v>-1.7474648254671199</c:v>
                </c:pt>
                <c:pt idx="2">
                  <c:v>-11.334926525157201</c:v>
                </c:pt>
                <c:pt idx="3">
                  <c:v>-23.029216037422302</c:v>
                </c:pt>
                <c:pt idx="4">
                  <c:v>-30.2014973811551</c:v>
                </c:pt>
              </c:numCache>
            </c:numRef>
          </c:val>
          <c:extLst>
            <c:ext xmlns:c16="http://schemas.microsoft.com/office/drawing/2014/chart" uri="{C3380CC4-5D6E-409C-BE32-E72D297353CC}">
              <c16:uniqueId val="{00000005-6EA2-497C-8DCA-BC2942E7E401}"/>
            </c:ext>
          </c:extLst>
        </c:ser>
        <c:ser>
          <c:idx val="1"/>
          <c:order val="1"/>
          <c:tx>
            <c:strRef>
              <c:f>Hoja1!$C$112</c:f>
              <c:strCache>
                <c:ptCount val="1"/>
                <c:pt idx="0">
                  <c:v>2021p/</c:v>
                </c:pt>
              </c:strCache>
            </c:strRef>
          </c:tx>
          <c:spPr>
            <a:solidFill>
              <a:srgbClr val="FFB13F"/>
            </a:solidFill>
            <a:ln w="19050">
              <a:solidFill>
                <a:srgbClr val="FFB13F"/>
              </a:solidFill>
            </a:ln>
            <a:effectLst/>
          </c:spPr>
          <c:invertIfNegative val="0"/>
          <c:dLbls>
            <c:dLbl>
              <c:idx val="0"/>
              <c:layout>
                <c:manualLayout>
                  <c:x val="0.13407117304054253"/>
                  <c:y val="4.629994167395752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EA2-497C-8DCA-BC2942E7E401}"/>
                </c:ext>
              </c:extLst>
            </c:dLbl>
            <c:dLbl>
              <c:idx val="2"/>
              <c:layout>
                <c:manualLayout>
                  <c:x val="5.3819974073921389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EA2-497C-8DCA-BC2942E7E401}"/>
                </c:ext>
              </c:extLst>
            </c:dLbl>
            <c:dLbl>
              <c:idx val="3"/>
              <c:layout>
                <c:manualLayout>
                  <c:x val="0.142004919542125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EA2-497C-8DCA-BC2942E7E401}"/>
                </c:ext>
              </c:extLst>
            </c:dLbl>
            <c:dLbl>
              <c:idx val="4"/>
              <c:layout>
                <c:manualLayout>
                  <c:x val="0.1608864336984055"/>
                  <c:y val="1.6975112544026657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EA2-497C-8DCA-BC2942E7E401}"/>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Hoja1!$D$115:$H$115</c:f>
              <c:strCache>
                <c:ptCount val="5"/>
                <c:pt idx="0">
                  <c:v>Página web de la empresa</c:v>
                </c:pt>
                <c:pt idx="1">
                  <c:v>Páginas web de terceros</c:v>
                </c:pt>
                <c:pt idx="2">
                  <c:v>Redes sociales</c:v>
                </c:pt>
                <c:pt idx="3">
                  <c:v>Correo electrónico</c:v>
                </c:pt>
                <c:pt idx="4">
                  <c:v>Otra modalidad informatica</c:v>
                </c:pt>
              </c:strCache>
            </c:strRef>
          </c:cat>
          <c:val>
            <c:numRef>
              <c:f>Hoja1!$D$118:$H$118</c:f>
              <c:numCache>
                <c:formatCode>General</c:formatCode>
                <c:ptCount val="5"/>
                <c:pt idx="0">
                  <c:v>26.7</c:v>
                </c:pt>
                <c:pt idx="1">
                  <c:v>1.1000000000000001</c:v>
                </c:pt>
                <c:pt idx="2">
                  <c:v>9.6999999999999993</c:v>
                </c:pt>
                <c:pt idx="3">
                  <c:v>29.3</c:v>
                </c:pt>
                <c:pt idx="4">
                  <c:v>33.200000000000003</c:v>
                </c:pt>
              </c:numCache>
            </c:numRef>
          </c:val>
          <c:extLst>
            <c:ext xmlns:c16="http://schemas.microsoft.com/office/drawing/2014/chart" uri="{C3380CC4-5D6E-409C-BE32-E72D297353CC}">
              <c16:uniqueId val="{0000000A-6EA2-497C-8DCA-BC2942E7E401}"/>
            </c:ext>
          </c:extLst>
        </c:ser>
        <c:dLbls>
          <c:dLblPos val="inBase"/>
          <c:showLegendKey val="0"/>
          <c:showVal val="1"/>
          <c:showCatName val="0"/>
          <c:showSerName val="0"/>
          <c:showPercent val="0"/>
          <c:showBubbleSize val="0"/>
        </c:dLbls>
        <c:gapWidth val="62"/>
        <c:overlap val="100"/>
        <c:axId val="819455392"/>
        <c:axId val="819469120"/>
      </c:barChart>
      <c:catAx>
        <c:axId val="819455392"/>
        <c:scaling>
          <c:orientation val="maxMin"/>
        </c:scaling>
        <c:delete val="0"/>
        <c:axPos val="l"/>
        <c:numFmt formatCode="#,##0.00"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19469120"/>
        <c:crosses val="autoZero"/>
        <c:auto val="1"/>
        <c:lblAlgn val="ctr"/>
        <c:lblOffset val="100"/>
        <c:noMultiLvlLbl val="0"/>
      </c:catAx>
      <c:valAx>
        <c:axId val="819469120"/>
        <c:scaling>
          <c:orientation val="minMax"/>
        </c:scaling>
        <c:delete val="0"/>
        <c:axPos val="t"/>
        <c:numFmt formatCode="#,##0;#,##0" sourceLinked="0"/>
        <c:majorTickMark val="none"/>
        <c:minorTickMark val="none"/>
        <c:tickLblPos val="high"/>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19455392"/>
        <c:crosses val="autoZero"/>
        <c:crossBetween val="between"/>
      </c:valAx>
      <c:spPr>
        <a:noFill/>
        <a:ln>
          <a:noFill/>
        </a:ln>
        <a:effectLst/>
      </c:spPr>
    </c:plotArea>
    <c:legend>
      <c:legendPos val="b"/>
      <c:layout>
        <c:manualLayout>
          <c:xMode val="edge"/>
          <c:yMode val="edge"/>
          <c:x val="0.2757743240210157"/>
          <c:y val="0.89878499562554681"/>
          <c:w val="0.69976226793640328"/>
          <c:h val="6.7870190577762793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c:chart>
  <c:spPr>
    <a:solidFill>
      <a:schemeClr val="bg1"/>
    </a:solidFill>
    <a:ln w="9525" cap="flat" cmpd="sng" algn="ctr">
      <a:no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s-MX" b="1">
                <a:solidFill>
                  <a:schemeClr val="tx1"/>
                </a:solidFill>
                <a:latin typeface="Arial" panose="020B0604020202020204" pitchFamily="34" charset="0"/>
                <a:cs typeface="Arial" panose="020B0604020202020204" pitchFamily="34" charset="0"/>
              </a:rPr>
              <a:t>2021</a:t>
            </a:r>
            <a:r>
              <a:rPr lang="es-MX" b="1" baseline="30000">
                <a:solidFill>
                  <a:schemeClr val="tx1"/>
                </a:solidFill>
                <a:latin typeface="Arial" panose="020B0604020202020204" pitchFamily="34" charset="0"/>
                <a:cs typeface="Arial" panose="020B0604020202020204" pitchFamily="34" charset="0"/>
              </a:rPr>
              <a:t>P/</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s-MX"/>
        </a:p>
      </c:txPr>
    </c:title>
    <c:autoTitleDeleted val="0"/>
    <c:plotArea>
      <c:layout/>
      <c:pieChart>
        <c:varyColors val="1"/>
        <c:ser>
          <c:idx val="0"/>
          <c:order val="0"/>
          <c:dPt>
            <c:idx val="0"/>
            <c:bubble3D val="0"/>
            <c:spPr>
              <a:solidFill>
                <a:schemeClr val="accent2">
                  <a:shade val="65000"/>
                </a:schemeClr>
              </a:solidFill>
              <a:ln w="19050">
                <a:solidFill>
                  <a:schemeClr val="lt1"/>
                </a:solidFill>
              </a:ln>
              <a:effectLst/>
            </c:spPr>
            <c:extLst>
              <c:ext xmlns:c16="http://schemas.microsoft.com/office/drawing/2014/chart" uri="{C3380CC4-5D6E-409C-BE32-E72D297353CC}">
                <c16:uniqueId val="{00000001-89C7-45A1-A11C-97F23B1EAEEB}"/>
              </c:ext>
            </c:extLst>
          </c:dPt>
          <c:dPt>
            <c:idx val="1"/>
            <c:bubble3D val="0"/>
            <c:spPr>
              <a:solidFill>
                <a:srgbClr val="FFB13F"/>
              </a:solidFill>
              <a:ln w="19050">
                <a:solidFill>
                  <a:schemeClr val="lt1"/>
                </a:solidFill>
              </a:ln>
              <a:effectLst/>
            </c:spPr>
            <c:extLst>
              <c:ext xmlns:c16="http://schemas.microsoft.com/office/drawing/2014/chart" uri="{C3380CC4-5D6E-409C-BE32-E72D297353CC}">
                <c16:uniqueId val="{00000003-89C7-45A1-A11C-97F23B1EAEEB}"/>
              </c:ext>
            </c:extLst>
          </c:dPt>
          <c:dPt>
            <c:idx val="2"/>
            <c:bubble3D val="0"/>
            <c:spPr>
              <a:solidFill>
                <a:srgbClr val="FFCE85"/>
              </a:solidFill>
              <a:ln w="19050">
                <a:solidFill>
                  <a:schemeClr val="lt1"/>
                </a:solidFill>
              </a:ln>
              <a:effectLst/>
            </c:spPr>
            <c:extLst>
              <c:ext xmlns:c16="http://schemas.microsoft.com/office/drawing/2014/chart" uri="{C3380CC4-5D6E-409C-BE32-E72D297353CC}">
                <c16:uniqueId val="{00000005-89C7-45A1-A11C-97F23B1EAEEB}"/>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Hoja1!$B$7:$B$9</c:f>
              <c:strCache>
                <c:ptCount val="3"/>
                <c:pt idx="0">
                  <c:v>236 Edificación</c:v>
                </c:pt>
                <c:pt idx="1">
                  <c:v>237 Construcción de obras de ingeniería civil </c:v>
                </c:pt>
                <c:pt idx="2">
                  <c:v>238 Trabajos especializados para la construcción </c:v>
                </c:pt>
              </c:strCache>
            </c:strRef>
          </c:cat>
          <c:val>
            <c:numRef>
              <c:f>Hoja1!$F$7:$F$9</c:f>
              <c:numCache>
                <c:formatCode>#,##0.0</c:formatCode>
                <c:ptCount val="3"/>
                <c:pt idx="0">
                  <c:v>51.465642028011516</c:v>
                </c:pt>
                <c:pt idx="1">
                  <c:v>35.13941803722588</c:v>
                </c:pt>
                <c:pt idx="2">
                  <c:v>13.394939934762606</c:v>
                </c:pt>
              </c:numCache>
            </c:numRef>
          </c:val>
          <c:extLst>
            <c:ext xmlns:c16="http://schemas.microsoft.com/office/drawing/2014/chart" uri="{C3380CC4-5D6E-409C-BE32-E72D297353CC}">
              <c16:uniqueId val="{00000006-89C7-45A1-A11C-97F23B1EAEEB}"/>
            </c:ext>
          </c:extLst>
        </c:ser>
        <c:dLbls>
          <c:dLblPos val="ctr"/>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1" i="0" u="none" strike="noStrike" kern="1200" cap="all" spc="50" baseline="0">
                <a:solidFill>
                  <a:sysClr val="windowText" lastClr="000000"/>
                </a:solidFill>
                <a:latin typeface="Arial" panose="020B0604020202020204" pitchFamily="34" charset="0"/>
                <a:ea typeface="+mn-ea"/>
                <a:cs typeface="Arial" panose="020B0604020202020204" pitchFamily="34" charset="0"/>
              </a:defRPr>
            </a:pPr>
            <a:r>
              <a:rPr lang="en-US"/>
              <a:t>2020</a:t>
            </a:r>
            <a:endParaRPr lang="en-US" sz="1000"/>
          </a:p>
        </c:rich>
      </c:tx>
      <c:layout>
        <c:manualLayout>
          <c:xMode val="edge"/>
          <c:yMode val="edge"/>
          <c:x val="0.38210912131558777"/>
          <c:y val="4.6758327780932352E-3"/>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0.16595303463173297"/>
          <c:y val="0.17383686772375628"/>
          <c:w val="0.69924270085708318"/>
          <c:h val="0.82341001664079194"/>
        </c:manualLayout>
      </c:layout>
      <c:doughnutChart>
        <c:varyColors val="1"/>
        <c:ser>
          <c:idx val="0"/>
          <c:order val="0"/>
          <c:dPt>
            <c:idx val="0"/>
            <c:bubble3D val="0"/>
            <c:spPr>
              <a:solidFill>
                <a:srgbClr val="FFB13F"/>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1A3-485D-9B73-10B005B260D3}"/>
              </c:ext>
            </c:extLst>
          </c:dPt>
          <c:dPt>
            <c:idx val="1"/>
            <c:bubble3D val="0"/>
            <c:spPr>
              <a:solidFill>
                <a:srgbClr val="FFCE8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1A3-485D-9B73-10B005B260D3}"/>
              </c:ext>
            </c:extLst>
          </c:dPt>
          <c:dLbls>
            <c:dLbl>
              <c:idx val="0"/>
              <c:layout>
                <c:manualLayout>
                  <c:x val="6.3031831074692145E-3"/>
                  <c:y val="0"/>
                </c:manualLayout>
              </c:layout>
              <c:tx>
                <c:rich>
                  <a:bodyPr/>
                  <a:lstStyle/>
                  <a:p>
                    <a:r>
                      <a:rPr lang="en-US"/>
                      <a:t>88.2 %</a:t>
                    </a:r>
                  </a:p>
                </c:rich>
              </c:tx>
              <c:showLegendKey val="0"/>
              <c:showVal val="1"/>
              <c:showCatName val="0"/>
              <c:showSerName val="0"/>
              <c:showPercent val="0"/>
              <c:showBubbleSize val="0"/>
              <c:extLst>
                <c:ext xmlns:c15="http://schemas.microsoft.com/office/drawing/2012/chart" uri="{CE6537A1-D6FC-4f65-9D91-7224C49458BB}">
                  <c15:layout>
                    <c:manualLayout>
                      <c:w val="0.23649543019224709"/>
                      <c:h val="0.17515711645101664"/>
                    </c:manualLayout>
                  </c15:layout>
                </c:ext>
                <c:ext xmlns:c16="http://schemas.microsoft.com/office/drawing/2014/chart" uri="{C3380CC4-5D6E-409C-BE32-E72D297353CC}">
                  <c16:uniqueId val="{00000001-A1A3-485D-9B73-10B005B260D3}"/>
                </c:ext>
              </c:extLst>
            </c:dLbl>
            <c:dLbl>
              <c:idx val="1"/>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11.8 %</a:t>
                    </a:r>
                  </a:p>
                </c:rich>
              </c:tx>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A3-485D-9B73-10B005B260D3}"/>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hm!$I$12:$J$12</c:f>
              <c:strCache>
                <c:ptCount val="2"/>
                <c:pt idx="0">
                  <c:v>Hombres</c:v>
                </c:pt>
                <c:pt idx="1">
                  <c:v>Mujeres</c:v>
                </c:pt>
              </c:strCache>
            </c:strRef>
          </c:cat>
          <c:val>
            <c:numRef>
              <c:f>hm!$I$13:$J$13</c:f>
              <c:numCache>
                <c:formatCode>0.0</c:formatCode>
                <c:ptCount val="2"/>
                <c:pt idx="0">
                  <c:v>88.2</c:v>
                </c:pt>
                <c:pt idx="1">
                  <c:v>11.8</c:v>
                </c:pt>
              </c:numCache>
            </c:numRef>
          </c:val>
          <c:extLst>
            <c:ext xmlns:c16="http://schemas.microsoft.com/office/drawing/2014/chart" uri="{C3380CC4-5D6E-409C-BE32-E72D297353CC}">
              <c16:uniqueId val="{00000004-A1A3-485D-9B73-10B005B260D3}"/>
            </c:ext>
          </c:extLst>
        </c:ser>
        <c:dLbls>
          <c:showLegendKey val="0"/>
          <c:showVal val="1"/>
          <c:showCatName val="0"/>
          <c:showSerName val="0"/>
          <c:showPercent val="0"/>
          <c:showBubbleSize val="0"/>
          <c:showLeaderLines val="1"/>
        </c:dLbls>
        <c:firstSliceAng val="0"/>
        <c:holeSize val="50"/>
      </c:doughnut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1" i="0" u="none" strike="noStrike" kern="1200" cap="all" spc="50" baseline="30000">
                <a:solidFill>
                  <a:sysClr val="windowText" lastClr="000000"/>
                </a:solidFill>
                <a:latin typeface="Arial" panose="020B0604020202020204" pitchFamily="34" charset="0"/>
                <a:ea typeface="+mn-ea"/>
                <a:cs typeface="Arial" panose="020B0604020202020204" pitchFamily="34" charset="0"/>
              </a:defRPr>
            </a:pPr>
            <a:r>
              <a:rPr lang="en-US" sz="1400" baseline="0"/>
              <a:t>2021</a:t>
            </a:r>
            <a:r>
              <a:rPr lang="en-US" sz="1400" baseline="30000"/>
              <a:t>p/</a:t>
            </a:r>
          </a:p>
        </c:rich>
      </c:tx>
      <c:layout>
        <c:manualLayout>
          <c:xMode val="edge"/>
          <c:yMode val="edge"/>
          <c:x val="0.40706444110989071"/>
          <c:y val="7.5930790127080421E-3"/>
        </c:manualLayout>
      </c:layout>
      <c:overlay val="0"/>
      <c:spPr>
        <a:noFill/>
        <a:ln>
          <a:noFill/>
        </a:ln>
        <a:effectLst/>
      </c:spPr>
      <c:txPr>
        <a:bodyPr rot="0" spcFirstLastPara="1" vertOverflow="ellipsis" vert="horz" wrap="square" anchor="ctr" anchorCtr="1"/>
        <a:lstStyle/>
        <a:p>
          <a:pPr>
            <a:defRPr sz="1400" b="1" i="0" u="none" strike="noStrike" kern="1200" cap="all" spc="50" baseline="3000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0.17987046805789747"/>
          <c:y val="0.13684733873842034"/>
          <c:w val="0.74682074367423124"/>
          <c:h val="0.8296800840964359"/>
        </c:manualLayout>
      </c:layout>
      <c:doughnutChart>
        <c:varyColors val="1"/>
        <c:ser>
          <c:idx val="0"/>
          <c:order val="0"/>
          <c:spPr>
            <a:solidFill>
              <a:srgbClr val="FFB13F"/>
            </a:solidFill>
          </c:spPr>
          <c:dPt>
            <c:idx val="0"/>
            <c:bubble3D val="0"/>
            <c:spPr>
              <a:solidFill>
                <a:srgbClr val="FFB13F"/>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697-4EC5-B42B-4FC070F321A5}"/>
              </c:ext>
            </c:extLst>
          </c:dPt>
          <c:dPt>
            <c:idx val="1"/>
            <c:bubble3D val="0"/>
            <c:spPr>
              <a:solidFill>
                <a:srgbClr val="FFCE8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697-4EC5-B42B-4FC070F321A5}"/>
              </c:ext>
            </c:extLst>
          </c:dPt>
          <c:dLbls>
            <c:dLbl>
              <c:idx val="0"/>
              <c:tx>
                <c:rich>
                  <a:bodyPr/>
                  <a:lstStyle/>
                  <a:p>
                    <a:fld id="{664FE12C-C1B6-4CB8-AB62-C1EE2D854A97}" type="VALUE">
                      <a:rPr lang="en-US"/>
                      <a:pPr/>
                      <a:t>[VALOR]</a:t>
                    </a:fld>
                    <a:r>
                      <a:rPr lang="en-US"/>
                      <a:t>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697-4EC5-B42B-4FC070F321A5}"/>
                </c:ext>
              </c:extLst>
            </c:dLbl>
            <c:dLbl>
              <c:idx val="1"/>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11.8 %</a:t>
                    </a:r>
                  </a:p>
                </c:rich>
              </c:tx>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697-4EC5-B42B-4FC070F321A5}"/>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hm!$I$12:$J$12</c:f>
              <c:strCache>
                <c:ptCount val="2"/>
                <c:pt idx="0">
                  <c:v>Hombres</c:v>
                </c:pt>
                <c:pt idx="1">
                  <c:v>Mujeres</c:v>
                </c:pt>
              </c:strCache>
            </c:strRef>
          </c:cat>
          <c:val>
            <c:numRef>
              <c:f>hm!$I$13:$J$13</c:f>
              <c:numCache>
                <c:formatCode>0.0</c:formatCode>
                <c:ptCount val="2"/>
                <c:pt idx="0">
                  <c:v>88.2</c:v>
                </c:pt>
                <c:pt idx="1">
                  <c:v>11.8</c:v>
                </c:pt>
              </c:numCache>
            </c:numRef>
          </c:val>
          <c:extLst>
            <c:ext xmlns:c16="http://schemas.microsoft.com/office/drawing/2014/chart" uri="{C3380CC4-5D6E-409C-BE32-E72D297353CC}">
              <c16:uniqueId val="{00000004-5697-4EC5-B42B-4FC070F321A5}"/>
            </c:ext>
          </c:extLst>
        </c:ser>
        <c:dLbls>
          <c:showLegendKey val="0"/>
          <c:showVal val="1"/>
          <c:showCatName val="0"/>
          <c:showSerName val="0"/>
          <c:showPercent val="0"/>
          <c:showBubbleSize val="0"/>
          <c:showLeaderLines val="1"/>
        </c:dLbls>
        <c:firstSliceAng val="0"/>
        <c:holeSize val="50"/>
      </c:doughnutChart>
      <c:spPr>
        <a:noFill/>
        <a:ln w="25400">
          <a:noFill/>
        </a:ln>
        <a:effectLst/>
      </c:spPr>
    </c:plotArea>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3836390908042E-2"/>
          <c:y val="1.4025245441795231E-2"/>
          <c:w val="0.94923272181839158"/>
          <c:h val="0.68387207209197032"/>
        </c:manualLayout>
      </c:layout>
      <c:barChart>
        <c:barDir val="col"/>
        <c:grouping val="stacked"/>
        <c:varyColors val="0"/>
        <c:ser>
          <c:idx val="0"/>
          <c:order val="0"/>
          <c:tx>
            <c:strRef>
              <c:f>Hoja1!$H$44</c:f>
              <c:strCache>
                <c:ptCount val="1"/>
                <c:pt idx="0">
                  <c:v>Mujeres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Hoja1!$D$45:$D$48</c:f>
              <c:strCache>
                <c:ptCount val="4"/>
                <c:pt idx="0">
                  <c:v>Construcción</c:v>
                </c:pt>
                <c:pt idx="1">
                  <c:v>Edificación</c:v>
                </c:pt>
                <c:pt idx="2">
                  <c:v>Construcción de obras de ingeniería civil </c:v>
                </c:pt>
                <c:pt idx="3">
                  <c:v>Trabajos especializados para la construcción</c:v>
                </c:pt>
              </c:strCache>
            </c:strRef>
          </c:cat>
          <c:val>
            <c:numRef>
              <c:f>Hoja1!$H$45:$H$48</c:f>
              <c:numCache>
                <c:formatCode>0.0</c:formatCode>
                <c:ptCount val="4"/>
                <c:pt idx="0">
                  <c:v>11.752187250664493</c:v>
                </c:pt>
                <c:pt idx="1">
                  <c:v>12.341886923503356</c:v>
                </c:pt>
                <c:pt idx="2">
                  <c:v>10.050378545903317</c:v>
                </c:pt>
                <c:pt idx="3">
                  <c:v>13.950875365211438</c:v>
                </c:pt>
              </c:numCache>
            </c:numRef>
          </c:val>
          <c:extLst>
            <c:ext xmlns:c16="http://schemas.microsoft.com/office/drawing/2014/chart" uri="{C3380CC4-5D6E-409C-BE32-E72D297353CC}">
              <c16:uniqueId val="{00000000-831E-445B-A6C8-D66194E85FD0}"/>
            </c:ext>
          </c:extLst>
        </c:ser>
        <c:ser>
          <c:idx val="1"/>
          <c:order val="1"/>
          <c:tx>
            <c:strRef>
              <c:f>Hoja1!$I$44</c:f>
              <c:strCache>
                <c:ptCount val="1"/>
                <c:pt idx="0">
                  <c:v>Hombres</c:v>
                </c:pt>
              </c:strCache>
            </c:strRef>
          </c:tx>
          <c:spPr>
            <a:solidFill>
              <a:srgbClr val="FFB13F"/>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Hoja1!$D$45:$D$48</c:f>
              <c:strCache>
                <c:ptCount val="4"/>
                <c:pt idx="0">
                  <c:v>Construcción</c:v>
                </c:pt>
                <c:pt idx="1">
                  <c:v>Edificación</c:v>
                </c:pt>
                <c:pt idx="2">
                  <c:v>Construcción de obras de ingeniería civil </c:v>
                </c:pt>
                <c:pt idx="3">
                  <c:v>Trabajos especializados para la construcción</c:v>
                </c:pt>
              </c:strCache>
            </c:strRef>
          </c:cat>
          <c:val>
            <c:numRef>
              <c:f>Hoja1!$I$45:$I$48</c:f>
              <c:numCache>
                <c:formatCode>0.0</c:formatCode>
                <c:ptCount val="4"/>
                <c:pt idx="0">
                  <c:v>88.24781274933548</c:v>
                </c:pt>
                <c:pt idx="1">
                  <c:v>87.658113076496647</c:v>
                </c:pt>
                <c:pt idx="2">
                  <c:v>89.949621454096672</c:v>
                </c:pt>
                <c:pt idx="3">
                  <c:v>86.049124634788555</c:v>
                </c:pt>
              </c:numCache>
            </c:numRef>
          </c:val>
          <c:extLst>
            <c:ext xmlns:c16="http://schemas.microsoft.com/office/drawing/2014/chart" uri="{C3380CC4-5D6E-409C-BE32-E72D297353CC}">
              <c16:uniqueId val="{00000001-831E-445B-A6C8-D66194E85FD0}"/>
            </c:ext>
          </c:extLst>
        </c:ser>
        <c:dLbls>
          <c:dLblPos val="ctr"/>
          <c:showLegendKey val="0"/>
          <c:showVal val="1"/>
          <c:showCatName val="0"/>
          <c:showSerName val="0"/>
          <c:showPercent val="0"/>
          <c:showBubbleSize val="0"/>
        </c:dLbls>
        <c:gapWidth val="92"/>
        <c:overlap val="100"/>
        <c:axId val="2069529056"/>
        <c:axId val="2069526560"/>
      </c:barChart>
      <c:catAx>
        <c:axId val="2069529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69526560"/>
        <c:crosses val="autoZero"/>
        <c:auto val="1"/>
        <c:lblAlgn val="ctr"/>
        <c:lblOffset val="100"/>
        <c:noMultiLvlLbl val="0"/>
      </c:catAx>
      <c:valAx>
        <c:axId val="2069526560"/>
        <c:scaling>
          <c:orientation val="minMax"/>
        </c:scaling>
        <c:delete val="1"/>
        <c:axPos val="l"/>
        <c:numFmt formatCode="0.0" sourceLinked="1"/>
        <c:majorTickMark val="none"/>
        <c:minorTickMark val="none"/>
        <c:tickLblPos val="nextTo"/>
        <c:crossAx val="2069529056"/>
        <c:crosses val="autoZero"/>
        <c:crossBetween val="between"/>
      </c:valAx>
      <c:spPr>
        <a:noFill/>
        <a:ln>
          <a:noFill/>
        </a:ln>
        <a:effectLst>
          <a:softEdge rad="0"/>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2020</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Hoja1!$C$58:$C$60</c:f>
              <c:strCache>
                <c:ptCount val="3"/>
                <c:pt idx="0">
                  <c:v>Edificación</c:v>
                </c:pt>
                <c:pt idx="1">
                  <c:v>Construcción de obras de ingeniería civil </c:v>
                </c:pt>
                <c:pt idx="2">
                  <c:v>Trabajos especializados para la construcción</c:v>
                </c:pt>
              </c:strCache>
            </c:strRef>
          </c:cat>
          <c:val>
            <c:numRef>
              <c:f>Hoja1!$F$58:$F$60</c:f>
              <c:numCache>
                <c:formatCode>0.0</c:formatCode>
                <c:ptCount val="3"/>
                <c:pt idx="0">
                  <c:v>45.670947413529611</c:v>
                </c:pt>
                <c:pt idx="1">
                  <c:v>44.614452973029849</c:v>
                </c:pt>
                <c:pt idx="2">
                  <c:v>9.7145996134405337</c:v>
                </c:pt>
              </c:numCache>
            </c:numRef>
          </c:val>
          <c:extLst>
            <c:ext xmlns:c16="http://schemas.microsoft.com/office/drawing/2014/chart" uri="{C3380CC4-5D6E-409C-BE32-E72D297353CC}">
              <c16:uniqueId val="{00000000-F3A9-4013-8196-266E2B899A20}"/>
            </c:ext>
          </c:extLst>
        </c:ser>
        <c:ser>
          <c:idx val="1"/>
          <c:order val="1"/>
          <c:tx>
            <c:v>2021p/</c:v>
          </c:tx>
          <c:spPr>
            <a:solidFill>
              <a:srgbClr val="FFB13F"/>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Hoja1!$C$58:$C$60</c:f>
              <c:strCache>
                <c:ptCount val="3"/>
                <c:pt idx="0">
                  <c:v>Edificación</c:v>
                </c:pt>
                <c:pt idx="1">
                  <c:v>Construcción de obras de ingeniería civil </c:v>
                </c:pt>
                <c:pt idx="2">
                  <c:v>Trabajos especializados para la construcción</c:v>
                </c:pt>
              </c:strCache>
            </c:strRef>
          </c:cat>
          <c:val>
            <c:numRef>
              <c:f>Hoja1!$G$58:$G$60</c:f>
              <c:numCache>
                <c:formatCode>0.0</c:formatCode>
                <c:ptCount val="3"/>
                <c:pt idx="0">
                  <c:v>46.665135592762319</c:v>
                </c:pt>
                <c:pt idx="1">
                  <c:v>44.143266193955213</c:v>
                </c:pt>
                <c:pt idx="2">
                  <c:v>9.1915982132824681</c:v>
                </c:pt>
              </c:numCache>
            </c:numRef>
          </c:val>
          <c:extLst>
            <c:ext xmlns:c16="http://schemas.microsoft.com/office/drawing/2014/chart" uri="{C3380CC4-5D6E-409C-BE32-E72D297353CC}">
              <c16:uniqueId val="{00000001-F3A9-4013-8196-266E2B899A20}"/>
            </c:ext>
          </c:extLst>
        </c:ser>
        <c:dLbls>
          <c:showLegendKey val="0"/>
          <c:showVal val="0"/>
          <c:showCatName val="0"/>
          <c:showSerName val="0"/>
          <c:showPercent val="0"/>
          <c:showBubbleSize val="0"/>
        </c:dLbls>
        <c:gapWidth val="182"/>
        <c:axId val="529550735"/>
        <c:axId val="404312767"/>
      </c:barChart>
      <c:catAx>
        <c:axId val="52955073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04312767"/>
        <c:crosses val="autoZero"/>
        <c:auto val="1"/>
        <c:lblAlgn val="ctr"/>
        <c:lblOffset val="100"/>
        <c:noMultiLvlLbl val="0"/>
      </c:catAx>
      <c:valAx>
        <c:axId val="404312767"/>
        <c:scaling>
          <c:orientation val="minMax"/>
        </c:scaling>
        <c:delete val="0"/>
        <c:axPos val="t"/>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29550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632852410760263E-2"/>
          <c:y val="1.9315163495515725E-2"/>
          <c:w val="0.8534337230249478"/>
          <c:h val="0.51874095754965432"/>
        </c:manualLayout>
      </c:layout>
      <c:barChart>
        <c:barDir val="bar"/>
        <c:grouping val="percentStacked"/>
        <c:varyColors val="0"/>
        <c:ser>
          <c:idx val="0"/>
          <c:order val="0"/>
          <c:tx>
            <c:strRef>
              <c:f>Hoja1!$E$90</c:f>
              <c:strCache>
                <c:ptCount val="1"/>
                <c:pt idx="0">
                  <c:v>Maquinaria y equipo para la construcción</c:v>
                </c:pt>
              </c:strCache>
            </c:strRef>
          </c:tx>
          <c:spPr>
            <a:solidFill>
              <a:srgbClr val="FFCE8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Hoja1!$C$91:$C$92</c:f>
              <c:strCache>
                <c:ptCount val="2"/>
                <c:pt idx="0">
                  <c:v>2021p/</c:v>
                </c:pt>
                <c:pt idx="1">
                  <c:v>2020</c:v>
                </c:pt>
              </c:strCache>
            </c:strRef>
          </c:cat>
          <c:val>
            <c:numRef>
              <c:f>Hoja1!$K$91:$K$92</c:f>
              <c:numCache>
                <c:formatCode>0.0</c:formatCode>
                <c:ptCount val="2"/>
                <c:pt idx="0">
                  <c:v>54.559357382207871</c:v>
                </c:pt>
                <c:pt idx="1">
                  <c:v>54.520949164786757</c:v>
                </c:pt>
              </c:numCache>
            </c:numRef>
          </c:val>
          <c:extLst>
            <c:ext xmlns:c16="http://schemas.microsoft.com/office/drawing/2014/chart" uri="{C3380CC4-5D6E-409C-BE32-E72D297353CC}">
              <c16:uniqueId val="{00000000-63C3-43B7-88F6-73B29BC56451}"/>
            </c:ext>
          </c:extLst>
        </c:ser>
        <c:ser>
          <c:idx val="1"/>
          <c:order val="1"/>
          <c:tx>
            <c:strRef>
              <c:f>Hoja1!$F$90</c:f>
              <c:strCache>
                <c:ptCount val="1"/>
                <c:pt idx="0">
                  <c:v>Bienes inmuebles</c:v>
                </c:pt>
              </c:strCache>
            </c:strRef>
          </c:tx>
          <c:spPr>
            <a:solidFill>
              <a:srgbClr val="FFB34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Hoja1!$C$91:$C$92</c:f>
              <c:strCache>
                <c:ptCount val="2"/>
                <c:pt idx="0">
                  <c:v>2021p/</c:v>
                </c:pt>
                <c:pt idx="1">
                  <c:v>2020</c:v>
                </c:pt>
              </c:strCache>
            </c:strRef>
          </c:cat>
          <c:val>
            <c:numRef>
              <c:f>Hoja1!$L$91:$L$92</c:f>
              <c:numCache>
                <c:formatCode>0.0</c:formatCode>
                <c:ptCount val="2"/>
                <c:pt idx="0">
                  <c:v>17.791830724240992</c:v>
                </c:pt>
                <c:pt idx="1">
                  <c:v>17.779429719543646</c:v>
                </c:pt>
              </c:numCache>
            </c:numRef>
          </c:val>
          <c:extLst>
            <c:ext xmlns:c16="http://schemas.microsoft.com/office/drawing/2014/chart" uri="{C3380CC4-5D6E-409C-BE32-E72D297353CC}">
              <c16:uniqueId val="{00000001-63C3-43B7-88F6-73B29BC56451}"/>
            </c:ext>
          </c:extLst>
        </c:ser>
        <c:ser>
          <c:idx val="2"/>
          <c:order val="2"/>
          <c:tx>
            <c:strRef>
              <c:f>Hoja1!$G$90</c:f>
              <c:strCache>
                <c:ptCount val="1"/>
                <c:pt idx="0">
                  <c:v>Unidades y equipo de transporte</c:v>
                </c:pt>
              </c:strCache>
            </c:strRef>
          </c:tx>
          <c:spPr>
            <a:solidFill>
              <a:srgbClr val="FFA01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Hoja1!$C$91:$C$92</c:f>
              <c:strCache>
                <c:ptCount val="2"/>
                <c:pt idx="0">
                  <c:v>2021p/</c:v>
                </c:pt>
                <c:pt idx="1">
                  <c:v>2020</c:v>
                </c:pt>
              </c:strCache>
            </c:strRef>
          </c:cat>
          <c:val>
            <c:numRef>
              <c:f>Hoja1!$M$91:$M$92</c:f>
              <c:numCache>
                <c:formatCode>0.0</c:formatCode>
                <c:ptCount val="2"/>
                <c:pt idx="0">
                  <c:v>19.51621787990814</c:v>
                </c:pt>
                <c:pt idx="1">
                  <c:v>19.560189144356581</c:v>
                </c:pt>
              </c:numCache>
            </c:numRef>
          </c:val>
          <c:extLst>
            <c:ext xmlns:c16="http://schemas.microsoft.com/office/drawing/2014/chart" uri="{C3380CC4-5D6E-409C-BE32-E72D297353CC}">
              <c16:uniqueId val="{00000002-63C3-43B7-88F6-73B29BC56451}"/>
            </c:ext>
          </c:extLst>
        </c:ser>
        <c:ser>
          <c:idx val="3"/>
          <c:order val="3"/>
          <c:tx>
            <c:strRef>
              <c:f>Hoja1!$H$90</c:f>
              <c:strCache>
                <c:ptCount val="1"/>
                <c:pt idx="0">
                  <c:v>Equipo de cómputo y periféricos</c:v>
                </c:pt>
              </c:strCache>
            </c:strRef>
          </c:tx>
          <c:spPr>
            <a:solidFill>
              <a:srgbClr val="E689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Hoja1!$C$91:$C$92</c:f>
              <c:strCache>
                <c:ptCount val="2"/>
                <c:pt idx="0">
                  <c:v>2021p/</c:v>
                </c:pt>
                <c:pt idx="1">
                  <c:v>2020</c:v>
                </c:pt>
              </c:strCache>
            </c:strRef>
          </c:cat>
          <c:val>
            <c:numRef>
              <c:f>Hoja1!$N$91:$N$92</c:f>
              <c:numCache>
                <c:formatCode>0.0</c:formatCode>
                <c:ptCount val="2"/>
                <c:pt idx="0">
                  <c:v>3.7083392674883835</c:v>
                </c:pt>
                <c:pt idx="1">
                  <c:v>3.70747049393779</c:v>
                </c:pt>
              </c:numCache>
            </c:numRef>
          </c:val>
          <c:extLst>
            <c:ext xmlns:c16="http://schemas.microsoft.com/office/drawing/2014/chart" uri="{C3380CC4-5D6E-409C-BE32-E72D297353CC}">
              <c16:uniqueId val="{00000003-63C3-43B7-88F6-73B29BC56451}"/>
            </c:ext>
          </c:extLst>
        </c:ser>
        <c:ser>
          <c:idx val="4"/>
          <c:order val="4"/>
          <c:tx>
            <c:strRef>
              <c:f>Hoja1!$I$90</c:f>
              <c:strCache>
                <c:ptCount val="1"/>
                <c:pt idx="0">
                  <c:v>Mobiliario, equipo de oficina y otros activos fijos</c:v>
                </c:pt>
              </c:strCache>
            </c:strRef>
          </c:tx>
          <c:spPr>
            <a:solidFill>
              <a:srgbClr val="A864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Hoja1!$C$91:$C$92</c:f>
              <c:strCache>
                <c:ptCount val="2"/>
                <c:pt idx="0">
                  <c:v>2021p/</c:v>
                </c:pt>
                <c:pt idx="1">
                  <c:v>2020</c:v>
                </c:pt>
              </c:strCache>
            </c:strRef>
          </c:cat>
          <c:val>
            <c:numRef>
              <c:f>Hoja1!$O$91:$O$92</c:f>
              <c:numCache>
                <c:formatCode>0.0</c:formatCode>
                <c:ptCount val="2"/>
                <c:pt idx="0">
                  <c:v>4.4242547461546193</c:v>
                </c:pt>
                <c:pt idx="1">
                  <c:v>4.4319614773752232</c:v>
                </c:pt>
              </c:numCache>
            </c:numRef>
          </c:val>
          <c:extLst>
            <c:ext xmlns:c16="http://schemas.microsoft.com/office/drawing/2014/chart" uri="{C3380CC4-5D6E-409C-BE32-E72D297353CC}">
              <c16:uniqueId val="{00000004-63C3-43B7-88F6-73B29BC56451}"/>
            </c:ext>
          </c:extLst>
        </c:ser>
        <c:dLbls>
          <c:dLblPos val="ctr"/>
          <c:showLegendKey val="0"/>
          <c:showVal val="1"/>
          <c:showCatName val="0"/>
          <c:showSerName val="0"/>
          <c:showPercent val="0"/>
          <c:showBubbleSize val="0"/>
        </c:dLbls>
        <c:gapWidth val="150"/>
        <c:overlap val="100"/>
        <c:axId val="581488431"/>
        <c:axId val="529178591"/>
      </c:barChart>
      <c:catAx>
        <c:axId val="5814884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529178591"/>
        <c:crosses val="autoZero"/>
        <c:auto val="1"/>
        <c:lblAlgn val="ctr"/>
        <c:lblOffset val="100"/>
        <c:noMultiLvlLbl val="0"/>
      </c:catAx>
      <c:valAx>
        <c:axId val="529178591"/>
        <c:scaling>
          <c:orientation val="minMax"/>
        </c:scaling>
        <c:delete val="0"/>
        <c:axPos val="b"/>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581488431"/>
        <c:crosses val="autoZero"/>
        <c:crossBetween val="between"/>
      </c:valAx>
      <c:spPr>
        <a:noFill/>
        <a:ln>
          <a:noFill/>
        </a:ln>
        <a:effectLst/>
      </c:spPr>
    </c:plotArea>
    <c:legend>
      <c:legendPos val="b"/>
      <c:layout>
        <c:manualLayout>
          <c:xMode val="edge"/>
          <c:yMode val="edge"/>
          <c:x val="9.087939873096311E-2"/>
          <c:y val="0.68408106480339392"/>
          <c:w val="0.88422809165147631"/>
          <c:h val="0.2404550616608995"/>
        </c:manualLayout>
      </c:layout>
      <c:overlay val="0"/>
      <c:spPr>
        <a:noFill/>
        <a:ln>
          <a:noFill/>
        </a:ln>
        <a:effectLst/>
      </c:spPr>
      <c:txPr>
        <a:bodyPr rot="0" spcFirstLastPara="1" vertOverflow="ellipsis" vert="horz" wrap="square" anchor="t" anchorCtr="0"/>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b="1">
          <a:solidFill>
            <a:schemeClr val="tx1"/>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Hoja1!$D$121</c:f>
              <c:strCache>
                <c:ptCount val="1"/>
                <c:pt idx="0">
                  <c:v>No</c:v>
                </c:pt>
              </c:strCache>
            </c:strRef>
          </c:tx>
          <c:spPr>
            <a:solidFill>
              <a:srgbClr val="ED7D31"/>
            </a:solidFill>
            <a:ln>
              <a:solidFill>
                <a:srgbClr val="ED7D3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Hoja1!$C$123:$C$124</c:f>
              <c:strCache>
                <c:ptCount val="2"/>
                <c:pt idx="0">
                  <c:v>2020</c:v>
                </c:pt>
                <c:pt idx="1">
                  <c:v>2021p/</c:v>
                </c:pt>
              </c:strCache>
            </c:strRef>
          </c:cat>
          <c:val>
            <c:numRef>
              <c:f>Hoja1!$D$123:$D$124</c:f>
              <c:numCache>
                <c:formatCode>General</c:formatCode>
                <c:ptCount val="2"/>
                <c:pt idx="0" formatCode="0.0">
                  <c:v>75.851762178548896</c:v>
                </c:pt>
                <c:pt idx="1">
                  <c:v>75.7</c:v>
                </c:pt>
              </c:numCache>
            </c:numRef>
          </c:val>
          <c:extLst>
            <c:ext xmlns:c16="http://schemas.microsoft.com/office/drawing/2014/chart" uri="{C3380CC4-5D6E-409C-BE32-E72D297353CC}">
              <c16:uniqueId val="{00000000-AF8C-4A3D-8A1F-DE2F6FA45AA2}"/>
            </c:ext>
          </c:extLst>
        </c:ser>
        <c:ser>
          <c:idx val="1"/>
          <c:order val="1"/>
          <c:tx>
            <c:strRef>
              <c:f>Hoja1!$E$121</c:f>
              <c:strCache>
                <c:ptCount val="1"/>
                <c:pt idx="0">
                  <c:v>Si</c:v>
                </c:pt>
              </c:strCache>
            </c:strRef>
          </c:tx>
          <c:spPr>
            <a:solidFill>
              <a:srgbClr val="FFB13F"/>
            </a:solidFill>
            <a:ln>
              <a:solidFill>
                <a:srgbClr val="FFB13F"/>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Hoja1!$C$123:$C$124</c:f>
              <c:strCache>
                <c:ptCount val="2"/>
                <c:pt idx="0">
                  <c:v>2020</c:v>
                </c:pt>
                <c:pt idx="1">
                  <c:v>2021p/</c:v>
                </c:pt>
              </c:strCache>
            </c:strRef>
          </c:cat>
          <c:val>
            <c:numRef>
              <c:f>Hoja1!$E$123:$E$124</c:f>
              <c:numCache>
                <c:formatCode>General</c:formatCode>
                <c:ptCount val="2"/>
                <c:pt idx="0" formatCode="0.0">
                  <c:v>24.148237821451104</c:v>
                </c:pt>
                <c:pt idx="1">
                  <c:v>24.3</c:v>
                </c:pt>
              </c:numCache>
            </c:numRef>
          </c:val>
          <c:extLst>
            <c:ext xmlns:c16="http://schemas.microsoft.com/office/drawing/2014/chart" uri="{C3380CC4-5D6E-409C-BE32-E72D297353CC}">
              <c16:uniqueId val="{00000001-AF8C-4A3D-8A1F-DE2F6FA45AA2}"/>
            </c:ext>
          </c:extLst>
        </c:ser>
        <c:dLbls>
          <c:dLblPos val="outEnd"/>
          <c:showLegendKey val="0"/>
          <c:showVal val="1"/>
          <c:showCatName val="0"/>
          <c:showSerName val="0"/>
          <c:showPercent val="0"/>
          <c:showBubbleSize val="0"/>
        </c:dLbls>
        <c:gapWidth val="219"/>
        <c:overlap val="-27"/>
        <c:axId val="32707471"/>
        <c:axId val="16850223"/>
      </c:barChart>
      <c:catAx>
        <c:axId val="32707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850223"/>
        <c:crosses val="autoZero"/>
        <c:auto val="1"/>
        <c:lblAlgn val="ctr"/>
        <c:lblOffset val="100"/>
        <c:noMultiLvlLbl val="0"/>
      </c:catAx>
      <c:valAx>
        <c:axId val="16850223"/>
        <c:scaling>
          <c:orientation val="minMax"/>
        </c:scaling>
        <c:delete val="1"/>
        <c:axPos val="l"/>
        <c:numFmt formatCode="0.0" sourceLinked="1"/>
        <c:majorTickMark val="none"/>
        <c:minorTickMark val="none"/>
        <c:tickLblPos val="nextTo"/>
        <c:crossAx val="32707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userShapes r:id="rId5"/>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Hoja1!$C$111</c:f>
              <c:strCache>
                <c:ptCount val="1"/>
                <c:pt idx="0">
                  <c:v>2020</c:v>
                </c:pt>
              </c:strCache>
            </c:strRef>
          </c:tx>
          <c:spPr>
            <a:solidFill>
              <a:srgbClr val="ED7D31"/>
            </a:solidFill>
            <a:ln w="19050">
              <a:solidFill>
                <a:srgbClr val="ED7D31"/>
              </a:solidFill>
            </a:ln>
            <a:effectLst/>
          </c:spPr>
          <c:invertIfNegative val="0"/>
          <c:dLbls>
            <c:dLbl>
              <c:idx val="0"/>
              <c:layout>
                <c:manualLayout>
                  <c:x val="-0.14563933435022197"/>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00-4D3A-ADC6-9357B631541A}"/>
                </c:ext>
              </c:extLst>
            </c:dLbl>
            <c:dLbl>
              <c:idx val="1"/>
              <c:layout>
                <c:manualLayout>
                  <c:x val="-3.1010364580339865E-2"/>
                  <c:y val="-3.67544537841796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00-4D3A-ADC6-9357B631541A}"/>
                </c:ext>
              </c:extLst>
            </c:dLbl>
            <c:dLbl>
              <c:idx val="2"/>
              <c:layout>
                <c:manualLayout>
                  <c:x val="-4.486832576584861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00-4D3A-ADC6-9357B631541A}"/>
                </c:ext>
              </c:extLst>
            </c:dLbl>
            <c:dLbl>
              <c:idx val="3"/>
              <c:layout>
                <c:manualLayout>
                  <c:x val="-0.12037634039200593"/>
                  <c:y val="-8.019466316710410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00-4D3A-ADC6-9357B631541A}"/>
                </c:ext>
              </c:extLst>
            </c:dLbl>
            <c:dLbl>
              <c:idx val="4"/>
              <c:layout>
                <c:manualLayout>
                  <c:x val="-0.14145488358457814"/>
                  <c:y val="-8.9648516124932952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00-4D3A-ADC6-9357B631541A}"/>
                </c:ext>
              </c:extLst>
            </c:dLbl>
            <c:numFmt formatCode="#,##0.0;#,##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Hoja1!$D$109:$H$109</c:f>
              <c:strCache>
                <c:ptCount val="5"/>
                <c:pt idx="0">
                  <c:v>Páginas web de proveedores</c:v>
                </c:pt>
                <c:pt idx="1">
                  <c:v>Páginas web de intermediarios</c:v>
                </c:pt>
                <c:pt idx="2">
                  <c:v>Redes sociales</c:v>
                </c:pt>
                <c:pt idx="3">
                  <c:v>Correo electrónico</c:v>
                </c:pt>
                <c:pt idx="4">
                  <c:v>Otra modalidad informatica</c:v>
                </c:pt>
              </c:strCache>
            </c:strRef>
          </c:cat>
          <c:val>
            <c:numRef>
              <c:f>Hoja1!$D$111:$H$111</c:f>
              <c:numCache>
                <c:formatCode>0.0</c:formatCode>
                <c:ptCount val="5"/>
                <c:pt idx="0">
                  <c:v>-31.0001978570414</c:v>
                </c:pt>
                <c:pt idx="1">
                  <c:v>-2.42894414407349</c:v>
                </c:pt>
                <c:pt idx="2">
                  <c:v>-5.4775659986361296</c:v>
                </c:pt>
                <c:pt idx="3">
                  <c:v>-26.3796063604164</c:v>
                </c:pt>
                <c:pt idx="4">
                  <c:v>-34.713053312013699</c:v>
                </c:pt>
              </c:numCache>
            </c:numRef>
          </c:val>
          <c:extLst>
            <c:ext xmlns:c16="http://schemas.microsoft.com/office/drawing/2014/chart" uri="{C3380CC4-5D6E-409C-BE32-E72D297353CC}">
              <c16:uniqueId val="{00000005-9900-4D3A-ADC6-9357B631541A}"/>
            </c:ext>
          </c:extLst>
        </c:ser>
        <c:ser>
          <c:idx val="1"/>
          <c:order val="1"/>
          <c:tx>
            <c:strRef>
              <c:f>Hoja1!$C$112</c:f>
              <c:strCache>
                <c:ptCount val="1"/>
                <c:pt idx="0">
                  <c:v>2021p/</c:v>
                </c:pt>
              </c:strCache>
            </c:strRef>
          </c:tx>
          <c:spPr>
            <a:solidFill>
              <a:srgbClr val="FFB13F"/>
            </a:solidFill>
            <a:ln w="19050">
              <a:solidFill>
                <a:srgbClr val="FFB13F"/>
              </a:solidFill>
            </a:ln>
            <a:effectLst/>
          </c:spPr>
          <c:invertIfNegative val="0"/>
          <c:dLbls>
            <c:dLbl>
              <c:idx val="0"/>
              <c:layout>
                <c:manualLayout>
                  <c:x val="0.13379780407030273"/>
                  <c:y val="1.458151064450277E-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00-4D3A-ADC6-9357B631541A}"/>
                </c:ext>
              </c:extLst>
            </c:dLbl>
            <c:dLbl>
              <c:idx val="1"/>
              <c:layout>
                <c:manualLayout>
                  <c:x val="2.5998888825028259E-2"/>
                  <c:y val="3.67544537841796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00-4D3A-ADC6-9357B631541A}"/>
                </c:ext>
              </c:extLst>
            </c:dLbl>
            <c:dLbl>
              <c:idx val="2"/>
              <c:layout>
                <c:manualLayout>
                  <c:x val="3.6356112420254036E-2"/>
                  <c:y val="-8.019246190858095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00-4D3A-ADC6-9357B631541A}"/>
                </c:ext>
              </c:extLst>
            </c:dLbl>
            <c:dLbl>
              <c:idx val="3"/>
              <c:layout>
                <c:manualLayout>
                  <c:x val="9.8823890469188644E-2"/>
                  <c:y val="-2.9048191892680083E-3"/>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7.0401968593029746E-2"/>
                      <c:h val="8.5159203584400434E-2"/>
                    </c:manualLayout>
                  </c15:layout>
                </c:ext>
                <c:ext xmlns:c16="http://schemas.microsoft.com/office/drawing/2014/chart" uri="{C3380CC4-5D6E-409C-BE32-E72D297353CC}">
                  <c16:uniqueId val="{00000009-9900-4D3A-ADC6-9357B631541A}"/>
                </c:ext>
              </c:extLst>
            </c:dLbl>
            <c:dLbl>
              <c:idx val="4"/>
              <c:layout>
                <c:manualLayout>
                  <c:x val="0.16932001300884511"/>
                  <c:y val="7.290755322251385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900-4D3A-ADC6-9357B631541A}"/>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Hoja1!$D$109:$H$109</c:f>
              <c:strCache>
                <c:ptCount val="5"/>
                <c:pt idx="0">
                  <c:v>Páginas web de proveedores</c:v>
                </c:pt>
                <c:pt idx="1">
                  <c:v>Páginas web de intermediarios</c:v>
                </c:pt>
                <c:pt idx="2">
                  <c:v>Redes sociales</c:v>
                </c:pt>
                <c:pt idx="3">
                  <c:v>Correo electrónico</c:v>
                </c:pt>
                <c:pt idx="4">
                  <c:v>Otra modalidad informatica</c:v>
                </c:pt>
              </c:strCache>
            </c:strRef>
          </c:cat>
          <c:val>
            <c:numRef>
              <c:f>Hoja1!$D$112:$H$112</c:f>
              <c:numCache>
                <c:formatCode>General</c:formatCode>
                <c:ptCount val="5"/>
                <c:pt idx="0">
                  <c:v>29.3</c:v>
                </c:pt>
                <c:pt idx="1">
                  <c:v>3.9</c:v>
                </c:pt>
                <c:pt idx="2">
                  <c:v>5.7</c:v>
                </c:pt>
                <c:pt idx="3">
                  <c:v>20.7</c:v>
                </c:pt>
                <c:pt idx="4">
                  <c:v>40.5</c:v>
                </c:pt>
              </c:numCache>
            </c:numRef>
          </c:val>
          <c:extLst>
            <c:ext xmlns:c16="http://schemas.microsoft.com/office/drawing/2014/chart" uri="{C3380CC4-5D6E-409C-BE32-E72D297353CC}">
              <c16:uniqueId val="{0000000B-9900-4D3A-ADC6-9357B631541A}"/>
            </c:ext>
          </c:extLst>
        </c:ser>
        <c:dLbls>
          <c:dLblPos val="inBase"/>
          <c:showLegendKey val="0"/>
          <c:showVal val="1"/>
          <c:showCatName val="0"/>
          <c:showSerName val="0"/>
          <c:showPercent val="0"/>
          <c:showBubbleSize val="0"/>
        </c:dLbls>
        <c:gapWidth val="62"/>
        <c:overlap val="100"/>
        <c:axId val="819455392"/>
        <c:axId val="819469120"/>
      </c:barChart>
      <c:catAx>
        <c:axId val="819455392"/>
        <c:scaling>
          <c:orientation val="maxMin"/>
        </c:scaling>
        <c:delete val="0"/>
        <c:axPos val="l"/>
        <c:numFmt formatCode="#,##0.00"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19469120"/>
        <c:crosses val="autoZero"/>
        <c:auto val="1"/>
        <c:lblAlgn val="ctr"/>
        <c:lblOffset val="100"/>
        <c:noMultiLvlLbl val="0"/>
      </c:catAx>
      <c:valAx>
        <c:axId val="819469120"/>
        <c:scaling>
          <c:orientation val="minMax"/>
        </c:scaling>
        <c:delete val="0"/>
        <c:axPos val="t"/>
        <c:numFmt formatCode="#,##0;#,##0" sourceLinked="0"/>
        <c:majorTickMark val="none"/>
        <c:minorTickMark val="none"/>
        <c:tickLblPos val="high"/>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19455392"/>
        <c:crosses val="autoZero"/>
        <c:crossBetween val="between"/>
      </c:valAx>
      <c:spPr>
        <a:noFill/>
        <a:ln>
          <a:noFill/>
        </a:ln>
        <a:effectLst/>
      </c:spPr>
    </c:plotArea>
    <c:legend>
      <c:legendPos val="b"/>
      <c:layout>
        <c:manualLayout>
          <c:xMode val="edge"/>
          <c:yMode val="edge"/>
          <c:x val="0.29206286386976499"/>
          <c:y val="0.89878499562554681"/>
          <c:w val="0.68347372808765394"/>
          <c:h val="6.7870190577762793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c:chart>
  <c:spPr>
    <a:solidFill>
      <a:schemeClr val="bg1"/>
    </a:solidFill>
    <a:ln w="9525" cap="flat" cmpd="sng" algn="ctr">
      <a:no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10.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 id="15">
  <a:schemeClr val="accent2"/>
</cs:colorStyle>
</file>

<file path=word/charts/colors9.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0.51977</cdr:x>
      <cdr:y>0.90228</cdr:y>
    </cdr:from>
    <cdr:to>
      <cdr:x>0.61016</cdr:x>
      <cdr:y>0.9837</cdr:y>
    </cdr:to>
    <cdr:pic>
      <cdr:nvPicPr>
        <cdr:cNvPr id="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628900" y="2638425"/>
          <a:ext cx="457143" cy="238095"/>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0.22718</cdr:x>
      <cdr:y>0.68284</cdr:y>
    </cdr:from>
    <cdr:to>
      <cdr:x>0.77157</cdr:x>
      <cdr:y>0.83953</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104900" y="1162050"/>
          <a:ext cx="2647619" cy="266667"/>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0.40523</cdr:x>
      <cdr:y>0.85722</cdr:y>
    </cdr:from>
    <cdr:to>
      <cdr:x>0.89215</cdr:x>
      <cdr:y>0.97525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203450" y="1936750"/>
          <a:ext cx="2647619" cy="266667"/>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0.3821</cdr:x>
      <cdr:y>0.85418</cdr:y>
    </cdr:from>
    <cdr:to>
      <cdr:x>0.89685</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965325" y="1562133"/>
          <a:ext cx="2647619" cy="266667"/>
        </a:xfrm>
        <a:prstGeom xmlns:a="http://schemas.openxmlformats.org/drawingml/2006/main" prst="rect">
          <a:avLst/>
        </a:prstGeom>
      </cdr:spPr>
    </cdr:pic>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ACD34-8586-4DEC-B1F5-BBD7343A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3085</Words>
  <Characters>16972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Comunicado. Encuesta Anual de Empresas Constructoras (EAEC) 2021</vt:lpstr>
    </vt:vector>
  </TitlesOfParts>
  <Manager>INEGI</Manager>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Encuesta Anual de Empresas Constructoras (EAEC) 2021</dc:title>
  <dc:subject/>
  <dc:creator>INEGI</dc:creator>
  <cp:keywords/>
  <dc:description/>
  <cp:lastModifiedBy>GUILLEN MEDINA MOISES</cp:lastModifiedBy>
  <cp:revision>7</cp:revision>
  <cp:lastPrinted>2022-12-03T04:20:00Z</cp:lastPrinted>
  <dcterms:created xsi:type="dcterms:W3CDTF">2022-12-03T03:43:00Z</dcterms:created>
  <dcterms:modified xsi:type="dcterms:W3CDTF">2022-12-03T05:18:00Z</dcterms:modified>
</cp:coreProperties>
</file>