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drawings/drawing1.xml" ContentType="application/vnd.openxmlformats-officedocument.drawingml.chartshapes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4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5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8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AA217" w14:textId="57436C45" w:rsidR="00CE2197" w:rsidRPr="00B54E6E" w:rsidRDefault="00615B0D" w:rsidP="00F83EF4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  <w:bookmarkStart w:id="0" w:name="_GoBack"/>
      <w:bookmarkEnd w:id="0"/>
      <w:r w:rsidRPr="00B54E6E">
        <w:rPr>
          <w:rFonts w:ascii="Arial" w:eastAsia="Calibri" w:hAnsi="Arial" w:cs="Arial"/>
          <w:b/>
          <w:sz w:val="24"/>
          <w:szCs w:val="24"/>
          <w:lang w:val="es-MX"/>
        </w:rPr>
        <w:t>DEFUNCIONES</w:t>
      </w:r>
      <w:r w:rsidR="001D75A4" w:rsidRPr="00B54E6E">
        <w:rPr>
          <w:rFonts w:ascii="Arial" w:eastAsia="Calibri" w:hAnsi="Arial" w:cs="Arial"/>
          <w:b/>
          <w:sz w:val="24"/>
          <w:szCs w:val="24"/>
          <w:lang w:val="es-MX"/>
        </w:rPr>
        <w:t xml:space="preserve"> FETALES</w:t>
      </w:r>
      <w:r w:rsidR="003F5746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Pr="00B54E6E">
        <w:rPr>
          <w:rFonts w:ascii="Arial" w:eastAsia="Calibri" w:hAnsi="Arial" w:cs="Arial"/>
          <w:b/>
          <w:sz w:val="24"/>
          <w:szCs w:val="24"/>
          <w:lang w:val="es-MX"/>
        </w:rPr>
        <w:t>REGISTRADAS</w:t>
      </w:r>
      <w:r w:rsidR="0094671E" w:rsidRPr="00B54E6E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Pr="00B54E6E">
        <w:rPr>
          <w:rFonts w:ascii="Arial" w:eastAsia="Calibri" w:hAnsi="Arial" w:cs="Arial"/>
          <w:b/>
          <w:sz w:val="24"/>
          <w:szCs w:val="24"/>
          <w:lang w:val="es-MX"/>
        </w:rPr>
        <w:t>EN MÉXICO DURANTE 20</w:t>
      </w:r>
      <w:r w:rsidR="004736CE" w:rsidRPr="00B54E6E">
        <w:rPr>
          <w:rFonts w:ascii="Arial" w:eastAsia="Calibri" w:hAnsi="Arial" w:cs="Arial"/>
          <w:b/>
          <w:sz w:val="24"/>
          <w:szCs w:val="24"/>
          <w:lang w:val="es-MX"/>
        </w:rPr>
        <w:t>2</w:t>
      </w:r>
      <w:r w:rsidR="001944AC" w:rsidRPr="00B54E6E">
        <w:rPr>
          <w:rFonts w:ascii="Arial" w:eastAsia="Calibri" w:hAnsi="Arial" w:cs="Arial"/>
          <w:b/>
          <w:sz w:val="24"/>
          <w:szCs w:val="24"/>
          <w:lang w:val="es-MX"/>
        </w:rPr>
        <w:t>1</w:t>
      </w:r>
    </w:p>
    <w:p w14:paraId="7C590BAB" w14:textId="77777777" w:rsidR="00F83EF4" w:rsidRPr="00B54E6E" w:rsidRDefault="00F83EF4" w:rsidP="00F83EF4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</w:p>
    <w:p w14:paraId="7F218B9D" w14:textId="25A3BB0B" w:rsidR="00067C80" w:rsidRPr="00CA43B4" w:rsidRDefault="00067C80" w:rsidP="004C3D8B">
      <w:pPr>
        <w:pStyle w:val="Prrafodelista"/>
        <w:widowControl/>
        <w:numPr>
          <w:ilvl w:val="0"/>
          <w:numId w:val="13"/>
        </w:numPr>
        <w:autoSpaceDE w:val="0"/>
        <w:autoSpaceDN w:val="0"/>
        <w:adjustRightInd w:val="0"/>
        <w:ind w:left="567" w:right="730" w:hanging="283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CA43B4">
        <w:rPr>
          <w:rFonts w:ascii="Arial" w:eastAsia="Calibri" w:hAnsi="Arial" w:cs="Arial"/>
          <w:sz w:val="24"/>
          <w:szCs w:val="24"/>
          <w:lang w:val="es-MX"/>
        </w:rPr>
        <w:t>Durante 202</w:t>
      </w:r>
      <w:r w:rsidR="001944AC" w:rsidRPr="00CA43B4">
        <w:rPr>
          <w:rFonts w:ascii="Arial" w:eastAsia="Calibri" w:hAnsi="Arial" w:cs="Arial"/>
          <w:sz w:val="24"/>
          <w:szCs w:val="24"/>
          <w:lang w:val="es-MX"/>
        </w:rPr>
        <w:t>1</w:t>
      </w:r>
      <w:r w:rsidRPr="00CA43B4">
        <w:rPr>
          <w:rFonts w:ascii="Arial" w:eastAsia="Calibri" w:hAnsi="Arial" w:cs="Arial"/>
          <w:sz w:val="24"/>
          <w:szCs w:val="24"/>
          <w:lang w:val="es-MX"/>
        </w:rPr>
        <w:t xml:space="preserve"> se registraron 2</w:t>
      </w:r>
      <w:r w:rsidR="003F5746" w:rsidRPr="00CA43B4">
        <w:rPr>
          <w:rFonts w:ascii="Arial" w:eastAsia="Calibri" w:hAnsi="Arial" w:cs="Arial"/>
          <w:sz w:val="24"/>
          <w:szCs w:val="24"/>
          <w:lang w:val="es-MX"/>
        </w:rPr>
        <w:t>3 00</w:t>
      </w:r>
      <w:r w:rsidR="00281B44">
        <w:rPr>
          <w:rFonts w:ascii="Arial" w:eastAsia="Calibri" w:hAnsi="Arial" w:cs="Arial"/>
          <w:sz w:val="24"/>
          <w:szCs w:val="24"/>
          <w:lang w:val="es-MX"/>
        </w:rPr>
        <w:t>0</w:t>
      </w:r>
      <w:r w:rsidRPr="00CA43B4">
        <w:rPr>
          <w:rFonts w:ascii="Arial" w:eastAsia="Calibri" w:hAnsi="Arial" w:cs="Arial"/>
          <w:sz w:val="24"/>
          <w:szCs w:val="24"/>
          <w:lang w:val="es-MX"/>
        </w:rPr>
        <w:t xml:space="preserve"> muertes fetales</w:t>
      </w:r>
      <w:r w:rsidR="00134977">
        <w:rPr>
          <w:rFonts w:ascii="Arial" w:eastAsia="Calibri" w:hAnsi="Arial" w:cs="Arial"/>
          <w:sz w:val="24"/>
          <w:szCs w:val="24"/>
          <w:lang w:val="es-MX"/>
        </w:rPr>
        <w:t>. Estas</w:t>
      </w:r>
      <w:r w:rsidR="00431336" w:rsidRPr="00CA43B4">
        <w:rPr>
          <w:rFonts w:ascii="Arial" w:eastAsia="Calibri" w:hAnsi="Arial" w:cs="Arial"/>
          <w:sz w:val="24"/>
          <w:szCs w:val="24"/>
          <w:lang w:val="es-MX"/>
        </w:rPr>
        <w:t xml:space="preserve"> corresponden a una tasa</w:t>
      </w:r>
      <w:r w:rsidR="008024DA" w:rsidRPr="00CA43B4">
        <w:rPr>
          <w:rFonts w:ascii="Arial" w:eastAsia="Calibri" w:hAnsi="Arial" w:cs="Arial"/>
          <w:sz w:val="24"/>
          <w:szCs w:val="24"/>
          <w:lang w:val="es-MX"/>
        </w:rPr>
        <w:t xml:space="preserve"> nacional de 6.7 </w:t>
      </w:r>
      <w:r w:rsidR="00431336" w:rsidRPr="00CA43B4">
        <w:rPr>
          <w:rFonts w:ascii="Arial" w:eastAsia="Calibri" w:hAnsi="Arial" w:cs="Arial"/>
          <w:sz w:val="24"/>
          <w:szCs w:val="24"/>
          <w:lang w:val="es-MX"/>
        </w:rPr>
        <w:t>por cada 10 000</w:t>
      </w:r>
      <w:r w:rsidR="008024DA" w:rsidRPr="00CA43B4">
        <w:rPr>
          <w:rFonts w:ascii="Arial" w:eastAsia="Calibri" w:hAnsi="Arial" w:cs="Arial"/>
          <w:sz w:val="24"/>
          <w:szCs w:val="24"/>
          <w:lang w:val="es-MX"/>
        </w:rPr>
        <w:t xml:space="preserve"> mujeres en edad fértil</w:t>
      </w:r>
      <w:r w:rsidRPr="00CA43B4">
        <w:rPr>
          <w:rFonts w:ascii="Arial" w:eastAsia="Calibri" w:hAnsi="Arial" w:cs="Arial"/>
          <w:sz w:val="24"/>
          <w:szCs w:val="24"/>
          <w:lang w:val="es-MX"/>
        </w:rPr>
        <w:t>.</w:t>
      </w:r>
    </w:p>
    <w:p w14:paraId="44F606D6" w14:textId="4E53E002" w:rsidR="005222ED" w:rsidRPr="00CA43B4" w:rsidRDefault="003F5746" w:rsidP="004C3D8B">
      <w:pPr>
        <w:pStyle w:val="Prrafodelista"/>
        <w:widowControl/>
        <w:numPr>
          <w:ilvl w:val="0"/>
          <w:numId w:val="13"/>
        </w:numPr>
        <w:autoSpaceDE w:val="0"/>
        <w:autoSpaceDN w:val="0"/>
        <w:adjustRightInd w:val="0"/>
        <w:ind w:left="567" w:right="730" w:hanging="283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CA43B4">
        <w:rPr>
          <w:rFonts w:ascii="Arial" w:hAnsi="Arial" w:cs="Arial"/>
          <w:sz w:val="24"/>
          <w:szCs w:val="24"/>
          <w:lang w:val="es-MX"/>
        </w:rPr>
        <w:t>83.5</w:t>
      </w:r>
      <w:r w:rsidR="00B54E6E" w:rsidRPr="00CA43B4">
        <w:rPr>
          <w:rFonts w:ascii="Arial" w:hAnsi="Arial" w:cs="Arial"/>
          <w:sz w:val="24"/>
          <w:szCs w:val="24"/>
          <w:lang w:val="es-MX"/>
        </w:rPr>
        <w:t xml:space="preserve"> </w:t>
      </w:r>
      <w:r w:rsidR="005222ED" w:rsidRPr="00CA43B4">
        <w:rPr>
          <w:rFonts w:ascii="Arial" w:hAnsi="Arial" w:cs="Arial"/>
          <w:sz w:val="24"/>
          <w:szCs w:val="24"/>
          <w:lang w:val="es-MX"/>
        </w:rPr>
        <w:t>% de l</w:t>
      </w:r>
      <w:r w:rsidR="007A288A" w:rsidRPr="00CA43B4">
        <w:rPr>
          <w:rFonts w:ascii="Arial" w:hAnsi="Arial" w:cs="Arial"/>
          <w:sz w:val="24"/>
          <w:szCs w:val="24"/>
          <w:lang w:val="es-MX"/>
        </w:rPr>
        <w:t>a</w:t>
      </w:r>
      <w:r w:rsidR="005222ED" w:rsidRPr="00CA43B4">
        <w:rPr>
          <w:rFonts w:ascii="Arial" w:hAnsi="Arial" w:cs="Arial"/>
          <w:sz w:val="24"/>
          <w:szCs w:val="24"/>
          <w:lang w:val="es-MX"/>
        </w:rPr>
        <w:t xml:space="preserve">s </w:t>
      </w:r>
      <w:r w:rsidR="007A288A" w:rsidRPr="00CA43B4">
        <w:rPr>
          <w:rFonts w:ascii="Arial" w:hAnsi="Arial" w:cs="Arial"/>
          <w:sz w:val="24"/>
          <w:szCs w:val="24"/>
          <w:lang w:val="es-MX"/>
        </w:rPr>
        <w:t>muertes fetales</w:t>
      </w:r>
      <w:r w:rsidR="005222ED" w:rsidRPr="00CA43B4">
        <w:rPr>
          <w:rFonts w:ascii="Arial" w:hAnsi="Arial" w:cs="Arial"/>
          <w:sz w:val="24"/>
          <w:szCs w:val="24"/>
          <w:lang w:val="es-MX"/>
        </w:rPr>
        <w:t xml:space="preserve"> ocurri</w:t>
      </w:r>
      <w:r w:rsidR="00780E74">
        <w:rPr>
          <w:rFonts w:ascii="Arial" w:hAnsi="Arial" w:cs="Arial"/>
          <w:sz w:val="24"/>
          <w:szCs w:val="24"/>
          <w:lang w:val="es-MX"/>
        </w:rPr>
        <w:t>ó</w:t>
      </w:r>
      <w:r w:rsidR="005222ED" w:rsidRPr="00CA43B4">
        <w:rPr>
          <w:rFonts w:ascii="Arial" w:hAnsi="Arial" w:cs="Arial"/>
          <w:sz w:val="24"/>
          <w:szCs w:val="24"/>
          <w:lang w:val="es-MX"/>
        </w:rPr>
        <w:t xml:space="preserve"> antes del parto, </w:t>
      </w:r>
      <w:r w:rsidR="003D39F0" w:rsidRPr="00CA43B4">
        <w:rPr>
          <w:rFonts w:ascii="Arial" w:hAnsi="Arial" w:cs="Arial"/>
          <w:sz w:val="24"/>
          <w:szCs w:val="24"/>
          <w:lang w:val="es-MX"/>
        </w:rPr>
        <w:t>15.</w:t>
      </w:r>
      <w:r w:rsidRPr="00CA43B4">
        <w:rPr>
          <w:rFonts w:ascii="Arial" w:hAnsi="Arial" w:cs="Arial"/>
          <w:sz w:val="24"/>
          <w:szCs w:val="24"/>
          <w:lang w:val="es-MX"/>
        </w:rPr>
        <w:t>3</w:t>
      </w:r>
      <w:r w:rsidR="00B54E6E" w:rsidRPr="00CA43B4">
        <w:rPr>
          <w:rFonts w:ascii="Arial" w:hAnsi="Arial" w:cs="Arial"/>
          <w:sz w:val="24"/>
          <w:szCs w:val="24"/>
          <w:lang w:val="es-MX"/>
        </w:rPr>
        <w:t xml:space="preserve"> </w:t>
      </w:r>
      <w:r w:rsidR="005222ED" w:rsidRPr="00CA43B4">
        <w:rPr>
          <w:rFonts w:ascii="Arial" w:hAnsi="Arial" w:cs="Arial"/>
          <w:sz w:val="24"/>
          <w:szCs w:val="24"/>
          <w:lang w:val="es-MX"/>
        </w:rPr>
        <w:t xml:space="preserve">% durante el parto y </w:t>
      </w:r>
      <w:r w:rsidR="007A288A" w:rsidRPr="00CA43B4">
        <w:rPr>
          <w:rFonts w:ascii="Arial" w:hAnsi="Arial" w:cs="Arial"/>
          <w:sz w:val="24"/>
          <w:szCs w:val="24"/>
          <w:lang w:val="es-MX"/>
        </w:rPr>
        <w:t xml:space="preserve">en </w:t>
      </w:r>
      <w:r w:rsidR="003D39F0" w:rsidRPr="00CA43B4">
        <w:rPr>
          <w:rFonts w:ascii="Arial" w:hAnsi="Arial" w:cs="Arial"/>
          <w:sz w:val="24"/>
          <w:szCs w:val="24"/>
          <w:lang w:val="es-MX"/>
        </w:rPr>
        <w:t>1.</w:t>
      </w:r>
      <w:r w:rsidRPr="00CA43B4">
        <w:rPr>
          <w:rFonts w:ascii="Arial" w:hAnsi="Arial" w:cs="Arial"/>
          <w:sz w:val="24"/>
          <w:szCs w:val="24"/>
          <w:lang w:val="es-MX"/>
        </w:rPr>
        <w:t>2</w:t>
      </w:r>
      <w:r w:rsidR="00B54E6E" w:rsidRPr="00CA43B4">
        <w:rPr>
          <w:rFonts w:ascii="Arial" w:hAnsi="Arial" w:cs="Arial"/>
          <w:sz w:val="24"/>
          <w:szCs w:val="24"/>
          <w:lang w:val="es-MX"/>
        </w:rPr>
        <w:t xml:space="preserve"> </w:t>
      </w:r>
      <w:r w:rsidR="005222ED" w:rsidRPr="00CA43B4">
        <w:rPr>
          <w:rFonts w:ascii="Arial" w:hAnsi="Arial" w:cs="Arial"/>
          <w:sz w:val="24"/>
          <w:szCs w:val="24"/>
          <w:lang w:val="es-MX"/>
        </w:rPr>
        <w:t xml:space="preserve">% </w:t>
      </w:r>
      <w:r w:rsidR="007A288A" w:rsidRPr="00CA43B4">
        <w:rPr>
          <w:rFonts w:ascii="Arial" w:hAnsi="Arial" w:cs="Arial"/>
          <w:sz w:val="24"/>
          <w:szCs w:val="24"/>
          <w:lang w:val="es-MX"/>
        </w:rPr>
        <w:t xml:space="preserve">de los casos </w:t>
      </w:r>
      <w:r w:rsidR="005222ED" w:rsidRPr="00CA43B4">
        <w:rPr>
          <w:rFonts w:ascii="Arial" w:hAnsi="Arial" w:cs="Arial"/>
          <w:sz w:val="24"/>
          <w:szCs w:val="24"/>
          <w:lang w:val="es-MX"/>
        </w:rPr>
        <w:t xml:space="preserve">no </w:t>
      </w:r>
      <w:r w:rsidR="004C3D8B">
        <w:rPr>
          <w:rFonts w:ascii="Arial" w:hAnsi="Arial" w:cs="Arial"/>
          <w:sz w:val="24"/>
          <w:szCs w:val="24"/>
          <w:lang w:val="es-MX"/>
        </w:rPr>
        <w:t xml:space="preserve">se especificó. </w:t>
      </w:r>
    </w:p>
    <w:p w14:paraId="2D7122E0" w14:textId="3E92A3EF" w:rsidR="00067C80" w:rsidRPr="00CA43B4" w:rsidRDefault="00134977" w:rsidP="004C3D8B">
      <w:pPr>
        <w:pStyle w:val="Prrafodelista"/>
        <w:widowControl/>
        <w:numPr>
          <w:ilvl w:val="0"/>
          <w:numId w:val="13"/>
        </w:numPr>
        <w:autoSpaceDE w:val="0"/>
        <w:autoSpaceDN w:val="0"/>
        <w:adjustRightInd w:val="0"/>
        <w:ind w:left="567" w:right="730" w:hanging="283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Según</w:t>
      </w:r>
      <w:r w:rsidR="00067C80" w:rsidRPr="00CA43B4">
        <w:rPr>
          <w:rFonts w:ascii="Arial" w:hAnsi="Arial" w:cs="Arial"/>
          <w:sz w:val="24"/>
          <w:szCs w:val="24"/>
          <w:lang w:val="es-MX"/>
        </w:rPr>
        <w:t xml:space="preserve"> sexo del feto, 1</w:t>
      </w:r>
      <w:r w:rsidR="003F5746" w:rsidRPr="00CA43B4">
        <w:rPr>
          <w:rFonts w:ascii="Arial" w:hAnsi="Arial" w:cs="Arial"/>
          <w:sz w:val="24"/>
          <w:szCs w:val="24"/>
          <w:lang w:val="es-MX"/>
        </w:rPr>
        <w:t>2 0</w:t>
      </w:r>
      <w:r w:rsidR="00B825B9">
        <w:rPr>
          <w:rFonts w:ascii="Arial" w:hAnsi="Arial" w:cs="Arial"/>
          <w:sz w:val="24"/>
          <w:szCs w:val="24"/>
          <w:lang w:val="es-MX"/>
        </w:rPr>
        <w:t>18</w:t>
      </w:r>
      <w:r w:rsidR="00F6737E" w:rsidRPr="00CA43B4">
        <w:rPr>
          <w:rFonts w:ascii="Arial" w:hAnsi="Arial" w:cs="Arial"/>
          <w:sz w:val="24"/>
          <w:szCs w:val="24"/>
          <w:lang w:val="es-MX"/>
        </w:rPr>
        <w:t xml:space="preserve"> </w:t>
      </w:r>
      <w:r w:rsidR="00067C80" w:rsidRPr="00CA43B4">
        <w:rPr>
          <w:rFonts w:ascii="Arial" w:hAnsi="Arial" w:cs="Arial"/>
          <w:sz w:val="24"/>
          <w:szCs w:val="24"/>
          <w:lang w:val="es-MX"/>
        </w:rPr>
        <w:t xml:space="preserve">muertes fetales </w:t>
      </w:r>
      <w:r w:rsidR="008024DA" w:rsidRPr="00CA43B4">
        <w:rPr>
          <w:rFonts w:ascii="Arial" w:hAnsi="Arial" w:cs="Arial"/>
          <w:sz w:val="24"/>
          <w:szCs w:val="24"/>
          <w:lang w:val="es-MX"/>
        </w:rPr>
        <w:t>(52.</w:t>
      </w:r>
      <w:r w:rsidR="0037407F" w:rsidRPr="00CA43B4">
        <w:rPr>
          <w:rFonts w:ascii="Arial" w:hAnsi="Arial" w:cs="Arial"/>
          <w:sz w:val="24"/>
          <w:szCs w:val="24"/>
          <w:lang w:val="es-MX"/>
        </w:rPr>
        <w:t>3</w:t>
      </w:r>
      <w:r w:rsidR="00B54E6E" w:rsidRPr="00CA43B4">
        <w:rPr>
          <w:rFonts w:ascii="Arial" w:hAnsi="Arial" w:cs="Arial"/>
          <w:sz w:val="24"/>
          <w:szCs w:val="24"/>
          <w:lang w:val="es-MX"/>
        </w:rPr>
        <w:t xml:space="preserve"> </w:t>
      </w:r>
      <w:r w:rsidR="008024DA" w:rsidRPr="00CA43B4">
        <w:rPr>
          <w:rFonts w:ascii="Arial" w:hAnsi="Arial" w:cs="Arial"/>
          <w:sz w:val="24"/>
          <w:szCs w:val="24"/>
          <w:lang w:val="es-MX"/>
        </w:rPr>
        <w:t xml:space="preserve">%) </w:t>
      </w:r>
      <w:r w:rsidR="00067C80" w:rsidRPr="00CA43B4">
        <w:rPr>
          <w:rFonts w:ascii="Arial" w:hAnsi="Arial" w:cs="Arial"/>
          <w:sz w:val="24"/>
          <w:szCs w:val="24"/>
          <w:lang w:val="es-MX"/>
        </w:rPr>
        <w:t xml:space="preserve">correspondieron a hombres y 8 </w:t>
      </w:r>
      <w:r w:rsidR="003F5746" w:rsidRPr="00CA43B4">
        <w:rPr>
          <w:rFonts w:ascii="Arial" w:hAnsi="Arial" w:cs="Arial"/>
          <w:sz w:val="24"/>
          <w:szCs w:val="24"/>
          <w:lang w:val="es-MX"/>
        </w:rPr>
        <w:t>90</w:t>
      </w:r>
      <w:r w:rsidR="00B825B9">
        <w:rPr>
          <w:rFonts w:ascii="Arial" w:hAnsi="Arial" w:cs="Arial"/>
          <w:sz w:val="24"/>
          <w:szCs w:val="24"/>
          <w:lang w:val="es-MX"/>
        </w:rPr>
        <w:t>2</w:t>
      </w:r>
      <w:r w:rsidR="00067C80" w:rsidRPr="00CA43B4">
        <w:rPr>
          <w:rFonts w:ascii="Arial" w:hAnsi="Arial" w:cs="Arial"/>
          <w:sz w:val="24"/>
          <w:szCs w:val="24"/>
          <w:lang w:val="es-MX"/>
        </w:rPr>
        <w:t xml:space="preserve"> a mujeres (</w:t>
      </w:r>
      <w:r w:rsidR="0097211B" w:rsidRPr="00CA43B4">
        <w:rPr>
          <w:rFonts w:ascii="Arial" w:hAnsi="Arial" w:cs="Arial"/>
          <w:sz w:val="24"/>
          <w:szCs w:val="24"/>
          <w:lang w:val="es-MX"/>
        </w:rPr>
        <w:t>3</w:t>
      </w:r>
      <w:r w:rsidR="003F5746" w:rsidRPr="00CA43B4">
        <w:rPr>
          <w:rFonts w:ascii="Arial" w:hAnsi="Arial" w:cs="Arial"/>
          <w:sz w:val="24"/>
          <w:szCs w:val="24"/>
          <w:lang w:val="es-MX"/>
        </w:rPr>
        <w:t>8.7</w:t>
      </w:r>
      <w:r w:rsidR="00B54E6E" w:rsidRPr="00CA43B4">
        <w:rPr>
          <w:rFonts w:ascii="Arial" w:hAnsi="Arial" w:cs="Arial"/>
          <w:sz w:val="24"/>
          <w:szCs w:val="24"/>
          <w:lang w:val="es-MX"/>
        </w:rPr>
        <w:t xml:space="preserve"> </w:t>
      </w:r>
      <w:r w:rsidR="0097211B" w:rsidRPr="00CA43B4">
        <w:rPr>
          <w:rFonts w:ascii="Arial" w:hAnsi="Arial" w:cs="Arial"/>
          <w:sz w:val="24"/>
          <w:szCs w:val="24"/>
          <w:lang w:val="es-MX"/>
        </w:rPr>
        <w:t>%)</w:t>
      </w:r>
      <w:r w:rsidR="008024DA" w:rsidRPr="00CA43B4">
        <w:rPr>
          <w:rFonts w:ascii="Arial" w:hAnsi="Arial" w:cs="Arial"/>
          <w:sz w:val="24"/>
          <w:szCs w:val="24"/>
          <w:lang w:val="es-MX"/>
        </w:rPr>
        <w:t xml:space="preserve">; </w:t>
      </w:r>
      <w:r w:rsidR="003F5746" w:rsidRPr="00CA43B4">
        <w:rPr>
          <w:rFonts w:ascii="Arial" w:hAnsi="Arial" w:cs="Arial"/>
          <w:sz w:val="24"/>
          <w:szCs w:val="24"/>
          <w:lang w:val="es-MX"/>
        </w:rPr>
        <w:t>9.0</w:t>
      </w:r>
      <w:r w:rsidR="00B54E6E" w:rsidRPr="00CA43B4">
        <w:rPr>
          <w:rFonts w:ascii="Arial" w:hAnsi="Arial" w:cs="Arial"/>
          <w:sz w:val="24"/>
          <w:szCs w:val="24"/>
          <w:lang w:val="es-MX"/>
        </w:rPr>
        <w:t xml:space="preserve"> </w:t>
      </w:r>
      <w:r w:rsidR="00067C80" w:rsidRPr="00CA43B4">
        <w:rPr>
          <w:rFonts w:ascii="Arial" w:hAnsi="Arial" w:cs="Arial"/>
          <w:sz w:val="24"/>
          <w:szCs w:val="24"/>
          <w:lang w:val="es-MX"/>
        </w:rPr>
        <w:t xml:space="preserve">% correspondió a casos en los que </w:t>
      </w:r>
      <w:r w:rsidR="004C3D8B">
        <w:rPr>
          <w:rFonts w:ascii="Arial" w:hAnsi="Arial" w:cs="Arial"/>
          <w:sz w:val="24"/>
          <w:szCs w:val="24"/>
          <w:lang w:val="es-MX"/>
        </w:rPr>
        <w:t xml:space="preserve">no se especificó el sexo. </w:t>
      </w:r>
    </w:p>
    <w:p w14:paraId="66BC7171" w14:textId="77777777" w:rsidR="0042218A" w:rsidRPr="00CA43B4" w:rsidRDefault="0042218A" w:rsidP="0042218A">
      <w:pPr>
        <w:jc w:val="both"/>
        <w:rPr>
          <w:rFonts w:ascii="Arial" w:eastAsia="Calibri" w:hAnsi="Arial" w:cs="Arial"/>
          <w:sz w:val="24"/>
          <w:szCs w:val="24"/>
        </w:rPr>
      </w:pPr>
    </w:p>
    <w:p w14:paraId="6658E10D" w14:textId="77777777" w:rsidR="0042218A" w:rsidRPr="00CA43B4" w:rsidRDefault="0042218A" w:rsidP="0042218A">
      <w:pPr>
        <w:autoSpaceDE w:val="0"/>
        <w:autoSpaceDN w:val="0"/>
        <w:adjustRightInd w:val="0"/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</w:pPr>
      <w:r w:rsidRPr="00CA43B4"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  <w:t>Principales resultados</w:t>
      </w:r>
    </w:p>
    <w:p w14:paraId="7ABEAA3A" w14:textId="77777777" w:rsidR="0042218A" w:rsidRPr="00CA43B4" w:rsidRDefault="0042218A" w:rsidP="0042218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7F957298" w14:textId="77777777" w:rsidR="0042218A" w:rsidRPr="00CA43B4" w:rsidRDefault="0042218A" w:rsidP="0042218A">
      <w:pPr>
        <w:pStyle w:val="Prrafodelista"/>
        <w:numPr>
          <w:ilvl w:val="0"/>
          <w:numId w:val="18"/>
        </w:numPr>
        <w:autoSpaceDE w:val="0"/>
        <w:autoSpaceDN w:val="0"/>
        <w:adjustRightInd w:val="0"/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</w:pPr>
      <w:r w:rsidRPr="00CA43B4"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  <w:t>Características de la muerte fetal</w:t>
      </w:r>
    </w:p>
    <w:p w14:paraId="235A376B" w14:textId="77777777" w:rsidR="0042218A" w:rsidRPr="00CA43B4" w:rsidRDefault="0042218A" w:rsidP="0042218A">
      <w:pPr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34CBC97C" w14:textId="15F7C320" w:rsidR="00A10C32" w:rsidRDefault="004C3D8B" w:rsidP="00F0312E">
      <w:pPr>
        <w:pStyle w:val="Textoindependiente"/>
        <w:ind w:left="0" w:right="170"/>
        <w:jc w:val="both"/>
        <w:rPr>
          <w:rFonts w:cs="Arial"/>
        </w:rPr>
      </w:pPr>
      <w:r>
        <w:rPr>
          <w:rFonts w:cs="Arial"/>
        </w:rPr>
        <w:t>L</w:t>
      </w:r>
      <w:r w:rsidR="00F0312E" w:rsidRPr="00CA43B4">
        <w:rPr>
          <w:rFonts w:cs="Arial"/>
        </w:rPr>
        <w:t>a</w:t>
      </w:r>
      <w:r w:rsidR="00A10C32">
        <w:rPr>
          <w:rFonts w:cs="Arial"/>
        </w:rPr>
        <w:t>s</w:t>
      </w:r>
      <w:r w:rsidR="00F0312E" w:rsidRPr="00CA43B4">
        <w:rPr>
          <w:rFonts w:cs="Arial"/>
        </w:rPr>
        <w:t xml:space="preserve"> </w:t>
      </w:r>
      <w:r w:rsidR="002327DC">
        <w:rPr>
          <w:rFonts w:cs="Arial"/>
        </w:rPr>
        <w:t>E</w:t>
      </w:r>
      <w:r w:rsidR="00F0312E" w:rsidRPr="00CA43B4">
        <w:rPr>
          <w:rFonts w:cs="Arial"/>
        </w:rPr>
        <w:t>stadística</w:t>
      </w:r>
      <w:r w:rsidR="00A10C32">
        <w:rPr>
          <w:rFonts w:cs="Arial"/>
        </w:rPr>
        <w:t>s</w:t>
      </w:r>
      <w:r w:rsidR="00F0312E" w:rsidRPr="00CA43B4">
        <w:rPr>
          <w:rFonts w:cs="Arial"/>
        </w:rPr>
        <w:t xml:space="preserve"> de </w:t>
      </w:r>
      <w:r w:rsidR="002327DC">
        <w:rPr>
          <w:rFonts w:cs="Arial"/>
        </w:rPr>
        <w:t>D</w:t>
      </w:r>
      <w:r w:rsidR="00F0312E" w:rsidRPr="00CA43B4">
        <w:rPr>
          <w:rFonts w:cs="Arial"/>
        </w:rPr>
        <w:t xml:space="preserve">efunciones </w:t>
      </w:r>
      <w:r w:rsidR="002327DC">
        <w:rPr>
          <w:rFonts w:cs="Arial"/>
        </w:rPr>
        <w:t>F</w:t>
      </w:r>
      <w:r w:rsidR="00F0312E" w:rsidRPr="00CA43B4">
        <w:rPr>
          <w:rFonts w:cs="Arial"/>
        </w:rPr>
        <w:t xml:space="preserve">etales </w:t>
      </w:r>
      <w:r w:rsidR="00A10C32">
        <w:rPr>
          <w:rFonts w:cs="Arial"/>
        </w:rPr>
        <w:t xml:space="preserve">(EDF) </w:t>
      </w:r>
      <w:r w:rsidR="00F0312E" w:rsidRPr="00CA43B4">
        <w:rPr>
          <w:rFonts w:cs="Arial"/>
        </w:rPr>
        <w:t>se obtiene</w:t>
      </w:r>
      <w:r w:rsidR="00A10C32">
        <w:rPr>
          <w:rFonts w:cs="Arial"/>
        </w:rPr>
        <w:t>n</w:t>
      </w:r>
      <w:r w:rsidR="00F0312E" w:rsidRPr="00CA43B4">
        <w:rPr>
          <w:rFonts w:cs="Arial"/>
        </w:rPr>
        <w:t xml:space="preserve"> </w:t>
      </w:r>
      <w:r>
        <w:rPr>
          <w:rFonts w:cs="Arial"/>
        </w:rPr>
        <w:t xml:space="preserve">anualmente </w:t>
      </w:r>
      <w:r w:rsidR="00F0312E" w:rsidRPr="00CA43B4">
        <w:rPr>
          <w:rFonts w:cs="Arial"/>
        </w:rPr>
        <w:t>del aprovechamiento de los registros administrativos de las oficinas del Registro Civil distribuidas en todo el país.</w:t>
      </w:r>
    </w:p>
    <w:p w14:paraId="7C93314F" w14:textId="77777777" w:rsidR="00A10C32" w:rsidRDefault="00A10C32" w:rsidP="00F0312E">
      <w:pPr>
        <w:pStyle w:val="Textoindependiente"/>
        <w:ind w:left="0" w:right="170"/>
        <w:jc w:val="both"/>
        <w:rPr>
          <w:rFonts w:cs="Arial"/>
        </w:rPr>
      </w:pPr>
    </w:p>
    <w:p w14:paraId="4C669574" w14:textId="15B938A3" w:rsidR="00F0312E" w:rsidRPr="00CA43B4" w:rsidRDefault="00F0312E" w:rsidP="00F0312E">
      <w:pPr>
        <w:pStyle w:val="Textoindependiente"/>
        <w:ind w:left="0" w:right="170"/>
        <w:jc w:val="both"/>
        <w:rPr>
          <w:rFonts w:cs="Arial"/>
        </w:rPr>
      </w:pPr>
      <w:r w:rsidRPr="00CA43B4">
        <w:rPr>
          <w:rFonts w:cs="Arial"/>
        </w:rPr>
        <w:t>La información que integra la</w:t>
      </w:r>
      <w:r w:rsidR="007E1195">
        <w:rPr>
          <w:rFonts w:cs="Arial"/>
        </w:rPr>
        <w:t>s EDF</w:t>
      </w:r>
      <w:r w:rsidRPr="00CA43B4">
        <w:rPr>
          <w:rFonts w:cs="Arial"/>
        </w:rPr>
        <w:t xml:space="preserve"> </w:t>
      </w:r>
      <w:r w:rsidR="004C3D8B">
        <w:rPr>
          <w:rFonts w:cs="Arial"/>
        </w:rPr>
        <w:t xml:space="preserve">se suministró </w:t>
      </w:r>
      <w:r w:rsidRPr="00FF6632">
        <w:rPr>
          <w:rFonts w:cs="Arial"/>
        </w:rPr>
        <w:t>por 1 4</w:t>
      </w:r>
      <w:r w:rsidR="00FF6632" w:rsidRPr="00FF6632">
        <w:rPr>
          <w:rFonts w:cs="Arial"/>
        </w:rPr>
        <w:t>35</w:t>
      </w:r>
      <w:r w:rsidRPr="00FF6632">
        <w:rPr>
          <w:rFonts w:cs="Arial"/>
        </w:rPr>
        <w:t xml:space="preserve"> fuentes </w:t>
      </w:r>
      <w:r w:rsidRPr="00CA43B4">
        <w:rPr>
          <w:rFonts w:cs="Arial"/>
        </w:rPr>
        <w:t xml:space="preserve">informantes, </w:t>
      </w:r>
      <w:r w:rsidR="0050717D">
        <w:rPr>
          <w:rFonts w:cs="Arial"/>
        </w:rPr>
        <w:t>ade</w:t>
      </w:r>
      <w:r w:rsidRPr="00CA43B4">
        <w:rPr>
          <w:rFonts w:cs="Arial"/>
        </w:rPr>
        <w:t xml:space="preserve">más </w:t>
      </w:r>
      <w:r w:rsidR="0050717D">
        <w:rPr>
          <w:rFonts w:cs="Arial"/>
        </w:rPr>
        <w:t>d</w:t>
      </w:r>
      <w:r w:rsidRPr="00CA43B4">
        <w:rPr>
          <w:rFonts w:cs="Arial"/>
        </w:rPr>
        <w:t>e</w:t>
      </w:r>
      <w:r w:rsidR="004C3D8B">
        <w:rPr>
          <w:rFonts w:cs="Arial"/>
        </w:rPr>
        <w:t xml:space="preserve"> los </w:t>
      </w:r>
      <w:r w:rsidRPr="00CA43B4">
        <w:rPr>
          <w:rFonts w:cs="Arial"/>
        </w:rPr>
        <w:t>casos</w:t>
      </w:r>
      <w:r w:rsidR="004C3D8B">
        <w:rPr>
          <w:rFonts w:cs="Arial"/>
        </w:rPr>
        <w:t xml:space="preserve"> que se reciben </w:t>
      </w:r>
      <w:r w:rsidRPr="00CA43B4">
        <w:rPr>
          <w:rFonts w:cs="Arial"/>
        </w:rPr>
        <w:t>en formato digital</w:t>
      </w:r>
      <w:r w:rsidR="007E1195">
        <w:rPr>
          <w:rFonts w:cs="Arial"/>
        </w:rPr>
        <w:t xml:space="preserve"> por</w:t>
      </w:r>
      <w:r w:rsidR="0050717D">
        <w:rPr>
          <w:rFonts w:cs="Arial"/>
        </w:rPr>
        <w:t xml:space="preserve"> parte de la Secretaría de Salud</w:t>
      </w:r>
      <w:r w:rsidR="003129D8">
        <w:rPr>
          <w:rFonts w:cs="Arial"/>
        </w:rPr>
        <w:t xml:space="preserve"> (SSA)</w:t>
      </w:r>
      <w:r w:rsidR="0050717D">
        <w:rPr>
          <w:rFonts w:cs="Arial"/>
        </w:rPr>
        <w:t xml:space="preserve">, </w:t>
      </w:r>
      <w:r w:rsidR="003129D8">
        <w:rPr>
          <w:rFonts w:cs="Arial"/>
        </w:rPr>
        <w:t>en el marco del convenio vigente para el intercambio de información en la materia</w:t>
      </w:r>
      <w:r w:rsidRPr="00CA43B4">
        <w:rPr>
          <w:rFonts w:cs="Arial"/>
        </w:rPr>
        <w:t xml:space="preserve">. Lo anterior se realiza con base en la propuesta sometida a </w:t>
      </w:r>
      <w:r w:rsidR="00A10C32">
        <w:rPr>
          <w:rFonts w:cs="Arial"/>
        </w:rPr>
        <w:t>c</w:t>
      </w:r>
      <w:r w:rsidRPr="00CA43B4">
        <w:rPr>
          <w:rFonts w:cs="Arial"/>
        </w:rPr>
        <w:t xml:space="preserve">onsulta </w:t>
      </w:r>
      <w:r w:rsidR="007E1195">
        <w:rPr>
          <w:rFonts w:cs="Arial"/>
        </w:rPr>
        <w:t>p</w:t>
      </w:r>
      <w:r w:rsidRPr="00CA43B4">
        <w:rPr>
          <w:rFonts w:cs="Arial"/>
        </w:rPr>
        <w:t>ública para mejorar la captación en las E</w:t>
      </w:r>
      <w:r w:rsidR="007E1195">
        <w:rPr>
          <w:rFonts w:cs="Arial"/>
        </w:rPr>
        <w:t>DF, que se llevó a cab</w:t>
      </w:r>
      <w:r w:rsidRPr="00CA43B4">
        <w:rPr>
          <w:rFonts w:cs="Arial"/>
        </w:rPr>
        <w:t>o del 14 de mayo al 10 de junio de 2020.</w:t>
      </w:r>
    </w:p>
    <w:p w14:paraId="1188E930" w14:textId="77777777" w:rsidR="00F0312E" w:rsidRPr="00CA43B4" w:rsidRDefault="00F0312E" w:rsidP="0042218A">
      <w:pPr>
        <w:pStyle w:val="Textoindependiente"/>
        <w:ind w:left="0" w:right="170"/>
        <w:jc w:val="both"/>
        <w:rPr>
          <w:rFonts w:cs="Arial"/>
        </w:rPr>
      </w:pPr>
    </w:p>
    <w:p w14:paraId="50BDA760" w14:textId="0FE6AADC" w:rsidR="0042218A" w:rsidRPr="00CA43B4" w:rsidRDefault="007E1195" w:rsidP="0042218A">
      <w:pPr>
        <w:pStyle w:val="Textoindependiente"/>
        <w:ind w:left="0" w:right="170"/>
        <w:jc w:val="both"/>
        <w:rPr>
          <w:rFonts w:cs="Arial"/>
        </w:rPr>
      </w:pPr>
      <w:r>
        <w:rPr>
          <w:rFonts w:cs="Arial"/>
        </w:rPr>
        <w:t>En México, d</w:t>
      </w:r>
      <w:r w:rsidR="0042218A" w:rsidRPr="00CA43B4">
        <w:rPr>
          <w:rFonts w:cs="Arial"/>
        </w:rPr>
        <w:t>urante 2021</w:t>
      </w:r>
      <w:r>
        <w:rPr>
          <w:rFonts w:cs="Arial"/>
        </w:rPr>
        <w:t>,</w:t>
      </w:r>
      <w:r w:rsidR="0042218A" w:rsidRPr="00CA43B4">
        <w:rPr>
          <w:rFonts w:cs="Arial"/>
        </w:rPr>
        <w:t xml:space="preserve"> se registraron 2</w:t>
      </w:r>
      <w:r w:rsidR="003F5746" w:rsidRPr="00CA43B4">
        <w:rPr>
          <w:rFonts w:cs="Arial"/>
        </w:rPr>
        <w:t>3 00</w:t>
      </w:r>
      <w:r w:rsidR="00F95278">
        <w:rPr>
          <w:rFonts w:cs="Arial"/>
        </w:rPr>
        <w:t>0</w:t>
      </w:r>
      <w:r w:rsidR="0042218A" w:rsidRPr="00CA43B4">
        <w:rPr>
          <w:rFonts w:cs="Arial"/>
        </w:rPr>
        <w:t xml:space="preserve"> defunciones fetales, con lo que se obtiene una tasa</w:t>
      </w:r>
      <w:r>
        <w:rPr>
          <w:rFonts w:cs="Arial"/>
        </w:rPr>
        <w:t xml:space="preserve"> de 1.44 </w:t>
      </w:r>
      <w:r w:rsidRPr="00CA43B4">
        <w:rPr>
          <w:rFonts w:cs="Arial"/>
        </w:rPr>
        <w:t>habitantes</w:t>
      </w:r>
      <w:r w:rsidR="0042218A" w:rsidRPr="00CA43B4">
        <w:rPr>
          <w:rFonts w:cs="Arial"/>
        </w:rPr>
        <w:t xml:space="preserve"> </w:t>
      </w:r>
      <w:r w:rsidR="006A2F10" w:rsidRPr="00CA43B4">
        <w:rPr>
          <w:rFonts w:cs="Arial"/>
        </w:rPr>
        <w:t xml:space="preserve">por cada 10 000 </w:t>
      </w:r>
      <w:r w:rsidR="0042218A" w:rsidRPr="00CA43B4">
        <w:rPr>
          <w:rFonts w:cs="Arial"/>
        </w:rPr>
        <w:t xml:space="preserve">con la captación tradicional y </w:t>
      </w:r>
      <w:r w:rsidR="006A2F10">
        <w:rPr>
          <w:rFonts w:cs="Arial"/>
        </w:rPr>
        <w:t xml:space="preserve">de </w:t>
      </w:r>
      <w:r w:rsidR="0042218A" w:rsidRPr="00CA43B4">
        <w:rPr>
          <w:rFonts w:cs="Arial"/>
        </w:rPr>
        <w:t>1.</w:t>
      </w:r>
      <w:r w:rsidR="003F5746" w:rsidRPr="00CA43B4">
        <w:rPr>
          <w:rFonts w:cs="Arial"/>
        </w:rPr>
        <w:t>80</w:t>
      </w:r>
      <w:r w:rsidR="0042218A" w:rsidRPr="00CA43B4">
        <w:rPr>
          <w:rFonts w:cs="Arial"/>
        </w:rPr>
        <w:t xml:space="preserve"> con la incorporación de la información captada por la SSA.</w:t>
      </w:r>
    </w:p>
    <w:p w14:paraId="16CAE372" w14:textId="77777777" w:rsidR="0042218A" w:rsidRPr="00CA43B4" w:rsidRDefault="0042218A" w:rsidP="0042218A">
      <w:pPr>
        <w:pStyle w:val="Textoindependiente"/>
        <w:ind w:left="0" w:right="170"/>
        <w:jc w:val="both"/>
        <w:rPr>
          <w:rFonts w:cs="Arial"/>
        </w:rPr>
      </w:pPr>
    </w:p>
    <w:p w14:paraId="0E5628CF" w14:textId="77777777" w:rsidR="00B67359" w:rsidRPr="00CA43B4" w:rsidRDefault="00B67359" w:rsidP="003168D7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>Gráfica 1</w:t>
      </w:r>
    </w:p>
    <w:p w14:paraId="771BF091" w14:textId="77777777" w:rsidR="00B67359" w:rsidRPr="00CA43B4" w:rsidRDefault="0042218A" w:rsidP="003168D7">
      <w:pPr>
        <w:keepNext/>
        <w:jc w:val="center"/>
        <w:rPr>
          <w:rFonts w:ascii="Arial Negrita" w:hAnsi="Arial Negrita" w:cs="Arial"/>
          <w:b/>
          <w:bCs/>
          <w:smallCaps/>
          <w:szCs w:val="20"/>
        </w:rPr>
      </w:pPr>
      <w:r w:rsidRPr="00CA43B4">
        <w:rPr>
          <w:rFonts w:ascii="Arial Negrita" w:hAnsi="Arial Negrita" w:cs="Arial"/>
          <w:b/>
          <w:bCs/>
          <w:smallCaps/>
          <w:szCs w:val="20"/>
        </w:rPr>
        <w:t>Tasa de defunciones fetales por cada 10 000 habitantes</w:t>
      </w:r>
      <w:r w:rsidRPr="00CA43B4">
        <w:rPr>
          <w:rStyle w:val="Refdenotaalpie"/>
          <w:rFonts w:ascii="Arial Negrita" w:hAnsi="Arial Negrita" w:cs="Arial"/>
          <w:b/>
          <w:bCs/>
          <w:smallCaps/>
          <w:szCs w:val="20"/>
        </w:rPr>
        <w:footnoteReference w:id="1"/>
      </w:r>
    </w:p>
    <w:p w14:paraId="00845087" w14:textId="34C9CB50" w:rsidR="0042218A" w:rsidRPr="00CA43B4" w:rsidRDefault="0042218A" w:rsidP="003168D7">
      <w:pPr>
        <w:keepNext/>
        <w:spacing w:after="120"/>
        <w:jc w:val="center"/>
        <w:rPr>
          <w:rFonts w:ascii="Arial" w:eastAsia="Times New Roman" w:hAnsi="Arial" w:cs="Arial"/>
          <w:bCs/>
          <w:sz w:val="18"/>
          <w:szCs w:val="18"/>
          <w:lang w:val="es-MX" w:eastAsia="es-ES"/>
        </w:rPr>
      </w:pPr>
    </w:p>
    <w:p w14:paraId="6F1202C9" w14:textId="307E3C21" w:rsidR="0042218A" w:rsidRPr="00CA43B4" w:rsidRDefault="00D54C74" w:rsidP="003168D7">
      <w:pPr>
        <w:keepNext/>
        <w:jc w:val="center"/>
        <w:rPr>
          <w:rFonts w:ascii="Arial" w:hAnsi="Arial" w:cs="Arial"/>
          <w:b/>
          <w:bCs/>
          <w:szCs w:val="20"/>
        </w:rPr>
      </w:pPr>
      <w:r w:rsidRPr="00CA43B4">
        <w:rPr>
          <w:noProof/>
          <w:lang w:val="es-MX" w:eastAsia="es-MX"/>
        </w:rPr>
        <w:drawing>
          <wp:inline distT="0" distB="0" distL="0" distR="0" wp14:anchorId="75D57A9A" wp14:editId="3CCDEB60">
            <wp:extent cx="6404610" cy="2107565"/>
            <wp:effectExtent l="0" t="0" r="0" b="6350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EA9D8D73-78FC-49E6-A8D6-92375580DE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CED3840" w14:textId="7EC34CC4" w:rsidR="0080738F" w:rsidRPr="00CA43B4" w:rsidRDefault="0080738F" w:rsidP="00121DDC">
      <w:pPr>
        <w:pStyle w:val="Prrafodelista"/>
        <w:tabs>
          <w:tab w:val="left" w:pos="567"/>
        </w:tabs>
        <w:spacing w:before="120"/>
        <w:ind w:left="142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 w:rsidR="002914B4" w:rsidRPr="00CA43B4">
        <w:rPr>
          <w:rFonts w:ascii="Arial" w:hAnsi="Arial" w:cs="Arial"/>
          <w:bCs/>
          <w:sz w:val="16"/>
          <w:szCs w:val="16"/>
        </w:rPr>
        <w:t xml:space="preserve"> </w:t>
      </w:r>
      <w:r w:rsidRPr="00CA43B4">
        <w:rPr>
          <w:rFonts w:ascii="Arial" w:hAnsi="Arial" w:cs="Arial"/>
          <w:bCs/>
          <w:sz w:val="16"/>
          <w:szCs w:val="16"/>
        </w:rPr>
        <w:t>Estadística</w:t>
      </w:r>
      <w:r w:rsidR="007E1195">
        <w:rPr>
          <w:rFonts w:ascii="Arial" w:hAnsi="Arial" w:cs="Arial"/>
          <w:bCs/>
          <w:sz w:val="16"/>
          <w:szCs w:val="16"/>
        </w:rPr>
        <w:t>s</w:t>
      </w:r>
      <w:r w:rsidRPr="00CA43B4">
        <w:rPr>
          <w:rFonts w:ascii="Arial" w:hAnsi="Arial" w:cs="Arial"/>
          <w:bCs/>
          <w:sz w:val="16"/>
          <w:szCs w:val="16"/>
        </w:rPr>
        <w:t xml:space="preserve"> de </w:t>
      </w:r>
      <w:r w:rsidR="00D724C2" w:rsidRPr="00CA43B4">
        <w:rPr>
          <w:rFonts w:ascii="Arial" w:hAnsi="Arial" w:cs="Arial"/>
          <w:bCs/>
          <w:sz w:val="16"/>
          <w:szCs w:val="16"/>
        </w:rPr>
        <w:t>D</w:t>
      </w:r>
      <w:r w:rsidRPr="00CA43B4">
        <w:rPr>
          <w:rFonts w:ascii="Arial" w:hAnsi="Arial" w:cs="Arial"/>
          <w:bCs/>
          <w:sz w:val="16"/>
          <w:szCs w:val="16"/>
        </w:rPr>
        <w:t xml:space="preserve">efunciones </w:t>
      </w:r>
      <w:r w:rsidR="00D724C2" w:rsidRPr="00CA43B4">
        <w:rPr>
          <w:rFonts w:ascii="Arial" w:hAnsi="Arial" w:cs="Arial"/>
          <w:bCs/>
          <w:sz w:val="16"/>
          <w:szCs w:val="16"/>
        </w:rPr>
        <w:t>F</w:t>
      </w:r>
      <w:r w:rsidRPr="00CA43B4">
        <w:rPr>
          <w:rFonts w:ascii="Arial" w:hAnsi="Arial" w:cs="Arial"/>
          <w:bCs/>
          <w:sz w:val="16"/>
          <w:szCs w:val="16"/>
        </w:rPr>
        <w:t xml:space="preserve">etales, </w:t>
      </w:r>
      <w:r w:rsidR="006B4172">
        <w:rPr>
          <w:rFonts w:ascii="Arial" w:hAnsi="Arial" w:cs="Arial"/>
          <w:bCs/>
          <w:sz w:val="16"/>
          <w:szCs w:val="16"/>
        </w:rPr>
        <w:t>2012-</w:t>
      </w:r>
      <w:r w:rsidRPr="00CA43B4">
        <w:rPr>
          <w:rFonts w:ascii="Arial" w:hAnsi="Arial" w:cs="Arial"/>
          <w:bCs/>
          <w:sz w:val="16"/>
          <w:szCs w:val="16"/>
        </w:rPr>
        <w:t>2021</w:t>
      </w:r>
    </w:p>
    <w:p w14:paraId="0A710311" w14:textId="05211B5A" w:rsidR="0042218A" w:rsidRPr="00CA43B4" w:rsidRDefault="0042218A" w:rsidP="004C3D8B">
      <w:pPr>
        <w:ind w:right="163"/>
        <w:jc w:val="both"/>
        <w:rPr>
          <w:rFonts w:ascii="Arial" w:eastAsia="Calibri" w:hAnsi="Arial" w:cs="Arial"/>
          <w:bCs/>
          <w:sz w:val="24"/>
          <w:szCs w:val="24"/>
        </w:rPr>
      </w:pPr>
      <w:r w:rsidRPr="00CA43B4">
        <w:rPr>
          <w:rFonts w:ascii="Arial" w:eastAsia="Calibri" w:hAnsi="Arial" w:cs="Arial"/>
          <w:bCs/>
          <w:sz w:val="24"/>
          <w:szCs w:val="24"/>
        </w:rPr>
        <w:lastRenderedPageBreak/>
        <w:t xml:space="preserve">La tasa nacional de embarazos que terminaron en muerte fetal </w:t>
      </w:r>
      <w:r w:rsidR="007E1195">
        <w:rPr>
          <w:rFonts w:ascii="Arial" w:eastAsia="Calibri" w:hAnsi="Arial" w:cs="Arial"/>
          <w:bCs/>
          <w:sz w:val="24"/>
          <w:szCs w:val="24"/>
        </w:rPr>
        <w:t>fue de 6.7</w:t>
      </w:r>
      <w:r w:rsidR="007E1195" w:rsidRPr="007E119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7E1195" w:rsidRPr="00CA43B4">
        <w:rPr>
          <w:rFonts w:ascii="Arial" w:eastAsia="Calibri" w:hAnsi="Arial" w:cs="Arial"/>
          <w:bCs/>
          <w:sz w:val="24"/>
          <w:szCs w:val="24"/>
        </w:rPr>
        <w:t>mujeres en edad fértil</w:t>
      </w:r>
      <w:r w:rsidR="007E1195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A43B4">
        <w:rPr>
          <w:rFonts w:ascii="Arial" w:eastAsia="Calibri" w:hAnsi="Arial" w:cs="Arial"/>
          <w:bCs/>
          <w:sz w:val="24"/>
          <w:szCs w:val="24"/>
        </w:rPr>
        <w:t>por cada 10 000. Las entidades federativas que presenta</w:t>
      </w:r>
      <w:r w:rsidR="007E1195">
        <w:rPr>
          <w:rFonts w:ascii="Arial" w:eastAsia="Calibri" w:hAnsi="Arial" w:cs="Arial"/>
          <w:bCs/>
          <w:sz w:val="24"/>
          <w:szCs w:val="24"/>
        </w:rPr>
        <w:t>ro</w:t>
      </w:r>
      <w:r w:rsidRPr="00CA43B4">
        <w:rPr>
          <w:rFonts w:ascii="Arial" w:eastAsia="Calibri" w:hAnsi="Arial" w:cs="Arial"/>
          <w:bCs/>
          <w:sz w:val="24"/>
          <w:szCs w:val="24"/>
        </w:rPr>
        <w:t xml:space="preserve">n las tasas más altas </w:t>
      </w:r>
      <w:r w:rsidR="007E1195">
        <w:rPr>
          <w:rFonts w:ascii="Arial" w:eastAsia="Calibri" w:hAnsi="Arial" w:cs="Arial"/>
          <w:bCs/>
          <w:sz w:val="24"/>
          <w:szCs w:val="24"/>
        </w:rPr>
        <w:t>fuero</w:t>
      </w:r>
      <w:r w:rsidRPr="00CA43B4">
        <w:rPr>
          <w:rFonts w:ascii="Arial" w:eastAsia="Calibri" w:hAnsi="Arial" w:cs="Arial"/>
          <w:bCs/>
          <w:sz w:val="24"/>
          <w:szCs w:val="24"/>
        </w:rPr>
        <w:t>n</w:t>
      </w:r>
      <w:r w:rsidR="004C3D8B">
        <w:rPr>
          <w:rFonts w:ascii="Arial" w:eastAsia="Calibri" w:hAnsi="Arial" w:cs="Arial"/>
          <w:bCs/>
          <w:sz w:val="24"/>
          <w:szCs w:val="24"/>
        </w:rPr>
        <w:t>:</w:t>
      </w:r>
      <w:r w:rsidRPr="00CA43B4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80A33" w:rsidRPr="00CA43B4">
        <w:rPr>
          <w:rFonts w:ascii="Arial" w:eastAsia="Calibri" w:hAnsi="Arial" w:cs="Arial"/>
          <w:bCs/>
          <w:sz w:val="24"/>
          <w:szCs w:val="24"/>
        </w:rPr>
        <w:t>Guanajuato (</w:t>
      </w:r>
      <w:r w:rsidR="00680A33">
        <w:rPr>
          <w:rFonts w:ascii="Arial" w:eastAsia="Calibri" w:hAnsi="Arial" w:cs="Arial"/>
          <w:bCs/>
          <w:sz w:val="24"/>
          <w:szCs w:val="24"/>
        </w:rPr>
        <w:t>9.2</w:t>
      </w:r>
      <w:r w:rsidR="00680A33" w:rsidRPr="00CA43B4">
        <w:rPr>
          <w:rFonts w:ascii="Arial" w:eastAsia="Calibri" w:hAnsi="Arial" w:cs="Arial"/>
          <w:bCs/>
          <w:sz w:val="24"/>
          <w:szCs w:val="24"/>
        </w:rPr>
        <w:t>)</w:t>
      </w:r>
      <w:r w:rsidR="00680A33">
        <w:rPr>
          <w:rFonts w:ascii="Arial" w:eastAsia="Calibri" w:hAnsi="Arial" w:cs="Arial"/>
          <w:bCs/>
          <w:sz w:val="24"/>
          <w:szCs w:val="24"/>
        </w:rPr>
        <w:t>,</w:t>
      </w:r>
      <w:r w:rsidR="00680A33" w:rsidRPr="00CA43B4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A43B4">
        <w:rPr>
          <w:rFonts w:ascii="Arial" w:eastAsia="Calibri" w:hAnsi="Arial" w:cs="Arial"/>
          <w:bCs/>
          <w:sz w:val="24"/>
          <w:szCs w:val="24"/>
        </w:rPr>
        <w:t>Aguascalientes (</w:t>
      </w:r>
      <w:r w:rsidR="00B9729B" w:rsidRPr="00CA43B4">
        <w:rPr>
          <w:rFonts w:ascii="Arial" w:eastAsia="Calibri" w:hAnsi="Arial" w:cs="Arial"/>
          <w:bCs/>
          <w:sz w:val="24"/>
          <w:szCs w:val="24"/>
        </w:rPr>
        <w:t>9.1</w:t>
      </w:r>
      <w:r w:rsidRPr="00CA43B4">
        <w:rPr>
          <w:rFonts w:ascii="Arial" w:eastAsia="Calibri" w:hAnsi="Arial" w:cs="Arial"/>
          <w:bCs/>
          <w:sz w:val="24"/>
          <w:szCs w:val="24"/>
        </w:rPr>
        <w:t xml:space="preserve">) y </w:t>
      </w:r>
      <w:r w:rsidR="004C3D8B">
        <w:rPr>
          <w:rFonts w:ascii="Arial" w:eastAsia="Calibri" w:hAnsi="Arial" w:cs="Arial"/>
          <w:bCs/>
          <w:sz w:val="24"/>
          <w:szCs w:val="24"/>
        </w:rPr>
        <w:t xml:space="preserve">estado de </w:t>
      </w:r>
      <w:r w:rsidR="00680A33">
        <w:rPr>
          <w:rFonts w:ascii="Arial" w:eastAsia="Calibri" w:hAnsi="Arial" w:cs="Arial"/>
          <w:bCs/>
          <w:sz w:val="24"/>
          <w:szCs w:val="24"/>
        </w:rPr>
        <w:t>México</w:t>
      </w:r>
      <w:r w:rsidRPr="00CA43B4">
        <w:rPr>
          <w:rFonts w:ascii="Arial" w:eastAsia="Calibri" w:hAnsi="Arial" w:cs="Arial"/>
          <w:bCs/>
          <w:sz w:val="24"/>
          <w:szCs w:val="24"/>
        </w:rPr>
        <w:t xml:space="preserve"> (8.</w:t>
      </w:r>
      <w:r w:rsidR="00680A33">
        <w:rPr>
          <w:rFonts w:ascii="Arial" w:eastAsia="Calibri" w:hAnsi="Arial" w:cs="Arial"/>
          <w:bCs/>
          <w:sz w:val="24"/>
          <w:szCs w:val="24"/>
        </w:rPr>
        <w:t>7</w:t>
      </w:r>
      <w:r w:rsidRPr="00CA43B4">
        <w:rPr>
          <w:rFonts w:ascii="Arial" w:eastAsia="Calibri" w:hAnsi="Arial" w:cs="Arial"/>
          <w:bCs/>
          <w:sz w:val="24"/>
          <w:szCs w:val="24"/>
        </w:rPr>
        <w:t>). Las tasas más bajas s</w:t>
      </w:r>
      <w:r w:rsidR="007E1195">
        <w:rPr>
          <w:rFonts w:ascii="Arial" w:eastAsia="Calibri" w:hAnsi="Arial" w:cs="Arial"/>
          <w:bCs/>
          <w:sz w:val="24"/>
          <w:szCs w:val="24"/>
        </w:rPr>
        <w:t>e registraron en</w:t>
      </w:r>
      <w:r w:rsidRPr="00CA43B4">
        <w:rPr>
          <w:rFonts w:ascii="Arial" w:eastAsia="Calibri" w:hAnsi="Arial" w:cs="Arial"/>
          <w:bCs/>
          <w:sz w:val="24"/>
          <w:szCs w:val="24"/>
        </w:rPr>
        <w:t xml:space="preserve"> Sinaloa (3.</w:t>
      </w:r>
      <w:r w:rsidR="00B9729B" w:rsidRPr="00CA43B4">
        <w:rPr>
          <w:rFonts w:ascii="Arial" w:eastAsia="Calibri" w:hAnsi="Arial" w:cs="Arial"/>
          <w:bCs/>
          <w:sz w:val="24"/>
          <w:szCs w:val="24"/>
        </w:rPr>
        <w:t>5</w:t>
      </w:r>
      <w:r w:rsidRPr="00CA43B4">
        <w:rPr>
          <w:rFonts w:ascii="Arial" w:eastAsia="Calibri" w:hAnsi="Arial" w:cs="Arial"/>
          <w:bCs/>
          <w:sz w:val="24"/>
          <w:szCs w:val="24"/>
        </w:rPr>
        <w:t>), Oaxaca (3.</w:t>
      </w:r>
      <w:r w:rsidR="00B9729B" w:rsidRPr="00CA43B4">
        <w:rPr>
          <w:rFonts w:ascii="Arial" w:eastAsia="Calibri" w:hAnsi="Arial" w:cs="Arial"/>
          <w:bCs/>
          <w:sz w:val="24"/>
          <w:szCs w:val="24"/>
        </w:rPr>
        <w:t>7</w:t>
      </w:r>
      <w:r w:rsidRPr="00CA43B4">
        <w:rPr>
          <w:rFonts w:ascii="Arial" w:eastAsia="Calibri" w:hAnsi="Arial" w:cs="Arial"/>
          <w:bCs/>
          <w:sz w:val="24"/>
          <w:szCs w:val="24"/>
        </w:rPr>
        <w:t xml:space="preserve">) y </w:t>
      </w:r>
      <w:r w:rsidR="00B9729B" w:rsidRPr="00CA43B4">
        <w:rPr>
          <w:rFonts w:ascii="Arial" w:eastAsia="Calibri" w:hAnsi="Arial" w:cs="Arial"/>
          <w:bCs/>
          <w:sz w:val="24"/>
          <w:szCs w:val="24"/>
        </w:rPr>
        <w:t>Quintana Roo</w:t>
      </w:r>
      <w:r w:rsidRPr="00CA43B4">
        <w:rPr>
          <w:rFonts w:ascii="Arial" w:eastAsia="Calibri" w:hAnsi="Arial" w:cs="Arial"/>
          <w:bCs/>
          <w:sz w:val="24"/>
          <w:szCs w:val="24"/>
        </w:rPr>
        <w:t xml:space="preserve"> (</w:t>
      </w:r>
      <w:r w:rsidR="00B9729B" w:rsidRPr="00CA43B4">
        <w:rPr>
          <w:rFonts w:ascii="Arial" w:eastAsia="Calibri" w:hAnsi="Arial" w:cs="Arial"/>
          <w:bCs/>
          <w:sz w:val="24"/>
          <w:szCs w:val="24"/>
        </w:rPr>
        <w:t>3.8</w:t>
      </w:r>
      <w:r w:rsidRPr="00CA43B4">
        <w:rPr>
          <w:rFonts w:ascii="Arial" w:eastAsia="Calibri" w:hAnsi="Arial" w:cs="Arial"/>
          <w:bCs/>
          <w:sz w:val="24"/>
          <w:szCs w:val="24"/>
        </w:rPr>
        <w:t>).</w:t>
      </w:r>
    </w:p>
    <w:p w14:paraId="2C8F584D" w14:textId="77777777" w:rsidR="0042218A" w:rsidRPr="00CA43B4" w:rsidRDefault="0042218A" w:rsidP="004C3D8B">
      <w:pPr>
        <w:ind w:right="163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7BDD10F1" w14:textId="3B14FB37" w:rsidR="00B67359" w:rsidRPr="00CA43B4" w:rsidRDefault="00B67359" w:rsidP="004C3D8B">
      <w:pPr>
        <w:pStyle w:val="Textoindependiente"/>
        <w:keepNext/>
        <w:kinsoku w:val="0"/>
        <w:overflowPunct w:val="0"/>
        <w:ind w:left="0" w:right="163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>Mapa 1</w:t>
      </w:r>
    </w:p>
    <w:p w14:paraId="5E3A16C0" w14:textId="77777777" w:rsidR="00801DF3" w:rsidRDefault="0042218A" w:rsidP="004C3D8B">
      <w:pPr>
        <w:keepNext/>
        <w:ind w:right="163"/>
        <w:jc w:val="center"/>
        <w:rPr>
          <w:rFonts w:ascii="Arial Negrita" w:eastAsia="Calibri" w:hAnsi="Arial Negrita" w:cs="Arial"/>
          <w:b/>
          <w:bCs/>
          <w:smallCaps/>
        </w:rPr>
      </w:pPr>
      <w:r w:rsidRPr="00CA43B4">
        <w:rPr>
          <w:rFonts w:ascii="Arial Negrita" w:eastAsia="Calibri" w:hAnsi="Arial Negrita" w:cs="Arial"/>
          <w:b/>
          <w:bCs/>
          <w:smallCaps/>
        </w:rPr>
        <w:t>Tasa de defunciones fetales</w:t>
      </w:r>
      <w:r w:rsidR="006A2F10">
        <w:rPr>
          <w:rFonts w:ascii="Arial Negrita" w:eastAsia="Calibri" w:hAnsi="Arial Negrita" w:cs="Arial"/>
          <w:b/>
          <w:bCs/>
          <w:smallCaps/>
        </w:rPr>
        <w:t xml:space="preserve"> </w:t>
      </w:r>
      <w:r w:rsidR="006A2F10" w:rsidRPr="00CA43B4">
        <w:rPr>
          <w:rFonts w:ascii="Arial Negrita" w:eastAsia="Calibri" w:hAnsi="Arial Negrita" w:cs="Arial"/>
          <w:b/>
          <w:bCs/>
          <w:smallCaps/>
        </w:rPr>
        <w:t>por cada 10 000 mujeres de 15 a 49 años</w:t>
      </w:r>
      <w:r w:rsidRPr="00CA43B4">
        <w:rPr>
          <w:rFonts w:ascii="Arial Negrita" w:eastAsia="Calibri" w:hAnsi="Arial Negrita" w:cs="Arial"/>
          <w:b/>
          <w:bCs/>
          <w:smallCaps/>
        </w:rPr>
        <w:t xml:space="preserve"> </w:t>
      </w:r>
    </w:p>
    <w:p w14:paraId="123B537F" w14:textId="3B91AA2B" w:rsidR="0042218A" w:rsidRPr="00CA43B4" w:rsidRDefault="00FF4874" w:rsidP="004C3D8B">
      <w:pPr>
        <w:keepNext/>
        <w:ind w:right="163"/>
        <w:jc w:val="center"/>
        <w:rPr>
          <w:rFonts w:ascii="Arial Negrita" w:eastAsia="Calibri" w:hAnsi="Arial Negrita" w:cs="Arial"/>
          <w:b/>
          <w:bCs/>
          <w:smallCaps/>
        </w:rPr>
      </w:pPr>
      <w:r>
        <w:rPr>
          <w:rFonts w:ascii="Arial Negrita" w:eastAsia="Calibri" w:hAnsi="Arial Negrita" w:cs="Arial"/>
          <w:b/>
          <w:bCs/>
          <w:smallCaps/>
        </w:rPr>
        <w:t>según</w:t>
      </w:r>
      <w:r w:rsidRPr="00CA43B4">
        <w:rPr>
          <w:rFonts w:ascii="Arial Negrita" w:eastAsia="Calibri" w:hAnsi="Arial Negrita" w:cs="Arial"/>
          <w:b/>
          <w:bCs/>
          <w:smallCaps/>
        </w:rPr>
        <w:t xml:space="preserve"> </w:t>
      </w:r>
      <w:r w:rsidR="0042218A" w:rsidRPr="00CA43B4">
        <w:rPr>
          <w:rFonts w:ascii="Arial Negrita" w:eastAsia="Calibri" w:hAnsi="Arial Negrita" w:cs="Arial"/>
          <w:b/>
          <w:bCs/>
          <w:smallCaps/>
        </w:rPr>
        <w:t>entidad de registro</w:t>
      </w:r>
      <w:r w:rsidR="002442C7">
        <w:rPr>
          <w:rStyle w:val="Refdenotaalpie"/>
          <w:rFonts w:ascii="Arial Negrita" w:eastAsia="Calibri" w:hAnsi="Arial Negrita" w:cs="Arial"/>
          <w:b/>
          <w:bCs/>
          <w:smallCaps/>
        </w:rPr>
        <w:footnoteReference w:id="2"/>
      </w:r>
    </w:p>
    <w:p w14:paraId="34122510" w14:textId="432EEFA8" w:rsidR="003168D7" w:rsidRPr="00CA43B4" w:rsidRDefault="003168D7" w:rsidP="003168D7">
      <w:pPr>
        <w:keepNext/>
        <w:spacing w:after="120"/>
        <w:jc w:val="center"/>
        <w:rPr>
          <w:rFonts w:ascii="Arial" w:eastAsia="Times New Roman" w:hAnsi="Arial" w:cs="Arial"/>
          <w:bCs/>
          <w:sz w:val="18"/>
          <w:szCs w:val="18"/>
          <w:lang w:val="es-MX" w:eastAsia="es-ES"/>
        </w:rPr>
      </w:pPr>
    </w:p>
    <w:p w14:paraId="08FEFA98" w14:textId="37ACBBBB" w:rsidR="0042218A" w:rsidRPr="00CA43B4" w:rsidRDefault="00680A33" w:rsidP="003168D7">
      <w:pPr>
        <w:keepNext/>
        <w:jc w:val="center"/>
        <w:rPr>
          <w:rFonts w:ascii="Arial" w:eastAsia="Calibri" w:hAnsi="Arial" w:cs="Arial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78AABC56" wp14:editId="37BE6943">
            <wp:extent cx="6404610" cy="423672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423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C8A5E" w14:textId="56E3FFB4" w:rsidR="00527108" w:rsidRPr="00CA43B4" w:rsidRDefault="00527108" w:rsidP="003168D7">
      <w:pPr>
        <w:pStyle w:val="Prrafodelista"/>
        <w:keepNext/>
        <w:tabs>
          <w:tab w:val="left" w:pos="851"/>
        </w:tabs>
        <w:spacing w:before="120"/>
        <w:ind w:left="284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 w:rsidR="002914B4" w:rsidRPr="00CA43B4">
        <w:rPr>
          <w:rFonts w:ascii="Arial" w:hAnsi="Arial" w:cs="Arial"/>
          <w:bCs/>
          <w:sz w:val="16"/>
          <w:szCs w:val="16"/>
        </w:rPr>
        <w:t xml:space="preserve"> </w:t>
      </w:r>
      <w:r w:rsidRPr="00CA43B4">
        <w:rPr>
          <w:rFonts w:ascii="Arial" w:hAnsi="Arial" w:cs="Arial"/>
          <w:bCs/>
          <w:sz w:val="16"/>
          <w:szCs w:val="16"/>
        </w:rPr>
        <w:t>Estadística</w:t>
      </w:r>
      <w:r w:rsidR="00A90449">
        <w:rPr>
          <w:rFonts w:ascii="Arial" w:hAnsi="Arial" w:cs="Arial"/>
          <w:bCs/>
          <w:sz w:val="16"/>
          <w:szCs w:val="16"/>
        </w:rPr>
        <w:t>s</w:t>
      </w:r>
      <w:r w:rsidRPr="00CA43B4">
        <w:rPr>
          <w:rFonts w:ascii="Arial" w:hAnsi="Arial" w:cs="Arial"/>
          <w:bCs/>
          <w:sz w:val="16"/>
          <w:szCs w:val="16"/>
        </w:rPr>
        <w:t xml:space="preserve"> de </w:t>
      </w:r>
      <w:r w:rsidR="00D724C2" w:rsidRPr="00CA43B4">
        <w:rPr>
          <w:rFonts w:ascii="Arial" w:hAnsi="Arial" w:cs="Arial"/>
          <w:bCs/>
          <w:sz w:val="16"/>
          <w:szCs w:val="16"/>
        </w:rPr>
        <w:t>D</w:t>
      </w:r>
      <w:r w:rsidRPr="00CA43B4">
        <w:rPr>
          <w:rFonts w:ascii="Arial" w:hAnsi="Arial" w:cs="Arial"/>
          <w:bCs/>
          <w:sz w:val="16"/>
          <w:szCs w:val="16"/>
        </w:rPr>
        <w:t xml:space="preserve">efunciones </w:t>
      </w:r>
      <w:r w:rsidR="00D724C2" w:rsidRPr="00CA43B4">
        <w:rPr>
          <w:rFonts w:ascii="Arial" w:hAnsi="Arial" w:cs="Arial"/>
          <w:bCs/>
          <w:sz w:val="16"/>
          <w:szCs w:val="16"/>
        </w:rPr>
        <w:t>F</w:t>
      </w:r>
      <w:r w:rsidRPr="00CA43B4">
        <w:rPr>
          <w:rFonts w:ascii="Arial" w:hAnsi="Arial" w:cs="Arial"/>
          <w:bCs/>
          <w:sz w:val="16"/>
          <w:szCs w:val="16"/>
        </w:rPr>
        <w:t>etales, 2021</w:t>
      </w:r>
    </w:p>
    <w:p w14:paraId="38E04953" w14:textId="77777777" w:rsidR="0042218A" w:rsidRPr="00CA43B4" w:rsidRDefault="0042218A" w:rsidP="0042218A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0141C22F" w14:textId="77777777" w:rsidR="00A90449" w:rsidRDefault="00A90449" w:rsidP="0042218A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0F69C029" w14:textId="1390F46A" w:rsidR="0042218A" w:rsidRPr="00CA43B4" w:rsidRDefault="003129D8" w:rsidP="004C3D8B">
      <w:pPr>
        <w:ind w:right="163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En agosto se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 registró el mayor número de muertes fetales</w:t>
      </w:r>
      <w:r w:rsidR="004C3D8B">
        <w:rPr>
          <w:rFonts w:ascii="Arial" w:eastAsia="Calibri" w:hAnsi="Arial" w:cs="Arial"/>
          <w:bCs/>
          <w:sz w:val="24"/>
          <w:szCs w:val="24"/>
        </w:rPr>
        <w:t>,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 con un total de 9.</w:t>
      </w:r>
      <w:r w:rsidR="003A63E7" w:rsidRPr="00CA43B4">
        <w:rPr>
          <w:rFonts w:ascii="Arial" w:eastAsia="Calibri" w:hAnsi="Arial" w:cs="Arial"/>
          <w:bCs/>
          <w:sz w:val="24"/>
          <w:szCs w:val="24"/>
        </w:rPr>
        <w:t>3</w:t>
      </w:r>
      <w:r w:rsidR="00DC0B0F" w:rsidRPr="00CA43B4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%, seguido de </w:t>
      </w:r>
      <w:r w:rsidR="003A63E7" w:rsidRPr="00CA43B4">
        <w:rPr>
          <w:rFonts w:ascii="Arial" w:eastAsia="Calibri" w:hAnsi="Arial" w:cs="Arial"/>
          <w:bCs/>
          <w:sz w:val="24"/>
          <w:szCs w:val="24"/>
        </w:rPr>
        <w:t>mayo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 con </w:t>
      </w:r>
      <w:r w:rsidR="00000F40" w:rsidRPr="00CA43B4">
        <w:rPr>
          <w:rFonts w:ascii="Arial" w:eastAsia="Calibri" w:hAnsi="Arial" w:cs="Arial"/>
          <w:bCs/>
          <w:sz w:val="24"/>
          <w:szCs w:val="24"/>
        </w:rPr>
        <w:t>9.0</w:t>
      </w:r>
      <w:r w:rsidR="00DC0B0F" w:rsidRPr="00CA43B4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>%</w:t>
      </w:r>
      <w:r w:rsidR="00A90449">
        <w:rPr>
          <w:rFonts w:ascii="Arial" w:eastAsia="Calibri" w:hAnsi="Arial" w:cs="Arial"/>
          <w:bCs/>
          <w:sz w:val="24"/>
          <w:szCs w:val="24"/>
        </w:rPr>
        <w:t xml:space="preserve"> y de </w:t>
      </w:r>
      <w:r w:rsidR="00000F40" w:rsidRPr="00CA43B4">
        <w:rPr>
          <w:rFonts w:ascii="Arial" w:eastAsia="Calibri" w:hAnsi="Arial" w:cs="Arial"/>
          <w:bCs/>
          <w:sz w:val="24"/>
          <w:szCs w:val="24"/>
        </w:rPr>
        <w:t>junio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 y </w:t>
      </w:r>
      <w:r w:rsidR="00000F40" w:rsidRPr="00CA43B4">
        <w:rPr>
          <w:rFonts w:ascii="Arial" w:eastAsia="Calibri" w:hAnsi="Arial" w:cs="Arial"/>
          <w:bCs/>
          <w:sz w:val="24"/>
          <w:szCs w:val="24"/>
        </w:rPr>
        <w:t>septiembre</w:t>
      </w:r>
      <w:r w:rsidR="004C3D8B">
        <w:rPr>
          <w:rFonts w:ascii="Arial" w:eastAsia="Calibri" w:hAnsi="Arial" w:cs="Arial"/>
          <w:bCs/>
          <w:sz w:val="24"/>
          <w:szCs w:val="24"/>
        </w:rPr>
        <w:t>,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 con 8.</w:t>
      </w:r>
      <w:r w:rsidR="00000F40" w:rsidRPr="00CA43B4">
        <w:rPr>
          <w:rFonts w:ascii="Arial" w:eastAsia="Calibri" w:hAnsi="Arial" w:cs="Arial"/>
          <w:bCs/>
          <w:sz w:val="24"/>
          <w:szCs w:val="24"/>
        </w:rPr>
        <w:t>7</w:t>
      </w:r>
      <w:r w:rsidR="00DC0B0F" w:rsidRPr="00CA43B4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% </w:t>
      </w:r>
      <w:r>
        <w:rPr>
          <w:rFonts w:ascii="Arial" w:eastAsia="Calibri" w:hAnsi="Arial" w:cs="Arial"/>
          <w:bCs/>
          <w:sz w:val="24"/>
          <w:szCs w:val="24"/>
        </w:rPr>
        <w:t>para ambos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>.</w:t>
      </w:r>
    </w:p>
    <w:p w14:paraId="66FD918D" w14:textId="77777777" w:rsidR="0042218A" w:rsidRPr="00CA43B4" w:rsidRDefault="0042218A" w:rsidP="0042218A">
      <w:pPr>
        <w:rPr>
          <w:rFonts w:ascii="Arial" w:eastAsia="Calibri" w:hAnsi="Arial" w:cs="Arial"/>
          <w:bCs/>
          <w:sz w:val="24"/>
          <w:szCs w:val="24"/>
        </w:rPr>
      </w:pPr>
    </w:p>
    <w:p w14:paraId="62A37055" w14:textId="2341BA84" w:rsidR="003168D7" w:rsidRPr="00CA43B4" w:rsidRDefault="003168D7" w:rsidP="003168D7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lastRenderedPageBreak/>
        <w:t>Gráfica 2</w:t>
      </w:r>
    </w:p>
    <w:p w14:paraId="28C5B1F4" w14:textId="50C39479" w:rsidR="0042218A" w:rsidRPr="00CA43B4" w:rsidRDefault="0042218A" w:rsidP="003168D7">
      <w:pPr>
        <w:keepNext/>
        <w:jc w:val="center"/>
        <w:rPr>
          <w:rFonts w:ascii="Arial Negrita" w:hAnsi="Arial Negrita" w:cs="Arial"/>
          <w:b/>
          <w:bCs/>
          <w:smallCaps/>
          <w:szCs w:val="20"/>
        </w:rPr>
      </w:pPr>
      <w:r w:rsidRPr="00CA43B4">
        <w:rPr>
          <w:rFonts w:ascii="Arial Negrita" w:hAnsi="Arial Negrita" w:cs="Arial"/>
          <w:b/>
          <w:bCs/>
          <w:smallCaps/>
          <w:szCs w:val="20"/>
        </w:rPr>
        <w:t>Defunciones fetales según mes de registro</w:t>
      </w:r>
    </w:p>
    <w:p w14:paraId="482B8AA9" w14:textId="7AACD166" w:rsidR="003168D7" w:rsidRPr="00CA43B4" w:rsidRDefault="003168D7" w:rsidP="003168D7">
      <w:pPr>
        <w:keepNext/>
        <w:spacing w:after="120"/>
        <w:jc w:val="center"/>
        <w:rPr>
          <w:rFonts w:ascii="Arial" w:hAnsi="Arial" w:cs="Arial"/>
          <w:sz w:val="18"/>
          <w:szCs w:val="16"/>
        </w:rPr>
      </w:pPr>
    </w:p>
    <w:p w14:paraId="05DF5EAF" w14:textId="771259E5" w:rsidR="0042218A" w:rsidRPr="00CA43B4" w:rsidRDefault="00000F40" w:rsidP="003168D7">
      <w:pPr>
        <w:keepNext/>
        <w:jc w:val="center"/>
        <w:rPr>
          <w:rFonts w:ascii="Arial" w:eastAsia="Calibri" w:hAnsi="Arial" w:cs="Arial"/>
          <w:bCs/>
          <w:sz w:val="24"/>
          <w:szCs w:val="24"/>
        </w:rPr>
      </w:pPr>
      <w:r w:rsidRPr="00CA43B4">
        <w:rPr>
          <w:noProof/>
          <w:lang w:val="es-MX" w:eastAsia="es-MX"/>
        </w:rPr>
        <w:drawing>
          <wp:inline distT="0" distB="0" distL="0" distR="0" wp14:anchorId="160F9623" wp14:editId="6EFF7E93">
            <wp:extent cx="6191251" cy="2295525"/>
            <wp:effectExtent l="0" t="0" r="0" b="0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0E314E1" w14:textId="31E5C5DA" w:rsidR="00A25E81" w:rsidRPr="00CA43B4" w:rsidRDefault="00A25E81" w:rsidP="003168D7">
      <w:pPr>
        <w:pStyle w:val="Prrafodelista"/>
        <w:keepNext/>
        <w:tabs>
          <w:tab w:val="left" w:pos="567"/>
          <w:tab w:val="left" w:pos="851"/>
        </w:tabs>
        <w:spacing w:before="120"/>
        <w:ind w:left="284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 w:rsidR="002914B4" w:rsidRPr="00CA43B4">
        <w:rPr>
          <w:rFonts w:ascii="Arial" w:hAnsi="Arial" w:cs="Arial"/>
          <w:bCs/>
          <w:sz w:val="16"/>
          <w:szCs w:val="16"/>
        </w:rPr>
        <w:t xml:space="preserve"> </w:t>
      </w:r>
      <w:r w:rsidRPr="00CA43B4">
        <w:rPr>
          <w:rFonts w:ascii="Arial" w:hAnsi="Arial" w:cs="Arial"/>
          <w:bCs/>
          <w:sz w:val="16"/>
          <w:szCs w:val="16"/>
        </w:rPr>
        <w:t>Estadística</w:t>
      </w:r>
      <w:r w:rsidR="00A90449">
        <w:rPr>
          <w:rFonts w:ascii="Arial" w:hAnsi="Arial" w:cs="Arial"/>
          <w:bCs/>
          <w:sz w:val="16"/>
          <w:szCs w:val="16"/>
        </w:rPr>
        <w:t>s</w:t>
      </w:r>
      <w:r w:rsidRPr="00CA43B4">
        <w:rPr>
          <w:rFonts w:ascii="Arial" w:hAnsi="Arial" w:cs="Arial"/>
          <w:bCs/>
          <w:sz w:val="16"/>
          <w:szCs w:val="16"/>
        </w:rPr>
        <w:t xml:space="preserve"> de </w:t>
      </w:r>
      <w:r w:rsidR="00D724C2" w:rsidRPr="00CA43B4">
        <w:rPr>
          <w:rFonts w:ascii="Arial" w:hAnsi="Arial" w:cs="Arial"/>
          <w:bCs/>
          <w:sz w:val="16"/>
          <w:szCs w:val="16"/>
        </w:rPr>
        <w:t>D</w:t>
      </w:r>
      <w:r w:rsidRPr="00CA43B4">
        <w:rPr>
          <w:rFonts w:ascii="Arial" w:hAnsi="Arial" w:cs="Arial"/>
          <w:bCs/>
          <w:sz w:val="16"/>
          <w:szCs w:val="16"/>
        </w:rPr>
        <w:t xml:space="preserve">efunciones </w:t>
      </w:r>
      <w:r w:rsidR="00D724C2" w:rsidRPr="00CA43B4">
        <w:rPr>
          <w:rFonts w:ascii="Arial" w:hAnsi="Arial" w:cs="Arial"/>
          <w:bCs/>
          <w:sz w:val="16"/>
          <w:szCs w:val="16"/>
        </w:rPr>
        <w:t>F</w:t>
      </w:r>
      <w:r w:rsidRPr="00CA43B4">
        <w:rPr>
          <w:rFonts w:ascii="Arial" w:hAnsi="Arial" w:cs="Arial"/>
          <w:bCs/>
          <w:sz w:val="16"/>
          <w:szCs w:val="16"/>
        </w:rPr>
        <w:t>etales, 2021</w:t>
      </w:r>
    </w:p>
    <w:p w14:paraId="1FFD301B" w14:textId="77777777" w:rsidR="003168D7" w:rsidRPr="00CA43B4" w:rsidRDefault="003168D7" w:rsidP="0042218A">
      <w:pPr>
        <w:pStyle w:val="Prrafodelista"/>
        <w:widowControl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14:paraId="635ECB77" w14:textId="5BAFC141" w:rsidR="0042218A" w:rsidRPr="00CA43B4" w:rsidRDefault="004C3D8B" w:rsidP="004C3D8B">
      <w:pPr>
        <w:pStyle w:val="Prrafodelista"/>
        <w:widowControl/>
        <w:ind w:right="163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Cs/>
          <w:sz w:val="24"/>
          <w:szCs w:val="24"/>
          <w:lang w:val="es-MX"/>
        </w:rPr>
        <w:t>En conjunto, l</w:t>
      </w:r>
      <w:r w:rsidR="0042218A" w:rsidRPr="00CA43B4">
        <w:rPr>
          <w:rFonts w:ascii="Arial" w:hAnsi="Arial" w:cs="Arial"/>
          <w:bCs/>
          <w:sz w:val="24"/>
          <w:szCs w:val="24"/>
          <w:lang w:val="es-MX"/>
        </w:rPr>
        <w:t xml:space="preserve">a </w:t>
      </w:r>
      <w:r w:rsidR="00780E74">
        <w:rPr>
          <w:rFonts w:ascii="Arial" w:hAnsi="Arial" w:cs="Arial"/>
          <w:bCs/>
          <w:sz w:val="24"/>
          <w:szCs w:val="24"/>
          <w:lang w:val="es-MX"/>
        </w:rPr>
        <w:t>SSA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42218A" w:rsidRPr="00CA43B4">
        <w:rPr>
          <w:rFonts w:ascii="Arial" w:hAnsi="Arial" w:cs="Arial"/>
          <w:bCs/>
          <w:sz w:val="24"/>
          <w:szCs w:val="24"/>
          <w:lang w:val="es-MX"/>
        </w:rPr>
        <w:t xml:space="preserve">y el Instituto Mexicano del Seguro Social </w:t>
      </w:r>
      <w:r w:rsidR="00780E74">
        <w:rPr>
          <w:rFonts w:ascii="Arial" w:hAnsi="Arial" w:cs="Arial"/>
          <w:bCs/>
          <w:sz w:val="24"/>
          <w:szCs w:val="24"/>
          <w:lang w:val="es-MX"/>
        </w:rPr>
        <w:t xml:space="preserve">(IMSS) </w:t>
      </w:r>
      <w:r w:rsidR="0042218A" w:rsidRPr="00CA43B4">
        <w:rPr>
          <w:rFonts w:ascii="Arial" w:hAnsi="Arial" w:cs="Arial"/>
          <w:bCs/>
          <w:sz w:val="24"/>
          <w:szCs w:val="24"/>
          <w:lang w:val="es-MX"/>
        </w:rPr>
        <w:t xml:space="preserve">atendieron a las madres que presentaron </w:t>
      </w:r>
      <w:r w:rsidR="00B85AB7" w:rsidRPr="00CA43B4">
        <w:rPr>
          <w:rFonts w:ascii="Arial" w:hAnsi="Arial" w:cs="Arial"/>
          <w:bCs/>
          <w:sz w:val="24"/>
          <w:szCs w:val="24"/>
          <w:lang w:val="es-MX"/>
        </w:rPr>
        <w:t>69.5</w:t>
      </w:r>
      <w:r w:rsidR="00DC0B0F" w:rsidRPr="00CA43B4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42218A" w:rsidRPr="00CA43B4">
        <w:rPr>
          <w:rFonts w:ascii="Arial" w:hAnsi="Arial" w:cs="Arial"/>
          <w:bCs/>
          <w:sz w:val="24"/>
          <w:szCs w:val="24"/>
          <w:lang w:val="es-MX"/>
        </w:rPr>
        <w:t xml:space="preserve">% de las defunciones fetales. Por su parte, las </w:t>
      </w:r>
      <w:r w:rsidR="0042218A" w:rsidRPr="004C3D8B">
        <w:rPr>
          <w:rFonts w:ascii="Arial" w:hAnsi="Arial" w:cs="Arial"/>
          <w:bCs/>
          <w:i/>
          <w:sz w:val="24"/>
          <w:szCs w:val="24"/>
          <w:lang w:val="es-MX"/>
        </w:rPr>
        <w:t>unidades médicas privadas</w:t>
      </w:r>
      <w:r w:rsidR="0042218A" w:rsidRPr="00CA43B4">
        <w:rPr>
          <w:rFonts w:ascii="Arial" w:hAnsi="Arial" w:cs="Arial"/>
          <w:bCs/>
          <w:sz w:val="24"/>
          <w:szCs w:val="24"/>
          <w:lang w:val="es-MX"/>
        </w:rPr>
        <w:t xml:space="preserve"> atendieron 1</w:t>
      </w:r>
      <w:r w:rsidR="00B85AB7" w:rsidRPr="00CA43B4">
        <w:rPr>
          <w:rFonts w:ascii="Arial" w:hAnsi="Arial" w:cs="Arial"/>
          <w:bCs/>
          <w:sz w:val="24"/>
          <w:szCs w:val="24"/>
          <w:lang w:val="es-MX"/>
        </w:rPr>
        <w:t>5.0</w:t>
      </w:r>
      <w:r w:rsidR="0042218A" w:rsidRPr="00CA43B4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F5228E">
        <w:rPr>
          <w:rFonts w:ascii="Arial" w:hAnsi="Arial" w:cs="Arial"/>
          <w:bCs/>
          <w:sz w:val="24"/>
          <w:szCs w:val="24"/>
          <w:lang w:val="es-MX"/>
        </w:rPr>
        <w:t>por ciento</w:t>
      </w:r>
      <w:r w:rsidR="00780E74">
        <w:rPr>
          <w:rFonts w:ascii="Arial" w:hAnsi="Arial" w:cs="Arial"/>
          <w:bCs/>
          <w:sz w:val="24"/>
          <w:szCs w:val="24"/>
          <w:lang w:val="es-MX"/>
        </w:rPr>
        <w:t xml:space="preserve"> de estos casos</w:t>
      </w:r>
      <w:r w:rsidR="00F5228E" w:rsidRPr="00CA43B4">
        <w:rPr>
          <w:rFonts w:ascii="Arial" w:hAnsi="Arial" w:cs="Arial"/>
          <w:bCs/>
          <w:sz w:val="24"/>
          <w:szCs w:val="24"/>
          <w:lang w:val="es-MX"/>
        </w:rPr>
        <w:t>.</w:t>
      </w:r>
    </w:p>
    <w:p w14:paraId="46B08632" w14:textId="77777777" w:rsidR="0042218A" w:rsidRPr="00F5228E" w:rsidRDefault="0042218A" w:rsidP="004C3D8B">
      <w:pPr>
        <w:ind w:right="163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0AFE8C57" w14:textId="495644CD" w:rsidR="003168D7" w:rsidRPr="00CA43B4" w:rsidRDefault="003168D7" w:rsidP="004C3D8B">
      <w:pPr>
        <w:pStyle w:val="Textoindependiente"/>
        <w:keepNext/>
        <w:kinsoku w:val="0"/>
        <w:overflowPunct w:val="0"/>
        <w:ind w:left="0" w:right="163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>Gráfica 3</w:t>
      </w:r>
    </w:p>
    <w:p w14:paraId="7D191091" w14:textId="60A65CDB" w:rsidR="0042218A" w:rsidRPr="00CA43B4" w:rsidRDefault="0042218A" w:rsidP="004C3D8B">
      <w:pPr>
        <w:keepNext/>
        <w:ind w:right="163"/>
        <w:jc w:val="center"/>
        <w:rPr>
          <w:rFonts w:ascii="Arial Negrita" w:hAnsi="Arial Negrita" w:cs="Arial"/>
          <w:b/>
          <w:bCs/>
          <w:smallCaps/>
          <w:szCs w:val="20"/>
        </w:rPr>
      </w:pPr>
      <w:r w:rsidRPr="00CA43B4">
        <w:rPr>
          <w:rFonts w:ascii="Arial Negrita" w:hAnsi="Arial Negrita" w:cs="Arial"/>
          <w:b/>
          <w:bCs/>
          <w:smallCaps/>
          <w:szCs w:val="20"/>
        </w:rPr>
        <w:t>Defunciones fetales según sitio de ocurrencia de la extracción o expulsión</w:t>
      </w:r>
    </w:p>
    <w:p w14:paraId="7123CCC5" w14:textId="57E42DEA" w:rsidR="003168D7" w:rsidRPr="00CA43B4" w:rsidRDefault="003168D7" w:rsidP="00D724C2">
      <w:pPr>
        <w:keepNext/>
        <w:spacing w:after="120"/>
        <w:jc w:val="center"/>
        <w:rPr>
          <w:rFonts w:ascii="Arial" w:hAnsi="Arial" w:cs="Arial"/>
          <w:sz w:val="18"/>
          <w:szCs w:val="16"/>
        </w:rPr>
      </w:pPr>
    </w:p>
    <w:p w14:paraId="44705351" w14:textId="3CFF2307" w:rsidR="0042218A" w:rsidRPr="00CA43B4" w:rsidRDefault="00C77BB1" w:rsidP="00D724C2">
      <w:pPr>
        <w:keepNext/>
        <w:jc w:val="center"/>
        <w:rPr>
          <w:noProof/>
        </w:rPr>
      </w:pPr>
      <w:r>
        <w:rPr>
          <w:noProof/>
          <w:lang w:val="es-MX" w:eastAsia="es-MX"/>
        </w:rPr>
        <w:drawing>
          <wp:inline distT="0" distB="0" distL="0" distR="0" wp14:anchorId="22EF89AE" wp14:editId="5A818C49">
            <wp:extent cx="5448300" cy="2809875"/>
            <wp:effectExtent l="0" t="0" r="0" b="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C26B0CB" w14:textId="54C29502" w:rsidR="00F13DAF" w:rsidRPr="00CA43B4" w:rsidRDefault="00F13DAF" w:rsidP="00D724C2">
      <w:pPr>
        <w:pStyle w:val="Prrafodelista"/>
        <w:keepNext/>
        <w:tabs>
          <w:tab w:val="left" w:pos="567"/>
          <w:tab w:val="left" w:pos="1276"/>
        </w:tabs>
        <w:spacing w:before="120"/>
        <w:ind w:left="709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 w:rsidR="002914B4" w:rsidRPr="00CA43B4">
        <w:rPr>
          <w:rFonts w:ascii="Arial" w:hAnsi="Arial" w:cs="Arial"/>
          <w:bCs/>
          <w:sz w:val="16"/>
          <w:szCs w:val="16"/>
        </w:rPr>
        <w:t xml:space="preserve"> </w:t>
      </w:r>
      <w:r w:rsidRPr="00CA43B4">
        <w:rPr>
          <w:rFonts w:ascii="Arial" w:hAnsi="Arial" w:cs="Arial"/>
          <w:bCs/>
          <w:sz w:val="16"/>
          <w:szCs w:val="16"/>
        </w:rPr>
        <w:t>Estadística</w:t>
      </w:r>
      <w:r w:rsidR="00780E74">
        <w:rPr>
          <w:rFonts w:ascii="Arial" w:hAnsi="Arial" w:cs="Arial"/>
          <w:bCs/>
          <w:sz w:val="16"/>
          <w:szCs w:val="16"/>
        </w:rPr>
        <w:t>s</w:t>
      </w:r>
      <w:r w:rsidRPr="00CA43B4">
        <w:rPr>
          <w:rFonts w:ascii="Arial" w:hAnsi="Arial" w:cs="Arial"/>
          <w:bCs/>
          <w:sz w:val="16"/>
          <w:szCs w:val="16"/>
        </w:rPr>
        <w:t xml:space="preserve"> de </w:t>
      </w:r>
      <w:r w:rsidR="00D724C2" w:rsidRPr="00CA43B4">
        <w:rPr>
          <w:rFonts w:ascii="Arial" w:hAnsi="Arial" w:cs="Arial"/>
          <w:bCs/>
          <w:sz w:val="16"/>
          <w:szCs w:val="16"/>
        </w:rPr>
        <w:t>D</w:t>
      </w:r>
      <w:r w:rsidRPr="00CA43B4">
        <w:rPr>
          <w:rFonts w:ascii="Arial" w:hAnsi="Arial" w:cs="Arial"/>
          <w:bCs/>
          <w:sz w:val="16"/>
          <w:szCs w:val="16"/>
        </w:rPr>
        <w:t xml:space="preserve">efunciones </w:t>
      </w:r>
      <w:r w:rsidR="00D724C2" w:rsidRPr="00CA43B4">
        <w:rPr>
          <w:rFonts w:ascii="Arial" w:hAnsi="Arial" w:cs="Arial"/>
          <w:bCs/>
          <w:sz w:val="16"/>
          <w:szCs w:val="16"/>
        </w:rPr>
        <w:t>F</w:t>
      </w:r>
      <w:r w:rsidRPr="00CA43B4">
        <w:rPr>
          <w:rFonts w:ascii="Arial" w:hAnsi="Arial" w:cs="Arial"/>
          <w:bCs/>
          <w:sz w:val="16"/>
          <w:szCs w:val="16"/>
        </w:rPr>
        <w:t>etales, 2021</w:t>
      </w:r>
    </w:p>
    <w:p w14:paraId="7F690D0D" w14:textId="3A977FEB" w:rsidR="00F13DAF" w:rsidRPr="00CA43B4" w:rsidRDefault="00F13DAF" w:rsidP="00A25E81">
      <w:pPr>
        <w:spacing w:after="120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61133422" w14:textId="66E761C9" w:rsidR="008B1C67" w:rsidRPr="00CA43B4" w:rsidRDefault="008B1C67" w:rsidP="00A25E81">
      <w:pPr>
        <w:spacing w:after="120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559F412C" w14:textId="77777777" w:rsidR="00B85AB7" w:rsidRPr="00CA43B4" w:rsidRDefault="00B85AB7" w:rsidP="00A25E81">
      <w:pPr>
        <w:spacing w:after="120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24392E15" w14:textId="18BAF572" w:rsidR="0042218A" w:rsidRPr="00CA43B4" w:rsidRDefault="0042218A" w:rsidP="004C3D8B">
      <w:pPr>
        <w:ind w:right="163"/>
        <w:jc w:val="both"/>
        <w:rPr>
          <w:rFonts w:ascii="Arial" w:hAnsi="Arial" w:cs="Arial"/>
          <w:bCs/>
          <w:sz w:val="24"/>
          <w:szCs w:val="24"/>
        </w:rPr>
      </w:pPr>
      <w:r w:rsidRPr="00CA43B4">
        <w:rPr>
          <w:rFonts w:ascii="Arial" w:hAnsi="Arial" w:cs="Arial"/>
          <w:bCs/>
          <w:sz w:val="24"/>
          <w:szCs w:val="24"/>
        </w:rPr>
        <w:lastRenderedPageBreak/>
        <w:t>Las</w:t>
      </w:r>
      <w:r w:rsidR="00780E74" w:rsidRPr="00CA43B4">
        <w:rPr>
          <w:rFonts w:ascii="Arial" w:hAnsi="Arial" w:cs="Arial"/>
          <w:bCs/>
          <w:sz w:val="24"/>
          <w:szCs w:val="24"/>
        </w:rPr>
        <w:t xml:space="preserve"> </w:t>
      </w:r>
      <w:r w:rsidR="00780E74" w:rsidRPr="004C3D8B">
        <w:rPr>
          <w:rFonts w:ascii="Arial" w:hAnsi="Arial" w:cs="Arial"/>
          <w:bCs/>
          <w:i/>
          <w:sz w:val="24"/>
          <w:szCs w:val="24"/>
        </w:rPr>
        <w:t>afectaciones al feto por factores maternos y por complicaciones tanto del embarazo, como del trabajo de parto y del parto mismo</w:t>
      </w:r>
      <w:r w:rsidR="00780E74" w:rsidRPr="00CA43B4">
        <w:rPr>
          <w:rFonts w:ascii="Arial" w:hAnsi="Arial" w:cs="Arial"/>
          <w:bCs/>
          <w:sz w:val="24"/>
          <w:szCs w:val="24"/>
        </w:rPr>
        <w:t xml:space="preserve"> </w:t>
      </w:r>
      <w:r w:rsidR="00780E74">
        <w:rPr>
          <w:rFonts w:ascii="Arial" w:hAnsi="Arial" w:cs="Arial"/>
          <w:bCs/>
          <w:sz w:val="24"/>
          <w:szCs w:val="24"/>
        </w:rPr>
        <w:t xml:space="preserve">fueron las </w:t>
      </w:r>
      <w:r w:rsidRPr="00CA43B4">
        <w:rPr>
          <w:rFonts w:ascii="Arial" w:hAnsi="Arial" w:cs="Arial"/>
          <w:bCs/>
          <w:sz w:val="24"/>
          <w:szCs w:val="24"/>
        </w:rPr>
        <w:t xml:space="preserve">principales causas de muerte fetal con </w:t>
      </w:r>
      <w:r w:rsidR="00780E74">
        <w:rPr>
          <w:rFonts w:ascii="Arial" w:hAnsi="Arial" w:cs="Arial"/>
          <w:bCs/>
          <w:sz w:val="24"/>
          <w:szCs w:val="24"/>
        </w:rPr>
        <w:t xml:space="preserve">            </w:t>
      </w:r>
      <w:r w:rsidRPr="00CA43B4">
        <w:rPr>
          <w:rFonts w:ascii="Arial" w:hAnsi="Arial" w:cs="Arial"/>
          <w:bCs/>
          <w:sz w:val="24"/>
          <w:szCs w:val="24"/>
        </w:rPr>
        <w:t>4</w:t>
      </w:r>
      <w:r w:rsidR="0067451C" w:rsidRPr="00CA43B4">
        <w:rPr>
          <w:rFonts w:ascii="Arial" w:hAnsi="Arial" w:cs="Arial"/>
          <w:bCs/>
          <w:sz w:val="24"/>
          <w:szCs w:val="24"/>
        </w:rPr>
        <w:t>6.0</w:t>
      </w:r>
      <w:r w:rsidR="00780E74">
        <w:rPr>
          <w:rFonts w:ascii="Arial" w:hAnsi="Arial" w:cs="Arial"/>
          <w:bCs/>
          <w:sz w:val="24"/>
          <w:szCs w:val="24"/>
        </w:rPr>
        <w:t xml:space="preserve"> por ciento.</w:t>
      </w:r>
      <w:r w:rsidRPr="00CA43B4">
        <w:rPr>
          <w:rFonts w:ascii="Arial" w:hAnsi="Arial" w:cs="Arial"/>
          <w:bCs/>
          <w:sz w:val="24"/>
          <w:szCs w:val="24"/>
        </w:rPr>
        <w:t xml:space="preserve"> </w:t>
      </w:r>
      <w:r w:rsidR="00780E74">
        <w:rPr>
          <w:rFonts w:ascii="Arial" w:hAnsi="Arial" w:cs="Arial"/>
          <w:bCs/>
          <w:sz w:val="24"/>
          <w:szCs w:val="24"/>
        </w:rPr>
        <w:t xml:space="preserve">Le siguieron </w:t>
      </w:r>
      <w:r w:rsidRPr="004C3D8B">
        <w:rPr>
          <w:rFonts w:ascii="Arial" w:hAnsi="Arial" w:cs="Arial"/>
          <w:bCs/>
          <w:i/>
          <w:sz w:val="24"/>
          <w:szCs w:val="24"/>
        </w:rPr>
        <w:t>otros trastornos originados en el periodo perinatal</w:t>
      </w:r>
      <w:r w:rsidRPr="00CA43B4">
        <w:rPr>
          <w:rFonts w:ascii="Arial" w:hAnsi="Arial" w:cs="Arial"/>
          <w:bCs/>
          <w:sz w:val="24"/>
          <w:szCs w:val="24"/>
        </w:rPr>
        <w:t xml:space="preserve"> con 2</w:t>
      </w:r>
      <w:r w:rsidR="0067451C" w:rsidRPr="00CA43B4">
        <w:rPr>
          <w:rFonts w:ascii="Arial" w:hAnsi="Arial" w:cs="Arial"/>
          <w:bCs/>
          <w:sz w:val="24"/>
          <w:szCs w:val="24"/>
        </w:rPr>
        <w:t>7.1</w:t>
      </w:r>
      <w:r w:rsidRPr="00CA43B4">
        <w:rPr>
          <w:rFonts w:ascii="Arial" w:hAnsi="Arial" w:cs="Arial"/>
          <w:bCs/>
          <w:sz w:val="24"/>
          <w:szCs w:val="24"/>
        </w:rPr>
        <w:t xml:space="preserve"> </w:t>
      </w:r>
      <w:r w:rsidR="00C12CBA">
        <w:rPr>
          <w:rFonts w:ascii="Arial" w:hAnsi="Arial" w:cs="Arial"/>
          <w:bCs/>
          <w:sz w:val="24"/>
          <w:szCs w:val="24"/>
        </w:rPr>
        <w:t>por ciento</w:t>
      </w:r>
      <w:r w:rsidR="00C12CBA" w:rsidRPr="00CA43B4">
        <w:rPr>
          <w:rFonts w:ascii="Arial" w:hAnsi="Arial" w:cs="Arial"/>
          <w:bCs/>
          <w:sz w:val="24"/>
          <w:szCs w:val="24"/>
        </w:rPr>
        <w:t>.</w:t>
      </w:r>
    </w:p>
    <w:p w14:paraId="40A9A56F" w14:textId="77777777" w:rsidR="0042218A" w:rsidRPr="00CA43B4" w:rsidRDefault="0042218A" w:rsidP="004C3D8B">
      <w:pPr>
        <w:ind w:right="163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17C120CE" w14:textId="109DED6A" w:rsidR="00D724C2" w:rsidRPr="00CA43B4" w:rsidRDefault="00D724C2" w:rsidP="004C3D8B">
      <w:pPr>
        <w:pStyle w:val="Textoindependiente"/>
        <w:keepNext/>
        <w:kinsoku w:val="0"/>
        <w:overflowPunct w:val="0"/>
        <w:ind w:left="0" w:right="163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>Gráfica 4</w:t>
      </w:r>
    </w:p>
    <w:p w14:paraId="473C69F1" w14:textId="69453631" w:rsidR="0042218A" w:rsidRPr="00CA43B4" w:rsidRDefault="0042218A" w:rsidP="004C3D8B">
      <w:pPr>
        <w:keepNext/>
        <w:ind w:right="163"/>
        <w:jc w:val="center"/>
        <w:rPr>
          <w:rFonts w:ascii="Arial Negrita" w:hAnsi="Arial Negrita" w:cs="Arial"/>
          <w:b/>
          <w:bCs/>
          <w:smallCaps/>
          <w:szCs w:val="20"/>
        </w:rPr>
      </w:pPr>
      <w:r w:rsidRPr="00CA43B4">
        <w:rPr>
          <w:rFonts w:ascii="Arial Negrita" w:hAnsi="Arial Negrita" w:cs="Arial"/>
          <w:b/>
          <w:bCs/>
          <w:smallCaps/>
          <w:szCs w:val="20"/>
        </w:rPr>
        <w:t>Defunciones fetales según causa de la muerte fetal</w:t>
      </w:r>
    </w:p>
    <w:p w14:paraId="29ADAB17" w14:textId="2F0C84F1" w:rsidR="00D724C2" w:rsidRPr="00CA43B4" w:rsidRDefault="00D724C2" w:rsidP="006C1DF9">
      <w:pPr>
        <w:keepNext/>
        <w:spacing w:after="120"/>
        <w:jc w:val="center"/>
        <w:rPr>
          <w:rFonts w:ascii="Arial" w:hAnsi="Arial" w:cs="Arial"/>
          <w:sz w:val="18"/>
          <w:szCs w:val="16"/>
        </w:rPr>
      </w:pPr>
    </w:p>
    <w:p w14:paraId="1F607B8E" w14:textId="6C942C24" w:rsidR="0042218A" w:rsidRPr="00CA43B4" w:rsidRDefault="00D62209" w:rsidP="006C1DF9">
      <w:pPr>
        <w:keepNext/>
        <w:jc w:val="center"/>
        <w:rPr>
          <w:rFonts w:ascii="Arial" w:eastAsia="Calibri" w:hAnsi="Arial" w:cs="Arial"/>
          <w:b/>
          <w:bCs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0B6E4A22" wp14:editId="048A3D78">
            <wp:extent cx="5740336" cy="3254750"/>
            <wp:effectExtent l="0" t="0" r="0" b="3175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3594C5C" w14:textId="07D9D914" w:rsidR="00F13DAF" w:rsidRPr="00CA43B4" w:rsidRDefault="00F13DAF" w:rsidP="00B342FA">
      <w:pPr>
        <w:pStyle w:val="Prrafodelista"/>
        <w:keepNext/>
        <w:tabs>
          <w:tab w:val="left" w:pos="567"/>
        </w:tabs>
        <w:spacing w:before="120"/>
        <w:ind w:left="567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 w:rsidR="002914B4" w:rsidRPr="00CA43B4">
        <w:rPr>
          <w:rFonts w:ascii="Arial" w:hAnsi="Arial" w:cs="Arial"/>
          <w:bCs/>
          <w:sz w:val="16"/>
          <w:szCs w:val="16"/>
        </w:rPr>
        <w:t xml:space="preserve"> </w:t>
      </w:r>
      <w:r w:rsidRPr="00CA43B4">
        <w:rPr>
          <w:rFonts w:ascii="Arial" w:hAnsi="Arial" w:cs="Arial"/>
          <w:bCs/>
          <w:sz w:val="16"/>
          <w:szCs w:val="16"/>
        </w:rPr>
        <w:t>Estadística</w:t>
      </w:r>
      <w:r w:rsidR="00780E74">
        <w:rPr>
          <w:rFonts w:ascii="Arial" w:hAnsi="Arial" w:cs="Arial"/>
          <w:bCs/>
          <w:sz w:val="16"/>
          <w:szCs w:val="16"/>
        </w:rPr>
        <w:t>s</w:t>
      </w:r>
      <w:r w:rsidRPr="00CA43B4">
        <w:rPr>
          <w:rFonts w:ascii="Arial" w:hAnsi="Arial" w:cs="Arial"/>
          <w:bCs/>
          <w:sz w:val="16"/>
          <w:szCs w:val="16"/>
        </w:rPr>
        <w:t xml:space="preserve"> de </w:t>
      </w:r>
      <w:r w:rsidR="00D724C2" w:rsidRPr="00CA43B4">
        <w:rPr>
          <w:rFonts w:ascii="Arial" w:hAnsi="Arial" w:cs="Arial"/>
          <w:bCs/>
          <w:sz w:val="16"/>
          <w:szCs w:val="16"/>
        </w:rPr>
        <w:t>D</w:t>
      </w:r>
      <w:r w:rsidRPr="00CA43B4">
        <w:rPr>
          <w:rFonts w:ascii="Arial" w:hAnsi="Arial" w:cs="Arial"/>
          <w:bCs/>
          <w:sz w:val="16"/>
          <w:szCs w:val="16"/>
        </w:rPr>
        <w:t xml:space="preserve">efunciones </w:t>
      </w:r>
      <w:r w:rsidR="00D724C2" w:rsidRPr="00CA43B4">
        <w:rPr>
          <w:rFonts w:ascii="Arial" w:hAnsi="Arial" w:cs="Arial"/>
          <w:bCs/>
          <w:sz w:val="16"/>
          <w:szCs w:val="16"/>
        </w:rPr>
        <w:t>F</w:t>
      </w:r>
      <w:r w:rsidRPr="00CA43B4">
        <w:rPr>
          <w:rFonts w:ascii="Arial" w:hAnsi="Arial" w:cs="Arial"/>
          <w:bCs/>
          <w:sz w:val="16"/>
          <w:szCs w:val="16"/>
        </w:rPr>
        <w:t>etales, 2021</w:t>
      </w:r>
    </w:p>
    <w:p w14:paraId="5370B4DA" w14:textId="77777777" w:rsidR="0042218A" w:rsidRPr="00CA43B4" w:rsidRDefault="0042218A" w:rsidP="006C1DF9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25D6E6DD" w14:textId="4687F2F6" w:rsidR="0042218A" w:rsidRPr="00CA43B4" w:rsidRDefault="00780E74" w:rsidP="004C3D8B">
      <w:pPr>
        <w:ind w:right="163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De las muertes fetales, 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>8</w:t>
      </w:r>
      <w:r w:rsidR="00B342FA" w:rsidRPr="00CA43B4">
        <w:rPr>
          <w:rFonts w:ascii="Arial" w:eastAsia="Calibri" w:hAnsi="Arial" w:cs="Arial"/>
          <w:bCs/>
          <w:sz w:val="24"/>
          <w:szCs w:val="24"/>
        </w:rPr>
        <w:t>3.5</w:t>
      </w:r>
      <w:r w:rsidR="0084271C" w:rsidRPr="00CA43B4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>% (1</w:t>
      </w:r>
      <w:r w:rsidR="00B342FA" w:rsidRPr="00CA43B4">
        <w:rPr>
          <w:rFonts w:ascii="Arial" w:eastAsia="Calibri" w:hAnsi="Arial" w:cs="Arial"/>
          <w:bCs/>
          <w:sz w:val="24"/>
          <w:szCs w:val="24"/>
        </w:rPr>
        <w:t>9 2</w:t>
      </w:r>
      <w:r w:rsidR="00D62209">
        <w:rPr>
          <w:rFonts w:ascii="Arial" w:eastAsia="Calibri" w:hAnsi="Arial" w:cs="Arial"/>
          <w:bCs/>
          <w:sz w:val="24"/>
          <w:szCs w:val="24"/>
        </w:rPr>
        <w:t>17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>) ocurri</w:t>
      </w:r>
      <w:r>
        <w:rPr>
          <w:rFonts w:ascii="Arial" w:eastAsia="Calibri" w:hAnsi="Arial" w:cs="Arial"/>
          <w:bCs/>
          <w:sz w:val="24"/>
          <w:szCs w:val="24"/>
        </w:rPr>
        <w:t>ó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 antes del parto, 15.</w:t>
      </w:r>
      <w:r w:rsidR="00B342FA" w:rsidRPr="00CA43B4">
        <w:rPr>
          <w:rFonts w:ascii="Arial" w:eastAsia="Calibri" w:hAnsi="Arial" w:cs="Arial"/>
          <w:bCs/>
          <w:sz w:val="24"/>
          <w:szCs w:val="24"/>
        </w:rPr>
        <w:t>3</w:t>
      </w:r>
      <w:r w:rsidR="0084271C" w:rsidRPr="00CA43B4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>% (3 5</w:t>
      </w:r>
      <w:r w:rsidR="00B342FA" w:rsidRPr="00CA43B4">
        <w:rPr>
          <w:rFonts w:ascii="Arial" w:eastAsia="Calibri" w:hAnsi="Arial" w:cs="Arial"/>
          <w:bCs/>
          <w:sz w:val="24"/>
          <w:szCs w:val="24"/>
        </w:rPr>
        <w:t>1</w:t>
      </w:r>
      <w:r w:rsidR="00D62209">
        <w:rPr>
          <w:rFonts w:ascii="Arial" w:eastAsia="Calibri" w:hAnsi="Arial" w:cs="Arial"/>
          <w:bCs/>
          <w:sz w:val="24"/>
          <w:szCs w:val="24"/>
        </w:rPr>
        <w:t>0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>) durante el parto y en 1.</w:t>
      </w:r>
      <w:r w:rsidR="00B342FA" w:rsidRPr="00CA43B4">
        <w:rPr>
          <w:rFonts w:ascii="Arial" w:eastAsia="Calibri" w:hAnsi="Arial" w:cs="Arial"/>
          <w:bCs/>
          <w:sz w:val="24"/>
          <w:szCs w:val="24"/>
        </w:rPr>
        <w:t>2</w:t>
      </w:r>
      <w:r w:rsidR="0084271C" w:rsidRPr="00CA43B4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>% (</w:t>
      </w:r>
      <w:r w:rsidR="00B342FA" w:rsidRPr="00CA43B4">
        <w:rPr>
          <w:rFonts w:ascii="Arial" w:eastAsia="Calibri" w:hAnsi="Arial" w:cs="Arial"/>
          <w:bCs/>
          <w:sz w:val="24"/>
          <w:szCs w:val="24"/>
        </w:rPr>
        <w:t>273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>) de los casos no se especificó.</w:t>
      </w:r>
    </w:p>
    <w:p w14:paraId="406373B1" w14:textId="77777777" w:rsidR="0042218A" w:rsidRPr="00CA43B4" w:rsidRDefault="0042218A" w:rsidP="004C3D8B">
      <w:pPr>
        <w:ind w:right="163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2AD6D743" w14:textId="7DF4786B" w:rsidR="008834A8" w:rsidRPr="00CA43B4" w:rsidRDefault="008834A8" w:rsidP="004C3D8B">
      <w:pPr>
        <w:pStyle w:val="Textoindependiente"/>
        <w:keepNext/>
        <w:kinsoku w:val="0"/>
        <w:overflowPunct w:val="0"/>
        <w:ind w:left="0" w:right="163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>Gráfica 5</w:t>
      </w:r>
    </w:p>
    <w:p w14:paraId="425A2B1C" w14:textId="4BADECF7" w:rsidR="00C23BA3" w:rsidRPr="00CA43B4" w:rsidRDefault="0042218A" w:rsidP="004C3D8B">
      <w:pPr>
        <w:keepNext/>
        <w:ind w:right="163"/>
        <w:jc w:val="center"/>
        <w:rPr>
          <w:rFonts w:ascii="Arial Negrita" w:hAnsi="Arial Negrita" w:cs="Arial"/>
          <w:b/>
          <w:bCs/>
          <w:smallCaps/>
          <w:szCs w:val="20"/>
        </w:rPr>
      </w:pPr>
      <w:r w:rsidRPr="00CA43B4">
        <w:rPr>
          <w:rFonts w:ascii="Arial Negrita" w:hAnsi="Arial Negrita" w:cs="Arial"/>
          <w:b/>
          <w:bCs/>
          <w:smallCaps/>
          <w:szCs w:val="20"/>
        </w:rPr>
        <w:t>Defunciones fetales según condición de ocurrencia de la muerte fetal</w:t>
      </w:r>
    </w:p>
    <w:p w14:paraId="4BA712E4" w14:textId="0E54CC4C" w:rsidR="00DC7CB0" w:rsidRPr="00CA43B4" w:rsidRDefault="00DC7CB0" w:rsidP="00DC7CB0">
      <w:pPr>
        <w:keepNext/>
        <w:spacing w:after="120"/>
        <w:jc w:val="center"/>
        <w:rPr>
          <w:rFonts w:ascii="Arial" w:hAnsi="Arial" w:cs="Arial"/>
          <w:sz w:val="18"/>
          <w:szCs w:val="16"/>
        </w:rPr>
      </w:pPr>
    </w:p>
    <w:p w14:paraId="39F2C858" w14:textId="7B7F44CB" w:rsidR="0042218A" w:rsidRPr="00CA43B4" w:rsidRDefault="00D62209" w:rsidP="006C1DF9">
      <w:pPr>
        <w:keepNext/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5C7F2711" wp14:editId="150A92D1">
            <wp:extent cx="2788526" cy="1724024"/>
            <wp:effectExtent l="0" t="0" r="0" b="0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0486B35" w14:textId="4B6979BB" w:rsidR="006C1DF9" w:rsidRPr="00CA43B4" w:rsidRDefault="006C1DF9" w:rsidP="00B342FA">
      <w:pPr>
        <w:pStyle w:val="Prrafodelista"/>
        <w:keepNext/>
        <w:tabs>
          <w:tab w:val="left" w:pos="567"/>
          <w:tab w:val="left" w:pos="1560"/>
        </w:tabs>
        <w:spacing w:before="120"/>
        <w:ind w:left="1276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 w:rsidR="002914B4" w:rsidRPr="00CA43B4">
        <w:rPr>
          <w:rFonts w:ascii="Arial" w:hAnsi="Arial" w:cs="Arial"/>
          <w:bCs/>
          <w:sz w:val="16"/>
          <w:szCs w:val="16"/>
        </w:rPr>
        <w:t xml:space="preserve"> </w:t>
      </w:r>
      <w:r w:rsidRPr="00CA43B4">
        <w:rPr>
          <w:rFonts w:ascii="Arial" w:hAnsi="Arial" w:cs="Arial"/>
          <w:bCs/>
          <w:sz w:val="16"/>
          <w:szCs w:val="16"/>
        </w:rPr>
        <w:t>Estadística</w:t>
      </w:r>
      <w:r w:rsidR="00780E74">
        <w:rPr>
          <w:rFonts w:ascii="Arial" w:hAnsi="Arial" w:cs="Arial"/>
          <w:bCs/>
          <w:sz w:val="16"/>
          <w:szCs w:val="16"/>
        </w:rPr>
        <w:t>s</w:t>
      </w:r>
      <w:r w:rsidRPr="00CA43B4">
        <w:rPr>
          <w:rFonts w:ascii="Arial" w:hAnsi="Arial" w:cs="Arial"/>
          <w:bCs/>
          <w:sz w:val="16"/>
          <w:szCs w:val="16"/>
        </w:rPr>
        <w:t xml:space="preserve"> de Defunciones Fetales, 2021</w:t>
      </w:r>
    </w:p>
    <w:p w14:paraId="31FCBA0D" w14:textId="6FB6A717" w:rsidR="0042218A" w:rsidRPr="00CA43B4" w:rsidRDefault="0042218A" w:rsidP="0042218A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477A55A5" w14:textId="1A677048" w:rsidR="0042218A" w:rsidRPr="00CA43B4" w:rsidRDefault="0042218A" w:rsidP="00DF03EE">
      <w:pPr>
        <w:pStyle w:val="Prrafodelista"/>
        <w:numPr>
          <w:ilvl w:val="0"/>
          <w:numId w:val="18"/>
        </w:numPr>
        <w:autoSpaceDE w:val="0"/>
        <w:autoSpaceDN w:val="0"/>
        <w:adjustRightInd w:val="0"/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</w:pPr>
      <w:r w:rsidRPr="00CA43B4"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  <w:lastRenderedPageBreak/>
        <w:t>Características del embarazo y del parto</w:t>
      </w:r>
    </w:p>
    <w:p w14:paraId="3B347B60" w14:textId="77777777" w:rsidR="0042218A" w:rsidRPr="00CA43B4" w:rsidRDefault="0042218A" w:rsidP="0042218A">
      <w:pPr>
        <w:rPr>
          <w:lang w:eastAsia="es-ES"/>
        </w:rPr>
      </w:pPr>
    </w:p>
    <w:p w14:paraId="6254F0B1" w14:textId="0E6CFED0" w:rsidR="00787C28" w:rsidRDefault="0042218A" w:rsidP="004C3D8B">
      <w:pPr>
        <w:ind w:right="163"/>
        <w:jc w:val="both"/>
        <w:rPr>
          <w:rFonts w:ascii="Arial" w:hAnsi="Arial" w:cs="Arial"/>
          <w:bCs/>
          <w:sz w:val="24"/>
          <w:szCs w:val="24"/>
        </w:rPr>
      </w:pPr>
      <w:r w:rsidRPr="00CA43B4">
        <w:rPr>
          <w:rFonts w:ascii="Arial" w:hAnsi="Arial" w:cs="Arial"/>
          <w:bCs/>
          <w:sz w:val="24"/>
          <w:szCs w:val="24"/>
        </w:rPr>
        <w:t xml:space="preserve">El </w:t>
      </w:r>
      <w:r w:rsidR="000F6218" w:rsidRPr="00CA43B4">
        <w:rPr>
          <w:rFonts w:ascii="Arial" w:hAnsi="Arial" w:cs="Arial"/>
          <w:bCs/>
          <w:sz w:val="24"/>
          <w:szCs w:val="24"/>
        </w:rPr>
        <w:t>82.5</w:t>
      </w:r>
      <w:r w:rsidR="005D2E4F" w:rsidRPr="00CA43B4">
        <w:rPr>
          <w:rFonts w:ascii="Arial" w:hAnsi="Arial" w:cs="Arial"/>
          <w:bCs/>
          <w:sz w:val="24"/>
          <w:szCs w:val="24"/>
        </w:rPr>
        <w:t xml:space="preserve"> </w:t>
      </w:r>
      <w:r w:rsidRPr="00CA43B4">
        <w:rPr>
          <w:rFonts w:ascii="Arial" w:hAnsi="Arial" w:cs="Arial"/>
          <w:bCs/>
          <w:sz w:val="24"/>
          <w:szCs w:val="24"/>
        </w:rPr>
        <w:t xml:space="preserve">% de mujeres </w:t>
      </w:r>
      <w:r w:rsidRPr="004C3D8B">
        <w:rPr>
          <w:rFonts w:ascii="Arial" w:hAnsi="Arial" w:cs="Arial"/>
          <w:bCs/>
          <w:i/>
          <w:sz w:val="24"/>
          <w:szCs w:val="24"/>
        </w:rPr>
        <w:t>recibi</w:t>
      </w:r>
      <w:r w:rsidR="00780E74" w:rsidRPr="004C3D8B">
        <w:rPr>
          <w:rFonts w:ascii="Arial" w:hAnsi="Arial" w:cs="Arial"/>
          <w:bCs/>
          <w:i/>
          <w:sz w:val="24"/>
          <w:szCs w:val="24"/>
        </w:rPr>
        <w:t>ó</w:t>
      </w:r>
      <w:r w:rsidRPr="004C3D8B">
        <w:rPr>
          <w:rFonts w:ascii="Arial" w:hAnsi="Arial" w:cs="Arial"/>
          <w:bCs/>
          <w:i/>
          <w:sz w:val="24"/>
          <w:szCs w:val="24"/>
        </w:rPr>
        <w:t xml:space="preserve"> atención prenatal</w:t>
      </w:r>
      <w:r w:rsidRPr="00CA43B4">
        <w:rPr>
          <w:rFonts w:ascii="Arial" w:hAnsi="Arial" w:cs="Arial"/>
          <w:bCs/>
          <w:sz w:val="24"/>
          <w:szCs w:val="24"/>
        </w:rPr>
        <w:t>, en tanto que 15</w:t>
      </w:r>
      <w:r w:rsidR="000F6218" w:rsidRPr="00CA43B4">
        <w:rPr>
          <w:rFonts w:ascii="Arial" w:hAnsi="Arial" w:cs="Arial"/>
          <w:bCs/>
          <w:sz w:val="24"/>
          <w:szCs w:val="24"/>
        </w:rPr>
        <w:t>.0</w:t>
      </w:r>
      <w:r w:rsidR="005D2E4F" w:rsidRPr="00CA43B4">
        <w:rPr>
          <w:rFonts w:ascii="Arial" w:hAnsi="Arial" w:cs="Arial"/>
          <w:bCs/>
          <w:sz w:val="24"/>
          <w:szCs w:val="24"/>
        </w:rPr>
        <w:t xml:space="preserve"> </w:t>
      </w:r>
      <w:r w:rsidRPr="00CA43B4">
        <w:rPr>
          <w:rFonts w:ascii="Arial" w:hAnsi="Arial" w:cs="Arial"/>
          <w:bCs/>
          <w:sz w:val="24"/>
          <w:szCs w:val="24"/>
        </w:rPr>
        <w:t xml:space="preserve">% </w:t>
      </w:r>
      <w:r w:rsidRPr="004C3D8B">
        <w:rPr>
          <w:rFonts w:ascii="Arial" w:hAnsi="Arial" w:cs="Arial"/>
          <w:bCs/>
          <w:i/>
          <w:sz w:val="24"/>
          <w:szCs w:val="24"/>
        </w:rPr>
        <w:t>no</w:t>
      </w:r>
      <w:r w:rsidR="00780E74" w:rsidRPr="004C3D8B">
        <w:rPr>
          <w:rFonts w:ascii="Arial" w:hAnsi="Arial" w:cs="Arial"/>
          <w:bCs/>
          <w:i/>
          <w:sz w:val="24"/>
          <w:szCs w:val="24"/>
        </w:rPr>
        <w:t xml:space="preserve"> </w:t>
      </w:r>
      <w:r w:rsidR="004C3D8B">
        <w:rPr>
          <w:rFonts w:ascii="Arial" w:hAnsi="Arial" w:cs="Arial"/>
          <w:bCs/>
          <w:i/>
          <w:sz w:val="24"/>
          <w:szCs w:val="24"/>
        </w:rPr>
        <w:t xml:space="preserve">la </w:t>
      </w:r>
      <w:r w:rsidR="00780E74" w:rsidRPr="004C3D8B">
        <w:rPr>
          <w:rFonts w:ascii="Arial" w:hAnsi="Arial" w:cs="Arial"/>
          <w:bCs/>
          <w:i/>
          <w:sz w:val="24"/>
          <w:szCs w:val="24"/>
        </w:rPr>
        <w:t>recibió</w:t>
      </w:r>
      <w:r w:rsidRPr="00CA43B4">
        <w:rPr>
          <w:rFonts w:ascii="Arial" w:hAnsi="Arial" w:cs="Arial"/>
          <w:bCs/>
          <w:sz w:val="24"/>
          <w:szCs w:val="24"/>
        </w:rPr>
        <w:t xml:space="preserve"> y </w:t>
      </w:r>
      <w:r w:rsidR="000F6218" w:rsidRPr="00CA43B4">
        <w:rPr>
          <w:rFonts w:ascii="Arial" w:hAnsi="Arial" w:cs="Arial"/>
          <w:bCs/>
          <w:sz w:val="24"/>
          <w:szCs w:val="24"/>
        </w:rPr>
        <w:t>2.5</w:t>
      </w:r>
      <w:r w:rsidR="005D2E4F" w:rsidRPr="00CA43B4">
        <w:rPr>
          <w:rFonts w:ascii="Arial" w:hAnsi="Arial" w:cs="Arial"/>
          <w:bCs/>
          <w:sz w:val="24"/>
          <w:szCs w:val="24"/>
        </w:rPr>
        <w:t xml:space="preserve"> </w:t>
      </w:r>
      <w:r w:rsidRPr="00CA43B4">
        <w:rPr>
          <w:rFonts w:ascii="Arial" w:hAnsi="Arial" w:cs="Arial"/>
          <w:bCs/>
          <w:sz w:val="24"/>
          <w:szCs w:val="24"/>
        </w:rPr>
        <w:t xml:space="preserve">% </w:t>
      </w:r>
      <w:r w:rsidRPr="004C3D8B">
        <w:rPr>
          <w:rFonts w:ascii="Arial" w:hAnsi="Arial" w:cs="Arial"/>
          <w:bCs/>
          <w:i/>
          <w:sz w:val="24"/>
          <w:szCs w:val="24"/>
        </w:rPr>
        <w:t>no especificó</w:t>
      </w:r>
      <w:r w:rsidRPr="00CA43B4">
        <w:rPr>
          <w:rFonts w:ascii="Arial" w:hAnsi="Arial" w:cs="Arial"/>
          <w:bCs/>
          <w:sz w:val="24"/>
          <w:szCs w:val="24"/>
        </w:rPr>
        <w:t xml:space="preserve"> si recibió o no atención médica durante el embarazo. </w:t>
      </w:r>
    </w:p>
    <w:p w14:paraId="4CA2AE2D" w14:textId="77777777" w:rsidR="00787C28" w:rsidRDefault="00787C28" w:rsidP="004C3D8B">
      <w:pPr>
        <w:ind w:right="163"/>
        <w:jc w:val="both"/>
        <w:rPr>
          <w:rFonts w:ascii="Arial" w:hAnsi="Arial" w:cs="Arial"/>
          <w:sz w:val="24"/>
          <w:szCs w:val="24"/>
        </w:rPr>
      </w:pPr>
    </w:p>
    <w:p w14:paraId="676DE2F2" w14:textId="30732C65" w:rsidR="0042218A" w:rsidRDefault="0042218A" w:rsidP="004C3D8B">
      <w:pPr>
        <w:ind w:right="163"/>
        <w:jc w:val="both"/>
        <w:rPr>
          <w:rFonts w:ascii="Arial" w:hAnsi="Arial" w:cs="Arial"/>
          <w:sz w:val="24"/>
          <w:szCs w:val="24"/>
        </w:rPr>
      </w:pPr>
      <w:r w:rsidRPr="00482F92">
        <w:rPr>
          <w:rFonts w:ascii="Arial" w:hAnsi="Arial" w:cs="Arial"/>
          <w:spacing w:val="-4"/>
          <w:sz w:val="24"/>
          <w:szCs w:val="24"/>
        </w:rPr>
        <w:t>De las mujeres que asistieron a consulta médica, 64</w:t>
      </w:r>
      <w:r w:rsidR="000F6218" w:rsidRPr="00482F92">
        <w:rPr>
          <w:rFonts w:ascii="Arial" w:hAnsi="Arial" w:cs="Arial"/>
          <w:spacing w:val="-4"/>
          <w:sz w:val="24"/>
          <w:szCs w:val="24"/>
        </w:rPr>
        <w:t>.1</w:t>
      </w:r>
      <w:r w:rsidR="005D2E4F" w:rsidRPr="00482F92">
        <w:rPr>
          <w:rFonts w:ascii="Arial" w:hAnsi="Arial" w:cs="Arial"/>
          <w:spacing w:val="-4"/>
          <w:sz w:val="24"/>
          <w:szCs w:val="24"/>
        </w:rPr>
        <w:t xml:space="preserve"> </w:t>
      </w:r>
      <w:r w:rsidRPr="00482F92">
        <w:rPr>
          <w:rFonts w:ascii="Arial" w:hAnsi="Arial" w:cs="Arial"/>
          <w:spacing w:val="-4"/>
          <w:sz w:val="24"/>
          <w:szCs w:val="24"/>
        </w:rPr>
        <w:t>% recibi</w:t>
      </w:r>
      <w:r w:rsidR="00780E74">
        <w:rPr>
          <w:rFonts w:ascii="Arial" w:hAnsi="Arial" w:cs="Arial"/>
          <w:spacing w:val="-4"/>
          <w:sz w:val="24"/>
          <w:szCs w:val="24"/>
        </w:rPr>
        <w:t>ó</w:t>
      </w:r>
      <w:r w:rsidRPr="00482F92">
        <w:rPr>
          <w:rFonts w:ascii="Arial" w:hAnsi="Arial" w:cs="Arial"/>
          <w:spacing w:val="-4"/>
          <w:sz w:val="24"/>
          <w:szCs w:val="24"/>
        </w:rPr>
        <w:t xml:space="preserve"> entre </w:t>
      </w:r>
      <w:r w:rsidR="00787C28">
        <w:rPr>
          <w:rFonts w:ascii="Arial" w:hAnsi="Arial" w:cs="Arial"/>
          <w:spacing w:val="-4"/>
          <w:sz w:val="24"/>
          <w:szCs w:val="24"/>
        </w:rPr>
        <w:t>una</w:t>
      </w:r>
      <w:r w:rsidR="00787C28" w:rsidRPr="00482F92">
        <w:rPr>
          <w:rFonts w:ascii="Arial" w:hAnsi="Arial" w:cs="Arial"/>
          <w:spacing w:val="-4"/>
          <w:sz w:val="24"/>
          <w:szCs w:val="24"/>
        </w:rPr>
        <w:t xml:space="preserve"> </w:t>
      </w:r>
      <w:r w:rsidRPr="00482F92">
        <w:rPr>
          <w:rFonts w:ascii="Arial" w:hAnsi="Arial" w:cs="Arial"/>
          <w:spacing w:val="-4"/>
          <w:sz w:val="24"/>
          <w:szCs w:val="24"/>
        </w:rPr>
        <w:t xml:space="preserve">y </w:t>
      </w:r>
      <w:r w:rsidR="00787C28">
        <w:rPr>
          <w:rFonts w:ascii="Arial" w:hAnsi="Arial" w:cs="Arial"/>
          <w:spacing w:val="-4"/>
          <w:sz w:val="24"/>
          <w:szCs w:val="24"/>
        </w:rPr>
        <w:t>cinco</w:t>
      </w:r>
      <w:r w:rsidR="00787C28" w:rsidRPr="00482F92">
        <w:rPr>
          <w:rFonts w:ascii="Arial" w:hAnsi="Arial" w:cs="Arial"/>
          <w:spacing w:val="-4"/>
          <w:sz w:val="24"/>
          <w:szCs w:val="24"/>
        </w:rPr>
        <w:t xml:space="preserve"> </w:t>
      </w:r>
      <w:r w:rsidRPr="00482F92">
        <w:rPr>
          <w:rFonts w:ascii="Arial" w:hAnsi="Arial" w:cs="Arial"/>
          <w:spacing w:val="-4"/>
          <w:sz w:val="24"/>
          <w:szCs w:val="24"/>
        </w:rPr>
        <w:t>consultas</w:t>
      </w:r>
      <w:r w:rsidR="004C3D8B">
        <w:rPr>
          <w:rFonts w:ascii="Arial" w:hAnsi="Arial" w:cs="Arial"/>
          <w:spacing w:val="-4"/>
          <w:sz w:val="24"/>
          <w:szCs w:val="24"/>
        </w:rPr>
        <w:t>;</w:t>
      </w:r>
      <w:r w:rsidR="00780E74">
        <w:rPr>
          <w:rFonts w:ascii="Arial" w:hAnsi="Arial" w:cs="Arial"/>
          <w:spacing w:val="-4"/>
          <w:sz w:val="24"/>
          <w:szCs w:val="24"/>
        </w:rPr>
        <w:t xml:space="preserve"> </w:t>
      </w:r>
      <w:r w:rsidR="00A61F0B">
        <w:rPr>
          <w:rFonts w:ascii="Arial" w:hAnsi="Arial" w:cs="Arial"/>
          <w:spacing w:val="-4"/>
          <w:sz w:val="24"/>
          <w:szCs w:val="24"/>
        </w:rPr>
        <w:t xml:space="preserve">      </w:t>
      </w:r>
      <w:r w:rsidR="000F6218" w:rsidRPr="00482F92">
        <w:rPr>
          <w:rFonts w:ascii="Arial" w:hAnsi="Arial" w:cs="Arial"/>
          <w:spacing w:val="-4"/>
          <w:sz w:val="24"/>
          <w:szCs w:val="24"/>
        </w:rPr>
        <w:t>31.0</w:t>
      </w:r>
      <w:r w:rsidR="005D2E4F" w:rsidRPr="00482F92">
        <w:rPr>
          <w:rFonts w:ascii="Arial" w:hAnsi="Arial" w:cs="Arial"/>
          <w:spacing w:val="-4"/>
          <w:sz w:val="24"/>
          <w:szCs w:val="24"/>
        </w:rPr>
        <w:t xml:space="preserve"> </w:t>
      </w:r>
      <w:r w:rsidRPr="00482F92">
        <w:rPr>
          <w:rFonts w:ascii="Arial" w:hAnsi="Arial" w:cs="Arial"/>
          <w:spacing w:val="-4"/>
          <w:sz w:val="24"/>
          <w:szCs w:val="24"/>
        </w:rPr>
        <w:t>%</w:t>
      </w:r>
      <w:r w:rsidR="004C3D8B">
        <w:rPr>
          <w:rFonts w:ascii="Arial" w:hAnsi="Arial" w:cs="Arial"/>
          <w:spacing w:val="-4"/>
          <w:sz w:val="24"/>
          <w:szCs w:val="24"/>
        </w:rPr>
        <w:t>,</w:t>
      </w:r>
      <w:r w:rsidRPr="00CA43B4">
        <w:rPr>
          <w:rFonts w:ascii="Arial" w:hAnsi="Arial" w:cs="Arial"/>
          <w:sz w:val="24"/>
          <w:szCs w:val="24"/>
        </w:rPr>
        <w:t xml:space="preserve"> entre </w:t>
      </w:r>
      <w:r w:rsidR="00787C28">
        <w:rPr>
          <w:rFonts w:ascii="Arial" w:hAnsi="Arial" w:cs="Arial"/>
          <w:sz w:val="24"/>
          <w:szCs w:val="24"/>
        </w:rPr>
        <w:t>seis</w:t>
      </w:r>
      <w:r w:rsidR="00787C28" w:rsidRPr="00CA43B4">
        <w:rPr>
          <w:rFonts w:ascii="Arial" w:hAnsi="Arial" w:cs="Arial"/>
          <w:sz w:val="24"/>
          <w:szCs w:val="24"/>
        </w:rPr>
        <w:t xml:space="preserve"> </w:t>
      </w:r>
      <w:r w:rsidRPr="00CA43B4">
        <w:rPr>
          <w:rFonts w:ascii="Arial" w:hAnsi="Arial" w:cs="Arial"/>
          <w:sz w:val="24"/>
          <w:szCs w:val="24"/>
        </w:rPr>
        <w:t xml:space="preserve">y </w:t>
      </w:r>
      <w:r w:rsidR="00780E74">
        <w:rPr>
          <w:rFonts w:ascii="Arial" w:hAnsi="Arial" w:cs="Arial"/>
          <w:sz w:val="24"/>
          <w:szCs w:val="24"/>
        </w:rPr>
        <w:t>diez</w:t>
      </w:r>
      <w:r w:rsidR="004C3D8B">
        <w:rPr>
          <w:rFonts w:ascii="Arial" w:hAnsi="Arial" w:cs="Arial"/>
          <w:sz w:val="24"/>
          <w:szCs w:val="24"/>
        </w:rPr>
        <w:t>;</w:t>
      </w:r>
      <w:r w:rsidRPr="00CA43B4">
        <w:rPr>
          <w:rFonts w:ascii="Arial" w:hAnsi="Arial" w:cs="Arial"/>
          <w:sz w:val="24"/>
          <w:szCs w:val="24"/>
        </w:rPr>
        <w:t xml:space="preserve"> 2.</w:t>
      </w:r>
      <w:r w:rsidR="000F6218" w:rsidRPr="00CA43B4">
        <w:rPr>
          <w:rFonts w:ascii="Arial" w:hAnsi="Arial" w:cs="Arial"/>
          <w:sz w:val="24"/>
          <w:szCs w:val="24"/>
        </w:rPr>
        <w:t>3</w:t>
      </w:r>
      <w:r w:rsidR="005D2E4F" w:rsidRPr="00CA43B4">
        <w:rPr>
          <w:rFonts w:ascii="Arial" w:hAnsi="Arial" w:cs="Arial"/>
          <w:sz w:val="24"/>
          <w:szCs w:val="24"/>
        </w:rPr>
        <w:t xml:space="preserve"> </w:t>
      </w:r>
      <w:r w:rsidRPr="00CA43B4">
        <w:rPr>
          <w:rFonts w:ascii="Arial" w:hAnsi="Arial" w:cs="Arial"/>
          <w:sz w:val="24"/>
          <w:szCs w:val="24"/>
        </w:rPr>
        <w:t>%</w:t>
      </w:r>
      <w:r w:rsidR="00A61F0B">
        <w:rPr>
          <w:rFonts w:ascii="Arial" w:hAnsi="Arial" w:cs="Arial"/>
          <w:sz w:val="24"/>
          <w:szCs w:val="24"/>
        </w:rPr>
        <w:t>,</w:t>
      </w:r>
      <w:r w:rsidRPr="00CA43B4">
        <w:rPr>
          <w:rFonts w:ascii="Arial" w:hAnsi="Arial" w:cs="Arial"/>
          <w:sz w:val="24"/>
          <w:szCs w:val="24"/>
        </w:rPr>
        <w:t xml:space="preserve"> entre 11 y 15</w:t>
      </w:r>
      <w:r w:rsidR="004C3D8B">
        <w:rPr>
          <w:rFonts w:ascii="Arial" w:hAnsi="Arial" w:cs="Arial"/>
          <w:sz w:val="24"/>
          <w:szCs w:val="24"/>
        </w:rPr>
        <w:t>;</w:t>
      </w:r>
      <w:r w:rsidRPr="00CA43B4">
        <w:rPr>
          <w:rFonts w:ascii="Arial" w:hAnsi="Arial" w:cs="Arial"/>
          <w:sz w:val="24"/>
          <w:szCs w:val="24"/>
        </w:rPr>
        <w:t xml:space="preserve"> 0.5</w:t>
      </w:r>
      <w:r w:rsidR="005D2E4F" w:rsidRPr="00CA43B4">
        <w:rPr>
          <w:rFonts w:ascii="Arial" w:hAnsi="Arial" w:cs="Arial"/>
          <w:sz w:val="24"/>
          <w:szCs w:val="24"/>
        </w:rPr>
        <w:t xml:space="preserve"> </w:t>
      </w:r>
      <w:r w:rsidRPr="00CA43B4">
        <w:rPr>
          <w:rFonts w:ascii="Arial" w:hAnsi="Arial" w:cs="Arial"/>
          <w:sz w:val="24"/>
          <w:szCs w:val="24"/>
        </w:rPr>
        <w:t>%</w:t>
      </w:r>
      <w:r w:rsidR="004C3D8B">
        <w:rPr>
          <w:rFonts w:ascii="Arial" w:hAnsi="Arial" w:cs="Arial"/>
          <w:sz w:val="24"/>
          <w:szCs w:val="24"/>
        </w:rPr>
        <w:t>,</w:t>
      </w:r>
      <w:r w:rsidRPr="00CA43B4">
        <w:rPr>
          <w:rFonts w:ascii="Arial" w:hAnsi="Arial" w:cs="Arial"/>
          <w:sz w:val="24"/>
          <w:szCs w:val="24"/>
        </w:rPr>
        <w:t xml:space="preserve"> entre 16 y 20 y</w:t>
      </w:r>
      <w:r w:rsidR="00787C28" w:rsidRPr="00CA43B4">
        <w:rPr>
          <w:rFonts w:ascii="Arial" w:hAnsi="Arial" w:cs="Arial"/>
          <w:sz w:val="24"/>
          <w:szCs w:val="24"/>
        </w:rPr>
        <w:t xml:space="preserve"> </w:t>
      </w:r>
      <w:r w:rsidRPr="00CA43B4">
        <w:rPr>
          <w:rFonts w:ascii="Arial" w:hAnsi="Arial" w:cs="Arial"/>
          <w:sz w:val="24"/>
          <w:szCs w:val="24"/>
        </w:rPr>
        <w:t>0.1</w:t>
      </w:r>
      <w:r w:rsidR="005D2E4F" w:rsidRPr="00CA43B4">
        <w:rPr>
          <w:rFonts w:ascii="Arial" w:hAnsi="Arial" w:cs="Arial"/>
          <w:sz w:val="24"/>
          <w:szCs w:val="24"/>
        </w:rPr>
        <w:t xml:space="preserve"> </w:t>
      </w:r>
      <w:r w:rsidRPr="00CA43B4">
        <w:rPr>
          <w:rFonts w:ascii="Arial" w:hAnsi="Arial" w:cs="Arial"/>
          <w:sz w:val="24"/>
          <w:szCs w:val="24"/>
        </w:rPr>
        <w:t>% recibió más de 20</w:t>
      </w:r>
      <w:r w:rsidR="003105E0">
        <w:rPr>
          <w:rFonts w:ascii="Arial" w:hAnsi="Arial" w:cs="Arial"/>
          <w:sz w:val="24"/>
          <w:szCs w:val="24"/>
        </w:rPr>
        <w:t>.</w:t>
      </w:r>
      <w:r w:rsidR="003E771B">
        <w:rPr>
          <w:rFonts w:ascii="Arial" w:hAnsi="Arial" w:cs="Arial"/>
          <w:sz w:val="24"/>
          <w:szCs w:val="24"/>
        </w:rPr>
        <w:t xml:space="preserve">  </w:t>
      </w:r>
      <w:r w:rsidR="003105E0">
        <w:rPr>
          <w:rFonts w:ascii="Arial" w:hAnsi="Arial" w:cs="Arial"/>
          <w:sz w:val="24"/>
          <w:szCs w:val="24"/>
        </w:rPr>
        <w:t>E</w:t>
      </w:r>
      <w:r w:rsidR="003E771B">
        <w:rPr>
          <w:rFonts w:ascii="Arial" w:hAnsi="Arial" w:cs="Arial"/>
          <w:sz w:val="24"/>
          <w:szCs w:val="24"/>
        </w:rPr>
        <w:t>l</w:t>
      </w:r>
      <w:r w:rsidRPr="00CA43B4">
        <w:rPr>
          <w:rFonts w:ascii="Arial" w:hAnsi="Arial" w:cs="Arial"/>
          <w:sz w:val="24"/>
          <w:szCs w:val="24"/>
        </w:rPr>
        <w:t xml:space="preserve"> </w:t>
      </w:r>
      <w:r w:rsidR="00780E74" w:rsidRPr="00CA43B4">
        <w:rPr>
          <w:rFonts w:ascii="Arial" w:hAnsi="Arial" w:cs="Arial"/>
          <w:sz w:val="24"/>
          <w:szCs w:val="24"/>
        </w:rPr>
        <w:t xml:space="preserve">2.0 % </w:t>
      </w:r>
      <w:r w:rsidRPr="00CA43B4">
        <w:rPr>
          <w:rFonts w:ascii="Arial" w:hAnsi="Arial" w:cs="Arial"/>
          <w:sz w:val="24"/>
          <w:szCs w:val="24"/>
        </w:rPr>
        <w:t>no especificó la cantidad.</w:t>
      </w:r>
    </w:p>
    <w:p w14:paraId="0CDBAD25" w14:textId="77777777" w:rsidR="00F5228E" w:rsidRPr="00CA43B4" w:rsidRDefault="00F5228E" w:rsidP="004C3D8B">
      <w:pPr>
        <w:ind w:right="163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2075A6B8" w14:textId="3F4D1AC1" w:rsidR="006F0185" w:rsidRPr="00CA43B4" w:rsidRDefault="006F0185" w:rsidP="004C3D8B">
      <w:pPr>
        <w:pStyle w:val="Textoindependiente"/>
        <w:keepNext/>
        <w:kinsoku w:val="0"/>
        <w:overflowPunct w:val="0"/>
        <w:ind w:left="0" w:right="163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 w:rsidR="009E5F4A" w:rsidRPr="00CA43B4">
        <w:rPr>
          <w:sz w:val="20"/>
          <w:szCs w:val="20"/>
        </w:rPr>
        <w:t>6</w:t>
      </w:r>
    </w:p>
    <w:p w14:paraId="3C83555A" w14:textId="2ED1D290" w:rsidR="0042218A" w:rsidRPr="00CA43B4" w:rsidRDefault="0042218A" w:rsidP="004C3D8B">
      <w:pPr>
        <w:ind w:right="163"/>
        <w:jc w:val="center"/>
        <w:rPr>
          <w:rFonts w:ascii="Arial Negrita" w:hAnsi="Arial Negrita" w:cs="Arial"/>
          <w:b/>
          <w:bCs/>
          <w:smallCaps/>
          <w:szCs w:val="20"/>
        </w:rPr>
      </w:pPr>
      <w:r w:rsidRPr="00CA43B4">
        <w:rPr>
          <w:rFonts w:ascii="Arial Negrita" w:hAnsi="Arial Negrita" w:cs="Arial"/>
          <w:b/>
          <w:bCs/>
          <w:smallCaps/>
          <w:szCs w:val="20"/>
        </w:rPr>
        <w:t>Defunciones fetales según atención prenatal y consultas otorgada</w:t>
      </w:r>
      <w:r w:rsidR="008B5D8E" w:rsidRPr="00CA43B4">
        <w:rPr>
          <w:rFonts w:ascii="Arial Negrita" w:hAnsi="Arial Negrita" w:cs="Arial"/>
          <w:b/>
          <w:bCs/>
          <w:smallCaps/>
          <w:szCs w:val="20"/>
        </w:rPr>
        <w:t>s</w:t>
      </w:r>
      <w:r w:rsidRPr="00CA43B4">
        <w:rPr>
          <w:rFonts w:ascii="Arial Negrita" w:hAnsi="Arial Negrita" w:cs="Arial"/>
          <w:b/>
          <w:bCs/>
          <w:smallCaps/>
          <w:szCs w:val="20"/>
        </w:rPr>
        <w:t xml:space="preserve"> a la madre</w:t>
      </w:r>
    </w:p>
    <w:p w14:paraId="6F6DDB69" w14:textId="17C089C4" w:rsidR="006F0185" w:rsidRPr="00CA43B4" w:rsidRDefault="006F0185" w:rsidP="006F0185">
      <w:pPr>
        <w:keepNext/>
        <w:spacing w:after="120"/>
        <w:jc w:val="center"/>
        <w:rPr>
          <w:rFonts w:ascii="Arial" w:hAnsi="Arial" w:cs="Arial"/>
          <w:sz w:val="18"/>
          <w:szCs w:val="16"/>
        </w:rPr>
      </w:pPr>
    </w:p>
    <w:p w14:paraId="156E2674" w14:textId="0104DFE9" w:rsidR="0042218A" w:rsidRPr="00CA43B4" w:rsidRDefault="00A331F6" w:rsidP="006F0185">
      <w:pPr>
        <w:tabs>
          <w:tab w:val="left" w:pos="6096"/>
        </w:tabs>
        <w:jc w:val="center"/>
        <w:rPr>
          <w:rFonts w:ascii="Arial" w:eastAsia="Calibri" w:hAnsi="Arial" w:cs="Arial"/>
          <w:bCs/>
          <w:sz w:val="24"/>
          <w:szCs w:val="24"/>
        </w:rPr>
      </w:pPr>
      <w:r w:rsidRPr="00CA43B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C16CF" wp14:editId="08CA34FA">
                <wp:simplePos x="0" y="0"/>
                <wp:positionH relativeFrom="column">
                  <wp:posOffset>2043713</wp:posOffset>
                </wp:positionH>
                <wp:positionV relativeFrom="paragraph">
                  <wp:posOffset>967123</wp:posOffset>
                </wp:positionV>
                <wp:extent cx="1857375" cy="228681"/>
                <wp:effectExtent l="90488" t="157162" r="61912" b="138113"/>
                <wp:wrapNone/>
                <wp:docPr id="48" name="Combin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57375" cy="228681"/>
                        </a:xfrm>
                        <a:prstGeom prst="flowChartMerg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6849D96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Combinar 5" o:spid="_x0000_s1026" type="#_x0000_t128" style="position:absolute;margin-left:160.9pt;margin-top:76.15pt;width:146.25pt;height:18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" fillcolor="#f2dbdb [661]" strokecolor="#f2dbdb [661]" strokeweight="2pt">
                <v:shadow on="t" color="black" opacity="26214f" origin=".5" offset="-3pt,0"/>
              </v:shape>
            </w:pict>
          </mc:Fallback>
        </mc:AlternateContent>
      </w:r>
      <w:r w:rsidR="00E0566A">
        <w:rPr>
          <w:noProof/>
          <w:lang w:val="es-MX" w:eastAsia="es-MX"/>
        </w:rPr>
        <w:drawing>
          <wp:inline distT="0" distB="0" distL="0" distR="0" wp14:anchorId="56474DC0" wp14:editId="087EA10F">
            <wp:extent cx="2799618" cy="2114551"/>
            <wp:effectExtent l="0" t="0" r="1270" b="0"/>
            <wp:docPr id="23" name="Gráfico 2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CA43B4">
        <w:rPr>
          <w:rFonts w:ascii="Arial" w:eastAsia="Calibri" w:hAnsi="Arial" w:cs="Arial"/>
          <w:bCs/>
          <w:sz w:val="24"/>
          <w:szCs w:val="24"/>
        </w:rPr>
        <w:t xml:space="preserve">      </w:t>
      </w:r>
      <w:r w:rsidR="00E0566A">
        <w:rPr>
          <w:noProof/>
          <w:lang w:val="es-MX" w:eastAsia="es-MX"/>
        </w:rPr>
        <w:drawing>
          <wp:inline distT="0" distB="0" distL="0" distR="0" wp14:anchorId="330E93C9" wp14:editId="51484AF4">
            <wp:extent cx="3057524" cy="2001370"/>
            <wp:effectExtent l="0" t="0" r="0" b="0"/>
            <wp:docPr id="26" name="Gráfico 2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59BE47E" w14:textId="6C18FA21" w:rsidR="006F0185" w:rsidRPr="00CA43B4" w:rsidRDefault="006F0185" w:rsidP="006F0185">
      <w:pPr>
        <w:pStyle w:val="Prrafodelista"/>
        <w:keepNext/>
        <w:tabs>
          <w:tab w:val="left" w:pos="567"/>
          <w:tab w:val="left" w:pos="993"/>
        </w:tabs>
        <w:spacing w:before="120"/>
        <w:ind w:left="426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 w:rsidR="002914B4" w:rsidRPr="00CA43B4">
        <w:rPr>
          <w:rFonts w:ascii="Arial" w:hAnsi="Arial" w:cs="Arial"/>
          <w:bCs/>
          <w:sz w:val="16"/>
          <w:szCs w:val="16"/>
        </w:rPr>
        <w:t xml:space="preserve"> </w:t>
      </w:r>
      <w:r w:rsidRPr="00CA43B4">
        <w:rPr>
          <w:rFonts w:ascii="Arial" w:hAnsi="Arial" w:cs="Arial"/>
          <w:bCs/>
          <w:sz w:val="16"/>
          <w:szCs w:val="16"/>
        </w:rPr>
        <w:t>Estadística</w:t>
      </w:r>
      <w:r w:rsidR="006F6470">
        <w:rPr>
          <w:rFonts w:ascii="Arial" w:hAnsi="Arial" w:cs="Arial"/>
          <w:bCs/>
          <w:sz w:val="16"/>
          <w:szCs w:val="16"/>
        </w:rPr>
        <w:t>s</w:t>
      </w:r>
      <w:r w:rsidRPr="00CA43B4">
        <w:rPr>
          <w:rFonts w:ascii="Arial" w:hAnsi="Arial" w:cs="Arial"/>
          <w:bCs/>
          <w:sz w:val="16"/>
          <w:szCs w:val="16"/>
        </w:rPr>
        <w:t xml:space="preserve"> de Defunciones Fetales, 2021</w:t>
      </w:r>
    </w:p>
    <w:p w14:paraId="6DDEFD5E" w14:textId="77777777" w:rsidR="0042218A" w:rsidRPr="00CA43B4" w:rsidRDefault="0042218A" w:rsidP="009176BE">
      <w:pPr>
        <w:spacing w:after="120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1EAAEB0C" w14:textId="06771CF3" w:rsidR="0042218A" w:rsidRPr="00CA43B4" w:rsidRDefault="0042218A" w:rsidP="004C3D8B">
      <w:pPr>
        <w:ind w:right="163"/>
        <w:jc w:val="both"/>
        <w:rPr>
          <w:rFonts w:ascii="Arial" w:eastAsia="Calibri" w:hAnsi="Arial" w:cs="Arial"/>
          <w:bCs/>
          <w:sz w:val="24"/>
          <w:szCs w:val="24"/>
        </w:rPr>
      </w:pPr>
      <w:r w:rsidRPr="00CA43B4">
        <w:rPr>
          <w:rFonts w:ascii="Arial" w:eastAsia="Calibri" w:hAnsi="Arial" w:cs="Arial"/>
          <w:bCs/>
          <w:sz w:val="24"/>
          <w:szCs w:val="24"/>
        </w:rPr>
        <w:t xml:space="preserve">En el </w:t>
      </w:r>
      <w:r w:rsidR="00E15285">
        <w:rPr>
          <w:rFonts w:ascii="Arial" w:eastAsia="Calibri" w:hAnsi="Arial" w:cs="Arial"/>
          <w:bCs/>
          <w:sz w:val="24"/>
          <w:szCs w:val="24"/>
        </w:rPr>
        <w:t>A</w:t>
      </w:r>
      <w:r w:rsidR="00E15285" w:rsidRPr="00CA43B4">
        <w:rPr>
          <w:rFonts w:ascii="Arial" w:eastAsia="Calibri" w:hAnsi="Arial" w:cs="Arial"/>
          <w:bCs/>
          <w:sz w:val="24"/>
          <w:szCs w:val="24"/>
        </w:rPr>
        <w:t xml:space="preserve">nexo </w:t>
      </w:r>
      <w:r w:rsidR="006F0185" w:rsidRPr="00CA43B4">
        <w:rPr>
          <w:rFonts w:ascii="Arial" w:eastAsia="Calibri" w:hAnsi="Arial" w:cs="Arial"/>
          <w:bCs/>
          <w:sz w:val="24"/>
          <w:szCs w:val="24"/>
        </w:rPr>
        <w:t>2</w:t>
      </w:r>
      <w:r w:rsidRPr="00CA43B4">
        <w:rPr>
          <w:rFonts w:ascii="Arial" w:eastAsia="Calibri" w:hAnsi="Arial" w:cs="Arial"/>
          <w:bCs/>
          <w:sz w:val="24"/>
          <w:szCs w:val="24"/>
        </w:rPr>
        <w:t>, se puede apreciar la relación entre las semanas de gestación</w:t>
      </w:r>
      <w:r w:rsidR="00E15285">
        <w:rPr>
          <w:rFonts w:ascii="Arial" w:eastAsia="Calibri" w:hAnsi="Arial" w:cs="Arial"/>
          <w:bCs/>
          <w:sz w:val="24"/>
          <w:szCs w:val="24"/>
        </w:rPr>
        <w:t xml:space="preserve"> al momento en que ocurrió la muerte fetal</w:t>
      </w:r>
      <w:r w:rsidRPr="00CA43B4">
        <w:rPr>
          <w:rFonts w:ascii="Arial" w:eastAsia="Calibri" w:hAnsi="Arial" w:cs="Arial"/>
          <w:bCs/>
          <w:sz w:val="24"/>
          <w:szCs w:val="24"/>
        </w:rPr>
        <w:t xml:space="preserve"> y el número de consultas médicas que recibió la madre.</w:t>
      </w:r>
    </w:p>
    <w:p w14:paraId="1E07F46B" w14:textId="77777777" w:rsidR="0042218A" w:rsidRPr="00CA43B4" w:rsidRDefault="0042218A" w:rsidP="004C3D8B">
      <w:pPr>
        <w:ind w:right="163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3238642B" w14:textId="08A2C5A4" w:rsidR="0042218A" w:rsidRPr="00CA43B4" w:rsidRDefault="0042218A" w:rsidP="004C3D8B">
      <w:pPr>
        <w:pStyle w:val="Prrafodelista"/>
        <w:widowControl/>
        <w:ind w:right="163"/>
        <w:jc w:val="both"/>
        <w:rPr>
          <w:rFonts w:ascii="Arial" w:hAnsi="Arial" w:cs="Arial"/>
          <w:bCs/>
          <w:sz w:val="24"/>
          <w:szCs w:val="24"/>
        </w:rPr>
      </w:pPr>
      <w:r w:rsidRPr="00CA43B4">
        <w:rPr>
          <w:rFonts w:ascii="Arial" w:hAnsi="Arial" w:cs="Arial"/>
          <w:bCs/>
          <w:sz w:val="24"/>
          <w:szCs w:val="24"/>
        </w:rPr>
        <w:t xml:space="preserve">La mayor proporción de muertes fetales correspondió a </w:t>
      </w:r>
      <w:r w:rsidRPr="004C3D8B">
        <w:rPr>
          <w:rFonts w:ascii="Arial" w:hAnsi="Arial" w:cs="Arial"/>
          <w:bCs/>
          <w:i/>
          <w:sz w:val="24"/>
          <w:szCs w:val="24"/>
        </w:rPr>
        <w:t>embarazos únicos</w:t>
      </w:r>
      <w:r w:rsidRPr="00CA43B4">
        <w:rPr>
          <w:rFonts w:ascii="Arial" w:hAnsi="Arial" w:cs="Arial"/>
          <w:bCs/>
          <w:sz w:val="24"/>
          <w:szCs w:val="24"/>
        </w:rPr>
        <w:t xml:space="preserve"> (94.</w:t>
      </w:r>
      <w:r w:rsidR="005D1348" w:rsidRPr="00CA43B4">
        <w:rPr>
          <w:rFonts w:ascii="Arial" w:hAnsi="Arial" w:cs="Arial"/>
          <w:bCs/>
          <w:sz w:val="24"/>
          <w:szCs w:val="24"/>
        </w:rPr>
        <w:t>0</w:t>
      </w:r>
      <w:r w:rsidR="00DB68E1">
        <w:rPr>
          <w:rFonts w:ascii="Arial" w:hAnsi="Arial" w:cs="Arial"/>
          <w:bCs/>
          <w:sz w:val="24"/>
          <w:szCs w:val="24"/>
        </w:rPr>
        <w:t xml:space="preserve"> </w:t>
      </w:r>
      <w:r w:rsidRPr="00CA43B4">
        <w:rPr>
          <w:rFonts w:ascii="Arial" w:hAnsi="Arial" w:cs="Arial"/>
          <w:bCs/>
          <w:sz w:val="24"/>
          <w:szCs w:val="24"/>
        </w:rPr>
        <w:t xml:space="preserve">%), seguida de los </w:t>
      </w:r>
      <w:r w:rsidRPr="004C3D8B">
        <w:rPr>
          <w:rFonts w:ascii="Arial" w:hAnsi="Arial" w:cs="Arial"/>
          <w:bCs/>
          <w:i/>
          <w:sz w:val="24"/>
          <w:szCs w:val="24"/>
        </w:rPr>
        <w:t>gemelares</w:t>
      </w:r>
      <w:r w:rsidRPr="00CA43B4">
        <w:rPr>
          <w:rFonts w:ascii="Arial" w:hAnsi="Arial" w:cs="Arial"/>
          <w:bCs/>
          <w:sz w:val="24"/>
          <w:szCs w:val="24"/>
        </w:rPr>
        <w:t xml:space="preserve"> (5.</w:t>
      </w:r>
      <w:r w:rsidR="005D1348" w:rsidRPr="00CA43B4">
        <w:rPr>
          <w:rFonts w:ascii="Arial" w:hAnsi="Arial" w:cs="Arial"/>
          <w:bCs/>
          <w:sz w:val="24"/>
          <w:szCs w:val="24"/>
        </w:rPr>
        <w:t>7</w:t>
      </w:r>
      <w:r w:rsidR="005D2E4F" w:rsidRPr="00CA43B4">
        <w:rPr>
          <w:rFonts w:ascii="Arial" w:hAnsi="Arial" w:cs="Arial"/>
          <w:bCs/>
          <w:sz w:val="24"/>
          <w:szCs w:val="24"/>
        </w:rPr>
        <w:t xml:space="preserve"> </w:t>
      </w:r>
      <w:r w:rsidRPr="00CA43B4">
        <w:rPr>
          <w:rFonts w:ascii="Arial" w:hAnsi="Arial" w:cs="Arial"/>
          <w:bCs/>
          <w:sz w:val="24"/>
          <w:szCs w:val="24"/>
        </w:rPr>
        <w:t xml:space="preserve">%) y de los </w:t>
      </w:r>
      <w:r w:rsidRPr="004C3D8B">
        <w:rPr>
          <w:rFonts w:ascii="Arial" w:hAnsi="Arial" w:cs="Arial"/>
          <w:bCs/>
          <w:i/>
          <w:sz w:val="24"/>
          <w:szCs w:val="24"/>
        </w:rPr>
        <w:t>múltiples</w:t>
      </w:r>
      <w:r w:rsidRPr="00CA43B4">
        <w:rPr>
          <w:rFonts w:ascii="Arial" w:hAnsi="Arial" w:cs="Arial"/>
          <w:bCs/>
          <w:sz w:val="24"/>
          <w:szCs w:val="24"/>
        </w:rPr>
        <w:t xml:space="preserve"> (0.3</w:t>
      </w:r>
      <w:r w:rsidR="005D2E4F" w:rsidRPr="00CA43B4">
        <w:rPr>
          <w:rFonts w:ascii="Arial" w:hAnsi="Arial" w:cs="Arial"/>
          <w:bCs/>
          <w:sz w:val="24"/>
          <w:szCs w:val="24"/>
        </w:rPr>
        <w:t xml:space="preserve"> </w:t>
      </w:r>
      <w:r w:rsidRPr="00CA43B4">
        <w:rPr>
          <w:rFonts w:ascii="Arial" w:hAnsi="Arial" w:cs="Arial"/>
          <w:bCs/>
          <w:sz w:val="24"/>
          <w:szCs w:val="24"/>
        </w:rPr>
        <w:t>%).</w:t>
      </w:r>
    </w:p>
    <w:p w14:paraId="7AA8002C" w14:textId="77777777" w:rsidR="0042218A" w:rsidRPr="00CA43B4" w:rsidRDefault="0042218A" w:rsidP="004C3D8B">
      <w:pPr>
        <w:pStyle w:val="Prrafodelista"/>
        <w:widowControl/>
        <w:ind w:right="163"/>
        <w:jc w:val="both"/>
        <w:rPr>
          <w:rFonts w:ascii="Arial" w:hAnsi="Arial" w:cs="Arial"/>
          <w:bCs/>
          <w:sz w:val="24"/>
          <w:szCs w:val="24"/>
        </w:rPr>
      </w:pPr>
    </w:p>
    <w:p w14:paraId="0CD16815" w14:textId="3123CB27" w:rsidR="006F0185" w:rsidRPr="00CA43B4" w:rsidRDefault="006F0185" w:rsidP="004C3D8B">
      <w:pPr>
        <w:pStyle w:val="Textoindependiente"/>
        <w:keepNext/>
        <w:kinsoku w:val="0"/>
        <w:overflowPunct w:val="0"/>
        <w:ind w:left="0" w:right="163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 w:rsidR="009E5F4A" w:rsidRPr="00CA43B4">
        <w:rPr>
          <w:sz w:val="20"/>
          <w:szCs w:val="20"/>
        </w:rPr>
        <w:t>7</w:t>
      </w:r>
    </w:p>
    <w:p w14:paraId="1A1B9FAF" w14:textId="12223038" w:rsidR="0042218A" w:rsidRPr="00CA43B4" w:rsidRDefault="0042218A" w:rsidP="004C3D8B">
      <w:pPr>
        <w:keepNext/>
        <w:ind w:right="163"/>
        <w:jc w:val="center"/>
        <w:rPr>
          <w:rFonts w:ascii="Arial Negrita" w:hAnsi="Arial Negrita" w:cs="Arial"/>
          <w:b/>
          <w:bCs/>
          <w:smallCaps/>
          <w:szCs w:val="20"/>
        </w:rPr>
      </w:pPr>
      <w:r w:rsidRPr="00CA43B4">
        <w:rPr>
          <w:rFonts w:ascii="Arial Negrita" w:hAnsi="Arial Negrita" w:cs="Arial"/>
          <w:b/>
          <w:bCs/>
          <w:smallCaps/>
          <w:szCs w:val="20"/>
        </w:rPr>
        <w:t>Defunciones fetales según clase de embarazo</w:t>
      </w:r>
    </w:p>
    <w:p w14:paraId="265B494C" w14:textId="5071F068" w:rsidR="006F0185" w:rsidRPr="00CA43B4" w:rsidRDefault="006F0185" w:rsidP="000F004A">
      <w:pPr>
        <w:keepNext/>
        <w:spacing w:after="120"/>
        <w:jc w:val="center"/>
        <w:rPr>
          <w:rFonts w:ascii="Arial" w:hAnsi="Arial" w:cs="Arial"/>
          <w:sz w:val="18"/>
          <w:szCs w:val="16"/>
        </w:rPr>
      </w:pPr>
    </w:p>
    <w:p w14:paraId="442EB780" w14:textId="052858EE" w:rsidR="0042218A" w:rsidRPr="00CA43B4" w:rsidRDefault="00E0566A" w:rsidP="000F004A">
      <w:pPr>
        <w:keepNext/>
        <w:spacing w:after="120"/>
        <w:jc w:val="center"/>
        <w:rPr>
          <w:rFonts w:ascii="Arial" w:hAnsi="Arial" w:cs="Arial"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77E85F3A" wp14:editId="289A19D3">
            <wp:extent cx="2954215" cy="1597269"/>
            <wp:effectExtent l="0" t="0" r="0" b="3175"/>
            <wp:docPr id="27" name="Gráfico 2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00DE6B2" w14:textId="2F504A71" w:rsidR="006F0185" w:rsidRPr="00CA43B4" w:rsidRDefault="006F0185" w:rsidP="000F004A">
      <w:pPr>
        <w:pStyle w:val="Prrafodelista"/>
        <w:keepNext/>
        <w:tabs>
          <w:tab w:val="left" w:pos="993"/>
        </w:tabs>
        <w:spacing w:before="120"/>
        <w:ind w:left="2552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 w:rsidR="000F004A" w:rsidRPr="00CA43B4">
        <w:rPr>
          <w:rFonts w:ascii="Arial" w:hAnsi="Arial" w:cs="Arial"/>
          <w:bCs/>
          <w:sz w:val="16"/>
          <w:szCs w:val="16"/>
        </w:rPr>
        <w:t xml:space="preserve"> </w:t>
      </w:r>
      <w:r w:rsidRPr="00CA43B4">
        <w:rPr>
          <w:rFonts w:ascii="Arial" w:hAnsi="Arial" w:cs="Arial"/>
          <w:bCs/>
          <w:sz w:val="16"/>
          <w:szCs w:val="16"/>
        </w:rPr>
        <w:t>Estadística</w:t>
      </w:r>
      <w:r w:rsidR="006F6470">
        <w:rPr>
          <w:rFonts w:ascii="Arial" w:hAnsi="Arial" w:cs="Arial"/>
          <w:bCs/>
          <w:sz w:val="16"/>
          <w:szCs w:val="16"/>
        </w:rPr>
        <w:t>s</w:t>
      </w:r>
      <w:r w:rsidRPr="00CA43B4">
        <w:rPr>
          <w:rFonts w:ascii="Arial" w:hAnsi="Arial" w:cs="Arial"/>
          <w:bCs/>
          <w:sz w:val="16"/>
          <w:szCs w:val="16"/>
        </w:rPr>
        <w:t xml:space="preserve"> de Defunciones Fetales, 2021</w:t>
      </w:r>
    </w:p>
    <w:p w14:paraId="4F4272B4" w14:textId="77777777" w:rsidR="0042218A" w:rsidRPr="00CA43B4" w:rsidRDefault="0042218A" w:rsidP="0042218A">
      <w:pPr>
        <w:jc w:val="center"/>
        <w:rPr>
          <w:rFonts w:ascii="Arial" w:hAnsi="Arial" w:cs="Arial"/>
          <w:bCs/>
          <w:sz w:val="24"/>
          <w:szCs w:val="24"/>
        </w:rPr>
      </w:pPr>
    </w:p>
    <w:p w14:paraId="43374EFD" w14:textId="54F95B8C" w:rsidR="0042218A" w:rsidRPr="00482F92" w:rsidRDefault="0042218A" w:rsidP="004C3D8B">
      <w:pPr>
        <w:ind w:right="163"/>
        <w:jc w:val="both"/>
        <w:rPr>
          <w:rFonts w:ascii="Arial" w:eastAsia="Calibri" w:hAnsi="Arial" w:cs="Arial"/>
          <w:bCs/>
          <w:spacing w:val="-2"/>
          <w:sz w:val="24"/>
          <w:szCs w:val="24"/>
        </w:rPr>
      </w:pPr>
      <w:r w:rsidRPr="00482F92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Respecto al procedimiento de expulsión o extracción </w:t>
      </w:r>
      <w:r w:rsidR="004C3D8B">
        <w:rPr>
          <w:rFonts w:ascii="Arial" w:hAnsi="Arial" w:cs="Arial"/>
          <w:bCs/>
          <w:spacing w:val="-2"/>
          <w:sz w:val="24"/>
          <w:szCs w:val="24"/>
        </w:rPr>
        <w:t>—</w:t>
      </w:r>
      <w:r w:rsidRPr="00482F92">
        <w:rPr>
          <w:rFonts w:ascii="Arial" w:hAnsi="Arial" w:cs="Arial"/>
          <w:bCs/>
          <w:spacing w:val="-2"/>
          <w:sz w:val="24"/>
          <w:szCs w:val="24"/>
        </w:rPr>
        <w:t xml:space="preserve">que aplica cuando la edad gestacional del feto </w:t>
      </w:r>
      <w:r w:rsidR="00787C28" w:rsidRPr="00482F92">
        <w:rPr>
          <w:rFonts w:ascii="Arial" w:hAnsi="Arial" w:cs="Arial"/>
          <w:bCs/>
          <w:spacing w:val="-2"/>
          <w:sz w:val="24"/>
          <w:szCs w:val="24"/>
        </w:rPr>
        <w:t xml:space="preserve">era </w:t>
      </w:r>
      <w:r w:rsidRPr="00482F92">
        <w:rPr>
          <w:rFonts w:ascii="Arial" w:hAnsi="Arial" w:cs="Arial"/>
          <w:bCs/>
          <w:spacing w:val="-2"/>
          <w:sz w:val="24"/>
          <w:szCs w:val="24"/>
        </w:rPr>
        <w:t>de 22 semanas o más</w:t>
      </w:r>
      <w:r w:rsidR="004C3D8B">
        <w:rPr>
          <w:rFonts w:ascii="Arial" w:hAnsi="Arial" w:cs="Arial"/>
          <w:bCs/>
          <w:spacing w:val="-2"/>
          <w:sz w:val="24"/>
          <w:szCs w:val="24"/>
        </w:rPr>
        <w:t>—</w:t>
      </w:r>
      <w:r w:rsidRPr="00482F92">
        <w:rPr>
          <w:rFonts w:ascii="Arial" w:hAnsi="Arial" w:cs="Arial"/>
          <w:bCs/>
          <w:spacing w:val="-2"/>
          <w:sz w:val="24"/>
          <w:szCs w:val="24"/>
        </w:rPr>
        <w:t xml:space="preserve">, el </w:t>
      </w:r>
      <w:r w:rsidRPr="004C3D8B">
        <w:rPr>
          <w:rFonts w:ascii="Arial" w:hAnsi="Arial" w:cs="Arial"/>
          <w:bCs/>
          <w:i/>
          <w:spacing w:val="-2"/>
          <w:sz w:val="24"/>
          <w:szCs w:val="24"/>
        </w:rPr>
        <w:t>parto vaginal</w:t>
      </w:r>
      <w:r w:rsidRPr="00482F92">
        <w:rPr>
          <w:rFonts w:ascii="Arial" w:hAnsi="Arial" w:cs="Arial"/>
          <w:bCs/>
          <w:spacing w:val="-2"/>
          <w:sz w:val="24"/>
          <w:szCs w:val="24"/>
        </w:rPr>
        <w:t xml:space="preserve"> es el que registró más casos</w:t>
      </w:r>
      <w:r w:rsidR="004C3D8B">
        <w:rPr>
          <w:rFonts w:ascii="Arial" w:hAnsi="Arial" w:cs="Arial"/>
          <w:bCs/>
          <w:spacing w:val="-2"/>
          <w:sz w:val="24"/>
          <w:szCs w:val="24"/>
        </w:rPr>
        <w:t>,</w:t>
      </w:r>
      <w:r w:rsidRPr="00482F92">
        <w:rPr>
          <w:rFonts w:ascii="Arial" w:hAnsi="Arial" w:cs="Arial"/>
          <w:bCs/>
          <w:spacing w:val="-2"/>
          <w:sz w:val="24"/>
          <w:szCs w:val="24"/>
        </w:rPr>
        <w:t xml:space="preserve"> con 9 </w:t>
      </w:r>
      <w:r w:rsidR="0089036E">
        <w:rPr>
          <w:rFonts w:ascii="Arial" w:hAnsi="Arial" w:cs="Arial"/>
          <w:bCs/>
          <w:spacing w:val="-2"/>
          <w:sz w:val="24"/>
          <w:szCs w:val="24"/>
        </w:rPr>
        <w:t>6</w:t>
      </w:r>
      <w:r w:rsidR="00A70552">
        <w:rPr>
          <w:rFonts w:ascii="Arial" w:hAnsi="Arial" w:cs="Arial"/>
          <w:bCs/>
          <w:spacing w:val="-2"/>
          <w:sz w:val="24"/>
          <w:szCs w:val="24"/>
        </w:rPr>
        <w:t>23</w:t>
      </w:r>
      <w:r w:rsidRPr="00482F92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384872">
        <w:rPr>
          <w:rFonts w:ascii="Arial" w:hAnsi="Arial" w:cs="Arial"/>
          <w:bCs/>
          <w:spacing w:val="-2"/>
          <w:sz w:val="24"/>
          <w:szCs w:val="24"/>
        </w:rPr>
        <w:t xml:space="preserve">             </w:t>
      </w:r>
      <w:r w:rsidRPr="00482F92">
        <w:rPr>
          <w:rFonts w:ascii="Arial" w:hAnsi="Arial" w:cs="Arial"/>
          <w:bCs/>
          <w:spacing w:val="-2"/>
          <w:sz w:val="24"/>
          <w:szCs w:val="24"/>
        </w:rPr>
        <w:t>(65.</w:t>
      </w:r>
      <w:r w:rsidR="0049019B">
        <w:rPr>
          <w:rFonts w:ascii="Arial" w:hAnsi="Arial" w:cs="Arial"/>
          <w:bCs/>
          <w:spacing w:val="-2"/>
          <w:sz w:val="24"/>
          <w:szCs w:val="24"/>
        </w:rPr>
        <w:t>6</w:t>
      </w:r>
      <w:r w:rsidR="005D2E4F" w:rsidRPr="00482F92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482F92">
        <w:rPr>
          <w:rFonts w:ascii="Arial" w:hAnsi="Arial" w:cs="Arial"/>
          <w:bCs/>
          <w:spacing w:val="-2"/>
          <w:sz w:val="24"/>
          <w:szCs w:val="24"/>
        </w:rPr>
        <w:t xml:space="preserve">%), seguido de la </w:t>
      </w:r>
      <w:r w:rsidRPr="004C3D8B">
        <w:rPr>
          <w:rFonts w:ascii="Arial" w:hAnsi="Arial" w:cs="Arial"/>
          <w:bCs/>
          <w:i/>
          <w:spacing w:val="-2"/>
          <w:sz w:val="24"/>
          <w:szCs w:val="24"/>
        </w:rPr>
        <w:t>cesárea</w:t>
      </w:r>
      <w:r w:rsidR="004C3D8B" w:rsidRPr="00A61F0B">
        <w:rPr>
          <w:rFonts w:ascii="Arial" w:hAnsi="Arial" w:cs="Arial"/>
          <w:bCs/>
          <w:iCs/>
          <w:spacing w:val="-2"/>
          <w:sz w:val="24"/>
          <w:szCs w:val="24"/>
        </w:rPr>
        <w:t>,</w:t>
      </w:r>
      <w:r w:rsidRPr="00482F92">
        <w:rPr>
          <w:rFonts w:ascii="Arial" w:hAnsi="Arial" w:cs="Arial"/>
          <w:bCs/>
          <w:spacing w:val="-2"/>
          <w:sz w:val="24"/>
          <w:szCs w:val="24"/>
        </w:rPr>
        <w:t xml:space="preserve"> con 4 </w:t>
      </w:r>
      <w:r w:rsidR="0049019B">
        <w:rPr>
          <w:rFonts w:ascii="Arial" w:hAnsi="Arial" w:cs="Arial"/>
          <w:bCs/>
          <w:spacing w:val="-2"/>
          <w:sz w:val="24"/>
          <w:szCs w:val="24"/>
        </w:rPr>
        <w:t>50</w:t>
      </w:r>
      <w:r w:rsidR="00A70552">
        <w:rPr>
          <w:rFonts w:ascii="Arial" w:hAnsi="Arial" w:cs="Arial"/>
          <w:bCs/>
          <w:spacing w:val="-2"/>
          <w:sz w:val="24"/>
          <w:szCs w:val="24"/>
        </w:rPr>
        <w:t>9</w:t>
      </w:r>
      <w:r w:rsidRPr="00482F92">
        <w:rPr>
          <w:rFonts w:ascii="Arial" w:hAnsi="Arial" w:cs="Arial"/>
          <w:bCs/>
          <w:spacing w:val="-2"/>
          <w:sz w:val="24"/>
          <w:szCs w:val="24"/>
        </w:rPr>
        <w:t xml:space="preserve"> casos (3</w:t>
      </w:r>
      <w:r w:rsidR="00FD089D" w:rsidRPr="00482F92">
        <w:rPr>
          <w:rFonts w:ascii="Arial" w:hAnsi="Arial" w:cs="Arial"/>
          <w:bCs/>
          <w:spacing w:val="-2"/>
          <w:sz w:val="24"/>
          <w:szCs w:val="24"/>
        </w:rPr>
        <w:t>0.</w:t>
      </w:r>
      <w:r w:rsidR="0049019B">
        <w:rPr>
          <w:rFonts w:ascii="Arial" w:hAnsi="Arial" w:cs="Arial"/>
          <w:bCs/>
          <w:spacing w:val="-2"/>
          <w:sz w:val="24"/>
          <w:szCs w:val="24"/>
        </w:rPr>
        <w:t>7</w:t>
      </w:r>
      <w:r w:rsidR="005D2E4F" w:rsidRPr="00482F92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482F92">
        <w:rPr>
          <w:rFonts w:ascii="Arial" w:hAnsi="Arial" w:cs="Arial"/>
          <w:bCs/>
          <w:spacing w:val="-2"/>
          <w:sz w:val="24"/>
          <w:szCs w:val="24"/>
        </w:rPr>
        <w:t>%)</w:t>
      </w:r>
      <w:r w:rsidR="004C3D8B">
        <w:rPr>
          <w:rFonts w:ascii="Arial" w:hAnsi="Arial" w:cs="Arial"/>
          <w:bCs/>
          <w:spacing w:val="-2"/>
          <w:sz w:val="24"/>
          <w:szCs w:val="24"/>
        </w:rPr>
        <w:t xml:space="preserve">. El </w:t>
      </w:r>
      <w:r w:rsidRPr="00482F92">
        <w:rPr>
          <w:rFonts w:ascii="Arial" w:hAnsi="Arial" w:cs="Arial"/>
          <w:bCs/>
          <w:spacing w:val="-2"/>
          <w:sz w:val="24"/>
          <w:szCs w:val="24"/>
        </w:rPr>
        <w:t>resto de las categorías</w:t>
      </w:r>
      <w:r w:rsidR="004C3D8B">
        <w:rPr>
          <w:rFonts w:ascii="Arial" w:hAnsi="Arial" w:cs="Arial"/>
          <w:bCs/>
          <w:spacing w:val="-2"/>
          <w:sz w:val="24"/>
          <w:szCs w:val="24"/>
        </w:rPr>
        <w:t>,</w:t>
      </w:r>
      <w:r w:rsidRPr="00482F92">
        <w:rPr>
          <w:rFonts w:ascii="Arial" w:hAnsi="Arial" w:cs="Arial"/>
          <w:bCs/>
          <w:spacing w:val="-2"/>
          <w:sz w:val="24"/>
          <w:szCs w:val="24"/>
        </w:rPr>
        <w:t xml:space="preserve"> con sus magnitudes</w:t>
      </w:r>
      <w:r w:rsidR="004C3D8B">
        <w:rPr>
          <w:rFonts w:ascii="Arial" w:hAnsi="Arial" w:cs="Arial"/>
          <w:bCs/>
          <w:spacing w:val="-2"/>
          <w:sz w:val="24"/>
          <w:szCs w:val="24"/>
        </w:rPr>
        <w:t>,</w:t>
      </w:r>
      <w:r w:rsidRPr="00482F92">
        <w:rPr>
          <w:rFonts w:ascii="Arial" w:hAnsi="Arial" w:cs="Arial"/>
          <w:bCs/>
          <w:spacing w:val="-2"/>
          <w:sz w:val="24"/>
          <w:szCs w:val="24"/>
        </w:rPr>
        <w:t xml:space="preserve"> se aprecian en la siguiente gráfica.</w:t>
      </w:r>
    </w:p>
    <w:p w14:paraId="3BDE1375" w14:textId="77777777" w:rsidR="0042218A" w:rsidRPr="00CA43B4" w:rsidRDefault="0042218A" w:rsidP="004C3D8B">
      <w:pPr>
        <w:ind w:right="163"/>
        <w:rPr>
          <w:rFonts w:ascii="Arial" w:eastAsia="Calibri" w:hAnsi="Arial" w:cs="Arial"/>
          <w:b/>
          <w:bCs/>
          <w:szCs w:val="24"/>
        </w:rPr>
      </w:pPr>
    </w:p>
    <w:p w14:paraId="00456559" w14:textId="2B436DAC" w:rsidR="00C23BA3" w:rsidRPr="00CA43B4" w:rsidRDefault="00C23BA3" w:rsidP="004C3D8B">
      <w:pPr>
        <w:pStyle w:val="Textoindependiente"/>
        <w:keepNext/>
        <w:kinsoku w:val="0"/>
        <w:overflowPunct w:val="0"/>
        <w:ind w:left="0" w:right="163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 w:rsidR="009E5F4A" w:rsidRPr="00CA43B4">
        <w:rPr>
          <w:sz w:val="20"/>
          <w:szCs w:val="20"/>
        </w:rPr>
        <w:t>8</w:t>
      </w:r>
    </w:p>
    <w:p w14:paraId="519D3749" w14:textId="2B66610C" w:rsidR="0042218A" w:rsidRPr="00CA43B4" w:rsidRDefault="0042218A" w:rsidP="004C3D8B">
      <w:pPr>
        <w:ind w:right="163"/>
        <w:jc w:val="center"/>
        <w:rPr>
          <w:rFonts w:ascii="Arial Negrita" w:hAnsi="Arial Negrita" w:cs="Arial"/>
          <w:b/>
          <w:bCs/>
          <w:smallCaps/>
          <w:szCs w:val="20"/>
        </w:rPr>
      </w:pPr>
      <w:r w:rsidRPr="00CA43B4">
        <w:rPr>
          <w:rFonts w:ascii="Arial Negrita" w:hAnsi="Arial Negrita" w:cs="Arial"/>
          <w:b/>
          <w:bCs/>
          <w:smallCaps/>
          <w:szCs w:val="20"/>
        </w:rPr>
        <w:t>Defunciones fetales de 22 semanas de gestación y más según procedimiento</w:t>
      </w:r>
      <w:r w:rsidRPr="00CA43B4">
        <w:rPr>
          <w:rFonts w:ascii="Arial Negrita" w:hAnsi="Arial Negrita" w:cs="Arial"/>
          <w:b/>
          <w:bCs/>
          <w:smallCaps/>
          <w:szCs w:val="20"/>
        </w:rPr>
        <w:br/>
        <w:t>para la expulsión o extracción</w:t>
      </w:r>
    </w:p>
    <w:p w14:paraId="20D0FDD2" w14:textId="3E209535" w:rsidR="002914B4" w:rsidRPr="00CA43B4" w:rsidRDefault="002914B4" w:rsidP="002914B4">
      <w:pPr>
        <w:keepNext/>
        <w:spacing w:after="120"/>
        <w:jc w:val="center"/>
        <w:rPr>
          <w:rFonts w:ascii="Arial" w:hAnsi="Arial" w:cs="Arial"/>
          <w:sz w:val="18"/>
          <w:szCs w:val="16"/>
        </w:rPr>
      </w:pPr>
    </w:p>
    <w:p w14:paraId="2C8C115E" w14:textId="4F3A1E38" w:rsidR="007C7F57" w:rsidRPr="00CA43B4" w:rsidRDefault="00A70552" w:rsidP="0042218A">
      <w:pPr>
        <w:jc w:val="center"/>
        <w:rPr>
          <w:rFonts w:ascii="Arial" w:eastAsia="Calibri" w:hAnsi="Arial" w:cs="Arial"/>
          <w:b/>
          <w:bCs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03A61CD8" wp14:editId="16AD3D6C">
            <wp:extent cx="5591176" cy="2295525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B9E179E" w14:textId="3644A5F2" w:rsidR="002914B4" w:rsidRPr="00CA43B4" w:rsidRDefault="002914B4" w:rsidP="002914B4">
      <w:pPr>
        <w:pStyle w:val="Prrafodelista"/>
        <w:keepNext/>
        <w:tabs>
          <w:tab w:val="left" w:pos="993"/>
        </w:tabs>
        <w:spacing w:before="120"/>
        <w:ind w:left="993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 w:rsidR="000F004A" w:rsidRPr="00CA43B4">
        <w:rPr>
          <w:rFonts w:ascii="Arial" w:hAnsi="Arial" w:cs="Arial"/>
          <w:bCs/>
          <w:sz w:val="16"/>
          <w:szCs w:val="16"/>
        </w:rPr>
        <w:t xml:space="preserve"> </w:t>
      </w:r>
      <w:r w:rsidRPr="00CA43B4">
        <w:rPr>
          <w:rFonts w:ascii="Arial" w:hAnsi="Arial" w:cs="Arial"/>
          <w:bCs/>
          <w:sz w:val="16"/>
          <w:szCs w:val="16"/>
        </w:rPr>
        <w:t>Estadística</w:t>
      </w:r>
      <w:r w:rsidR="006F6470">
        <w:rPr>
          <w:rFonts w:ascii="Arial" w:hAnsi="Arial" w:cs="Arial"/>
          <w:bCs/>
          <w:sz w:val="16"/>
          <w:szCs w:val="16"/>
        </w:rPr>
        <w:t>s</w:t>
      </w:r>
      <w:r w:rsidRPr="00CA43B4">
        <w:rPr>
          <w:rFonts w:ascii="Arial" w:hAnsi="Arial" w:cs="Arial"/>
          <w:bCs/>
          <w:sz w:val="16"/>
          <w:szCs w:val="16"/>
        </w:rPr>
        <w:t xml:space="preserve"> de Defunciones Fetales, 2021</w:t>
      </w:r>
    </w:p>
    <w:p w14:paraId="483CE974" w14:textId="77777777" w:rsidR="0042218A" w:rsidRPr="00CA43B4" w:rsidRDefault="0042218A" w:rsidP="0042218A">
      <w:pPr>
        <w:rPr>
          <w:rFonts w:ascii="Arial" w:eastAsia="Calibri" w:hAnsi="Arial" w:cs="Arial"/>
          <w:bCs/>
          <w:sz w:val="24"/>
          <w:szCs w:val="24"/>
        </w:rPr>
      </w:pPr>
    </w:p>
    <w:p w14:paraId="63D4D79D" w14:textId="42D9DDEE" w:rsidR="0042218A" w:rsidRPr="00CA43B4" w:rsidRDefault="0042218A" w:rsidP="004C3D8B">
      <w:pPr>
        <w:ind w:right="163"/>
        <w:jc w:val="both"/>
        <w:rPr>
          <w:rFonts w:ascii="Arial" w:eastAsia="Calibri" w:hAnsi="Arial" w:cs="Arial"/>
          <w:bCs/>
          <w:sz w:val="24"/>
          <w:szCs w:val="24"/>
        </w:rPr>
      </w:pPr>
      <w:r w:rsidRPr="00CA43B4">
        <w:rPr>
          <w:rFonts w:ascii="Arial" w:eastAsia="Calibri" w:hAnsi="Arial" w:cs="Arial"/>
          <w:bCs/>
          <w:sz w:val="24"/>
          <w:szCs w:val="24"/>
        </w:rPr>
        <w:t xml:space="preserve">Entre los abortos, que corresponden a los casos en los que la edad gestacional del feto </w:t>
      </w:r>
      <w:r w:rsidR="00787C28">
        <w:rPr>
          <w:rFonts w:ascii="Arial" w:eastAsia="Calibri" w:hAnsi="Arial" w:cs="Arial"/>
          <w:bCs/>
          <w:sz w:val="24"/>
          <w:szCs w:val="24"/>
        </w:rPr>
        <w:t>era menor</w:t>
      </w:r>
      <w:r w:rsidR="00787C28" w:rsidRPr="00CA43B4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A43B4">
        <w:rPr>
          <w:rFonts w:ascii="Arial" w:eastAsia="Calibri" w:hAnsi="Arial" w:cs="Arial"/>
          <w:bCs/>
          <w:sz w:val="24"/>
          <w:szCs w:val="24"/>
        </w:rPr>
        <w:t xml:space="preserve">a las 22 semanas, el </w:t>
      </w:r>
      <w:r w:rsidRPr="004C3D8B">
        <w:rPr>
          <w:rFonts w:ascii="Arial" w:eastAsia="Calibri" w:hAnsi="Arial" w:cs="Arial"/>
          <w:bCs/>
          <w:i/>
          <w:sz w:val="24"/>
          <w:szCs w:val="24"/>
        </w:rPr>
        <w:t>aborto espontáneo</w:t>
      </w:r>
      <w:r w:rsidRPr="00CA43B4">
        <w:rPr>
          <w:rFonts w:ascii="Arial" w:eastAsia="Calibri" w:hAnsi="Arial" w:cs="Arial"/>
          <w:bCs/>
          <w:sz w:val="24"/>
          <w:szCs w:val="24"/>
        </w:rPr>
        <w:t xml:space="preserve"> es el más común entre las muertes fetales</w:t>
      </w:r>
      <w:r w:rsidR="004C3D8B">
        <w:rPr>
          <w:rFonts w:ascii="Arial" w:eastAsia="Calibri" w:hAnsi="Arial" w:cs="Arial"/>
          <w:bCs/>
          <w:sz w:val="24"/>
          <w:szCs w:val="24"/>
        </w:rPr>
        <w:t>,</w:t>
      </w:r>
      <w:r w:rsidRPr="00CA43B4">
        <w:rPr>
          <w:rFonts w:ascii="Arial" w:eastAsia="Calibri" w:hAnsi="Arial" w:cs="Arial"/>
          <w:bCs/>
          <w:sz w:val="24"/>
          <w:szCs w:val="24"/>
        </w:rPr>
        <w:t xml:space="preserve"> con </w:t>
      </w:r>
      <w:r w:rsidR="0049019B">
        <w:rPr>
          <w:rFonts w:ascii="Arial" w:eastAsia="Calibri" w:hAnsi="Arial" w:cs="Arial"/>
          <w:bCs/>
          <w:sz w:val="24"/>
          <w:szCs w:val="24"/>
        </w:rPr>
        <w:t>7 1</w:t>
      </w:r>
      <w:r w:rsidR="00A70552">
        <w:rPr>
          <w:rFonts w:ascii="Arial" w:eastAsia="Calibri" w:hAnsi="Arial" w:cs="Arial"/>
          <w:bCs/>
          <w:sz w:val="24"/>
          <w:szCs w:val="24"/>
        </w:rPr>
        <w:t>87</w:t>
      </w:r>
      <w:r w:rsidRPr="00CA43B4">
        <w:rPr>
          <w:rFonts w:ascii="Arial" w:eastAsia="Calibri" w:hAnsi="Arial" w:cs="Arial"/>
          <w:bCs/>
          <w:sz w:val="24"/>
          <w:szCs w:val="24"/>
        </w:rPr>
        <w:t xml:space="preserve"> casos (</w:t>
      </w:r>
      <w:r w:rsidR="00AE0599">
        <w:rPr>
          <w:rFonts w:ascii="Arial" w:eastAsia="Calibri" w:hAnsi="Arial" w:cs="Arial"/>
          <w:bCs/>
          <w:sz w:val="24"/>
          <w:szCs w:val="24"/>
        </w:rPr>
        <w:t>87.2</w:t>
      </w:r>
      <w:r w:rsidR="00E876A0" w:rsidRPr="00CA43B4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A43B4">
        <w:rPr>
          <w:rFonts w:ascii="Arial" w:eastAsia="Calibri" w:hAnsi="Arial" w:cs="Arial"/>
          <w:bCs/>
          <w:sz w:val="24"/>
          <w:szCs w:val="24"/>
        </w:rPr>
        <w:t>%).</w:t>
      </w:r>
    </w:p>
    <w:p w14:paraId="77607F05" w14:textId="77777777" w:rsidR="0042218A" w:rsidRPr="00CA43B4" w:rsidRDefault="0042218A" w:rsidP="0042218A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7EB04D8D" w14:textId="77777777" w:rsidR="00CC147E" w:rsidRDefault="00CC147E">
      <w:pPr>
        <w:rPr>
          <w:rFonts w:ascii="Arial" w:eastAsia="Arial" w:hAnsi="Arial"/>
          <w:sz w:val="20"/>
          <w:szCs w:val="20"/>
        </w:rPr>
      </w:pPr>
      <w:r>
        <w:rPr>
          <w:sz w:val="20"/>
          <w:szCs w:val="20"/>
        </w:rPr>
        <w:br w:type="page"/>
      </w:r>
    </w:p>
    <w:p w14:paraId="77900F36" w14:textId="0E9ED725" w:rsidR="000F004A" w:rsidRPr="00CA43B4" w:rsidRDefault="000F004A" w:rsidP="000F004A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lastRenderedPageBreak/>
        <w:t xml:space="preserve">Gráfica </w:t>
      </w:r>
      <w:r w:rsidR="009E5F4A" w:rsidRPr="00CA43B4">
        <w:rPr>
          <w:sz w:val="20"/>
          <w:szCs w:val="20"/>
        </w:rPr>
        <w:t>9</w:t>
      </w:r>
    </w:p>
    <w:p w14:paraId="4BF5CC9D" w14:textId="22D3676D" w:rsidR="0042218A" w:rsidRPr="00CA43B4" w:rsidRDefault="0042218A" w:rsidP="0042218A">
      <w:pPr>
        <w:jc w:val="center"/>
        <w:rPr>
          <w:rFonts w:ascii="Arial Negrita" w:hAnsi="Arial Negrita" w:cs="Arial"/>
          <w:b/>
          <w:bCs/>
          <w:smallCaps/>
          <w:szCs w:val="20"/>
        </w:rPr>
      </w:pPr>
      <w:r w:rsidRPr="00CA43B4">
        <w:rPr>
          <w:rFonts w:ascii="Arial Negrita" w:hAnsi="Arial Negrita" w:cs="Arial"/>
          <w:b/>
          <w:bCs/>
          <w:smallCaps/>
          <w:szCs w:val="20"/>
        </w:rPr>
        <w:t>Defunciones fetales de 12 a 21 semanas de gestación según tipo de aborto</w:t>
      </w:r>
    </w:p>
    <w:p w14:paraId="640B5BF3" w14:textId="0B3ABF37" w:rsidR="000F004A" w:rsidRPr="00CA43B4" w:rsidRDefault="000F004A" w:rsidP="000F004A">
      <w:pPr>
        <w:keepNext/>
        <w:spacing w:after="120"/>
        <w:jc w:val="center"/>
        <w:rPr>
          <w:rFonts w:ascii="Arial" w:hAnsi="Arial" w:cs="Arial"/>
          <w:sz w:val="18"/>
          <w:szCs w:val="16"/>
        </w:rPr>
      </w:pPr>
    </w:p>
    <w:p w14:paraId="2FFBCF7E" w14:textId="0CB17046" w:rsidR="0042218A" w:rsidRPr="00CA43B4" w:rsidRDefault="00A70552" w:rsidP="00A25E81">
      <w:pPr>
        <w:spacing w:after="120"/>
        <w:jc w:val="center"/>
        <w:rPr>
          <w:rFonts w:ascii="Arial" w:eastAsia="Calibri" w:hAnsi="Arial" w:cs="Arial"/>
          <w:b/>
          <w:bCs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0E2CF2AB" wp14:editId="6D66374D">
            <wp:extent cx="5010151" cy="2228849"/>
            <wp:effectExtent l="0" t="0" r="0" b="635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4C03224" w14:textId="029F070A" w:rsidR="000F004A" w:rsidRPr="00CA43B4" w:rsidRDefault="000F004A" w:rsidP="000F004A">
      <w:pPr>
        <w:pStyle w:val="Prrafodelista"/>
        <w:keepNext/>
        <w:spacing w:before="120"/>
        <w:ind w:left="1134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 Estadística</w:t>
      </w:r>
      <w:r w:rsidR="006F6470">
        <w:rPr>
          <w:rFonts w:ascii="Arial" w:hAnsi="Arial" w:cs="Arial"/>
          <w:bCs/>
          <w:sz w:val="16"/>
          <w:szCs w:val="16"/>
        </w:rPr>
        <w:t>s</w:t>
      </w:r>
      <w:r w:rsidRPr="00CA43B4">
        <w:rPr>
          <w:rFonts w:ascii="Arial" w:hAnsi="Arial" w:cs="Arial"/>
          <w:bCs/>
          <w:sz w:val="16"/>
          <w:szCs w:val="16"/>
        </w:rPr>
        <w:t xml:space="preserve"> de Defunciones Fetales, 2021</w:t>
      </w:r>
    </w:p>
    <w:p w14:paraId="5C503930" w14:textId="77777777" w:rsidR="000F004A" w:rsidRPr="00CA43B4" w:rsidRDefault="000F004A" w:rsidP="000F004A">
      <w:pPr>
        <w:rPr>
          <w:rFonts w:ascii="Arial" w:eastAsia="Calibri" w:hAnsi="Arial" w:cs="Arial"/>
          <w:bCs/>
          <w:sz w:val="24"/>
          <w:szCs w:val="24"/>
        </w:rPr>
      </w:pPr>
    </w:p>
    <w:p w14:paraId="2FAE1D74" w14:textId="313FF76F" w:rsidR="0042218A" w:rsidRPr="00CA43B4" w:rsidRDefault="006F6470" w:rsidP="004C3D8B">
      <w:pPr>
        <w:ind w:right="163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D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>e los embarazos que terminaron en muerte fetal</w:t>
      </w:r>
      <w:r>
        <w:rPr>
          <w:rFonts w:ascii="Arial" w:eastAsia="Calibri" w:hAnsi="Arial" w:cs="Arial"/>
          <w:bCs/>
          <w:sz w:val="24"/>
          <w:szCs w:val="24"/>
        </w:rPr>
        <w:t xml:space="preserve">, </w:t>
      </w:r>
      <w:r w:rsidRPr="00CA43B4">
        <w:rPr>
          <w:rFonts w:ascii="Arial" w:eastAsia="Calibri" w:hAnsi="Arial" w:cs="Arial"/>
          <w:bCs/>
          <w:sz w:val="24"/>
          <w:szCs w:val="24"/>
        </w:rPr>
        <w:t>68.4 %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 fue atendido por </w:t>
      </w:r>
      <w:r w:rsidR="0042218A" w:rsidRPr="004C3D8B">
        <w:rPr>
          <w:rFonts w:ascii="Arial" w:eastAsia="Calibri" w:hAnsi="Arial" w:cs="Arial"/>
          <w:bCs/>
          <w:i/>
          <w:sz w:val="24"/>
          <w:szCs w:val="24"/>
        </w:rPr>
        <w:t>médicos gineco-obstetras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 y 2</w:t>
      </w:r>
      <w:r w:rsidR="00AE3CF9" w:rsidRPr="00CA43B4">
        <w:rPr>
          <w:rFonts w:ascii="Arial" w:eastAsia="Calibri" w:hAnsi="Arial" w:cs="Arial"/>
          <w:bCs/>
          <w:sz w:val="24"/>
          <w:szCs w:val="24"/>
        </w:rPr>
        <w:t>4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>.6</w:t>
      </w:r>
      <w:r w:rsidR="005D2E4F" w:rsidRPr="00CA43B4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% por </w:t>
      </w:r>
      <w:r w:rsidR="0042218A" w:rsidRPr="004C3D8B">
        <w:rPr>
          <w:rFonts w:ascii="Arial" w:eastAsia="Calibri" w:hAnsi="Arial" w:cs="Arial"/>
          <w:bCs/>
          <w:i/>
          <w:sz w:val="24"/>
          <w:szCs w:val="24"/>
        </w:rPr>
        <w:t>otro tipo de médico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>. En contraparte, el personal que menos atendió este tipo de procedimiento fue</w:t>
      </w:r>
      <w:r w:rsidR="00787C28">
        <w:rPr>
          <w:rFonts w:ascii="Arial" w:eastAsia="Calibri" w:hAnsi="Arial" w:cs="Arial"/>
          <w:bCs/>
          <w:sz w:val="24"/>
          <w:szCs w:val="24"/>
        </w:rPr>
        <w:t xml:space="preserve"> el de </w:t>
      </w:r>
      <w:r w:rsidR="00787C28" w:rsidRPr="004C3D8B">
        <w:rPr>
          <w:rFonts w:ascii="Arial" w:eastAsia="Calibri" w:hAnsi="Arial" w:cs="Arial"/>
          <w:bCs/>
          <w:i/>
          <w:sz w:val="24"/>
          <w:szCs w:val="24"/>
        </w:rPr>
        <w:t>enfermería</w:t>
      </w:r>
      <w:r>
        <w:rPr>
          <w:rFonts w:ascii="Arial" w:eastAsia="Calibri" w:hAnsi="Arial" w:cs="Arial"/>
          <w:bCs/>
          <w:sz w:val="24"/>
          <w:szCs w:val="24"/>
        </w:rPr>
        <w:t>,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 con 0.2</w:t>
      </w:r>
      <w:r>
        <w:rPr>
          <w:rFonts w:ascii="Arial" w:eastAsia="Calibri" w:hAnsi="Arial" w:cs="Arial"/>
          <w:bCs/>
          <w:sz w:val="24"/>
          <w:szCs w:val="24"/>
        </w:rPr>
        <w:t xml:space="preserve"> por ciento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. Las categorías complementarias con sus </w:t>
      </w:r>
      <w:r w:rsidR="00767A4E" w:rsidRPr="00CA43B4">
        <w:rPr>
          <w:rFonts w:ascii="Arial" w:eastAsia="Calibri" w:hAnsi="Arial" w:cs="Arial"/>
          <w:bCs/>
          <w:sz w:val="24"/>
          <w:szCs w:val="24"/>
        </w:rPr>
        <w:t>magnitudes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 se aprecian en la siguiente gráfica.</w:t>
      </w:r>
    </w:p>
    <w:p w14:paraId="45ACA79C" w14:textId="77777777" w:rsidR="0042218A" w:rsidRPr="00CA43B4" w:rsidRDefault="0042218A" w:rsidP="004C3D8B">
      <w:pPr>
        <w:ind w:right="163"/>
        <w:jc w:val="center"/>
        <w:rPr>
          <w:rFonts w:ascii="Arial" w:eastAsia="Calibri" w:hAnsi="Arial" w:cs="Arial"/>
          <w:b/>
          <w:bCs/>
          <w:szCs w:val="24"/>
        </w:rPr>
      </w:pPr>
    </w:p>
    <w:p w14:paraId="4C250F34" w14:textId="3F6BC883" w:rsidR="002E4A55" w:rsidRPr="00CA43B4" w:rsidRDefault="002E4A55" w:rsidP="004C3D8B">
      <w:pPr>
        <w:pStyle w:val="Textoindependiente"/>
        <w:keepNext/>
        <w:kinsoku w:val="0"/>
        <w:overflowPunct w:val="0"/>
        <w:ind w:left="0" w:right="163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 w:rsidR="009E5F4A" w:rsidRPr="00CA43B4">
        <w:rPr>
          <w:sz w:val="20"/>
          <w:szCs w:val="20"/>
        </w:rPr>
        <w:t>10</w:t>
      </w:r>
    </w:p>
    <w:p w14:paraId="0BA6D58E" w14:textId="4A464559" w:rsidR="0042218A" w:rsidRPr="00CA43B4" w:rsidRDefault="0042218A" w:rsidP="004C3D8B">
      <w:pPr>
        <w:ind w:right="163"/>
        <w:jc w:val="center"/>
        <w:rPr>
          <w:rFonts w:ascii="Arial Negrita" w:hAnsi="Arial Negrita" w:cs="Arial"/>
          <w:b/>
          <w:bCs/>
          <w:smallCaps/>
          <w:szCs w:val="20"/>
        </w:rPr>
      </w:pPr>
      <w:r w:rsidRPr="00CA43B4">
        <w:rPr>
          <w:rFonts w:ascii="Arial Negrita" w:hAnsi="Arial Negrita" w:cs="Arial"/>
          <w:b/>
          <w:bCs/>
          <w:smallCaps/>
          <w:szCs w:val="20"/>
        </w:rPr>
        <w:t>Defunciones fetales según persona que atendió el parto</w:t>
      </w:r>
    </w:p>
    <w:p w14:paraId="671C7876" w14:textId="67C6477E" w:rsidR="002E4A55" w:rsidRPr="00CA43B4" w:rsidRDefault="002E4A55" w:rsidP="002E4A55">
      <w:pPr>
        <w:keepNext/>
        <w:spacing w:after="120"/>
        <w:jc w:val="center"/>
        <w:rPr>
          <w:rFonts w:ascii="Arial" w:hAnsi="Arial" w:cs="Arial"/>
          <w:sz w:val="18"/>
          <w:szCs w:val="16"/>
        </w:rPr>
      </w:pPr>
    </w:p>
    <w:p w14:paraId="3E775D05" w14:textId="3654C386" w:rsidR="0042218A" w:rsidRPr="00CA43B4" w:rsidRDefault="00231B90" w:rsidP="00A25E81">
      <w:pPr>
        <w:spacing w:after="120"/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02915BBA" wp14:editId="1D78A62B">
            <wp:extent cx="5734049" cy="1971674"/>
            <wp:effectExtent l="0" t="0" r="635" b="0"/>
            <wp:docPr id="33" name="Gráfico 3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1952087" w14:textId="64F70ED8" w:rsidR="002E4A55" w:rsidRPr="00CA43B4" w:rsidRDefault="002E4A55" w:rsidP="00231B90">
      <w:pPr>
        <w:pStyle w:val="Prrafodelista"/>
        <w:keepNext/>
        <w:tabs>
          <w:tab w:val="left" w:pos="6156"/>
        </w:tabs>
        <w:spacing w:before="120"/>
        <w:ind w:left="851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 Estadística</w:t>
      </w:r>
      <w:r w:rsidR="006F6470">
        <w:rPr>
          <w:rFonts w:ascii="Arial" w:hAnsi="Arial" w:cs="Arial"/>
          <w:bCs/>
          <w:sz w:val="16"/>
          <w:szCs w:val="16"/>
        </w:rPr>
        <w:t>s</w:t>
      </w:r>
      <w:r w:rsidRPr="00CA43B4">
        <w:rPr>
          <w:rFonts w:ascii="Arial" w:hAnsi="Arial" w:cs="Arial"/>
          <w:bCs/>
          <w:sz w:val="16"/>
          <w:szCs w:val="16"/>
        </w:rPr>
        <w:t xml:space="preserve"> de Defunciones Fetales, 2021</w:t>
      </w:r>
    </w:p>
    <w:p w14:paraId="043853F9" w14:textId="75016648" w:rsidR="0042218A" w:rsidRDefault="0042218A" w:rsidP="0042218A">
      <w:pPr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51BDD4FC" w14:textId="77777777" w:rsidR="006F6470" w:rsidRPr="00CA43B4" w:rsidRDefault="006F6470" w:rsidP="0042218A">
      <w:pPr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7FFA320C" w14:textId="47AE1C65" w:rsidR="0042218A" w:rsidRPr="00CA43B4" w:rsidRDefault="0042218A" w:rsidP="00DF03EE">
      <w:pPr>
        <w:pStyle w:val="Prrafodelista"/>
        <w:numPr>
          <w:ilvl w:val="0"/>
          <w:numId w:val="18"/>
        </w:numPr>
        <w:autoSpaceDE w:val="0"/>
        <w:autoSpaceDN w:val="0"/>
        <w:adjustRightInd w:val="0"/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</w:pPr>
      <w:r w:rsidRPr="00CA43B4"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  <w:t>Características del feto o producto</w:t>
      </w:r>
    </w:p>
    <w:p w14:paraId="3C5EF836" w14:textId="77777777" w:rsidR="0042218A" w:rsidRPr="00CA43B4" w:rsidRDefault="0042218A" w:rsidP="0042218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22650137" w14:textId="73D9E4E3" w:rsidR="0042218A" w:rsidRPr="00CA43B4" w:rsidRDefault="0042218A" w:rsidP="004C3D8B">
      <w:pPr>
        <w:ind w:right="163"/>
        <w:jc w:val="both"/>
        <w:rPr>
          <w:rFonts w:ascii="Arial" w:hAnsi="Arial" w:cs="Arial"/>
          <w:bCs/>
          <w:spacing w:val="2"/>
          <w:sz w:val="24"/>
          <w:szCs w:val="24"/>
        </w:rPr>
      </w:pPr>
      <w:r w:rsidRPr="00CA43B4">
        <w:rPr>
          <w:rFonts w:ascii="Arial" w:hAnsi="Arial" w:cs="Arial"/>
          <w:bCs/>
          <w:spacing w:val="2"/>
          <w:sz w:val="24"/>
          <w:szCs w:val="24"/>
        </w:rPr>
        <w:t xml:space="preserve">Las </w:t>
      </w:r>
      <w:r w:rsidRPr="004C3D8B">
        <w:rPr>
          <w:rFonts w:ascii="Arial" w:hAnsi="Arial" w:cs="Arial"/>
          <w:bCs/>
          <w:i/>
          <w:spacing w:val="2"/>
          <w:sz w:val="24"/>
          <w:szCs w:val="24"/>
        </w:rPr>
        <w:t>muertes fetales tardías</w:t>
      </w:r>
      <w:r w:rsidRPr="00CA43B4">
        <w:rPr>
          <w:rFonts w:ascii="Arial" w:hAnsi="Arial" w:cs="Arial"/>
          <w:bCs/>
          <w:spacing w:val="2"/>
          <w:sz w:val="24"/>
          <w:szCs w:val="24"/>
        </w:rPr>
        <w:t xml:space="preserve"> (de 28 o más semanas de gestación) representaron el mayor número de casos</w:t>
      </w:r>
      <w:r w:rsidR="004C3D8B">
        <w:rPr>
          <w:rFonts w:ascii="Arial" w:hAnsi="Arial" w:cs="Arial"/>
          <w:bCs/>
          <w:spacing w:val="2"/>
          <w:sz w:val="24"/>
          <w:szCs w:val="24"/>
        </w:rPr>
        <w:t>,</w:t>
      </w:r>
      <w:r w:rsidRPr="00CA43B4">
        <w:rPr>
          <w:rFonts w:ascii="Arial" w:hAnsi="Arial" w:cs="Arial"/>
          <w:bCs/>
          <w:spacing w:val="2"/>
          <w:sz w:val="24"/>
          <w:szCs w:val="24"/>
        </w:rPr>
        <w:t xml:space="preserve"> con </w:t>
      </w:r>
      <w:r w:rsidR="00792545">
        <w:rPr>
          <w:rFonts w:ascii="Arial" w:hAnsi="Arial" w:cs="Arial"/>
          <w:bCs/>
          <w:spacing w:val="2"/>
          <w:sz w:val="24"/>
          <w:szCs w:val="24"/>
        </w:rPr>
        <w:t xml:space="preserve">9 </w:t>
      </w:r>
      <w:r w:rsidR="00082E52">
        <w:rPr>
          <w:rFonts w:ascii="Arial" w:hAnsi="Arial" w:cs="Arial"/>
          <w:bCs/>
          <w:spacing w:val="2"/>
          <w:sz w:val="24"/>
          <w:szCs w:val="24"/>
        </w:rPr>
        <w:t>084</w:t>
      </w:r>
      <w:r w:rsidRPr="00CA43B4">
        <w:rPr>
          <w:rFonts w:ascii="Arial" w:hAnsi="Arial" w:cs="Arial"/>
          <w:bCs/>
          <w:spacing w:val="2"/>
          <w:sz w:val="24"/>
          <w:szCs w:val="24"/>
        </w:rPr>
        <w:t xml:space="preserve"> (</w:t>
      </w:r>
      <w:r w:rsidR="006664AA" w:rsidRPr="00CA43B4">
        <w:rPr>
          <w:rFonts w:ascii="Arial" w:hAnsi="Arial" w:cs="Arial"/>
          <w:bCs/>
          <w:spacing w:val="2"/>
          <w:sz w:val="24"/>
          <w:szCs w:val="24"/>
        </w:rPr>
        <w:t>39.</w:t>
      </w:r>
      <w:r w:rsidR="00792545">
        <w:rPr>
          <w:rFonts w:ascii="Arial" w:hAnsi="Arial" w:cs="Arial"/>
          <w:bCs/>
          <w:spacing w:val="2"/>
          <w:sz w:val="24"/>
          <w:szCs w:val="24"/>
        </w:rPr>
        <w:t>5</w:t>
      </w:r>
      <w:r w:rsidR="005D2E4F" w:rsidRPr="00CA43B4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Pr="00CA43B4">
        <w:rPr>
          <w:rFonts w:ascii="Arial" w:hAnsi="Arial" w:cs="Arial"/>
          <w:bCs/>
          <w:spacing w:val="2"/>
          <w:sz w:val="24"/>
          <w:szCs w:val="24"/>
        </w:rPr>
        <w:t xml:space="preserve">%), seguidas de las </w:t>
      </w:r>
      <w:r w:rsidRPr="004C3D8B">
        <w:rPr>
          <w:rFonts w:ascii="Arial" w:hAnsi="Arial" w:cs="Arial"/>
          <w:bCs/>
          <w:i/>
          <w:spacing w:val="2"/>
          <w:sz w:val="24"/>
          <w:szCs w:val="24"/>
        </w:rPr>
        <w:t>intermedias</w:t>
      </w:r>
      <w:r w:rsidRPr="00CA43B4">
        <w:rPr>
          <w:rFonts w:ascii="Arial" w:hAnsi="Arial" w:cs="Arial"/>
          <w:bCs/>
          <w:spacing w:val="2"/>
          <w:sz w:val="24"/>
          <w:szCs w:val="24"/>
        </w:rPr>
        <w:t xml:space="preserve"> (de 20 a 27 semanas)</w:t>
      </w:r>
      <w:r w:rsidR="004C3D8B">
        <w:rPr>
          <w:rFonts w:ascii="Arial" w:hAnsi="Arial" w:cs="Arial"/>
          <w:bCs/>
          <w:spacing w:val="2"/>
          <w:sz w:val="24"/>
          <w:szCs w:val="24"/>
        </w:rPr>
        <w:t>,</w:t>
      </w:r>
      <w:r w:rsidRPr="00CA43B4">
        <w:rPr>
          <w:rFonts w:ascii="Arial" w:hAnsi="Arial" w:cs="Arial"/>
          <w:bCs/>
          <w:spacing w:val="2"/>
          <w:sz w:val="24"/>
          <w:szCs w:val="24"/>
        </w:rPr>
        <w:t xml:space="preserve"> con </w:t>
      </w:r>
      <w:r w:rsidR="006664AA" w:rsidRPr="00CA43B4">
        <w:rPr>
          <w:rFonts w:ascii="Arial" w:hAnsi="Arial" w:cs="Arial"/>
          <w:bCs/>
          <w:spacing w:val="2"/>
          <w:sz w:val="24"/>
          <w:szCs w:val="24"/>
        </w:rPr>
        <w:t>8</w:t>
      </w:r>
      <w:r w:rsidRPr="00CA43B4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="00792545">
        <w:rPr>
          <w:rFonts w:ascii="Arial" w:hAnsi="Arial" w:cs="Arial"/>
          <w:bCs/>
          <w:spacing w:val="2"/>
          <w:sz w:val="24"/>
          <w:szCs w:val="24"/>
        </w:rPr>
        <w:t>27</w:t>
      </w:r>
      <w:r w:rsidR="00082E52">
        <w:rPr>
          <w:rFonts w:ascii="Arial" w:hAnsi="Arial" w:cs="Arial"/>
          <w:bCs/>
          <w:spacing w:val="2"/>
          <w:sz w:val="24"/>
          <w:szCs w:val="24"/>
        </w:rPr>
        <w:t>9</w:t>
      </w:r>
      <w:r w:rsidRPr="00CA43B4">
        <w:rPr>
          <w:rFonts w:ascii="Arial" w:hAnsi="Arial" w:cs="Arial"/>
          <w:bCs/>
          <w:spacing w:val="2"/>
          <w:sz w:val="24"/>
          <w:szCs w:val="24"/>
        </w:rPr>
        <w:t xml:space="preserve"> (3</w:t>
      </w:r>
      <w:r w:rsidR="00792545">
        <w:rPr>
          <w:rFonts w:ascii="Arial" w:hAnsi="Arial" w:cs="Arial"/>
          <w:bCs/>
          <w:spacing w:val="2"/>
          <w:sz w:val="24"/>
          <w:szCs w:val="24"/>
        </w:rPr>
        <w:t>6.0</w:t>
      </w:r>
      <w:r w:rsidR="005D2E4F" w:rsidRPr="00CA43B4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Pr="00CA43B4">
        <w:rPr>
          <w:rFonts w:ascii="Arial" w:hAnsi="Arial" w:cs="Arial"/>
          <w:bCs/>
          <w:spacing w:val="2"/>
          <w:sz w:val="24"/>
          <w:szCs w:val="24"/>
        </w:rPr>
        <w:t xml:space="preserve">%) y de las </w:t>
      </w:r>
      <w:r w:rsidRPr="004C3D8B">
        <w:rPr>
          <w:rFonts w:ascii="Arial" w:hAnsi="Arial" w:cs="Arial"/>
          <w:bCs/>
          <w:i/>
          <w:spacing w:val="2"/>
          <w:sz w:val="24"/>
          <w:szCs w:val="24"/>
        </w:rPr>
        <w:t>precoces</w:t>
      </w:r>
      <w:r w:rsidRPr="00CA43B4">
        <w:rPr>
          <w:rFonts w:ascii="Arial" w:hAnsi="Arial" w:cs="Arial"/>
          <w:bCs/>
          <w:spacing w:val="2"/>
          <w:sz w:val="24"/>
          <w:szCs w:val="24"/>
        </w:rPr>
        <w:t xml:space="preserve"> (de 12 a 19 semanas)</w:t>
      </w:r>
      <w:r w:rsidR="004C3D8B">
        <w:rPr>
          <w:rFonts w:ascii="Arial" w:hAnsi="Arial" w:cs="Arial"/>
          <w:bCs/>
          <w:spacing w:val="2"/>
          <w:sz w:val="24"/>
          <w:szCs w:val="24"/>
        </w:rPr>
        <w:t>,</w:t>
      </w:r>
      <w:r w:rsidRPr="00CA43B4">
        <w:rPr>
          <w:rFonts w:ascii="Arial" w:hAnsi="Arial" w:cs="Arial"/>
          <w:bCs/>
          <w:spacing w:val="2"/>
          <w:sz w:val="24"/>
          <w:szCs w:val="24"/>
        </w:rPr>
        <w:t xml:space="preserve"> con 5 </w:t>
      </w:r>
      <w:r w:rsidR="00792545">
        <w:rPr>
          <w:rFonts w:ascii="Arial" w:hAnsi="Arial" w:cs="Arial"/>
          <w:bCs/>
          <w:spacing w:val="2"/>
          <w:sz w:val="24"/>
          <w:szCs w:val="24"/>
        </w:rPr>
        <w:t>5</w:t>
      </w:r>
      <w:r w:rsidR="00082E52">
        <w:rPr>
          <w:rFonts w:ascii="Arial" w:hAnsi="Arial" w:cs="Arial"/>
          <w:bCs/>
          <w:spacing w:val="2"/>
          <w:sz w:val="24"/>
          <w:szCs w:val="24"/>
        </w:rPr>
        <w:t>61</w:t>
      </w:r>
      <w:r w:rsidRPr="00CA43B4">
        <w:rPr>
          <w:rFonts w:ascii="Arial" w:hAnsi="Arial" w:cs="Arial"/>
          <w:bCs/>
          <w:spacing w:val="2"/>
          <w:sz w:val="24"/>
          <w:szCs w:val="24"/>
        </w:rPr>
        <w:t xml:space="preserve"> (2</w:t>
      </w:r>
      <w:r w:rsidR="00792545">
        <w:rPr>
          <w:rFonts w:ascii="Arial" w:hAnsi="Arial" w:cs="Arial"/>
          <w:bCs/>
          <w:spacing w:val="2"/>
          <w:sz w:val="24"/>
          <w:szCs w:val="24"/>
        </w:rPr>
        <w:t>4</w:t>
      </w:r>
      <w:r w:rsidRPr="00CA43B4">
        <w:rPr>
          <w:rFonts w:ascii="Arial" w:hAnsi="Arial" w:cs="Arial"/>
          <w:bCs/>
          <w:spacing w:val="2"/>
          <w:sz w:val="24"/>
          <w:szCs w:val="24"/>
        </w:rPr>
        <w:t>.</w:t>
      </w:r>
      <w:r w:rsidR="00082E52">
        <w:rPr>
          <w:rFonts w:ascii="Arial" w:hAnsi="Arial" w:cs="Arial"/>
          <w:bCs/>
          <w:spacing w:val="2"/>
          <w:sz w:val="24"/>
          <w:szCs w:val="24"/>
        </w:rPr>
        <w:t>2</w:t>
      </w:r>
      <w:r w:rsidR="005D2E4F" w:rsidRPr="00CA43B4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Pr="00CA43B4">
        <w:rPr>
          <w:rFonts w:ascii="Arial" w:hAnsi="Arial" w:cs="Arial"/>
          <w:bCs/>
          <w:spacing w:val="2"/>
          <w:sz w:val="24"/>
          <w:szCs w:val="24"/>
        </w:rPr>
        <w:t>%).</w:t>
      </w:r>
    </w:p>
    <w:p w14:paraId="17EC6D68" w14:textId="77777777" w:rsidR="0042218A" w:rsidRPr="00CA43B4" w:rsidRDefault="0042218A" w:rsidP="0042218A">
      <w:pPr>
        <w:jc w:val="both"/>
        <w:rPr>
          <w:rFonts w:ascii="Arial" w:eastAsia="Calibri" w:hAnsi="Arial" w:cs="Arial"/>
          <w:bCs/>
          <w:spacing w:val="2"/>
          <w:sz w:val="24"/>
          <w:szCs w:val="24"/>
        </w:rPr>
      </w:pPr>
    </w:p>
    <w:p w14:paraId="591D84C3" w14:textId="5B88A642" w:rsidR="002E4A55" w:rsidRPr="00CA43B4" w:rsidRDefault="002E4A55" w:rsidP="003E4766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lastRenderedPageBreak/>
        <w:t>Gráfica 1</w:t>
      </w:r>
      <w:r w:rsidR="009E5F4A" w:rsidRPr="00CA43B4">
        <w:rPr>
          <w:sz w:val="20"/>
          <w:szCs w:val="20"/>
        </w:rPr>
        <w:t>1</w:t>
      </w:r>
    </w:p>
    <w:p w14:paraId="642DDAC3" w14:textId="372068E5" w:rsidR="0042218A" w:rsidRPr="00CA43B4" w:rsidRDefault="0042218A" w:rsidP="003E4766">
      <w:pPr>
        <w:keepNext/>
        <w:jc w:val="center"/>
        <w:rPr>
          <w:rFonts w:ascii="Arial Negrita" w:hAnsi="Arial Negrita" w:cs="Arial"/>
          <w:b/>
          <w:bCs/>
          <w:smallCaps/>
          <w:szCs w:val="20"/>
        </w:rPr>
      </w:pPr>
      <w:r w:rsidRPr="00CA43B4">
        <w:rPr>
          <w:rFonts w:ascii="Arial Negrita" w:hAnsi="Arial Negrita" w:cs="Arial"/>
          <w:b/>
          <w:bCs/>
          <w:smallCaps/>
          <w:szCs w:val="20"/>
        </w:rPr>
        <w:t>Defunciones fetales según edad gestacional</w:t>
      </w:r>
    </w:p>
    <w:p w14:paraId="32DA7878" w14:textId="3CB1948D" w:rsidR="002E4A55" w:rsidRPr="00CA43B4" w:rsidRDefault="002E4A55" w:rsidP="003E4766">
      <w:pPr>
        <w:keepNext/>
        <w:spacing w:after="120"/>
        <w:jc w:val="center"/>
        <w:rPr>
          <w:rFonts w:ascii="Arial" w:hAnsi="Arial" w:cs="Arial"/>
          <w:sz w:val="18"/>
          <w:szCs w:val="16"/>
        </w:rPr>
      </w:pPr>
    </w:p>
    <w:p w14:paraId="63A28FA0" w14:textId="46C225D4" w:rsidR="0042218A" w:rsidRPr="00CA43B4" w:rsidRDefault="00082E52" w:rsidP="003E4766">
      <w:pPr>
        <w:keepNext/>
        <w:spacing w:after="120"/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21321CBF" wp14:editId="1A857FFD">
            <wp:extent cx="3461845" cy="2291913"/>
            <wp:effectExtent l="0" t="0" r="5715" b="0"/>
            <wp:docPr id="24" name="Gráfico 2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C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003441D" w14:textId="7AA0B90F" w:rsidR="003E4766" w:rsidRPr="00CA43B4" w:rsidRDefault="003E4766" w:rsidP="003E4766">
      <w:pPr>
        <w:pStyle w:val="Prrafodelista"/>
        <w:keepNext/>
        <w:spacing w:before="120"/>
        <w:ind w:left="2694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 Estadística</w:t>
      </w:r>
      <w:r w:rsidR="006F6470">
        <w:rPr>
          <w:rFonts w:ascii="Arial" w:hAnsi="Arial" w:cs="Arial"/>
          <w:bCs/>
          <w:sz w:val="16"/>
          <w:szCs w:val="16"/>
        </w:rPr>
        <w:t>s</w:t>
      </w:r>
      <w:r w:rsidRPr="00CA43B4">
        <w:rPr>
          <w:rFonts w:ascii="Arial" w:hAnsi="Arial" w:cs="Arial"/>
          <w:bCs/>
          <w:sz w:val="16"/>
          <w:szCs w:val="16"/>
        </w:rPr>
        <w:t xml:space="preserve"> de Defunciones Fetales, 2021</w:t>
      </w:r>
    </w:p>
    <w:p w14:paraId="6E6CE29C" w14:textId="2FC70870" w:rsidR="0042218A" w:rsidRDefault="0042218A" w:rsidP="0042218A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019B71CE" w14:textId="77777777" w:rsidR="00060601" w:rsidRPr="00CA43B4" w:rsidRDefault="00060601" w:rsidP="0042218A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623E73AE" w14:textId="7E0421E1" w:rsidR="0042218A" w:rsidRPr="00CA43B4" w:rsidRDefault="0042218A" w:rsidP="004C3D8B">
      <w:pPr>
        <w:ind w:right="163"/>
        <w:jc w:val="both"/>
        <w:rPr>
          <w:rFonts w:ascii="Arial" w:eastAsia="Calibri" w:hAnsi="Arial" w:cs="Arial"/>
          <w:bCs/>
          <w:sz w:val="24"/>
          <w:szCs w:val="24"/>
        </w:rPr>
      </w:pPr>
      <w:r w:rsidRPr="00CA43B4">
        <w:rPr>
          <w:rFonts w:ascii="Arial" w:eastAsia="Calibri" w:hAnsi="Arial" w:cs="Arial"/>
          <w:bCs/>
          <w:sz w:val="24"/>
          <w:szCs w:val="24"/>
        </w:rPr>
        <w:t xml:space="preserve">El mayor número de muertes fetales se registró en fetos </w:t>
      </w:r>
      <w:r w:rsidR="006F6470">
        <w:rPr>
          <w:rFonts w:ascii="Arial" w:eastAsia="Calibri" w:hAnsi="Arial" w:cs="Arial"/>
          <w:bCs/>
          <w:sz w:val="24"/>
          <w:szCs w:val="24"/>
        </w:rPr>
        <w:t>con un</w:t>
      </w:r>
      <w:r w:rsidRPr="00CA43B4">
        <w:rPr>
          <w:rFonts w:ascii="Arial" w:eastAsia="Calibri" w:hAnsi="Arial" w:cs="Arial"/>
          <w:bCs/>
          <w:sz w:val="24"/>
          <w:szCs w:val="24"/>
        </w:rPr>
        <w:t xml:space="preserve"> peso </w:t>
      </w:r>
      <w:r w:rsidR="006F6470">
        <w:rPr>
          <w:rFonts w:ascii="Arial" w:eastAsia="Calibri" w:hAnsi="Arial" w:cs="Arial"/>
          <w:bCs/>
          <w:sz w:val="24"/>
          <w:szCs w:val="24"/>
        </w:rPr>
        <w:t>de</w:t>
      </w:r>
      <w:r w:rsidRPr="00CA43B4">
        <w:rPr>
          <w:rFonts w:ascii="Arial" w:eastAsia="Calibri" w:hAnsi="Arial" w:cs="Arial"/>
          <w:bCs/>
          <w:sz w:val="24"/>
          <w:szCs w:val="24"/>
        </w:rPr>
        <w:t xml:space="preserve"> 1 000 gramos </w:t>
      </w:r>
      <w:r w:rsidR="006F6470">
        <w:rPr>
          <w:rFonts w:ascii="Arial" w:eastAsia="Calibri" w:hAnsi="Arial" w:cs="Arial"/>
          <w:bCs/>
          <w:sz w:val="24"/>
          <w:szCs w:val="24"/>
        </w:rPr>
        <w:t xml:space="preserve">(g) o menos, </w:t>
      </w:r>
      <w:r w:rsidRPr="00CA43B4">
        <w:rPr>
          <w:rFonts w:ascii="Arial" w:eastAsia="Calibri" w:hAnsi="Arial" w:cs="Arial"/>
          <w:bCs/>
          <w:sz w:val="24"/>
          <w:szCs w:val="24"/>
        </w:rPr>
        <w:t>con 5</w:t>
      </w:r>
      <w:r w:rsidR="0026134E" w:rsidRPr="00CA43B4">
        <w:rPr>
          <w:rFonts w:ascii="Arial" w:eastAsia="Calibri" w:hAnsi="Arial" w:cs="Arial"/>
          <w:bCs/>
          <w:sz w:val="24"/>
          <w:szCs w:val="24"/>
        </w:rPr>
        <w:t>8.</w:t>
      </w:r>
      <w:r w:rsidR="00782E8D">
        <w:rPr>
          <w:rFonts w:ascii="Arial" w:eastAsia="Calibri" w:hAnsi="Arial" w:cs="Arial"/>
          <w:bCs/>
          <w:sz w:val="24"/>
          <w:szCs w:val="24"/>
        </w:rPr>
        <w:t>2</w:t>
      </w:r>
      <w:r w:rsidR="005D2E4F" w:rsidRPr="00CA43B4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F6470">
        <w:rPr>
          <w:rFonts w:ascii="Arial" w:eastAsia="Calibri" w:hAnsi="Arial" w:cs="Arial"/>
          <w:bCs/>
          <w:sz w:val="24"/>
          <w:szCs w:val="24"/>
        </w:rPr>
        <w:t>por ciento</w:t>
      </w:r>
      <w:r w:rsidRPr="00CA43B4">
        <w:rPr>
          <w:rFonts w:ascii="Arial" w:eastAsia="Calibri" w:hAnsi="Arial" w:cs="Arial"/>
          <w:bCs/>
          <w:sz w:val="24"/>
          <w:szCs w:val="24"/>
        </w:rPr>
        <w:t xml:space="preserve">. Por el contrario, la menor cantidad de casos correspondió a fetos con peso de 4 001 a 5 000 </w:t>
      </w:r>
      <w:r w:rsidR="00C12CBA">
        <w:rPr>
          <w:rFonts w:ascii="Arial" w:eastAsia="Calibri" w:hAnsi="Arial" w:cs="Arial"/>
          <w:bCs/>
          <w:sz w:val="24"/>
          <w:szCs w:val="24"/>
        </w:rPr>
        <w:t>g</w:t>
      </w:r>
      <w:r w:rsidR="006F6470">
        <w:rPr>
          <w:rFonts w:ascii="Arial" w:eastAsia="Calibri" w:hAnsi="Arial" w:cs="Arial"/>
          <w:bCs/>
          <w:sz w:val="24"/>
          <w:szCs w:val="24"/>
        </w:rPr>
        <w:t>,</w:t>
      </w:r>
      <w:r w:rsidR="00C12CBA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A43B4">
        <w:rPr>
          <w:rFonts w:ascii="Arial" w:eastAsia="Calibri" w:hAnsi="Arial" w:cs="Arial"/>
          <w:bCs/>
          <w:sz w:val="24"/>
          <w:szCs w:val="24"/>
        </w:rPr>
        <w:t>con 1.</w:t>
      </w:r>
      <w:r w:rsidR="0026134E" w:rsidRPr="00CA43B4">
        <w:rPr>
          <w:rFonts w:ascii="Arial" w:eastAsia="Calibri" w:hAnsi="Arial" w:cs="Arial"/>
          <w:bCs/>
          <w:sz w:val="24"/>
          <w:szCs w:val="24"/>
        </w:rPr>
        <w:t>2</w:t>
      </w:r>
      <w:r w:rsidR="005D2E4F" w:rsidRPr="00CA43B4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F6470">
        <w:rPr>
          <w:rFonts w:ascii="Arial" w:eastAsia="Calibri" w:hAnsi="Arial" w:cs="Arial"/>
          <w:bCs/>
          <w:sz w:val="24"/>
          <w:szCs w:val="24"/>
        </w:rPr>
        <w:t>por ciento</w:t>
      </w:r>
      <w:r w:rsidRPr="00CA43B4">
        <w:rPr>
          <w:rFonts w:ascii="Arial" w:eastAsia="Calibri" w:hAnsi="Arial" w:cs="Arial"/>
          <w:bCs/>
          <w:sz w:val="24"/>
          <w:szCs w:val="24"/>
        </w:rPr>
        <w:t>. El resto de las categorías se aprecia en la siguiente gráfica.</w:t>
      </w:r>
    </w:p>
    <w:p w14:paraId="10E8C18A" w14:textId="6CB97B70" w:rsidR="0042218A" w:rsidRDefault="0042218A" w:rsidP="0042218A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22C16B01" w14:textId="77777777" w:rsidR="007D35B1" w:rsidRPr="00CA43B4" w:rsidRDefault="007D35B1" w:rsidP="0042218A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6214CADA" w14:textId="6CDC6807" w:rsidR="003E4766" w:rsidRPr="00CA43B4" w:rsidRDefault="003E4766" w:rsidP="003E4766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>Gráfica 1</w:t>
      </w:r>
      <w:r w:rsidR="009E5F4A" w:rsidRPr="00CA43B4">
        <w:rPr>
          <w:sz w:val="20"/>
          <w:szCs w:val="20"/>
        </w:rPr>
        <w:t>2</w:t>
      </w:r>
    </w:p>
    <w:p w14:paraId="6B92BA53" w14:textId="0B47D2D5" w:rsidR="00A25E81" w:rsidRPr="00CA43B4" w:rsidRDefault="0042218A" w:rsidP="0042218A">
      <w:pPr>
        <w:jc w:val="center"/>
        <w:rPr>
          <w:rFonts w:ascii="Arial Negrita" w:hAnsi="Arial Negrita" w:cs="Arial"/>
          <w:b/>
          <w:bCs/>
          <w:smallCaps/>
          <w:szCs w:val="20"/>
        </w:rPr>
      </w:pPr>
      <w:r w:rsidRPr="00CA43B4">
        <w:rPr>
          <w:rFonts w:ascii="Arial Negrita" w:hAnsi="Arial Negrita" w:cs="Arial"/>
          <w:b/>
          <w:bCs/>
          <w:smallCaps/>
          <w:szCs w:val="20"/>
        </w:rPr>
        <w:t>Defunciones fetales según peso del feto</w:t>
      </w:r>
    </w:p>
    <w:p w14:paraId="4C55911E" w14:textId="7702FA8F" w:rsidR="0042218A" w:rsidRPr="00CA43B4" w:rsidRDefault="0042218A" w:rsidP="0042218A">
      <w:pPr>
        <w:jc w:val="center"/>
        <w:rPr>
          <w:rFonts w:ascii="Arial" w:eastAsia="Calibri" w:hAnsi="Arial" w:cs="Arial"/>
          <w:szCs w:val="24"/>
        </w:rPr>
      </w:pPr>
      <w:r w:rsidRPr="00CA43B4">
        <w:rPr>
          <w:rFonts w:ascii="Arial" w:eastAsia="Calibri" w:hAnsi="Arial" w:cs="Arial"/>
          <w:szCs w:val="24"/>
        </w:rPr>
        <w:t>(gramos)</w:t>
      </w:r>
    </w:p>
    <w:p w14:paraId="67243914" w14:textId="039CAEA8" w:rsidR="003E4766" w:rsidRPr="00CA43B4" w:rsidRDefault="003E4766" w:rsidP="003E4766">
      <w:pPr>
        <w:keepNext/>
        <w:spacing w:after="120"/>
        <w:jc w:val="center"/>
        <w:rPr>
          <w:rFonts w:ascii="Arial" w:hAnsi="Arial" w:cs="Arial"/>
          <w:sz w:val="18"/>
          <w:szCs w:val="16"/>
        </w:rPr>
      </w:pPr>
    </w:p>
    <w:p w14:paraId="02336235" w14:textId="2077E186" w:rsidR="000D3BB4" w:rsidRPr="00CA43B4" w:rsidRDefault="00082E52" w:rsidP="0042218A">
      <w:pPr>
        <w:jc w:val="center"/>
        <w:rPr>
          <w:rFonts w:ascii="Arial" w:eastAsia="Calibri" w:hAnsi="Arial" w:cs="Arial"/>
          <w:b/>
          <w:bCs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3213A214" wp14:editId="050B4DE1">
            <wp:extent cx="6315075" cy="2058035"/>
            <wp:effectExtent l="0" t="0" r="0" b="0"/>
            <wp:docPr id="25" name="Gráfico 2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7B809F9" w14:textId="107E26AC" w:rsidR="00CB7246" w:rsidRPr="00CA43B4" w:rsidRDefault="00CB7246" w:rsidP="00CB7246">
      <w:pPr>
        <w:pStyle w:val="Prrafodelista"/>
        <w:keepNext/>
        <w:spacing w:before="120"/>
        <w:ind w:left="284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 Estadística</w:t>
      </w:r>
      <w:r w:rsidR="006F6470">
        <w:rPr>
          <w:rFonts w:ascii="Arial" w:hAnsi="Arial" w:cs="Arial"/>
          <w:bCs/>
          <w:sz w:val="16"/>
          <w:szCs w:val="16"/>
        </w:rPr>
        <w:t>s</w:t>
      </w:r>
      <w:r w:rsidRPr="00CA43B4">
        <w:rPr>
          <w:rFonts w:ascii="Arial" w:hAnsi="Arial" w:cs="Arial"/>
          <w:bCs/>
          <w:sz w:val="16"/>
          <w:szCs w:val="16"/>
        </w:rPr>
        <w:t xml:space="preserve"> de Defunciones Fetales, 2021</w:t>
      </w:r>
    </w:p>
    <w:p w14:paraId="77F7F6BA" w14:textId="77777777" w:rsidR="0042218A" w:rsidRPr="00CA43B4" w:rsidRDefault="0042218A" w:rsidP="0042218A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7EC13C32" w14:textId="64F6F90E" w:rsidR="0042218A" w:rsidRPr="00CA43B4" w:rsidRDefault="006F6470" w:rsidP="004C3D8B">
      <w:pPr>
        <w:ind w:right="163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Según</w:t>
      </w:r>
      <w:r w:rsidR="004C3D8B">
        <w:rPr>
          <w:rFonts w:ascii="Arial" w:eastAsia="Calibri" w:hAnsi="Arial" w:cs="Arial"/>
          <w:bCs/>
          <w:sz w:val="24"/>
          <w:szCs w:val="24"/>
        </w:rPr>
        <w:t xml:space="preserve"> el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 sexo del feto, los hombres presentaron una mayor frecuencia, con 1</w:t>
      </w:r>
      <w:r w:rsidR="0026134E" w:rsidRPr="00CA43B4">
        <w:rPr>
          <w:rFonts w:ascii="Arial" w:eastAsia="Calibri" w:hAnsi="Arial" w:cs="Arial"/>
          <w:bCs/>
          <w:sz w:val="24"/>
          <w:szCs w:val="24"/>
        </w:rPr>
        <w:t xml:space="preserve">2 </w:t>
      </w:r>
      <w:r w:rsidR="006F4BC1">
        <w:rPr>
          <w:rFonts w:ascii="Arial" w:eastAsia="Calibri" w:hAnsi="Arial" w:cs="Arial"/>
          <w:bCs/>
          <w:sz w:val="24"/>
          <w:szCs w:val="24"/>
        </w:rPr>
        <w:t>018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 casos</w:t>
      </w:r>
      <w:r w:rsidR="00384872">
        <w:rPr>
          <w:rFonts w:ascii="Arial" w:eastAsia="Calibri" w:hAnsi="Arial" w:cs="Arial"/>
          <w:bCs/>
          <w:sz w:val="24"/>
          <w:szCs w:val="24"/>
        </w:rPr>
        <w:t xml:space="preserve">   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>(52.</w:t>
      </w:r>
      <w:r w:rsidR="00894015" w:rsidRPr="00CA43B4">
        <w:rPr>
          <w:rFonts w:ascii="Arial" w:eastAsia="Calibri" w:hAnsi="Arial" w:cs="Arial"/>
          <w:bCs/>
          <w:sz w:val="24"/>
          <w:szCs w:val="24"/>
        </w:rPr>
        <w:t>3</w:t>
      </w:r>
      <w:r w:rsidR="005D2E4F" w:rsidRPr="00CA43B4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>%)</w:t>
      </w:r>
      <w:r w:rsidR="00D20B58">
        <w:rPr>
          <w:rFonts w:ascii="Arial" w:eastAsia="Calibri" w:hAnsi="Arial" w:cs="Arial"/>
          <w:bCs/>
          <w:sz w:val="24"/>
          <w:szCs w:val="24"/>
        </w:rPr>
        <w:t>. L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>as mujeres</w:t>
      </w:r>
      <w:r w:rsidR="00D20B58">
        <w:rPr>
          <w:rFonts w:ascii="Arial" w:eastAsia="Calibri" w:hAnsi="Arial" w:cs="Arial"/>
          <w:bCs/>
          <w:sz w:val="24"/>
          <w:szCs w:val="24"/>
        </w:rPr>
        <w:t xml:space="preserve"> tuvieron una frecuencia 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de 8 </w:t>
      </w:r>
      <w:r w:rsidR="00894015" w:rsidRPr="00CA43B4">
        <w:rPr>
          <w:rFonts w:ascii="Arial" w:eastAsia="Calibri" w:hAnsi="Arial" w:cs="Arial"/>
          <w:bCs/>
          <w:sz w:val="24"/>
          <w:szCs w:val="24"/>
        </w:rPr>
        <w:t>90</w:t>
      </w:r>
      <w:r w:rsidR="006F4BC1">
        <w:rPr>
          <w:rFonts w:ascii="Arial" w:eastAsia="Calibri" w:hAnsi="Arial" w:cs="Arial"/>
          <w:bCs/>
          <w:sz w:val="24"/>
          <w:szCs w:val="24"/>
        </w:rPr>
        <w:t>2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 casos (3</w:t>
      </w:r>
      <w:r w:rsidR="00894015" w:rsidRPr="00CA43B4">
        <w:rPr>
          <w:rFonts w:ascii="Arial" w:eastAsia="Calibri" w:hAnsi="Arial" w:cs="Arial"/>
          <w:bCs/>
          <w:sz w:val="24"/>
          <w:szCs w:val="24"/>
        </w:rPr>
        <w:t>8.7</w:t>
      </w:r>
      <w:r w:rsidR="001323A1" w:rsidRPr="00CA43B4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%). En </w:t>
      </w:r>
      <w:r w:rsidR="00894015" w:rsidRPr="00CA43B4">
        <w:rPr>
          <w:rFonts w:ascii="Arial" w:eastAsia="Calibri" w:hAnsi="Arial" w:cs="Arial"/>
          <w:bCs/>
          <w:sz w:val="24"/>
          <w:szCs w:val="24"/>
        </w:rPr>
        <w:t>2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894015" w:rsidRPr="00CA43B4">
        <w:rPr>
          <w:rFonts w:ascii="Arial" w:eastAsia="Calibri" w:hAnsi="Arial" w:cs="Arial"/>
          <w:bCs/>
          <w:sz w:val="24"/>
          <w:szCs w:val="24"/>
        </w:rPr>
        <w:t>080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 casos</w:t>
      </w:r>
      <w:r w:rsidR="00D20B58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61F0B">
        <w:rPr>
          <w:rFonts w:ascii="Arial" w:eastAsia="Calibri" w:hAnsi="Arial" w:cs="Arial"/>
          <w:bCs/>
          <w:sz w:val="24"/>
          <w:szCs w:val="24"/>
        </w:rPr>
        <w:t xml:space="preserve">          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>(</w:t>
      </w:r>
      <w:r w:rsidR="00894015" w:rsidRPr="00CA43B4">
        <w:rPr>
          <w:rFonts w:ascii="Arial" w:eastAsia="Calibri" w:hAnsi="Arial" w:cs="Arial"/>
          <w:bCs/>
          <w:sz w:val="24"/>
          <w:szCs w:val="24"/>
        </w:rPr>
        <w:t>9.0</w:t>
      </w:r>
      <w:r w:rsidR="001323A1" w:rsidRPr="00CA43B4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>%)</w:t>
      </w:r>
      <w:r w:rsidR="004C3D8B">
        <w:rPr>
          <w:rFonts w:ascii="Arial" w:eastAsia="Calibri" w:hAnsi="Arial" w:cs="Arial"/>
          <w:bCs/>
          <w:sz w:val="24"/>
          <w:szCs w:val="24"/>
        </w:rPr>
        <w:t xml:space="preserve"> no se especificó el 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>sexo</w:t>
      </w:r>
      <w:r w:rsidR="004C3D8B">
        <w:rPr>
          <w:rFonts w:ascii="Arial" w:eastAsia="Calibri" w:hAnsi="Arial" w:cs="Arial"/>
          <w:bCs/>
          <w:sz w:val="24"/>
          <w:szCs w:val="24"/>
        </w:rPr>
        <w:t>.</w:t>
      </w:r>
    </w:p>
    <w:p w14:paraId="6F224B72" w14:textId="77777777" w:rsidR="0042218A" w:rsidRPr="00CA43B4" w:rsidRDefault="0042218A" w:rsidP="0042218A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31F78171" w14:textId="4C01963E" w:rsidR="00F3449A" w:rsidRPr="00CA43B4" w:rsidRDefault="00F3449A" w:rsidP="00F3449A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lastRenderedPageBreak/>
        <w:t>Gráfica 1</w:t>
      </w:r>
      <w:r w:rsidR="009E5F4A" w:rsidRPr="00CA43B4">
        <w:rPr>
          <w:sz w:val="20"/>
          <w:szCs w:val="20"/>
        </w:rPr>
        <w:t>3</w:t>
      </w:r>
    </w:p>
    <w:p w14:paraId="11B53FDD" w14:textId="5D6FDA18" w:rsidR="0042218A" w:rsidRPr="00CA43B4" w:rsidRDefault="0042218A" w:rsidP="0042218A">
      <w:pPr>
        <w:jc w:val="center"/>
        <w:rPr>
          <w:rFonts w:ascii="Arial Negrita" w:hAnsi="Arial Negrita" w:cs="Arial"/>
          <w:b/>
          <w:bCs/>
          <w:smallCaps/>
          <w:szCs w:val="20"/>
        </w:rPr>
      </w:pPr>
      <w:r w:rsidRPr="00CA43B4">
        <w:rPr>
          <w:rFonts w:ascii="Arial Negrita" w:hAnsi="Arial Negrita" w:cs="Arial"/>
          <w:b/>
          <w:bCs/>
          <w:smallCaps/>
          <w:szCs w:val="20"/>
        </w:rPr>
        <w:t>Defunciones fetales según sexo del feto</w:t>
      </w:r>
    </w:p>
    <w:p w14:paraId="10D56075" w14:textId="2CE516CF" w:rsidR="00F3449A" w:rsidRPr="00CA43B4" w:rsidRDefault="00F3449A" w:rsidP="00F3449A">
      <w:pPr>
        <w:keepNext/>
        <w:spacing w:after="120"/>
        <w:jc w:val="center"/>
        <w:rPr>
          <w:rFonts w:ascii="Arial" w:hAnsi="Arial" w:cs="Arial"/>
          <w:sz w:val="18"/>
          <w:szCs w:val="16"/>
        </w:rPr>
      </w:pPr>
    </w:p>
    <w:p w14:paraId="3FB4136F" w14:textId="14BDAF12" w:rsidR="00EB33A8" w:rsidRPr="00CA43B4" w:rsidRDefault="00187405" w:rsidP="0042218A">
      <w:pPr>
        <w:jc w:val="center"/>
        <w:rPr>
          <w:rFonts w:ascii="Arial Negrita" w:hAnsi="Arial Negrita" w:cs="Arial"/>
          <w:b/>
          <w:bCs/>
          <w:smallCaps/>
          <w:szCs w:val="20"/>
        </w:rPr>
      </w:pPr>
      <w:r>
        <w:rPr>
          <w:noProof/>
          <w:lang w:val="es-MX" w:eastAsia="es-MX"/>
        </w:rPr>
        <w:drawing>
          <wp:inline distT="0" distB="0" distL="0" distR="0" wp14:anchorId="7D97F130" wp14:editId="490CAB4F">
            <wp:extent cx="4905375" cy="26289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4292A" w14:textId="77777777" w:rsidR="00F3449A" w:rsidRPr="00CA43B4" w:rsidRDefault="00F3449A" w:rsidP="00F3449A">
      <w:pPr>
        <w:pStyle w:val="Prrafodelista"/>
        <w:keepNext/>
        <w:spacing w:before="120"/>
        <w:ind w:left="1843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 Estadística de Defunciones Fetales, 2021</w:t>
      </w:r>
    </w:p>
    <w:p w14:paraId="4A075E73" w14:textId="77777777" w:rsidR="0042218A" w:rsidRPr="00CA43B4" w:rsidRDefault="0042218A" w:rsidP="0042218A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06C25F69" w14:textId="4A505D67" w:rsidR="0042218A" w:rsidRPr="00CA43B4" w:rsidRDefault="0042218A" w:rsidP="00DF03EE">
      <w:pPr>
        <w:pStyle w:val="Prrafodelista"/>
        <w:numPr>
          <w:ilvl w:val="0"/>
          <w:numId w:val="18"/>
        </w:numPr>
        <w:autoSpaceDE w:val="0"/>
        <w:autoSpaceDN w:val="0"/>
        <w:adjustRightInd w:val="0"/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</w:pPr>
      <w:r w:rsidRPr="00CA43B4"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  <w:t>Características de la madre</w:t>
      </w:r>
    </w:p>
    <w:p w14:paraId="69D2F025" w14:textId="77777777" w:rsidR="0042218A" w:rsidRPr="00CA43B4" w:rsidRDefault="0042218A" w:rsidP="00DF03EE">
      <w:pPr>
        <w:pStyle w:val="Prrafodelista"/>
        <w:autoSpaceDE w:val="0"/>
        <w:autoSpaceDN w:val="0"/>
        <w:adjustRightInd w:val="0"/>
        <w:ind w:left="720"/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</w:pPr>
    </w:p>
    <w:p w14:paraId="5C53B3B3" w14:textId="527D83D6" w:rsidR="0042218A" w:rsidRPr="00CA43B4" w:rsidRDefault="0042218A" w:rsidP="004C3D8B">
      <w:pPr>
        <w:ind w:right="163"/>
        <w:jc w:val="both"/>
        <w:rPr>
          <w:rFonts w:ascii="Arial" w:hAnsi="Arial" w:cs="Arial"/>
          <w:bCs/>
          <w:sz w:val="24"/>
          <w:szCs w:val="24"/>
        </w:rPr>
      </w:pPr>
      <w:r w:rsidRPr="00CA43B4">
        <w:rPr>
          <w:rFonts w:ascii="Arial" w:hAnsi="Arial" w:cs="Arial"/>
          <w:bCs/>
          <w:sz w:val="24"/>
          <w:szCs w:val="24"/>
        </w:rPr>
        <w:t>Los grupos de edad de las mujeres que concentra</w:t>
      </w:r>
      <w:r w:rsidR="00D20B58">
        <w:rPr>
          <w:rFonts w:ascii="Arial" w:hAnsi="Arial" w:cs="Arial"/>
          <w:bCs/>
          <w:sz w:val="24"/>
          <w:szCs w:val="24"/>
        </w:rPr>
        <w:t>ro</w:t>
      </w:r>
      <w:r w:rsidRPr="00CA43B4">
        <w:rPr>
          <w:rFonts w:ascii="Arial" w:hAnsi="Arial" w:cs="Arial"/>
          <w:bCs/>
          <w:sz w:val="24"/>
          <w:szCs w:val="24"/>
        </w:rPr>
        <w:t xml:space="preserve">n el mayor número de embarazos con alguna complicación que terminó con la muerte del producto </w:t>
      </w:r>
      <w:r w:rsidR="004D3C85">
        <w:rPr>
          <w:rFonts w:ascii="Arial" w:hAnsi="Arial" w:cs="Arial"/>
          <w:bCs/>
          <w:sz w:val="24"/>
          <w:szCs w:val="24"/>
        </w:rPr>
        <w:t>fueron</w:t>
      </w:r>
      <w:r w:rsidR="004D3C85" w:rsidRPr="00CA43B4">
        <w:rPr>
          <w:rFonts w:ascii="Arial" w:hAnsi="Arial" w:cs="Arial"/>
          <w:bCs/>
          <w:sz w:val="24"/>
          <w:szCs w:val="24"/>
        </w:rPr>
        <w:t xml:space="preserve"> </w:t>
      </w:r>
      <w:r w:rsidRPr="00CA43B4">
        <w:rPr>
          <w:rFonts w:ascii="Arial" w:hAnsi="Arial" w:cs="Arial"/>
          <w:bCs/>
          <w:sz w:val="24"/>
          <w:szCs w:val="24"/>
        </w:rPr>
        <w:t>el de 20 a 24 años</w:t>
      </w:r>
      <w:r w:rsidR="004C3D8B">
        <w:rPr>
          <w:rFonts w:ascii="Arial" w:hAnsi="Arial" w:cs="Arial"/>
          <w:bCs/>
          <w:sz w:val="24"/>
          <w:szCs w:val="24"/>
        </w:rPr>
        <w:t>,</w:t>
      </w:r>
      <w:r w:rsidRPr="00CA43B4">
        <w:rPr>
          <w:rFonts w:ascii="Arial" w:hAnsi="Arial" w:cs="Arial"/>
          <w:bCs/>
          <w:sz w:val="24"/>
          <w:szCs w:val="24"/>
        </w:rPr>
        <w:t xml:space="preserve"> con un 2</w:t>
      </w:r>
      <w:r w:rsidR="00894015" w:rsidRPr="00CA43B4">
        <w:rPr>
          <w:rFonts w:ascii="Arial" w:hAnsi="Arial" w:cs="Arial"/>
          <w:bCs/>
          <w:sz w:val="24"/>
          <w:szCs w:val="24"/>
        </w:rPr>
        <w:t>4.</w:t>
      </w:r>
      <w:r w:rsidR="00782E8D">
        <w:rPr>
          <w:rFonts w:ascii="Arial" w:hAnsi="Arial" w:cs="Arial"/>
          <w:bCs/>
          <w:sz w:val="24"/>
          <w:szCs w:val="24"/>
        </w:rPr>
        <w:t>3</w:t>
      </w:r>
      <w:r w:rsidR="001323A1" w:rsidRPr="00CA43B4">
        <w:rPr>
          <w:rFonts w:ascii="Arial" w:hAnsi="Arial" w:cs="Arial"/>
          <w:bCs/>
          <w:sz w:val="24"/>
          <w:szCs w:val="24"/>
        </w:rPr>
        <w:t xml:space="preserve"> </w:t>
      </w:r>
      <w:r w:rsidRPr="00CA43B4">
        <w:rPr>
          <w:rFonts w:ascii="Arial" w:hAnsi="Arial" w:cs="Arial"/>
          <w:bCs/>
          <w:sz w:val="24"/>
          <w:szCs w:val="24"/>
        </w:rPr>
        <w:t>%</w:t>
      </w:r>
      <w:r w:rsidR="004C3D8B">
        <w:rPr>
          <w:rFonts w:ascii="Arial" w:hAnsi="Arial" w:cs="Arial"/>
          <w:bCs/>
          <w:sz w:val="24"/>
          <w:szCs w:val="24"/>
        </w:rPr>
        <w:t>;</w:t>
      </w:r>
      <w:r w:rsidRPr="00CA43B4">
        <w:rPr>
          <w:rFonts w:ascii="Arial" w:hAnsi="Arial" w:cs="Arial"/>
          <w:bCs/>
          <w:sz w:val="24"/>
          <w:szCs w:val="24"/>
        </w:rPr>
        <w:t xml:space="preserve"> el de 25 a 29</w:t>
      </w:r>
      <w:r w:rsidR="004C3D8B">
        <w:rPr>
          <w:rFonts w:ascii="Arial" w:hAnsi="Arial" w:cs="Arial"/>
          <w:bCs/>
          <w:sz w:val="24"/>
          <w:szCs w:val="24"/>
        </w:rPr>
        <w:t>,</w:t>
      </w:r>
      <w:r w:rsidRPr="00CA43B4">
        <w:rPr>
          <w:rFonts w:ascii="Arial" w:hAnsi="Arial" w:cs="Arial"/>
          <w:bCs/>
          <w:sz w:val="24"/>
          <w:szCs w:val="24"/>
        </w:rPr>
        <w:t xml:space="preserve"> con 2</w:t>
      </w:r>
      <w:r w:rsidR="00894015" w:rsidRPr="00CA43B4">
        <w:rPr>
          <w:rFonts w:ascii="Arial" w:hAnsi="Arial" w:cs="Arial"/>
          <w:bCs/>
          <w:sz w:val="24"/>
          <w:szCs w:val="24"/>
        </w:rPr>
        <w:t>3.</w:t>
      </w:r>
      <w:r w:rsidR="00782E8D">
        <w:rPr>
          <w:rFonts w:ascii="Arial" w:hAnsi="Arial" w:cs="Arial"/>
          <w:bCs/>
          <w:sz w:val="24"/>
          <w:szCs w:val="24"/>
        </w:rPr>
        <w:t>3</w:t>
      </w:r>
      <w:r w:rsidR="001323A1" w:rsidRPr="00CA43B4">
        <w:rPr>
          <w:rFonts w:ascii="Arial" w:hAnsi="Arial" w:cs="Arial"/>
          <w:bCs/>
          <w:sz w:val="24"/>
          <w:szCs w:val="24"/>
        </w:rPr>
        <w:t xml:space="preserve"> </w:t>
      </w:r>
      <w:r w:rsidRPr="00CA43B4">
        <w:rPr>
          <w:rFonts w:ascii="Arial" w:hAnsi="Arial" w:cs="Arial"/>
          <w:bCs/>
          <w:sz w:val="24"/>
          <w:szCs w:val="24"/>
        </w:rPr>
        <w:t>% y el de 30 a 34</w:t>
      </w:r>
      <w:r w:rsidR="004C3D8B">
        <w:rPr>
          <w:rFonts w:ascii="Arial" w:hAnsi="Arial" w:cs="Arial"/>
          <w:bCs/>
          <w:sz w:val="24"/>
          <w:szCs w:val="24"/>
        </w:rPr>
        <w:t>,</w:t>
      </w:r>
      <w:r w:rsidRPr="00CA43B4">
        <w:rPr>
          <w:rFonts w:ascii="Arial" w:hAnsi="Arial" w:cs="Arial"/>
          <w:bCs/>
          <w:sz w:val="24"/>
          <w:szCs w:val="24"/>
        </w:rPr>
        <w:t xml:space="preserve"> con 18.</w:t>
      </w:r>
      <w:r w:rsidR="00782E8D">
        <w:rPr>
          <w:rFonts w:ascii="Arial" w:hAnsi="Arial" w:cs="Arial"/>
          <w:bCs/>
          <w:sz w:val="24"/>
          <w:szCs w:val="24"/>
        </w:rPr>
        <w:t>4</w:t>
      </w:r>
      <w:r w:rsidR="001323A1" w:rsidRPr="00CA43B4">
        <w:rPr>
          <w:rFonts w:ascii="Arial" w:hAnsi="Arial" w:cs="Arial"/>
          <w:bCs/>
          <w:sz w:val="24"/>
          <w:szCs w:val="24"/>
        </w:rPr>
        <w:t xml:space="preserve"> </w:t>
      </w:r>
      <w:r w:rsidR="00D20B58">
        <w:rPr>
          <w:rFonts w:ascii="Arial" w:hAnsi="Arial" w:cs="Arial"/>
          <w:bCs/>
          <w:sz w:val="24"/>
          <w:szCs w:val="24"/>
        </w:rPr>
        <w:t>por ciento. E</w:t>
      </w:r>
      <w:r w:rsidRPr="00CA43B4">
        <w:rPr>
          <w:rFonts w:ascii="Arial" w:hAnsi="Arial" w:cs="Arial"/>
          <w:bCs/>
          <w:sz w:val="24"/>
          <w:szCs w:val="24"/>
        </w:rPr>
        <w:t>n conjunto</w:t>
      </w:r>
      <w:r w:rsidR="004C3D8B">
        <w:rPr>
          <w:rFonts w:ascii="Arial" w:hAnsi="Arial" w:cs="Arial"/>
          <w:bCs/>
          <w:sz w:val="24"/>
          <w:szCs w:val="24"/>
        </w:rPr>
        <w:t>,</w:t>
      </w:r>
      <w:r w:rsidRPr="00CA43B4">
        <w:rPr>
          <w:rFonts w:ascii="Arial" w:hAnsi="Arial" w:cs="Arial"/>
          <w:bCs/>
          <w:sz w:val="24"/>
          <w:szCs w:val="24"/>
        </w:rPr>
        <w:t xml:space="preserve"> asc</w:t>
      </w:r>
      <w:r w:rsidR="004C3D8B">
        <w:rPr>
          <w:rFonts w:ascii="Arial" w:hAnsi="Arial" w:cs="Arial"/>
          <w:bCs/>
          <w:sz w:val="24"/>
          <w:szCs w:val="24"/>
        </w:rPr>
        <w:t>endieron</w:t>
      </w:r>
      <w:r w:rsidRPr="00CA43B4">
        <w:rPr>
          <w:rFonts w:ascii="Arial" w:hAnsi="Arial" w:cs="Arial"/>
          <w:bCs/>
          <w:sz w:val="24"/>
          <w:szCs w:val="24"/>
        </w:rPr>
        <w:t xml:space="preserve"> a 6</w:t>
      </w:r>
      <w:r w:rsidR="00782E8D">
        <w:rPr>
          <w:rFonts w:ascii="Arial" w:hAnsi="Arial" w:cs="Arial"/>
          <w:bCs/>
          <w:sz w:val="24"/>
          <w:szCs w:val="24"/>
        </w:rPr>
        <w:t>6.0</w:t>
      </w:r>
      <w:r w:rsidR="001323A1" w:rsidRPr="00CA43B4">
        <w:rPr>
          <w:rFonts w:ascii="Arial" w:hAnsi="Arial" w:cs="Arial"/>
          <w:bCs/>
          <w:sz w:val="24"/>
          <w:szCs w:val="24"/>
        </w:rPr>
        <w:t xml:space="preserve"> </w:t>
      </w:r>
      <w:r w:rsidRPr="00CA43B4">
        <w:rPr>
          <w:rFonts w:ascii="Arial" w:hAnsi="Arial" w:cs="Arial"/>
          <w:bCs/>
          <w:sz w:val="24"/>
          <w:szCs w:val="24"/>
        </w:rPr>
        <w:t>% del total.</w:t>
      </w:r>
    </w:p>
    <w:p w14:paraId="1221C853" w14:textId="77777777" w:rsidR="0042218A" w:rsidRPr="00CA43B4" w:rsidRDefault="0042218A" w:rsidP="0042218A">
      <w:pPr>
        <w:jc w:val="both"/>
        <w:rPr>
          <w:rFonts w:ascii="Arial" w:hAnsi="Arial" w:cs="Arial"/>
          <w:bCs/>
          <w:sz w:val="24"/>
          <w:szCs w:val="24"/>
        </w:rPr>
      </w:pPr>
    </w:p>
    <w:p w14:paraId="3E4EEA54" w14:textId="7C94D14F" w:rsidR="00F3449A" w:rsidRPr="00CA43B4" w:rsidRDefault="00F3449A" w:rsidP="00F3449A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>Gráfica 1</w:t>
      </w:r>
      <w:r w:rsidR="009E5F4A" w:rsidRPr="00CA43B4">
        <w:rPr>
          <w:sz w:val="20"/>
          <w:szCs w:val="20"/>
        </w:rPr>
        <w:t>4</w:t>
      </w:r>
    </w:p>
    <w:p w14:paraId="350EDA04" w14:textId="270EA4B6" w:rsidR="0042218A" w:rsidRPr="00CA43B4" w:rsidRDefault="0042218A" w:rsidP="0042218A">
      <w:pPr>
        <w:jc w:val="center"/>
        <w:rPr>
          <w:rFonts w:ascii="Arial Negrita" w:hAnsi="Arial Negrita" w:cs="Arial"/>
          <w:b/>
          <w:bCs/>
          <w:smallCaps/>
          <w:szCs w:val="20"/>
        </w:rPr>
      </w:pPr>
      <w:r w:rsidRPr="00CA43B4">
        <w:rPr>
          <w:rFonts w:ascii="Arial Negrita" w:hAnsi="Arial Negrita" w:cs="Arial"/>
          <w:b/>
          <w:bCs/>
          <w:smallCaps/>
          <w:szCs w:val="20"/>
        </w:rPr>
        <w:t>Defunciones fetales según edad de la madre</w:t>
      </w:r>
    </w:p>
    <w:p w14:paraId="3B4B4452" w14:textId="6BA8CA61" w:rsidR="00F3449A" w:rsidRPr="00CA43B4" w:rsidRDefault="00F3449A" w:rsidP="00F3449A">
      <w:pPr>
        <w:keepNext/>
        <w:spacing w:after="120"/>
        <w:jc w:val="center"/>
        <w:rPr>
          <w:rFonts w:ascii="Arial" w:hAnsi="Arial" w:cs="Arial"/>
          <w:sz w:val="18"/>
          <w:szCs w:val="16"/>
        </w:rPr>
      </w:pPr>
    </w:p>
    <w:p w14:paraId="31B6B64B" w14:textId="7DCE2A1E" w:rsidR="0042218A" w:rsidRPr="00CA43B4" w:rsidRDefault="00782E8D" w:rsidP="00A25E81">
      <w:pPr>
        <w:spacing w:after="120"/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6932B855" wp14:editId="46A185F8">
            <wp:extent cx="6376620" cy="2129205"/>
            <wp:effectExtent l="0" t="0" r="5715" b="4445"/>
            <wp:docPr id="21" name="Gráfico 2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F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82E65B3" w14:textId="77777777" w:rsidR="00F3449A" w:rsidRPr="00CA43B4" w:rsidRDefault="00F3449A" w:rsidP="00894015">
      <w:pPr>
        <w:pStyle w:val="Prrafodelista"/>
        <w:keepNext/>
        <w:spacing w:before="120"/>
        <w:ind w:left="142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 Estadística de Defunciones Fetales, 2021</w:t>
      </w:r>
    </w:p>
    <w:p w14:paraId="544528CA" w14:textId="77777777" w:rsidR="00F3449A" w:rsidRPr="00CA43B4" w:rsidRDefault="00F3449A" w:rsidP="0042218A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3A97DAFD" w14:textId="698F9464" w:rsidR="0042218A" w:rsidRPr="00CA43B4" w:rsidRDefault="00D20B58" w:rsidP="004C3D8B">
      <w:pPr>
        <w:ind w:right="163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D</w:t>
      </w:r>
      <w:r w:rsidRPr="00CA43B4">
        <w:rPr>
          <w:rFonts w:ascii="Arial" w:eastAsia="Calibri" w:hAnsi="Arial" w:cs="Arial"/>
          <w:bCs/>
          <w:sz w:val="24"/>
          <w:szCs w:val="24"/>
        </w:rPr>
        <w:t xml:space="preserve">e </w:t>
      </w:r>
      <w:r>
        <w:rPr>
          <w:rFonts w:ascii="Arial" w:eastAsia="Calibri" w:hAnsi="Arial" w:cs="Arial"/>
          <w:bCs/>
          <w:sz w:val="24"/>
          <w:szCs w:val="24"/>
        </w:rPr>
        <w:t xml:space="preserve">las </w:t>
      </w:r>
      <w:r w:rsidRPr="00CA43B4">
        <w:rPr>
          <w:rFonts w:ascii="Arial" w:eastAsia="Calibri" w:hAnsi="Arial" w:cs="Arial"/>
          <w:bCs/>
          <w:sz w:val="24"/>
          <w:szCs w:val="24"/>
        </w:rPr>
        <w:t>mujeres cuyo embarazo derivó en una muerte fetal</w:t>
      </w:r>
      <w:r>
        <w:rPr>
          <w:rFonts w:ascii="Arial" w:eastAsia="Calibri" w:hAnsi="Arial" w:cs="Arial"/>
          <w:bCs/>
          <w:sz w:val="24"/>
          <w:szCs w:val="24"/>
        </w:rPr>
        <w:t xml:space="preserve">, 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>97.</w:t>
      </w:r>
      <w:r w:rsidR="005B6CCF" w:rsidRPr="00CA43B4">
        <w:rPr>
          <w:rFonts w:ascii="Arial" w:eastAsia="Calibri" w:hAnsi="Arial" w:cs="Arial"/>
          <w:bCs/>
          <w:sz w:val="24"/>
          <w:szCs w:val="24"/>
        </w:rPr>
        <w:t>4</w:t>
      </w:r>
      <w:r w:rsidR="001323A1" w:rsidRPr="00CA43B4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% </w:t>
      </w:r>
      <w:r>
        <w:rPr>
          <w:rFonts w:ascii="Arial" w:eastAsia="Calibri" w:hAnsi="Arial" w:cs="Arial"/>
          <w:bCs/>
          <w:sz w:val="24"/>
          <w:szCs w:val="24"/>
        </w:rPr>
        <w:t>es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 de </w:t>
      </w:r>
      <w:r w:rsidR="006355D3">
        <w:rPr>
          <w:rFonts w:ascii="Arial" w:eastAsia="Calibri" w:hAnsi="Arial" w:cs="Arial"/>
          <w:bCs/>
          <w:sz w:val="24"/>
          <w:szCs w:val="24"/>
        </w:rPr>
        <w:t>nacionalidad</w:t>
      </w:r>
      <w:r w:rsidR="006355D3" w:rsidRPr="00CA43B4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>mexican</w:t>
      </w:r>
      <w:r w:rsidR="0042173E">
        <w:rPr>
          <w:rFonts w:ascii="Arial" w:eastAsia="Calibri" w:hAnsi="Arial" w:cs="Arial"/>
          <w:bCs/>
          <w:sz w:val="24"/>
          <w:szCs w:val="24"/>
        </w:rPr>
        <w:t>a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, </w:t>
      </w:r>
      <w:r w:rsidR="005B6CCF" w:rsidRPr="00CA43B4">
        <w:rPr>
          <w:rFonts w:ascii="Arial" w:eastAsia="Calibri" w:hAnsi="Arial" w:cs="Arial"/>
          <w:bCs/>
          <w:sz w:val="24"/>
          <w:szCs w:val="24"/>
        </w:rPr>
        <w:t>1.0</w:t>
      </w:r>
      <w:r w:rsidR="001323A1" w:rsidRPr="00CA43B4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% </w:t>
      </w:r>
      <w:r>
        <w:rPr>
          <w:rFonts w:ascii="Arial" w:eastAsia="Calibri" w:hAnsi="Arial" w:cs="Arial"/>
          <w:bCs/>
          <w:sz w:val="24"/>
          <w:szCs w:val="24"/>
        </w:rPr>
        <w:t>es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 extranjera y</w:t>
      </w:r>
      <w:r w:rsidR="004D3C8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B6CCF" w:rsidRPr="00CA43B4">
        <w:rPr>
          <w:rFonts w:ascii="Arial" w:eastAsia="Calibri" w:hAnsi="Arial" w:cs="Arial"/>
          <w:bCs/>
          <w:sz w:val="24"/>
          <w:szCs w:val="24"/>
        </w:rPr>
        <w:t>1.6</w:t>
      </w:r>
      <w:r w:rsidR="001323A1" w:rsidRPr="00CA43B4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>% no lo especificó.</w:t>
      </w:r>
    </w:p>
    <w:p w14:paraId="6EB8E317" w14:textId="77777777" w:rsidR="0042218A" w:rsidRPr="00CA43B4" w:rsidRDefault="0042218A" w:rsidP="0042218A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45ECD8A0" w14:textId="34379311" w:rsidR="0042218A" w:rsidRPr="00CA43B4" w:rsidRDefault="00D20B58" w:rsidP="004C3D8B">
      <w:pPr>
        <w:ind w:right="163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lastRenderedPageBreak/>
        <w:t xml:space="preserve">De las </w:t>
      </w:r>
      <w:r w:rsidRPr="00CA43B4">
        <w:rPr>
          <w:rFonts w:ascii="Arial" w:eastAsia="Calibri" w:hAnsi="Arial" w:cs="Arial"/>
          <w:bCs/>
          <w:sz w:val="24"/>
          <w:szCs w:val="24"/>
        </w:rPr>
        <w:t xml:space="preserve">mujeres que </w:t>
      </w:r>
      <w:r>
        <w:rPr>
          <w:rFonts w:ascii="Arial" w:eastAsia="Calibri" w:hAnsi="Arial" w:cs="Arial"/>
          <w:bCs/>
          <w:sz w:val="24"/>
          <w:szCs w:val="24"/>
        </w:rPr>
        <w:t>tuvieron</w:t>
      </w:r>
      <w:r w:rsidRPr="00CA43B4">
        <w:rPr>
          <w:rFonts w:ascii="Arial" w:eastAsia="Calibri" w:hAnsi="Arial" w:cs="Arial"/>
          <w:bCs/>
          <w:sz w:val="24"/>
          <w:szCs w:val="24"/>
        </w:rPr>
        <w:t xml:space="preserve"> un embarazo que derivó en la muerte del </w:t>
      </w:r>
      <w:r w:rsidRPr="00482F92">
        <w:rPr>
          <w:rFonts w:ascii="Arial" w:eastAsia="Calibri" w:hAnsi="Arial" w:cs="Arial"/>
          <w:bCs/>
          <w:spacing w:val="4"/>
          <w:sz w:val="24"/>
          <w:szCs w:val="24"/>
        </w:rPr>
        <w:t>producto</w:t>
      </w:r>
      <w:r>
        <w:rPr>
          <w:rFonts w:ascii="Arial" w:eastAsia="Calibri" w:hAnsi="Arial" w:cs="Arial"/>
          <w:bCs/>
          <w:sz w:val="24"/>
          <w:szCs w:val="24"/>
        </w:rPr>
        <w:t>,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 8</w:t>
      </w:r>
      <w:r w:rsidR="005B6CCF" w:rsidRPr="00CA43B4">
        <w:rPr>
          <w:rFonts w:ascii="Arial" w:eastAsia="Calibri" w:hAnsi="Arial" w:cs="Arial"/>
          <w:bCs/>
          <w:sz w:val="24"/>
          <w:szCs w:val="24"/>
        </w:rPr>
        <w:t>9.2</w:t>
      </w:r>
      <w:r w:rsidR="001323A1" w:rsidRPr="00CA43B4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>%</w:t>
      </w:r>
      <w:r w:rsidR="0042218A" w:rsidRPr="00482F92">
        <w:rPr>
          <w:rFonts w:ascii="Arial" w:eastAsia="Calibri" w:hAnsi="Arial" w:cs="Arial"/>
          <w:bCs/>
          <w:spacing w:val="4"/>
          <w:sz w:val="24"/>
          <w:szCs w:val="24"/>
        </w:rPr>
        <w:t xml:space="preserve"> manifestó </w:t>
      </w:r>
      <w:r>
        <w:rPr>
          <w:rFonts w:ascii="Arial" w:eastAsia="Calibri" w:hAnsi="Arial" w:cs="Arial"/>
          <w:bCs/>
          <w:spacing w:val="4"/>
          <w:sz w:val="24"/>
          <w:szCs w:val="24"/>
        </w:rPr>
        <w:t xml:space="preserve">que </w:t>
      </w:r>
      <w:r w:rsidR="0042218A" w:rsidRPr="004C3D8B">
        <w:rPr>
          <w:rFonts w:ascii="Arial" w:eastAsia="Calibri" w:hAnsi="Arial" w:cs="Arial"/>
          <w:bCs/>
          <w:i/>
          <w:spacing w:val="4"/>
          <w:sz w:val="24"/>
          <w:szCs w:val="24"/>
        </w:rPr>
        <w:t>no habla alguna lengua indígena</w:t>
      </w:r>
      <w:r w:rsidR="0042218A" w:rsidRPr="00482F92">
        <w:rPr>
          <w:rFonts w:ascii="Arial" w:eastAsia="Calibri" w:hAnsi="Arial" w:cs="Arial"/>
          <w:bCs/>
          <w:spacing w:val="4"/>
          <w:sz w:val="24"/>
          <w:szCs w:val="24"/>
        </w:rPr>
        <w:t>, 6.0</w:t>
      </w:r>
      <w:r w:rsidR="001323A1" w:rsidRPr="00482F92">
        <w:rPr>
          <w:rFonts w:ascii="Arial" w:eastAsia="Calibri" w:hAnsi="Arial" w:cs="Arial"/>
          <w:bCs/>
          <w:spacing w:val="4"/>
          <w:sz w:val="24"/>
          <w:szCs w:val="24"/>
        </w:rPr>
        <w:t xml:space="preserve"> </w:t>
      </w:r>
      <w:r w:rsidR="0042218A" w:rsidRPr="00482F92">
        <w:rPr>
          <w:rFonts w:ascii="Arial" w:eastAsia="Calibri" w:hAnsi="Arial" w:cs="Arial"/>
          <w:bCs/>
          <w:spacing w:val="4"/>
          <w:sz w:val="24"/>
          <w:szCs w:val="24"/>
        </w:rPr>
        <w:t xml:space="preserve">% indicó que </w:t>
      </w:r>
      <w:r w:rsidR="0042218A" w:rsidRPr="004C3D8B">
        <w:rPr>
          <w:rFonts w:ascii="Arial" w:eastAsia="Calibri" w:hAnsi="Arial" w:cs="Arial"/>
          <w:bCs/>
          <w:i/>
          <w:spacing w:val="4"/>
          <w:sz w:val="24"/>
          <w:szCs w:val="24"/>
        </w:rPr>
        <w:t>sí la habla</w:t>
      </w:r>
      <w:r w:rsidR="0042218A" w:rsidRPr="00482F92">
        <w:rPr>
          <w:rFonts w:ascii="Arial" w:eastAsia="Calibri" w:hAnsi="Arial" w:cs="Arial"/>
          <w:bCs/>
          <w:spacing w:val="4"/>
          <w:sz w:val="24"/>
          <w:szCs w:val="24"/>
        </w:rPr>
        <w:t xml:space="preserve"> y </w:t>
      </w:r>
      <w:r w:rsidR="005B6CCF" w:rsidRPr="00482F92">
        <w:rPr>
          <w:rFonts w:ascii="Arial" w:eastAsia="Calibri" w:hAnsi="Arial" w:cs="Arial"/>
          <w:bCs/>
          <w:spacing w:val="4"/>
          <w:sz w:val="24"/>
          <w:szCs w:val="24"/>
        </w:rPr>
        <w:t>4.8</w:t>
      </w:r>
      <w:r w:rsidR="001323A1" w:rsidRPr="00482F92">
        <w:rPr>
          <w:rFonts w:ascii="Arial" w:eastAsia="Calibri" w:hAnsi="Arial" w:cs="Arial"/>
          <w:bCs/>
          <w:spacing w:val="4"/>
          <w:sz w:val="24"/>
          <w:szCs w:val="24"/>
        </w:rPr>
        <w:t xml:space="preserve"> </w:t>
      </w:r>
      <w:r w:rsidR="0042218A" w:rsidRPr="00482F92">
        <w:rPr>
          <w:rFonts w:ascii="Arial" w:eastAsia="Calibri" w:hAnsi="Arial" w:cs="Arial"/>
          <w:bCs/>
          <w:spacing w:val="4"/>
          <w:sz w:val="24"/>
          <w:szCs w:val="24"/>
        </w:rPr>
        <w:t>%</w:t>
      </w:r>
      <w:r w:rsidR="00F3449A" w:rsidRPr="00482F92">
        <w:rPr>
          <w:rFonts w:ascii="Arial" w:eastAsia="Calibri" w:hAnsi="Arial" w:cs="Arial"/>
          <w:bCs/>
          <w:spacing w:val="4"/>
          <w:sz w:val="24"/>
          <w:szCs w:val="24"/>
        </w:rPr>
        <w:t xml:space="preserve"> </w:t>
      </w:r>
      <w:r w:rsidR="0042218A" w:rsidRPr="004C3D8B">
        <w:rPr>
          <w:rFonts w:ascii="Arial" w:eastAsia="Calibri" w:hAnsi="Arial" w:cs="Arial"/>
          <w:bCs/>
          <w:i/>
          <w:spacing w:val="4"/>
          <w:sz w:val="24"/>
          <w:szCs w:val="24"/>
        </w:rPr>
        <w:t>no lo especificó</w:t>
      </w:r>
      <w:r w:rsidR="0042218A" w:rsidRPr="00482F92">
        <w:rPr>
          <w:rFonts w:ascii="Arial" w:eastAsia="Calibri" w:hAnsi="Arial" w:cs="Arial"/>
          <w:bCs/>
          <w:spacing w:val="4"/>
          <w:sz w:val="24"/>
          <w:szCs w:val="24"/>
        </w:rPr>
        <w:t>.</w:t>
      </w:r>
    </w:p>
    <w:p w14:paraId="2A3F41ED" w14:textId="77777777" w:rsidR="0042218A" w:rsidRPr="00CA43B4" w:rsidRDefault="0042218A" w:rsidP="0042218A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326E597C" w14:textId="41F2FD18" w:rsidR="00F3449A" w:rsidRPr="00CA43B4" w:rsidRDefault="00F3449A" w:rsidP="002E3316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>Gráfica 1</w:t>
      </w:r>
      <w:r w:rsidR="009E5F4A" w:rsidRPr="00CA43B4">
        <w:rPr>
          <w:sz w:val="20"/>
          <w:szCs w:val="20"/>
        </w:rPr>
        <w:t>5</w:t>
      </w:r>
    </w:p>
    <w:p w14:paraId="57D0E5BB" w14:textId="77D1935C" w:rsidR="0042218A" w:rsidRPr="00CA43B4" w:rsidRDefault="0042218A" w:rsidP="002E3316">
      <w:pPr>
        <w:keepNext/>
        <w:jc w:val="center"/>
        <w:rPr>
          <w:rFonts w:ascii="Arial Negrita" w:hAnsi="Arial Negrita" w:cs="Arial"/>
          <w:b/>
          <w:bCs/>
          <w:smallCaps/>
          <w:szCs w:val="20"/>
        </w:rPr>
      </w:pPr>
      <w:r w:rsidRPr="00CA43B4">
        <w:rPr>
          <w:rFonts w:ascii="Arial Negrita" w:hAnsi="Arial Negrita" w:cs="Arial"/>
          <w:b/>
          <w:bCs/>
          <w:smallCaps/>
          <w:szCs w:val="20"/>
        </w:rPr>
        <w:t>Defunciones fetales según condición de habla</w:t>
      </w:r>
      <w:r w:rsidRPr="00CA43B4">
        <w:rPr>
          <w:rFonts w:ascii="Arial Negrita" w:hAnsi="Arial Negrita" w:cs="Arial"/>
          <w:b/>
          <w:bCs/>
          <w:smallCaps/>
          <w:szCs w:val="20"/>
        </w:rPr>
        <w:br/>
        <w:t>de lengua indígena de la madre</w:t>
      </w:r>
    </w:p>
    <w:p w14:paraId="667BCADF" w14:textId="62937D06" w:rsidR="00F3449A" w:rsidRPr="00CA43B4" w:rsidRDefault="00F3449A" w:rsidP="002E3316">
      <w:pPr>
        <w:keepNext/>
        <w:spacing w:after="120"/>
        <w:jc w:val="center"/>
        <w:rPr>
          <w:rFonts w:ascii="Arial" w:hAnsi="Arial" w:cs="Arial"/>
          <w:sz w:val="18"/>
          <w:szCs w:val="16"/>
        </w:rPr>
      </w:pPr>
    </w:p>
    <w:p w14:paraId="1365B442" w14:textId="1DA286FE" w:rsidR="0042218A" w:rsidRPr="00CA43B4" w:rsidRDefault="00B01664" w:rsidP="002E3316">
      <w:pPr>
        <w:keepNext/>
        <w:spacing w:after="120"/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7F217F15" wp14:editId="43154D67">
            <wp:extent cx="3379304" cy="1606824"/>
            <wp:effectExtent l="0" t="0" r="0" b="0"/>
            <wp:docPr id="44" name="Gráfico 4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E084118" w14:textId="39F8693D" w:rsidR="00F3449A" w:rsidRPr="00CA43B4" w:rsidRDefault="00F3449A" w:rsidP="002E3316">
      <w:pPr>
        <w:pStyle w:val="Prrafodelista"/>
        <w:keepNext/>
        <w:spacing w:before="120"/>
        <w:ind w:left="2977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 Estadística</w:t>
      </w:r>
      <w:r w:rsidR="00D20B58">
        <w:rPr>
          <w:rFonts w:ascii="Arial" w:hAnsi="Arial" w:cs="Arial"/>
          <w:bCs/>
          <w:sz w:val="16"/>
          <w:szCs w:val="16"/>
        </w:rPr>
        <w:t>s</w:t>
      </w:r>
      <w:r w:rsidRPr="00CA43B4">
        <w:rPr>
          <w:rFonts w:ascii="Arial" w:hAnsi="Arial" w:cs="Arial"/>
          <w:bCs/>
          <w:sz w:val="16"/>
          <w:szCs w:val="16"/>
        </w:rPr>
        <w:t xml:space="preserve"> de Defunciones Fetales, 2021</w:t>
      </w:r>
    </w:p>
    <w:p w14:paraId="3FC0F8E8" w14:textId="77777777" w:rsidR="0042218A" w:rsidRPr="00CA43B4" w:rsidRDefault="0042218A" w:rsidP="0042218A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46C969A6" w14:textId="77777777" w:rsidR="007D35B1" w:rsidRDefault="007D35B1" w:rsidP="004C3D8B">
      <w:pPr>
        <w:ind w:right="163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6919A735" w14:textId="7132D95B" w:rsidR="0042218A" w:rsidRPr="00CA43B4" w:rsidRDefault="0042218A" w:rsidP="004C3D8B">
      <w:pPr>
        <w:ind w:right="163"/>
        <w:jc w:val="both"/>
        <w:rPr>
          <w:rFonts w:ascii="Arial" w:eastAsia="Calibri" w:hAnsi="Arial" w:cs="Arial"/>
          <w:bCs/>
          <w:sz w:val="24"/>
          <w:szCs w:val="24"/>
        </w:rPr>
      </w:pPr>
      <w:r w:rsidRPr="00CA43B4">
        <w:rPr>
          <w:rFonts w:ascii="Arial" w:eastAsia="Calibri" w:hAnsi="Arial" w:cs="Arial"/>
          <w:bCs/>
          <w:sz w:val="24"/>
          <w:szCs w:val="24"/>
        </w:rPr>
        <w:t xml:space="preserve">En relación con el estado conyugal de la madre, el mayor número de casos de embarazo que derivó en la muerte del producto se presentó en mujeres que se encontraban en </w:t>
      </w:r>
      <w:r w:rsidRPr="004C3D8B">
        <w:rPr>
          <w:rFonts w:ascii="Arial" w:eastAsia="Calibri" w:hAnsi="Arial" w:cs="Arial"/>
          <w:bCs/>
          <w:i/>
          <w:sz w:val="24"/>
          <w:szCs w:val="24"/>
        </w:rPr>
        <w:t>unión libre</w:t>
      </w:r>
      <w:r w:rsidR="004C3D8B">
        <w:rPr>
          <w:rFonts w:ascii="Arial" w:eastAsia="Calibri" w:hAnsi="Arial" w:cs="Arial"/>
          <w:bCs/>
          <w:iCs/>
          <w:sz w:val="24"/>
          <w:szCs w:val="24"/>
        </w:rPr>
        <w:t>,</w:t>
      </w:r>
      <w:r w:rsidRPr="00CA43B4">
        <w:rPr>
          <w:rFonts w:ascii="Arial" w:eastAsia="Calibri" w:hAnsi="Arial" w:cs="Arial"/>
          <w:bCs/>
          <w:sz w:val="24"/>
          <w:szCs w:val="24"/>
        </w:rPr>
        <w:t xml:space="preserve"> con 12 </w:t>
      </w:r>
      <w:r w:rsidR="005B6CCF" w:rsidRPr="00CA43B4">
        <w:rPr>
          <w:rFonts w:ascii="Arial" w:eastAsia="Calibri" w:hAnsi="Arial" w:cs="Arial"/>
          <w:bCs/>
          <w:sz w:val="24"/>
          <w:szCs w:val="24"/>
        </w:rPr>
        <w:t>4</w:t>
      </w:r>
      <w:r w:rsidR="00B01664">
        <w:rPr>
          <w:rFonts w:ascii="Arial" w:eastAsia="Calibri" w:hAnsi="Arial" w:cs="Arial"/>
          <w:bCs/>
          <w:sz w:val="24"/>
          <w:szCs w:val="24"/>
        </w:rPr>
        <w:t>48</w:t>
      </w:r>
      <w:r w:rsidRPr="00CA43B4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20B58">
        <w:rPr>
          <w:rFonts w:ascii="Arial" w:eastAsia="Calibri" w:hAnsi="Arial" w:cs="Arial"/>
          <w:bCs/>
          <w:sz w:val="24"/>
          <w:szCs w:val="24"/>
        </w:rPr>
        <w:t xml:space="preserve">casos </w:t>
      </w:r>
      <w:r w:rsidRPr="00CA43B4">
        <w:rPr>
          <w:rFonts w:ascii="Arial" w:eastAsia="Calibri" w:hAnsi="Arial" w:cs="Arial"/>
          <w:bCs/>
          <w:sz w:val="24"/>
          <w:szCs w:val="24"/>
        </w:rPr>
        <w:t>(5</w:t>
      </w:r>
      <w:r w:rsidR="005B6CCF" w:rsidRPr="00CA43B4">
        <w:rPr>
          <w:rFonts w:ascii="Arial" w:eastAsia="Calibri" w:hAnsi="Arial" w:cs="Arial"/>
          <w:bCs/>
          <w:sz w:val="24"/>
          <w:szCs w:val="24"/>
        </w:rPr>
        <w:t>4.1</w:t>
      </w:r>
      <w:r w:rsidR="001323A1" w:rsidRPr="00CA43B4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A43B4">
        <w:rPr>
          <w:rFonts w:ascii="Arial" w:eastAsia="Calibri" w:hAnsi="Arial" w:cs="Arial"/>
          <w:bCs/>
          <w:sz w:val="24"/>
          <w:szCs w:val="24"/>
        </w:rPr>
        <w:t xml:space="preserve">%), seguido de quienes reportaron estar </w:t>
      </w:r>
      <w:r w:rsidRPr="004C3D8B">
        <w:rPr>
          <w:rFonts w:ascii="Arial" w:eastAsia="Calibri" w:hAnsi="Arial" w:cs="Arial"/>
          <w:bCs/>
          <w:i/>
          <w:sz w:val="24"/>
          <w:szCs w:val="24"/>
        </w:rPr>
        <w:t>casadas</w:t>
      </w:r>
      <w:r w:rsidR="004C3D8B">
        <w:rPr>
          <w:rFonts w:ascii="Arial" w:eastAsia="Calibri" w:hAnsi="Arial" w:cs="Arial"/>
          <w:bCs/>
          <w:iCs/>
          <w:sz w:val="24"/>
          <w:szCs w:val="24"/>
        </w:rPr>
        <w:t>,</w:t>
      </w:r>
      <w:r w:rsidRPr="00CA43B4">
        <w:rPr>
          <w:rFonts w:ascii="Arial" w:eastAsia="Calibri" w:hAnsi="Arial" w:cs="Arial"/>
          <w:bCs/>
          <w:sz w:val="24"/>
          <w:szCs w:val="24"/>
        </w:rPr>
        <w:t xml:space="preserve"> con 6 </w:t>
      </w:r>
      <w:r w:rsidR="005B6CCF" w:rsidRPr="00CA43B4">
        <w:rPr>
          <w:rFonts w:ascii="Arial" w:eastAsia="Calibri" w:hAnsi="Arial" w:cs="Arial"/>
          <w:bCs/>
          <w:sz w:val="24"/>
          <w:szCs w:val="24"/>
        </w:rPr>
        <w:t>03</w:t>
      </w:r>
      <w:r w:rsidR="00B01664">
        <w:rPr>
          <w:rFonts w:ascii="Arial" w:eastAsia="Calibri" w:hAnsi="Arial" w:cs="Arial"/>
          <w:bCs/>
          <w:sz w:val="24"/>
          <w:szCs w:val="24"/>
        </w:rPr>
        <w:t>0</w:t>
      </w:r>
      <w:r w:rsidRPr="00CA43B4">
        <w:rPr>
          <w:rFonts w:ascii="Arial" w:eastAsia="Calibri" w:hAnsi="Arial" w:cs="Arial"/>
          <w:bCs/>
          <w:sz w:val="24"/>
          <w:szCs w:val="24"/>
        </w:rPr>
        <w:t xml:space="preserve"> (2</w:t>
      </w:r>
      <w:r w:rsidR="005B6CCF" w:rsidRPr="00CA43B4">
        <w:rPr>
          <w:rFonts w:ascii="Arial" w:eastAsia="Calibri" w:hAnsi="Arial" w:cs="Arial"/>
          <w:bCs/>
          <w:sz w:val="24"/>
          <w:szCs w:val="24"/>
        </w:rPr>
        <w:t>6.2</w:t>
      </w:r>
      <w:r w:rsidR="001323A1" w:rsidRPr="00CA43B4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A43B4">
        <w:rPr>
          <w:rFonts w:ascii="Arial" w:eastAsia="Calibri" w:hAnsi="Arial" w:cs="Arial"/>
          <w:bCs/>
          <w:sz w:val="24"/>
          <w:szCs w:val="24"/>
        </w:rPr>
        <w:t>%).</w:t>
      </w:r>
    </w:p>
    <w:p w14:paraId="18308EAC" w14:textId="77777777" w:rsidR="0042218A" w:rsidRPr="00CA43B4" w:rsidRDefault="0042218A" w:rsidP="004C3D8B">
      <w:pPr>
        <w:ind w:right="163"/>
        <w:jc w:val="both"/>
        <w:rPr>
          <w:rFonts w:ascii="Arial" w:eastAsia="Calibri" w:hAnsi="Arial" w:cs="Arial"/>
          <w:bCs/>
          <w:spacing w:val="4"/>
          <w:sz w:val="24"/>
          <w:szCs w:val="24"/>
        </w:rPr>
      </w:pPr>
    </w:p>
    <w:p w14:paraId="19DE1DF9" w14:textId="77505A67" w:rsidR="0042218A" w:rsidRPr="00CA43B4" w:rsidRDefault="0042218A" w:rsidP="004C3D8B">
      <w:pPr>
        <w:ind w:right="163"/>
        <w:jc w:val="both"/>
        <w:rPr>
          <w:rFonts w:ascii="Arial" w:eastAsia="Calibri" w:hAnsi="Arial" w:cs="Arial"/>
          <w:bCs/>
          <w:spacing w:val="4"/>
          <w:sz w:val="24"/>
          <w:szCs w:val="24"/>
        </w:rPr>
      </w:pPr>
      <w:r w:rsidRPr="00CA43B4">
        <w:rPr>
          <w:rFonts w:ascii="Arial" w:eastAsia="Calibri" w:hAnsi="Arial" w:cs="Arial"/>
          <w:bCs/>
          <w:spacing w:val="4"/>
          <w:sz w:val="24"/>
          <w:szCs w:val="24"/>
        </w:rPr>
        <w:t>La menor incidencia se present</w:t>
      </w:r>
      <w:r w:rsidR="00D20B58">
        <w:rPr>
          <w:rFonts w:ascii="Arial" w:eastAsia="Calibri" w:hAnsi="Arial" w:cs="Arial"/>
          <w:bCs/>
          <w:spacing w:val="4"/>
          <w:sz w:val="24"/>
          <w:szCs w:val="24"/>
        </w:rPr>
        <w:t>ó</w:t>
      </w:r>
      <w:r w:rsidRPr="00CA43B4">
        <w:rPr>
          <w:rFonts w:ascii="Arial" w:eastAsia="Calibri" w:hAnsi="Arial" w:cs="Arial"/>
          <w:bCs/>
          <w:spacing w:val="4"/>
          <w:sz w:val="24"/>
          <w:szCs w:val="24"/>
        </w:rPr>
        <w:t xml:space="preserve"> entre quienes manifestaron ser </w:t>
      </w:r>
      <w:r w:rsidRPr="004C3D8B">
        <w:rPr>
          <w:rFonts w:ascii="Arial" w:eastAsia="Calibri" w:hAnsi="Arial" w:cs="Arial"/>
          <w:bCs/>
          <w:i/>
          <w:spacing w:val="4"/>
          <w:sz w:val="24"/>
          <w:szCs w:val="24"/>
        </w:rPr>
        <w:t>viudas</w:t>
      </w:r>
      <w:r w:rsidRPr="00CA43B4">
        <w:rPr>
          <w:rFonts w:ascii="Arial" w:eastAsia="Calibri" w:hAnsi="Arial" w:cs="Arial"/>
          <w:bCs/>
          <w:spacing w:val="4"/>
          <w:sz w:val="24"/>
          <w:szCs w:val="24"/>
        </w:rPr>
        <w:t xml:space="preserve">, con </w:t>
      </w:r>
      <w:r w:rsidR="00483D74">
        <w:rPr>
          <w:rFonts w:ascii="Arial" w:eastAsia="Calibri" w:hAnsi="Arial" w:cs="Arial"/>
          <w:bCs/>
          <w:spacing w:val="4"/>
          <w:sz w:val="24"/>
          <w:szCs w:val="24"/>
        </w:rPr>
        <w:t>39</w:t>
      </w:r>
      <w:r w:rsidRPr="00CA43B4">
        <w:rPr>
          <w:rFonts w:ascii="Arial" w:eastAsia="Calibri" w:hAnsi="Arial" w:cs="Arial"/>
          <w:bCs/>
          <w:spacing w:val="4"/>
          <w:sz w:val="24"/>
          <w:szCs w:val="24"/>
        </w:rPr>
        <w:t xml:space="preserve"> casos. El resto de las categorías y sus magnitudes se aprecia</w:t>
      </w:r>
      <w:r w:rsidR="004D3C85">
        <w:rPr>
          <w:rFonts w:ascii="Arial" w:eastAsia="Calibri" w:hAnsi="Arial" w:cs="Arial"/>
          <w:bCs/>
          <w:spacing w:val="4"/>
          <w:sz w:val="24"/>
          <w:szCs w:val="24"/>
        </w:rPr>
        <w:t>n</w:t>
      </w:r>
      <w:r w:rsidRPr="00CA43B4">
        <w:rPr>
          <w:rFonts w:ascii="Arial" w:eastAsia="Calibri" w:hAnsi="Arial" w:cs="Arial"/>
          <w:bCs/>
          <w:spacing w:val="4"/>
          <w:sz w:val="24"/>
          <w:szCs w:val="24"/>
        </w:rPr>
        <w:t xml:space="preserve"> en la siguiente gráfica.</w:t>
      </w:r>
    </w:p>
    <w:p w14:paraId="7930A9DA" w14:textId="77777777" w:rsidR="0042218A" w:rsidRPr="00CA43B4" w:rsidRDefault="0042218A" w:rsidP="0042218A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23222CD5" w14:textId="51E0FFE1" w:rsidR="00A67D75" w:rsidRPr="00CA43B4" w:rsidRDefault="00A67D75" w:rsidP="00A67D75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>Gráfica 1</w:t>
      </w:r>
      <w:r w:rsidR="009E5F4A" w:rsidRPr="00CA43B4">
        <w:rPr>
          <w:sz w:val="20"/>
          <w:szCs w:val="20"/>
        </w:rPr>
        <w:t>6</w:t>
      </w:r>
    </w:p>
    <w:p w14:paraId="5AF10C93" w14:textId="73B9CC6D" w:rsidR="0042218A" w:rsidRPr="00CA43B4" w:rsidRDefault="0042218A" w:rsidP="00A67D75">
      <w:pPr>
        <w:keepNext/>
        <w:jc w:val="center"/>
        <w:rPr>
          <w:rFonts w:ascii="Arial Negrita" w:hAnsi="Arial Negrita" w:cs="Arial"/>
          <w:b/>
          <w:bCs/>
          <w:smallCaps/>
          <w:szCs w:val="20"/>
        </w:rPr>
      </w:pPr>
      <w:r w:rsidRPr="00CA43B4">
        <w:rPr>
          <w:rFonts w:ascii="Arial Negrita" w:hAnsi="Arial Negrita" w:cs="Arial"/>
          <w:b/>
          <w:bCs/>
          <w:smallCaps/>
          <w:szCs w:val="20"/>
        </w:rPr>
        <w:t>Defunciones fetales según estado conyugal de la madre</w:t>
      </w:r>
    </w:p>
    <w:p w14:paraId="477878A9" w14:textId="4F303A2D" w:rsidR="00A67D75" w:rsidRPr="00CA43B4" w:rsidRDefault="00A67D75" w:rsidP="00A67D75">
      <w:pPr>
        <w:keepNext/>
        <w:spacing w:after="120"/>
        <w:jc w:val="center"/>
        <w:rPr>
          <w:rFonts w:ascii="Arial" w:hAnsi="Arial" w:cs="Arial"/>
          <w:sz w:val="18"/>
          <w:szCs w:val="16"/>
        </w:rPr>
      </w:pPr>
    </w:p>
    <w:p w14:paraId="7848A288" w14:textId="269339CE" w:rsidR="0042218A" w:rsidRPr="00CA43B4" w:rsidRDefault="00483D74" w:rsidP="00A67D75">
      <w:pPr>
        <w:keepNext/>
        <w:jc w:val="center"/>
        <w:rPr>
          <w:rFonts w:ascii="Arial" w:eastAsia="Calibri" w:hAnsi="Arial" w:cs="Arial"/>
          <w:b/>
          <w:bCs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791D5B04" wp14:editId="67AD841D">
            <wp:extent cx="5154316" cy="2181226"/>
            <wp:effectExtent l="0" t="0" r="8255" b="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F7809F6" w14:textId="53F70D9D" w:rsidR="00F13DAF" w:rsidRPr="00CA43B4" w:rsidRDefault="00F13DAF" w:rsidP="00A67D75">
      <w:pPr>
        <w:pStyle w:val="Prrafodelista"/>
        <w:keepNext/>
        <w:tabs>
          <w:tab w:val="left" w:pos="567"/>
          <w:tab w:val="left" w:pos="2268"/>
        </w:tabs>
        <w:spacing w:before="120"/>
        <w:ind w:left="1701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 w:rsidR="00A67D75" w:rsidRPr="00CA43B4">
        <w:rPr>
          <w:rFonts w:ascii="Arial" w:hAnsi="Arial" w:cs="Arial"/>
          <w:bCs/>
          <w:sz w:val="16"/>
          <w:szCs w:val="16"/>
        </w:rPr>
        <w:t xml:space="preserve"> </w:t>
      </w:r>
      <w:r w:rsidRPr="00CA43B4">
        <w:rPr>
          <w:rFonts w:ascii="Arial" w:hAnsi="Arial" w:cs="Arial"/>
          <w:bCs/>
          <w:sz w:val="16"/>
          <w:szCs w:val="16"/>
        </w:rPr>
        <w:t>Estadística</w:t>
      </w:r>
      <w:r w:rsidR="00D20B58">
        <w:rPr>
          <w:rFonts w:ascii="Arial" w:hAnsi="Arial" w:cs="Arial"/>
          <w:bCs/>
          <w:sz w:val="16"/>
          <w:szCs w:val="16"/>
        </w:rPr>
        <w:t>s</w:t>
      </w:r>
      <w:r w:rsidRPr="00CA43B4">
        <w:rPr>
          <w:rFonts w:ascii="Arial" w:hAnsi="Arial" w:cs="Arial"/>
          <w:bCs/>
          <w:sz w:val="16"/>
          <w:szCs w:val="16"/>
        </w:rPr>
        <w:t xml:space="preserve"> de </w:t>
      </w:r>
      <w:r w:rsidR="00A67D75" w:rsidRPr="00CA43B4">
        <w:rPr>
          <w:rFonts w:ascii="Arial" w:hAnsi="Arial" w:cs="Arial"/>
          <w:bCs/>
          <w:sz w:val="16"/>
          <w:szCs w:val="16"/>
        </w:rPr>
        <w:t>D</w:t>
      </w:r>
      <w:r w:rsidRPr="00CA43B4">
        <w:rPr>
          <w:rFonts w:ascii="Arial" w:hAnsi="Arial" w:cs="Arial"/>
          <w:bCs/>
          <w:sz w:val="16"/>
          <w:szCs w:val="16"/>
        </w:rPr>
        <w:t xml:space="preserve">efunciones </w:t>
      </w:r>
      <w:r w:rsidR="00A67D75" w:rsidRPr="00CA43B4">
        <w:rPr>
          <w:rFonts w:ascii="Arial" w:hAnsi="Arial" w:cs="Arial"/>
          <w:bCs/>
          <w:sz w:val="16"/>
          <w:szCs w:val="16"/>
        </w:rPr>
        <w:t>F</w:t>
      </w:r>
      <w:r w:rsidRPr="00CA43B4">
        <w:rPr>
          <w:rFonts w:ascii="Arial" w:hAnsi="Arial" w:cs="Arial"/>
          <w:bCs/>
          <w:sz w:val="16"/>
          <w:szCs w:val="16"/>
        </w:rPr>
        <w:t>etales, 2021</w:t>
      </w:r>
    </w:p>
    <w:p w14:paraId="5A7693F8" w14:textId="77777777" w:rsidR="0042218A" w:rsidRPr="00CA43B4" w:rsidRDefault="0042218A" w:rsidP="0042218A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64B2BB77" w14:textId="77777777" w:rsidR="00D20B58" w:rsidRDefault="00D20B58" w:rsidP="0042218A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0DFFF9CA" w14:textId="77777777" w:rsidR="00D20B58" w:rsidRDefault="00D20B58" w:rsidP="0042218A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4FDDBA11" w14:textId="05A19EA9" w:rsidR="0042218A" w:rsidRPr="00CA43B4" w:rsidRDefault="00476629" w:rsidP="004C3D8B">
      <w:pPr>
        <w:ind w:right="163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lastRenderedPageBreak/>
        <w:t>Respecto a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 la escolaridad de la madre, predomina el nivel de </w:t>
      </w:r>
      <w:r w:rsidR="0042218A" w:rsidRPr="004C3D8B">
        <w:rPr>
          <w:rFonts w:ascii="Arial" w:eastAsia="Calibri" w:hAnsi="Arial" w:cs="Arial"/>
          <w:bCs/>
          <w:i/>
          <w:sz w:val="24"/>
          <w:szCs w:val="24"/>
        </w:rPr>
        <w:t>secundaria</w:t>
      </w:r>
      <w:r w:rsidR="004C3D8B">
        <w:rPr>
          <w:rFonts w:ascii="Arial" w:eastAsia="Calibri" w:hAnsi="Arial" w:cs="Arial"/>
          <w:bCs/>
          <w:iCs/>
          <w:sz w:val="24"/>
          <w:szCs w:val="24"/>
        </w:rPr>
        <w:t>,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3503B6">
        <w:rPr>
          <w:rFonts w:ascii="Arial" w:eastAsia="Calibri" w:hAnsi="Arial" w:cs="Arial"/>
          <w:bCs/>
          <w:sz w:val="24"/>
          <w:szCs w:val="24"/>
        </w:rPr>
        <w:t xml:space="preserve">con </w:t>
      </w:r>
      <w:r w:rsidR="00134369" w:rsidRPr="00CA43B4">
        <w:rPr>
          <w:rFonts w:ascii="Arial" w:eastAsia="Calibri" w:hAnsi="Arial" w:cs="Arial"/>
          <w:bCs/>
          <w:sz w:val="24"/>
          <w:szCs w:val="24"/>
        </w:rPr>
        <w:t>35.5 %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 (</w:t>
      </w:r>
      <w:r w:rsidR="00134369" w:rsidRPr="00CA43B4">
        <w:rPr>
          <w:rFonts w:ascii="Arial" w:eastAsia="Calibri" w:hAnsi="Arial" w:cs="Arial"/>
          <w:bCs/>
          <w:sz w:val="24"/>
          <w:szCs w:val="24"/>
        </w:rPr>
        <w:t xml:space="preserve">8 </w:t>
      </w:r>
      <w:r w:rsidR="006B2860">
        <w:rPr>
          <w:rFonts w:ascii="Arial" w:eastAsia="Calibri" w:hAnsi="Arial" w:cs="Arial"/>
          <w:bCs/>
          <w:sz w:val="24"/>
          <w:szCs w:val="24"/>
        </w:rPr>
        <w:t>179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), </w:t>
      </w:r>
      <w:r w:rsidR="00134369" w:rsidRPr="00CA43B4">
        <w:rPr>
          <w:rFonts w:ascii="Arial" w:eastAsia="Calibri" w:hAnsi="Arial" w:cs="Arial"/>
          <w:bCs/>
          <w:sz w:val="24"/>
          <w:szCs w:val="24"/>
        </w:rPr>
        <w:t xml:space="preserve">seguido de </w:t>
      </w:r>
      <w:r w:rsidR="00134369" w:rsidRPr="004C3D8B">
        <w:rPr>
          <w:rFonts w:ascii="Arial" w:eastAsia="Calibri" w:hAnsi="Arial" w:cs="Arial"/>
          <w:bCs/>
          <w:i/>
          <w:sz w:val="24"/>
          <w:szCs w:val="24"/>
        </w:rPr>
        <w:t>preparatoria</w:t>
      </w:r>
      <w:r w:rsidR="004C3D8B">
        <w:rPr>
          <w:rFonts w:ascii="Arial" w:eastAsia="Calibri" w:hAnsi="Arial" w:cs="Arial"/>
          <w:bCs/>
          <w:iCs/>
          <w:sz w:val="24"/>
          <w:szCs w:val="24"/>
        </w:rPr>
        <w:t>,</w:t>
      </w:r>
      <w:r w:rsidR="00134369" w:rsidRPr="00CA43B4">
        <w:rPr>
          <w:rFonts w:ascii="Arial" w:eastAsia="Calibri" w:hAnsi="Arial" w:cs="Arial"/>
          <w:bCs/>
          <w:sz w:val="24"/>
          <w:szCs w:val="24"/>
        </w:rPr>
        <w:t xml:space="preserve"> con 29.3</w:t>
      </w:r>
      <w:r w:rsidR="001323A1" w:rsidRPr="00CA43B4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 xml:space="preserve">% </w:t>
      </w:r>
      <w:r w:rsidR="00134369" w:rsidRPr="00CA43B4">
        <w:rPr>
          <w:rFonts w:ascii="Arial" w:eastAsia="Calibri" w:hAnsi="Arial" w:cs="Arial"/>
          <w:bCs/>
          <w:sz w:val="24"/>
          <w:szCs w:val="24"/>
        </w:rPr>
        <w:t>(6 73</w:t>
      </w:r>
      <w:r w:rsidR="007A627A">
        <w:rPr>
          <w:rFonts w:ascii="Arial" w:eastAsia="Calibri" w:hAnsi="Arial" w:cs="Arial"/>
          <w:bCs/>
          <w:sz w:val="24"/>
          <w:szCs w:val="24"/>
        </w:rPr>
        <w:t>4</w:t>
      </w:r>
      <w:r w:rsidR="00134369" w:rsidRPr="00CA43B4">
        <w:rPr>
          <w:rFonts w:ascii="Arial" w:eastAsia="Calibri" w:hAnsi="Arial" w:cs="Arial"/>
          <w:bCs/>
          <w:sz w:val="24"/>
          <w:szCs w:val="24"/>
        </w:rPr>
        <w:t>)</w:t>
      </w:r>
      <w:r w:rsidR="00D20B58">
        <w:rPr>
          <w:rFonts w:ascii="Arial" w:eastAsia="Calibri" w:hAnsi="Arial" w:cs="Arial"/>
          <w:bCs/>
          <w:sz w:val="24"/>
          <w:szCs w:val="24"/>
        </w:rPr>
        <w:t>. E</w:t>
      </w:r>
      <w:r w:rsidR="003503B6">
        <w:rPr>
          <w:rFonts w:ascii="Arial" w:eastAsia="Calibri" w:hAnsi="Arial" w:cs="Arial"/>
          <w:bCs/>
          <w:sz w:val="24"/>
          <w:szCs w:val="24"/>
        </w:rPr>
        <w:t>n conjunto representan</w:t>
      </w:r>
      <w:r w:rsidR="00297740" w:rsidRPr="00CA43B4">
        <w:rPr>
          <w:rFonts w:ascii="Arial" w:eastAsia="Calibri" w:hAnsi="Arial" w:cs="Arial"/>
          <w:bCs/>
          <w:sz w:val="24"/>
          <w:szCs w:val="24"/>
        </w:rPr>
        <w:t xml:space="preserve"> 64.8 % del total</w:t>
      </w:r>
      <w:r w:rsidR="0042218A" w:rsidRPr="00CA43B4">
        <w:rPr>
          <w:rFonts w:ascii="Arial" w:eastAsia="Calibri" w:hAnsi="Arial" w:cs="Arial"/>
          <w:bCs/>
          <w:sz w:val="24"/>
          <w:szCs w:val="24"/>
        </w:rPr>
        <w:t>.</w:t>
      </w:r>
    </w:p>
    <w:p w14:paraId="0837ED74" w14:textId="77777777" w:rsidR="0042218A" w:rsidRPr="00CA43B4" w:rsidRDefault="0042218A" w:rsidP="0042218A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480F4A75" w14:textId="0A037483" w:rsidR="00A67D75" w:rsidRPr="00CA43B4" w:rsidRDefault="00A67D75" w:rsidP="0060453A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>Gráfica 1</w:t>
      </w:r>
      <w:r w:rsidR="009E5F4A" w:rsidRPr="00CA43B4">
        <w:rPr>
          <w:sz w:val="20"/>
          <w:szCs w:val="20"/>
        </w:rPr>
        <w:t>7</w:t>
      </w:r>
    </w:p>
    <w:p w14:paraId="649D355C" w14:textId="0C6B0F58" w:rsidR="0042218A" w:rsidRPr="00CA43B4" w:rsidRDefault="0042218A" w:rsidP="0060453A">
      <w:pPr>
        <w:keepNext/>
        <w:jc w:val="center"/>
        <w:rPr>
          <w:rFonts w:ascii="Arial Negrita" w:hAnsi="Arial Negrita" w:cs="Arial"/>
          <w:b/>
          <w:bCs/>
          <w:smallCaps/>
          <w:szCs w:val="20"/>
        </w:rPr>
      </w:pPr>
      <w:r w:rsidRPr="00CA43B4">
        <w:rPr>
          <w:rFonts w:ascii="Arial Negrita" w:hAnsi="Arial Negrita" w:cs="Arial"/>
          <w:b/>
          <w:bCs/>
          <w:smallCaps/>
          <w:szCs w:val="20"/>
        </w:rPr>
        <w:t>Defunciones fetales según nivel de escolaridad de la madre</w:t>
      </w:r>
    </w:p>
    <w:p w14:paraId="2146B293" w14:textId="0834B8E0" w:rsidR="00A67D75" w:rsidRPr="00CA43B4" w:rsidRDefault="00A67D75" w:rsidP="0060453A">
      <w:pPr>
        <w:keepNext/>
        <w:spacing w:after="120"/>
        <w:jc w:val="center"/>
        <w:rPr>
          <w:rFonts w:ascii="Arial" w:hAnsi="Arial" w:cs="Arial"/>
          <w:sz w:val="18"/>
          <w:szCs w:val="16"/>
        </w:rPr>
      </w:pPr>
    </w:p>
    <w:p w14:paraId="034C0718" w14:textId="732A1C8E" w:rsidR="0042218A" w:rsidRPr="00CA43B4" w:rsidRDefault="007A627A" w:rsidP="0060453A">
      <w:pPr>
        <w:keepNext/>
        <w:spacing w:after="120"/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3196603C" wp14:editId="70F6AB58">
            <wp:extent cx="6036837" cy="2439642"/>
            <wp:effectExtent l="0" t="0" r="2540" b="0"/>
            <wp:docPr id="28" name="Gráfico 2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4B2301C0" w14:textId="402CA3D8" w:rsidR="00F13DAF" w:rsidRPr="00CA43B4" w:rsidRDefault="00F13DAF" w:rsidP="0060453A">
      <w:pPr>
        <w:pStyle w:val="Prrafodelista"/>
        <w:keepNext/>
        <w:tabs>
          <w:tab w:val="left" w:pos="567"/>
        </w:tabs>
        <w:ind w:left="426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 w:rsidR="00A67D75" w:rsidRPr="00CA43B4">
        <w:rPr>
          <w:rFonts w:ascii="Arial" w:hAnsi="Arial" w:cs="Arial"/>
          <w:bCs/>
          <w:sz w:val="16"/>
          <w:szCs w:val="16"/>
        </w:rPr>
        <w:t xml:space="preserve"> </w:t>
      </w:r>
      <w:r w:rsidRPr="00CA43B4">
        <w:rPr>
          <w:rFonts w:ascii="Arial" w:hAnsi="Arial" w:cs="Arial"/>
          <w:bCs/>
          <w:sz w:val="16"/>
          <w:szCs w:val="16"/>
        </w:rPr>
        <w:t>Estadística</w:t>
      </w:r>
      <w:r w:rsidR="00D20B58">
        <w:rPr>
          <w:rFonts w:ascii="Arial" w:hAnsi="Arial" w:cs="Arial"/>
          <w:bCs/>
          <w:sz w:val="16"/>
          <w:szCs w:val="16"/>
        </w:rPr>
        <w:t>s</w:t>
      </w:r>
      <w:r w:rsidRPr="00CA43B4">
        <w:rPr>
          <w:rFonts w:ascii="Arial" w:hAnsi="Arial" w:cs="Arial"/>
          <w:bCs/>
          <w:sz w:val="16"/>
          <w:szCs w:val="16"/>
        </w:rPr>
        <w:t xml:space="preserve"> de </w:t>
      </w:r>
      <w:r w:rsidR="00A67D75" w:rsidRPr="00CA43B4">
        <w:rPr>
          <w:rFonts w:ascii="Arial" w:hAnsi="Arial" w:cs="Arial"/>
          <w:bCs/>
          <w:sz w:val="16"/>
          <w:szCs w:val="16"/>
        </w:rPr>
        <w:t>D</w:t>
      </w:r>
      <w:r w:rsidRPr="00CA43B4">
        <w:rPr>
          <w:rFonts w:ascii="Arial" w:hAnsi="Arial" w:cs="Arial"/>
          <w:bCs/>
          <w:sz w:val="16"/>
          <w:szCs w:val="16"/>
        </w:rPr>
        <w:t xml:space="preserve">efunciones </w:t>
      </w:r>
      <w:r w:rsidR="00A67D75" w:rsidRPr="00CA43B4">
        <w:rPr>
          <w:rFonts w:ascii="Arial" w:hAnsi="Arial" w:cs="Arial"/>
          <w:bCs/>
          <w:sz w:val="16"/>
          <w:szCs w:val="16"/>
        </w:rPr>
        <w:t>F</w:t>
      </w:r>
      <w:r w:rsidRPr="00CA43B4">
        <w:rPr>
          <w:rFonts w:ascii="Arial" w:hAnsi="Arial" w:cs="Arial"/>
          <w:bCs/>
          <w:sz w:val="16"/>
          <w:szCs w:val="16"/>
        </w:rPr>
        <w:t>etales, 2021</w:t>
      </w:r>
    </w:p>
    <w:p w14:paraId="16B8C703" w14:textId="77777777" w:rsidR="0042218A" w:rsidRPr="00CA43B4" w:rsidRDefault="0042218A" w:rsidP="0060453A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49B786C6" w14:textId="18E9D079" w:rsidR="0042218A" w:rsidRPr="00CA43B4" w:rsidRDefault="0042218A" w:rsidP="004C3D8B">
      <w:pPr>
        <w:ind w:right="163"/>
        <w:jc w:val="both"/>
        <w:rPr>
          <w:rFonts w:ascii="Arial" w:eastAsia="Calibri" w:hAnsi="Arial" w:cs="Arial"/>
          <w:bCs/>
          <w:sz w:val="24"/>
          <w:szCs w:val="24"/>
        </w:rPr>
      </w:pPr>
      <w:r w:rsidRPr="00CA43B4">
        <w:rPr>
          <w:rFonts w:ascii="Arial" w:hAnsi="Arial" w:cs="Arial"/>
          <w:bCs/>
          <w:sz w:val="24"/>
          <w:szCs w:val="24"/>
        </w:rPr>
        <w:t>E</w:t>
      </w:r>
      <w:r w:rsidR="00D20B58">
        <w:rPr>
          <w:rFonts w:ascii="Arial" w:hAnsi="Arial" w:cs="Arial"/>
          <w:bCs/>
          <w:sz w:val="24"/>
          <w:szCs w:val="24"/>
        </w:rPr>
        <w:t xml:space="preserve">n 2021, de las mujeres con un embarazo que terminó con la muerte del producto, </w:t>
      </w:r>
      <w:r w:rsidRPr="00CA43B4">
        <w:rPr>
          <w:rFonts w:ascii="Arial" w:hAnsi="Arial" w:cs="Arial"/>
          <w:bCs/>
          <w:sz w:val="24"/>
          <w:szCs w:val="24"/>
        </w:rPr>
        <w:t>6</w:t>
      </w:r>
      <w:r w:rsidR="00297740" w:rsidRPr="00CA43B4">
        <w:rPr>
          <w:rFonts w:ascii="Arial" w:hAnsi="Arial" w:cs="Arial"/>
          <w:bCs/>
          <w:sz w:val="24"/>
          <w:szCs w:val="24"/>
        </w:rPr>
        <w:t>8</w:t>
      </w:r>
      <w:r w:rsidRPr="00CA43B4">
        <w:rPr>
          <w:rFonts w:ascii="Arial" w:hAnsi="Arial" w:cs="Arial"/>
          <w:bCs/>
          <w:sz w:val="24"/>
          <w:szCs w:val="24"/>
        </w:rPr>
        <w:t>.</w:t>
      </w:r>
      <w:r w:rsidR="00C65DED">
        <w:rPr>
          <w:rFonts w:ascii="Arial" w:hAnsi="Arial" w:cs="Arial"/>
          <w:bCs/>
          <w:sz w:val="24"/>
          <w:szCs w:val="24"/>
        </w:rPr>
        <w:t>4</w:t>
      </w:r>
      <w:r w:rsidR="001323A1" w:rsidRPr="00CA43B4">
        <w:rPr>
          <w:rFonts w:ascii="Arial" w:hAnsi="Arial" w:cs="Arial"/>
          <w:bCs/>
          <w:sz w:val="24"/>
          <w:szCs w:val="24"/>
        </w:rPr>
        <w:t xml:space="preserve"> </w:t>
      </w:r>
      <w:r w:rsidRPr="00CA43B4">
        <w:rPr>
          <w:rFonts w:ascii="Arial" w:hAnsi="Arial" w:cs="Arial"/>
          <w:bCs/>
          <w:sz w:val="24"/>
          <w:szCs w:val="24"/>
        </w:rPr>
        <w:t xml:space="preserve">% declaró que </w:t>
      </w:r>
      <w:r w:rsidRPr="00A61F0B">
        <w:rPr>
          <w:rFonts w:ascii="Arial" w:hAnsi="Arial" w:cs="Arial"/>
          <w:bCs/>
          <w:i/>
          <w:iCs/>
          <w:sz w:val="24"/>
          <w:szCs w:val="24"/>
        </w:rPr>
        <w:t>no trabajaba</w:t>
      </w:r>
      <w:r w:rsidRPr="00CA43B4">
        <w:rPr>
          <w:rFonts w:ascii="Arial" w:hAnsi="Arial" w:cs="Arial"/>
          <w:bCs/>
          <w:sz w:val="24"/>
          <w:szCs w:val="24"/>
        </w:rPr>
        <w:t>, 2</w:t>
      </w:r>
      <w:r w:rsidR="00297740" w:rsidRPr="00CA43B4">
        <w:rPr>
          <w:rFonts w:ascii="Arial" w:hAnsi="Arial" w:cs="Arial"/>
          <w:bCs/>
          <w:sz w:val="24"/>
          <w:szCs w:val="24"/>
        </w:rPr>
        <w:t>7.9</w:t>
      </w:r>
      <w:r w:rsidR="001323A1" w:rsidRPr="00CA43B4">
        <w:rPr>
          <w:rFonts w:ascii="Arial" w:hAnsi="Arial" w:cs="Arial"/>
          <w:bCs/>
          <w:sz w:val="24"/>
          <w:szCs w:val="24"/>
        </w:rPr>
        <w:t xml:space="preserve"> </w:t>
      </w:r>
      <w:r w:rsidRPr="00CA43B4">
        <w:rPr>
          <w:rFonts w:ascii="Arial" w:hAnsi="Arial" w:cs="Arial"/>
          <w:bCs/>
          <w:sz w:val="24"/>
          <w:szCs w:val="24"/>
        </w:rPr>
        <w:t xml:space="preserve">% </w:t>
      </w:r>
      <w:r w:rsidRPr="00A61F0B">
        <w:rPr>
          <w:rFonts w:ascii="Arial" w:hAnsi="Arial" w:cs="Arial"/>
          <w:bCs/>
          <w:i/>
          <w:iCs/>
          <w:sz w:val="24"/>
          <w:szCs w:val="24"/>
        </w:rPr>
        <w:t>sí lo hacía</w:t>
      </w:r>
      <w:r w:rsidRPr="00CA43B4">
        <w:rPr>
          <w:rFonts w:ascii="Arial" w:hAnsi="Arial" w:cs="Arial"/>
          <w:bCs/>
          <w:sz w:val="24"/>
          <w:szCs w:val="24"/>
        </w:rPr>
        <w:t xml:space="preserve"> y </w:t>
      </w:r>
      <w:r w:rsidR="00297740" w:rsidRPr="00CA43B4">
        <w:rPr>
          <w:rFonts w:ascii="Arial" w:hAnsi="Arial" w:cs="Arial"/>
          <w:bCs/>
          <w:sz w:val="24"/>
          <w:szCs w:val="24"/>
        </w:rPr>
        <w:t>3.</w:t>
      </w:r>
      <w:r w:rsidR="00C65DED">
        <w:rPr>
          <w:rFonts w:ascii="Arial" w:hAnsi="Arial" w:cs="Arial"/>
          <w:bCs/>
          <w:sz w:val="24"/>
          <w:szCs w:val="24"/>
        </w:rPr>
        <w:t>7</w:t>
      </w:r>
      <w:r w:rsidR="001323A1" w:rsidRPr="00CA43B4">
        <w:rPr>
          <w:rFonts w:ascii="Arial" w:hAnsi="Arial" w:cs="Arial"/>
          <w:bCs/>
          <w:sz w:val="24"/>
          <w:szCs w:val="24"/>
        </w:rPr>
        <w:t xml:space="preserve"> </w:t>
      </w:r>
      <w:r w:rsidRPr="00CA43B4">
        <w:rPr>
          <w:rFonts w:ascii="Arial" w:hAnsi="Arial" w:cs="Arial"/>
          <w:bCs/>
          <w:sz w:val="24"/>
          <w:szCs w:val="24"/>
        </w:rPr>
        <w:t xml:space="preserve">% </w:t>
      </w:r>
      <w:r w:rsidRPr="00A61F0B">
        <w:rPr>
          <w:rFonts w:ascii="Arial" w:hAnsi="Arial" w:cs="Arial"/>
          <w:bCs/>
          <w:i/>
          <w:iCs/>
          <w:sz w:val="24"/>
          <w:szCs w:val="24"/>
        </w:rPr>
        <w:t>no lo especificó</w:t>
      </w:r>
      <w:r w:rsidRPr="00CA43B4">
        <w:rPr>
          <w:rFonts w:ascii="Arial" w:hAnsi="Arial" w:cs="Arial"/>
          <w:bCs/>
          <w:sz w:val="24"/>
          <w:szCs w:val="24"/>
        </w:rPr>
        <w:t>.</w:t>
      </w:r>
    </w:p>
    <w:p w14:paraId="20BA2BC1" w14:textId="77777777" w:rsidR="0042218A" w:rsidRPr="00CA43B4" w:rsidRDefault="0042218A" w:rsidP="00396299">
      <w:pPr>
        <w:keepNext/>
        <w:jc w:val="both"/>
        <w:rPr>
          <w:rFonts w:ascii="Arial" w:eastAsia="Calibri" w:hAnsi="Arial" w:cs="Arial"/>
          <w:bCs/>
          <w:sz w:val="24"/>
          <w:szCs w:val="24"/>
        </w:rPr>
      </w:pPr>
    </w:p>
    <w:p w14:paraId="7F484C67" w14:textId="38BD87BA" w:rsidR="0060453A" w:rsidRPr="00CA43B4" w:rsidRDefault="0060453A" w:rsidP="00396299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>Gráfica 1</w:t>
      </w:r>
      <w:r w:rsidR="009E5F4A" w:rsidRPr="00CA43B4">
        <w:rPr>
          <w:sz w:val="20"/>
          <w:szCs w:val="20"/>
        </w:rPr>
        <w:t>8</w:t>
      </w:r>
    </w:p>
    <w:p w14:paraId="212D4C14" w14:textId="4D9E03DE" w:rsidR="0042218A" w:rsidRPr="00CA43B4" w:rsidRDefault="0042218A" w:rsidP="00396299">
      <w:pPr>
        <w:keepNext/>
        <w:jc w:val="center"/>
        <w:rPr>
          <w:rFonts w:ascii="Arial Negrita" w:hAnsi="Arial Negrita" w:cs="Arial"/>
          <w:b/>
          <w:bCs/>
          <w:smallCaps/>
          <w:szCs w:val="20"/>
        </w:rPr>
      </w:pPr>
      <w:r w:rsidRPr="00CA43B4">
        <w:rPr>
          <w:rFonts w:ascii="Arial Negrita" w:hAnsi="Arial Negrita" w:cs="Arial"/>
          <w:b/>
          <w:bCs/>
          <w:smallCaps/>
          <w:szCs w:val="20"/>
        </w:rPr>
        <w:t>Defunciones fetales según condición de actividad</w:t>
      </w:r>
      <w:r w:rsidRPr="00CA43B4">
        <w:rPr>
          <w:rFonts w:ascii="Arial Negrita" w:hAnsi="Arial Negrita" w:cs="Arial"/>
          <w:b/>
          <w:bCs/>
          <w:smallCaps/>
          <w:szCs w:val="20"/>
        </w:rPr>
        <w:br/>
        <w:t>económica de la madre</w:t>
      </w:r>
    </w:p>
    <w:p w14:paraId="2C5EEE45" w14:textId="69A52BC2" w:rsidR="0060453A" w:rsidRPr="00CA43B4" w:rsidRDefault="0060453A" w:rsidP="00396299">
      <w:pPr>
        <w:keepNext/>
        <w:spacing w:after="120"/>
        <w:jc w:val="center"/>
        <w:rPr>
          <w:rFonts w:ascii="Arial" w:hAnsi="Arial" w:cs="Arial"/>
          <w:sz w:val="18"/>
          <w:szCs w:val="16"/>
        </w:rPr>
      </w:pPr>
    </w:p>
    <w:p w14:paraId="78BBA0C0" w14:textId="4A5C6DB1" w:rsidR="0042218A" w:rsidRPr="00CA43B4" w:rsidRDefault="00C65DED" w:rsidP="00396299">
      <w:pPr>
        <w:keepNext/>
        <w:spacing w:after="120"/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56E8EB21" wp14:editId="409123EF">
            <wp:extent cx="3981450" cy="1952626"/>
            <wp:effectExtent l="0" t="0" r="0" b="0"/>
            <wp:docPr id="29" name="Gráfico 2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72A3BFA3" w14:textId="2B3FC839" w:rsidR="00F13DAF" w:rsidRDefault="00F13DAF" w:rsidP="00384872">
      <w:pPr>
        <w:pStyle w:val="Prrafodelista"/>
        <w:keepNext/>
        <w:tabs>
          <w:tab w:val="left" w:pos="567"/>
          <w:tab w:val="left" w:pos="2977"/>
        </w:tabs>
        <w:ind w:left="2410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 w:rsidR="00396299" w:rsidRPr="00CA43B4">
        <w:rPr>
          <w:rFonts w:ascii="Arial" w:hAnsi="Arial" w:cs="Arial"/>
          <w:bCs/>
          <w:sz w:val="16"/>
          <w:szCs w:val="16"/>
        </w:rPr>
        <w:t xml:space="preserve"> </w:t>
      </w:r>
      <w:r w:rsidRPr="00CA43B4">
        <w:rPr>
          <w:rFonts w:ascii="Arial" w:hAnsi="Arial" w:cs="Arial"/>
          <w:bCs/>
          <w:sz w:val="16"/>
          <w:szCs w:val="16"/>
        </w:rPr>
        <w:t>Estadística</w:t>
      </w:r>
      <w:r w:rsidR="00D20B58">
        <w:rPr>
          <w:rFonts w:ascii="Arial" w:hAnsi="Arial" w:cs="Arial"/>
          <w:bCs/>
          <w:sz w:val="16"/>
          <w:szCs w:val="16"/>
        </w:rPr>
        <w:t>s</w:t>
      </w:r>
      <w:r w:rsidRPr="00CA43B4">
        <w:rPr>
          <w:rFonts w:ascii="Arial" w:hAnsi="Arial" w:cs="Arial"/>
          <w:bCs/>
          <w:sz w:val="16"/>
          <w:szCs w:val="16"/>
        </w:rPr>
        <w:t xml:space="preserve"> de </w:t>
      </w:r>
      <w:r w:rsidR="00396299" w:rsidRPr="00CA43B4">
        <w:rPr>
          <w:rFonts w:ascii="Arial" w:hAnsi="Arial" w:cs="Arial"/>
          <w:bCs/>
          <w:sz w:val="16"/>
          <w:szCs w:val="16"/>
        </w:rPr>
        <w:t>D</w:t>
      </w:r>
      <w:r w:rsidRPr="00CA43B4">
        <w:rPr>
          <w:rFonts w:ascii="Arial" w:hAnsi="Arial" w:cs="Arial"/>
          <w:bCs/>
          <w:sz w:val="16"/>
          <w:szCs w:val="16"/>
        </w:rPr>
        <w:t xml:space="preserve">efunciones </w:t>
      </w:r>
      <w:r w:rsidR="00396299" w:rsidRPr="00CA43B4">
        <w:rPr>
          <w:rFonts w:ascii="Arial" w:hAnsi="Arial" w:cs="Arial"/>
          <w:bCs/>
          <w:sz w:val="16"/>
          <w:szCs w:val="16"/>
        </w:rPr>
        <w:t>F</w:t>
      </w:r>
      <w:r w:rsidRPr="00CA43B4">
        <w:rPr>
          <w:rFonts w:ascii="Arial" w:hAnsi="Arial" w:cs="Arial"/>
          <w:bCs/>
          <w:sz w:val="16"/>
          <w:szCs w:val="16"/>
        </w:rPr>
        <w:t>etales, 2021</w:t>
      </w:r>
    </w:p>
    <w:p w14:paraId="48F0FFA8" w14:textId="77777777" w:rsidR="00384872" w:rsidRPr="00CA43B4" w:rsidRDefault="00384872">
      <w:pPr>
        <w:pStyle w:val="Prrafodelista"/>
        <w:keepNext/>
        <w:tabs>
          <w:tab w:val="left" w:pos="567"/>
          <w:tab w:val="left" w:pos="2977"/>
        </w:tabs>
        <w:ind w:left="2410"/>
        <w:jc w:val="both"/>
        <w:rPr>
          <w:rFonts w:ascii="Arial" w:hAnsi="Arial" w:cs="Arial"/>
          <w:bCs/>
          <w:sz w:val="16"/>
          <w:szCs w:val="16"/>
        </w:rPr>
      </w:pPr>
    </w:p>
    <w:p w14:paraId="5495516C" w14:textId="5311C359" w:rsidR="0072081B" w:rsidRPr="004C3D8B" w:rsidRDefault="0072081B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4C3D8B">
        <w:rPr>
          <w:rFonts w:ascii="Arial" w:hAnsi="Arial" w:cs="Arial"/>
        </w:rPr>
        <w:t xml:space="preserve">Para consultas de medios y periodistas, </w:t>
      </w:r>
      <w:r w:rsidR="004C3D8B">
        <w:rPr>
          <w:rFonts w:ascii="Arial" w:hAnsi="Arial" w:cs="Arial"/>
        </w:rPr>
        <w:t>escribir</w:t>
      </w:r>
      <w:r w:rsidRPr="004C3D8B">
        <w:rPr>
          <w:rFonts w:ascii="Arial" w:hAnsi="Arial" w:cs="Arial"/>
        </w:rPr>
        <w:t xml:space="preserve"> a: </w:t>
      </w:r>
      <w:hyperlink r:id="rId28" w:history="1">
        <w:r w:rsidRPr="004C3D8B">
          <w:rPr>
            <w:rStyle w:val="Hipervnculo"/>
            <w:rFonts w:ascii="Arial" w:hAnsi="Arial" w:cs="Arial"/>
          </w:rPr>
          <w:t>comunicacionsocial@inegi.org.mx</w:t>
        </w:r>
      </w:hyperlink>
      <w:r w:rsidRPr="004C3D8B">
        <w:rPr>
          <w:rFonts w:ascii="Arial" w:hAnsi="Arial" w:cs="Arial"/>
        </w:rPr>
        <w:t xml:space="preserve"> </w:t>
      </w:r>
    </w:p>
    <w:p w14:paraId="7F61867B" w14:textId="77777777" w:rsidR="0072081B" w:rsidRPr="004C3D8B" w:rsidRDefault="0072081B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4C3D8B">
        <w:rPr>
          <w:rFonts w:ascii="Arial" w:hAnsi="Arial" w:cs="Arial"/>
        </w:rPr>
        <w:t xml:space="preserve">o llamar al teléfono (55) 52-78-10-00, </w:t>
      </w:r>
      <w:proofErr w:type="spellStart"/>
      <w:r w:rsidRPr="004C3D8B">
        <w:rPr>
          <w:rFonts w:ascii="Arial" w:hAnsi="Arial" w:cs="Arial"/>
        </w:rPr>
        <w:t>exts</w:t>
      </w:r>
      <w:proofErr w:type="spellEnd"/>
      <w:r w:rsidRPr="004C3D8B">
        <w:rPr>
          <w:rFonts w:ascii="Arial" w:hAnsi="Arial" w:cs="Arial"/>
        </w:rPr>
        <w:t>. 1134, 1260 y 1241.</w:t>
      </w:r>
    </w:p>
    <w:p w14:paraId="1AEFDEED" w14:textId="64ADAB8B" w:rsidR="0072081B" w:rsidRPr="004C3D8B" w:rsidRDefault="0072081B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4C3D8B">
        <w:rPr>
          <w:rFonts w:ascii="Arial" w:hAnsi="Arial" w:cs="Arial"/>
        </w:rPr>
        <w:t>Dirección de Atención a Medios/</w:t>
      </w:r>
      <w:r w:rsidR="004C3D8B">
        <w:rPr>
          <w:rFonts w:ascii="Arial" w:hAnsi="Arial" w:cs="Arial"/>
        </w:rPr>
        <w:t xml:space="preserve"> </w:t>
      </w:r>
      <w:r w:rsidRPr="004C3D8B">
        <w:rPr>
          <w:rFonts w:ascii="Arial" w:hAnsi="Arial" w:cs="Arial"/>
        </w:rPr>
        <w:t>Dirección General Adjunta de Comunicación</w:t>
      </w:r>
    </w:p>
    <w:p w14:paraId="7F47DE3F" w14:textId="77777777" w:rsidR="0072081B" w:rsidRPr="00CA43B4" w:rsidRDefault="0072081B" w:rsidP="0072081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032600EA" w14:textId="77777777" w:rsidR="0072081B" w:rsidRPr="00CA43B4" w:rsidRDefault="0072081B" w:rsidP="0072081B">
      <w:pPr>
        <w:pStyle w:val="NormalWeb"/>
        <w:spacing w:before="0" w:beforeAutospacing="0" w:after="0" w:afterAutospacing="0"/>
        <w:jc w:val="center"/>
        <w:rPr>
          <w:noProof/>
        </w:rPr>
      </w:pPr>
      <w:r w:rsidRPr="00CA43B4">
        <w:rPr>
          <w:noProof/>
        </w:rPr>
        <w:drawing>
          <wp:inline distT="0" distB="0" distL="0" distR="0" wp14:anchorId="63FDC561" wp14:editId="198A192C">
            <wp:extent cx="266700" cy="278296"/>
            <wp:effectExtent l="0" t="0" r="0" b="7620"/>
            <wp:docPr id="3" name="Imagen 3" descr="C:\Users\saladeprensa\Desktop\NVOS LOGOS\F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14" cy="27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3B4">
        <w:rPr>
          <w:noProof/>
        </w:rPr>
        <w:t xml:space="preserve"> </w:t>
      </w:r>
      <w:r w:rsidRPr="00CA43B4">
        <w:rPr>
          <w:noProof/>
        </w:rPr>
        <w:drawing>
          <wp:inline distT="0" distB="0" distL="0" distR="0" wp14:anchorId="61F46BEC" wp14:editId="78DD2CC0">
            <wp:extent cx="285750" cy="285750"/>
            <wp:effectExtent l="0" t="0" r="0" b="0"/>
            <wp:docPr id="4" name="Imagen 4" descr="C:\Users\saladeprensa\Desktop\NVOS LOGOS\I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3B4">
        <w:rPr>
          <w:noProof/>
        </w:rPr>
        <w:t xml:space="preserve"> </w:t>
      </w:r>
      <w:r w:rsidRPr="00CA43B4">
        <w:rPr>
          <w:noProof/>
        </w:rPr>
        <w:drawing>
          <wp:inline distT="0" distB="0" distL="0" distR="0" wp14:anchorId="580AB0CB" wp14:editId="2D2D3D14">
            <wp:extent cx="276225" cy="276225"/>
            <wp:effectExtent l="0" t="0" r="9525" b="9525"/>
            <wp:docPr id="16" name="Imagen 16" descr="C:\Users\saladeprensa\Desktop\NVOS LOGOS\T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3B4">
        <w:rPr>
          <w:noProof/>
        </w:rPr>
        <w:t xml:space="preserve"> </w:t>
      </w:r>
      <w:r w:rsidRPr="00CA43B4">
        <w:rPr>
          <w:noProof/>
        </w:rPr>
        <w:drawing>
          <wp:inline distT="0" distB="0" distL="0" distR="0" wp14:anchorId="3B8D003B" wp14:editId="2B4EBAB7">
            <wp:extent cx="285750" cy="285750"/>
            <wp:effectExtent l="0" t="0" r="0" b="0"/>
            <wp:docPr id="17" name="Imagen 17" descr="C:\Users\saladeprensa\Desktop\NVOS LOGOS\Y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3B4">
        <w:rPr>
          <w:noProof/>
        </w:rPr>
        <w:t xml:space="preserve">  </w:t>
      </w:r>
      <w:r w:rsidRPr="00CA43B4">
        <w:rPr>
          <w:noProof/>
          <w:sz w:val="14"/>
          <w:szCs w:val="18"/>
        </w:rPr>
        <w:drawing>
          <wp:inline distT="0" distB="0" distL="0" distR="0" wp14:anchorId="065DCBCF" wp14:editId="5760890F">
            <wp:extent cx="2291293" cy="274955"/>
            <wp:effectExtent l="0" t="0" r="0" b="0"/>
            <wp:docPr id="18" name="Imagen 18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128" cy="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C34A6" w14:textId="77777777" w:rsidR="0042218A" w:rsidRPr="00CA43B4" w:rsidRDefault="0042218A">
      <w:pPr>
        <w:rPr>
          <w:rFonts w:ascii="Arial" w:hAnsi="Arial" w:cs="Arial"/>
          <w:b/>
          <w:color w:val="231F20"/>
          <w:sz w:val="24"/>
          <w:szCs w:val="24"/>
        </w:rPr>
        <w:sectPr w:rsidR="0042218A" w:rsidRPr="00CA43B4" w:rsidSect="004C3D8B">
          <w:headerReference w:type="default" r:id="rId39"/>
          <w:footerReference w:type="default" r:id="rId40"/>
          <w:pgSz w:w="12240" w:h="15840"/>
          <w:pgMar w:top="1843" w:right="1020" w:bottom="568" w:left="1134" w:header="510" w:footer="439" w:gutter="0"/>
          <w:pgNumType w:start="1"/>
          <w:cols w:space="720"/>
        </w:sectPr>
      </w:pPr>
    </w:p>
    <w:p w14:paraId="3EFA3A1E" w14:textId="77777777" w:rsidR="0072081B" w:rsidRPr="00CA43B4" w:rsidRDefault="0072081B" w:rsidP="004C3D8B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sz w:val="24"/>
          <w:szCs w:val="24"/>
        </w:rPr>
      </w:pPr>
      <w:r w:rsidRPr="00CA43B4">
        <w:rPr>
          <w:rFonts w:ascii="Arial" w:hAnsi="Arial" w:cs="Arial"/>
          <w:b/>
          <w:sz w:val="24"/>
          <w:szCs w:val="24"/>
        </w:rPr>
        <w:lastRenderedPageBreak/>
        <w:t>ANEXO 1</w:t>
      </w:r>
    </w:p>
    <w:p w14:paraId="20946917" w14:textId="77777777" w:rsidR="0072081B" w:rsidRPr="00CA43B4" w:rsidRDefault="0072081B" w:rsidP="004C3D8B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sz w:val="24"/>
          <w:szCs w:val="24"/>
        </w:rPr>
      </w:pPr>
    </w:p>
    <w:p w14:paraId="320C79E1" w14:textId="77777777" w:rsidR="0042218A" w:rsidRPr="00CA43B4" w:rsidRDefault="0042218A" w:rsidP="004C3D8B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color w:val="231F20"/>
          <w:sz w:val="24"/>
          <w:szCs w:val="24"/>
        </w:rPr>
      </w:pPr>
      <w:r w:rsidRPr="00CA43B4">
        <w:rPr>
          <w:rFonts w:ascii="Arial" w:hAnsi="Arial" w:cs="Arial"/>
          <w:b/>
          <w:color w:val="231F20"/>
          <w:sz w:val="24"/>
          <w:szCs w:val="24"/>
        </w:rPr>
        <w:t>NOTA TÉCNICA</w:t>
      </w:r>
    </w:p>
    <w:p w14:paraId="23AC81B6" w14:textId="77777777" w:rsidR="0042218A" w:rsidRPr="00CA43B4" w:rsidRDefault="0042218A" w:rsidP="004C3D8B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67BC7BDA" w14:textId="1A7DFA32" w:rsidR="0072081B" w:rsidRPr="00CA43B4" w:rsidRDefault="0072081B" w:rsidP="004C3D8B">
      <w:pPr>
        <w:shd w:val="clear" w:color="auto" w:fill="FFFFFF" w:themeFill="background1"/>
        <w:autoSpaceDE w:val="0"/>
        <w:autoSpaceDN w:val="0"/>
        <w:adjustRightInd w:val="0"/>
        <w:ind w:right="163"/>
        <w:jc w:val="both"/>
        <w:rPr>
          <w:rFonts w:ascii="Arial Negrita" w:eastAsia="+mn-ea" w:hAnsi="Arial Negrita" w:cs="Arial"/>
          <w:b/>
          <w:smallCaps/>
          <w:kern w:val="24"/>
          <w:sz w:val="24"/>
          <w:szCs w:val="24"/>
        </w:rPr>
      </w:pPr>
      <w:r w:rsidRPr="00CA43B4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Objetivo de la</w:t>
      </w:r>
      <w:r w:rsidR="00384872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s</w:t>
      </w:r>
      <w:r w:rsidRPr="00CA43B4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 xml:space="preserve"> </w:t>
      </w:r>
      <w:r w:rsidR="00384872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E</w:t>
      </w:r>
      <w:r w:rsidRPr="00CA43B4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stadística</w:t>
      </w:r>
      <w:r w:rsidR="007D35B1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s</w:t>
      </w:r>
      <w:r w:rsidRPr="00CA43B4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 xml:space="preserve"> de </w:t>
      </w:r>
      <w:r w:rsidR="00384872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D</w:t>
      </w:r>
      <w:r w:rsidRPr="00CA43B4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 xml:space="preserve">efunciones </w:t>
      </w:r>
      <w:r w:rsidR="00384872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F</w:t>
      </w:r>
      <w:r w:rsidRPr="00CA43B4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etales</w:t>
      </w:r>
      <w:r w:rsidR="00C33A9D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 xml:space="preserve"> (EDF)</w:t>
      </w:r>
    </w:p>
    <w:p w14:paraId="44E856CD" w14:textId="77777777" w:rsidR="0072081B" w:rsidRPr="00CA43B4" w:rsidRDefault="0072081B" w:rsidP="004C3D8B">
      <w:pPr>
        <w:autoSpaceDE w:val="0"/>
        <w:autoSpaceDN w:val="0"/>
        <w:adjustRightInd w:val="0"/>
        <w:ind w:right="163"/>
        <w:jc w:val="both"/>
        <w:rPr>
          <w:rFonts w:ascii="Arial" w:eastAsia="+mn-ea" w:hAnsi="Arial" w:cs="Arial"/>
          <w:b/>
          <w:color w:val="000000"/>
          <w:kern w:val="24"/>
          <w:sz w:val="24"/>
          <w:szCs w:val="24"/>
        </w:rPr>
      </w:pPr>
    </w:p>
    <w:p w14:paraId="2056D2F0" w14:textId="523EEB47" w:rsidR="0072081B" w:rsidRPr="00CA43B4" w:rsidRDefault="0072081B" w:rsidP="004C3D8B">
      <w:pPr>
        <w:autoSpaceDE w:val="0"/>
        <w:autoSpaceDN w:val="0"/>
        <w:adjustRightInd w:val="0"/>
        <w:ind w:right="163"/>
        <w:jc w:val="both"/>
        <w:rPr>
          <w:rFonts w:ascii="Arial" w:eastAsia="+mn-ea" w:hAnsi="Arial" w:cs="Arial"/>
          <w:color w:val="000000"/>
          <w:kern w:val="24"/>
          <w:sz w:val="24"/>
          <w:szCs w:val="24"/>
        </w:rPr>
      </w:pPr>
      <w:r w:rsidRPr="00CA43B4">
        <w:rPr>
          <w:rFonts w:ascii="Arial" w:eastAsia="+mn-ea" w:hAnsi="Arial" w:cs="Arial"/>
          <w:color w:val="000000"/>
          <w:kern w:val="24"/>
          <w:sz w:val="24"/>
          <w:szCs w:val="24"/>
        </w:rPr>
        <w:t>Generar y difundir la información sobre el fenómeno de la mortalidad fetal registrada en el país, a partir del aprovechamiento de los registros administrativos de organismos e instituciones</w:t>
      </w:r>
      <w:r w:rsidR="00C33A9D">
        <w:rPr>
          <w:rFonts w:ascii="Arial" w:eastAsia="+mn-ea" w:hAnsi="Arial" w:cs="Arial"/>
          <w:color w:val="000000"/>
          <w:kern w:val="24"/>
          <w:sz w:val="24"/>
          <w:szCs w:val="24"/>
        </w:rPr>
        <w:t>.</w:t>
      </w:r>
      <w:r w:rsidR="004C3D8B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Lo anterior </w:t>
      </w:r>
      <w:r w:rsidRPr="00CA43B4">
        <w:rPr>
          <w:rFonts w:ascii="Arial" w:eastAsia="+mn-ea" w:hAnsi="Arial" w:cs="Arial"/>
          <w:color w:val="000000"/>
          <w:kern w:val="24"/>
          <w:sz w:val="24"/>
          <w:szCs w:val="24"/>
        </w:rPr>
        <w:t>permite conocer y comparar el volumen, tendencias y características de este hecho demográfico en los diferentes ámbitos geográficos del país</w:t>
      </w:r>
      <w:r w:rsidR="004C3D8B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para </w:t>
      </w:r>
      <w:r w:rsidRPr="00CA43B4">
        <w:rPr>
          <w:rFonts w:ascii="Arial" w:eastAsia="+mn-ea" w:hAnsi="Arial" w:cs="Arial"/>
          <w:color w:val="000000"/>
          <w:kern w:val="24"/>
          <w:sz w:val="24"/>
          <w:szCs w:val="24"/>
        </w:rPr>
        <w:t>contar con un insumo para el análisis y evaluación de acciones dirigidas a la elaboración de programas de salud materno infantil.</w:t>
      </w:r>
    </w:p>
    <w:p w14:paraId="3DE6FA35" w14:textId="77777777" w:rsidR="0072081B" w:rsidRPr="00CA43B4" w:rsidRDefault="0072081B" w:rsidP="004C3D8B">
      <w:pPr>
        <w:autoSpaceDE w:val="0"/>
        <w:autoSpaceDN w:val="0"/>
        <w:adjustRightInd w:val="0"/>
        <w:ind w:right="163"/>
        <w:jc w:val="both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14:paraId="4097B454" w14:textId="77777777" w:rsidR="00A94252" w:rsidRPr="00CA43B4" w:rsidRDefault="00A94252" w:rsidP="004C3D8B">
      <w:pPr>
        <w:shd w:val="clear" w:color="auto" w:fill="FFFFFF" w:themeFill="background1"/>
        <w:autoSpaceDE w:val="0"/>
        <w:autoSpaceDN w:val="0"/>
        <w:adjustRightInd w:val="0"/>
        <w:ind w:right="163"/>
        <w:jc w:val="both"/>
        <w:rPr>
          <w:rFonts w:ascii="Arial Negrita" w:eastAsia="+mn-ea" w:hAnsi="Arial Negrita" w:cs="Arial"/>
          <w:b/>
          <w:smallCaps/>
          <w:kern w:val="24"/>
          <w:sz w:val="24"/>
          <w:szCs w:val="24"/>
        </w:rPr>
      </w:pPr>
      <w:r w:rsidRPr="00CA43B4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Contenido</w:t>
      </w:r>
    </w:p>
    <w:p w14:paraId="16EDD688" w14:textId="77777777" w:rsidR="00A94252" w:rsidRPr="00CA43B4" w:rsidRDefault="00A94252" w:rsidP="004C3D8B">
      <w:pPr>
        <w:ind w:right="163"/>
        <w:jc w:val="both"/>
        <w:rPr>
          <w:rFonts w:ascii="Arial" w:eastAsia="Calibri" w:hAnsi="Arial" w:cs="Arial"/>
          <w:b/>
          <w:sz w:val="24"/>
          <w:szCs w:val="24"/>
        </w:rPr>
      </w:pPr>
    </w:p>
    <w:p w14:paraId="3D4BD4FB" w14:textId="6CC279B5" w:rsidR="00A94252" w:rsidRPr="00CA43B4" w:rsidRDefault="00A94252" w:rsidP="004C3D8B">
      <w:pPr>
        <w:ind w:right="163"/>
        <w:jc w:val="both"/>
        <w:rPr>
          <w:rFonts w:ascii="Arial" w:eastAsia="Calibri" w:hAnsi="Arial" w:cs="Arial"/>
          <w:sz w:val="24"/>
          <w:szCs w:val="24"/>
        </w:rPr>
      </w:pPr>
      <w:r w:rsidRPr="00CA43B4">
        <w:rPr>
          <w:rFonts w:ascii="Arial" w:eastAsia="Calibri" w:hAnsi="Arial" w:cs="Arial"/>
          <w:sz w:val="24"/>
          <w:szCs w:val="24"/>
        </w:rPr>
        <w:t xml:space="preserve">Las </w:t>
      </w:r>
      <w:r w:rsidR="00384872">
        <w:rPr>
          <w:rFonts w:ascii="Arial" w:eastAsia="Calibri" w:hAnsi="Arial" w:cs="Arial"/>
          <w:sz w:val="24"/>
          <w:szCs w:val="24"/>
        </w:rPr>
        <w:t>EDF</w:t>
      </w:r>
      <w:r w:rsidRPr="00CA43B4">
        <w:rPr>
          <w:rFonts w:ascii="Arial" w:eastAsia="Calibri" w:hAnsi="Arial" w:cs="Arial"/>
          <w:sz w:val="24"/>
          <w:szCs w:val="24"/>
        </w:rPr>
        <w:t xml:space="preserve"> proporcionan información de la mortalidad fetal y sus causas</w:t>
      </w:r>
      <w:r w:rsidR="00CF116F">
        <w:rPr>
          <w:rFonts w:ascii="Arial" w:eastAsia="Calibri" w:hAnsi="Arial" w:cs="Arial"/>
          <w:sz w:val="24"/>
          <w:szCs w:val="24"/>
        </w:rPr>
        <w:t xml:space="preserve"> (codificadas con base en la Clasificación Estadística Internacional de Enfermedades y Problemas Relacionados con la Salud, Décima Revisión </w:t>
      </w:r>
      <w:r w:rsidR="004C3D8B">
        <w:rPr>
          <w:rFonts w:ascii="Arial" w:eastAsia="Calibri" w:hAnsi="Arial" w:cs="Arial"/>
          <w:sz w:val="24"/>
          <w:szCs w:val="24"/>
        </w:rPr>
        <w:t>—</w:t>
      </w:r>
      <w:r w:rsidR="00CF116F">
        <w:rPr>
          <w:rFonts w:ascii="Arial" w:eastAsia="Calibri" w:hAnsi="Arial" w:cs="Arial"/>
          <w:sz w:val="24"/>
          <w:szCs w:val="24"/>
        </w:rPr>
        <w:t>CIE-10</w:t>
      </w:r>
      <w:r w:rsidR="004C3D8B">
        <w:rPr>
          <w:rFonts w:ascii="Arial" w:eastAsia="Calibri" w:hAnsi="Arial" w:cs="Arial"/>
          <w:sz w:val="24"/>
          <w:szCs w:val="24"/>
        </w:rPr>
        <w:t>—</w:t>
      </w:r>
      <w:r w:rsidR="00CF116F">
        <w:rPr>
          <w:rFonts w:ascii="Arial" w:eastAsia="Calibri" w:hAnsi="Arial" w:cs="Arial"/>
          <w:sz w:val="24"/>
          <w:szCs w:val="24"/>
        </w:rPr>
        <w:t>)</w:t>
      </w:r>
      <w:r w:rsidRPr="00CA43B4">
        <w:rPr>
          <w:rFonts w:ascii="Arial" w:eastAsia="Calibri" w:hAnsi="Arial" w:cs="Arial"/>
          <w:sz w:val="24"/>
          <w:szCs w:val="24"/>
        </w:rPr>
        <w:t>, la incidencia en grupos con características sociodemográficas específicas relativas a las madres que han sufrido la pérdida, así como su distribución geográfica a nivel de localidad.</w:t>
      </w:r>
    </w:p>
    <w:p w14:paraId="21367628" w14:textId="77777777" w:rsidR="00A94252" w:rsidRPr="00CA43B4" w:rsidRDefault="00A94252" w:rsidP="004C3D8B">
      <w:pPr>
        <w:ind w:right="163"/>
        <w:jc w:val="both"/>
        <w:rPr>
          <w:rFonts w:ascii="Arial" w:eastAsia="Calibri" w:hAnsi="Arial" w:cs="Arial"/>
          <w:sz w:val="24"/>
          <w:szCs w:val="24"/>
        </w:rPr>
      </w:pPr>
    </w:p>
    <w:p w14:paraId="415F8F42" w14:textId="716D49B3" w:rsidR="00A94252" w:rsidRPr="00CA43B4" w:rsidRDefault="004C3D8B" w:rsidP="004C3D8B">
      <w:pPr>
        <w:ind w:right="16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Estas estadísticas c</w:t>
      </w:r>
      <w:r w:rsidR="00A94252" w:rsidRPr="00CA43B4">
        <w:rPr>
          <w:rFonts w:ascii="Arial" w:eastAsia="Calibri" w:hAnsi="Arial" w:cs="Arial"/>
          <w:sz w:val="24"/>
          <w:szCs w:val="24"/>
        </w:rPr>
        <w:t>ontiene</w:t>
      </w:r>
      <w:r>
        <w:rPr>
          <w:rFonts w:ascii="Arial" w:eastAsia="Calibri" w:hAnsi="Arial" w:cs="Arial"/>
          <w:sz w:val="24"/>
          <w:szCs w:val="24"/>
        </w:rPr>
        <w:t>n</w:t>
      </w:r>
      <w:r w:rsidR="00A94252" w:rsidRPr="00CA43B4">
        <w:rPr>
          <w:rFonts w:ascii="Arial" w:eastAsia="Calibri" w:hAnsi="Arial" w:cs="Arial"/>
          <w:sz w:val="24"/>
          <w:szCs w:val="24"/>
        </w:rPr>
        <w:t xml:space="preserve"> resultados de la información </w:t>
      </w:r>
      <w:r>
        <w:rPr>
          <w:rFonts w:ascii="Arial" w:eastAsia="Calibri" w:hAnsi="Arial" w:cs="Arial"/>
          <w:sz w:val="24"/>
          <w:szCs w:val="24"/>
        </w:rPr>
        <w:t>que el Instituto Nacional de Estadística y Geografía (</w:t>
      </w:r>
      <w:r w:rsidRPr="00CA43B4">
        <w:rPr>
          <w:rFonts w:ascii="Arial" w:eastAsia="Calibri" w:hAnsi="Arial" w:cs="Arial"/>
          <w:sz w:val="24"/>
          <w:szCs w:val="24"/>
        </w:rPr>
        <w:t>INEGI</w:t>
      </w:r>
      <w:r>
        <w:rPr>
          <w:rFonts w:ascii="Arial" w:eastAsia="Calibri" w:hAnsi="Arial" w:cs="Arial"/>
          <w:sz w:val="24"/>
          <w:szCs w:val="24"/>
        </w:rPr>
        <w:t xml:space="preserve">) </w:t>
      </w:r>
      <w:r w:rsidR="00A94252" w:rsidRPr="00CA43B4">
        <w:rPr>
          <w:rFonts w:ascii="Arial" w:eastAsia="Calibri" w:hAnsi="Arial" w:cs="Arial"/>
          <w:sz w:val="24"/>
          <w:szCs w:val="24"/>
        </w:rPr>
        <w:t>capta de manera tradicional y la</w:t>
      </w:r>
      <w:r>
        <w:rPr>
          <w:rFonts w:ascii="Arial" w:eastAsia="Calibri" w:hAnsi="Arial" w:cs="Arial"/>
          <w:sz w:val="24"/>
          <w:szCs w:val="24"/>
        </w:rPr>
        <w:t xml:space="preserve"> que recupera </w:t>
      </w:r>
      <w:r w:rsidR="00A94252" w:rsidRPr="00CA43B4">
        <w:rPr>
          <w:rFonts w:ascii="Arial" w:eastAsia="Calibri" w:hAnsi="Arial" w:cs="Arial"/>
          <w:sz w:val="24"/>
          <w:szCs w:val="24"/>
        </w:rPr>
        <w:t xml:space="preserve">a través de la información digital generada por </w:t>
      </w:r>
      <w:r w:rsidR="00613BF3">
        <w:rPr>
          <w:rFonts w:ascii="Arial" w:eastAsia="Calibri" w:hAnsi="Arial" w:cs="Arial"/>
          <w:sz w:val="24"/>
          <w:szCs w:val="24"/>
        </w:rPr>
        <w:t xml:space="preserve">la </w:t>
      </w:r>
      <w:r w:rsidR="00A94252" w:rsidRPr="00CA43B4">
        <w:rPr>
          <w:rFonts w:ascii="Arial" w:eastAsia="Calibri" w:hAnsi="Arial" w:cs="Arial"/>
          <w:sz w:val="24"/>
          <w:szCs w:val="24"/>
        </w:rPr>
        <w:t>S</w:t>
      </w:r>
      <w:r w:rsidR="00384872">
        <w:rPr>
          <w:rFonts w:ascii="Arial" w:eastAsia="Calibri" w:hAnsi="Arial" w:cs="Arial"/>
          <w:sz w:val="24"/>
          <w:szCs w:val="24"/>
        </w:rPr>
        <w:t>SA,</w:t>
      </w:r>
      <w:r w:rsidR="00A94252" w:rsidRPr="00CA43B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con base en </w:t>
      </w:r>
      <w:r w:rsidR="00A94252" w:rsidRPr="00CA43B4">
        <w:rPr>
          <w:rFonts w:ascii="Arial" w:eastAsia="Calibri" w:hAnsi="Arial" w:cs="Arial"/>
          <w:sz w:val="24"/>
          <w:szCs w:val="24"/>
        </w:rPr>
        <w:t xml:space="preserve">el apartado </w:t>
      </w:r>
      <w:r>
        <w:rPr>
          <w:rFonts w:ascii="Arial" w:eastAsia="Calibri" w:hAnsi="Arial" w:cs="Arial"/>
          <w:sz w:val="24"/>
          <w:szCs w:val="24"/>
        </w:rPr>
        <w:t>«</w:t>
      </w:r>
      <w:r w:rsidR="00A94252" w:rsidRPr="00CA43B4">
        <w:rPr>
          <w:rFonts w:ascii="Arial" w:eastAsia="Calibri" w:hAnsi="Arial" w:cs="Arial"/>
          <w:sz w:val="24"/>
          <w:szCs w:val="24"/>
        </w:rPr>
        <w:t>Mejora en la captación y medición de las defunciones fetales</w:t>
      </w:r>
      <w:r>
        <w:rPr>
          <w:rFonts w:ascii="Arial" w:eastAsia="Calibri" w:hAnsi="Arial" w:cs="Arial"/>
          <w:sz w:val="24"/>
          <w:szCs w:val="24"/>
        </w:rPr>
        <w:t>»</w:t>
      </w:r>
      <w:r w:rsidR="00A94252" w:rsidRPr="00CA43B4">
        <w:rPr>
          <w:rFonts w:ascii="Arial" w:eastAsia="Calibri" w:hAnsi="Arial" w:cs="Arial"/>
          <w:sz w:val="24"/>
          <w:szCs w:val="24"/>
        </w:rPr>
        <w:t>. En ambos casos</w:t>
      </w:r>
      <w:r>
        <w:rPr>
          <w:rFonts w:ascii="Arial" w:eastAsia="Calibri" w:hAnsi="Arial" w:cs="Arial"/>
          <w:sz w:val="24"/>
          <w:szCs w:val="24"/>
        </w:rPr>
        <w:t>,</w:t>
      </w:r>
      <w:r w:rsidR="00A94252" w:rsidRPr="00CA43B4">
        <w:rPr>
          <w:rFonts w:ascii="Arial" w:eastAsia="Calibri" w:hAnsi="Arial" w:cs="Arial"/>
          <w:sz w:val="24"/>
          <w:szCs w:val="24"/>
        </w:rPr>
        <w:t xml:space="preserve"> el insumo es el certificado de muerte fetal.</w:t>
      </w:r>
    </w:p>
    <w:p w14:paraId="0A07AFB2" w14:textId="77777777" w:rsidR="00A94252" w:rsidRPr="00CA43B4" w:rsidRDefault="00A94252" w:rsidP="004C3D8B">
      <w:pPr>
        <w:ind w:right="163"/>
        <w:jc w:val="both"/>
        <w:rPr>
          <w:rFonts w:ascii="Arial" w:eastAsia="Calibri" w:hAnsi="Arial" w:cs="Arial"/>
          <w:sz w:val="24"/>
          <w:szCs w:val="24"/>
        </w:rPr>
      </w:pPr>
    </w:p>
    <w:p w14:paraId="6119A5DC" w14:textId="77777777" w:rsidR="0072081B" w:rsidRPr="00CA43B4" w:rsidRDefault="0072081B" w:rsidP="004C3D8B">
      <w:pPr>
        <w:shd w:val="clear" w:color="auto" w:fill="FFFFFF" w:themeFill="background1"/>
        <w:autoSpaceDE w:val="0"/>
        <w:autoSpaceDN w:val="0"/>
        <w:adjustRightInd w:val="0"/>
        <w:ind w:right="163"/>
        <w:jc w:val="both"/>
        <w:rPr>
          <w:rFonts w:ascii="Arial Negrita" w:eastAsia="+mn-ea" w:hAnsi="Arial Negrita" w:cs="Arial"/>
          <w:b/>
          <w:smallCaps/>
          <w:kern w:val="24"/>
          <w:sz w:val="24"/>
          <w:szCs w:val="24"/>
        </w:rPr>
      </w:pPr>
      <w:r w:rsidRPr="00CA43B4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Descripción general</w:t>
      </w:r>
    </w:p>
    <w:p w14:paraId="2FFCC443" w14:textId="77777777" w:rsidR="0072081B" w:rsidRPr="00CA43B4" w:rsidRDefault="0072081B" w:rsidP="004C3D8B">
      <w:pPr>
        <w:spacing w:line="276" w:lineRule="auto"/>
        <w:ind w:right="163"/>
        <w:jc w:val="both"/>
        <w:rPr>
          <w:rFonts w:ascii="Arial" w:eastAsia="Calibri" w:hAnsi="Arial" w:cs="Arial"/>
          <w:b/>
          <w:sz w:val="24"/>
          <w:szCs w:val="24"/>
        </w:rPr>
      </w:pPr>
    </w:p>
    <w:p w14:paraId="0422FDD4" w14:textId="77777777" w:rsidR="00A94252" w:rsidRPr="00CA43B4" w:rsidRDefault="00A94252" w:rsidP="004C3D8B">
      <w:pPr>
        <w:tabs>
          <w:tab w:val="left" w:pos="3686"/>
        </w:tabs>
        <w:spacing w:line="276" w:lineRule="auto"/>
        <w:ind w:left="3686" w:right="163" w:hanging="3686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CA43B4">
        <w:rPr>
          <w:rFonts w:ascii="Arial" w:eastAsia="Calibri" w:hAnsi="Arial" w:cs="Arial"/>
          <w:bCs/>
          <w:sz w:val="24"/>
          <w:szCs w:val="24"/>
        </w:rPr>
        <w:t>Procedencia de la Información:</w:t>
      </w:r>
      <w:r w:rsidRPr="00CA43B4">
        <w:rPr>
          <w:rFonts w:ascii="Arial" w:eastAsia="Calibri" w:hAnsi="Arial" w:cs="Arial"/>
          <w:bCs/>
          <w:sz w:val="24"/>
          <w:szCs w:val="24"/>
        </w:rPr>
        <w:tab/>
      </w:r>
      <w:r w:rsidRPr="00CA43B4">
        <w:rPr>
          <w:rFonts w:ascii="Arial" w:eastAsia="Calibri" w:hAnsi="Arial" w:cs="Arial"/>
          <w:sz w:val="24"/>
          <w:szCs w:val="24"/>
        </w:rPr>
        <w:t xml:space="preserve">Registros </w:t>
      </w:r>
      <w:r w:rsidRPr="00CA43B4">
        <w:rPr>
          <w:rFonts w:ascii="Arial" w:eastAsia="Times New Roman" w:hAnsi="Arial" w:cs="Arial"/>
          <w:sz w:val="24"/>
          <w:szCs w:val="24"/>
          <w:lang w:eastAsia="es-MX"/>
        </w:rPr>
        <w:t>administrativos de las muertes fetales generados a partir de la emisión del certificado de muerte fetal</w:t>
      </w:r>
    </w:p>
    <w:p w14:paraId="5B10B4CB" w14:textId="77777777" w:rsidR="0072081B" w:rsidRPr="00CA43B4" w:rsidRDefault="0072081B" w:rsidP="004C3D8B">
      <w:pPr>
        <w:tabs>
          <w:tab w:val="left" w:pos="3686"/>
        </w:tabs>
        <w:ind w:right="163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CA43B4">
        <w:rPr>
          <w:rFonts w:ascii="Arial" w:eastAsia="Calibri" w:hAnsi="Arial" w:cs="Arial"/>
          <w:bCs/>
          <w:sz w:val="24"/>
          <w:szCs w:val="24"/>
        </w:rPr>
        <w:t>Cobertura Geográfica:</w:t>
      </w:r>
      <w:r w:rsidRPr="00CA43B4">
        <w:rPr>
          <w:rFonts w:ascii="Arial" w:eastAsia="Calibri" w:hAnsi="Arial" w:cs="Arial"/>
          <w:bCs/>
          <w:sz w:val="24"/>
          <w:szCs w:val="24"/>
        </w:rPr>
        <w:tab/>
      </w:r>
      <w:r w:rsidRPr="00CA43B4">
        <w:rPr>
          <w:rFonts w:ascii="Arial" w:eastAsia="Times New Roman" w:hAnsi="Arial" w:cs="Arial"/>
          <w:bCs/>
          <w:sz w:val="24"/>
          <w:szCs w:val="24"/>
          <w:lang w:eastAsia="es-MX"/>
        </w:rPr>
        <w:t>Nacional</w:t>
      </w:r>
    </w:p>
    <w:p w14:paraId="2AF4A577" w14:textId="77777777" w:rsidR="0072081B" w:rsidRPr="00CA43B4" w:rsidRDefault="0072081B" w:rsidP="004C3D8B">
      <w:pPr>
        <w:tabs>
          <w:tab w:val="left" w:pos="3686"/>
        </w:tabs>
        <w:ind w:right="163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CA43B4">
        <w:rPr>
          <w:rFonts w:ascii="Arial" w:eastAsia="Calibri" w:hAnsi="Arial" w:cs="Arial"/>
          <w:bCs/>
          <w:sz w:val="24"/>
          <w:szCs w:val="24"/>
        </w:rPr>
        <w:t>Desglose Geográfico:</w:t>
      </w:r>
      <w:r w:rsidRPr="00CA43B4">
        <w:rPr>
          <w:rFonts w:ascii="Arial" w:eastAsia="Calibri" w:hAnsi="Arial" w:cs="Arial"/>
          <w:bCs/>
          <w:sz w:val="24"/>
          <w:szCs w:val="24"/>
        </w:rPr>
        <w:tab/>
        <w:t>Entidad federativa, municipio y localidad</w:t>
      </w:r>
    </w:p>
    <w:p w14:paraId="067C9848" w14:textId="77777777" w:rsidR="0072081B" w:rsidRPr="00CA43B4" w:rsidRDefault="0072081B" w:rsidP="004C3D8B">
      <w:pPr>
        <w:tabs>
          <w:tab w:val="left" w:pos="3686"/>
        </w:tabs>
        <w:ind w:right="163"/>
        <w:jc w:val="both"/>
        <w:rPr>
          <w:rFonts w:ascii="Arial" w:eastAsia="Calibri" w:hAnsi="Arial" w:cs="Arial"/>
          <w:bCs/>
          <w:sz w:val="24"/>
          <w:szCs w:val="24"/>
        </w:rPr>
      </w:pPr>
      <w:r w:rsidRPr="00CA43B4">
        <w:rPr>
          <w:rFonts w:ascii="Arial" w:eastAsia="Calibri" w:hAnsi="Arial" w:cs="Arial"/>
          <w:bCs/>
          <w:sz w:val="24"/>
          <w:szCs w:val="24"/>
        </w:rPr>
        <w:t>Cobertura Temporal:</w:t>
      </w:r>
      <w:r w:rsidRPr="00CA43B4">
        <w:rPr>
          <w:rFonts w:ascii="Arial" w:eastAsia="Calibri" w:hAnsi="Arial" w:cs="Arial"/>
          <w:bCs/>
          <w:sz w:val="24"/>
          <w:szCs w:val="24"/>
        </w:rPr>
        <w:tab/>
        <w:t>2021</w:t>
      </w:r>
    </w:p>
    <w:p w14:paraId="464D1332" w14:textId="77777777" w:rsidR="007D7A98" w:rsidRPr="00CA43B4" w:rsidRDefault="00642ACA" w:rsidP="004C3D8B">
      <w:pPr>
        <w:tabs>
          <w:tab w:val="left" w:pos="3686"/>
        </w:tabs>
        <w:ind w:right="163"/>
        <w:jc w:val="both"/>
        <w:rPr>
          <w:rFonts w:ascii="Arial" w:eastAsia="Calibri" w:hAnsi="Arial" w:cs="Arial"/>
          <w:sz w:val="24"/>
          <w:szCs w:val="24"/>
        </w:rPr>
      </w:pPr>
      <w:r w:rsidRPr="00CA43B4">
        <w:rPr>
          <w:rFonts w:ascii="Arial" w:eastAsia="Calibri" w:hAnsi="Arial" w:cs="Arial"/>
          <w:bCs/>
          <w:sz w:val="24"/>
          <w:szCs w:val="24"/>
        </w:rPr>
        <w:t>Corte Temporal:</w:t>
      </w:r>
      <w:r w:rsidR="004736CE" w:rsidRPr="00CA43B4">
        <w:rPr>
          <w:rFonts w:ascii="Arial" w:eastAsia="Times New Roman" w:hAnsi="Arial" w:cs="Arial"/>
          <w:b/>
          <w:sz w:val="24"/>
          <w:szCs w:val="24"/>
          <w:lang w:eastAsia="es-MX"/>
        </w:rPr>
        <w:tab/>
      </w:r>
      <w:r w:rsidRPr="00CA43B4">
        <w:rPr>
          <w:rFonts w:ascii="Arial" w:eastAsia="Calibri" w:hAnsi="Arial" w:cs="Arial"/>
          <w:sz w:val="24"/>
          <w:szCs w:val="24"/>
        </w:rPr>
        <w:t>Anual</w:t>
      </w:r>
    </w:p>
    <w:p w14:paraId="05A5F6F9" w14:textId="77777777" w:rsidR="00320697" w:rsidRPr="00CA43B4" w:rsidRDefault="00320697" w:rsidP="004C3D8B">
      <w:pPr>
        <w:pStyle w:val="Textoindependiente"/>
        <w:kinsoku w:val="0"/>
        <w:overflowPunct w:val="0"/>
        <w:ind w:left="0" w:right="163"/>
        <w:jc w:val="center"/>
        <w:rPr>
          <w:b/>
          <w:smallCaps/>
        </w:rPr>
      </w:pPr>
    </w:p>
    <w:p w14:paraId="207A6757" w14:textId="77777777" w:rsidR="00E95011" w:rsidRPr="00CA43B4" w:rsidRDefault="00E95011" w:rsidP="004C3D8B">
      <w:pPr>
        <w:shd w:val="clear" w:color="auto" w:fill="FFFFFF" w:themeFill="background1"/>
        <w:autoSpaceDE w:val="0"/>
        <w:autoSpaceDN w:val="0"/>
        <w:adjustRightInd w:val="0"/>
        <w:ind w:right="163"/>
        <w:jc w:val="both"/>
        <w:rPr>
          <w:rFonts w:ascii="Arial Negrita" w:eastAsia="+mn-ea" w:hAnsi="Arial Negrita" w:cs="Arial"/>
          <w:b/>
          <w:smallCaps/>
          <w:kern w:val="24"/>
          <w:sz w:val="24"/>
          <w:szCs w:val="24"/>
        </w:rPr>
      </w:pPr>
      <w:r w:rsidRPr="00CA43B4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Mejora en la captación y medición de las defunciones fetales</w:t>
      </w:r>
    </w:p>
    <w:p w14:paraId="12DB284F" w14:textId="77777777" w:rsidR="00E95011" w:rsidRPr="00CA43B4" w:rsidRDefault="00E95011" w:rsidP="004C3D8B">
      <w:pPr>
        <w:ind w:right="163"/>
        <w:jc w:val="both"/>
        <w:rPr>
          <w:rFonts w:ascii="Arial" w:hAnsi="Arial" w:cs="Arial"/>
          <w:b/>
          <w:sz w:val="24"/>
          <w:szCs w:val="24"/>
        </w:rPr>
      </w:pPr>
    </w:p>
    <w:p w14:paraId="6F10CB9D" w14:textId="154A4607" w:rsidR="004C3D8B" w:rsidRPr="00CA43B4" w:rsidRDefault="00E95011" w:rsidP="004C3D8B">
      <w:pPr>
        <w:spacing w:after="240"/>
        <w:ind w:right="163"/>
        <w:jc w:val="both"/>
        <w:rPr>
          <w:rFonts w:ascii="Arial" w:hAnsi="Arial" w:cs="Arial"/>
          <w:sz w:val="24"/>
          <w:szCs w:val="24"/>
        </w:rPr>
      </w:pPr>
      <w:r w:rsidRPr="00CA43B4">
        <w:rPr>
          <w:rFonts w:ascii="Arial" w:hAnsi="Arial" w:cs="Arial"/>
          <w:sz w:val="24"/>
          <w:szCs w:val="24"/>
        </w:rPr>
        <w:t>La</w:t>
      </w:r>
      <w:r w:rsidR="00E004F0" w:rsidRPr="00CA43B4">
        <w:rPr>
          <w:rFonts w:ascii="Arial" w:hAnsi="Arial" w:cs="Arial"/>
          <w:sz w:val="24"/>
          <w:szCs w:val="24"/>
        </w:rPr>
        <w:t>s</w:t>
      </w:r>
      <w:r w:rsidRPr="00CA43B4">
        <w:rPr>
          <w:rFonts w:ascii="Arial" w:hAnsi="Arial" w:cs="Arial"/>
          <w:sz w:val="24"/>
          <w:szCs w:val="24"/>
        </w:rPr>
        <w:t xml:space="preserve"> estadística</w:t>
      </w:r>
      <w:r w:rsidR="00E004F0" w:rsidRPr="00CA43B4">
        <w:rPr>
          <w:rFonts w:ascii="Arial" w:hAnsi="Arial" w:cs="Arial"/>
          <w:sz w:val="24"/>
          <w:szCs w:val="24"/>
        </w:rPr>
        <w:t>s</w:t>
      </w:r>
      <w:r w:rsidRPr="00CA43B4">
        <w:rPr>
          <w:rFonts w:ascii="Arial" w:hAnsi="Arial" w:cs="Arial"/>
          <w:sz w:val="24"/>
          <w:szCs w:val="24"/>
        </w:rPr>
        <w:t xml:space="preserve"> de defunciones fetales tiene</w:t>
      </w:r>
      <w:r w:rsidR="00E004F0" w:rsidRPr="00CA43B4">
        <w:rPr>
          <w:rFonts w:ascii="Arial" w:hAnsi="Arial" w:cs="Arial"/>
          <w:sz w:val="24"/>
          <w:szCs w:val="24"/>
        </w:rPr>
        <w:t>n</w:t>
      </w:r>
      <w:r w:rsidRPr="00CA43B4">
        <w:rPr>
          <w:rFonts w:ascii="Arial" w:hAnsi="Arial" w:cs="Arial"/>
          <w:sz w:val="24"/>
          <w:szCs w:val="24"/>
        </w:rPr>
        <w:t xml:space="preserve"> como insumo el registro administrativo que se deriva de la generación de los certificados de muerte fetal.</w:t>
      </w:r>
      <w:r w:rsidR="004C3D8B">
        <w:rPr>
          <w:rFonts w:ascii="Arial" w:hAnsi="Arial" w:cs="Arial"/>
          <w:sz w:val="24"/>
          <w:szCs w:val="24"/>
        </w:rPr>
        <w:t xml:space="preserve"> Estos se captan por medio de </w:t>
      </w:r>
      <w:r w:rsidR="004C3D8B" w:rsidRPr="00CA43B4">
        <w:rPr>
          <w:rFonts w:ascii="Arial" w:hAnsi="Arial" w:cs="Arial"/>
          <w:sz w:val="24"/>
          <w:szCs w:val="24"/>
        </w:rPr>
        <w:t>las oficialías del Registro Civil, solo que, en algunos casos, los deudos no realizan el trámite para solicitar el permiso de inhumación que corresponde a la defunción fetal, aunque se haya generado el certificado.</w:t>
      </w:r>
    </w:p>
    <w:p w14:paraId="7CA61EE9" w14:textId="7260421D" w:rsidR="00E95011" w:rsidRPr="00CA43B4" w:rsidRDefault="00E95011" w:rsidP="004C3D8B">
      <w:pPr>
        <w:spacing w:after="240"/>
        <w:ind w:right="163"/>
        <w:jc w:val="both"/>
        <w:rPr>
          <w:rFonts w:ascii="Arial" w:hAnsi="Arial" w:cs="Arial"/>
          <w:sz w:val="24"/>
          <w:szCs w:val="24"/>
        </w:rPr>
      </w:pPr>
    </w:p>
    <w:p w14:paraId="7AF95C9E" w14:textId="42B6F7BA" w:rsidR="00E95011" w:rsidRPr="00CA43B4" w:rsidRDefault="00E95011" w:rsidP="004C3D8B">
      <w:pPr>
        <w:spacing w:after="240"/>
        <w:ind w:right="163"/>
        <w:jc w:val="both"/>
        <w:rPr>
          <w:rFonts w:ascii="Arial" w:hAnsi="Arial" w:cs="Arial"/>
          <w:sz w:val="24"/>
          <w:szCs w:val="24"/>
        </w:rPr>
      </w:pPr>
      <w:r w:rsidRPr="00CA43B4">
        <w:rPr>
          <w:rFonts w:ascii="Arial" w:hAnsi="Arial" w:cs="Arial"/>
          <w:sz w:val="24"/>
          <w:szCs w:val="24"/>
        </w:rPr>
        <w:lastRenderedPageBreak/>
        <w:t xml:space="preserve">El </w:t>
      </w:r>
      <w:r w:rsidR="00663E4A" w:rsidRPr="00CA43B4">
        <w:rPr>
          <w:rFonts w:ascii="Arial" w:hAnsi="Arial" w:cs="Arial"/>
          <w:sz w:val="24"/>
          <w:szCs w:val="24"/>
        </w:rPr>
        <w:t>Sector Salud</w:t>
      </w:r>
      <w:r w:rsidRPr="00CA43B4">
        <w:rPr>
          <w:rFonts w:ascii="Arial" w:hAnsi="Arial" w:cs="Arial"/>
          <w:sz w:val="24"/>
          <w:szCs w:val="24"/>
        </w:rPr>
        <w:t xml:space="preserve">, encargado de la emisión del certificado de muerte fetal, conserva </w:t>
      </w:r>
      <w:r w:rsidR="00CF116F">
        <w:rPr>
          <w:rFonts w:ascii="Arial" w:hAnsi="Arial" w:cs="Arial"/>
          <w:sz w:val="24"/>
          <w:szCs w:val="24"/>
        </w:rPr>
        <w:t>un</w:t>
      </w:r>
      <w:r w:rsidR="00CF116F" w:rsidRPr="00CA43B4">
        <w:rPr>
          <w:rFonts w:ascii="Arial" w:hAnsi="Arial" w:cs="Arial"/>
          <w:sz w:val="24"/>
          <w:szCs w:val="24"/>
        </w:rPr>
        <w:t xml:space="preserve"> </w:t>
      </w:r>
      <w:r w:rsidR="00CF116F">
        <w:rPr>
          <w:rFonts w:ascii="Arial" w:hAnsi="Arial" w:cs="Arial"/>
          <w:sz w:val="24"/>
          <w:szCs w:val="24"/>
        </w:rPr>
        <w:t>ejemplar</w:t>
      </w:r>
      <w:r w:rsidR="004C3D8B">
        <w:rPr>
          <w:rFonts w:ascii="Arial" w:hAnsi="Arial" w:cs="Arial"/>
          <w:sz w:val="24"/>
          <w:szCs w:val="24"/>
        </w:rPr>
        <w:t>,</w:t>
      </w:r>
      <w:r w:rsidR="00905B99">
        <w:rPr>
          <w:rFonts w:ascii="Arial" w:hAnsi="Arial" w:cs="Arial"/>
          <w:sz w:val="24"/>
          <w:szCs w:val="24"/>
        </w:rPr>
        <w:t xml:space="preserve"> </w:t>
      </w:r>
      <w:r w:rsidR="00591D47">
        <w:rPr>
          <w:rFonts w:ascii="Arial" w:hAnsi="Arial" w:cs="Arial"/>
          <w:sz w:val="24"/>
          <w:szCs w:val="24"/>
        </w:rPr>
        <w:t>por lo que se</w:t>
      </w:r>
      <w:r w:rsidRPr="00CA43B4">
        <w:rPr>
          <w:rFonts w:ascii="Arial" w:hAnsi="Arial" w:cs="Arial"/>
          <w:sz w:val="24"/>
          <w:szCs w:val="24"/>
        </w:rPr>
        <w:t xml:space="preserve"> cuenta con una fuente alterna para verificar el nivel de captación de</w:t>
      </w:r>
      <w:r w:rsidR="00E876A0">
        <w:rPr>
          <w:rFonts w:ascii="Arial" w:hAnsi="Arial" w:cs="Arial"/>
          <w:sz w:val="24"/>
          <w:szCs w:val="24"/>
        </w:rPr>
        <w:t xml:space="preserve"> este</w:t>
      </w:r>
      <w:r w:rsidRPr="00CA43B4">
        <w:rPr>
          <w:rFonts w:ascii="Arial" w:hAnsi="Arial" w:cs="Arial"/>
          <w:sz w:val="24"/>
          <w:szCs w:val="24"/>
        </w:rPr>
        <w:t xml:space="preserve"> hecho vital.</w:t>
      </w:r>
    </w:p>
    <w:p w14:paraId="4B6300F3" w14:textId="732DE8C5" w:rsidR="00E95011" w:rsidRPr="00CA43B4" w:rsidRDefault="00E95011" w:rsidP="004C3D8B">
      <w:pPr>
        <w:spacing w:after="240"/>
        <w:ind w:right="163"/>
        <w:jc w:val="both"/>
        <w:rPr>
          <w:rFonts w:ascii="Arial" w:hAnsi="Arial" w:cs="Arial"/>
          <w:sz w:val="24"/>
          <w:szCs w:val="24"/>
        </w:rPr>
      </w:pPr>
      <w:r w:rsidRPr="00CA43B4">
        <w:rPr>
          <w:rFonts w:ascii="Arial" w:hAnsi="Arial" w:cs="Arial"/>
          <w:sz w:val="24"/>
          <w:szCs w:val="24"/>
        </w:rPr>
        <w:t>A partir de</w:t>
      </w:r>
      <w:r w:rsidR="004C3D8B">
        <w:rPr>
          <w:rFonts w:ascii="Arial" w:hAnsi="Arial" w:cs="Arial"/>
          <w:sz w:val="24"/>
          <w:szCs w:val="24"/>
        </w:rPr>
        <w:t xml:space="preserve"> los datos recibidos </w:t>
      </w:r>
      <w:r w:rsidRPr="00CA43B4">
        <w:rPr>
          <w:rFonts w:ascii="Arial" w:hAnsi="Arial" w:cs="Arial"/>
          <w:sz w:val="24"/>
          <w:szCs w:val="24"/>
        </w:rPr>
        <w:t>mediante el convenio para el intercambio de información</w:t>
      </w:r>
      <w:r w:rsidR="00056059">
        <w:rPr>
          <w:rFonts w:ascii="Arial" w:hAnsi="Arial" w:cs="Arial"/>
          <w:sz w:val="24"/>
          <w:szCs w:val="24"/>
        </w:rPr>
        <w:t>,</w:t>
      </w:r>
      <w:r w:rsidRPr="00CA43B4">
        <w:rPr>
          <w:rFonts w:ascii="Arial" w:hAnsi="Arial" w:cs="Arial"/>
          <w:sz w:val="24"/>
          <w:szCs w:val="24"/>
        </w:rPr>
        <w:t xml:space="preserve"> celebrado el 12 de septiembre de 2018 entre la S</w:t>
      </w:r>
      <w:r w:rsidR="00384872">
        <w:rPr>
          <w:rFonts w:ascii="Arial" w:hAnsi="Arial" w:cs="Arial"/>
          <w:sz w:val="24"/>
          <w:szCs w:val="24"/>
        </w:rPr>
        <w:t>SA</w:t>
      </w:r>
      <w:r w:rsidRPr="00CA43B4">
        <w:rPr>
          <w:rFonts w:ascii="Arial" w:hAnsi="Arial" w:cs="Arial"/>
          <w:sz w:val="24"/>
          <w:szCs w:val="24"/>
        </w:rPr>
        <w:t xml:space="preserve"> y el INEGI </w:t>
      </w:r>
      <w:r w:rsidR="00B97AB1" w:rsidRPr="00CA43B4">
        <w:rPr>
          <w:rFonts w:ascii="Arial" w:hAnsi="Arial" w:cs="Arial"/>
          <w:sz w:val="24"/>
          <w:szCs w:val="24"/>
        </w:rPr>
        <w:t xml:space="preserve">para el año estadístico </w:t>
      </w:r>
      <w:r w:rsidR="00793A3F" w:rsidRPr="00CA43B4">
        <w:rPr>
          <w:rFonts w:ascii="Arial" w:hAnsi="Arial" w:cs="Arial"/>
          <w:sz w:val="24"/>
          <w:szCs w:val="24"/>
        </w:rPr>
        <w:t>202</w:t>
      </w:r>
      <w:r w:rsidR="001944AC" w:rsidRPr="00CA43B4">
        <w:rPr>
          <w:rFonts w:ascii="Arial" w:hAnsi="Arial" w:cs="Arial"/>
          <w:sz w:val="24"/>
          <w:szCs w:val="24"/>
        </w:rPr>
        <w:t>1</w:t>
      </w:r>
      <w:r w:rsidR="00056059">
        <w:rPr>
          <w:rFonts w:ascii="Arial" w:hAnsi="Arial" w:cs="Arial"/>
          <w:sz w:val="24"/>
          <w:szCs w:val="24"/>
        </w:rPr>
        <w:t>,</w:t>
      </w:r>
      <w:r w:rsidR="00B97AB1" w:rsidRPr="00CA43B4">
        <w:rPr>
          <w:rFonts w:ascii="Arial" w:hAnsi="Arial" w:cs="Arial"/>
          <w:sz w:val="24"/>
          <w:szCs w:val="24"/>
        </w:rPr>
        <w:t xml:space="preserve"> </w:t>
      </w:r>
      <w:r w:rsidR="004C3D8B">
        <w:rPr>
          <w:rFonts w:ascii="Arial" w:hAnsi="Arial" w:cs="Arial"/>
          <w:sz w:val="24"/>
          <w:szCs w:val="24"/>
        </w:rPr>
        <w:t xml:space="preserve">fue posible </w:t>
      </w:r>
      <w:r w:rsidRPr="00CA43B4">
        <w:rPr>
          <w:rFonts w:ascii="Arial" w:hAnsi="Arial" w:cs="Arial"/>
          <w:sz w:val="24"/>
          <w:szCs w:val="24"/>
        </w:rPr>
        <w:t xml:space="preserve">identificar </w:t>
      </w:r>
      <w:r w:rsidR="00297740" w:rsidRPr="00CA43B4">
        <w:rPr>
          <w:rFonts w:ascii="Arial" w:hAnsi="Arial" w:cs="Arial"/>
          <w:sz w:val="24"/>
          <w:szCs w:val="24"/>
        </w:rPr>
        <w:t xml:space="preserve">4 </w:t>
      </w:r>
      <w:r w:rsidR="00860F5E" w:rsidRPr="00CA43B4">
        <w:rPr>
          <w:rFonts w:ascii="Arial" w:hAnsi="Arial" w:cs="Arial"/>
          <w:sz w:val="24"/>
          <w:szCs w:val="24"/>
        </w:rPr>
        <w:t>66</w:t>
      </w:r>
      <w:r w:rsidR="00860F5E">
        <w:rPr>
          <w:rFonts w:ascii="Arial" w:hAnsi="Arial" w:cs="Arial"/>
          <w:sz w:val="24"/>
          <w:szCs w:val="24"/>
        </w:rPr>
        <w:t>0</w:t>
      </w:r>
      <w:r w:rsidR="00860F5E" w:rsidRPr="00CA43B4">
        <w:rPr>
          <w:rFonts w:ascii="Arial" w:hAnsi="Arial" w:cs="Arial"/>
          <w:sz w:val="24"/>
          <w:szCs w:val="24"/>
        </w:rPr>
        <w:t xml:space="preserve"> </w:t>
      </w:r>
      <w:r w:rsidR="00B97AB1" w:rsidRPr="00CA43B4">
        <w:rPr>
          <w:rFonts w:ascii="Arial" w:hAnsi="Arial" w:cs="Arial"/>
          <w:sz w:val="24"/>
          <w:szCs w:val="24"/>
        </w:rPr>
        <w:t xml:space="preserve">casos </w:t>
      </w:r>
      <w:r w:rsidR="00CF116F">
        <w:rPr>
          <w:rFonts w:ascii="Arial" w:hAnsi="Arial" w:cs="Arial"/>
          <w:sz w:val="24"/>
          <w:szCs w:val="24"/>
        </w:rPr>
        <w:t xml:space="preserve">complementarios </w:t>
      </w:r>
      <w:r w:rsidR="00431EFC" w:rsidRPr="00CA43B4">
        <w:rPr>
          <w:rFonts w:ascii="Arial" w:hAnsi="Arial" w:cs="Arial"/>
          <w:sz w:val="24"/>
          <w:szCs w:val="24"/>
        </w:rPr>
        <w:t xml:space="preserve">que </w:t>
      </w:r>
      <w:r w:rsidR="004C3D8B">
        <w:rPr>
          <w:rFonts w:ascii="Arial" w:hAnsi="Arial" w:cs="Arial"/>
          <w:sz w:val="24"/>
          <w:szCs w:val="24"/>
        </w:rPr>
        <w:t xml:space="preserve">se procesaron e incorporaron a las </w:t>
      </w:r>
      <w:r w:rsidR="00056059">
        <w:rPr>
          <w:rFonts w:ascii="Arial" w:hAnsi="Arial" w:cs="Arial"/>
          <w:sz w:val="24"/>
          <w:szCs w:val="24"/>
        </w:rPr>
        <w:t>EDF</w:t>
      </w:r>
      <w:r w:rsidRPr="00CA43B4">
        <w:rPr>
          <w:rFonts w:ascii="Arial" w:hAnsi="Arial" w:cs="Arial"/>
          <w:sz w:val="24"/>
          <w:szCs w:val="24"/>
        </w:rPr>
        <w:t>.</w:t>
      </w:r>
    </w:p>
    <w:p w14:paraId="30284551" w14:textId="347CF296" w:rsidR="00E95011" w:rsidRPr="00CA43B4" w:rsidRDefault="00663E4A" w:rsidP="004C3D8B">
      <w:pPr>
        <w:spacing w:after="240"/>
        <w:ind w:right="163"/>
        <w:jc w:val="both"/>
        <w:rPr>
          <w:rFonts w:ascii="Arial" w:hAnsi="Arial" w:cs="Arial"/>
          <w:sz w:val="24"/>
          <w:szCs w:val="24"/>
        </w:rPr>
      </w:pPr>
      <w:r w:rsidRPr="00CA43B4">
        <w:rPr>
          <w:rFonts w:ascii="Arial" w:hAnsi="Arial" w:cs="Arial"/>
          <w:sz w:val="24"/>
          <w:szCs w:val="24"/>
        </w:rPr>
        <w:t>C</w:t>
      </w:r>
      <w:r w:rsidR="00431EFC" w:rsidRPr="00CA43B4">
        <w:rPr>
          <w:rFonts w:ascii="Arial" w:hAnsi="Arial" w:cs="Arial"/>
          <w:sz w:val="24"/>
          <w:szCs w:val="24"/>
        </w:rPr>
        <w:t xml:space="preserve">on la finalidad de guardar comparabilidad con el resto de la serie, la procedencia de los registros puede </w:t>
      </w:r>
      <w:r w:rsidR="00793A3F" w:rsidRPr="00CA43B4">
        <w:rPr>
          <w:rFonts w:ascii="Arial" w:hAnsi="Arial" w:cs="Arial"/>
          <w:sz w:val="24"/>
          <w:szCs w:val="24"/>
        </w:rPr>
        <w:t>identificarse</w:t>
      </w:r>
      <w:r w:rsidR="00431EFC" w:rsidRPr="00CA43B4">
        <w:rPr>
          <w:rFonts w:ascii="Arial" w:hAnsi="Arial" w:cs="Arial"/>
          <w:sz w:val="24"/>
          <w:szCs w:val="24"/>
        </w:rPr>
        <w:t xml:space="preserve"> por medio de la variable </w:t>
      </w:r>
      <w:r w:rsidR="004C3D8B">
        <w:rPr>
          <w:rFonts w:ascii="Arial" w:hAnsi="Arial" w:cs="Arial"/>
          <w:sz w:val="24"/>
          <w:szCs w:val="24"/>
        </w:rPr>
        <w:t>«</w:t>
      </w:r>
      <w:r w:rsidR="00431EFC" w:rsidRPr="00CA43B4">
        <w:rPr>
          <w:rFonts w:ascii="Arial" w:hAnsi="Arial" w:cs="Arial"/>
          <w:sz w:val="24"/>
          <w:szCs w:val="24"/>
        </w:rPr>
        <w:t>Origen</w:t>
      </w:r>
      <w:r w:rsidR="004C3D8B">
        <w:rPr>
          <w:rFonts w:ascii="Arial" w:hAnsi="Arial" w:cs="Arial"/>
          <w:sz w:val="24"/>
          <w:szCs w:val="24"/>
        </w:rPr>
        <w:t>»</w:t>
      </w:r>
      <w:r w:rsidR="00431EFC" w:rsidRPr="00CA43B4">
        <w:rPr>
          <w:rFonts w:ascii="Arial" w:hAnsi="Arial" w:cs="Arial"/>
          <w:sz w:val="24"/>
          <w:szCs w:val="24"/>
        </w:rPr>
        <w:t xml:space="preserve"> en los </w:t>
      </w:r>
      <w:proofErr w:type="spellStart"/>
      <w:r w:rsidR="00056059">
        <w:rPr>
          <w:rFonts w:ascii="Arial" w:hAnsi="Arial" w:cs="Arial"/>
          <w:sz w:val="24"/>
          <w:szCs w:val="24"/>
        </w:rPr>
        <w:t>m</w:t>
      </w:r>
      <w:r w:rsidR="00431EFC" w:rsidRPr="00CA43B4">
        <w:rPr>
          <w:rFonts w:ascii="Arial" w:hAnsi="Arial" w:cs="Arial"/>
          <w:sz w:val="24"/>
          <w:szCs w:val="24"/>
        </w:rPr>
        <w:t>icrodatos</w:t>
      </w:r>
      <w:proofErr w:type="spellEnd"/>
      <w:r w:rsidR="00431EFC" w:rsidRPr="00CA43B4">
        <w:rPr>
          <w:rFonts w:ascii="Arial" w:hAnsi="Arial" w:cs="Arial"/>
          <w:sz w:val="24"/>
          <w:szCs w:val="24"/>
        </w:rPr>
        <w:t>.</w:t>
      </w:r>
    </w:p>
    <w:p w14:paraId="13F80281" w14:textId="491C9C20" w:rsidR="008E325A" w:rsidRPr="00CA43B4" w:rsidRDefault="00A46A7F" w:rsidP="004C3D8B">
      <w:pPr>
        <w:ind w:right="163"/>
        <w:jc w:val="both"/>
        <w:rPr>
          <w:rFonts w:ascii="Arial" w:hAnsi="Arial" w:cs="Arial"/>
          <w:sz w:val="24"/>
          <w:szCs w:val="24"/>
        </w:rPr>
      </w:pPr>
      <w:r w:rsidRPr="00CA43B4">
        <w:rPr>
          <w:rFonts w:ascii="Arial" w:hAnsi="Arial" w:cs="Arial"/>
          <w:sz w:val="24"/>
          <w:szCs w:val="24"/>
        </w:rPr>
        <w:t>En la siguiente tabla</w:t>
      </w:r>
      <w:r w:rsidR="00E95011" w:rsidRPr="00CA43B4">
        <w:rPr>
          <w:rFonts w:ascii="Arial" w:hAnsi="Arial" w:cs="Arial"/>
          <w:sz w:val="24"/>
          <w:szCs w:val="24"/>
        </w:rPr>
        <w:t xml:space="preserve"> se presenta la contribución </w:t>
      </w:r>
      <w:r w:rsidR="00431EFC" w:rsidRPr="00CA43B4">
        <w:rPr>
          <w:rFonts w:ascii="Arial" w:hAnsi="Arial" w:cs="Arial"/>
          <w:sz w:val="24"/>
          <w:szCs w:val="24"/>
        </w:rPr>
        <w:t xml:space="preserve">de estos casos </w:t>
      </w:r>
      <w:r w:rsidR="00056059">
        <w:rPr>
          <w:rFonts w:ascii="Arial" w:hAnsi="Arial" w:cs="Arial"/>
          <w:sz w:val="24"/>
          <w:szCs w:val="24"/>
        </w:rPr>
        <w:t>a</w:t>
      </w:r>
      <w:r w:rsidR="00E95011" w:rsidRPr="00CA43B4">
        <w:rPr>
          <w:rFonts w:ascii="Arial" w:hAnsi="Arial" w:cs="Arial"/>
          <w:sz w:val="24"/>
          <w:szCs w:val="24"/>
        </w:rPr>
        <w:t xml:space="preserve"> la</w:t>
      </w:r>
      <w:r w:rsidR="00056059">
        <w:rPr>
          <w:rFonts w:ascii="Arial" w:hAnsi="Arial" w:cs="Arial"/>
          <w:sz w:val="24"/>
          <w:szCs w:val="24"/>
        </w:rPr>
        <w:t>s</w:t>
      </w:r>
      <w:r w:rsidR="00E95011" w:rsidRPr="00CA43B4">
        <w:rPr>
          <w:rFonts w:ascii="Arial" w:hAnsi="Arial" w:cs="Arial"/>
          <w:sz w:val="24"/>
          <w:szCs w:val="24"/>
        </w:rPr>
        <w:t xml:space="preserve"> </w:t>
      </w:r>
      <w:r w:rsidR="00056059">
        <w:rPr>
          <w:rFonts w:ascii="Arial" w:hAnsi="Arial" w:cs="Arial"/>
          <w:sz w:val="24"/>
          <w:szCs w:val="24"/>
        </w:rPr>
        <w:t>EDF.</w:t>
      </w:r>
    </w:p>
    <w:p w14:paraId="2C84CCAE" w14:textId="77777777" w:rsidR="004B0685" w:rsidRPr="00CA43B4" w:rsidRDefault="004B0685" w:rsidP="004C3D8B">
      <w:pPr>
        <w:ind w:right="163"/>
        <w:jc w:val="both"/>
        <w:rPr>
          <w:rFonts w:ascii="Arial" w:hAnsi="Arial" w:cs="Arial"/>
          <w:sz w:val="24"/>
          <w:szCs w:val="24"/>
        </w:rPr>
      </w:pPr>
    </w:p>
    <w:p w14:paraId="16768844" w14:textId="77777777" w:rsidR="00AE0599" w:rsidRDefault="00AE0599">
      <w:pPr>
        <w:rPr>
          <w:rFonts w:ascii="Arial" w:eastAsiaTheme="minorEastAsia" w:hAnsi="Arial" w:cs="Arial"/>
          <w:b/>
          <w:smallCaps/>
          <w:lang w:val="es-MX" w:eastAsia="es-MX"/>
        </w:rPr>
      </w:pPr>
      <w:r>
        <w:rPr>
          <w:rFonts w:eastAsiaTheme="minorEastAsia" w:cs="Arial"/>
          <w:b/>
          <w:smallCaps/>
          <w:lang w:val="es-MX" w:eastAsia="es-MX"/>
        </w:rPr>
        <w:br w:type="page"/>
      </w:r>
    </w:p>
    <w:p w14:paraId="5E0C6B90" w14:textId="3C294631" w:rsidR="00AE0599" w:rsidRPr="00CA43B4" w:rsidRDefault="00AE0599" w:rsidP="00C65DED">
      <w:pPr>
        <w:pStyle w:val="Textoindependiente"/>
        <w:keepNext/>
        <w:kinsoku w:val="0"/>
        <w:overflowPunct w:val="0"/>
        <w:autoSpaceDE w:val="0"/>
        <w:autoSpaceDN w:val="0"/>
        <w:adjustRightInd w:val="0"/>
        <w:spacing w:after="120"/>
        <w:ind w:left="993" w:right="305" w:hanging="993"/>
        <w:jc w:val="both"/>
        <w:rPr>
          <w:rFonts w:eastAsiaTheme="minorEastAsia" w:cs="Arial"/>
          <w:b/>
          <w:smallCaps/>
          <w:sz w:val="22"/>
          <w:szCs w:val="22"/>
          <w:lang w:val="es-MX" w:eastAsia="es-MX"/>
        </w:rPr>
      </w:pPr>
      <w:r>
        <w:rPr>
          <w:rFonts w:eastAsiaTheme="minorEastAsia" w:cs="Arial"/>
          <w:b/>
          <w:smallCaps/>
          <w:sz w:val="22"/>
          <w:szCs w:val="22"/>
          <w:lang w:val="es-MX" w:eastAsia="es-MX"/>
        </w:rPr>
        <w:lastRenderedPageBreak/>
        <w:t>Tabla</w:t>
      </w:r>
      <w:r w:rsidRPr="00CA43B4">
        <w:rPr>
          <w:rFonts w:eastAsiaTheme="minorEastAsia" w:cs="Arial"/>
          <w:b/>
          <w:smallCaps/>
          <w:sz w:val="22"/>
          <w:szCs w:val="22"/>
          <w:lang w:val="es-MX" w:eastAsia="es-MX"/>
        </w:rPr>
        <w:t xml:space="preserve"> 1.</w:t>
      </w:r>
      <w:r w:rsidRPr="00CA43B4">
        <w:rPr>
          <w:rFonts w:eastAsiaTheme="minorEastAsia" w:cs="Arial"/>
          <w:b/>
          <w:smallCaps/>
          <w:sz w:val="22"/>
          <w:szCs w:val="22"/>
          <w:lang w:val="es-MX" w:eastAsia="es-MX"/>
        </w:rPr>
        <w:tab/>
        <w:t>Estadística de defunciones fetales, resultado del proceso para mejorar la captación,</w:t>
      </w:r>
      <w:r>
        <w:rPr>
          <w:rFonts w:eastAsiaTheme="minorEastAsia" w:cs="Arial"/>
          <w:b/>
          <w:smallCaps/>
          <w:sz w:val="22"/>
          <w:szCs w:val="22"/>
          <w:lang w:val="es-MX" w:eastAsia="es-MX"/>
        </w:rPr>
        <w:t xml:space="preserve"> por entidad federativa,</w:t>
      </w:r>
      <w:r w:rsidRPr="00CA43B4">
        <w:rPr>
          <w:rFonts w:eastAsiaTheme="minorEastAsia" w:cs="Arial"/>
          <w:b/>
          <w:smallCaps/>
          <w:sz w:val="22"/>
          <w:szCs w:val="22"/>
          <w:lang w:val="es-MX" w:eastAsia="es-MX"/>
        </w:rPr>
        <w:t xml:space="preserve"> 2021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1980"/>
        <w:gridCol w:w="1540"/>
        <w:gridCol w:w="3320"/>
      </w:tblGrid>
      <w:tr w:rsidR="00C65DED" w:rsidRPr="00C65DED" w14:paraId="2EB3F762" w14:textId="77777777" w:rsidTr="00C65DED">
        <w:trPr>
          <w:trHeight w:val="975"/>
        </w:trPr>
        <w:tc>
          <w:tcPr>
            <w:tcW w:w="3080" w:type="dxa"/>
            <w:tcBorders>
              <w:top w:val="single" w:sz="8" w:space="0" w:color="A9D08E"/>
              <w:left w:val="single" w:sz="8" w:space="0" w:color="A9D08E"/>
              <w:bottom w:val="nil"/>
              <w:right w:val="nil"/>
            </w:tcBorders>
            <w:shd w:val="clear" w:color="000000" w:fill="76923C"/>
            <w:noWrap/>
            <w:vAlign w:val="center"/>
            <w:hideMark/>
          </w:tcPr>
          <w:p w14:paraId="1BA68675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Entidad federativa</w:t>
            </w:r>
          </w:p>
        </w:tc>
        <w:tc>
          <w:tcPr>
            <w:tcW w:w="1980" w:type="dxa"/>
            <w:tcBorders>
              <w:top w:val="single" w:sz="8" w:space="0" w:color="A9D08E"/>
              <w:left w:val="nil"/>
              <w:bottom w:val="nil"/>
              <w:right w:val="nil"/>
            </w:tcBorders>
            <w:shd w:val="clear" w:color="000000" w:fill="76923C"/>
            <w:vAlign w:val="center"/>
            <w:hideMark/>
          </w:tcPr>
          <w:p w14:paraId="5E80FC69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Defunciones fetales 2021</w:t>
            </w:r>
          </w:p>
        </w:tc>
        <w:tc>
          <w:tcPr>
            <w:tcW w:w="1540" w:type="dxa"/>
            <w:tcBorders>
              <w:top w:val="single" w:sz="8" w:space="0" w:color="A9D08E"/>
              <w:left w:val="nil"/>
              <w:bottom w:val="nil"/>
              <w:right w:val="nil"/>
            </w:tcBorders>
            <w:shd w:val="clear" w:color="000000" w:fill="76923C"/>
            <w:vAlign w:val="center"/>
            <w:hideMark/>
          </w:tcPr>
          <w:p w14:paraId="1560340B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Captación tradicional</w:t>
            </w:r>
          </w:p>
        </w:tc>
        <w:tc>
          <w:tcPr>
            <w:tcW w:w="3320" w:type="dxa"/>
            <w:tcBorders>
              <w:top w:val="single" w:sz="8" w:space="0" w:color="A9D08E"/>
              <w:left w:val="nil"/>
              <w:bottom w:val="nil"/>
              <w:right w:val="single" w:sz="8" w:space="0" w:color="A9D08E"/>
            </w:tcBorders>
            <w:shd w:val="clear" w:color="000000" w:fill="76923C"/>
            <w:vAlign w:val="center"/>
            <w:hideMark/>
          </w:tcPr>
          <w:p w14:paraId="26B9530E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Casos complementarios captados por la Secretaría de Salud, incorporados en formato digital</w:t>
            </w:r>
          </w:p>
        </w:tc>
      </w:tr>
      <w:tr w:rsidR="00C65DED" w:rsidRPr="00C65DED" w14:paraId="491185B2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49264663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Estados Unidos Mexicanos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5C67315C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23 000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7DDD77C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18 340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3447FF15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4 660</w:t>
            </w:r>
          </w:p>
        </w:tc>
      </w:tr>
      <w:tr w:rsidR="00C65DED" w:rsidRPr="00C65DED" w14:paraId="422B2206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4042D8ED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Aguascalientes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5F88DF14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361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20E2DA15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102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39D52CF9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259</w:t>
            </w:r>
          </w:p>
        </w:tc>
      </w:tr>
      <w:tr w:rsidR="00C65DED" w:rsidRPr="00C65DED" w14:paraId="045153B3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0BC52AA8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Baja California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260226C8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664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3B967F87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625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17A732B7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39</w:t>
            </w:r>
          </w:p>
        </w:tc>
      </w:tr>
      <w:tr w:rsidR="00C65DED" w:rsidRPr="00C65DED" w14:paraId="4C6152A8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3F04BCDD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Baja California Sur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33CE4506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108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0B3ACFC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101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6A40A0AF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7</w:t>
            </w:r>
          </w:p>
        </w:tc>
      </w:tr>
      <w:tr w:rsidR="00C65DED" w:rsidRPr="00C65DED" w14:paraId="3FB96220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4CACE540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Campeche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1FE3A982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152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7BEAB139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130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759DBF1B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22</w:t>
            </w:r>
          </w:p>
        </w:tc>
      </w:tr>
      <w:tr w:rsidR="00C65DED" w:rsidRPr="00C65DED" w14:paraId="2283D23F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45F62E15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Coahuila de Zaragoza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1052A7E9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502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4E0045AC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108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7B7DC1E1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394</w:t>
            </w:r>
          </w:p>
        </w:tc>
      </w:tr>
      <w:tr w:rsidR="00C65DED" w:rsidRPr="00C65DED" w14:paraId="66D682DA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362577F4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Colima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5677A6E7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156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474ACEE6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153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1BF0256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3</w:t>
            </w:r>
          </w:p>
        </w:tc>
      </w:tr>
      <w:tr w:rsidR="00C65DED" w:rsidRPr="00C65DED" w14:paraId="7E91AD03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4E66E120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Chiapas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5BD77319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1 195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7367643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514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607B8B08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681</w:t>
            </w:r>
          </w:p>
        </w:tc>
      </w:tr>
      <w:tr w:rsidR="00C65DED" w:rsidRPr="00C65DED" w14:paraId="7F87036F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35A736A4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Chihuahua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6AE7F071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711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5F000819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539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1F439A66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172</w:t>
            </w:r>
          </w:p>
        </w:tc>
      </w:tr>
      <w:tr w:rsidR="00C65DED" w:rsidRPr="00C65DED" w14:paraId="05E84DE8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799BA4FE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Ciudad de México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6315A539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1 936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50706CC6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1 765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0409C572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171</w:t>
            </w:r>
          </w:p>
        </w:tc>
      </w:tr>
      <w:tr w:rsidR="00C65DED" w:rsidRPr="00C65DED" w14:paraId="3488CC0E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3C016631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Durango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1CBA4663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392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312AFC9D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353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5929D2CC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39</w:t>
            </w:r>
          </w:p>
        </w:tc>
      </w:tr>
      <w:tr w:rsidR="00C65DED" w:rsidRPr="00C65DED" w14:paraId="318BF45F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7F08F6CB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Guanajuato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15F0D56A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1 564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53380D29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1 531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285DCCF1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33</w:t>
            </w:r>
          </w:p>
        </w:tc>
      </w:tr>
      <w:tr w:rsidR="00C65DED" w:rsidRPr="00C65DED" w14:paraId="16DF2552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612AAA8A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3CDD5BA8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456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1312089C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33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35E11493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423</w:t>
            </w:r>
          </w:p>
        </w:tc>
      </w:tr>
      <w:tr w:rsidR="00C65DED" w:rsidRPr="00C65DED" w14:paraId="3FD81A2E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09A76D12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Hidalgo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770FFA71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409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3B07B604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303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31DE7FC3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106</w:t>
            </w:r>
          </w:p>
        </w:tc>
      </w:tr>
      <w:tr w:rsidR="00C65DED" w:rsidRPr="00C65DED" w14:paraId="1F9E644D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60713558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Jalisco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72185A9D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1 350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2B593D96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1 323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199C6369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27</w:t>
            </w:r>
          </w:p>
        </w:tc>
      </w:tr>
      <w:tr w:rsidR="00C65DED" w:rsidRPr="00C65DED" w14:paraId="51107FF9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1A7A9772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México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6C10B01A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4 141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5740BE6B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3 955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69D5FB24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186</w:t>
            </w:r>
          </w:p>
        </w:tc>
      </w:tr>
      <w:tr w:rsidR="00C65DED" w:rsidRPr="00C65DED" w14:paraId="05025633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010A62E1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Michoacán de Ocampo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0680090A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637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78E77A0E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446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634263FA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191</w:t>
            </w:r>
          </w:p>
        </w:tc>
      </w:tr>
      <w:tr w:rsidR="00C65DED" w:rsidRPr="00C65DED" w14:paraId="28751C50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45B196FA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Morelos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48F9D45B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3354713D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205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49890441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122</w:t>
            </w:r>
          </w:p>
        </w:tc>
      </w:tr>
      <w:tr w:rsidR="00C65DED" w:rsidRPr="00C65DED" w14:paraId="24D98D59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2FCBF5B7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Nayarit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3E9E405A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199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5817927D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67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1B5B9E6D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132</w:t>
            </w:r>
          </w:p>
        </w:tc>
      </w:tr>
      <w:tr w:rsidR="00C65DED" w:rsidRPr="00C65DED" w14:paraId="3B8553CC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49104954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Nuevo León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10D9E59F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941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124AD0E4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596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5B3C8348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345</w:t>
            </w:r>
          </w:p>
        </w:tc>
      </w:tr>
      <w:tr w:rsidR="00C65DED" w:rsidRPr="00C65DED" w14:paraId="43917030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04EC8F81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Oaxaca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024A0BE7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403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6DB74DB2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305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2C2C8906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98</w:t>
            </w:r>
          </w:p>
        </w:tc>
      </w:tr>
      <w:tr w:rsidR="00C65DED" w:rsidRPr="00C65DED" w14:paraId="581D1EA4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3D89C671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Puebla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698EB131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1 367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2230A455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1 312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3F1D0A33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55</w:t>
            </w:r>
          </w:p>
        </w:tc>
      </w:tr>
      <w:tr w:rsidR="00C65DED" w:rsidRPr="00C65DED" w14:paraId="0D58C4F7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702D6ACB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Querétaro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1966D932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394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19A718ED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378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3A73F3B2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16</w:t>
            </w:r>
          </w:p>
        </w:tc>
      </w:tr>
      <w:tr w:rsidR="00C65DED" w:rsidRPr="00C65DED" w14:paraId="20A1262C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2188EE48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Quintana Roo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1D29FCA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209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6ECD500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205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558313F3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4</w:t>
            </w:r>
          </w:p>
        </w:tc>
      </w:tr>
      <w:tr w:rsidR="00C65DED" w:rsidRPr="00C65DED" w14:paraId="3041A807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6142381B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San Luis Potosí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446F40A5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649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7B0FD5CD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505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298A0DD7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144</w:t>
            </w:r>
          </w:p>
        </w:tc>
      </w:tr>
      <w:tr w:rsidR="00C65DED" w:rsidRPr="00C65DED" w14:paraId="73A4C4A4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61D7F3DA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Sinaloa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34B2CDD5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277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4A8F43D6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59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752A525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218</w:t>
            </w:r>
          </w:p>
        </w:tc>
      </w:tr>
      <w:tr w:rsidR="00C65DED" w:rsidRPr="00C65DED" w14:paraId="40C7896F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1318B1E8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Sonora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356DBB2B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522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4DB228B4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497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46D0513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25</w:t>
            </w:r>
          </w:p>
        </w:tc>
      </w:tr>
      <w:tr w:rsidR="00C65DED" w:rsidRPr="00C65DED" w14:paraId="5D164C4F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41F04FD9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Tabasco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3B342095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388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59D2CB6B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259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06D2B92B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129</w:t>
            </w:r>
          </w:p>
        </w:tc>
      </w:tr>
      <w:tr w:rsidR="00C65DED" w:rsidRPr="00C65DED" w14:paraId="01B5A35E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3B7A5A8D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Tamaulipas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5FF0A39E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439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2DC1E0C8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185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01D92038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254</w:t>
            </w:r>
          </w:p>
        </w:tc>
      </w:tr>
      <w:tr w:rsidR="00C65DED" w:rsidRPr="00C65DED" w14:paraId="6AE63657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30490845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Tlaxcala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7CCF159A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218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2F7CA5A4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159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5BEB3F3F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59</w:t>
            </w:r>
          </w:p>
        </w:tc>
      </w:tr>
      <w:tr w:rsidR="00C65DED" w:rsidRPr="00C65DED" w14:paraId="35B140A5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1CBF9B5F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Veracruz de Ignacio de la Llave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7DB85769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1 172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23FE576C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1 026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6F6CA2DF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146</w:t>
            </w:r>
          </w:p>
        </w:tc>
      </w:tr>
      <w:tr w:rsidR="00C65DED" w:rsidRPr="00C65DED" w14:paraId="6D1FFE26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6C09C8B0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Yucatán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4E650478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555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auto" w:fill="auto"/>
            <w:noWrap/>
            <w:vAlign w:val="center"/>
            <w:hideMark/>
          </w:tcPr>
          <w:p w14:paraId="1469453D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397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9D08E"/>
            </w:tcBorders>
            <w:shd w:val="clear" w:color="000000" w:fill="FFFFFF"/>
            <w:noWrap/>
            <w:vAlign w:val="center"/>
            <w:hideMark/>
          </w:tcPr>
          <w:p w14:paraId="2592003E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158</w:t>
            </w:r>
          </w:p>
        </w:tc>
      </w:tr>
      <w:tr w:rsidR="00C65DED" w:rsidRPr="00C65DED" w14:paraId="0595162D" w14:textId="77777777" w:rsidTr="00C65DE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9D08E"/>
              <w:bottom w:val="single" w:sz="8" w:space="0" w:color="A9D08E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7F65D769" w14:textId="77777777" w:rsidR="00C65DED" w:rsidRPr="00C65DED" w:rsidRDefault="00C65DED" w:rsidP="00C65DED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Zacatecas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0105CEA9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56D5D214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204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000000" w:fill="D6E3BC"/>
            <w:noWrap/>
            <w:vAlign w:val="center"/>
            <w:hideMark/>
          </w:tcPr>
          <w:p w14:paraId="63E93B4E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</w:tr>
    </w:tbl>
    <w:p w14:paraId="5969A835" w14:textId="1233E569" w:rsidR="00AE0599" w:rsidRPr="00CA43B4" w:rsidRDefault="00AE0599" w:rsidP="00AE0599">
      <w:pPr>
        <w:pStyle w:val="Prrafodelista"/>
        <w:keepNext/>
        <w:tabs>
          <w:tab w:val="left" w:pos="851"/>
        </w:tabs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 Estadística</w:t>
      </w:r>
      <w:r w:rsidR="00056059">
        <w:rPr>
          <w:rFonts w:ascii="Arial" w:hAnsi="Arial" w:cs="Arial"/>
          <w:bCs/>
          <w:sz w:val="16"/>
          <w:szCs w:val="16"/>
        </w:rPr>
        <w:t>s</w:t>
      </w:r>
      <w:r w:rsidRPr="00CA43B4">
        <w:rPr>
          <w:rFonts w:ascii="Arial" w:hAnsi="Arial" w:cs="Arial"/>
          <w:bCs/>
          <w:sz w:val="16"/>
          <w:szCs w:val="16"/>
        </w:rPr>
        <w:t xml:space="preserve"> de Defunciones Fetales, 2021</w:t>
      </w:r>
    </w:p>
    <w:p w14:paraId="7DAD036D" w14:textId="77777777" w:rsidR="00A46A7F" w:rsidRPr="00CA43B4" w:rsidRDefault="00A46A7F">
      <w:pPr>
        <w:rPr>
          <w:rFonts w:ascii="Calibri" w:hAnsi="Calibri" w:cs="Calibri"/>
          <w:b/>
          <w:sz w:val="24"/>
          <w:szCs w:val="24"/>
        </w:rPr>
      </w:pPr>
      <w:r w:rsidRPr="00CA43B4">
        <w:rPr>
          <w:rFonts w:ascii="Calibri" w:hAnsi="Calibri" w:cs="Calibri"/>
          <w:b/>
          <w:sz w:val="24"/>
          <w:szCs w:val="24"/>
        </w:rPr>
        <w:br w:type="page"/>
      </w:r>
    </w:p>
    <w:p w14:paraId="669F10F9" w14:textId="74BE24F0" w:rsidR="003C140B" w:rsidRPr="00CA43B4" w:rsidRDefault="003C140B" w:rsidP="003C140B">
      <w:pPr>
        <w:autoSpaceDE w:val="0"/>
        <w:autoSpaceDN w:val="0"/>
        <w:adjustRightInd w:val="0"/>
        <w:ind w:left="142" w:firstLine="142"/>
        <w:jc w:val="center"/>
        <w:rPr>
          <w:rFonts w:ascii="Arial" w:hAnsi="Arial" w:cs="Arial"/>
          <w:b/>
          <w:sz w:val="24"/>
          <w:szCs w:val="24"/>
        </w:rPr>
      </w:pPr>
      <w:r w:rsidRPr="00CA43B4">
        <w:rPr>
          <w:rFonts w:ascii="Arial" w:hAnsi="Arial" w:cs="Arial"/>
          <w:b/>
          <w:sz w:val="24"/>
          <w:szCs w:val="24"/>
        </w:rPr>
        <w:lastRenderedPageBreak/>
        <w:t xml:space="preserve">ANEXO </w:t>
      </w:r>
      <w:r>
        <w:rPr>
          <w:rFonts w:ascii="Arial" w:hAnsi="Arial" w:cs="Arial"/>
          <w:b/>
          <w:sz w:val="24"/>
          <w:szCs w:val="24"/>
        </w:rPr>
        <w:t>2</w:t>
      </w:r>
    </w:p>
    <w:p w14:paraId="5666D2F9" w14:textId="1F48D033" w:rsidR="00064E46" w:rsidRPr="00CA43B4" w:rsidRDefault="00C12CBA" w:rsidP="0086774F">
      <w:pPr>
        <w:keepNext/>
        <w:autoSpaceDE w:val="0"/>
        <w:autoSpaceDN w:val="0"/>
        <w:adjustRightInd w:val="0"/>
        <w:spacing w:before="120" w:after="120"/>
        <w:ind w:left="993" w:right="163" w:hanging="993"/>
        <w:jc w:val="both"/>
        <w:rPr>
          <w:rFonts w:ascii="Arial Negrita" w:eastAsia="Times New Roman" w:hAnsi="Arial Negrita" w:cs="Arial"/>
          <w:b/>
          <w:smallCaps/>
          <w:lang w:eastAsia="es-ES"/>
        </w:rPr>
      </w:pPr>
      <w:r>
        <w:rPr>
          <w:rFonts w:ascii="Arial Negrita" w:eastAsia="Times New Roman" w:hAnsi="Arial Negrita" w:cs="Arial"/>
          <w:b/>
          <w:smallCaps/>
          <w:lang w:eastAsia="es-ES"/>
        </w:rPr>
        <w:t>Tabla</w:t>
      </w:r>
      <w:r w:rsidRPr="00CA43B4">
        <w:rPr>
          <w:rFonts w:ascii="Arial Negrita" w:eastAsia="Times New Roman" w:hAnsi="Arial Negrita" w:cs="Arial"/>
          <w:b/>
          <w:smallCaps/>
          <w:lang w:eastAsia="es-ES"/>
        </w:rPr>
        <w:t xml:space="preserve"> </w:t>
      </w:r>
      <w:r w:rsidR="00316D8D" w:rsidRPr="00CA43B4">
        <w:rPr>
          <w:rFonts w:ascii="Arial Negrita" w:eastAsia="Times New Roman" w:hAnsi="Arial Negrita" w:cs="Arial"/>
          <w:b/>
          <w:smallCaps/>
          <w:lang w:eastAsia="es-ES"/>
        </w:rPr>
        <w:t>2.</w:t>
      </w:r>
      <w:r w:rsidR="00316D8D" w:rsidRPr="00CA43B4">
        <w:rPr>
          <w:rFonts w:ascii="Arial Negrita" w:eastAsia="Times New Roman" w:hAnsi="Arial Negrita" w:cs="Arial"/>
          <w:b/>
          <w:smallCaps/>
          <w:lang w:eastAsia="es-ES"/>
        </w:rPr>
        <w:tab/>
      </w:r>
      <w:r w:rsidR="005E0507" w:rsidRPr="00CA43B4">
        <w:rPr>
          <w:rFonts w:ascii="Arial Negrita" w:eastAsia="Times New Roman" w:hAnsi="Arial Negrita" w:cs="Arial"/>
          <w:b/>
          <w:smallCaps/>
          <w:lang w:eastAsia="es-ES"/>
        </w:rPr>
        <w:t xml:space="preserve">Edad gestacional del producto </w:t>
      </w:r>
      <w:r w:rsidR="00496A18" w:rsidRPr="00CA43B4">
        <w:rPr>
          <w:rFonts w:ascii="Arial Negrita" w:eastAsia="Times New Roman" w:hAnsi="Arial Negrita" w:cs="Arial"/>
          <w:b/>
          <w:smallCaps/>
          <w:lang w:eastAsia="es-ES"/>
        </w:rPr>
        <w:t xml:space="preserve">que resultó en defunción fetal </w:t>
      </w:r>
      <w:r w:rsidR="005E0507" w:rsidRPr="00CA43B4">
        <w:rPr>
          <w:rFonts w:ascii="Arial Negrita" w:eastAsia="Times New Roman" w:hAnsi="Arial Negrita" w:cs="Arial"/>
          <w:b/>
          <w:smallCaps/>
          <w:lang w:eastAsia="es-ES"/>
        </w:rPr>
        <w:t>según consultas médicas que recibió la madre</w:t>
      </w:r>
      <w:r w:rsidR="009A6D27" w:rsidRPr="00CA43B4">
        <w:rPr>
          <w:rFonts w:ascii="Arial Negrita" w:eastAsia="Times New Roman" w:hAnsi="Arial Negrita" w:cs="Arial"/>
          <w:b/>
          <w:smallCaps/>
          <w:lang w:eastAsia="es-ES"/>
        </w:rPr>
        <w:t>, 2021</w:t>
      </w: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800"/>
        <w:gridCol w:w="900"/>
        <w:gridCol w:w="940"/>
        <w:gridCol w:w="1180"/>
        <w:gridCol w:w="1060"/>
        <w:gridCol w:w="1580"/>
        <w:gridCol w:w="1680"/>
      </w:tblGrid>
      <w:tr w:rsidR="00C65DED" w:rsidRPr="00C65DED" w14:paraId="0211F5AF" w14:textId="77777777" w:rsidTr="00C65DED">
        <w:trPr>
          <w:trHeight w:val="22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3048824E" w14:textId="47A8C951" w:rsidR="00C65DED" w:rsidRPr="00631A0D" w:rsidRDefault="00C65DED" w:rsidP="00C65DE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bottom"/>
            <w:hideMark/>
          </w:tcPr>
          <w:p w14:paraId="68BBA766" w14:textId="77777777" w:rsidR="00C65DED" w:rsidRPr="00631A0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631A0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Consultas médicas recibidas por la madre</w:t>
            </w:r>
          </w:p>
        </w:tc>
      </w:tr>
      <w:tr w:rsidR="00C65DED" w:rsidRPr="00C65DED" w14:paraId="45B5FA22" w14:textId="77777777" w:rsidTr="007D35B1">
        <w:trPr>
          <w:trHeight w:val="70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060AF732" w14:textId="7D007FD3" w:rsidR="00C65DED" w:rsidRPr="00631A0D" w:rsidRDefault="00FF787A" w:rsidP="007D35B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631A0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Edad gestacional</w:t>
            </w:r>
            <w:r w:rsidR="00C65DED" w:rsidRPr="00631A0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 xml:space="preserve"> (semanas)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DB9EA9E" w14:textId="77777777" w:rsidR="00C65DED" w:rsidRPr="00631A0D" w:rsidRDefault="00C65DED" w:rsidP="00FF787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631A0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Total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06A9BBD" w14:textId="77777777" w:rsidR="00C65DED" w:rsidRPr="00631A0D" w:rsidRDefault="00C65DED" w:rsidP="006161C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631A0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Ninguna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4E55F06" w14:textId="77777777" w:rsidR="00C65DED" w:rsidRPr="00631A0D" w:rsidRDefault="00C65DED" w:rsidP="006161C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631A0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De una a tres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E7B6051" w14:textId="77777777" w:rsidR="00C65DED" w:rsidRPr="00631A0D" w:rsidRDefault="00C65DED" w:rsidP="00834BD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631A0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De cuatro a seis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E2AD5EB" w14:textId="77777777" w:rsidR="00C65DED" w:rsidRPr="00631A0D" w:rsidRDefault="00C65DE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631A0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De siete o más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C5D980C" w14:textId="77777777" w:rsidR="00C65DED" w:rsidRPr="00631A0D" w:rsidRDefault="00C65DE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631A0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No especificó la cantidad de consultas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D9EF1FB" w14:textId="77777777" w:rsidR="00C65DED" w:rsidRPr="00631A0D" w:rsidRDefault="00C65DE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631A0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No especificó si recibió consultas</w:t>
            </w:r>
          </w:p>
        </w:tc>
      </w:tr>
      <w:tr w:rsidR="00C65DED" w:rsidRPr="00C65DED" w14:paraId="4075E719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BCEB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Total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8A05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23 000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A507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3 458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D4C2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6 126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00CC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8 093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88B8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4 376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E95E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6B8E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566</w:t>
            </w:r>
          </w:p>
        </w:tc>
      </w:tr>
      <w:tr w:rsidR="00C65DED" w:rsidRPr="00C65DED" w14:paraId="7B3E08F3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2F92FC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268C69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285</w:t>
            </w:r>
          </w:p>
        </w:tc>
        <w:tc>
          <w:tcPr>
            <w:tcW w:w="9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E58131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74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9A27F6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135</w:t>
            </w:r>
          </w:p>
        </w:tc>
        <w:tc>
          <w:tcPr>
            <w:tcW w:w="11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FC0F8A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21</w:t>
            </w:r>
          </w:p>
        </w:tc>
        <w:tc>
          <w:tcPr>
            <w:tcW w:w="10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ECEEAE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23</w:t>
            </w:r>
          </w:p>
        </w:tc>
        <w:tc>
          <w:tcPr>
            <w:tcW w:w="15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8D8957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4</w:t>
            </w:r>
          </w:p>
        </w:tc>
        <w:tc>
          <w:tcPr>
            <w:tcW w:w="16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DA9976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28</w:t>
            </w:r>
          </w:p>
        </w:tc>
      </w:tr>
      <w:tr w:rsidR="00C65DED" w:rsidRPr="00C65DED" w14:paraId="16D8BB4B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3E40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ED59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197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4FD7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C326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4CB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41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EB82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9F77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456A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</w:t>
            </w:r>
          </w:p>
        </w:tc>
      </w:tr>
      <w:tr w:rsidR="00C65DED" w:rsidRPr="00C65DED" w14:paraId="46E25D09" w14:textId="77777777" w:rsidTr="00C65DED">
        <w:trPr>
          <w:trHeight w:val="27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95E02D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C5CD1A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329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5A4578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83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280381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167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1B4FE5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53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D4CA8D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6B4C34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573D95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10</w:t>
            </w:r>
          </w:p>
        </w:tc>
      </w:tr>
      <w:tr w:rsidR="00C65DED" w:rsidRPr="00C65DED" w14:paraId="2BA33E97" w14:textId="77777777" w:rsidTr="00C65DED">
        <w:trPr>
          <w:trHeight w:val="27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0F4A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6EBD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347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80F04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85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4FBCC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166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C97CE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72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87361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F3D43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DF1D5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7</w:t>
            </w:r>
          </w:p>
        </w:tc>
      </w:tr>
      <w:tr w:rsidR="00C65DED" w:rsidRPr="00C65DED" w14:paraId="6D2380F6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A4E1E6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7B137D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1 607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A78192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371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228BBD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759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57B95D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337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6EE74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74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AA3A26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858A9E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50</w:t>
            </w:r>
          </w:p>
        </w:tc>
      </w:tr>
      <w:tr w:rsidR="00C65DED" w:rsidRPr="00C65DED" w14:paraId="0C9BB036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5059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22A6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785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81C9D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131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E728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342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B6C92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224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0FAB2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53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E80D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09908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20</w:t>
            </w:r>
          </w:p>
        </w:tc>
      </w:tr>
      <w:tr w:rsidR="00C65DED" w:rsidRPr="00C65DED" w14:paraId="104FDEB2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C3B519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0763BD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1 038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8A1376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211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1992DA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397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2367C5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313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50E1B5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82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EFC13B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D4E486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17</w:t>
            </w:r>
          </w:p>
        </w:tc>
      </w:tr>
      <w:tr w:rsidR="00C65DED" w:rsidRPr="00C65DED" w14:paraId="07DA9A60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095C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FF31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973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8BC7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137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1F306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354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4FAF4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357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C514F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92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82868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2D60E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20</w:t>
            </w:r>
          </w:p>
        </w:tc>
      </w:tr>
      <w:tr w:rsidR="00C65DED" w:rsidRPr="00C65DED" w14:paraId="7DEE0FDF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610CB2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30FCB3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1 552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5B3F4F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308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98A347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538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BC8BA5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496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462343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139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C3B7F4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74D3CC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41</w:t>
            </w:r>
          </w:p>
        </w:tc>
      </w:tr>
      <w:tr w:rsidR="00C65DED" w:rsidRPr="00C65DED" w14:paraId="352ACAC3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EB41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DF3A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1 133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479E7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139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577D9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356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38D02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470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56303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127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44966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0A9B2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25</w:t>
            </w:r>
          </w:p>
        </w:tc>
      </w:tr>
      <w:tr w:rsidR="00C65DED" w:rsidRPr="00C65DED" w14:paraId="6F408DA5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B15E0D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71EFF1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1 368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0EB482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2FD5C3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404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288177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553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FB9416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149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6CF26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9B135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23</w:t>
            </w:r>
          </w:p>
        </w:tc>
      </w:tr>
      <w:tr w:rsidR="00C65DED" w:rsidRPr="00C65DED" w14:paraId="57DA2E26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EBE1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D0CF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1 149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E6646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138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65371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BB886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500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28F12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150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78DB1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38536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24</w:t>
            </w:r>
          </w:p>
        </w:tc>
      </w:tr>
      <w:tr w:rsidR="00C65DED" w:rsidRPr="00C65DED" w14:paraId="753FCAF7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295739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04035F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1 171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0208EF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166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1DA639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7E93AD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494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F42BD1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152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41ADD7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B704CB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34</w:t>
            </w:r>
          </w:p>
        </w:tc>
      </w:tr>
      <w:tr w:rsidR="00C65DED" w:rsidRPr="00C65DED" w14:paraId="69B56ACC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6329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F86E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773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97A5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116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62D8B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209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E2F93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3DA77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117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0ECB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4CD51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16</w:t>
            </w:r>
          </w:p>
        </w:tc>
      </w:tr>
      <w:tr w:rsidR="00C65DED" w:rsidRPr="00C65DED" w14:paraId="4FE6820C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CF1429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4552FD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633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8DBBE7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96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6E80D5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172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514524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227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D66724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106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3FD3F4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B3057D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19</w:t>
            </w:r>
          </w:p>
        </w:tc>
      </w:tr>
      <w:tr w:rsidR="00C65DED" w:rsidRPr="00C65DED" w14:paraId="57DF450A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E6F1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8A9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500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77613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9A6D9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294B2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221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F3D8B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75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8BEEA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0BA13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12</w:t>
            </w:r>
          </w:p>
        </w:tc>
      </w:tr>
      <w:tr w:rsidR="00C65DED" w:rsidRPr="00C65DED" w14:paraId="070CE76E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687E2E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BD739D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649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09442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134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873D4B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160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472C87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235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841F6B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87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B626AF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F6E71B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21</w:t>
            </w:r>
          </w:p>
        </w:tc>
      </w:tr>
      <w:tr w:rsidR="00C65DED" w:rsidRPr="00C65DED" w14:paraId="39E79655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1AAA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ABF9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466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03C7C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54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D3065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80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67A3E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C776A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92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DDDA5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CEF5D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9</w:t>
            </w:r>
          </w:p>
        </w:tc>
      </w:tr>
      <w:tr w:rsidR="00C65DED" w:rsidRPr="00C65DED" w14:paraId="0E996E1C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7F02AA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95E7B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600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E5F9B1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85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A8E254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109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FF811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0726C3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131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6712E1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4C2E5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26</w:t>
            </w:r>
          </w:p>
        </w:tc>
      </w:tr>
      <w:tr w:rsidR="00C65DED" w:rsidRPr="00C65DED" w14:paraId="130D0214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E0BE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B82F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443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1B0C6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58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783A1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81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1A05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177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FFB53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110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965F5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95ACC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8</w:t>
            </w:r>
          </w:p>
        </w:tc>
      </w:tr>
      <w:tr w:rsidR="00C65DED" w:rsidRPr="00C65DED" w14:paraId="7FAEDBA0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15750E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389857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563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391DFE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69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4071B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80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5653A9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233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D47BB9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154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9B2F5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72F85D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9</w:t>
            </w:r>
          </w:p>
        </w:tc>
      </w:tr>
      <w:tr w:rsidR="00C65DED" w:rsidRPr="00C65DED" w14:paraId="42DDB3C5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9324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BC66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522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95351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55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E4875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86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E77E9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B0375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155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062DD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D9D7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15</w:t>
            </w:r>
          </w:p>
        </w:tc>
      </w:tr>
      <w:tr w:rsidR="00C65DED" w:rsidRPr="00C65DED" w14:paraId="051F7713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465D7D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7D64D7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653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92838A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CD33A8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436483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238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73BD12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231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294051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954908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15</w:t>
            </w:r>
          </w:p>
        </w:tc>
      </w:tr>
      <w:tr w:rsidR="00C65DED" w:rsidRPr="00C65DED" w14:paraId="28DE8DB1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CC1A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BDC3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621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5C426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44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2A545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71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B1C23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266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33CEA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219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49A74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60585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12</w:t>
            </w:r>
          </w:p>
        </w:tc>
      </w:tr>
      <w:tr w:rsidR="00C65DED" w:rsidRPr="00C65DED" w14:paraId="3A19A878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EE98FD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700C02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768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898A5C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63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8DB8E7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84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FB225A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283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61A585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305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17BC75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17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A57F82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16</w:t>
            </w:r>
          </w:p>
        </w:tc>
      </w:tr>
      <w:tr w:rsidR="00C65DED" w:rsidRPr="00C65DED" w14:paraId="09E417F8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E262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7475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834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5A8CF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9F43A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87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B258C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C227B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348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3B27C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31332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19</w:t>
            </w:r>
          </w:p>
        </w:tc>
      </w:tr>
      <w:tr w:rsidR="00C65DED" w:rsidRPr="00C65DED" w14:paraId="3C718CA0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783E6B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FF40A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927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5F04FB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97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4ED645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7EDAAC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294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97EEE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405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B3BA8C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088F63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12</w:t>
            </w:r>
          </w:p>
        </w:tc>
      </w:tr>
      <w:tr w:rsidR="00C65DED" w:rsidRPr="00C65DED" w14:paraId="031C4A7B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B0C9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06FB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808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39DAE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87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4F587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90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C034C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770D8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318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10097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04677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20</w:t>
            </w:r>
          </w:p>
        </w:tc>
      </w:tr>
      <w:tr w:rsidR="00C65DED" w:rsidRPr="00C65DED" w14:paraId="255A5259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6215D7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ECCC0D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811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5CCB57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116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F1A06B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77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A42494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276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1C1768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309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BAE238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857EB3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23</w:t>
            </w:r>
          </w:p>
        </w:tc>
      </w:tr>
      <w:tr w:rsidR="00C65DED" w:rsidRPr="00C65DED" w14:paraId="58E594BF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F873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41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1EA2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282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8F1F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649CB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42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9E723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4DCE4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94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AF2FE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8BDC9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5</w:t>
            </w:r>
          </w:p>
        </w:tc>
      </w:tr>
      <w:tr w:rsidR="00C65DED" w:rsidRPr="00C65DED" w14:paraId="43F764F3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883D39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42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A1ABBE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137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46718F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7F7D79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18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FD74FC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45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7D9BD9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43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D0A56E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673F61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4</w:t>
            </w:r>
          </w:p>
        </w:tc>
      </w:tr>
      <w:tr w:rsidR="00C65DED" w:rsidRPr="00C65DED" w14:paraId="06BF760E" w14:textId="77777777" w:rsidTr="00C65DE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889BC" w14:textId="77777777" w:rsidR="00C65DED" w:rsidRPr="00C65DED" w:rsidRDefault="00C65DED" w:rsidP="00C65DED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Edad no especificada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8A166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76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4B76C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D7D41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B0A58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8A2D0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B0564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AA2AD" w14:textId="77777777" w:rsidR="00C65DED" w:rsidRPr="00C65DED" w:rsidRDefault="00C65DED" w:rsidP="00C65DE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65DE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3</w:t>
            </w:r>
          </w:p>
        </w:tc>
      </w:tr>
    </w:tbl>
    <w:p w14:paraId="11F87559" w14:textId="6BF4B958" w:rsidR="00EE6BE0" w:rsidRDefault="00EE6BE0" w:rsidP="00316D8D">
      <w:pPr>
        <w:pStyle w:val="Prrafodelista"/>
        <w:keepNext/>
        <w:tabs>
          <w:tab w:val="left" w:pos="567"/>
        </w:tabs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 w:rsidRPr="00CA43B4">
        <w:rPr>
          <w:rFonts w:ascii="Arial" w:hAnsi="Arial" w:cs="Arial"/>
          <w:bCs/>
          <w:sz w:val="16"/>
          <w:szCs w:val="16"/>
        </w:rPr>
        <w:tab/>
        <w:t>Estadística</w:t>
      </w:r>
      <w:r w:rsidR="00056059">
        <w:rPr>
          <w:rFonts w:ascii="Arial" w:hAnsi="Arial" w:cs="Arial"/>
          <w:bCs/>
          <w:sz w:val="16"/>
          <w:szCs w:val="16"/>
        </w:rPr>
        <w:t>s</w:t>
      </w:r>
      <w:r w:rsidRPr="00CA43B4">
        <w:rPr>
          <w:rFonts w:ascii="Arial" w:hAnsi="Arial" w:cs="Arial"/>
          <w:bCs/>
          <w:sz w:val="16"/>
          <w:szCs w:val="16"/>
        </w:rPr>
        <w:t xml:space="preserve"> de </w:t>
      </w:r>
      <w:r w:rsidR="00316D8D" w:rsidRPr="00CA43B4">
        <w:rPr>
          <w:rFonts w:ascii="Arial" w:hAnsi="Arial" w:cs="Arial"/>
          <w:bCs/>
          <w:sz w:val="16"/>
          <w:szCs w:val="16"/>
        </w:rPr>
        <w:t>D</w:t>
      </w:r>
      <w:r w:rsidRPr="00CA43B4">
        <w:rPr>
          <w:rFonts w:ascii="Arial" w:hAnsi="Arial" w:cs="Arial"/>
          <w:bCs/>
          <w:sz w:val="16"/>
          <w:szCs w:val="16"/>
        </w:rPr>
        <w:t xml:space="preserve">efunciones </w:t>
      </w:r>
      <w:r w:rsidR="00316D8D" w:rsidRPr="00CA43B4">
        <w:rPr>
          <w:rFonts w:ascii="Arial" w:hAnsi="Arial" w:cs="Arial"/>
          <w:bCs/>
          <w:sz w:val="16"/>
          <w:szCs w:val="16"/>
        </w:rPr>
        <w:t>F</w:t>
      </w:r>
      <w:r w:rsidRPr="00CA43B4">
        <w:rPr>
          <w:rFonts w:ascii="Arial" w:hAnsi="Arial" w:cs="Arial"/>
          <w:bCs/>
          <w:sz w:val="16"/>
          <w:szCs w:val="16"/>
        </w:rPr>
        <w:t>etales, 2021</w:t>
      </w:r>
    </w:p>
    <w:sectPr w:rsidR="00EE6BE0" w:rsidSect="005476A5">
      <w:headerReference w:type="default" r:id="rId41"/>
      <w:footerReference w:type="default" r:id="rId42"/>
      <w:pgSz w:w="12240" w:h="15840"/>
      <w:pgMar w:top="2120" w:right="1020" w:bottom="680" w:left="1134" w:header="510" w:footer="497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70DE4" w16cex:dateUtc="2022-08-29T15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6D28E" w14:textId="77777777" w:rsidR="007F50B5" w:rsidRDefault="007F50B5">
      <w:r>
        <w:separator/>
      </w:r>
    </w:p>
  </w:endnote>
  <w:endnote w:type="continuationSeparator" w:id="0">
    <w:p w14:paraId="41064A9C" w14:textId="77777777" w:rsidR="007F50B5" w:rsidRDefault="007F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F0CE1" w14:textId="77777777" w:rsidR="003E771B" w:rsidRDefault="003E771B" w:rsidP="005476A5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</w:p>
  <w:p w14:paraId="63BFD3DE" w14:textId="43EB40F2" w:rsidR="003E771B" w:rsidRPr="00890D68" w:rsidRDefault="003E771B" w:rsidP="004C3D8B">
    <w:pPr>
      <w:pStyle w:val="Piedepgina"/>
      <w:tabs>
        <w:tab w:val="clear" w:pos="4419"/>
        <w:tab w:val="clear" w:pos="8838"/>
        <w:tab w:val="left" w:pos="1350"/>
        <w:tab w:val="center" w:pos="5043"/>
        <w:tab w:val="center" w:pos="5103"/>
        <w:tab w:val="left" w:pos="9781"/>
        <w:tab w:val="right" w:pos="10065"/>
      </w:tabs>
      <w:rPr>
        <w:rFonts w:ascii="Arial" w:hAnsi="Arial" w:cs="Arial"/>
        <w:b/>
        <w:color w:val="002060"/>
        <w:sz w:val="20"/>
        <w:szCs w:val="20"/>
      </w:rPr>
    </w:pPr>
    <w:r>
      <w:rPr>
        <w:rFonts w:ascii="Arial" w:hAnsi="Arial" w:cs="Arial"/>
        <w:b/>
        <w:color w:val="002060"/>
        <w:sz w:val="20"/>
        <w:szCs w:val="20"/>
      </w:rPr>
      <w:tab/>
    </w:r>
    <w:r>
      <w:rPr>
        <w:rFonts w:ascii="Arial" w:hAnsi="Arial" w:cs="Arial"/>
        <w:b/>
        <w:color w:val="002060"/>
        <w:sz w:val="20"/>
        <w:szCs w:val="20"/>
      </w:rPr>
      <w:tab/>
    </w:r>
    <w:r w:rsidRPr="00890D68">
      <w:rPr>
        <w:rFonts w:ascii="Arial" w:hAnsi="Arial" w:cs="Arial"/>
        <w:b/>
        <w:color w:val="002060"/>
        <w:sz w:val="20"/>
        <w:szCs w:val="20"/>
      </w:rPr>
      <w:t>COMUNICACIÓN SOCIAL</w:t>
    </w:r>
    <w:r>
      <w:rPr>
        <w:rFonts w:ascii="Arial" w:hAnsi="Arial" w:cs="Arial"/>
        <w:b/>
        <w:color w:val="00206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0153E" w14:textId="77777777" w:rsidR="003E771B" w:rsidRDefault="003E771B" w:rsidP="005476A5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</w:p>
  <w:p w14:paraId="2EEBD09A" w14:textId="77777777" w:rsidR="003E771B" w:rsidRDefault="003E771B" w:rsidP="005476A5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</w:p>
  <w:p w14:paraId="27AE7F0F" w14:textId="6F2574D1" w:rsidR="003E771B" w:rsidRPr="00890D68" w:rsidRDefault="003E771B" w:rsidP="00451776">
    <w:pPr>
      <w:pStyle w:val="Piedepgina"/>
      <w:tabs>
        <w:tab w:val="clear" w:pos="4419"/>
        <w:tab w:val="clear" w:pos="8838"/>
        <w:tab w:val="center" w:pos="5043"/>
        <w:tab w:val="center" w:pos="5103"/>
        <w:tab w:val="left" w:pos="9781"/>
        <w:tab w:val="right" w:pos="10065"/>
      </w:tabs>
      <w:rPr>
        <w:rFonts w:ascii="Arial" w:hAnsi="Arial" w:cs="Arial"/>
        <w:b/>
        <w:color w:val="002060"/>
        <w:sz w:val="20"/>
        <w:szCs w:val="20"/>
      </w:rPr>
    </w:pPr>
    <w:r>
      <w:rPr>
        <w:rFonts w:ascii="Arial" w:hAnsi="Arial" w:cs="Arial"/>
        <w:b/>
        <w:color w:val="002060"/>
        <w:sz w:val="20"/>
        <w:szCs w:val="20"/>
      </w:rPr>
      <w:tab/>
    </w:r>
    <w:r w:rsidRPr="00890D68">
      <w:rPr>
        <w:rFonts w:ascii="Arial" w:hAnsi="Arial" w:cs="Arial"/>
        <w:b/>
        <w:color w:val="002060"/>
        <w:sz w:val="20"/>
        <w:szCs w:val="20"/>
      </w:rPr>
      <w:t>COMUNICACIÓN SOCIAL</w:t>
    </w:r>
    <w:r>
      <w:rPr>
        <w:rFonts w:ascii="Arial" w:hAnsi="Arial" w:cs="Arial"/>
        <w:b/>
        <w:color w:val="00206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23A58" w14:textId="77777777" w:rsidR="007F50B5" w:rsidRDefault="007F50B5">
      <w:r>
        <w:separator/>
      </w:r>
    </w:p>
  </w:footnote>
  <w:footnote w:type="continuationSeparator" w:id="0">
    <w:p w14:paraId="6DE1C61C" w14:textId="77777777" w:rsidR="007F50B5" w:rsidRDefault="007F50B5">
      <w:r>
        <w:continuationSeparator/>
      </w:r>
    </w:p>
  </w:footnote>
  <w:footnote w:id="1">
    <w:p w14:paraId="10AE416A" w14:textId="055204D5" w:rsidR="003E771B" w:rsidRPr="006B5703" w:rsidRDefault="003E771B" w:rsidP="00384872">
      <w:pPr>
        <w:pStyle w:val="Textonotapie"/>
        <w:tabs>
          <w:tab w:val="left" w:pos="142"/>
        </w:tabs>
        <w:ind w:left="142" w:right="163" w:hanging="142"/>
        <w:jc w:val="both"/>
        <w:rPr>
          <w:rFonts w:ascii="Arial" w:hAnsi="Arial" w:cs="Arial"/>
          <w:sz w:val="16"/>
          <w:szCs w:val="16"/>
        </w:rPr>
      </w:pPr>
      <w:r w:rsidRPr="006B5703">
        <w:rPr>
          <w:rStyle w:val="Refdenotaalpie"/>
          <w:rFonts w:ascii="Arial" w:hAnsi="Arial" w:cs="Arial"/>
          <w:sz w:val="16"/>
          <w:szCs w:val="16"/>
        </w:rPr>
        <w:footnoteRef/>
      </w:r>
      <w:bookmarkStart w:id="1" w:name="_Hlk77871935"/>
      <w:bookmarkStart w:id="2" w:name="_Hlk77082388"/>
      <w:r>
        <w:rPr>
          <w:rFonts w:ascii="Arial" w:hAnsi="Arial" w:cs="Arial"/>
          <w:sz w:val="16"/>
          <w:szCs w:val="16"/>
        </w:rPr>
        <w:tab/>
      </w:r>
      <w:r w:rsidRPr="006B5703">
        <w:rPr>
          <w:rFonts w:ascii="Arial" w:hAnsi="Arial" w:cs="Arial"/>
          <w:sz w:val="16"/>
          <w:szCs w:val="16"/>
        </w:rPr>
        <w:t>El denominador de la tasa para el periodo 201</w:t>
      </w:r>
      <w:r>
        <w:rPr>
          <w:rFonts w:ascii="Arial" w:hAnsi="Arial" w:cs="Arial"/>
          <w:sz w:val="16"/>
          <w:szCs w:val="16"/>
        </w:rPr>
        <w:t>2</w:t>
      </w:r>
      <w:r w:rsidRPr="006B5703">
        <w:rPr>
          <w:rFonts w:ascii="Arial" w:hAnsi="Arial" w:cs="Arial"/>
          <w:sz w:val="16"/>
          <w:szCs w:val="16"/>
        </w:rPr>
        <w:t xml:space="preserve">-2019 corresponde a las proyecciones de población 2016-2050 </w:t>
      </w:r>
      <w:r w:rsidRPr="00A563A6">
        <w:rPr>
          <w:rFonts w:ascii="Arial" w:hAnsi="Arial" w:cs="Arial"/>
          <w:sz w:val="16"/>
          <w:szCs w:val="16"/>
        </w:rPr>
        <w:t>de</w:t>
      </w:r>
      <w:r>
        <w:rPr>
          <w:rFonts w:ascii="Arial" w:hAnsi="Arial" w:cs="Arial"/>
          <w:sz w:val="16"/>
          <w:szCs w:val="16"/>
        </w:rPr>
        <w:t>l Consejo Na</w:t>
      </w:r>
      <w:r w:rsidRPr="00A90152">
        <w:rPr>
          <w:rFonts w:ascii="Arial" w:hAnsi="Arial" w:cs="Arial"/>
          <w:sz w:val="16"/>
          <w:szCs w:val="16"/>
        </w:rPr>
        <w:t>ci</w:t>
      </w:r>
      <w:r>
        <w:rPr>
          <w:rFonts w:ascii="Arial" w:hAnsi="Arial" w:cs="Arial"/>
          <w:sz w:val="16"/>
          <w:szCs w:val="16"/>
        </w:rPr>
        <w:t>onal de Población</w:t>
      </w:r>
      <w:r w:rsidRPr="006B570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</w:t>
      </w:r>
      <w:r w:rsidRPr="006B5703">
        <w:rPr>
          <w:rFonts w:ascii="Arial" w:hAnsi="Arial" w:cs="Arial"/>
          <w:sz w:val="16"/>
          <w:szCs w:val="16"/>
        </w:rPr>
        <w:t>CONAPO</w:t>
      </w:r>
      <w:r>
        <w:rPr>
          <w:rFonts w:ascii="Arial" w:hAnsi="Arial" w:cs="Arial"/>
          <w:sz w:val="16"/>
          <w:szCs w:val="16"/>
        </w:rPr>
        <w:t>)</w:t>
      </w:r>
      <w:r w:rsidRPr="006B5703">
        <w:rPr>
          <w:rFonts w:ascii="Arial" w:hAnsi="Arial" w:cs="Arial"/>
          <w:sz w:val="16"/>
          <w:szCs w:val="16"/>
        </w:rPr>
        <w:t xml:space="preserve"> y a la Conciliación Demográfica de México, 1950-2015</w:t>
      </w:r>
      <w:r>
        <w:rPr>
          <w:rFonts w:ascii="Arial" w:hAnsi="Arial" w:cs="Arial"/>
          <w:sz w:val="16"/>
          <w:szCs w:val="16"/>
        </w:rPr>
        <w:t>; p</w:t>
      </w:r>
      <w:r w:rsidRPr="006B5703">
        <w:rPr>
          <w:rFonts w:ascii="Arial" w:hAnsi="Arial" w:cs="Arial"/>
          <w:sz w:val="16"/>
          <w:szCs w:val="16"/>
        </w:rPr>
        <w:t xml:space="preserve">ara </w:t>
      </w:r>
      <w:r>
        <w:rPr>
          <w:rFonts w:ascii="Arial" w:hAnsi="Arial" w:cs="Arial"/>
          <w:sz w:val="16"/>
          <w:szCs w:val="16"/>
        </w:rPr>
        <w:t>los</w:t>
      </w:r>
      <w:r w:rsidRPr="006B5703">
        <w:rPr>
          <w:rFonts w:ascii="Arial" w:hAnsi="Arial" w:cs="Arial"/>
          <w:sz w:val="16"/>
          <w:szCs w:val="16"/>
        </w:rPr>
        <w:t xml:space="preserve"> años 2020-202</w:t>
      </w:r>
      <w:r>
        <w:rPr>
          <w:rFonts w:ascii="Arial" w:hAnsi="Arial" w:cs="Arial"/>
          <w:sz w:val="16"/>
          <w:szCs w:val="16"/>
        </w:rPr>
        <w:t>1</w:t>
      </w:r>
      <w:r w:rsidRPr="006B5703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pacing w:val="2"/>
          <w:sz w:val="16"/>
          <w:szCs w:val="16"/>
        </w:rPr>
        <w:t>el denominador corresponde</w:t>
      </w:r>
      <w:r w:rsidRPr="008D07B4">
        <w:rPr>
          <w:rFonts w:ascii="Arial" w:hAnsi="Arial" w:cs="Arial"/>
          <w:spacing w:val="2"/>
          <w:sz w:val="16"/>
          <w:szCs w:val="16"/>
        </w:rPr>
        <w:t xml:space="preserve"> la estimación de población</w:t>
      </w:r>
      <w:r>
        <w:rPr>
          <w:rFonts w:ascii="Arial" w:hAnsi="Arial" w:cs="Arial"/>
          <w:spacing w:val="2"/>
          <w:sz w:val="16"/>
          <w:szCs w:val="16"/>
        </w:rPr>
        <w:t xml:space="preserve"> que elabora </w:t>
      </w:r>
      <w:r w:rsidRPr="008D07B4">
        <w:rPr>
          <w:rFonts w:ascii="Arial" w:hAnsi="Arial" w:cs="Arial"/>
          <w:spacing w:val="2"/>
          <w:sz w:val="16"/>
          <w:szCs w:val="16"/>
        </w:rPr>
        <w:t xml:space="preserve">el </w:t>
      </w:r>
      <w:r>
        <w:rPr>
          <w:rFonts w:ascii="Arial" w:hAnsi="Arial" w:cs="Arial"/>
          <w:spacing w:val="2"/>
          <w:sz w:val="16"/>
          <w:szCs w:val="16"/>
        </w:rPr>
        <w:t>Instituto Nacional de Estadística y Geografía (</w:t>
      </w:r>
      <w:r w:rsidRPr="008D07B4">
        <w:rPr>
          <w:rFonts w:ascii="Arial" w:hAnsi="Arial" w:cs="Arial"/>
          <w:spacing w:val="2"/>
          <w:sz w:val="16"/>
          <w:szCs w:val="16"/>
        </w:rPr>
        <w:t>INEGI</w:t>
      </w:r>
      <w:r>
        <w:rPr>
          <w:rFonts w:ascii="Arial" w:hAnsi="Arial" w:cs="Arial"/>
          <w:spacing w:val="2"/>
          <w:sz w:val="16"/>
          <w:szCs w:val="16"/>
        </w:rPr>
        <w:t>)</w:t>
      </w:r>
      <w:r w:rsidRPr="008D07B4">
        <w:rPr>
          <w:rFonts w:ascii="Arial" w:hAnsi="Arial" w:cs="Arial"/>
          <w:spacing w:val="2"/>
          <w:sz w:val="16"/>
          <w:szCs w:val="16"/>
        </w:rPr>
        <w:t xml:space="preserve"> con base en el Marco de Muestreo de Viviendas.</w:t>
      </w:r>
      <w:bookmarkEnd w:id="1"/>
      <w:bookmarkEnd w:id="2"/>
    </w:p>
  </w:footnote>
  <w:footnote w:id="2">
    <w:p w14:paraId="15750E3E" w14:textId="23571C1B" w:rsidR="003E771B" w:rsidRPr="0089036E" w:rsidRDefault="003E771B" w:rsidP="004C3D8B">
      <w:pPr>
        <w:pStyle w:val="Textonotapie"/>
        <w:ind w:left="142" w:right="163" w:hanging="142"/>
        <w:jc w:val="both"/>
        <w:rPr>
          <w:rFonts w:ascii="Arial" w:hAnsi="Arial" w:cs="Arial"/>
          <w:sz w:val="16"/>
          <w:szCs w:val="16"/>
          <w:lang w:val="es-MX"/>
        </w:rPr>
      </w:pPr>
      <w:r w:rsidRPr="0089036E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 w:rsidRPr="002442C7">
        <w:rPr>
          <w:rFonts w:ascii="Arial" w:hAnsi="Arial" w:cs="Arial"/>
          <w:sz w:val="16"/>
          <w:szCs w:val="16"/>
        </w:rPr>
        <w:t>Para este cálculo de la tasa</w:t>
      </w:r>
      <w:r>
        <w:rPr>
          <w:rFonts w:ascii="Arial" w:hAnsi="Arial" w:cs="Arial"/>
          <w:sz w:val="16"/>
          <w:szCs w:val="16"/>
        </w:rPr>
        <w:t>,</w:t>
      </w:r>
      <w:r w:rsidRPr="002442C7">
        <w:rPr>
          <w:rFonts w:ascii="Arial" w:hAnsi="Arial" w:cs="Arial"/>
          <w:sz w:val="16"/>
          <w:szCs w:val="16"/>
        </w:rPr>
        <w:t xml:space="preserve"> el denominador corresponde a la estimación de población que elabora el INEGI con base en el Marco de Muestreo de Viviendas</w:t>
      </w:r>
      <w:r w:rsidRPr="002442C7">
        <w:rPr>
          <w:rFonts w:ascii="Arial" w:hAnsi="Arial" w:cs="Arial"/>
          <w:spacing w:val="2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8D9DD" w14:textId="50D8EBD4" w:rsidR="003E771B" w:rsidRDefault="003E771B">
    <w:pPr>
      <w:spacing w:line="14" w:lineRule="auto"/>
      <w:rPr>
        <w:sz w:val="20"/>
        <w:szCs w:val="20"/>
      </w:rPr>
    </w:pPr>
    <w:r>
      <w:rPr>
        <w:noProof/>
        <w:lang w:val="es-MX" w:eastAsia="es-MX"/>
      </w:rPr>
      <w:drawing>
        <wp:anchor distT="0" distB="0" distL="114300" distR="114300" simplePos="0" relativeHeight="251660800" behindDoc="0" locked="0" layoutInCell="1" allowOverlap="1" wp14:anchorId="36190023" wp14:editId="566D3543">
          <wp:simplePos x="0" y="0"/>
          <wp:positionH relativeFrom="margin">
            <wp:posOffset>0</wp:posOffset>
          </wp:positionH>
          <wp:positionV relativeFrom="margin">
            <wp:posOffset>-984518</wp:posOffset>
          </wp:positionV>
          <wp:extent cx="676275" cy="701675"/>
          <wp:effectExtent l="0" t="0" r="9525" b="3175"/>
          <wp:wrapSquare wrapText="bothSides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0C36D02C" wp14:editId="2DDCCE93">
              <wp:simplePos x="0" y="0"/>
              <wp:positionH relativeFrom="margin">
                <wp:align>right</wp:align>
              </wp:positionH>
              <wp:positionV relativeFrom="page">
                <wp:posOffset>357721</wp:posOffset>
              </wp:positionV>
              <wp:extent cx="3219450" cy="528320"/>
              <wp:effectExtent l="0" t="0" r="0" b="508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04A5D" w14:textId="42160336" w:rsidR="003E771B" w:rsidRDefault="003E771B" w:rsidP="005476A5">
                          <w:pPr>
                            <w:spacing w:line="265" w:lineRule="exact"/>
                            <w:ind w:right="75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C</w:t>
                          </w:r>
                          <w:r w:rsidRPr="00890D68"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OM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UNICADO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 xml:space="preserve"> P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"/>
                              <w:sz w:val="24"/>
                            </w:rPr>
                            <w:t>RENSA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NÚM</w:t>
                          </w:r>
                          <w:r w:rsidRPr="008024DA"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 xml:space="preserve">. </w:t>
                          </w:r>
                          <w:r w:rsidR="009A0BB6"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486</w:t>
                          </w:r>
                          <w:r w:rsidRPr="0095723E"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/2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2</w:t>
                          </w:r>
                          <w:r w:rsidRPr="0095723E"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 xml:space="preserve"> </w:t>
                          </w:r>
                        </w:p>
                        <w:p w14:paraId="740196DE" w14:textId="77777777" w:rsidR="003E771B" w:rsidRDefault="003E771B" w:rsidP="005476A5">
                          <w:pPr>
                            <w:ind w:right="75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2060"/>
                              <w:sz w:val="24"/>
                            </w:rPr>
                            <w:t>31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pacing w:val="-5"/>
                              <w:sz w:val="24"/>
                            </w:rPr>
                            <w:t xml:space="preserve"> AGOSTO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z w:val="24"/>
                            </w:rPr>
                            <w:t>2022</w:t>
                          </w:r>
                        </w:p>
                        <w:p w14:paraId="7C05AE9E" w14:textId="314009AF" w:rsidR="003E771B" w:rsidRDefault="003E771B" w:rsidP="005476A5">
                          <w:pPr>
                            <w:ind w:right="75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7CCB">
                            <w:rPr>
                              <w:rFonts w:ascii="Arial" w:hAnsi="Arial"/>
                              <w:b/>
                              <w:noProof/>
                              <w:color w:val="002060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/</w:t>
                          </w:r>
                          <w:r w:rsidR="006161C1"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36D02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02.3pt;margin-top:28.15pt;width:253.5pt;height:41.6pt;z-index:-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Mjrw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VGnLTQogc6aHQrBrQ01ek7lYDTfQdueoBt6LLNVHV3oviuEBebmvA9XUsp+pqSEtj55qb77OqI&#10;owzIrv8kSghDDlpYoKGSrSkdFAMBOnTp8dwZQ6WAzVngx+Ecjgo4mwfR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" filled="f" stroked="f">
              <v:textbox inset="0,0,0,0">
                <w:txbxContent>
                  <w:p w14:paraId="08104A5D" w14:textId="42160336" w:rsidR="003E771B" w:rsidRDefault="003E771B" w:rsidP="005476A5">
                    <w:pPr>
                      <w:spacing w:line="265" w:lineRule="exact"/>
                      <w:ind w:right="75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C</w:t>
                    </w:r>
                    <w:r w:rsidRPr="00890D68"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OM</w:t>
                    </w: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UNICADO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 xml:space="preserve"> P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"/>
                        <w:sz w:val="24"/>
                      </w:rPr>
                      <w:t>RENSA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NÚM</w:t>
                    </w:r>
                    <w:r w:rsidRPr="008024DA"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 xml:space="preserve">. </w:t>
                    </w:r>
                    <w:r w:rsidR="009A0BB6"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486</w:t>
                    </w:r>
                    <w:r w:rsidRPr="0095723E"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/2</w:t>
                    </w: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2</w:t>
                    </w:r>
                    <w:r w:rsidRPr="0095723E"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 xml:space="preserve"> </w:t>
                    </w:r>
                  </w:p>
                  <w:p w14:paraId="740196DE" w14:textId="77777777" w:rsidR="003E771B" w:rsidRDefault="003E771B" w:rsidP="005476A5">
                    <w:pPr>
                      <w:ind w:right="75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color w:val="002060"/>
                        <w:sz w:val="24"/>
                      </w:rPr>
                      <w:t>31</w:t>
                    </w:r>
                    <w:r>
                      <w:rPr>
                        <w:rFonts w:ascii="Arial"/>
                        <w:b/>
                        <w:color w:val="00206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2060"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color w:val="002060"/>
                        <w:spacing w:val="-5"/>
                        <w:sz w:val="24"/>
                      </w:rPr>
                      <w:t xml:space="preserve"> AGOSTO</w:t>
                    </w:r>
                    <w:r>
                      <w:rPr>
                        <w:rFonts w:ascii="Arial"/>
                        <w:b/>
                        <w:color w:val="00206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2060"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color w:val="00206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2060"/>
                        <w:sz w:val="24"/>
                      </w:rPr>
                      <w:t>2022</w:t>
                    </w:r>
                  </w:p>
                  <w:p w14:paraId="7C05AE9E" w14:textId="314009AF" w:rsidR="003E771B" w:rsidRDefault="003E771B" w:rsidP="005476A5">
                    <w:pPr>
                      <w:ind w:right="75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3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77CCB">
                      <w:rPr>
                        <w:rFonts w:ascii="Arial" w:hAnsi="Arial"/>
                        <w:b/>
                        <w:noProof/>
                        <w:color w:val="002060"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/</w:t>
                    </w:r>
                    <w:r w:rsidR="006161C1"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15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sz w:val="20"/>
        <w:szCs w:val="20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1A64C" w14:textId="77777777" w:rsidR="003E771B" w:rsidRDefault="003E771B" w:rsidP="004C3D8B">
    <w:pPr>
      <w:spacing w:line="14" w:lineRule="auto"/>
      <w:ind w:right="163"/>
      <w:rPr>
        <w:sz w:val="20"/>
        <w:szCs w:val="20"/>
      </w:rPr>
    </w:pPr>
    <w:r>
      <w:rPr>
        <w:noProof/>
        <w:lang w:val="es-MX" w:eastAsia="es-MX"/>
      </w:rPr>
      <w:drawing>
        <wp:anchor distT="0" distB="0" distL="114300" distR="114300" simplePos="0" relativeHeight="251658752" behindDoc="0" locked="0" layoutInCell="1" allowOverlap="1" wp14:anchorId="12DDB054" wp14:editId="162F4044">
          <wp:simplePos x="0" y="0"/>
          <wp:positionH relativeFrom="margin">
            <wp:posOffset>2756535</wp:posOffset>
          </wp:positionH>
          <wp:positionV relativeFrom="margin">
            <wp:posOffset>-1041400</wp:posOffset>
          </wp:positionV>
          <wp:extent cx="857250" cy="889000"/>
          <wp:effectExtent l="0" t="0" r="0" b="635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6E4C"/>
    <w:multiLevelType w:val="hybridMultilevel"/>
    <w:tmpl w:val="5EA2D9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473BC"/>
    <w:multiLevelType w:val="hybridMultilevel"/>
    <w:tmpl w:val="D26CFA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525CC"/>
    <w:multiLevelType w:val="hybridMultilevel"/>
    <w:tmpl w:val="582C00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53BDC"/>
    <w:multiLevelType w:val="multilevel"/>
    <w:tmpl w:val="4030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93635"/>
    <w:multiLevelType w:val="hybridMultilevel"/>
    <w:tmpl w:val="A9B634EA"/>
    <w:lvl w:ilvl="0" w:tplc="4EA2143A">
      <w:start w:val="1"/>
      <w:numFmt w:val="bullet"/>
      <w:lvlText w:val=""/>
      <w:lvlJc w:val="left"/>
      <w:pPr>
        <w:ind w:left="823" w:hanging="283"/>
      </w:pPr>
      <w:rPr>
        <w:rFonts w:ascii="Symbol" w:eastAsia="Symbol" w:hAnsi="Symbol" w:hint="default"/>
        <w:w w:val="99"/>
        <w:sz w:val="24"/>
        <w:szCs w:val="24"/>
      </w:rPr>
    </w:lvl>
    <w:lvl w:ilvl="1" w:tplc="6810AB0A">
      <w:start w:val="1"/>
      <w:numFmt w:val="bullet"/>
      <w:lvlText w:val=""/>
      <w:lvlJc w:val="left"/>
      <w:pPr>
        <w:ind w:left="1112" w:hanging="357"/>
      </w:pPr>
      <w:rPr>
        <w:rFonts w:ascii="Symbol" w:eastAsia="Symbol" w:hAnsi="Symbol" w:hint="default"/>
        <w:sz w:val="24"/>
        <w:szCs w:val="24"/>
      </w:rPr>
    </w:lvl>
    <w:lvl w:ilvl="2" w:tplc="298898CE">
      <w:start w:val="1"/>
      <w:numFmt w:val="bullet"/>
      <w:lvlText w:val="•"/>
      <w:lvlJc w:val="left"/>
      <w:pPr>
        <w:ind w:left="2179" w:hanging="357"/>
      </w:pPr>
      <w:rPr>
        <w:rFonts w:hint="default"/>
      </w:rPr>
    </w:lvl>
    <w:lvl w:ilvl="3" w:tplc="AE9AB87C">
      <w:start w:val="1"/>
      <w:numFmt w:val="bullet"/>
      <w:lvlText w:val="•"/>
      <w:lvlJc w:val="left"/>
      <w:pPr>
        <w:ind w:left="3247" w:hanging="357"/>
      </w:pPr>
      <w:rPr>
        <w:rFonts w:hint="default"/>
      </w:rPr>
    </w:lvl>
    <w:lvl w:ilvl="4" w:tplc="23B42078">
      <w:start w:val="1"/>
      <w:numFmt w:val="bullet"/>
      <w:lvlText w:val="•"/>
      <w:lvlJc w:val="left"/>
      <w:pPr>
        <w:ind w:left="4314" w:hanging="357"/>
      </w:pPr>
      <w:rPr>
        <w:rFonts w:hint="default"/>
      </w:rPr>
    </w:lvl>
    <w:lvl w:ilvl="5" w:tplc="0F802342">
      <w:start w:val="1"/>
      <w:numFmt w:val="bullet"/>
      <w:lvlText w:val="•"/>
      <w:lvlJc w:val="left"/>
      <w:pPr>
        <w:ind w:left="5382" w:hanging="357"/>
      </w:pPr>
      <w:rPr>
        <w:rFonts w:hint="default"/>
      </w:rPr>
    </w:lvl>
    <w:lvl w:ilvl="6" w:tplc="228CA712">
      <w:start w:val="1"/>
      <w:numFmt w:val="bullet"/>
      <w:lvlText w:val="•"/>
      <w:lvlJc w:val="left"/>
      <w:pPr>
        <w:ind w:left="6449" w:hanging="357"/>
      </w:pPr>
      <w:rPr>
        <w:rFonts w:hint="default"/>
      </w:rPr>
    </w:lvl>
    <w:lvl w:ilvl="7" w:tplc="0AA6EC88">
      <w:start w:val="1"/>
      <w:numFmt w:val="bullet"/>
      <w:lvlText w:val="•"/>
      <w:lvlJc w:val="left"/>
      <w:pPr>
        <w:ind w:left="7517" w:hanging="357"/>
      </w:pPr>
      <w:rPr>
        <w:rFonts w:hint="default"/>
      </w:rPr>
    </w:lvl>
    <w:lvl w:ilvl="8" w:tplc="BB58A67A">
      <w:start w:val="1"/>
      <w:numFmt w:val="bullet"/>
      <w:lvlText w:val="•"/>
      <w:lvlJc w:val="left"/>
      <w:pPr>
        <w:ind w:left="8584" w:hanging="357"/>
      </w:pPr>
      <w:rPr>
        <w:rFonts w:hint="default"/>
      </w:rPr>
    </w:lvl>
  </w:abstractNum>
  <w:abstractNum w:abstractNumId="5" w15:restartNumberingAfterBreak="0">
    <w:nsid w:val="2DE44555"/>
    <w:multiLevelType w:val="multilevel"/>
    <w:tmpl w:val="0148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A4A52"/>
    <w:multiLevelType w:val="hybridMultilevel"/>
    <w:tmpl w:val="BC38208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F0749"/>
    <w:multiLevelType w:val="hybridMultilevel"/>
    <w:tmpl w:val="36FCA9B8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C3DC1"/>
    <w:multiLevelType w:val="hybridMultilevel"/>
    <w:tmpl w:val="D0B449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E220D"/>
    <w:multiLevelType w:val="hybridMultilevel"/>
    <w:tmpl w:val="BE041D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038BC"/>
    <w:multiLevelType w:val="hybridMultilevel"/>
    <w:tmpl w:val="69B49C3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C6CE4"/>
    <w:multiLevelType w:val="multilevel"/>
    <w:tmpl w:val="7804A8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5D034F"/>
    <w:multiLevelType w:val="hybridMultilevel"/>
    <w:tmpl w:val="1660CD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860B2"/>
    <w:multiLevelType w:val="hybridMultilevel"/>
    <w:tmpl w:val="BC78BB5E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81F7F"/>
    <w:multiLevelType w:val="hybridMultilevel"/>
    <w:tmpl w:val="16AE52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01AAB"/>
    <w:multiLevelType w:val="hybridMultilevel"/>
    <w:tmpl w:val="B4E2B0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103DC"/>
    <w:multiLevelType w:val="hybridMultilevel"/>
    <w:tmpl w:val="85C2EFEA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86862"/>
    <w:multiLevelType w:val="hybridMultilevel"/>
    <w:tmpl w:val="890867A2"/>
    <w:lvl w:ilvl="0" w:tplc="4CA0F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6"/>
  </w:num>
  <w:num w:numId="5">
    <w:abstractNumId w:val="7"/>
  </w:num>
  <w:num w:numId="6">
    <w:abstractNumId w:val="13"/>
  </w:num>
  <w:num w:numId="7">
    <w:abstractNumId w:val="15"/>
  </w:num>
  <w:num w:numId="8">
    <w:abstractNumId w:val="17"/>
  </w:num>
  <w:num w:numId="9">
    <w:abstractNumId w:val="8"/>
  </w:num>
  <w:num w:numId="10">
    <w:abstractNumId w:val="14"/>
  </w:num>
  <w:num w:numId="11">
    <w:abstractNumId w:val="0"/>
  </w:num>
  <w:num w:numId="12">
    <w:abstractNumId w:val="10"/>
  </w:num>
  <w:num w:numId="13">
    <w:abstractNumId w:val="12"/>
  </w:num>
  <w:num w:numId="14">
    <w:abstractNumId w:val="3"/>
  </w:num>
  <w:num w:numId="15">
    <w:abstractNumId w:val="5"/>
  </w:num>
  <w:num w:numId="16">
    <w:abstractNumId w:val="11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0F"/>
    <w:rsid w:val="00000940"/>
    <w:rsid w:val="00000F40"/>
    <w:rsid w:val="000013F5"/>
    <w:rsid w:val="0000289C"/>
    <w:rsid w:val="000041F4"/>
    <w:rsid w:val="00005996"/>
    <w:rsid w:val="00006535"/>
    <w:rsid w:val="00006A9E"/>
    <w:rsid w:val="00013903"/>
    <w:rsid w:val="0001485C"/>
    <w:rsid w:val="00015236"/>
    <w:rsid w:val="00015CE5"/>
    <w:rsid w:val="00020AB8"/>
    <w:rsid w:val="000214AA"/>
    <w:rsid w:val="00021E60"/>
    <w:rsid w:val="0002370B"/>
    <w:rsid w:val="0002377C"/>
    <w:rsid w:val="0002386B"/>
    <w:rsid w:val="00024DAD"/>
    <w:rsid w:val="00027174"/>
    <w:rsid w:val="0003051F"/>
    <w:rsid w:val="00033BE0"/>
    <w:rsid w:val="00036337"/>
    <w:rsid w:val="00037CD4"/>
    <w:rsid w:val="00040EA6"/>
    <w:rsid w:val="000415AE"/>
    <w:rsid w:val="000421C1"/>
    <w:rsid w:val="00042E9A"/>
    <w:rsid w:val="00044C5B"/>
    <w:rsid w:val="00046862"/>
    <w:rsid w:val="000511DC"/>
    <w:rsid w:val="00054BDE"/>
    <w:rsid w:val="00056059"/>
    <w:rsid w:val="000600D4"/>
    <w:rsid w:val="00060601"/>
    <w:rsid w:val="0006215B"/>
    <w:rsid w:val="000622D7"/>
    <w:rsid w:val="00063618"/>
    <w:rsid w:val="00064E46"/>
    <w:rsid w:val="0006799D"/>
    <w:rsid w:val="00067C80"/>
    <w:rsid w:val="000736AC"/>
    <w:rsid w:val="0007418F"/>
    <w:rsid w:val="000744AE"/>
    <w:rsid w:val="00075274"/>
    <w:rsid w:val="000755A8"/>
    <w:rsid w:val="00076034"/>
    <w:rsid w:val="00076833"/>
    <w:rsid w:val="000772B2"/>
    <w:rsid w:val="000776F8"/>
    <w:rsid w:val="00082E52"/>
    <w:rsid w:val="00083F63"/>
    <w:rsid w:val="00090931"/>
    <w:rsid w:val="000915A8"/>
    <w:rsid w:val="00091FF3"/>
    <w:rsid w:val="00094DBC"/>
    <w:rsid w:val="00095A9F"/>
    <w:rsid w:val="00096197"/>
    <w:rsid w:val="000A0699"/>
    <w:rsid w:val="000A3205"/>
    <w:rsid w:val="000A45B2"/>
    <w:rsid w:val="000A49E4"/>
    <w:rsid w:val="000A79CE"/>
    <w:rsid w:val="000B171C"/>
    <w:rsid w:val="000B63E8"/>
    <w:rsid w:val="000C06B5"/>
    <w:rsid w:val="000C1DF7"/>
    <w:rsid w:val="000C72E4"/>
    <w:rsid w:val="000C7CAB"/>
    <w:rsid w:val="000D01B2"/>
    <w:rsid w:val="000D04A8"/>
    <w:rsid w:val="000D2B54"/>
    <w:rsid w:val="000D32F9"/>
    <w:rsid w:val="000D3BB4"/>
    <w:rsid w:val="000D4BC4"/>
    <w:rsid w:val="000E2AF9"/>
    <w:rsid w:val="000E3352"/>
    <w:rsid w:val="000E5CF4"/>
    <w:rsid w:val="000F004A"/>
    <w:rsid w:val="000F4C4D"/>
    <w:rsid w:val="000F6218"/>
    <w:rsid w:val="00100DD4"/>
    <w:rsid w:val="001015E5"/>
    <w:rsid w:val="00101C1C"/>
    <w:rsid w:val="00103E96"/>
    <w:rsid w:val="00105450"/>
    <w:rsid w:val="00106C3B"/>
    <w:rsid w:val="001075F6"/>
    <w:rsid w:val="00111969"/>
    <w:rsid w:val="00114018"/>
    <w:rsid w:val="00115FFB"/>
    <w:rsid w:val="0012117A"/>
    <w:rsid w:val="00121AFE"/>
    <w:rsid w:val="00121DDC"/>
    <w:rsid w:val="00123EA8"/>
    <w:rsid w:val="00124389"/>
    <w:rsid w:val="00126BD5"/>
    <w:rsid w:val="00127F8E"/>
    <w:rsid w:val="001301DB"/>
    <w:rsid w:val="00130584"/>
    <w:rsid w:val="00130724"/>
    <w:rsid w:val="0013158C"/>
    <w:rsid w:val="00131816"/>
    <w:rsid w:val="001323A1"/>
    <w:rsid w:val="00133879"/>
    <w:rsid w:val="00134369"/>
    <w:rsid w:val="00134977"/>
    <w:rsid w:val="0013535A"/>
    <w:rsid w:val="00135EC5"/>
    <w:rsid w:val="00136161"/>
    <w:rsid w:val="00136A38"/>
    <w:rsid w:val="00140FBA"/>
    <w:rsid w:val="001421F4"/>
    <w:rsid w:val="0015263C"/>
    <w:rsid w:val="00152B2B"/>
    <w:rsid w:val="00164AAF"/>
    <w:rsid w:val="00166910"/>
    <w:rsid w:val="00171583"/>
    <w:rsid w:val="001761A0"/>
    <w:rsid w:val="00181ACD"/>
    <w:rsid w:val="00181DB9"/>
    <w:rsid w:val="00183155"/>
    <w:rsid w:val="00183E49"/>
    <w:rsid w:val="001858E7"/>
    <w:rsid w:val="00187405"/>
    <w:rsid w:val="00190711"/>
    <w:rsid w:val="00190CF4"/>
    <w:rsid w:val="0019131B"/>
    <w:rsid w:val="001944AC"/>
    <w:rsid w:val="00195BE0"/>
    <w:rsid w:val="0019720F"/>
    <w:rsid w:val="0019744E"/>
    <w:rsid w:val="001A6F0B"/>
    <w:rsid w:val="001A71AC"/>
    <w:rsid w:val="001B1F82"/>
    <w:rsid w:val="001B2762"/>
    <w:rsid w:val="001B4229"/>
    <w:rsid w:val="001B65C3"/>
    <w:rsid w:val="001B72DA"/>
    <w:rsid w:val="001B74F5"/>
    <w:rsid w:val="001C06AD"/>
    <w:rsid w:val="001C547B"/>
    <w:rsid w:val="001C5D1B"/>
    <w:rsid w:val="001D164C"/>
    <w:rsid w:val="001D1B4A"/>
    <w:rsid w:val="001D2371"/>
    <w:rsid w:val="001D3DFE"/>
    <w:rsid w:val="001D75A4"/>
    <w:rsid w:val="001D7995"/>
    <w:rsid w:val="001E1E91"/>
    <w:rsid w:val="001E2E43"/>
    <w:rsid w:val="001E5EDF"/>
    <w:rsid w:val="001E7950"/>
    <w:rsid w:val="001F4D1F"/>
    <w:rsid w:val="001F6245"/>
    <w:rsid w:val="001F682E"/>
    <w:rsid w:val="001F7B5B"/>
    <w:rsid w:val="002024EB"/>
    <w:rsid w:val="00206022"/>
    <w:rsid w:val="00207648"/>
    <w:rsid w:val="00211243"/>
    <w:rsid w:val="00212636"/>
    <w:rsid w:val="002203CC"/>
    <w:rsid w:val="00222813"/>
    <w:rsid w:val="00223DE1"/>
    <w:rsid w:val="00230941"/>
    <w:rsid w:val="00230F5B"/>
    <w:rsid w:val="00231B90"/>
    <w:rsid w:val="002327DC"/>
    <w:rsid w:val="00232848"/>
    <w:rsid w:val="0023468B"/>
    <w:rsid w:val="00234FBA"/>
    <w:rsid w:val="00241C41"/>
    <w:rsid w:val="002423FF"/>
    <w:rsid w:val="0024373D"/>
    <w:rsid w:val="002442C7"/>
    <w:rsid w:val="00245620"/>
    <w:rsid w:val="0024662C"/>
    <w:rsid w:val="002466A9"/>
    <w:rsid w:val="00246A0B"/>
    <w:rsid w:val="00247C29"/>
    <w:rsid w:val="00251648"/>
    <w:rsid w:val="00251F8E"/>
    <w:rsid w:val="002523BF"/>
    <w:rsid w:val="00254638"/>
    <w:rsid w:val="00255137"/>
    <w:rsid w:val="00255935"/>
    <w:rsid w:val="0026134E"/>
    <w:rsid w:val="0026584E"/>
    <w:rsid w:val="00265E8F"/>
    <w:rsid w:val="00266852"/>
    <w:rsid w:val="002676F1"/>
    <w:rsid w:val="0027230F"/>
    <w:rsid w:val="00272CF1"/>
    <w:rsid w:val="00273BCA"/>
    <w:rsid w:val="002751E1"/>
    <w:rsid w:val="00275736"/>
    <w:rsid w:val="00276A39"/>
    <w:rsid w:val="002778FF"/>
    <w:rsid w:val="00277F38"/>
    <w:rsid w:val="00277FC7"/>
    <w:rsid w:val="00281152"/>
    <w:rsid w:val="00281B44"/>
    <w:rsid w:val="00283ED3"/>
    <w:rsid w:val="002847ED"/>
    <w:rsid w:val="002852AB"/>
    <w:rsid w:val="002914B4"/>
    <w:rsid w:val="00292E07"/>
    <w:rsid w:val="00294180"/>
    <w:rsid w:val="00295FBB"/>
    <w:rsid w:val="00297740"/>
    <w:rsid w:val="002A097A"/>
    <w:rsid w:val="002A0B5A"/>
    <w:rsid w:val="002A1C26"/>
    <w:rsid w:val="002A39A2"/>
    <w:rsid w:val="002A4540"/>
    <w:rsid w:val="002A5608"/>
    <w:rsid w:val="002B094A"/>
    <w:rsid w:val="002B1C07"/>
    <w:rsid w:val="002B2738"/>
    <w:rsid w:val="002B3294"/>
    <w:rsid w:val="002B5A19"/>
    <w:rsid w:val="002D0401"/>
    <w:rsid w:val="002D24B8"/>
    <w:rsid w:val="002D2FEF"/>
    <w:rsid w:val="002D3E80"/>
    <w:rsid w:val="002D7994"/>
    <w:rsid w:val="002E1814"/>
    <w:rsid w:val="002E3316"/>
    <w:rsid w:val="002E344A"/>
    <w:rsid w:val="002E4743"/>
    <w:rsid w:val="002E4A19"/>
    <w:rsid w:val="002E4A55"/>
    <w:rsid w:val="002F2074"/>
    <w:rsid w:val="002F3967"/>
    <w:rsid w:val="002F3E79"/>
    <w:rsid w:val="002F6D43"/>
    <w:rsid w:val="002F7478"/>
    <w:rsid w:val="002F75B2"/>
    <w:rsid w:val="002F760E"/>
    <w:rsid w:val="002F7FAF"/>
    <w:rsid w:val="0030025A"/>
    <w:rsid w:val="0030069D"/>
    <w:rsid w:val="003052BE"/>
    <w:rsid w:val="00307342"/>
    <w:rsid w:val="003104C0"/>
    <w:rsid w:val="003105E0"/>
    <w:rsid w:val="003129D8"/>
    <w:rsid w:val="00313E3E"/>
    <w:rsid w:val="003140C1"/>
    <w:rsid w:val="0031426F"/>
    <w:rsid w:val="00314C15"/>
    <w:rsid w:val="00314F88"/>
    <w:rsid w:val="003161F4"/>
    <w:rsid w:val="003167F0"/>
    <w:rsid w:val="003168D7"/>
    <w:rsid w:val="00316D8D"/>
    <w:rsid w:val="00320697"/>
    <w:rsid w:val="00321350"/>
    <w:rsid w:val="003233F3"/>
    <w:rsid w:val="00324589"/>
    <w:rsid w:val="00327349"/>
    <w:rsid w:val="00330778"/>
    <w:rsid w:val="00333726"/>
    <w:rsid w:val="0033403F"/>
    <w:rsid w:val="0033533E"/>
    <w:rsid w:val="003369D6"/>
    <w:rsid w:val="003376F2"/>
    <w:rsid w:val="00341765"/>
    <w:rsid w:val="00342011"/>
    <w:rsid w:val="0034206E"/>
    <w:rsid w:val="0034244F"/>
    <w:rsid w:val="00343796"/>
    <w:rsid w:val="00345ACE"/>
    <w:rsid w:val="003462E9"/>
    <w:rsid w:val="00346926"/>
    <w:rsid w:val="00346A24"/>
    <w:rsid w:val="0035011B"/>
    <w:rsid w:val="003503B6"/>
    <w:rsid w:val="003510EB"/>
    <w:rsid w:val="003521ED"/>
    <w:rsid w:val="00352762"/>
    <w:rsid w:val="00352A10"/>
    <w:rsid w:val="003535A1"/>
    <w:rsid w:val="0035398E"/>
    <w:rsid w:val="003547E2"/>
    <w:rsid w:val="00355815"/>
    <w:rsid w:val="00356714"/>
    <w:rsid w:val="003577CE"/>
    <w:rsid w:val="0036129A"/>
    <w:rsid w:val="00363C42"/>
    <w:rsid w:val="003650C2"/>
    <w:rsid w:val="0037057B"/>
    <w:rsid w:val="00370B99"/>
    <w:rsid w:val="00372A4A"/>
    <w:rsid w:val="0037407F"/>
    <w:rsid w:val="00374C7E"/>
    <w:rsid w:val="0037669D"/>
    <w:rsid w:val="00376AB8"/>
    <w:rsid w:val="0037739C"/>
    <w:rsid w:val="00384872"/>
    <w:rsid w:val="00385E5C"/>
    <w:rsid w:val="00387EF4"/>
    <w:rsid w:val="00391318"/>
    <w:rsid w:val="00392385"/>
    <w:rsid w:val="00392B4A"/>
    <w:rsid w:val="0039494E"/>
    <w:rsid w:val="00396299"/>
    <w:rsid w:val="00396391"/>
    <w:rsid w:val="00396802"/>
    <w:rsid w:val="00396A5B"/>
    <w:rsid w:val="003A29C5"/>
    <w:rsid w:val="003A2F10"/>
    <w:rsid w:val="003A3745"/>
    <w:rsid w:val="003A45FD"/>
    <w:rsid w:val="003A63E7"/>
    <w:rsid w:val="003A6C0F"/>
    <w:rsid w:val="003B044E"/>
    <w:rsid w:val="003B52E9"/>
    <w:rsid w:val="003B7D0F"/>
    <w:rsid w:val="003C140B"/>
    <w:rsid w:val="003C22BE"/>
    <w:rsid w:val="003C3883"/>
    <w:rsid w:val="003C4301"/>
    <w:rsid w:val="003C732D"/>
    <w:rsid w:val="003D3842"/>
    <w:rsid w:val="003D39F0"/>
    <w:rsid w:val="003D3F8A"/>
    <w:rsid w:val="003D4A88"/>
    <w:rsid w:val="003E0857"/>
    <w:rsid w:val="003E09CD"/>
    <w:rsid w:val="003E4766"/>
    <w:rsid w:val="003E6DC6"/>
    <w:rsid w:val="003E771B"/>
    <w:rsid w:val="003F071D"/>
    <w:rsid w:val="003F1B3E"/>
    <w:rsid w:val="003F1D1F"/>
    <w:rsid w:val="003F5746"/>
    <w:rsid w:val="003F5B46"/>
    <w:rsid w:val="003F5F7F"/>
    <w:rsid w:val="003F66AF"/>
    <w:rsid w:val="003F7182"/>
    <w:rsid w:val="003F7CA6"/>
    <w:rsid w:val="00400111"/>
    <w:rsid w:val="0040041A"/>
    <w:rsid w:val="00402281"/>
    <w:rsid w:val="00405BFD"/>
    <w:rsid w:val="00411F95"/>
    <w:rsid w:val="00412E3C"/>
    <w:rsid w:val="004163F9"/>
    <w:rsid w:val="004171ED"/>
    <w:rsid w:val="00417540"/>
    <w:rsid w:val="0042173E"/>
    <w:rsid w:val="0042218A"/>
    <w:rsid w:val="00422DC8"/>
    <w:rsid w:val="0042522F"/>
    <w:rsid w:val="004256CE"/>
    <w:rsid w:val="004309C8"/>
    <w:rsid w:val="00431336"/>
    <w:rsid w:val="00431EFC"/>
    <w:rsid w:val="0043307B"/>
    <w:rsid w:val="004338F1"/>
    <w:rsid w:val="004355A5"/>
    <w:rsid w:val="00435B7B"/>
    <w:rsid w:val="00436D81"/>
    <w:rsid w:val="004416E6"/>
    <w:rsid w:val="00441C79"/>
    <w:rsid w:val="00446A82"/>
    <w:rsid w:val="00447DA1"/>
    <w:rsid w:val="00450620"/>
    <w:rsid w:val="00450780"/>
    <w:rsid w:val="004512B6"/>
    <w:rsid w:val="00451776"/>
    <w:rsid w:val="00451AA2"/>
    <w:rsid w:val="00452235"/>
    <w:rsid w:val="0045500E"/>
    <w:rsid w:val="00456A87"/>
    <w:rsid w:val="004610BE"/>
    <w:rsid w:val="004637B0"/>
    <w:rsid w:val="004721D1"/>
    <w:rsid w:val="004736CE"/>
    <w:rsid w:val="0047384A"/>
    <w:rsid w:val="00476629"/>
    <w:rsid w:val="00476A6C"/>
    <w:rsid w:val="004770EC"/>
    <w:rsid w:val="00477D57"/>
    <w:rsid w:val="00481B2D"/>
    <w:rsid w:val="00482F92"/>
    <w:rsid w:val="00483D74"/>
    <w:rsid w:val="0048457C"/>
    <w:rsid w:val="00485176"/>
    <w:rsid w:val="004869B7"/>
    <w:rsid w:val="00486FE7"/>
    <w:rsid w:val="0049019B"/>
    <w:rsid w:val="00490B1C"/>
    <w:rsid w:val="004962CC"/>
    <w:rsid w:val="004964EA"/>
    <w:rsid w:val="00496A18"/>
    <w:rsid w:val="004A0BE9"/>
    <w:rsid w:val="004A0FF4"/>
    <w:rsid w:val="004A2160"/>
    <w:rsid w:val="004A2368"/>
    <w:rsid w:val="004B0219"/>
    <w:rsid w:val="004B0685"/>
    <w:rsid w:val="004B0C7D"/>
    <w:rsid w:val="004B1E81"/>
    <w:rsid w:val="004B366A"/>
    <w:rsid w:val="004B3A6D"/>
    <w:rsid w:val="004B56D6"/>
    <w:rsid w:val="004B5B15"/>
    <w:rsid w:val="004B5C5A"/>
    <w:rsid w:val="004C3D8B"/>
    <w:rsid w:val="004C4A3A"/>
    <w:rsid w:val="004C5906"/>
    <w:rsid w:val="004D1F07"/>
    <w:rsid w:val="004D308A"/>
    <w:rsid w:val="004D3C85"/>
    <w:rsid w:val="004D3D0E"/>
    <w:rsid w:val="004D6E73"/>
    <w:rsid w:val="004D7AF8"/>
    <w:rsid w:val="004E0DCD"/>
    <w:rsid w:val="004E23CE"/>
    <w:rsid w:val="004E2793"/>
    <w:rsid w:val="004E2FFC"/>
    <w:rsid w:val="004E3CEC"/>
    <w:rsid w:val="004E3EDC"/>
    <w:rsid w:val="004E5956"/>
    <w:rsid w:val="004E5C09"/>
    <w:rsid w:val="004E5D02"/>
    <w:rsid w:val="004E692D"/>
    <w:rsid w:val="004E725A"/>
    <w:rsid w:val="004E7CD0"/>
    <w:rsid w:val="004F1DC9"/>
    <w:rsid w:val="004F6580"/>
    <w:rsid w:val="004F70CF"/>
    <w:rsid w:val="004F7919"/>
    <w:rsid w:val="00500E10"/>
    <w:rsid w:val="00501C35"/>
    <w:rsid w:val="00507127"/>
    <w:rsid w:val="0050717D"/>
    <w:rsid w:val="00512083"/>
    <w:rsid w:val="005163EC"/>
    <w:rsid w:val="0051647B"/>
    <w:rsid w:val="00521A20"/>
    <w:rsid w:val="005222ED"/>
    <w:rsid w:val="00527108"/>
    <w:rsid w:val="0052716F"/>
    <w:rsid w:val="0053166C"/>
    <w:rsid w:val="00531762"/>
    <w:rsid w:val="0053409E"/>
    <w:rsid w:val="005349B0"/>
    <w:rsid w:val="00534A45"/>
    <w:rsid w:val="0053617C"/>
    <w:rsid w:val="00537193"/>
    <w:rsid w:val="0054016D"/>
    <w:rsid w:val="005476A5"/>
    <w:rsid w:val="0055185A"/>
    <w:rsid w:val="005550EE"/>
    <w:rsid w:val="00556670"/>
    <w:rsid w:val="005574BA"/>
    <w:rsid w:val="00563001"/>
    <w:rsid w:val="00563FF8"/>
    <w:rsid w:val="005659F5"/>
    <w:rsid w:val="00565C2D"/>
    <w:rsid w:val="00566ACA"/>
    <w:rsid w:val="005677F8"/>
    <w:rsid w:val="0057232C"/>
    <w:rsid w:val="00573943"/>
    <w:rsid w:val="005744E6"/>
    <w:rsid w:val="005761C3"/>
    <w:rsid w:val="005762F2"/>
    <w:rsid w:val="00577CCB"/>
    <w:rsid w:val="00580435"/>
    <w:rsid w:val="0059085D"/>
    <w:rsid w:val="00591D47"/>
    <w:rsid w:val="00592B30"/>
    <w:rsid w:val="00594A46"/>
    <w:rsid w:val="00596247"/>
    <w:rsid w:val="005A1635"/>
    <w:rsid w:val="005A1BF5"/>
    <w:rsid w:val="005A4664"/>
    <w:rsid w:val="005A5AF9"/>
    <w:rsid w:val="005A6564"/>
    <w:rsid w:val="005A6DA3"/>
    <w:rsid w:val="005B0DD0"/>
    <w:rsid w:val="005B227C"/>
    <w:rsid w:val="005B2764"/>
    <w:rsid w:val="005B39AA"/>
    <w:rsid w:val="005B3B40"/>
    <w:rsid w:val="005B4946"/>
    <w:rsid w:val="005B4B83"/>
    <w:rsid w:val="005B5606"/>
    <w:rsid w:val="005B6CCF"/>
    <w:rsid w:val="005B7931"/>
    <w:rsid w:val="005C0F16"/>
    <w:rsid w:val="005C1184"/>
    <w:rsid w:val="005C2515"/>
    <w:rsid w:val="005C33BF"/>
    <w:rsid w:val="005C5BB4"/>
    <w:rsid w:val="005D0F3F"/>
    <w:rsid w:val="005D1348"/>
    <w:rsid w:val="005D1D17"/>
    <w:rsid w:val="005D2B06"/>
    <w:rsid w:val="005D2E4F"/>
    <w:rsid w:val="005D6125"/>
    <w:rsid w:val="005E01AE"/>
    <w:rsid w:val="005E04EC"/>
    <w:rsid w:val="005E0507"/>
    <w:rsid w:val="005E0DFC"/>
    <w:rsid w:val="005E6E95"/>
    <w:rsid w:val="005F105F"/>
    <w:rsid w:val="005F21D8"/>
    <w:rsid w:val="005F3984"/>
    <w:rsid w:val="005F5999"/>
    <w:rsid w:val="005F695C"/>
    <w:rsid w:val="005F71A3"/>
    <w:rsid w:val="00601D89"/>
    <w:rsid w:val="0060453A"/>
    <w:rsid w:val="00605AC6"/>
    <w:rsid w:val="00610998"/>
    <w:rsid w:val="00612335"/>
    <w:rsid w:val="00613BF3"/>
    <w:rsid w:val="00615B0D"/>
    <w:rsid w:val="00615FE4"/>
    <w:rsid w:val="006161C1"/>
    <w:rsid w:val="00622C0F"/>
    <w:rsid w:val="00625F8F"/>
    <w:rsid w:val="006279E1"/>
    <w:rsid w:val="00631A0D"/>
    <w:rsid w:val="00631FAB"/>
    <w:rsid w:val="00634370"/>
    <w:rsid w:val="006355D3"/>
    <w:rsid w:val="00635B71"/>
    <w:rsid w:val="00637492"/>
    <w:rsid w:val="006410A2"/>
    <w:rsid w:val="006425EC"/>
    <w:rsid w:val="006425EF"/>
    <w:rsid w:val="00642ACA"/>
    <w:rsid w:val="00646005"/>
    <w:rsid w:val="006466BA"/>
    <w:rsid w:val="00656D80"/>
    <w:rsid w:val="0066064A"/>
    <w:rsid w:val="00660F1D"/>
    <w:rsid w:val="006623AE"/>
    <w:rsid w:val="00663E4A"/>
    <w:rsid w:val="00664227"/>
    <w:rsid w:val="006658C6"/>
    <w:rsid w:val="006660C9"/>
    <w:rsid w:val="006664AA"/>
    <w:rsid w:val="00666B4A"/>
    <w:rsid w:val="00670C32"/>
    <w:rsid w:val="00674065"/>
    <w:rsid w:val="0067451C"/>
    <w:rsid w:val="00675CD6"/>
    <w:rsid w:val="006768AE"/>
    <w:rsid w:val="00680A33"/>
    <w:rsid w:val="00681224"/>
    <w:rsid w:val="00685D28"/>
    <w:rsid w:val="00691347"/>
    <w:rsid w:val="00693DBF"/>
    <w:rsid w:val="00694423"/>
    <w:rsid w:val="0069451C"/>
    <w:rsid w:val="006949FD"/>
    <w:rsid w:val="006971C8"/>
    <w:rsid w:val="006A0AB7"/>
    <w:rsid w:val="006A25A2"/>
    <w:rsid w:val="006A2F10"/>
    <w:rsid w:val="006A3D76"/>
    <w:rsid w:val="006A57D5"/>
    <w:rsid w:val="006B1271"/>
    <w:rsid w:val="006B2860"/>
    <w:rsid w:val="006B2919"/>
    <w:rsid w:val="006B3741"/>
    <w:rsid w:val="006B4172"/>
    <w:rsid w:val="006B5703"/>
    <w:rsid w:val="006B6EC3"/>
    <w:rsid w:val="006B7D9C"/>
    <w:rsid w:val="006C0567"/>
    <w:rsid w:val="006C0A35"/>
    <w:rsid w:val="006C1DF9"/>
    <w:rsid w:val="006C5C20"/>
    <w:rsid w:val="006D60DE"/>
    <w:rsid w:val="006E2620"/>
    <w:rsid w:val="006E50A6"/>
    <w:rsid w:val="006E780F"/>
    <w:rsid w:val="006F0185"/>
    <w:rsid w:val="006F4A39"/>
    <w:rsid w:val="006F4BC1"/>
    <w:rsid w:val="006F502C"/>
    <w:rsid w:val="006F6470"/>
    <w:rsid w:val="006F72D3"/>
    <w:rsid w:val="007006D8"/>
    <w:rsid w:val="007010DA"/>
    <w:rsid w:val="0070318E"/>
    <w:rsid w:val="0070341F"/>
    <w:rsid w:val="00705315"/>
    <w:rsid w:val="0071243D"/>
    <w:rsid w:val="00713EB8"/>
    <w:rsid w:val="00714855"/>
    <w:rsid w:val="0072081B"/>
    <w:rsid w:val="0072604A"/>
    <w:rsid w:val="007267DE"/>
    <w:rsid w:val="00726DF9"/>
    <w:rsid w:val="00727B88"/>
    <w:rsid w:val="00727C60"/>
    <w:rsid w:val="007305FB"/>
    <w:rsid w:val="00732797"/>
    <w:rsid w:val="00732E3E"/>
    <w:rsid w:val="00733193"/>
    <w:rsid w:val="00733AA2"/>
    <w:rsid w:val="0073403A"/>
    <w:rsid w:val="00734B21"/>
    <w:rsid w:val="00734EC6"/>
    <w:rsid w:val="0073547C"/>
    <w:rsid w:val="007364C1"/>
    <w:rsid w:val="00736EC6"/>
    <w:rsid w:val="00737A4C"/>
    <w:rsid w:val="007414D4"/>
    <w:rsid w:val="007420EC"/>
    <w:rsid w:val="00742475"/>
    <w:rsid w:val="0074449F"/>
    <w:rsid w:val="00744C17"/>
    <w:rsid w:val="0074791A"/>
    <w:rsid w:val="00750A6B"/>
    <w:rsid w:val="0075163F"/>
    <w:rsid w:val="007535E8"/>
    <w:rsid w:val="00753BFD"/>
    <w:rsid w:val="0075605F"/>
    <w:rsid w:val="007577D2"/>
    <w:rsid w:val="007644DB"/>
    <w:rsid w:val="007645C5"/>
    <w:rsid w:val="00764B0E"/>
    <w:rsid w:val="00767A4E"/>
    <w:rsid w:val="00771371"/>
    <w:rsid w:val="00771AD8"/>
    <w:rsid w:val="00772213"/>
    <w:rsid w:val="00776268"/>
    <w:rsid w:val="007765A7"/>
    <w:rsid w:val="00780E74"/>
    <w:rsid w:val="007820B1"/>
    <w:rsid w:val="00782E8D"/>
    <w:rsid w:val="00787C28"/>
    <w:rsid w:val="00790159"/>
    <w:rsid w:val="007906A9"/>
    <w:rsid w:val="00792545"/>
    <w:rsid w:val="007927F6"/>
    <w:rsid w:val="00793A3F"/>
    <w:rsid w:val="007973E7"/>
    <w:rsid w:val="00797B38"/>
    <w:rsid w:val="007A288A"/>
    <w:rsid w:val="007A3658"/>
    <w:rsid w:val="007A5036"/>
    <w:rsid w:val="007A627A"/>
    <w:rsid w:val="007A6A0F"/>
    <w:rsid w:val="007B022D"/>
    <w:rsid w:val="007B06D2"/>
    <w:rsid w:val="007B1B4C"/>
    <w:rsid w:val="007B55C8"/>
    <w:rsid w:val="007C3078"/>
    <w:rsid w:val="007C3897"/>
    <w:rsid w:val="007C3ACB"/>
    <w:rsid w:val="007C52DE"/>
    <w:rsid w:val="007C562E"/>
    <w:rsid w:val="007C7F57"/>
    <w:rsid w:val="007D0C2B"/>
    <w:rsid w:val="007D32B8"/>
    <w:rsid w:val="007D35B1"/>
    <w:rsid w:val="007D5B35"/>
    <w:rsid w:val="007D7A98"/>
    <w:rsid w:val="007E1195"/>
    <w:rsid w:val="007E2198"/>
    <w:rsid w:val="007E2E6B"/>
    <w:rsid w:val="007E4E48"/>
    <w:rsid w:val="007E630F"/>
    <w:rsid w:val="007E6430"/>
    <w:rsid w:val="007E74C3"/>
    <w:rsid w:val="007E7557"/>
    <w:rsid w:val="007F10CB"/>
    <w:rsid w:val="007F1492"/>
    <w:rsid w:val="007F1B9B"/>
    <w:rsid w:val="007F43F5"/>
    <w:rsid w:val="007F50B5"/>
    <w:rsid w:val="007F605B"/>
    <w:rsid w:val="007F72DF"/>
    <w:rsid w:val="0080182F"/>
    <w:rsid w:val="00801DF3"/>
    <w:rsid w:val="008024DA"/>
    <w:rsid w:val="00803F84"/>
    <w:rsid w:val="008045B7"/>
    <w:rsid w:val="00806E4D"/>
    <w:rsid w:val="008071C9"/>
    <w:rsid w:val="0080738F"/>
    <w:rsid w:val="008160A7"/>
    <w:rsid w:val="0082301F"/>
    <w:rsid w:val="00823422"/>
    <w:rsid w:val="00823C27"/>
    <w:rsid w:val="008247B8"/>
    <w:rsid w:val="0082752F"/>
    <w:rsid w:val="008311D1"/>
    <w:rsid w:val="0083242A"/>
    <w:rsid w:val="00832A57"/>
    <w:rsid w:val="00834BDD"/>
    <w:rsid w:val="00835744"/>
    <w:rsid w:val="00835F9D"/>
    <w:rsid w:val="00836AA5"/>
    <w:rsid w:val="00840D8E"/>
    <w:rsid w:val="0084120D"/>
    <w:rsid w:val="00841D00"/>
    <w:rsid w:val="00841D82"/>
    <w:rsid w:val="0084271C"/>
    <w:rsid w:val="0084392C"/>
    <w:rsid w:val="00844DBF"/>
    <w:rsid w:val="00844F87"/>
    <w:rsid w:val="00845A61"/>
    <w:rsid w:val="008461E5"/>
    <w:rsid w:val="00850702"/>
    <w:rsid w:val="008515B9"/>
    <w:rsid w:val="0085374E"/>
    <w:rsid w:val="00853B21"/>
    <w:rsid w:val="00853BB1"/>
    <w:rsid w:val="008559B4"/>
    <w:rsid w:val="00857640"/>
    <w:rsid w:val="00857C81"/>
    <w:rsid w:val="00860D1B"/>
    <w:rsid w:val="00860F5E"/>
    <w:rsid w:val="00860FED"/>
    <w:rsid w:val="008612C4"/>
    <w:rsid w:val="0086199F"/>
    <w:rsid w:val="008627A5"/>
    <w:rsid w:val="00863214"/>
    <w:rsid w:val="00863764"/>
    <w:rsid w:val="008637A8"/>
    <w:rsid w:val="0086710D"/>
    <w:rsid w:val="0086774F"/>
    <w:rsid w:val="0087042F"/>
    <w:rsid w:val="0087055B"/>
    <w:rsid w:val="008713A9"/>
    <w:rsid w:val="008713EC"/>
    <w:rsid w:val="00871B83"/>
    <w:rsid w:val="00880108"/>
    <w:rsid w:val="0088271B"/>
    <w:rsid w:val="008834A8"/>
    <w:rsid w:val="00883881"/>
    <w:rsid w:val="0088609E"/>
    <w:rsid w:val="00886304"/>
    <w:rsid w:val="00886646"/>
    <w:rsid w:val="00886C0F"/>
    <w:rsid w:val="00887ABC"/>
    <w:rsid w:val="00887EED"/>
    <w:rsid w:val="0089036E"/>
    <w:rsid w:val="008903A7"/>
    <w:rsid w:val="00890D68"/>
    <w:rsid w:val="008913E6"/>
    <w:rsid w:val="0089268E"/>
    <w:rsid w:val="00892CF6"/>
    <w:rsid w:val="00893084"/>
    <w:rsid w:val="00894015"/>
    <w:rsid w:val="00894069"/>
    <w:rsid w:val="008A25F8"/>
    <w:rsid w:val="008A658E"/>
    <w:rsid w:val="008B0A5C"/>
    <w:rsid w:val="008B1C67"/>
    <w:rsid w:val="008B1C72"/>
    <w:rsid w:val="008B3DE1"/>
    <w:rsid w:val="008B4F32"/>
    <w:rsid w:val="008B56D8"/>
    <w:rsid w:val="008B5D8E"/>
    <w:rsid w:val="008B6BA5"/>
    <w:rsid w:val="008B75E0"/>
    <w:rsid w:val="008C2C57"/>
    <w:rsid w:val="008C398E"/>
    <w:rsid w:val="008C479C"/>
    <w:rsid w:val="008C49E9"/>
    <w:rsid w:val="008C5C97"/>
    <w:rsid w:val="008C6C86"/>
    <w:rsid w:val="008D02F3"/>
    <w:rsid w:val="008D098B"/>
    <w:rsid w:val="008D10FF"/>
    <w:rsid w:val="008D1641"/>
    <w:rsid w:val="008D27B2"/>
    <w:rsid w:val="008D3D13"/>
    <w:rsid w:val="008D58BC"/>
    <w:rsid w:val="008E0B73"/>
    <w:rsid w:val="008E325A"/>
    <w:rsid w:val="008E4C85"/>
    <w:rsid w:val="008F0771"/>
    <w:rsid w:val="008F0F62"/>
    <w:rsid w:val="008F1281"/>
    <w:rsid w:val="008F3CAD"/>
    <w:rsid w:val="008F6B20"/>
    <w:rsid w:val="008F7F53"/>
    <w:rsid w:val="009036FE"/>
    <w:rsid w:val="009039B5"/>
    <w:rsid w:val="00905B99"/>
    <w:rsid w:val="00906D74"/>
    <w:rsid w:val="009075A0"/>
    <w:rsid w:val="0091427C"/>
    <w:rsid w:val="00914A9B"/>
    <w:rsid w:val="00914A9E"/>
    <w:rsid w:val="00915782"/>
    <w:rsid w:val="009168ED"/>
    <w:rsid w:val="00916B94"/>
    <w:rsid w:val="00917617"/>
    <w:rsid w:val="009176BE"/>
    <w:rsid w:val="00925BE7"/>
    <w:rsid w:val="00926AD9"/>
    <w:rsid w:val="0093768F"/>
    <w:rsid w:val="00941F69"/>
    <w:rsid w:val="0094372D"/>
    <w:rsid w:val="0094411E"/>
    <w:rsid w:val="00944ED5"/>
    <w:rsid w:val="009451A9"/>
    <w:rsid w:val="0094671E"/>
    <w:rsid w:val="00955F14"/>
    <w:rsid w:val="00956497"/>
    <w:rsid w:val="009566EB"/>
    <w:rsid w:val="00956E86"/>
    <w:rsid w:val="0095723E"/>
    <w:rsid w:val="00957D60"/>
    <w:rsid w:val="009615CE"/>
    <w:rsid w:val="00965863"/>
    <w:rsid w:val="009704D6"/>
    <w:rsid w:val="00971B85"/>
    <w:rsid w:val="00971D5B"/>
    <w:rsid w:val="0097211B"/>
    <w:rsid w:val="00973319"/>
    <w:rsid w:val="009738AD"/>
    <w:rsid w:val="00974DF9"/>
    <w:rsid w:val="00976262"/>
    <w:rsid w:val="009827E8"/>
    <w:rsid w:val="009905DD"/>
    <w:rsid w:val="0099226D"/>
    <w:rsid w:val="00993D6C"/>
    <w:rsid w:val="0099428C"/>
    <w:rsid w:val="00994A0E"/>
    <w:rsid w:val="00996E50"/>
    <w:rsid w:val="009A0BB6"/>
    <w:rsid w:val="009A3176"/>
    <w:rsid w:val="009A37E2"/>
    <w:rsid w:val="009A6149"/>
    <w:rsid w:val="009A6D27"/>
    <w:rsid w:val="009A7554"/>
    <w:rsid w:val="009A77A8"/>
    <w:rsid w:val="009A7EE6"/>
    <w:rsid w:val="009B2F32"/>
    <w:rsid w:val="009B4C1D"/>
    <w:rsid w:val="009B6843"/>
    <w:rsid w:val="009B722C"/>
    <w:rsid w:val="009B7B41"/>
    <w:rsid w:val="009C10DD"/>
    <w:rsid w:val="009C1546"/>
    <w:rsid w:val="009C23C6"/>
    <w:rsid w:val="009C43B1"/>
    <w:rsid w:val="009C5713"/>
    <w:rsid w:val="009C583F"/>
    <w:rsid w:val="009C5AAE"/>
    <w:rsid w:val="009C60E6"/>
    <w:rsid w:val="009C69BE"/>
    <w:rsid w:val="009C74D9"/>
    <w:rsid w:val="009C7FEA"/>
    <w:rsid w:val="009D0375"/>
    <w:rsid w:val="009D6B69"/>
    <w:rsid w:val="009D771C"/>
    <w:rsid w:val="009E0764"/>
    <w:rsid w:val="009E1E7D"/>
    <w:rsid w:val="009E212A"/>
    <w:rsid w:val="009E25D6"/>
    <w:rsid w:val="009E2EDD"/>
    <w:rsid w:val="009E5F4A"/>
    <w:rsid w:val="009E658C"/>
    <w:rsid w:val="009E6826"/>
    <w:rsid w:val="009F00C8"/>
    <w:rsid w:val="009F13A3"/>
    <w:rsid w:val="009F3587"/>
    <w:rsid w:val="009F4F69"/>
    <w:rsid w:val="009F58E2"/>
    <w:rsid w:val="009F5F53"/>
    <w:rsid w:val="009F6EE5"/>
    <w:rsid w:val="00A00B9E"/>
    <w:rsid w:val="00A01C3B"/>
    <w:rsid w:val="00A0423E"/>
    <w:rsid w:val="00A06CCB"/>
    <w:rsid w:val="00A07659"/>
    <w:rsid w:val="00A104C2"/>
    <w:rsid w:val="00A109C7"/>
    <w:rsid w:val="00A10C32"/>
    <w:rsid w:val="00A123F0"/>
    <w:rsid w:val="00A12C9E"/>
    <w:rsid w:val="00A157EA"/>
    <w:rsid w:val="00A15C2A"/>
    <w:rsid w:val="00A1630C"/>
    <w:rsid w:val="00A16B09"/>
    <w:rsid w:val="00A20124"/>
    <w:rsid w:val="00A203D7"/>
    <w:rsid w:val="00A223ED"/>
    <w:rsid w:val="00A23694"/>
    <w:rsid w:val="00A23E1E"/>
    <w:rsid w:val="00A25C10"/>
    <w:rsid w:val="00A25E81"/>
    <w:rsid w:val="00A26613"/>
    <w:rsid w:val="00A267B7"/>
    <w:rsid w:val="00A26F13"/>
    <w:rsid w:val="00A31701"/>
    <w:rsid w:val="00A31DE9"/>
    <w:rsid w:val="00A331F6"/>
    <w:rsid w:val="00A3440F"/>
    <w:rsid w:val="00A349E9"/>
    <w:rsid w:val="00A35C9E"/>
    <w:rsid w:val="00A35DF0"/>
    <w:rsid w:val="00A37673"/>
    <w:rsid w:val="00A4000E"/>
    <w:rsid w:val="00A4010C"/>
    <w:rsid w:val="00A44284"/>
    <w:rsid w:val="00A46A7F"/>
    <w:rsid w:val="00A52CFF"/>
    <w:rsid w:val="00A61B1A"/>
    <w:rsid w:val="00A61F0B"/>
    <w:rsid w:val="00A63B9F"/>
    <w:rsid w:val="00A66029"/>
    <w:rsid w:val="00A67C15"/>
    <w:rsid w:val="00A67D75"/>
    <w:rsid w:val="00A70552"/>
    <w:rsid w:val="00A72E3A"/>
    <w:rsid w:val="00A761FE"/>
    <w:rsid w:val="00A7723A"/>
    <w:rsid w:val="00A801F8"/>
    <w:rsid w:val="00A80783"/>
    <w:rsid w:val="00A811C1"/>
    <w:rsid w:val="00A81343"/>
    <w:rsid w:val="00A81F71"/>
    <w:rsid w:val="00A86B13"/>
    <w:rsid w:val="00A90449"/>
    <w:rsid w:val="00A94252"/>
    <w:rsid w:val="00A94311"/>
    <w:rsid w:val="00AA0317"/>
    <w:rsid w:val="00AA0AC5"/>
    <w:rsid w:val="00AA1625"/>
    <w:rsid w:val="00AA31EA"/>
    <w:rsid w:val="00AA7488"/>
    <w:rsid w:val="00AB179D"/>
    <w:rsid w:val="00AB49A8"/>
    <w:rsid w:val="00AB4C09"/>
    <w:rsid w:val="00AB53A0"/>
    <w:rsid w:val="00AB793E"/>
    <w:rsid w:val="00AB7CE1"/>
    <w:rsid w:val="00AC0311"/>
    <w:rsid w:val="00AC19ED"/>
    <w:rsid w:val="00AC3F13"/>
    <w:rsid w:val="00AC4507"/>
    <w:rsid w:val="00AC5B96"/>
    <w:rsid w:val="00AD11BE"/>
    <w:rsid w:val="00AD3D23"/>
    <w:rsid w:val="00AD4892"/>
    <w:rsid w:val="00AE0599"/>
    <w:rsid w:val="00AE1A54"/>
    <w:rsid w:val="00AE3CF9"/>
    <w:rsid w:val="00AF073E"/>
    <w:rsid w:val="00AF1BEA"/>
    <w:rsid w:val="00AF3C9B"/>
    <w:rsid w:val="00AF4B89"/>
    <w:rsid w:val="00AF4CF4"/>
    <w:rsid w:val="00AF5B48"/>
    <w:rsid w:val="00B01664"/>
    <w:rsid w:val="00B031C6"/>
    <w:rsid w:val="00B03917"/>
    <w:rsid w:val="00B06F66"/>
    <w:rsid w:val="00B11806"/>
    <w:rsid w:val="00B12DB8"/>
    <w:rsid w:val="00B15656"/>
    <w:rsid w:val="00B161E4"/>
    <w:rsid w:val="00B16C2D"/>
    <w:rsid w:val="00B16EF6"/>
    <w:rsid w:val="00B17142"/>
    <w:rsid w:val="00B17CEB"/>
    <w:rsid w:val="00B227BB"/>
    <w:rsid w:val="00B25334"/>
    <w:rsid w:val="00B27B51"/>
    <w:rsid w:val="00B30074"/>
    <w:rsid w:val="00B303E7"/>
    <w:rsid w:val="00B3128C"/>
    <w:rsid w:val="00B3254A"/>
    <w:rsid w:val="00B342FA"/>
    <w:rsid w:val="00B35BAD"/>
    <w:rsid w:val="00B361B1"/>
    <w:rsid w:val="00B37678"/>
    <w:rsid w:val="00B40DDE"/>
    <w:rsid w:val="00B41835"/>
    <w:rsid w:val="00B4199C"/>
    <w:rsid w:val="00B43A5C"/>
    <w:rsid w:val="00B447F4"/>
    <w:rsid w:val="00B452F9"/>
    <w:rsid w:val="00B45449"/>
    <w:rsid w:val="00B500BA"/>
    <w:rsid w:val="00B5245E"/>
    <w:rsid w:val="00B54E6E"/>
    <w:rsid w:val="00B56DA6"/>
    <w:rsid w:val="00B5701A"/>
    <w:rsid w:val="00B636BE"/>
    <w:rsid w:val="00B66A85"/>
    <w:rsid w:val="00B66BAE"/>
    <w:rsid w:val="00B67359"/>
    <w:rsid w:val="00B6784F"/>
    <w:rsid w:val="00B701E7"/>
    <w:rsid w:val="00B71EC9"/>
    <w:rsid w:val="00B7460F"/>
    <w:rsid w:val="00B76FB7"/>
    <w:rsid w:val="00B77246"/>
    <w:rsid w:val="00B80004"/>
    <w:rsid w:val="00B825B9"/>
    <w:rsid w:val="00B85AB7"/>
    <w:rsid w:val="00B8618D"/>
    <w:rsid w:val="00B9016B"/>
    <w:rsid w:val="00B91C5D"/>
    <w:rsid w:val="00B92A29"/>
    <w:rsid w:val="00B94645"/>
    <w:rsid w:val="00B950E7"/>
    <w:rsid w:val="00B96BB6"/>
    <w:rsid w:val="00B96E70"/>
    <w:rsid w:val="00B9729B"/>
    <w:rsid w:val="00B97AB1"/>
    <w:rsid w:val="00BA0FD7"/>
    <w:rsid w:val="00BA1085"/>
    <w:rsid w:val="00BA291F"/>
    <w:rsid w:val="00BA5D5D"/>
    <w:rsid w:val="00BA6AD4"/>
    <w:rsid w:val="00BB1B81"/>
    <w:rsid w:val="00BB4CDC"/>
    <w:rsid w:val="00BB5292"/>
    <w:rsid w:val="00BB7890"/>
    <w:rsid w:val="00BB7AD1"/>
    <w:rsid w:val="00BC0CCF"/>
    <w:rsid w:val="00BC1946"/>
    <w:rsid w:val="00BC2F85"/>
    <w:rsid w:val="00BC325B"/>
    <w:rsid w:val="00BC57E2"/>
    <w:rsid w:val="00BC6093"/>
    <w:rsid w:val="00BD133B"/>
    <w:rsid w:val="00BD2700"/>
    <w:rsid w:val="00BD319A"/>
    <w:rsid w:val="00BD7DEA"/>
    <w:rsid w:val="00BE0630"/>
    <w:rsid w:val="00BE1D0C"/>
    <w:rsid w:val="00BE2084"/>
    <w:rsid w:val="00BE2699"/>
    <w:rsid w:val="00BE2A17"/>
    <w:rsid w:val="00BF25CF"/>
    <w:rsid w:val="00BF2EEC"/>
    <w:rsid w:val="00BF450E"/>
    <w:rsid w:val="00BF4F04"/>
    <w:rsid w:val="00BF6427"/>
    <w:rsid w:val="00C06025"/>
    <w:rsid w:val="00C0781A"/>
    <w:rsid w:val="00C10058"/>
    <w:rsid w:val="00C11726"/>
    <w:rsid w:val="00C11960"/>
    <w:rsid w:val="00C12CBA"/>
    <w:rsid w:val="00C14FA5"/>
    <w:rsid w:val="00C23BA3"/>
    <w:rsid w:val="00C25B9E"/>
    <w:rsid w:val="00C2734D"/>
    <w:rsid w:val="00C27AD0"/>
    <w:rsid w:val="00C32722"/>
    <w:rsid w:val="00C33A9D"/>
    <w:rsid w:val="00C33BFE"/>
    <w:rsid w:val="00C340E6"/>
    <w:rsid w:val="00C35F9C"/>
    <w:rsid w:val="00C40D84"/>
    <w:rsid w:val="00C419FE"/>
    <w:rsid w:val="00C41CEA"/>
    <w:rsid w:val="00C439D1"/>
    <w:rsid w:val="00C45D9A"/>
    <w:rsid w:val="00C47150"/>
    <w:rsid w:val="00C51B80"/>
    <w:rsid w:val="00C51EA9"/>
    <w:rsid w:val="00C537B2"/>
    <w:rsid w:val="00C5382C"/>
    <w:rsid w:val="00C53A44"/>
    <w:rsid w:val="00C55843"/>
    <w:rsid w:val="00C56465"/>
    <w:rsid w:val="00C60283"/>
    <w:rsid w:val="00C6264A"/>
    <w:rsid w:val="00C65246"/>
    <w:rsid w:val="00C65DED"/>
    <w:rsid w:val="00C678EE"/>
    <w:rsid w:val="00C7483A"/>
    <w:rsid w:val="00C77BB1"/>
    <w:rsid w:val="00C80ED8"/>
    <w:rsid w:val="00C8194F"/>
    <w:rsid w:val="00C82E33"/>
    <w:rsid w:val="00C830EB"/>
    <w:rsid w:val="00C853BB"/>
    <w:rsid w:val="00C857F3"/>
    <w:rsid w:val="00C91539"/>
    <w:rsid w:val="00C9617B"/>
    <w:rsid w:val="00C96D8B"/>
    <w:rsid w:val="00C978FC"/>
    <w:rsid w:val="00CA07D1"/>
    <w:rsid w:val="00CA1FAD"/>
    <w:rsid w:val="00CA433B"/>
    <w:rsid w:val="00CA43B4"/>
    <w:rsid w:val="00CA54D1"/>
    <w:rsid w:val="00CA6942"/>
    <w:rsid w:val="00CB40AA"/>
    <w:rsid w:val="00CB628A"/>
    <w:rsid w:val="00CB7246"/>
    <w:rsid w:val="00CC05BD"/>
    <w:rsid w:val="00CC147E"/>
    <w:rsid w:val="00CC2ADB"/>
    <w:rsid w:val="00CC3C8C"/>
    <w:rsid w:val="00CC3DE1"/>
    <w:rsid w:val="00CC697B"/>
    <w:rsid w:val="00CC7D9E"/>
    <w:rsid w:val="00CD286C"/>
    <w:rsid w:val="00CD4A44"/>
    <w:rsid w:val="00CD73E1"/>
    <w:rsid w:val="00CE03B0"/>
    <w:rsid w:val="00CE149F"/>
    <w:rsid w:val="00CE2197"/>
    <w:rsid w:val="00CE21DC"/>
    <w:rsid w:val="00CE5C7E"/>
    <w:rsid w:val="00CF06AC"/>
    <w:rsid w:val="00CF116F"/>
    <w:rsid w:val="00CF27A7"/>
    <w:rsid w:val="00CF30B6"/>
    <w:rsid w:val="00CF3D9B"/>
    <w:rsid w:val="00CF48AA"/>
    <w:rsid w:val="00D008E8"/>
    <w:rsid w:val="00D01501"/>
    <w:rsid w:val="00D035CE"/>
    <w:rsid w:val="00D03736"/>
    <w:rsid w:val="00D04818"/>
    <w:rsid w:val="00D05ED8"/>
    <w:rsid w:val="00D06693"/>
    <w:rsid w:val="00D117B1"/>
    <w:rsid w:val="00D12FE6"/>
    <w:rsid w:val="00D1452F"/>
    <w:rsid w:val="00D163FD"/>
    <w:rsid w:val="00D17EA9"/>
    <w:rsid w:val="00D20B58"/>
    <w:rsid w:val="00D21A5E"/>
    <w:rsid w:val="00D21FE2"/>
    <w:rsid w:val="00D228CA"/>
    <w:rsid w:val="00D24D57"/>
    <w:rsid w:val="00D26C8A"/>
    <w:rsid w:val="00D278DB"/>
    <w:rsid w:val="00D30438"/>
    <w:rsid w:val="00D30FFA"/>
    <w:rsid w:val="00D35EF2"/>
    <w:rsid w:val="00D42157"/>
    <w:rsid w:val="00D429B3"/>
    <w:rsid w:val="00D445D1"/>
    <w:rsid w:val="00D46471"/>
    <w:rsid w:val="00D46F3C"/>
    <w:rsid w:val="00D47000"/>
    <w:rsid w:val="00D519ED"/>
    <w:rsid w:val="00D52CAC"/>
    <w:rsid w:val="00D52D84"/>
    <w:rsid w:val="00D540B5"/>
    <w:rsid w:val="00D54C74"/>
    <w:rsid w:val="00D5670E"/>
    <w:rsid w:val="00D60626"/>
    <w:rsid w:val="00D60775"/>
    <w:rsid w:val="00D60EDE"/>
    <w:rsid w:val="00D62209"/>
    <w:rsid w:val="00D62361"/>
    <w:rsid w:val="00D64995"/>
    <w:rsid w:val="00D67548"/>
    <w:rsid w:val="00D7002A"/>
    <w:rsid w:val="00D724C2"/>
    <w:rsid w:val="00D72F14"/>
    <w:rsid w:val="00D75720"/>
    <w:rsid w:val="00D8021B"/>
    <w:rsid w:val="00D80516"/>
    <w:rsid w:val="00D805C1"/>
    <w:rsid w:val="00D8185F"/>
    <w:rsid w:val="00D81C1B"/>
    <w:rsid w:val="00D82C6B"/>
    <w:rsid w:val="00D83209"/>
    <w:rsid w:val="00D86E4B"/>
    <w:rsid w:val="00D906C3"/>
    <w:rsid w:val="00D91363"/>
    <w:rsid w:val="00D93513"/>
    <w:rsid w:val="00D96615"/>
    <w:rsid w:val="00D96888"/>
    <w:rsid w:val="00DA1328"/>
    <w:rsid w:val="00DA2A42"/>
    <w:rsid w:val="00DA4083"/>
    <w:rsid w:val="00DA5E2E"/>
    <w:rsid w:val="00DA6E82"/>
    <w:rsid w:val="00DB0EB1"/>
    <w:rsid w:val="00DB68E1"/>
    <w:rsid w:val="00DB6909"/>
    <w:rsid w:val="00DB6D31"/>
    <w:rsid w:val="00DC0B0F"/>
    <w:rsid w:val="00DC2D20"/>
    <w:rsid w:val="00DC2D23"/>
    <w:rsid w:val="00DC733A"/>
    <w:rsid w:val="00DC740C"/>
    <w:rsid w:val="00DC7CB0"/>
    <w:rsid w:val="00DD0520"/>
    <w:rsid w:val="00DD0690"/>
    <w:rsid w:val="00DD10E8"/>
    <w:rsid w:val="00DD2C83"/>
    <w:rsid w:val="00DE0099"/>
    <w:rsid w:val="00DE08A3"/>
    <w:rsid w:val="00DE34B2"/>
    <w:rsid w:val="00DE52D5"/>
    <w:rsid w:val="00DE56B7"/>
    <w:rsid w:val="00DE6B4E"/>
    <w:rsid w:val="00DF03EE"/>
    <w:rsid w:val="00DF15D8"/>
    <w:rsid w:val="00DF16AE"/>
    <w:rsid w:val="00DF57F6"/>
    <w:rsid w:val="00DF65CB"/>
    <w:rsid w:val="00DF7A5B"/>
    <w:rsid w:val="00E003D7"/>
    <w:rsid w:val="00E004F0"/>
    <w:rsid w:val="00E03A91"/>
    <w:rsid w:val="00E03DF6"/>
    <w:rsid w:val="00E0566A"/>
    <w:rsid w:val="00E065AB"/>
    <w:rsid w:val="00E06FA2"/>
    <w:rsid w:val="00E10DE4"/>
    <w:rsid w:val="00E1286F"/>
    <w:rsid w:val="00E12E3C"/>
    <w:rsid w:val="00E12E9E"/>
    <w:rsid w:val="00E15285"/>
    <w:rsid w:val="00E16AD6"/>
    <w:rsid w:val="00E207B7"/>
    <w:rsid w:val="00E20DAF"/>
    <w:rsid w:val="00E22084"/>
    <w:rsid w:val="00E247BA"/>
    <w:rsid w:val="00E36686"/>
    <w:rsid w:val="00E432B8"/>
    <w:rsid w:val="00E43A9E"/>
    <w:rsid w:val="00E44FDE"/>
    <w:rsid w:val="00E454E3"/>
    <w:rsid w:val="00E501E0"/>
    <w:rsid w:val="00E52107"/>
    <w:rsid w:val="00E542B5"/>
    <w:rsid w:val="00E5482A"/>
    <w:rsid w:val="00E55624"/>
    <w:rsid w:val="00E56A4F"/>
    <w:rsid w:val="00E608B3"/>
    <w:rsid w:val="00E61E65"/>
    <w:rsid w:val="00E627A7"/>
    <w:rsid w:val="00E70D24"/>
    <w:rsid w:val="00E71C3C"/>
    <w:rsid w:val="00E848D7"/>
    <w:rsid w:val="00E85928"/>
    <w:rsid w:val="00E876A0"/>
    <w:rsid w:val="00E92A19"/>
    <w:rsid w:val="00E9318C"/>
    <w:rsid w:val="00E95011"/>
    <w:rsid w:val="00E956DA"/>
    <w:rsid w:val="00E95AF5"/>
    <w:rsid w:val="00E95D87"/>
    <w:rsid w:val="00E97422"/>
    <w:rsid w:val="00EA1CBF"/>
    <w:rsid w:val="00EA39C1"/>
    <w:rsid w:val="00EA3A9C"/>
    <w:rsid w:val="00EA525C"/>
    <w:rsid w:val="00EA6339"/>
    <w:rsid w:val="00EA7AEA"/>
    <w:rsid w:val="00EB33A8"/>
    <w:rsid w:val="00EB41CE"/>
    <w:rsid w:val="00EB42FB"/>
    <w:rsid w:val="00EB5AA1"/>
    <w:rsid w:val="00EC25F5"/>
    <w:rsid w:val="00EC44EB"/>
    <w:rsid w:val="00EC4587"/>
    <w:rsid w:val="00EC51D4"/>
    <w:rsid w:val="00EC5205"/>
    <w:rsid w:val="00EC5436"/>
    <w:rsid w:val="00EC58B1"/>
    <w:rsid w:val="00EC5B28"/>
    <w:rsid w:val="00EC7CDF"/>
    <w:rsid w:val="00ED6A7D"/>
    <w:rsid w:val="00ED6F24"/>
    <w:rsid w:val="00EE32FC"/>
    <w:rsid w:val="00EE35DA"/>
    <w:rsid w:val="00EE3DD1"/>
    <w:rsid w:val="00EE4B7F"/>
    <w:rsid w:val="00EE6BE0"/>
    <w:rsid w:val="00EF28FE"/>
    <w:rsid w:val="00EF29FE"/>
    <w:rsid w:val="00EF3F3D"/>
    <w:rsid w:val="00EF74A3"/>
    <w:rsid w:val="00EF7FD1"/>
    <w:rsid w:val="00F02585"/>
    <w:rsid w:val="00F02E3D"/>
    <w:rsid w:val="00F0312E"/>
    <w:rsid w:val="00F05C8A"/>
    <w:rsid w:val="00F0659A"/>
    <w:rsid w:val="00F07071"/>
    <w:rsid w:val="00F12E37"/>
    <w:rsid w:val="00F13ADA"/>
    <w:rsid w:val="00F13DAF"/>
    <w:rsid w:val="00F15935"/>
    <w:rsid w:val="00F21C11"/>
    <w:rsid w:val="00F2607D"/>
    <w:rsid w:val="00F2632B"/>
    <w:rsid w:val="00F26DE2"/>
    <w:rsid w:val="00F33B24"/>
    <w:rsid w:val="00F33CA5"/>
    <w:rsid w:val="00F3449A"/>
    <w:rsid w:val="00F349BC"/>
    <w:rsid w:val="00F34CFF"/>
    <w:rsid w:val="00F35523"/>
    <w:rsid w:val="00F37213"/>
    <w:rsid w:val="00F4582B"/>
    <w:rsid w:val="00F508F5"/>
    <w:rsid w:val="00F5228E"/>
    <w:rsid w:val="00F52B87"/>
    <w:rsid w:val="00F5337A"/>
    <w:rsid w:val="00F53D78"/>
    <w:rsid w:val="00F545D1"/>
    <w:rsid w:val="00F545ED"/>
    <w:rsid w:val="00F55985"/>
    <w:rsid w:val="00F56276"/>
    <w:rsid w:val="00F605E8"/>
    <w:rsid w:val="00F64AD1"/>
    <w:rsid w:val="00F6737E"/>
    <w:rsid w:val="00F70473"/>
    <w:rsid w:val="00F72F3D"/>
    <w:rsid w:val="00F743DA"/>
    <w:rsid w:val="00F776D7"/>
    <w:rsid w:val="00F77E5F"/>
    <w:rsid w:val="00F8007D"/>
    <w:rsid w:val="00F807F6"/>
    <w:rsid w:val="00F8321A"/>
    <w:rsid w:val="00F83EF4"/>
    <w:rsid w:val="00F864DA"/>
    <w:rsid w:val="00F91448"/>
    <w:rsid w:val="00F93996"/>
    <w:rsid w:val="00F93CA4"/>
    <w:rsid w:val="00F95196"/>
    <w:rsid w:val="00F95278"/>
    <w:rsid w:val="00F95582"/>
    <w:rsid w:val="00F95E5E"/>
    <w:rsid w:val="00F961A2"/>
    <w:rsid w:val="00FA07BA"/>
    <w:rsid w:val="00FA1232"/>
    <w:rsid w:val="00FA3BAC"/>
    <w:rsid w:val="00FB0842"/>
    <w:rsid w:val="00FB1D57"/>
    <w:rsid w:val="00FB2565"/>
    <w:rsid w:val="00FB3795"/>
    <w:rsid w:val="00FB3888"/>
    <w:rsid w:val="00FB3B88"/>
    <w:rsid w:val="00FB45E4"/>
    <w:rsid w:val="00FB4A61"/>
    <w:rsid w:val="00FC568F"/>
    <w:rsid w:val="00FC5A0D"/>
    <w:rsid w:val="00FC6EA9"/>
    <w:rsid w:val="00FD002D"/>
    <w:rsid w:val="00FD04A4"/>
    <w:rsid w:val="00FD089D"/>
    <w:rsid w:val="00FE546F"/>
    <w:rsid w:val="00FE5F90"/>
    <w:rsid w:val="00FF4734"/>
    <w:rsid w:val="00FF4874"/>
    <w:rsid w:val="00FF6632"/>
    <w:rsid w:val="00FF787A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4E6ED"/>
  <w15:docId w15:val="{F8FF18B3-E6EE-4AF7-9EB7-050EC6D2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es-ES"/>
    </w:rPr>
  </w:style>
  <w:style w:type="paragraph" w:styleId="Ttulo1">
    <w:name w:val="heading 1"/>
    <w:basedOn w:val="Normal"/>
    <w:uiPriority w:val="1"/>
    <w:qFormat/>
    <w:pPr>
      <w:spacing w:before="8"/>
      <w:ind w:left="1950"/>
      <w:outlineLvl w:val="0"/>
    </w:pPr>
    <w:rPr>
      <w:rFonts w:ascii="Arial" w:eastAsia="Arial" w:hAnsi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782"/>
      <w:outlineLvl w:val="1"/>
    </w:pPr>
    <w:rPr>
      <w:rFonts w:ascii="Arial" w:eastAsia="Arial" w:hAnsi="Arial"/>
      <w:b/>
      <w:bCs/>
      <w:sz w:val="26"/>
      <w:szCs w:val="26"/>
    </w:rPr>
  </w:style>
  <w:style w:type="paragraph" w:styleId="Ttulo3">
    <w:name w:val="heading 3"/>
    <w:basedOn w:val="Normal"/>
    <w:uiPriority w:val="1"/>
    <w:qFormat/>
    <w:pPr>
      <w:outlineLvl w:val="2"/>
    </w:pPr>
    <w:rPr>
      <w:rFonts w:ascii="Arial" w:eastAsia="Arial" w:hAnsi="Arial"/>
      <w:b/>
      <w:bCs/>
      <w:sz w:val="24"/>
      <w:szCs w:val="24"/>
    </w:rPr>
  </w:style>
  <w:style w:type="paragraph" w:styleId="Ttulo4">
    <w:name w:val="heading 4"/>
    <w:basedOn w:val="Normal"/>
    <w:uiPriority w:val="1"/>
    <w:qFormat/>
    <w:pPr>
      <w:ind w:left="118"/>
      <w:outlineLvl w:val="3"/>
    </w:pPr>
    <w:rPr>
      <w:rFonts w:ascii="Arial" w:eastAsia="Arial" w:hAnsi="Arial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18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278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78DB"/>
  </w:style>
  <w:style w:type="paragraph" w:styleId="Piedepgina">
    <w:name w:val="footer"/>
    <w:basedOn w:val="Normal"/>
    <w:link w:val="PiedepginaCar"/>
    <w:uiPriority w:val="99"/>
    <w:unhideWhenUsed/>
    <w:rsid w:val="00D278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8DB"/>
  </w:style>
  <w:style w:type="paragraph" w:styleId="NormalWeb">
    <w:name w:val="Normal (Web)"/>
    <w:basedOn w:val="Normal"/>
    <w:uiPriority w:val="99"/>
    <w:unhideWhenUsed/>
    <w:rsid w:val="00D96615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rsid w:val="00971B85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913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913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9131B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13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31B"/>
    <w:rPr>
      <w:rFonts w:ascii="Segoe UI" w:hAnsi="Segoe UI" w:cs="Segoe UI"/>
      <w:sz w:val="18"/>
      <w:szCs w:val="18"/>
      <w:lang w:val="es-ES"/>
    </w:rPr>
  </w:style>
  <w:style w:type="paragraph" w:customStyle="1" w:styleId="Default">
    <w:name w:val="Default"/>
    <w:rsid w:val="008160A7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4A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4A88"/>
    <w:rPr>
      <w:b/>
      <w:bCs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E1E7D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507127"/>
    <w:pPr>
      <w:widowControl/>
    </w:pPr>
    <w:rPr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06215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6215B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6215B"/>
    <w:rPr>
      <w:vertAlign w:val="superscrip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locked/>
    <w:rsid w:val="00320697"/>
    <w:rPr>
      <w:rFonts w:ascii="Arial" w:eastAsia="Arial" w:hAnsi="Arial"/>
      <w:sz w:val="24"/>
      <w:szCs w:val="24"/>
      <w:lang w:val="es-ES"/>
    </w:rPr>
  </w:style>
  <w:style w:type="paragraph" w:styleId="Sinespaciado">
    <w:name w:val="No Spacing"/>
    <w:uiPriority w:val="1"/>
    <w:qFormat/>
    <w:rsid w:val="00613BF3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7.xml"/><Relationship Id="rId39" Type="http://schemas.openxmlformats.org/officeDocument/2006/relationships/header" Target="header1.xml"/><Relationship Id="rId21" Type="http://schemas.openxmlformats.org/officeDocument/2006/relationships/chart" Target="charts/chart13.xml"/><Relationship Id="rId34" Type="http://schemas.openxmlformats.org/officeDocument/2006/relationships/image" Target="media/image5.jpeg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9" Type="http://schemas.openxmlformats.org/officeDocument/2006/relationships/hyperlink" Target="https://www.facebook.com/INEGIInform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5.xml"/><Relationship Id="rId32" Type="http://schemas.openxmlformats.org/officeDocument/2006/relationships/image" Target="media/image4.jpeg"/><Relationship Id="rId37" Type="http://schemas.openxmlformats.org/officeDocument/2006/relationships/hyperlink" Target="http://www.inegi.org.mx/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4.xml"/><Relationship Id="rId28" Type="http://schemas.openxmlformats.org/officeDocument/2006/relationships/hyperlink" Target="mailto:comunicacionsocial@inegi.org.mx" TargetMode="External"/><Relationship Id="rId36" Type="http://schemas.openxmlformats.org/officeDocument/2006/relationships/image" Target="media/image6.jpeg"/><Relationship Id="rId49" Type="http://schemas.microsoft.com/office/2018/08/relationships/commentsExtensible" Target="commentsExtensible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hyperlink" Target="https://www.instagram.com/inegi_informa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hart" Target="charts/chart6.xml"/><Relationship Id="rId22" Type="http://schemas.openxmlformats.org/officeDocument/2006/relationships/image" Target="media/image2.png"/><Relationship Id="rId27" Type="http://schemas.openxmlformats.org/officeDocument/2006/relationships/chart" Target="charts/chart18.xml"/><Relationship Id="rId30" Type="http://schemas.openxmlformats.org/officeDocument/2006/relationships/image" Target="media/image3.jpeg"/><Relationship Id="rId35" Type="http://schemas.openxmlformats.org/officeDocument/2006/relationships/hyperlink" Target="https://www.youtube.com/user/INEGIInforma" TargetMode="External"/><Relationship Id="rId43" Type="http://schemas.openxmlformats.org/officeDocument/2006/relationships/fontTable" Target="fontTable.xml"/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6.xml"/><Relationship Id="rId33" Type="http://schemas.openxmlformats.org/officeDocument/2006/relationships/hyperlink" Target="https://twitter.com/INEGI_INFORMA" TargetMode="External"/><Relationship Id="rId38" Type="http://schemas.openxmlformats.org/officeDocument/2006/relationships/image" Target="media/image7.png"/><Relationship Id="rId20" Type="http://schemas.openxmlformats.org/officeDocument/2006/relationships/chart" Target="charts/chart12.xml"/><Relationship Id="rId41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Fetales\Comunicado_prensa\Material_apoyo_FET_2021_V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Fetales\Comunicado_prensa\Material_apoyo_FET_2021_V4.xlsx" TargetMode="Externa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chartUserShapes" Target="../drawings/drawing1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Fetales\Comunicado_prensa\Material_apoyo_FET_2021_V1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DCP\2022\Apoyo_tecnico\Vitales\Fetales\Comunicado_prensa\Material_apoyo_FET_2021_V4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Fetales\Comunicado_prensa\Material_apoyo_FET_2021_V4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Fetales\Comunicado_prensa\Material_apoyo_FET_2021_V3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Fetales\Comunicado_prensa\Material_apoyo_FET_2021_V1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DCP\2022\Apoyo_tecnico\Vitales\Fetales\Comunicado_prensa\Material_apoyo_FET_2021_V1.xlsx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Fetales\Comunicado_prensa\Material_apoyo_FET_2021_V4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Fetales\Comunicado_prensa\Material_apoyo_FET_2021_V4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Fetales\Comunicado_prensa\Material_apoyo_FET_2021_V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Fetales\Comunicado_prensa\Material_apoyo_FET_2021_V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Fetales\Comunicado_prensa\Material_apoyo_FET_2021_V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Fetales\Comunicado_prensa\Material_apoyo_FET_2021_V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Fetales\Comunicado_prensa\Material_apoyo_FET_2021_V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Fetales\Comunicado_prensa\Material_apoyo_FET_2021_V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Fetales\Comunicado_prensa\Material_apoyo_FET_2021_V1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Fetales\Comunicado_prensa\Material_apoyo_FET_2021_V4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598874222034162"/>
          <c:y val="5.3169198920557457E-2"/>
          <c:w val="0.87867095154763908"/>
          <c:h val="0.56106049243844514"/>
        </c:manualLayout>
      </c:layout>
      <c:lineChart>
        <c:grouping val="standard"/>
        <c:varyColors val="0"/>
        <c:ser>
          <c:idx val="0"/>
          <c:order val="0"/>
          <c:tx>
            <c:strRef>
              <c:f>'01'!$A$7</c:f>
              <c:strCache>
                <c:ptCount val="1"/>
                <c:pt idx="0">
                  <c:v>Tasa de defunciones fetales con esquema de captación anterior</c:v>
                </c:pt>
              </c:strCache>
            </c:strRef>
          </c:tx>
          <c:spPr>
            <a:ln w="34925" cap="rnd">
              <a:solidFill>
                <a:srgbClr val="FFE699"/>
              </a:solidFill>
              <a:round/>
            </a:ln>
            <a:effectLst/>
          </c:spPr>
          <c:marker>
            <c:symbol val="circle"/>
            <c:size val="7"/>
            <c:spPr>
              <a:solidFill>
                <a:schemeClr val="accent4">
                  <a:lumMod val="75000"/>
                </a:schemeClr>
              </a:solidFill>
              <a:ln w="9525">
                <a:solidFill>
                  <a:srgbClr val="BF9000"/>
                </a:solidFill>
              </a:ln>
              <a:effectLst/>
            </c:spPr>
          </c:marker>
          <c:dPt>
            <c:idx val="9"/>
            <c:marker>
              <c:symbol val="circle"/>
              <c:size val="7"/>
              <c:spPr>
                <a:solidFill>
                  <a:schemeClr val="accent4">
                    <a:lumMod val="75000"/>
                  </a:schemeClr>
                </a:solidFill>
                <a:ln w="9525">
                  <a:solidFill>
                    <a:srgbClr val="BF9000"/>
                  </a:solidFill>
                </a:ln>
                <a:effectLst/>
              </c:spPr>
            </c:marker>
            <c:bubble3D val="0"/>
            <c:spPr>
              <a:ln w="34925" cap="rnd">
                <a:solidFill>
                  <a:srgbClr val="FFE699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E706-4FA5-8254-D0F5FC4B1D1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'01'!$B$6:$K$6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'01'!$B$7:$K$7</c:f>
              <c:numCache>
                <c:formatCode>0.00</c:formatCode>
                <c:ptCount val="10"/>
                <c:pt idx="0">
                  <c:v>1.9461982814995629</c:v>
                </c:pt>
                <c:pt idx="1">
                  <c:v>1.9060575019001691</c:v>
                </c:pt>
                <c:pt idx="2">
                  <c:v>1.8769112575829872</c:v>
                </c:pt>
                <c:pt idx="3">
                  <c:v>1.8709033043862353</c:v>
                </c:pt>
                <c:pt idx="4">
                  <c:v>1.8097192796016695</c:v>
                </c:pt>
                <c:pt idx="5">
                  <c:v>1.8006843196988276</c:v>
                </c:pt>
                <c:pt idx="6">
                  <c:v>1.6911651291532714</c:v>
                </c:pt>
                <c:pt idx="7">
                  <c:v>1.6170306029677852</c:v>
                </c:pt>
                <c:pt idx="8">
                  <c:v>1.482983967561049</c:v>
                </c:pt>
                <c:pt idx="9">
                  <c:v>1.4370138907764605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706-4FA5-8254-D0F5FC4B1D10}"/>
            </c:ext>
          </c:extLst>
        </c:ser>
        <c:ser>
          <c:idx val="1"/>
          <c:order val="1"/>
          <c:tx>
            <c:strRef>
              <c:f>'01'!$A$8</c:f>
              <c:strCache>
                <c:ptCount val="1"/>
                <c:pt idx="0">
                  <c:v>Tasa de defunciones fetales con esquema de captación a partir de 2019</c:v>
                </c:pt>
              </c:strCache>
            </c:strRef>
          </c:tx>
          <c:spPr>
            <a:ln w="28575" cap="rnd">
              <a:solidFill>
                <a:srgbClr val="A9D18E"/>
              </a:solidFill>
              <a:round/>
            </a:ln>
            <a:effectLst/>
          </c:spPr>
          <c:marker>
            <c:symbol val="circle"/>
            <c:size val="7"/>
            <c:spPr>
              <a:solidFill>
                <a:srgbClr val="385723"/>
              </a:solidFill>
              <a:ln w="95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'01'!$B$6:$K$6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'01'!$B$8:$K$8</c:f>
              <c:numCache>
                <c:formatCode>General</c:formatCode>
                <c:ptCount val="10"/>
                <c:pt idx="7" formatCode="0.00">
                  <c:v>1.8856403376800419</c:v>
                </c:pt>
                <c:pt idx="8" formatCode="0.00">
                  <c:v>1.791085102367789</c:v>
                </c:pt>
                <c:pt idx="9" formatCode="0.00">
                  <c:v>1.8025356901478993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706-4FA5-8254-D0F5FC4B1D10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2728479"/>
        <c:axId val="172725151"/>
      </c:lineChart>
      <c:catAx>
        <c:axId val="17272847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Año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2725151"/>
        <c:crosses val="autoZero"/>
        <c:auto val="1"/>
        <c:lblAlgn val="ctr"/>
        <c:lblOffset val="100"/>
        <c:noMultiLvlLbl val="0"/>
      </c:catAx>
      <c:valAx>
        <c:axId val="172725151"/>
        <c:scaling>
          <c:orientation val="minMax"/>
          <c:max val="2.1"/>
          <c:min val="1.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Tasa</a:t>
                </a:r>
              </a:p>
            </c:rich>
          </c:tx>
          <c:layout>
            <c:manualLayout>
              <c:xMode val="edge"/>
              <c:yMode val="edge"/>
              <c:x val="4.6118463439060869E-3"/>
              <c:y val="0.3014970003749531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2728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722540073925646"/>
          <c:y val="0.82738907636545433"/>
          <c:w val="0.75614683946785055"/>
          <c:h val="0.1489550524934383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825289098073092"/>
          <c:y val="3.9532805436906834E-2"/>
          <c:w val="0.66635656290598821"/>
          <c:h val="0.7478405815275515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F8CBAD"/>
            </a:solidFill>
            <a:ln>
              <a:solidFill>
                <a:schemeClr val="bg1"/>
              </a:solidFill>
            </a:ln>
            <a:effectLst/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contourClr>
                <a:schemeClr val="bg1"/>
              </a:contourClr>
            </a:sp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61B9-43DE-9B17-CD8457A558A9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61B9-43DE-9B17-CD8457A558A9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61B9-43DE-9B17-CD8457A558A9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61B9-43DE-9B17-CD8457A558A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'09'!$A$7:$A$10</c:f>
              <c:strCache>
                <c:ptCount val="4"/>
                <c:pt idx="0">
                  <c:v>No especificado</c:v>
                </c:pt>
                <c:pt idx="1">
                  <c:v>Provocado</c:v>
                </c:pt>
                <c:pt idx="2">
                  <c:v>Terapéutico</c:v>
                </c:pt>
                <c:pt idx="3">
                  <c:v>Espontáneo</c:v>
                </c:pt>
              </c:strCache>
            </c:strRef>
          </c:cat>
          <c:val>
            <c:numRef>
              <c:f>'09'!$B$7:$B$10</c:f>
              <c:numCache>
                <c:formatCode>#\ ###\ ##0</c:formatCode>
                <c:ptCount val="4"/>
                <c:pt idx="0">
                  <c:v>303</c:v>
                </c:pt>
                <c:pt idx="1">
                  <c:v>141</c:v>
                </c:pt>
                <c:pt idx="2">
                  <c:v>615</c:v>
                </c:pt>
                <c:pt idx="3">
                  <c:v>7187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1B9-43DE-9B17-CD8457A558A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8"/>
        <c:axId val="544792880"/>
        <c:axId val="544797472"/>
      </c:barChart>
      <c:catAx>
        <c:axId val="54479288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Tipo de aborto</a:t>
                </a:r>
              </a:p>
            </c:rich>
          </c:tx>
          <c:layout>
            <c:manualLayout>
              <c:xMode val="edge"/>
              <c:yMode val="edge"/>
              <c:x val="1.273754024579299E-2"/>
              <c:y val="0.2269979698362578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44797472"/>
        <c:crosses val="autoZero"/>
        <c:auto val="1"/>
        <c:lblAlgn val="ctr"/>
        <c:lblOffset val="100"/>
        <c:noMultiLvlLbl val="0"/>
      </c:catAx>
      <c:valAx>
        <c:axId val="5447974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Defunciones fetales</a:t>
                </a:r>
              </a:p>
            </c:rich>
          </c:tx>
          <c:layout>
            <c:manualLayout>
              <c:xMode val="edge"/>
              <c:yMode val="edge"/>
              <c:x val="0.45113170377512329"/>
              <c:y val="0.9181235337764169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\ ###\ 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44792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976296505314129"/>
          <c:y val="2.9931972789115645E-2"/>
          <c:w val="0.60724158443710541"/>
          <c:h val="0.7708604061416900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ED7D3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B prst="angle"/>
            </a:sp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DFD8-4442-B895-863B46335DD3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DFD8-4442-B895-863B46335DD3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DFD8-4442-B895-863B46335DD3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DFD8-4442-B895-863B46335DD3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DFD8-4442-B895-863B46335DD3}"/>
              </c:ext>
            </c:extLst>
          </c:dPt>
          <c:dLbls>
            <c:dLbl>
              <c:idx val="0"/>
              <c:layout>
                <c:manualLayout>
                  <c:x val="2.3515579071134583E-2"/>
                  <c:y val="-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FD8-4442-B895-863B46335DD3}"/>
                </c:ext>
              </c:extLst>
            </c:dLbl>
            <c:dLbl>
              <c:idx val="1"/>
              <c:layout>
                <c:manualLayout>
                  <c:x val="1.175778953556727E-2"/>
                  <c:y val="-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D8-4442-B895-863B46335DD3}"/>
                </c:ext>
              </c:extLst>
            </c:dLbl>
            <c:dLbl>
              <c:idx val="2"/>
              <c:layout>
                <c:manualLayout>
                  <c:x val="1.4109347442680775E-2"/>
                  <c:y val="-1.4550096466308564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FD8-4442-B895-863B46335DD3}"/>
                </c:ext>
              </c:extLst>
            </c:dLbl>
            <c:dLbl>
              <c:idx val="3"/>
              <c:layout>
                <c:manualLayout>
                  <c:x val="1.410934744268077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FD8-4442-B895-863B46335DD3}"/>
                </c:ext>
              </c:extLst>
            </c:dLbl>
            <c:dLbl>
              <c:idx val="4"/>
              <c:layout>
                <c:manualLayout>
                  <c:x val="2.351557907113454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FD8-4442-B895-863B46335DD3}"/>
                </c:ext>
              </c:extLst>
            </c:dLbl>
            <c:dLbl>
              <c:idx val="5"/>
              <c:layout>
                <c:manualLayout>
                  <c:x val="2.821869488536155E-2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FD8-4442-B895-863B46335D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'10'!$A$7:$A$12</c:f>
              <c:strCache>
                <c:ptCount val="6"/>
                <c:pt idx="0">
                  <c:v>No especificado</c:v>
                </c:pt>
                <c:pt idx="1">
                  <c:v>Otro</c:v>
                </c:pt>
                <c:pt idx="2">
                  <c:v>Enfermera</c:v>
                </c:pt>
                <c:pt idx="3">
                  <c:v>Partera</c:v>
                </c:pt>
                <c:pt idx="4">
                  <c:v>Otro médico</c:v>
                </c:pt>
                <c:pt idx="5">
                  <c:v>Médico gineco-obstetra</c:v>
                </c:pt>
              </c:strCache>
            </c:strRef>
          </c:cat>
          <c:val>
            <c:numRef>
              <c:f>'10'!$B$7:$B$12</c:f>
              <c:numCache>
                <c:formatCode>#\ ###\ ##0</c:formatCode>
                <c:ptCount val="6"/>
                <c:pt idx="0">
                  <c:v>914</c:v>
                </c:pt>
                <c:pt idx="1">
                  <c:v>478</c:v>
                </c:pt>
                <c:pt idx="2">
                  <c:v>54</c:v>
                </c:pt>
                <c:pt idx="3">
                  <c:v>165</c:v>
                </c:pt>
                <c:pt idx="4">
                  <c:v>5652</c:v>
                </c:pt>
                <c:pt idx="5">
                  <c:v>15737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FD8-4442-B895-863B46335DD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"/>
        <c:axId val="488123352"/>
        <c:axId val="488118432"/>
      </c:barChart>
      <c:catAx>
        <c:axId val="48812335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Persona que atendió el parto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88118432"/>
        <c:crosses val="autoZero"/>
        <c:auto val="1"/>
        <c:lblAlgn val="ctr"/>
        <c:lblOffset val="100"/>
        <c:noMultiLvlLbl val="0"/>
      </c:catAx>
      <c:valAx>
        <c:axId val="4881184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Defunciones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\ ###\ 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88123352"/>
        <c:crosses val="autoZero"/>
        <c:crossBetween val="between"/>
        <c:majorUnit val="40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701625867131546E-2"/>
          <c:y val="3.756905257747567E-2"/>
          <c:w val="0.74020558401661529"/>
          <c:h val="0.96243094742252433"/>
        </c:manualLayout>
      </c:layout>
      <c:pie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/>
          </c:spPr>
          <c:explosion val="2"/>
          <c:dPt>
            <c:idx val="0"/>
            <c:bubble3D val="0"/>
            <c:spPr>
              <a:solidFill>
                <a:srgbClr val="BA6124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1-20AF-4069-92A2-F1374E2CA5D4}"/>
              </c:ext>
            </c:extLst>
          </c:dPt>
          <c:dPt>
            <c:idx val="1"/>
            <c:bubble3D val="0"/>
            <c:spPr>
              <a:solidFill>
                <a:srgbClr val="DE752D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3-20AF-4069-92A2-F1374E2CA5D4}"/>
              </c:ext>
            </c:extLst>
          </c:dPt>
          <c:dPt>
            <c:idx val="2"/>
            <c:bubble3D val="0"/>
            <c:spPr>
              <a:solidFill>
                <a:srgbClr val="F09971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5-20AF-4069-92A2-F1374E2CA5D4}"/>
              </c:ext>
            </c:extLst>
          </c:dPt>
          <c:dPt>
            <c:idx val="3"/>
            <c:bubble3D val="0"/>
            <c:spPr>
              <a:solidFill>
                <a:schemeClr val="accent2">
                  <a:lumMod val="50000"/>
                </a:schemeClr>
              </a:solidFill>
              <a:ln w="19050">
                <a:solidFill>
                  <a:schemeClr val="accent2">
                    <a:lumMod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7-20AF-4069-92A2-F1374E2CA5D4}"/>
              </c:ext>
            </c:extLst>
          </c:dPt>
          <c:dLbls>
            <c:dLbl>
              <c:idx val="0"/>
              <c:layout>
                <c:manualLayout>
                  <c:x val="-0.22745096906418399"/>
                  <c:y val="-6.6304000195469892E-2"/>
                </c:manualLayout>
              </c:layout>
              <c:numFmt formatCode="#,##0.0\ 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836811006847504"/>
                      <c:h val="0.4363712758730370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0AF-4069-92A2-F1374E2CA5D4}"/>
                </c:ext>
              </c:extLst>
            </c:dLbl>
            <c:dLbl>
              <c:idx val="1"/>
              <c:layout>
                <c:manualLayout>
                  <c:x val="0.13573686863507753"/>
                  <c:y val="-0.1798990624862287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9256798036884957"/>
                      <c:h val="0.3241615192199703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20AF-4069-92A2-F1374E2CA5D4}"/>
                </c:ext>
              </c:extLst>
            </c:dLbl>
            <c:dLbl>
              <c:idx val="2"/>
              <c:layout>
                <c:manualLayout>
                  <c:x val="-0.18342805642655874"/>
                  <c:y val="0.1482277032330633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8247942932164782"/>
                      <c:h val="0.270134599349975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20AF-4069-92A2-F1374E2CA5D4}"/>
                </c:ext>
              </c:extLst>
            </c:dLbl>
            <c:dLbl>
              <c:idx val="3"/>
              <c:numFmt formatCode="#,##0.0\ 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7-20AF-4069-92A2-F1374E2CA5D4}"/>
                </c:ext>
              </c:extLst>
            </c:dLbl>
            <c:numFmt formatCode="#,##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'11'!$A$9:$A$12</c:f>
              <c:strCache>
                <c:ptCount val="4"/>
                <c:pt idx="0">
                  <c:v>Fetal precoz de 12 a 19 semanas</c:v>
                </c:pt>
                <c:pt idx="1">
                  <c:v>Fetal intermedia de 20 a 27 semanas</c:v>
                </c:pt>
                <c:pt idx="2">
                  <c:v>Fetal tardía de 28 semanas y más</c:v>
                </c:pt>
                <c:pt idx="3">
                  <c:v>No especificado</c:v>
                </c:pt>
              </c:strCache>
            </c:strRef>
          </c:cat>
          <c:val>
            <c:numRef>
              <c:f>'11'!$B$9:$B$12</c:f>
              <c:numCache>
                <c:formatCode>#\ ###\ ##0</c:formatCode>
                <c:ptCount val="4"/>
                <c:pt idx="0">
                  <c:v>5561</c:v>
                </c:pt>
                <c:pt idx="1">
                  <c:v>8279</c:v>
                </c:pt>
                <c:pt idx="2">
                  <c:v>9084</c:v>
                </c:pt>
                <c:pt idx="3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0AF-4069-92A2-F1374E2CA5D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89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60432134443694"/>
          <c:y val="4.5903298903708589E-2"/>
          <c:w val="0.8793956786555629"/>
          <c:h val="0.7429843966045255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ED7D31"/>
            </a:solidFill>
            <a:ln w="19050">
              <a:solidFill>
                <a:schemeClr val="bg1"/>
              </a:solidFill>
            </a:ln>
            <a:effectLst/>
            <a:sp3d contourW="19050">
              <a:contourClr>
                <a:schemeClr val="bg1"/>
              </a:contourClr>
            </a:sp3d>
          </c:spPr>
          <c:invertIfNegative val="0"/>
          <c:dPt>
            <c:idx val="4"/>
            <c:invertIfNegative val="0"/>
            <c:bubble3D val="0"/>
            <c:spPr>
              <a:solidFill>
                <a:srgbClr val="ED7D31"/>
              </a:solidFill>
              <a:ln w="19050">
                <a:solidFill>
                  <a:srgbClr val="ED7D31"/>
                </a:solidFill>
              </a:ln>
              <a:effectLst/>
              <a:sp3d contourW="19050">
                <a:contourClr>
                  <a:schemeClr val="bg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CA0-4BC4-871D-19FB604736BE}"/>
              </c:ext>
            </c:extLst>
          </c:dPt>
          <c:dPt>
            <c:idx val="5"/>
            <c:invertIfNegative val="0"/>
            <c:bubble3D val="0"/>
            <c:spPr>
              <a:solidFill>
                <a:srgbClr val="ED7D31"/>
              </a:solidFill>
              <a:ln w="19050">
                <a:solidFill>
                  <a:srgbClr val="ED7D31"/>
                </a:solidFill>
              </a:ln>
              <a:effectLst/>
              <a:sp3d contourW="19050">
                <a:contourClr>
                  <a:schemeClr val="bg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CA0-4BC4-871D-19FB604736B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'12'!$A$9:$A$14</c:f>
              <c:strCache>
                <c:ptCount val="6"/>
                <c:pt idx="0">
                  <c:v>Menor de 1 001</c:v>
                </c:pt>
                <c:pt idx="1">
                  <c:v>De 1 001 a 2 000</c:v>
                </c:pt>
                <c:pt idx="2">
                  <c:v>De 2 001 a 3 000</c:v>
                </c:pt>
                <c:pt idx="3">
                  <c:v>De 3 001 a 4 000</c:v>
                </c:pt>
                <c:pt idx="4">
                  <c:v>De 4 001 a 5 000</c:v>
                </c:pt>
                <c:pt idx="5">
                  <c:v>No especificado</c:v>
                </c:pt>
              </c:strCache>
            </c:strRef>
          </c:cat>
          <c:val>
            <c:numRef>
              <c:f>'12'!$B$9:$B$14</c:f>
              <c:numCache>
                <c:formatCode>#\ ###\ ##0</c:formatCode>
                <c:ptCount val="6"/>
                <c:pt idx="0">
                  <c:v>13392</c:v>
                </c:pt>
                <c:pt idx="1">
                  <c:v>3645</c:v>
                </c:pt>
                <c:pt idx="2">
                  <c:v>3721</c:v>
                </c:pt>
                <c:pt idx="3">
                  <c:v>1890</c:v>
                </c:pt>
                <c:pt idx="4">
                  <c:v>276</c:v>
                </c:pt>
                <c:pt idx="5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CA0-4BC4-871D-19FB604736B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"/>
        <c:axId val="470089992"/>
        <c:axId val="470090976"/>
      </c:barChart>
      <c:catAx>
        <c:axId val="4700899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Peso al nacer (gramos)</a:t>
                </a:r>
              </a:p>
            </c:rich>
          </c:tx>
          <c:layout>
            <c:manualLayout>
              <c:xMode val="edge"/>
              <c:yMode val="edge"/>
              <c:x val="0.45494655537309614"/>
              <c:y val="0.9104919743884408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70090976"/>
        <c:crosses val="autoZero"/>
        <c:auto val="1"/>
        <c:lblAlgn val="ctr"/>
        <c:lblOffset val="100"/>
        <c:noMultiLvlLbl val="0"/>
      </c:catAx>
      <c:valAx>
        <c:axId val="470090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Defunciones fetales</a:t>
                </a:r>
              </a:p>
            </c:rich>
          </c:tx>
          <c:layout>
            <c:manualLayout>
              <c:xMode val="edge"/>
              <c:yMode val="edge"/>
              <c:x val="9.2972191492170283E-3"/>
              <c:y val="0.1821395183500426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\ ###\ 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70089992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781188018130596"/>
          <c:y val="7.6219699727437473E-2"/>
          <c:w val="0.72505705074981708"/>
          <c:h val="0.7630697419277423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C55A1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B w="114300" prst="hardEdge"/>
            </a:sp3d>
          </c:spPr>
          <c:invertIfNegative val="0"/>
          <c:dLbls>
            <c:dLbl>
              <c:idx val="0"/>
              <c:layout>
                <c:manualLayout>
                  <c:x val="0"/>
                  <c:y val="-7.40740740740740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88A-432E-8DB7-50C80B17A4F2}"/>
                </c:ext>
              </c:extLst>
            </c:dLbl>
            <c:dLbl>
              <c:idx val="1"/>
              <c:layout>
                <c:manualLayout>
                  <c:x val="-3.3393659231560663E-17"/>
                  <c:y val="-7.40740740740740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88A-432E-8DB7-50C80B17A4F2}"/>
                </c:ext>
              </c:extLst>
            </c:dLbl>
            <c:dLbl>
              <c:idx val="2"/>
              <c:layout>
                <c:manualLayout>
                  <c:x val="-1.3357463692624265E-16"/>
                  <c:y val="-7.40740740740740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88A-432E-8DB7-50C80B17A4F2}"/>
                </c:ext>
              </c:extLst>
            </c:dLbl>
            <c:dLbl>
              <c:idx val="3"/>
              <c:layout>
                <c:manualLayout>
                  <c:x val="0"/>
                  <c:y val="-7.40740740740747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88A-432E-8DB7-50C80B17A4F2}"/>
                </c:ext>
              </c:extLst>
            </c:dLbl>
            <c:dLbl>
              <c:idx val="4"/>
              <c:layout>
                <c:manualLayout>
                  <c:x val="-1.3357463692624265E-16"/>
                  <c:y val="-1.11111111111111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88A-432E-8DB7-50C80B17A4F2}"/>
                </c:ext>
              </c:extLst>
            </c:dLbl>
            <c:dLbl>
              <c:idx val="5"/>
              <c:layout>
                <c:manualLayout>
                  <c:x val="0"/>
                  <c:y val="-1.1111111111111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88A-432E-8DB7-50C80B17A4F2}"/>
                </c:ext>
              </c:extLst>
            </c:dLbl>
            <c:dLbl>
              <c:idx val="6"/>
              <c:layout>
                <c:manualLayout>
                  <c:x val="1.8215081943558967E-3"/>
                  <c:y val="3.07962548522770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88A-432E-8DB7-50C80B17A4F2}"/>
                </c:ext>
              </c:extLst>
            </c:dLbl>
            <c:dLbl>
              <c:idx val="8"/>
              <c:layout>
                <c:manualLayout>
                  <c:x val="0"/>
                  <c:y val="-1.1111111111111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88A-432E-8DB7-50C80B17A4F2}"/>
                </c:ext>
              </c:extLst>
            </c:dLbl>
            <c:dLbl>
              <c:idx val="9"/>
              <c:layout>
                <c:manualLayout>
                  <c:x val="5.4644800905755166E-3"/>
                  <c:y val="-1.11111111111111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88A-432E-8DB7-50C80B17A4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'14'!$A$9:$A$18</c:f>
              <c:strCache>
                <c:ptCount val="10"/>
                <c:pt idx="0">
                  <c:v>No especificado</c:v>
                </c:pt>
                <c:pt idx="1">
                  <c:v>De 50 y más</c:v>
                </c:pt>
                <c:pt idx="2">
                  <c:v>De 45 a 49</c:v>
                </c:pt>
                <c:pt idx="3">
                  <c:v>De 40 a 44</c:v>
                </c:pt>
                <c:pt idx="4">
                  <c:v>De 35 a 39</c:v>
                </c:pt>
                <c:pt idx="5">
                  <c:v>De 30 a 34</c:v>
                </c:pt>
                <c:pt idx="6">
                  <c:v>De 25 a 29</c:v>
                </c:pt>
                <c:pt idx="7">
                  <c:v>De 20 a 24</c:v>
                </c:pt>
                <c:pt idx="8">
                  <c:v>De 15 a 19</c:v>
                </c:pt>
                <c:pt idx="9">
                  <c:v>Menor de 15</c:v>
                </c:pt>
              </c:strCache>
            </c:strRef>
          </c:cat>
          <c:val>
            <c:numRef>
              <c:f>'14'!$B$9:$B$18</c:f>
              <c:numCache>
                <c:formatCode>#\ ###\ ##0</c:formatCode>
                <c:ptCount val="10"/>
                <c:pt idx="0">
                  <c:v>221</c:v>
                </c:pt>
                <c:pt idx="1">
                  <c:v>1</c:v>
                </c:pt>
                <c:pt idx="2">
                  <c:v>82</c:v>
                </c:pt>
                <c:pt idx="3">
                  <c:v>977</c:v>
                </c:pt>
                <c:pt idx="4">
                  <c:v>2814</c:v>
                </c:pt>
                <c:pt idx="5">
                  <c:v>4232</c:v>
                </c:pt>
                <c:pt idx="6">
                  <c:v>5361</c:v>
                </c:pt>
                <c:pt idx="7">
                  <c:v>5587</c:v>
                </c:pt>
                <c:pt idx="8">
                  <c:v>3542</c:v>
                </c:pt>
                <c:pt idx="9">
                  <c:v>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488A-432E-8DB7-50C80B17A4F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"/>
        <c:axId val="590236720"/>
        <c:axId val="590237376"/>
      </c:barChart>
      <c:catAx>
        <c:axId val="59023672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Grupos de edad</a:t>
                </a:r>
              </a:p>
            </c:rich>
          </c:tx>
          <c:layout>
            <c:manualLayout>
              <c:xMode val="edge"/>
              <c:yMode val="edge"/>
              <c:x val="1.1478181230808796E-2"/>
              <c:y val="0.276561068401220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90237376"/>
        <c:crosses val="autoZero"/>
        <c:auto val="1"/>
        <c:lblAlgn val="ctr"/>
        <c:lblOffset val="100"/>
        <c:noMultiLvlLbl val="0"/>
      </c:catAx>
      <c:valAx>
        <c:axId val="5902373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Defunciones fetales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\ ###\ 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90236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259748161159837E-3"/>
          <c:y val="3.6365112304083888E-2"/>
          <c:w val="0.66478689102844846"/>
          <c:h val="0.92571011091130562"/>
        </c:manualLayout>
      </c:layout>
      <c:pie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/>
          </c:spPr>
          <c:dPt>
            <c:idx val="0"/>
            <c:bubble3D val="0"/>
            <c:spPr>
              <a:solidFill>
                <a:srgbClr val="BDD5B3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1-6BB8-4375-9671-7C4437C7C6D0}"/>
              </c:ext>
            </c:extLst>
          </c:dPt>
          <c:dPt>
            <c:idx val="1"/>
            <c:bubble3D val="0"/>
            <c:spPr>
              <a:solidFill>
                <a:srgbClr val="548235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3-6BB8-4375-9671-7C4437C7C6D0}"/>
              </c:ext>
            </c:extLst>
          </c:dPt>
          <c:dPt>
            <c:idx val="2"/>
            <c:bubble3D val="0"/>
            <c:explosion val="12"/>
            <c:spPr>
              <a:solidFill>
                <a:srgbClr val="81B861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5-6BB8-4375-9671-7C4437C7C6D0}"/>
              </c:ext>
            </c:extLst>
          </c:dPt>
          <c:dLbls>
            <c:dLbl>
              <c:idx val="0"/>
              <c:layout>
                <c:manualLayout>
                  <c:x val="7.627562934405363E-2"/>
                  <c:y val="-1.192706288670470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9151804928526298"/>
                      <c:h val="0.3845041148150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6BB8-4375-9671-7C4437C7C6D0}"/>
                </c:ext>
              </c:extLst>
            </c:dLbl>
            <c:dLbl>
              <c:idx val="1"/>
              <c:layout>
                <c:manualLayout>
                  <c:x val="0.13470229372675557"/>
                  <c:y val="0.20720253120441318"/>
                </c:manualLayout>
              </c:layout>
              <c:tx>
                <c:rich>
                  <a:bodyPr/>
                  <a:lstStyle/>
                  <a:p>
                    <a:fld id="{09D9F4A4-9FDB-428B-9F55-F0FC64B6B22A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16E9BC45-B16A-4F5A-9A1B-E5D85D57E8AD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89.2 %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8384957375838343"/>
                      <c:h val="0.4383137169970077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BB8-4375-9671-7C4437C7C6D0}"/>
                </c:ext>
              </c:extLst>
            </c:dLbl>
            <c:dLbl>
              <c:idx val="2"/>
              <c:layout>
                <c:manualLayout>
                  <c:x val="7.1405236107790107E-2"/>
                  <c:y val="-0.3245635165512004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4766027783628355"/>
                      <c:h val="0.3868051357515648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6BB8-4375-9671-7C4437C7C6D0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'15'!$A$9:$A$11</c:f>
              <c:strCache>
                <c:ptCount val="3"/>
                <c:pt idx="0">
                  <c:v>Sí habla lengua indígena</c:v>
                </c:pt>
                <c:pt idx="1">
                  <c:v>No habla lengua indígena</c:v>
                </c:pt>
                <c:pt idx="2">
                  <c:v>No especificado</c:v>
                </c:pt>
              </c:strCache>
            </c:strRef>
          </c:cat>
          <c:val>
            <c:numRef>
              <c:f>'15'!$B$9:$B$11</c:f>
              <c:numCache>
                <c:formatCode>#\ ###\ ##0</c:formatCode>
                <c:ptCount val="3"/>
                <c:pt idx="0">
                  <c:v>1386</c:v>
                </c:pt>
                <c:pt idx="1">
                  <c:v>20502</c:v>
                </c:pt>
                <c:pt idx="2">
                  <c:v>1112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BB8-4375-9671-7C4437C7C6D0}"/>
            </c:ext>
          </c:extLst>
        </c:ser>
        <c:ser>
          <c:idx val="1"/>
          <c:order val="1"/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8-6BB8-4375-9671-7C4437C7C6D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A-6BB8-4375-9671-7C4437C7C6D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C-6BB8-4375-9671-7C4437C7C6D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'15'!$A$9:$A$11</c:f>
              <c:strCache>
                <c:ptCount val="3"/>
                <c:pt idx="0">
                  <c:v>Sí habla lengua indígena</c:v>
                </c:pt>
                <c:pt idx="1">
                  <c:v>No habla lengua indígena</c:v>
                </c:pt>
                <c:pt idx="2">
                  <c:v>No especificado</c:v>
                </c:pt>
              </c:strCache>
            </c:strRef>
          </c:cat>
          <c:val>
            <c:numRef>
              <c:f>'15'!$C$9:$C$11</c:f>
              <c:numCache>
                <c:formatCode>0.00</c:formatCode>
                <c:ptCount val="3"/>
                <c:pt idx="0">
                  <c:v>6.0260869565217394</c:v>
                </c:pt>
                <c:pt idx="1">
                  <c:v>89.139130434782615</c:v>
                </c:pt>
                <c:pt idx="2">
                  <c:v>4.8347826086956518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6BB8-4375-9671-7C4437C7C6D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109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406887984534258E-2"/>
          <c:y val="3.6344239432319257E-2"/>
          <c:w val="0.49135970061993761"/>
          <c:h val="0.96365576056768076"/>
        </c:manualLayout>
      </c:layout>
      <c:doughnutChart>
        <c:varyColors val="1"/>
        <c:ser>
          <c:idx val="0"/>
          <c:order val="0"/>
          <c:spPr>
            <a:effectLst/>
            <a:scene3d>
              <a:camera prst="orthographicFront"/>
              <a:lightRig rig="threePt" dir="t"/>
            </a:scene3d>
            <a:sp3d/>
          </c:spPr>
          <c:explosion val="4"/>
          <c:dPt>
            <c:idx val="0"/>
            <c:bubble3D val="0"/>
            <c:spPr>
              <a:solidFill>
                <a:srgbClr val="A3C496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1-0F87-4D9B-8867-D6F07BE4D487}"/>
              </c:ext>
            </c:extLst>
          </c:dPt>
          <c:dPt>
            <c:idx val="1"/>
            <c:bubble3D val="0"/>
            <c:spPr>
              <a:solidFill>
                <a:srgbClr val="2C451B"/>
              </a:solidFill>
              <a:ln>
                <a:solidFill>
                  <a:srgbClr val="2C451B"/>
                </a:solidFill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3-0F87-4D9B-8867-D6F07BE4D487}"/>
              </c:ext>
            </c:extLst>
          </c:dPt>
          <c:dPt>
            <c:idx val="2"/>
            <c:bubble3D val="0"/>
            <c:explosion val="17"/>
            <c:spPr>
              <a:solidFill>
                <a:srgbClr val="4D723E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5-0F87-4D9B-8867-D6F07BE4D487}"/>
              </c:ext>
            </c:extLst>
          </c:dPt>
          <c:dPt>
            <c:idx val="3"/>
            <c:bubble3D val="0"/>
            <c:explosion val="12"/>
            <c:spPr>
              <a:solidFill>
                <a:srgbClr val="5B864A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7-0F87-4D9B-8867-D6F07BE4D487}"/>
              </c:ext>
            </c:extLst>
          </c:dPt>
          <c:dPt>
            <c:idx val="4"/>
            <c:bubble3D val="0"/>
            <c:spPr>
              <a:solidFill>
                <a:srgbClr val="608C4E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9-0F87-4D9B-8867-D6F07BE4D487}"/>
              </c:ext>
            </c:extLst>
          </c:dPt>
          <c:dPt>
            <c:idx val="5"/>
            <c:bubble3D val="0"/>
            <c:spPr>
              <a:solidFill>
                <a:srgbClr val="71A45C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B-0F87-4D9B-8867-D6F07BE4D487}"/>
              </c:ext>
            </c:extLst>
          </c:dPt>
          <c:dPt>
            <c:idx val="6"/>
            <c:bubble3D val="0"/>
            <c:spPr>
              <a:solidFill>
                <a:srgbClr val="95BC86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D-0F87-4D9B-8867-D6F07BE4D487}"/>
              </c:ext>
            </c:extLst>
          </c:dPt>
          <c:dPt>
            <c:idx val="7"/>
            <c:bubble3D val="0"/>
            <c:spPr>
              <a:solidFill>
                <a:srgbClr val="BDD5B3"/>
              </a:solidFill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F-0F87-4D9B-8867-D6F07BE4D487}"/>
              </c:ext>
            </c:extLst>
          </c:dPt>
          <c:dLbls>
            <c:dLbl>
              <c:idx val="0"/>
              <c:layout>
                <c:manualLayout>
                  <c:x val="9.3643587383767754E-2"/>
                  <c:y val="-0.4366807932786424"/>
                </c:manualLayout>
              </c:layout>
              <c:tx>
                <c:rich>
                  <a:bodyPr/>
                  <a:lstStyle/>
                  <a:p>
                    <a:fld id="{B6499366-CF68-4047-BC56-1E13F7BCACC1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97512A5C-09F2-4563-8C48-85356C21C41F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4.5 %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820520875875719"/>
                      <c:h val="0.2037792894935751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F87-4D9B-8867-D6F07BE4D487}"/>
                </c:ext>
              </c:extLst>
            </c:dLbl>
            <c:dLbl>
              <c:idx val="1"/>
              <c:layout>
                <c:manualLayout>
                  <c:x val="0.20945059526891729"/>
                  <c:y val="-0.29762842902172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544182085037818"/>
                      <c:h val="0.2645573015163497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0F87-4D9B-8867-D6F07BE4D487}"/>
                </c:ext>
              </c:extLst>
            </c:dLbl>
            <c:dLbl>
              <c:idx val="2"/>
              <c:layout>
                <c:manualLayout>
                  <c:x val="0.32216789755787373"/>
                  <c:y val="-0.1273930349262295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F87-4D9B-8867-D6F07BE4D487}"/>
                </c:ext>
              </c:extLst>
            </c:dLbl>
            <c:dLbl>
              <c:idx val="3"/>
              <c:layout>
                <c:manualLayout>
                  <c:x val="0.34755411914390433"/>
                  <c:y val="0.1058624828422179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F87-4D9B-8867-D6F07BE4D487}"/>
                </c:ext>
              </c:extLst>
            </c:dLbl>
            <c:dLbl>
              <c:idx val="4"/>
              <c:numFmt formatCode="#,##0.0\ 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es-MX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F87-4D9B-8867-D6F07BE4D487}"/>
                </c:ext>
              </c:extLst>
            </c:dLbl>
            <c:dLbl>
              <c:idx val="6"/>
              <c:layout>
                <c:manualLayout>
                  <c:x val="-1.5267175572519083E-2"/>
                  <c:y val="-1.727115716753022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F87-4D9B-8867-D6F07BE4D487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/>
              <a:lstStyle/>
              <a:p>
                <a:pPr>
                  <a:defRPr/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>
                  <a:solidFill>
                    <a:schemeClr val="tx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('16'!$A$9,'16'!$A$11:$A$16)</c:f>
              <c:strCache>
                <c:ptCount val="7"/>
                <c:pt idx="0">
                  <c:v>No especificado</c:v>
                </c:pt>
                <c:pt idx="1">
                  <c:v>Viuda</c:v>
                </c:pt>
                <c:pt idx="2">
                  <c:v>Divorciada</c:v>
                </c:pt>
                <c:pt idx="3">
                  <c:v>Separada</c:v>
                </c:pt>
                <c:pt idx="4">
                  <c:v>Soltera</c:v>
                </c:pt>
                <c:pt idx="5">
                  <c:v>Casada</c:v>
                </c:pt>
                <c:pt idx="6">
                  <c:v>Unión libre</c:v>
                </c:pt>
              </c:strCache>
            </c:strRef>
          </c:cat>
          <c:val>
            <c:numRef>
              <c:f>('16'!$B$9,'16'!$B$11:$B$16)</c:f>
              <c:numCache>
                <c:formatCode>#\ ###\ ##0</c:formatCode>
                <c:ptCount val="7"/>
                <c:pt idx="0">
                  <c:v>1023</c:v>
                </c:pt>
                <c:pt idx="1">
                  <c:v>39</c:v>
                </c:pt>
                <c:pt idx="2">
                  <c:v>49</c:v>
                </c:pt>
                <c:pt idx="3">
                  <c:v>141</c:v>
                </c:pt>
                <c:pt idx="4">
                  <c:v>3270</c:v>
                </c:pt>
                <c:pt idx="5">
                  <c:v>6030</c:v>
                </c:pt>
                <c:pt idx="6">
                  <c:v>12448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0F87-4D9B-8867-D6F07BE4D48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90"/>
        <c:holeSize val="28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339222227550161"/>
          <c:y val="1.4405621427879892E-2"/>
          <c:w val="0.65712795262516299"/>
          <c:h val="0.8207052675783933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C5E0B4"/>
            </a:solidFill>
            <a:ln>
              <a:solidFill>
                <a:srgbClr val="C5E0B4"/>
              </a:solidFill>
            </a:ln>
            <a:effectLst/>
            <a:scene3d>
              <a:camera prst="orthographicFront"/>
              <a:lightRig rig="threePt" dir="t"/>
            </a:scene3d>
            <a:sp3d>
              <a:bevelB/>
            </a:sp3d>
          </c:spPr>
          <c:invertIfNegative val="0"/>
          <c:dPt>
            <c:idx val="0"/>
            <c:invertIfNegative val="0"/>
            <c:bubble3D val="0"/>
            <c:explosion val="4"/>
            <c:extLst>
              <c:ext xmlns:c16="http://schemas.microsoft.com/office/drawing/2014/chart" uri="{C3380CC4-5D6E-409C-BE32-E72D297353CC}">
                <c16:uniqueId val="{00000000-A3A0-42D9-A4AC-84653495F51D}"/>
              </c:ext>
            </c:extLst>
          </c:dPt>
          <c:dPt>
            <c:idx val="1"/>
            <c:invertIfNegative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1-A3A0-42D9-A4AC-84653495F51D}"/>
              </c:ext>
            </c:extLst>
          </c:dPt>
          <c:dPt>
            <c:idx val="2"/>
            <c:invertIfNegative val="0"/>
            <c:bubble3D val="0"/>
            <c:explosion val="17"/>
            <c:extLst>
              <c:ext xmlns:c16="http://schemas.microsoft.com/office/drawing/2014/chart" uri="{C3380CC4-5D6E-409C-BE32-E72D297353CC}">
                <c16:uniqueId val="{00000002-A3A0-42D9-A4AC-84653495F51D}"/>
              </c:ext>
            </c:extLst>
          </c:dPt>
          <c:dPt>
            <c:idx val="3"/>
            <c:invertIfNegative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3-A3A0-42D9-A4AC-84653495F51D}"/>
              </c:ext>
            </c:extLst>
          </c:dPt>
          <c:dPt>
            <c:idx val="4"/>
            <c:invertIfNegative val="0"/>
            <c:bubble3D val="0"/>
            <c:explosion val="6"/>
            <c:extLst>
              <c:ext xmlns:c16="http://schemas.microsoft.com/office/drawing/2014/chart" uri="{C3380CC4-5D6E-409C-BE32-E72D297353CC}">
                <c16:uniqueId val="{00000004-A3A0-42D9-A4AC-84653495F51D}"/>
              </c:ext>
            </c:extLst>
          </c:dPt>
          <c:dPt>
            <c:idx val="5"/>
            <c:invertIfNegative val="0"/>
            <c:bubble3D val="0"/>
            <c:explosion val="8"/>
            <c:extLst>
              <c:ext xmlns:c16="http://schemas.microsoft.com/office/drawing/2014/chart" uri="{C3380CC4-5D6E-409C-BE32-E72D297353CC}">
                <c16:uniqueId val="{00000005-A3A0-42D9-A4AC-84653495F51D}"/>
              </c:ext>
            </c:extLst>
          </c:dPt>
          <c:dPt>
            <c:idx val="6"/>
            <c:invertIfNegative val="0"/>
            <c:bubble3D val="0"/>
            <c:explosion val="7"/>
            <c:extLst>
              <c:ext xmlns:c16="http://schemas.microsoft.com/office/drawing/2014/chart" uri="{C3380CC4-5D6E-409C-BE32-E72D297353CC}">
                <c16:uniqueId val="{00000006-A3A0-42D9-A4AC-84653495F51D}"/>
              </c:ext>
            </c:extLst>
          </c:dPt>
          <c:dPt>
            <c:idx val="7"/>
            <c:invertIfNegative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7-A3A0-42D9-A4AC-84653495F51D}"/>
              </c:ext>
            </c:extLst>
          </c:dPt>
          <c:dPt>
            <c:idx val="8"/>
            <c:invertIfNegative val="0"/>
            <c:bubble3D val="0"/>
            <c:explosion val="10"/>
            <c:extLst>
              <c:ext xmlns:c16="http://schemas.microsoft.com/office/drawing/2014/chart" uri="{C3380CC4-5D6E-409C-BE32-E72D297353CC}">
                <c16:uniqueId val="{00000008-A3A0-42D9-A4AC-84653495F51D}"/>
              </c:ext>
            </c:extLst>
          </c:dPt>
          <c:dPt>
            <c:idx val="9"/>
            <c:invertIfNegative val="0"/>
            <c:bubble3D val="0"/>
            <c:explosion val="7"/>
            <c:extLst>
              <c:ext xmlns:c16="http://schemas.microsoft.com/office/drawing/2014/chart" uri="{C3380CC4-5D6E-409C-BE32-E72D297353CC}">
                <c16:uniqueId val="{00000009-A3A0-42D9-A4AC-84653495F51D}"/>
              </c:ext>
            </c:extLst>
          </c:dPt>
          <c:dPt>
            <c:idx val="10"/>
            <c:invertIfNegative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A-A3A0-42D9-A4AC-84653495F51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spc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'17'!$A$9:$A$19</c:f>
              <c:strCache>
                <c:ptCount val="11"/>
                <c:pt idx="0">
                  <c:v>No especificado</c:v>
                </c:pt>
                <c:pt idx="1">
                  <c:v>Posgrado</c:v>
                </c:pt>
                <c:pt idx="2">
                  <c:v>Profesional</c:v>
                </c:pt>
                <c:pt idx="3">
                  <c:v>Preparatoria completa</c:v>
                </c:pt>
                <c:pt idx="4">
                  <c:v>Preparatoria incompleta</c:v>
                </c:pt>
                <c:pt idx="5">
                  <c:v>Secundaria completa</c:v>
                </c:pt>
                <c:pt idx="6">
                  <c:v>Secundaria incompleta</c:v>
                </c:pt>
                <c:pt idx="7">
                  <c:v>Primaria completa</c:v>
                </c:pt>
                <c:pt idx="8">
                  <c:v>Primaria incompleta</c:v>
                </c:pt>
                <c:pt idx="9">
                  <c:v>Preescolar</c:v>
                </c:pt>
                <c:pt idx="10">
                  <c:v>Ninguna</c:v>
                </c:pt>
              </c:strCache>
            </c:strRef>
          </c:cat>
          <c:val>
            <c:numRef>
              <c:f>'17'!$B$9:$B$19</c:f>
              <c:numCache>
                <c:formatCode>#\ ###\ ##0</c:formatCode>
                <c:ptCount val="11"/>
                <c:pt idx="0">
                  <c:v>598</c:v>
                </c:pt>
                <c:pt idx="1">
                  <c:v>104</c:v>
                </c:pt>
                <c:pt idx="2">
                  <c:v>3770</c:v>
                </c:pt>
                <c:pt idx="3">
                  <c:v>5010</c:v>
                </c:pt>
                <c:pt idx="4">
                  <c:v>1724</c:v>
                </c:pt>
                <c:pt idx="5">
                  <c:v>6981</c:v>
                </c:pt>
                <c:pt idx="6">
                  <c:v>1198</c:v>
                </c:pt>
                <c:pt idx="7">
                  <c:v>2324</c:v>
                </c:pt>
                <c:pt idx="8">
                  <c:v>846</c:v>
                </c:pt>
                <c:pt idx="9">
                  <c:v>17</c:v>
                </c:pt>
                <c:pt idx="10">
                  <c:v>428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A3A0-42D9-A4AC-84653495F51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"/>
        <c:axId val="664825488"/>
        <c:axId val="523833024"/>
      </c:barChart>
      <c:valAx>
        <c:axId val="523833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cap="none" baseline="0"/>
                  <a:t>Defunciones fetales</a:t>
                </a:r>
              </a:p>
            </c:rich>
          </c:tx>
          <c:layout>
            <c:manualLayout>
              <c:xMode val="edge"/>
              <c:yMode val="edge"/>
              <c:x val="0.56479692925285219"/>
              <c:y val="0.923639890633889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none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\ ###\ 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64825488"/>
        <c:crosses val="autoZero"/>
        <c:crossBetween val="between"/>
      </c:valAx>
      <c:catAx>
        <c:axId val="66482548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none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cap="none" baseline="0"/>
                  <a:t>Nivel de escolaridad de la madre</a:t>
                </a:r>
              </a:p>
            </c:rich>
          </c:tx>
          <c:layout>
            <c:manualLayout>
              <c:xMode val="edge"/>
              <c:yMode val="edge"/>
              <c:x val="6.9960477647483281E-3"/>
              <c:y val="0.136052995560372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none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2383302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481402324709412"/>
          <c:y val="0"/>
          <c:w val="0.61190494938132745"/>
          <c:h val="0.98467433412546124"/>
        </c:manualLayout>
      </c:layout>
      <c:pie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w="101600" prst="riblet"/>
            </a:sp3d>
          </c:spPr>
          <c:dPt>
            <c:idx val="0"/>
            <c:bubble3D val="0"/>
            <c:explosion val="2"/>
            <c:spPr>
              <a:solidFill>
                <a:srgbClr val="548235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1-4A36-4B07-AEFE-BF559B15D86F}"/>
              </c:ext>
            </c:extLst>
          </c:dPt>
          <c:dPt>
            <c:idx val="1"/>
            <c:bubble3D val="0"/>
            <c:spPr>
              <a:solidFill>
                <a:srgbClr val="C5E0B4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3-4A36-4B07-AEFE-BF559B15D86F}"/>
              </c:ext>
            </c:extLst>
          </c:dPt>
          <c:dPt>
            <c:idx val="2"/>
            <c:bubble3D val="0"/>
            <c:spPr>
              <a:solidFill>
                <a:srgbClr val="385723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5-4A36-4B07-AEFE-BF559B15D86F}"/>
              </c:ext>
            </c:extLst>
          </c:dPt>
          <c:dLbls>
            <c:dLbl>
              <c:idx val="0"/>
              <c:layout>
                <c:manualLayout>
                  <c:x val="-0.10446030968616961"/>
                  <c:y val="-0.1376587221516050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A36-4B07-AEFE-BF559B15D86F}"/>
                </c:ext>
              </c:extLst>
            </c:dLbl>
            <c:dLbl>
              <c:idx val="1"/>
              <c:layout>
                <c:manualLayout>
                  <c:x val="0.16416591676040496"/>
                  <c:y val="0.2453016815034619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A36-4B07-AEFE-BF559B15D86F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'18'!$A$9:$A$11</c:f>
              <c:strCache>
                <c:ptCount val="3"/>
                <c:pt idx="0">
                  <c:v>Trabaja</c:v>
                </c:pt>
                <c:pt idx="1">
                  <c:v>No trabaja</c:v>
                </c:pt>
                <c:pt idx="2">
                  <c:v>No especificado</c:v>
                </c:pt>
              </c:strCache>
            </c:strRef>
          </c:cat>
          <c:val>
            <c:numRef>
              <c:f>'18'!$B$9:$B$11</c:f>
              <c:numCache>
                <c:formatCode>#\ ###\ ##0</c:formatCode>
                <c:ptCount val="3"/>
                <c:pt idx="0">
                  <c:v>6416</c:v>
                </c:pt>
                <c:pt idx="1">
                  <c:v>15741</c:v>
                </c:pt>
                <c:pt idx="2">
                  <c:v>843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A36-4B07-AEFE-BF559B15D8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106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8049489513508656E-2"/>
          <c:y val="4.8148148148148148E-2"/>
          <c:w val="0.879386411566903"/>
          <c:h val="0.82907962230862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'02'!$A$7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rgbClr val="CCCCFF"/>
            </a:soli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2.051281719962592E-3"/>
                  <c:y val="0.4925925925925925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1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0E9-4737-8F20-B08C614843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'02'!$D$7</c:f>
              <c:numCache>
                <c:formatCode>0.0</c:formatCode>
                <c:ptCount val="1"/>
                <c:pt idx="0">
                  <c:v>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E9-4737-8F20-B08C614843B9}"/>
            </c:ext>
          </c:extLst>
        </c:ser>
        <c:ser>
          <c:idx val="1"/>
          <c:order val="1"/>
          <c:tx>
            <c:strRef>
              <c:f>'02'!$A$8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rgbClr val="9999FF"/>
            </a:soli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3.0769225799438782E-3"/>
                  <c:y val="0.37222207640711563"/>
                </c:manualLayout>
              </c:layout>
              <c:tx>
                <c:rich>
                  <a:bodyPr rot="-5400000" spcFirstLastPara="1" vertOverflow="ellipsis" wrap="square" anchor="ctr" anchorCtr="1"/>
                  <a:lstStyle/>
                  <a:p>
                    <a:pPr algn="l"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B946BB9A-7C80-4F9B-90F9-2B4498296F3A}" type="SERIESNAME">
                      <a:rPr lang="en-US"/>
                      <a:pPr algn="l">
                        <a:defRPr/>
                      </a:pPr>
                      <a:t>[NOMBRE DE LA SERIE]</a:t>
                    </a:fld>
                    <a:r>
                      <a:rPr lang="en-US" baseline="0"/>
                      <a:t> 7.1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 algn="l"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1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63486894651824"/>
                      <c:h val="6.6111111111111107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80E9-4737-8F20-B08C614843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'02'!$D$8</c:f>
              <c:numCache>
                <c:formatCode>0.0</c:formatCode>
                <c:ptCount val="1"/>
                <c:pt idx="0">
                  <c:v>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0E9-4737-8F20-B08C614843B9}"/>
            </c:ext>
          </c:extLst>
        </c:ser>
        <c:ser>
          <c:idx val="2"/>
          <c:order val="2"/>
          <c:tx>
            <c:strRef>
              <c:f>'02'!$A$9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rgbClr val="CC99FF"/>
            </a:solidFill>
            <a:ln w="9525" cap="flat" cmpd="sng" algn="ctr">
              <a:solidFill>
                <a:schemeClr val="accent3">
                  <a:shade val="9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2.0512817199625729E-3"/>
                  <c:y val="0.48518518518518516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0E9-4737-8F20-B08C614843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'02'!$D$9</c:f>
              <c:numCache>
                <c:formatCode>0.0</c:formatCode>
                <c:ptCount val="1"/>
                <c:pt idx="0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0E9-4737-8F20-B08C614843B9}"/>
            </c:ext>
          </c:extLst>
        </c:ser>
        <c:ser>
          <c:idx val="3"/>
          <c:order val="3"/>
          <c:tx>
            <c:strRef>
              <c:f>'02'!$A$10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rgbClr val="CC66FF"/>
            </a:solidFill>
            <a:ln w="9525" cap="flat" cmpd="sng" algn="ctr">
              <a:solidFill>
                <a:schemeClr val="accent4">
                  <a:shade val="9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0.52222222222222225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0E9-4737-8F20-B08C614843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'02'!$D$10</c:f>
              <c:numCache>
                <c:formatCode>0.0</c:formatCode>
                <c:ptCount val="1"/>
                <c:pt idx="0">
                  <c:v>8.1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0E9-4737-8F20-B08C614843B9}"/>
            </c:ext>
          </c:extLst>
        </c:ser>
        <c:ser>
          <c:idx val="4"/>
          <c:order val="4"/>
          <c:tx>
            <c:strRef>
              <c:f>'02'!$A$11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rgbClr val="9966FF"/>
            </a:solidFill>
            <a:ln w="9525" cap="flat" cmpd="sng" algn="ctr">
              <a:solidFill>
                <a:schemeClr val="accent5">
                  <a:shade val="9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4.1025634399251458E-3"/>
                  <c:y val="0.50740740740740742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0E9-4737-8F20-B08C614843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'02'!$D$11</c:f>
              <c:numCache>
                <c:formatCode>0.0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0E9-4737-8F20-B08C614843B9}"/>
            </c:ext>
          </c:extLst>
        </c:ser>
        <c:ser>
          <c:idx val="5"/>
          <c:order val="5"/>
          <c:tx>
            <c:strRef>
              <c:f>'02'!$A$12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rgbClr val="9933FF"/>
            </a:solidFill>
            <a:ln w="9525" cap="flat" cmpd="sng" algn="ctr">
              <a:solidFill>
                <a:schemeClr val="accent6">
                  <a:shade val="9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0.50370370370370365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0E9-4737-8F20-B08C614843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'02'!$D$12</c:f>
              <c:numCache>
                <c:formatCode>0.0</c:formatCode>
                <c:ptCount val="1"/>
                <c:pt idx="0">
                  <c:v>8.6999999999999993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0E9-4737-8F20-B08C614843B9}"/>
            </c:ext>
          </c:extLst>
        </c:ser>
        <c:ser>
          <c:idx val="6"/>
          <c:order val="6"/>
          <c:tx>
            <c:strRef>
              <c:f>'02'!$A$13</c:f>
              <c:strCache>
                <c:ptCount val="1"/>
                <c:pt idx="0">
                  <c:v>Julio</c:v>
                </c:pt>
              </c:strCache>
            </c:strRef>
          </c:tx>
          <c:spPr>
            <a:solidFill>
              <a:srgbClr val="CC00FF"/>
            </a:solidFill>
            <a:ln w="9525" cap="flat" cmpd="sng" algn="ctr">
              <a:solidFill>
                <a:schemeClr val="accent1">
                  <a:lumMod val="60000"/>
                  <a:shade val="9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2.0512817199624979E-3"/>
                  <c:y val="0.52222222222222225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0E9-4737-8F20-B08C614843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'02'!$D$13</c:f>
              <c:numCache>
                <c:formatCode>0.0</c:formatCode>
                <c:ptCount val="1"/>
                <c:pt idx="0">
                  <c:v>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0E9-4737-8F20-B08C614843B9}"/>
            </c:ext>
          </c:extLst>
        </c:ser>
        <c:ser>
          <c:idx val="7"/>
          <c:order val="7"/>
          <c:tx>
            <c:strRef>
              <c:f>'02'!$A$14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rgbClr val="9900FF"/>
            </a:solidFill>
            <a:ln w="9525" cap="flat" cmpd="sng" algn="ctr">
              <a:solidFill>
                <a:schemeClr val="accent2">
                  <a:lumMod val="60000"/>
                  <a:shade val="9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2.0512817199625729E-3"/>
                  <c:y val="0.46666666666666667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0E9-4737-8F20-B08C614843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'02'!$D$14</c:f>
              <c:numCache>
                <c:formatCode>0.0</c:formatCode>
                <c:ptCount val="1"/>
                <c:pt idx="0">
                  <c:v>9.3000000000000007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80E9-4737-8F20-B08C614843B9}"/>
            </c:ext>
          </c:extLst>
        </c:ser>
        <c:ser>
          <c:idx val="8"/>
          <c:order val="8"/>
          <c:tx>
            <c:strRef>
              <c:f>'02'!$A$15</c:f>
              <c:strCache>
                <c:ptCount val="1"/>
                <c:pt idx="0">
                  <c:v>Septiembre</c:v>
                </c:pt>
              </c:strCache>
            </c:strRef>
          </c:tx>
          <c:spPr>
            <a:solidFill>
              <a:srgbClr val="6666FF"/>
            </a:solidFill>
            <a:ln w="9525" cap="flat" cmpd="sng" algn="ctr">
              <a:solidFill>
                <a:schemeClr val="accent3">
                  <a:lumMod val="60000"/>
                  <a:shade val="9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2.0512817199624224E-3"/>
                  <c:y val="0.3666666666666666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1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0E9-4737-8F20-B08C614843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'02'!$D$15</c:f>
              <c:numCache>
                <c:formatCode>0.0</c:formatCode>
                <c:ptCount val="1"/>
                <c:pt idx="0">
                  <c:v>8.6999999999999993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80E9-4737-8F20-B08C614843B9}"/>
            </c:ext>
          </c:extLst>
        </c:ser>
        <c:ser>
          <c:idx val="9"/>
          <c:order val="9"/>
          <c:tx>
            <c:strRef>
              <c:f>'02'!$A$16</c:f>
              <c:strCache>
                <c:ptCount val="1"/>
                <c:pt idx="0">
                  <c:v>Octubre</c:v>
                </c:pt>
              </c:strCache>
            </c:strRef>
          </c:tx>
          <c:spPr>
            <a:solidFill>
              <a:srgbClr val="CEBAEC"/>
            </a:solidFill>
            <a:ln w="9525" cap="flat" cmpd="sng" algn="ctr">
              <a:solidFill>
                <a:schemeClr val="accent4">
                  <a:lumMod val="60000"/>
                  <a:shade val="9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2.0512817199625729E-3"/>
                  <c:y val="0.44814814814814813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0E9-4737-8F20-B08C614843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'02'!$D$16</c:f>
              <c:numCache>
                <c:formatCode>0.0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80E9-4737-8F20-B08C614843B9}"/>
            </c:ext>
          </c:extLst>
        </c:ser>
        <c:ser>
          <c:idx val="10"/>
          <c:order val="10"/>
          <c:tx>
            <c:strRef>
              <c:f>'02'!$A$17</c:f>
              <c:strCache>
                <c:ptCount val="1"/>
                <c:pt idx="0">
                  <c:v>Noviembre</c:v>
                </c:pt>
              </c:strCache>
            </c:strRef>
          </c:tx>
          <c:spPr>
            <a:solidFill>
              <a:srgbClr val="F1EBF9"/>
            </a:solidFill>
            <a:ln w="9525" cap="flat" cmpd="sng" algn="ctr">
              <a:solidFill>
                <a:schemeClr val="accent5">
                  <a:lumMod val="60000"/>
                  <a:shade val="9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2.0512817199625729E-3"/>
                  <c:y val="0.38148148148148148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0E9-4737-8F20-B08C614843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'02'!$D$17</c:f>
              <c:numCache>
                <c:formatCode>0.0</c:formatCode>
                <c:ptCount val="1"/>
                <c:pt idx="0">
                  <c:v>8.3000000000000007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80E9-4737-8F20-B08C614843B9}"/>
            </c:ext>
          </c:extLst>
        </c:ser>
        <c:ser>
          <c:idx val="11"/>
          <c:order val="11"/>
          <c:tx>
            <c:strRef>
              <c:f>'02'!$A$18</c:f>
              <c:strCache>
                <c:ptCount val="1"/>
                <c:pt idx="0">
                  <c:v>Diciembre</c:v>
                </c:pt>
              </c:strCache>
            </c:strRef>
          </c:tx>
          <c:spPr>
            <a:solidFill>
              <a:srgbClr val="B469FF"/>
            </a:solidFill>
            <a:ln w="9525" cap="flat" cmpd="sng" algn="ctr">
              <a:solidFill>
                <a:schemeClr val="accent6">
                  <a:lumMod val="60000"/>
                  <a:shade val="9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80E9-4737-8F20-B08C614843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'02'!$D$18</c:f>
              <c:numCache>
                <c:formatCode>0.0</c:formatCode>
                <c:ptCount val="1"/>
                <c:pt idx="0">
                  <c:v>8.1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80E9-4737-8F20-B08C614843B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1"/>
        <c:axId val="450186376"/>
        <c:axId val="450189656"/>
      </c:barChart>
      <c:catAx>
        <c:axId val="450186376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cap="none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cap="none" baseline="0"/>
                  <a:t>Mes</a:t>
                </a:r>
              </a:p>
            </c:rich>
          </c:tx>
          <c:layout>
            <c:manualLayout>
              <c:xMode val="edge"/>
              <c:yMode val="edge"/>
              <c:x val="0.49477851891322128"/>
              <c:y val="0.8993576632796419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cap="none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crossAx val="450189656"/>
        <c:crosses val="autoZero"/>
        <c:auto val="1"/>
        <c:lblAlgn val="ctr"/>
        <c:lblOffset val="100"/>
        <c:noMultiLvlLbl val="0"/>
      </c:catAx>
      <c:valAx>
        <c:axId val="450189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cap="none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cap="none" baseline="0"/>
                  <a:t>Porcentaje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cap="none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50186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280674705871554"/>
          <c:y val="3.4591194968553458E-2"/>
          <c:w val="0.62432612007415145"/>
          <c:h val="0.7583522059742532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66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'03'!$A$7:$A$19</c:f>
              <c:strCache>
                <c:ptCount val="13"/>
                <c:pt idx="0">
                  <c:v>No especificado</c:v>
                </c:pt>
                <c:pt idx="1">
                  <c:v>SSA</c:v>
                </c:pt>
                <c:pt idx="2">
                  <c:v>IMSS</c:v>
                </c:pt>
                <c:pt idx="3">
                  <c:v>Unidad médica privada</c:v>
                </c:pt>
                <c:pt idx="4">
                  <c:v>Otra unidad pública</c:v>
                </c:pt>
                <c:pt idx="5">
                  <c:v>Hogar</c:v>
                </c:pt>
                <c:pt idx="6">
                  <c:v>IMSS PROSPERA</c:v>
                </c:pt>
                <c:pt idx="7">
                  <c:v>ISSSTE</c:v>
                </c:pt>
                <c:pt idx="8">
                  <c:v>Otro</c:v>
                </c:pt>
                <c:pt idx="9">
                  <c:v>Vía pública</c:v>
                </c:pt>
                <c:pt idx="10">
                  <c:v>SEDENA</c:v>
                </c:pt>
                <c:pt idx="11">
                  <c:v>SEMAR</c:v>
                </c:pt>
                <c:pt idx="12">
                  <c:v>PEMEX</c:v>
                </c:pt>
              </c:strCache>
            </c:strRef>
          </c:cat>
          <c:val>
            <c:numRef>
              <c:f>'03'!$B$7:$B$19</c:f>
              <c:numCache>
                <c:formatCode>#\ ###\ ##0</c:formatCode>
                <c:ptCount val="13"/>
                <c:pt idx="0">
                  <c:v>177</c:v>
                </c:pt>
                <c:pt idx="1">
                  <c:v>11439</c:v>
                </c:pt>
                <c:pt idx="2">
                  <c:v>4550</c:v>
                </c:pt>
                <c:pt idx="3">
                  <c:v>3450</c:v>
                </c:pt>
                <c:pt idx="4">
                  <c:v>828</c:v>
                </c:pt>
                <c:pt idx="5">
                  <c:v>1013</c:v>
                </c:pt>
                <c:pt idx="6">
                  <c:v>829</c:v>
                </c:pt>
                <c:pt idx="7">
                  <c:v>312</c:v>
                </c:pt>
                <c:pt idx="8">
                  <c:v>179</c:v>
                </c:pt>
                <c:pt idx="9">
                  <c:v>102</c:v>
                </c:pt>
                <c:pt idx="10">
                  <c:v>85</c:v>
                </c:pt>
                <c:pt idx="11">
                  <c:v>18</c:v>
                </c:pt>
                <c:pt idx="1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5E-4EE6-8D53-C5C8C0E1995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"/>
        <c:axId val="697670360"/>
        <c:axId val="697663472"/>
      </c:barChart>
      <c:catAx>
        <c:axId val="69767036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Sitio de ocurrencia</a:t>
                </a:r>
              </a:p>
            </c:rich>
          </c:tx>
          <c:layout>
            <c:manualLayout>
              <c:xMode val="edge"/>
              <c:yMode val="edge"/>
              <c:x val="1.3096195143439238E-2"/>
              <c:y val="0.2258097737782777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97663472"/>
        <c:crosses val="autoZero"/>
        <c:auto val="1"/>
        <c:lblAlgn val="ctr"/>
        <c:lblOffset val="100"/>
        <c:noMultiLvlLbl val="0"/>
      </c:catAx>
      <c:valAx>
        <c:axId val="6976634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Defunciones fetales</a:t>
                </a:r>
              </a:p>
            </c:rich>
          </c:tx>
          <c:layout>
            <c:manualLayout>
              <c:xMode val="edge"/>
              <c:yMode val="edge"/>
              <c:x val="0.53872272084870509"/>
              <c:y val="0.9229402991292755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\ ###\ 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97670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238902836331086E-2"/>
          <c:y val="1.5553288993476161E-2"/>
          <c:w val="0.89769795161999866"/>
          <c:h val="0.666681311928719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CEBAEC"/>
            </a:solidFill>
            <a:ln>
              <a:solidFill>
                <a:srgbClr val="6600CC"/>
              </a:solidFill>
            </a:ln>
            <a:effectLst/>
          </c:spPr>
          <c:invertIfNegative val="0"/>
          <c:dPt>
            <c:idx val="0"/>
            <c:invertIfNegative val="0"/>
            <c:bubble3D val="0"/>
            <c:explosion val="28"/>
            <c:extLst>
              <c:ext xmlns:c16="http://schemas.microsoft.com/office/drawing/2014/chart" uri="{C3380CC4-5D6E-409C-BE32-E72D297353CC}">
                <c16:uniqueId val="{00000000-BD80-45F5-9FBF-FAB9F6E5A643}"/>
              </c:ext>
            </c:extLst>
          </c:dPt>
          <c:dPt>
            <c:idx val="1"/>
            <c:invertIfNegative val="0"/>
            <c:bubble3D val="0"/>
            <c:explosion val="18"/>
            <c:extLst>
              <c:ext xmlns:c16="http://schemas.microsoft.com/office/drawing/2014/chart" uri="{C3380CC4-5D6E-409C-BE32-E72D297353CC}">
                <c16:uniqueId val="{00000001-BD80-45F5-9FBF-FAB9F6E5A64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'04'!$B$7:$B$12</c:f>
              <c:strCache>
                <c:ptCount val="6"/>
                <c:pt idx="0">
                  <c:v>Feto y recién nacido afectados por factores maternos y por complicaciones del embarazo, del trabajo de parto y del parto</c:v>
                </c:pt>
                <c:pt idx="1">
                  <c:v>Otros trastornos originados en el período perinatal</c:v>
                </c:pt>
                <c:pt idx="2">
                  <c:v>Trastornos relacionados con la duración de la gestación y el crecimiento fetal</c:v>
                </c:pt>
                <c:pt idx="3">
                  <c:v>Trastornos respiratorios y cardiovasculares específicos del período perinatal</c:v>
                </c:pt>
                <c:pt idx="4">
                  <c:v>Malformaciones congénitas, deformidades y anomalías cromosómicas</c:v>
                </c:pt>
                <c:pt idx="5">
                  <c:v>Otras causas especificadas en el periodo perinatal</c:v>
                </c:pt>
              </c:strCache>
            </c:strRef>
          </c:cat>
          <c:val>
            <c:numRef>
              <c:f>'04'!$C$7:$C$12</c:f>
              <c:numCache>
                <c:formatCode>#\ ###\ ##0</c:formatCode>
                <c:ptCount val="6"/>
                <c:pt idx="0">
                  <c:v>10591</c:v>
                </c:pt>
                <c:pt idx="1">
                  <c:v>6236</c:v>
                </c:pt>
                <c:pt idx="2">
                  <c:v>2121</c:v>
                </c:pt>
                <c:pt idx="3">
                  <c:v>2016</c:v>
                </c:pt>
                <c:pt idx="4">
                  <c:v>1215</c:v>
                </c:pt>
                <c:pt idx="5">
                  <c:v>821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D80-45F5-9FBF-FAB9F6E5A64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"/>
        <c:overlap val="-27"/>
        <c:axId val="1565215104"/>
        <c:axId val="1565225504"/>
      </c:barChart>
      <c:catAx>
        <c:axId val="15652151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Causa de defunción</a:t>
                </a:r>
              </a:p>
            </c:rich>
          </c:tx>
          <c:layout>
            <c:manualLayout>
              <c:xMode val="edge"/>
              <c:yMode val="edge"/>
              <c:x val="0.44468934774075836"/>
              <c:y val="0.9328814809125124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65225504"/>
        <c:crosses val="autoZero"/>
        <c:auto val="1"/>
        <c:lblAlgn val="ctr"/>
        <c:lblOffset val="100"/>
        <c:noMultiLvlLbl val="0"/>
      </c:catAx>
      <c:valAx>
        <c:axId val="1565225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Defunciones fetales</a:t>
                </a:r>
              </a:p>
            </c:rich>
          </c:tx>
          <c:layout>
            <c:manualLayout>
              <c:xMode val="edge"/>
              <c:yMode val="edge"/>
              <c:x val="4.6197730239915333E-3"/>
              <c:y val="0.3137294633015597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\ ###\ 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65215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5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998521942436379E-2"/>
          <c:y val="1.5080996552252173E-4"/>
          <c:w val="0.71776768518269685"/>
          <c:h val="0.99984919003447748"/>
        </c:manualLayout>
      </c:layout>
      <c:doughnutChart>
        <c:varyColors val="1"/>
        <c:ser>
          <c:idx val="0"/>
          <c:order val="0"/>
          <c:spPr>
            <a:effectLst/>
            <a:scene3d>
              <a:camera prst="orthographicFront"/>
              <a:lightRig rig="threePt" dir="t"/>
            </a:scene3d>
            <a:sp3d/>
          </c:spPr>
          <c:explosion val="3"/>
          <c:dPt>
            <c:idx val="0"/>
            <c:bubble3D val="0"/>
            <c:spPr>
              <a:solidFill>
                <a:srgbClr val="C8B1E9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1-0102-4934-9108-31FD78F429BA}"/>
              </c:ext>
            </c:extLst>
          </c:dPt>
          <c:dPt>
            <c:idx val="1"/>
            <c:bubble3D val="0"/>
            <c:spPr>
              <a:solidFill>
                <a:srgbClr val="6600CC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3-0102-4934-9108-31FD78F429BA}"/>
              </c:ext>
            </c:extLst>
          </c:dPt>
          <c:dPt>
            <c:idx val="2"/>
            <c:bubble3D val="0"/>
            <c:spPr>
              <a:solidFill>
                <a:srgbClr val="A079D9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5-0102-4934-9108-31FD78F429BA}"/>
              </c:ext>
            </c:extLst>
          </c:dPt>
          <c:dLbls>
            <c:dLbl>
              <c:idx val="0"/>
              <c:layout>
                <c:manualLayout>
                  <c:x val="-2.2099443240973259E-2"/>
                  <c:y val="0.1360544217687075"/>
                </c:manualLayout>
              </c:layout>
              <c:tx>
                <c:rich>
                  <a:bodyPr/>
                  <a:lstStyle/>
                  <a:p>
                    <a:fld id="{75BBDA30-B4C6-415F-B36E-B51399E546B0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2E0A0C40-40D7-45A5-B9EE-B7FA6BDD1D4D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83.5 %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102-4934-9108-31FD78F429BA}"/>
                </c:ext>
              </c:extLst>
            </c:dLbl>
            <c:dLbl>
              <c:idx val="1"/>
              <c:layout>
                <c:manualLayout>
                  <c:x val="0.25839705471072583"/>
                  <c:y val="-3.8873206075257473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5296605842358444"/>
                      <c:h val="0.3021222442378992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0102-4934-9108-31FD78F429BA}"/>
                </c:ext>
              </c:extLst>
            </c:dLbl>
            <c:dLbl>
              <c:idx val="2"/>
              <c:layout>
                <c:manualLayout>
                  <c:x val="6.5359443487497558E-3"/>
                  <c:y val="1.709401709401709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102-4934-9108-31FD78F429BA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5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'05'!$A$7:$A$9</c:f>
              <c:strCache>
                <c:ptCount val="3"/>
                <c:pt idx="0">
                  <c:v>Antes del parto</c:v>
                </c:pt>
                <c:pt idx="1">
                  <c:v>No especificado</c:v>
                </c:pt>
                <c:pt idx="2">
                  <c:v>Durante el parto</c:v>
                </c:pt>
              </c:strCache>
            </c:strRef>
          </c:cat>
          <c:val>
            <c:numRef>
              <c:f>'05'!$B$7:$B$9</c:f>
              <c:numCache>
                <c:formatCode>#\ ###\ ##0</c:formatCode>
                <c:ptCount val="3"/>
                <c:pt idx="0">
                  <c:v>19217</c:v>
                </c:pt>
                <c:pt idx="1">
                  <c:v>273</c:v>
                </c:pt>
                <c:pt idx="2">
                  <c:v>3510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102-4934-9108-31FD78F429B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51"/>
        <c:holeSize val="3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5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269664900253207"/>
          <c:y val="3.4220022843005515E-2"/>
          <c:w val="0.69488224774952267"/>
          <c:h val="0.90929445555984922"/>
        </c:manualLayout>
      </c:layout>
      <c:doughnutChart>
        <c:varyColors val="1"/>
        <c:ser>
          <c:idx val="0"/>
          <c:order val="0"/>
          <c:spPr>
            <a:effectLst>
              <a:softEdge rad="127000"/>
            </a:effectLst>
            <a:scene3d>
              <a:camera prst="orthographicFront"/>
              <a:lightRig rig="threePt" dir="t"/>
            </a:scene3d>
            <a:sp3d prstMaterial="flat">
              <a:bevelT w="63500" h="63500"/>
              <a:bevelB/>
              <a:contourClr>
                <a:srgbClr val="000000"/>
              </a:contourClr>
            </a:sp3d>
          </c:spPr>
          <c:dPt>
            <c:idx val="0"/>
            <c:bubble3D val="0"/>
            <c:spPr>
              <a:solidFill>
                <a:srgbClr val="DD8C55"/>
              </a:solidFill>
              <a:ln w="19050">
                <a:solidFill>
                  <a:schemeClr val="lt1"/>
                </a:solidFill>
              </a:ln>
              <a:effectLst>
                <a:softEdge rad="127000"/>
              </a:effectLst>
              <a:scene3d>
                <a:camera prst="orthographicFront"/>
                <a:lightRig rig="threePt" dir="t"/>
              </a:scene3d>
              <a:sp3d prstMaterial="flat">
                <a:bevelB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888-4EC4-8F54-8DE347B77E21}"/>
              </c:ext>
            </c:extLst>
          </c:dPt>
          <c:dPt>
            <c:idx val="1"/>
            <c:bubble3D val="0"/>
            <c:spPr>
              <a:solidFill>
                <a:srgbClr val="ED7D31"/>
              </a:solidFill>
              <a:ln w="19050">
                <a:solidFill>
                  <a:schemeClr val="lt1"/>
                </a:solidFill>
              </a:ln>
              <a:effectLst>
                <a:softEdge rad="127000"/>
              </a:effectLst>
              <a:scene3d>
                <a:camera prst="orthographicFront"/>
                <a:lightRig rig="threePt" dir="t"/>
              </a:scene3d>
              <a:sp3d prstMaterial="flat">
                <a:bevelB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888-4EC4-8F54-8DE347B77E21}"/>
              </c:ext>
            </c:extLst>
          </c:dPt>
          <c:dPt>
            <c:idx val="2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 w="19050">
                <a:solidFill>
                  <a:schemeClr val="lt1"/>
                </a:solidFill>
              </a:ln>
              <a:effectLst>
                <a:softEdge rad="127000"/>
              </a:effectLst>
              <a:scene3d>
                <a:camera prst="orthographicFront"/>
                <a:lightRig rig="threePt" dir="t"/>
              </a:scene3d>
              <a:sp3d prstMaterial="flat">
                <a:bevelB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888-4EC4-8F54-8DE347B77E21}"/>
              </c:ext>
            </c:extLst>
          </c:dPt>
          <c:dLbls>
            <c:dLbl>
              <c:idx val="0"/>
              <c:layout>
                <c:manualLayout>
                  <c:x val="-0.17545579525875787"/>
                  <c:y val="-0.1407619750051941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8841059872368572"/>
                      <c:h val="0.3248985090546729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888-4EC4-8F54-8DE347B77E21}"/>
                </c:ext>
              </c:extLst>
            </c:dLbl>
            <c:dLbl>
              <c:idx val="1"/>
              <c:layout>
                <c:manualLayout>
                  <c:x val="-0.21449936097296374"/>
                  <c:y val="0.1476519128647169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6096757594194506"/>
                      <c:h val="0.1809574941727993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A888-4EC4-8F54-8DE347B77E21}"/>
                </c:ext>
              </c:extLst>
            </c:dLbl>
            <c:dLbl>
              <c:idx val="2"/>
              <c:layout>
                <c:manualLayout>
                  <c:x val="-0.24222388287114138"/>
                  <c:y val="4.853173928959438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4856071025713067"/>
                      <c:h val="0.2775985258704273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A888-4EC4-8F54-8DE347B77E21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'06'!$A$8:$A$10</c:f>
              <c:strCache>
                <c:ptCount val="3"/>
                <c:pt idx="0">
                  <c:v>Si recibió atención prenatal</c:v>
                </c:pt>
                <c:pt idx="1">
                  <c:v>No especificado</c:v>
                </c:pt>
                <c:pt idx="2">
                  <c:v>No recibió atención prenatal</c:v>
                </c:pt>
              </c:strCache>
            </c:strRef>
          </c:cat>
          <c:val>
            <c:numRef>
              <c:f>'06'!$B$8:$B$10</c:f>
              <c:numCache>
                <c:formatCode>#\ ###\ ##0</c:formatCode>
                <c:ptCount val="3"/>
                <c:pt idx="0">
                  <c:v>18976</c:v>
                </c:pt>
                <c:pt idx="1">
                  <c:v>566</c:v>
                </c:pt>
                <c:pt idx="2">
                  <c:v>3458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888-4EC4-8F54-8DE347B77E2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270"/>
        <c:holeSize val="4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4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/>
              <a:t>Consultas otorgadas a la madre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4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4B183"/>
            </a:solidFill>
            <a:ln w="12700">
              <a:solidFill>
                <a:srgbClr val="C55A1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'06'!$A$14:$A$19</c:f>
              <c:strCache>
                <c:ptCount val="6"/>
                <c:pt idx="0">
                  <c:v>De 1 a 5</c:v>
                </c:pt>
                <c:pt idx="1">
                  <c:v>De 6 a 10</c:v>
                </c:pt>
                <c:pt idx="2">
                  <c:v>De 11 a 15</c:v>
                </c:pt>
                <c:pt idx="3">
                  <c:v>De 16 a 20</c:v>
                </c:pt>
                <c:pt idx="4">
                  <c:v>De 21 y más</c:v>
                </c:pt>
                <c:pt idx="5">
                  <c:v>No especificado</c:v>
                </c:pt>
              </c:strCache>
            </c:strRef>
          </c:cat>
          <c:val>
            <c:numRef>
              <c:f>'06'!$B$14:$B$19</c:f>
              <c:numCache>
                <c:formatCode>#\ ###\ ##0</c:formatCode>
                <c:ptCount val="6"/>
                <c:pt idx="0">
                  <c:v>12157</c:v>
                </c:pt>
                <c:pt idx="1">
                  <c:v>5877</c:v>
                </c:pt>
                <c:pt idx="2">
                  <c:v>439</c:v>
                </c:pt>
                <c:pt idx="3">
                  <c:v>100</c:v>
                </c:pt>
                <c:pt idx="4">
                  <c:v>22</c:v>
                </c:pt>
                <c:pt idx="5">
                  <c:v>381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48-47F2-A438-8A922EEB38E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"/>
        <c:overlap val="-27"/>
        <c:axId val="620649568"/>
        <c:axId val="620647488"/>
      </c:barChart>
      <c:catAx>
        <c:axId val="620649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Consulta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20647488"/>
        <c:crosses val="autoZero"/>
        <c:auto val="1"/>
        <c:lblAlgn val="ctr"/>
        <c:lblOffset val="100"/>
        <c:noMultiLvlLbl val="0"/>
      </c:catAx>
      <c:valAx>
        <c:axId val="620647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Defunciones fetales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\ ###\ 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20649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709383034071656E-2"/>
          <c:y val="1.4720464749413065E-2"/>
          <c:w val="0.56688121886863341"/>
          <c:h val="0.97055907050117385"/>
        </c:manualLayout>
      </c:layout>
      <c:pie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B w="127000" h="127000"/>
            </a:sp3d>
          </c:spPr>
          <c:dPt>
            <c:idx val="0"/>
            <c:bubble3D val="0"/>
            <c:explosion val="5"/>
            <c:spPr>
              <a:solidFill>
                <a:srgbClr val="C46627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6472-4389-BB75-8E7EAF64E6AD}"/>
              </c:ext>
            </c:extLst>
          </c:dPt>
          <c:dPt>
            <c:idx val="1"/>
            <c:bubble3D val="0"/>
            <c:explosion val="12"/>
            <c:spPr>
              <a:solidFill>
                <a:srgbClr val="4D2307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6472-4389-BB75-8E7EAF64E6AD}"/>
              </c:ext>
            </c:extLst>
          </c:dPt>
          <c:dPt>
            <c:idx val="2"/>
            <c:bubble3D val="0"/>
            <c:explosion val="9"/>
            <c:spPr>
              <a:solidFill>
                <a:srgbClr val="F4B9A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6472-4389-BB75-8E7EAF64E6AD}"/>
              </c:ext>
            </c:extLst>
          </c:dPt>
          <c:dLbls>
            <c:dLbl>
              <c:idx val="0"/>
              <c:layout>
                <c:manualLayout>
                  <c:x val="0.16389082673909169"/>
                  <c:y val="-1.0172699000860238E-2"/>
                </c:manualLayout>
              </c:layout>
              <c:numFmt formatCode="0.0\ 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72-4389-BB75-8E7EAF64E6AD}"/>
                </c:ext>
              </c:extLst>
            </c:dLbl>
            <c:dLbl>
              <c:idx val="1"/>
              <c:layout>
                <c:manualLayout>
                  <c:x val="-2.69374280207483E-3"/>
                  <c:y val="-0.1544660864760326"/>
                </c:manualLayout>
              </c:layout>
              <c:numFmt formatCode="0.0\ 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472-4389-BB75-8E7EAF64E6AD}"/>
                </c:ext>
              </c:extLst>
            </c:dLbl>
            <c:dLbl>
              <c:idx val="2"/>
              <c:layout>
                <c:manualLayout>
                  <c:x val="-5.9241089236950406E-3"/>
                  <c:y val="0.17096145876502286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EE39CD57-C34A-484F-9A09-F868669C0D5A}" type="CATEGORYNAME">
                      <a:rPr lang="en-US"/>
                      <a:pPr>
                        <a:defRPr/>
                      </a:pPr>
                      <a:t>[NOMBRE DE CATEGORÍA]</a:t>
                    </a:fld>
                    <a:r>
                      <a:rPr lang="en-US" baseline="0"/>
                      <a:t>
</a:t>
                    </a:r>
                    <a:fld id="{73FA2D2E-0353-48ED-A08A-818FA501550B}" type="VALUE">
                      <a:rPr lang="en-US" baseline="0"/>
                      <a:pPr>
                        <a:defRPr/>
                      </a:pPr>
                      <a:t>[VALOR]</a:t>
                    </a:fld>
                    <a:r>
                      <a:rPr lang="en-US" baseline="0"/>
                      <a:t>
5.7 %</a:t>
                    </a:r>
                  </a:p>
                </c:rich>
              </c:tx>
              <c:numFmt formatCode="0.0\ 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472-4389-BB75-8E7EAF64E6AD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'07'!$A$7:$A$9</c:f>
              <c:strCache>
                <c:ptCount val="3"/>
                <c:pt idx="0">
                  <c:v>Único</c:v>
                </c:pt>
                <c:pt idx="1">
                  <c:v>Múltiple</c:v>
                </c:pt>
                <c:pt idx="2">
                  <c:v>Gemelar</c:v>
                </c:pt>
              </c:strCache>
            </c:strRef>
          </c:cat>
          <c:val>
            <c:numRef>
              <c:f>'07'!$B$7:$B$9</c:f>
              <c:numCache>
                <c:formatCode>#\ ###\ ##0</c:formatCode>
                <c:ptCount val="3"/>
                <c:pt idx="0">
                  <c:v>21615</c:v>
                </c:pt>
                <c:pt idx="1">
                  <c:v>62</c:v>
                </c:pt>
                <c:pt idx="2">
                  <c:v>1323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472-4389-BB75-8E7EAF64E6AD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09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082814778143275"/>
          <c:y val="6.13493313335833E-2"/>
          <c:w val="0.80224053043581534"/>
          <c:h val="0.6569855464899466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C55A11"/>
            </a:solidFill>
            <a:ln>
              <a:solidFill>
                <a:schemeClr val="accent2"/>
              </a:solidFill>
            </a:ln>
            <a:effectLst/>
            <a:scene3d>
              <a:camera prst="orthographicFront"/>
              <a:lightRig rig="threePt" dir="t"/>
            </a:scene3d>
            <a:sp3d>
              <a:bevelB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'08'!$A$9:$A$13</c:f>
              <c:strCache>
                <c:ptCount val="5"/>
                <c:pt idx="0">
                  <c:v>Parto vaginal espontáneo</c:v>
                </c:pt>
                <c:pt idx="1">
                  <c:v>Cesárea</c:v>
                </c:pt>
                <c:pt idx="2">
                  <c:v>Otro</c:v>
                </c:pt>
                <c:pt idx="3">
                  <c:v>Fórceps</c:v>
                </c:pt>
                <c:pt idx="4">
                  <c:v>No especificado</c:v>
                </c:pt>
              </c:strCache>
            </c:strRef>
          </c:cat>
          <c:val>
            <c:numRef>
              <c:f>'08'!$B$9:$B$13</c:f>
              <c:numCache>
                <c:formatCode>#\ ###\ ##0</c:formatCode>
                <c:ptCount val="5"/>
                <c:pt idx="0">
                  <c:v>9623</c:v>
                </c:pt>
                <c:pt idx="1">
                  <c:v>4509</c:v>
                </c:pt>
                <c:pt idx="2">
                  <c:v>186</c:v>
                </c:pt>
                <c:pt idx="3">
                  <c:v>37</c:v>
                </c:pt>
                <c:pt idx="4">
                  <c:v>323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DC-45E0-9BE7-71F79DA260D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2"/>
        <c:axId val="544795176"/>
        <c:axId val="544798456"/>
      </c:barChart>
      <c:catAx>
        <c:axId val="5447951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Procedimiento de expulsión o extracción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44798456"/>
        <c:crosses val="autoZero"/>
        <c:auto val="1"/>
        <c:lblAlgn val="ctr"/>
        <c:lblOffset val="100"/>
        <c:noMultiLvlLbl val="0"/>
      </c:catAx>
      <c:valAx>
        <c:axId val="544798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Defunciones fetales</a:t>
                </a:r>
              </a:p>
            </c:rich>
          </c:tx>
          <c:layout>
            <c:manualLayout>
              <c:xMode val="edge"/>
              <c:yMode val="edge"/>
              <c:x val="2.4176666948062447E-2"/>
              <c:y val="0.1068253346159784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\ ###\ 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44795176"/>
        <c:crosses val="autoZero"/>
        <c:crossBetween val="between"/>
        <c:majorUnit val="20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4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15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0.96765</cdr:y>
    </cdr:from>
    <cdr:to>
      <cdr:x>0.99663</cdr:x>
      <cdr:y>1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0" y="3419474"/>
          <a:ext cx="5629276" cy="1143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MX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835387A-62FE-4747-80FB-53C6E4E3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2318</Words>
  <Characters>12753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Comunicado, Características de las defunciones fetales registradas en México durante 2021</vt:lpstr>
    </vt:vector>
  </TitlesOfParts>
  <Company>INEGI</Company>
  <LinksUpToDate>false</LinksUpToDate>
  <CharactersWithSpaces>15041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Comunicado, Características de las defunciones fetales registradas en México durante 2021</dc:title>
  <dc:creator>INEGI</dc:creator>
  <cp:keywords>Mortalidad. Defunciones fetales, 2020</cp:keywords>
  <cp:lastModifiedBy>GUILLEN MEDINA MOISES</cp:lastModifiedBy>
  <cp:revision>13</cp:revision>
  <cp:lastPrinted>2022-08-31T00:13:00Z</cp:lastPrinted>
  <dcterms:created xsi:type="dcterms:W3CDTF">2022-08-30T23:49:00Z</dcterms:created>
  <dcterms:modified xsi:type="dcterms:W3CDTF">2022-08-31T00:14:00Z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LastSaved">
    <vt:filetime>2018-06-27T00:00:00Z</vt:filetime>
  </property>
</Properties>
</file>