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FB0E" w14:textId="37D40795" w:rsidR="00D56E61" w:rsidRDefault="003F4DF9" w:rsidP="00337FFC">
      <w:pPr>
        <w:pStyle w:val="Ttulo10"/>
        <w:ind w:left="-426"/>
      </w:pPr>
      <w:bookmarkStart w:id="0" w:name="_GoBack"/>
      <w:bookmarkEnd w:id="0"/>
      <w:r w:rsidRPr="003F4DF9">
        <w:t xml:space="preserve">ENCUESTA ANUAL DE TRANSPORTES (EAT) </w:t>
      </w:r>
    </w:p>
    <w:p w14:paraId="208ADE0D" w14:textId="11F52A9C" w:rsidR="003F4DF9" w:rsidRPr="003F4DF9" w:rsidRDefault="00D56E61" w:rsidP="00337FFC">
      <w:pPr>
        <w:pStyle w:val="Ttulo10"/>
        <w:ind w:left="-426"/>
      </w:pPr>
      <w:r>
        <w:t xml:space="preserve">CIFRAS DE </w:t>
      </w:r>
      <w:r w:rsidR="003F4DF9" w:rsidRPr="003F4DF9">
        <w:t>202</w:t>
      </w:r>
      <w:r w:rsidR="00BD6CE9">
        <w:t>1</w:t>
      </w:r>
    </w:p>
    <w:p w14:paraId="090A3C5E" w14:textId="77777777" w:rsidR="002B1158" w:rsidRDefault="002B1158" w:rsidP="009813FF">
      <w:pPr>
        <w:tabs>
          <w:tab w:val="left" w:pos="8789"/>
        </w:tabs>
        <w:ind w:right="51"/>
        <w:jc w:val="center"/>
        <w:rPr>
          <w:b/>
          <w:sz w:val="28"/>
          <w:szCs w:val="28"/>
        </w:rPr>
      </w:pPr>
    </w:p>
    <w:p w14:paraId="20031257" w14:textId="34B0F12E" w:rsidR="00D56E61" w:rsidRDefault="00D56E61" w:rsidP="00D56E61">
      <w:pPr>
        <w:pStyle w:val="Prrafodelista"/>
        <w:numPr>
          <w:ilvl w:val="0"/>
          <w:numId w:val="38"/>
        </w:numPr>
        <w:spacing w:before="120" w:after="240"/>
        <w:ind w:left="284" w:right="709" w:hanging="284"/>
        <w:rPr>
          <w:lang w:val="es-MX"/>
        </w:rPr>
      </w:pPr>
      <w:r w:rsidRPr="00D56E61">
        <w:rPr>
          <w:lang w:val="es-MX"/>
        </w:rPr>
        <w:t xml:space="preserve">En 2021, el personal ocupado </w:t>
      </w:r>
      <w:r w:rsidR="00387627">
        <w:rPr>
          <w:lang w:val="es-MX"/>
        </w:rPr>
        <w:t>mostró</w:t>
      </w:r>
      <w:r w:rsidR="00387627" w:rsidRPr="00D56E61">
        <w:rPr>
          <w:lang w:val="es-MX"/>
        </w:rPr>
        <w:t xml:space="preserve"> </w:t>
      </w:r>
      <w:r w:rsidRPr="00D56E61">
        <w:rPr>
          <w:lang w:val="es-MX"/>
        </w:rPr>
        <w:t>retrocesos en tres de los siete tipos de transporte registrados</w:t>
      </w:r>
      <w:r w:rsidR="0077070D">
        <w:rPr>
          <w:lang w:val="es-MX"/>
        </w:rPr>
        <w:t>.</w:t>
      </w:r>
      <w:r w:rsidR="00BF318D">
        <w:rPr>
          <w:rStyle w:val="Refdenotaalpie"/>
          <w:lang w:val="es-MX"/>
        </w:rPr>
        <w:footnoteReference w:id="1"/>
      </w:r>
      <w:r w:rsidRPr="00D56E61">
        <w:rPr>
          <w:lang w:val="es-MX"/>
        </w:rPr>
        <w:t xml:space="preserve"> </w:t>
      </w:r>
      <w:r w:rsidR="00F568AE" w:rsidRPr="00704131">
        <w:rPr>
          <w:i/>
          <w:iCs/>
          <w:lang w:val="es-MX"/>
        </w:rPr>
        <w:t>T</w:t>
      </w:r>
      <w:r w:rsidRPr="00704131">
        <w:rPr>
          <w:i/>
          <w:iCs/>
          <w:lang w:val="es-MX"/>
        </w:rPr>
        <w:t>ransporte aéreo regular en líneas aéreas nacionales</w:t>
      </w:r>
      <w:r w:rsidRPr="00D56E61">
        <w:rPr>
          <w:lang w:val="es-MX"/>
        </w:rPr>
        <w:t xml:space="preserve"> </w:t>
      </w:r>
      <w:r w:rsidR="00BF318D">
        <w:rPr>
          <w:lang w:val="es-MX"/>
        </w:rPr>
        <w:t xml:space="preserve">registró </w:t>
      </w:r>
      <w:r w:rsidRPr="00D56E61">
        <w:rPr>
          <w:lang w:val="es-MX"/>
        </w:rPr>
        <w:t>una tasa de -9.3</w:t>
      </w:r>
      <w:r w:rsidR="009A7597">
        <w:rPr>
          <w:lang w:val="es-MX"/>
        </w:rPr>
        <w:t xml:space="preserve"> por ciento</w:t>
      </w:r>
      <w:r w:rsidR="00BF318D">
        <w:rPr>
          <w:lang w:val="es-MX"/>
        </w:rPr>
        <w:t xml:space="preserve">. </w:t>
      </w:r>
      <w:r w:rsidR="00F568AE" w:rsidRPr="00704131">
        <w:rPr>
          <w:i/>
          <w:iCs/>
          <w:lang w:val="es-MX"/>
        </w:rPr>
        <w:t>T</w:t>
      </w:r>
      <w:r w:rsidRPr="00704131">
        <w:rPr>
          <w:i/>
          <w:iCs/>
          <w:lang w:val="es-MX"/>
        </w:rPr>
        <w:t>ransporte marítimo de altura, excepto de petróleo y gas natural</w:t>
      </w:r>
      <w:r w:rsidRPr="00D56E61">
        <w:rPr>
          <w:lang w:val="es-MX"/>
        </w:rPr>
        <w:t xml:space="preserve"> </w:t>
      </w:r>
      <w:r w:rsidR="00BF318D">
        <w:rPr>
          <w:lang w:val="es-MX"/>
        </w:rPr>
        <w:t>creció</w:t>
      </w:r>
      <w:r w:rsidRPr="00D56E61">
        <w:rPr>
          <w:lang w:val="es-MX"/>
        </w:rPr>
        <w:t xml:space="preserve"> 31.2 por ciento.</w:t>
      </w:r>
    </w:p>
    <w:p w14:paraId="5338E797" w14:textId="24E1BFB3" w:rsidR="00D56E61" w:rsidRPr="00337FFC" w:rsidRDefault="006756E6" w:rsidP="00D56E61">
      <w:pPr>
        <w:pStyle w:val="Prrafodelista"/>
        <w:numPr>
          <w:ilvl w:val="0"/>
          <w:numId w:val="38"/>
        </w:numPr>
        <w:spacing w:before="120" w:after="240"/>
        <w:ind w:left="284" w:right="709" w:hanging="284"/>
        <w:rPr>
          <w:lang w:val="es-MX"/>
        </w:rPr>
      </w:pPr>
      <w:r>
        <w:t>En 2021, l</w:t>
      </w:r>
      <w:r w:rsidR="00D56E61">
        <w:t>as</w:t>
      </w:r>
      <w:r w:rsidR="00D56E61" w:rsidRPr="003F4DF9">
        <w:t xml:space="preserve"> mujeres </w:t>
      </w:r>
      <w:r w:rsidR="000B2A60">
        <w:t xml:space="preserve">participaron con </w:t>
      </w:r>
      <w:r w:rsidR="00387627">
        <w:t>14.2</w:t>
      </w:r>
      <w:r w:rsidR="000B2A60">
        <w:t xml:space="preserve"> </w:t>
      </w:r>
      <w:r w:rsidR="000B2A60" w:rsidRPr="003F4DF9">
        <w:t xml:space="preserve">% del total de la ocupación </w:t>
      </w:r>
      <w:r w:rsidR="000B2A60">
        <w:t>en el sector T</w:t>
      </w:r>
      <w:r w:rsidR="000B2A60" w:rsidRPr="003F4DF9">
        <w:t>ransportes</w:t>
      </w:r>
      <w:r w:rsidR="00D56E61" w:rsidRPr="003F4DF9">
        <w:t>.</w:t>
      </w:r>
    </w:p>
    <w:p w14:paraId="0A15223E" w14:textId="4A90220F" w:rsidR="00D56E61" w:rsidRPr="00337FFC" w:rsidRDefault="00D56E61" w:rsidP="00D56E61">
      <w:pPr>
        <w:pStyle w:val="Prrafodelista"/>
        <w:numPr>
          <w:ilvl w:val="0"/>
          <w:numId w:val="38"/>
        </w:numPr>
        <w:spacing w:before="120" w:after="240"/>
        <w:ind w:left="284" w:right="709" w:hanging="284"/>
        <w:rPr>
          <w:lang w:val="es-MX"/>
        </w:rPr>
      </w:pPr>
      <w:r w:rsidRPr="00704131">
        <w:rPr>
          <w:i/>
          <w:iCs/>
        </w:rPr>
        <w:t>Transporte marítimo de cabotaje, excepto de petróleo y gas natural</w:t>
      </w:r>
      <w:r w:rsidR="009A7597">
        <w:t xml:space="preserve"> ocupó al </w:t>
      </w:r>
      <w:r w:rsidR="009A7597" w:rsidRPr="003F4DF9">
        <w:t>personal con mayor nivel de estudios</w:t>
      </w:r>
      <w:r w:rsidR="006756E6">
        <w:t>:</w:t>
      </w:r>
      <w:r w:rsidR="009A7597" w:rsidRPr="003F4DF9">
        <w:t xml:space="preserve"> </w:t>
      </w:r>
      <w:r>
        <w:t>83.6</w:t>
      </w:r>
      <w:r w:rsidR="009A7597">
        <w:t xml:space="preserve"> </w:t>
      </w:r>
      <w:r>
        <w:t>%</w:t>
      </w:r>
      <w:r w:rsidR="00F568AE">
        <w:t xml:space="preserve"> correspondió a h</w:t>
      </w:r>
      <w:r w:rsidR="009A7597">
        <w:t>ombre</w:t>
      </w:r>
      <w:r w:rsidR="00F568AE">
        <w:t>s</w:t>
      </w:r>
      <w:r w:rsidR="006756E6">
        <w:t xml:space="preserve"> y </w:t>
      </w:r>
      <w:r w:rsidR="009A7597">
        <w:t>11.1 %</w:t>
      </w:r>
      <w:r w:rsidR="006756E6">
        <w:t>,</w:t>
      </w:r>
      <w:r w:rsidR="00F568AE">
        <w:t xml:space="preserve"> a mujeres</w:t>
      </w:r>
      <w:r w:rsidR="009A7597">
        <w:t>.</w:t>
      </w:r>
    </w:p>
    <w:p w14:paraId="63E3010E" w14:textId="004A1382" w:rsidR="009A7597" w:rsidRPr="009A7597" w:rsidRDefault="009A7597" w:rsidP="00337FFC">
      <w:pPr>
        <w:pStyle w:val="Prrafodelista"/>
        <w:numPr>
          <w:ilvl w:val="0"/>
          <w:numId w:val="38"/>
        </w:numPr>
        <w:ind w:right="709"/>
        <w:contextualSpacing/>
        <w:rPr>
          <w:bCs/>
          <w:lang w:val="es-MX" w:eastAsia="es-MX"/>
        </w:rPr>
      </w:pPr>
      <w:r w:rsidRPr="009A7597">
        <w:rPr>
          <w:bCs/>
          <w:lang w:val="es-MX" w:eastAsia="es-MX"/>
        </w:rPr>
        <w:t>Entre 9.1 y 38.5</w:t>
      </w:r>
      <w:r>
        <w:rPr>
          <w:bCs/>
          <w:lang w:val="es-MX" w:eastAsia="es-MX"/>
        </w:rPr>
        <w:t xml:space="preserve"> </w:t>
      </w:r>
      <w:r w:rsidRPr="009A7597">
        <w:rPr>
          <w:bCs/>
          <w:lang w:val="es-MX" w:eastAsia="es-MX"/>
        </w:rPr>
        <w:t>% de las empresas encuestadas obtuv</w:t>
      </w:r>
      <w:r w:rsidR="00F568AE">
        <w:rPr>
          <w:bCs/>
          <w:lang w:val="es-MX" w:eastAsia="es-MX"/>
        </w:rPr>
        <w:t>o</w:t>
      </w:r>
      <w:r w:rsidRPr="009A7597">
        <w:rPr>
          <w:bCs/>
          <w:lang w:val="es-MX" w:eastAsia="es-MX"/>
        </w:rPr>
        <w:t xml:space="preserve"> crédito, préstamo o financiamiento para el desarrollo de sus actividades</w:t>
      </w:r>
      <w:r>
        <w:rPr>
          <w:bCs/>
          <w:lang w:val="es-MX" w:eastAsia="es-MX"/>
        </w:rPr>
        <w:t>. L</w:t>
      </w:r>
      <w:r w:rsidRPr="009A7597">
        <w:rPr>
          <w:bCs/>
          <w:lang w:val="es-MX" w:eastAsia="es-MX"/>
        </w:rPr>
        <w:t xml:space="preserve">os bancos </w:t>
      </w:r>
      <w:r>
        <w:rPr>
          <w:bCs/>
          <w:lang w:val="es-MX" w:eastAsia="es-MX"/>
        </w:rPr>
        <w:t>fueron la</w:t>
      </w:r>
      <w:r w:rsidRPr="009A7597">
        <w:rPr>
          <w:bCs/>
          <w:lang w:val="es-MX" w:eastAsia="es-MX"/>
        </w:rPr>
        <w:t xml:space="preserve"> principal fuente.</w:t>
      </w:r>
    </w:p>
    <w:p w14:paraId="5C6B1D83" w14:textId="77777777" w:rsidR="00D56E61" w:rsidRDefault="00D56E61" w:rsidP="003F4DF9">
      <w:pPr>
        <w:ind w:left="-426" w:right="51"/>
        <w:contextualSpacing/>
        <w:rPr>
          <w:lang w:val="es-MX"/>
        </w:rPr>
      </w:pPr>
    </w:p>
    <w:p w14:paraId="0F24C7D8" w14:textId="77777777" w:rsidR="00D56E61" w:rsidRDefault="00D56E61" w:rsidP="003F4DF9">
      <w:pPr>
        <w:ind w:left="-426" w:right="51"/>
        <w:contextualSpacing/>
        <w:rPr>
          <w:lang w:val="es-MX"/>
        </w:rPr>
      </w:pPr>
    </w:p>
    <w:p w14:paraId="1B2ABAE0" w14:textId="34DB1A33" w:rsidR="002948BB" w:rsidRDefault="002B1158" w:rsidP="002948BB">
      <w:pPr>
        <w:ind w:left="-426" w:right="51"/>
        <w:contextualSpacing/>
        <w:rPr>
          <w:noProof/>
          <w:lang w:eastAsia="es-MX"/>
        </w:rPr>
      </w:pPr>
      <w:r w:rsidRPr="003F4DF9">
        <w:rPr>
          <w:lang w:val="es-MX"/>
        </w:rPr>
        <w:t>El Instituto Nacional de Estadística y Geografía (INEGI)</w:t>
      </w:r>
      <w:r w:rsidR="003F4DF9">
        <w:rPr>
          <w:lang w:val="es-MX"/>
        </w:rPr>
        <w:t xml:space="preserve"> </w:t>
      </w:r>
      <w:r w:rsidRPr="003F4DF9">
        <w:rPr>
          <w:lang w:val="es-MX"/>
        </w:rPr>
        <w:t xml:space="preserve">da a conocer los resultados </w:t>
      </w:r>
      <w:r w:rsidR="003F4DF9">
        <w:rPr>
          <w:lang w:val="es-MX"/>
        </w:rPr>
        <w:t xml:space="preserve">preliminares </w:t>
      </w:r>
      <w:r w:rsidRPr="003F4DF9">
        <w:rPr>
          <w:lang w:val="es-MX"/>
        </w:rPr>
        <w:t>de la Encuesta Anual de Transportes (EAT)</w:t>
      </w:r>
      <w:r w:rsidR="003F4DF9">
        <w:rPr>
          <w:lang w:val="es-MX"/>
        </w:rPr>
        <w:t xml:space="preserve"> 202</w:t>
      </w:r>
      <w:r w:rsidR="00BD6CE9">
        <w:rPr>
          <w:lang w:val="es-MX"/>
        </w:rPr>
        <w:t>1</w:t>
      </w:r>
      <w:r w:rsidR="002948BB">
        <w:rPr>
          <w:lang w:val="es-MX"/>
        </w:rPr>
        <w:t>. Con estos</w:t>
      </w:r>
      <w:r w:rsidR="00153C0A">
        <w:rPr>
          <w:lang w:val="es-MX"/>
        </w:rPr>
        <w:t>,</w:t>
      </w:r>
      <w:r w:rsidR="002948BB">
        <w:rPr>
          <w:lang w:val="es-MX"/>
        </w:rPr>
        <w:t xml:space="preserve"> </w:t>
      </w:r>
      <w:r w:rsidR="003F4DF9">
        <w:rPr>
          <w:lang w:val="es-MX"/>
        </w:rPr>
        <w:t>proporciona al</w:t>
      </w:r>
      <w:r w:rsidR="002948BB">
        <w:rPr>
          <w:lang w:val="es-MX"/>
        </w:rPr>
        <w:t xml:space="preserve"> público</w:t>
      </w:r>
      <w:r w:rsidR="003F4DF9">
        <w:rPr>
          <w:lang w:val="es-MX"/>
        </w:rPr>
        <w:t xml:space="preserve"> usuario </w:t>
      </w:r>
      <w:r w:rsidR="002948BB">
        <w:rPr>
          <w:lang w:val="es-MX"/>
        </w:rPr>
        <w:t>el</w:t>
      </w:r>
      <w:r w:rsidR="003F4DF9">
        <w:rPr>
          <w:lang w:val="es-MX"/>
        </w:rPr>
        <w:t xml:space="preserve"> </w:t>
      </w:r>
      <w:r w:rsidR="00BD6CE9">
        <w:rPr>
          <w:lang w:val="es-MX"/>
        </w:rPr>
        <w:t xml:space="preserve">panorama </w:t>
      </w:r>
      <w:r w:rsidR="00BD6CE9" w:rsidRPr="003F4DF9">
        <w:rPr>
          <w:noProof/>
          <w:lang w:eastAsia="es-MX"/>
        </w:rPr>
        <w:t>sobre</w:t>
      </w:r>
      <w:r w:rsidR="003F4DF9" w:rsidRPr="003F4DF9">
        <w:rPr>
          <w:noProof/>
          <w:lang w:eastAsia="es-MX"/>
        </w:rPr>
        <w:t xml:space="preserve"> las actividades de transportes y los servicios relacionados</w:t>
      </w:r>
      <w:r w:rsidR="003F4DF9">
        <w:rPr>
          <w:noProof/>
          <w:lang w:eastAsia="es-MX"/>
        </w:rPr>
        <w:t xml:space="preserve"> </w:t>
      </w:r>
      <w:r w:rsidR="006756E6">
        <w:rPr>
          <w:noProof/>
          <w:lang w:eastAsia="es-MX"/>
        </w:rPr>
        <w:t>con</w:t>
      </w:r>
      <w:r w:rsidR="003F4DF9">
        <w:rPr>
          <w:noProof/>
          <w:lang w:eastAsia="es-MX"/>
        </w:rPr>
        <w:t xml:space="preserve"> esta actividad,</w:t>
      </w:r>
      <w:r w:rsidR="003F4DF9" w:rsidRPr="003F4DF9">
        <w:rPr>
          <w:noProof/>
          <w:lang w:eastAsia="es-MX"/>
        </w:rPr>
        <w:t xml:space="preserve"> a nivel nacional</w:t>
      </w:r>
      <w:r w:rsidR="003F4DF9">
        <w:rPr>
          <w:noProof/>
          <w:lang w:eastAsia="es-MX"/>
        </w:rPr>
        <w:t>.</w:t>
      </w:r>
      <w:r w:rsidR="002948BB" w:rsidRPr="002948BB">
        <w:rPr>
          <w:noProof/>
          <w:lang w:eastAsia="es-MX"/>
        </w:rPr>
        <w:t xml:space="preserve"> </w:t>
      </w:r>
      <w:r w:rsidR="002948BB">
        <w:rPr>
          <w:noProof/>
          <w:lang w:eastAsia="es-MX"/>
        </w:rPr>
        <w:t>La EAT sirve</w:t>
      </w:r>
      <w:r w:rsidR="002948BB" w:rsidRPr="003F4DF9">
        <w:rPr>
          <w:noProof/>
          <w:lang w:eastAsia="es-MX"/>
        </w:rPr>
        <w:t xml:space="preserve"> como insumo o componente para la generación de algunos indicadores del Sistema de Cuentas Nacionales de México</w:t>
      </w:r>
      <w:r w:rsidR="002948BB">
        <w:rPr>
          <w:noProof/>
          <w:lang w:eastAsia="es-MX"/>
        </w:rPr>
        <w:t xml:space="preserve"> (SCNM)</w:t>
      </w:r>
      <w:r w:rsidR="002948BB" w:rsidRPr="003F4DF9">
        <w:rPr>
          <w:noProof/>
          <w:lang w:eastAsia="es-MX"/>
        </w:rPr>
        <w:t>, tales como</w:t>
      </w:r>
      <w:r w:rsidR="002948BB">
        <w:rPr>
          <w:noProof/>
          <w:lang w:eastAsia="es-MX"/>
        </w:rPr>
        <w:t xml:space="preserve"> el</w:t>
      </w:r>
      <w:r w:rsidR="002948BB" w:rsidRPr="003F4DF9">
        <w:rPr>
          <w:noProof/>
          <w:lang w:eastAsia="es-MX"/>
        </w:rPr>
        <w:t xml:space="preserve"> Producto Interno Bruto (PIB), </w:t>
      </w:r>
      <w:r w:rsidR="002948BB">
        <w:rPr>
          <w:noProof/>
          <w:lang w:eastAsia="es-MX"/>
        </w:rPr>
        <w:t xml:space="preserve">la </w:t>
      </w:r>
      <w:r w:rsidR="002948BB" w:rsidRPr="003F4DF9">
        <w:rPr>
          <w:noProof/>
          <w:lang w:eastAsia="es-MX"/>
        </w:rPr>
        <w:t xml:space="preserve">Cuenta de Bienes y Servicios, </w:t>
      </w:r>
      <w:r w:rsidR="002948BB">
        <w:rPr>
          <w:noProof/>
          <w:lang w:eastAsia="es-MX"/>
        </w:rPr>
        <w:t xml:space="preserve">el </w:t>
      </w:r>
      <w:r w:rsidR="002948BB" w:rsidRPr="003F4DF9">
        <w:rPr>
          <w:noProof/>
          <w:lang w:eastAsia="es-MX"/>
        </w:rPr>
        <w:t>Indicador Global de la Actividad Económica (IGAE)</w:t>
      </w:r>
      <w:r w:rsidR="002948BB">
        <w:rPr>
          <w:noProof/>
          <w:lang w:eastAsia="es-MX"/>
        </w:rPr>
        <w:t xml:space="preserve"> y la </w:t>
      </w:r>
      <w:r w:rsidR="002948BB" w:rsidRPr="003F4DF9">
        <w:rPr>
          <w:noProof/>
          <w:lang w:eastAsia="es-MX"/>
        </w:rPr>
        <w:t xml:space="preserve">Oferta y Utilización </w:t>
      </w:r>
      <w:r w:rsidR="002948BB">
        <w:rPr>
          <w:noProof/>
          <w:lang w:eastAsia="es-MX"/>
        </w:rPr>
        <w:t>T</w:t>
      </w:r>
      <w:r w:rsidR="002948BB" w:rsidRPr="003F4DF9">
        <w:rPr>
          <w:noProof/>
          <w:lang w:eastAsia="es-MX"/>
        </w:rPr>
        <w:t>otal de Bienes y Servicios, entre otros.</w:t>
      </w:r>
    </w:p>
    <w:p w14:paraId="451A79C7" w14:textId="514FEC21" w:rsidR="003F4DF9" w:rsidRDefault="003F4DF9" w:rsidP="003F4DF9">
      <w:pPr>
        <w:ind w:left="-426" w:right="51"/>
        <w:contextualSpacing/>
        <w:rPr>
          <w:noProof/>
          <w:lang w:eastAsia="es-MX"/>
        </w:rPr>
      </w:pPr>
    </w:p>
    <w:p w14:paraId="20F782EA" w14:textId="77777777" w:rsidR="002B1158" w:rsidRPr="003F4DF9" w:rsidRDefault="002B1158" w:rsidP="003F4DF9">
      <w:pPr>
        <w:rPr>
          <w:lang w:val="es-MX"/>
        </w:rPr>
      </w:pPr>
    </w:p>
    <w:p w14:paraId="526601DB" w14:textId="77777777" w:rsidR="002B1158" w:rsidRPr="00337FFC" w:rsidRDefault="002B1158" w:rsidP="003F4DF9">
      <w:pPr>
        <w:ind w:left="-426" w:right="-516"/>
        <w:contextualSpacing/>
        <w:rPr>
          <w:rFonts w:ascii="Arial Negrita" w:hAnsi="Arial Negrita"/>
          <w:b/>
          <w:bCs/>
          <w:smallCaps/>
          <w:noProof/>
          <w:lang w:eastAsia="es-MX"/>
        </w:rPr>
      </w:pPr>
      <w:r w:rsidRPr="00337FFC">
        <w:rPr>
          <w:rFonts w:ascii="Arial Negrita" w:hAnsi="Arial Negrita"/>
          <w:b/>
          <w:bCs/>
          <w:smallCaps/>
          <w:noProof/>
          <w:lang w:eastAsia="es-MX"/>
        </w:rPr>
        <w:t>Principales resultados</w:t>
      </w:r>
    </w:p>
    <w:p w14:paraId="6F5CE66E" w14:textId="2EE915C9" w:rsidR="009200B0" w:rsidRPr="00733E30" w:rsidRDefault="002B1158" w:rsidP="009200B0">
      <w:pPr>
        <w:spacing w:before="120" w:after="240"/>
        <w:ind w:left="-426" w:right="51"/>
        <w:rPr>
          <w:lang w:val="es-MX"/>
        </w:rPr>
      </w:pPr>
      <w:bookmarkStart w:id="1" w:name="_Hlk121312809"/>
      <w:r w:rsidRPr="003F4DF9">
        <w:rPr>
          <w:lang w:val="es-MX"/>
        </w:rPr>
        <w:t>E</w:t>
      </w:r>
      <w:r w:rsidR="003F4DF9">
        <w:rPr>
          <w:lang w:val="es-MX"/>
        </w:rPr>
        <w:t>n 202</w:t>
      </w:r>
      <w:r w:rsidR="00A35813">
        <w:rPr>
          <w:lang w:val="es-MX"/>
        </w:rPr>
        <w:t>1</w:t>
      </w:r>
      <w:r w:rsidR="003F4DF9">
        <w:rPr>
          <w:lang w:val="es-MX"/>
        </w:rPr>
        <w:t>, e</w:t>
      </w:r>
      <w:r w:rsidRPr="003F4DF9">
        <w:rPr>
          <w:lang w:val="es-MX"/>
        </w:rPr>
        <w:t xml:space="preserve">l personal ocupado </w:t>
      </w:r>
      <w:r w:rsidR="00387627">
        <w:rPr>
          <w:lang w:val="es-MX"/>
        </w:rPr>
        <w:t xml:space="preserve">mostró </w:t>
      </w:r>
      <w:r w:rsidR="003F4DF9">
        <w:rPr>
          <w:lang w:val="es-MX"/>
        </w:rPr>
        <w:t>retroceso</w:t>
      </w:r>
      <w:r w:rsidR="00725827">
        <w:rPr>
          <w:lang w:val="es-MX"/>
        </w:rPr>
        <w:t xml:space="preserve">s en </w:t>
      </w:r>
      <w:r w:rsidR="002E49AC">
        <w:rPr>
          <w:lang w:val="es-MX"/>
        </w:rPr>
        <w:t>tre</w:t>
      </w:r>
      <w:r w:rsidR="00725827">
        <w:rPr>
          <w:lang w:val="es-MX"/>
        </w:rPr>
        <w:t>s de los siete tipos de transporte registrados.</w:t>
      </w:r>
      <w:r w:rsidR="00F568AE">
        <w:rPr>
          <w:lang w:val="es-MX"/>
        </w:rPr>
        <w:t xml:space="preserve"> </w:t>
      </w:r>
      <w:r w:rsidR="00514C69">
        <w:rPr>
          <w:i/>
          <w:lang w:val="es-MX"/>
        </w:rPr>
        <w:t>T</w:t>
      </w:r>
      <w:r w:rsidRPr="00337FFC">
        <w:rPr>
          <w:i/>
          <w:lang w:val="es-MX"/>
        </w:rPr>
        <w:t xml:space="preserve">ransporte </w:t>
      </w:r>
      <w:r w:rsidR="002E49AC" w:rsidRPr="00337FFC">
        <w:rPr>
          <w:i/>
          <w:lang w:val="es-MX"/>
        </w:rPr>
        <w:t xml:space="preserve">aéreo regular en </w:t>
      </w:r>
      <w:r w:rsidR="00FB3E0F" w:rsidRPr="00337FFC">
        <w:rPr>
          <w:i/>
          <w:lang w:val="es-MX"/>
        </w:rPr>
        <w:t>líneas</w:t>
      </w:r>
      <w:r w:rsidR="002E49AC" w:rsidRPr="00337FFC">
        <w:rPr>
          <w:i/>
          <w:lang w:val="es-MX"/>
        </w:rPr>
        <w:t xml:space="preserve"> aéreas nacionales</w:t>
      </w:r>
      <w:r w:rsidR="00725827">
        <w:rPr>
          <w:lang w:val="es-MX"/>
        </w:rPr>
        <w:t xml:space="preserve"> </w:t>
      </w:r>
      <w:r w:rsidR="009200B0">
        <w:rPr>
          <w:lang w:val="es-MX"/>
        </w:rPr>
        <w:t xml:space="preserve">registró la mayor caída, </w:t>
      </w:r>
      <w:r w:rsidR="00725827">
        <w:rPr>
          <w:lang w:val="es-MX"/>
        </w:rPr>
        <w:t xml:space="preserve">con una tasa </w:t>
      </w:r>
      <w:r w:rsidRPr="003F4DF9">
        <w:rPr>
          <w:lang w:val="es-MX"/>
        </w:rPr>
        <w:t>d</w:t>
      </w:r>
      <w:r w:rsidR="00725827">
        <w:rPr>
          <w:lang w:val="es-MX"/>
        </w:rPr>
        <w:t xml:space="preserve">e </w:t>
      </w:r>
      <w:r w:rsidR="002E49AC">
        <w:rPr>
          <w:lang w:val="es-MX"/>
        </w:rPr>
        <w:t>9.</w:t>
      </w:r>
      <w:r w:rsidRPr="003F4DF9">
        <w:rPr>
          <w:lang w:val="es-MX"/>
        </w:rPr>
        <w:t>3</w:t>
      </w:r>
      <w:r w:rsidR="009200B0">
        <w:rPr>
          <w:lang w:val="es-MX"/>
        </w:rPr>
        <w:t xml:space="preserve"> por ciento.</w:t>
      </w:r>
      <w:r w:rsidR="00C04EEA">
        <w:rPr>
          <w:lang w:val="es-MX"/>
        </w:rPr>
        <w:t xml:space="preserve"> </w:t>
      </w:r>
      <w:r w:rsidR="00514C69">
        <w:rPr>
          <w:i/>
          <w:lang w:val="es-MX"/>
        </w:rPr>
        <w:t>T</w:t>
      </w:r>
      <w:r w:rsidRPr="00337FFC">
        <w:rPr>
          <w:i/>
          <w:lang w:val="es-MX"/>
        </w:rPr>
        <w:t xml:space="preserve">ransporte </w:t>
      </w:r>
      <w:r w:rsidR="002E49AC" w:rsidRPr="00337FFC">
        <w:rPr>
          <w:i/>
          <w:lang w:val="es-MX"/>
        </w:rPr>
        <w:t>marítimo de altura, excepto de petróleo y gas natural</w:t>
      </w:r>
      <w:r w:rsidRPr="003F4DF9">
        <w:rPr>
          <w:lang w:val="es-MX"/>
        </w:rPr>
        <w:t xml:space="preserve"> </w:t>
      </w:r>
      <w:r w:rsidR="009200B0">
        <w:rPr>
          <w:lang w:val="es-MX"/>
        </w:rPr>
        <w:t>creció</w:t>
      </w:r>
      <w:r w:rsidRPr="003F4DF9">
        <w:rPr>
          <w:lang w:val="es-MX"/>
        </w:rPr>
        <w:t xml:space="preserve"> </w:t>
      </w:r>
      <w:r w:rsidR="002E49AC">
        <w:rPr>
          <w:lang w:val="es-MX"/>
        </w:rPr>
        <w:t>3</w:t>
      </w:r>
      <w:r w:rsidRPr="003F4DF9">
        <w:rPr>
          <w:lang w:val="es-MX"/>
        </w:rPr>
        <w:t>1.2</w:t>
      </w:r>
      <w:r w:rsidR="00DD17EE">
        <w:rPr>
          <w:lang w:val="es-MX"/>
        </w:rPr>
        <w:t xml:space="preserve"> </w:t>
      </w:r>
      <w:r w:rsidR="00514C69">
        <w:rPr>
          <w:lang w:val="es-MX"/>
        </w:rPr>
        <w:t>%</w:t>
      </w:r>
      <w:r w:rsidR="009200B0">
        <w:rPr>
          <w:lang w:val="es-MX"/>
        </w:rPr>
        <w:t xml:space="preserve"> y </w:t>
      </w:r>
      <w:r w:rsidR="00514C69">
        <w:rPr>
          <w:i/>
          <w:lang w:val="es-MX"/>
        </w:rPr>
        <w:t>T</w:t>
      </w:r>
      <w:r w:rsidR="009200B0" w:rsidRPr="00337FFC">
        <w:rPr>
          <w:i/>
          <w:lang w:val="es-MX"/>
        </w:rPr>
        <w:t>ransporte colectivo foráneo de pasajeros de ruta fija</w:t>
      </w:r>
      <w:r w:rsidR="009200B0">
        <w:rPr>
          <w:i/>
          <w:lang w:val="es-MX"/>
        </w:rPr>
        <w:t>,</w:t>
      </w:r>
      <w:r w:rsidR="009200B0">
        <w:rPr>
          <w:lang w:val="es-MX"/>
        </w:rPr>
        <w:t xml:space="preserve"> 0.9 por ciento. </w:t>
      </w:r>
    </w:p>
    <w:bookmarkEnd w:id="1"/>
    <w:p w14:paraId="46C2D18A" w14:textId="4558935C" w:rsidR="002B1158" w:rsidRDefault="002B1158" w:rsidP="00725827">
      <w:pPr>
        <w:spacing w:before="120" w:after="240"/>
        <w:ind w:left="-426" w:right="51"/>
        <w:rPr>
          <w:lang w:val="es-MX"/>
        </w:rPr>
      </w:pPr>
    </w:p>
    <w:p w14:paraId="03AF0FAC" w14:textId="3EF59E5B" w:rsidR="009200B0" w:rsidRDefault="009200B0" w:rsidP="009200B0">
      <w:pPr>
        <w:spacing w:before="120" w:after="240"/>
        <w:ind w:right="51"/>
        <w:rPr>
          <w:sz w:val="20"/>
          <w:szCs w:val="20"/>
          <w:lang w:val="es-MX"/>
        </w:rPr>
      </w:pPr>
    </w:p>
    <w:p w14:paraId="6FC8D6D5" w14:textId="06E6980D" w:rsidR="00F71FB5" w:rsidRDefault="00F71FB5" w:rsidP="009200B0">
      <w:pPr>
        <w:spacing w:before="120" w:after="240"/>
        <w:ind w:right="51"/>
        <w:rPr>
          <w:sz w:val="20"/>
          <w:szCs w:val="20"/>
          <w:lang w:val="es-MX"/>
        </w:rPr>
      </w:pPr>
    </w:p>
    <w:p w14:paraId="3BA9F225" w14:textId="64E431A3" w:rsidR="009200B0" w:rsidRPr="00337FFC" w:rsidRDefault="009200B0" w:rsidP="00337FFC">
      <w:pPr>
        <w:pStyle w:val="Default"/>
        <w:ind w:left="-426"/>
        <w:jc w:val="center"/>
        <w:rPr>
          <w:color w:val="auto"/>
          <w:sz w:val="20"/>
          <w:szCs w:val="20"/>
        </w:rPr>
      </w:pPr>
      <w:r w:rsidRPr="00337FFC">
        <w:rPr>
          <w:color w:val="auto"/>
          <w:sz w:val="20"/>
          <w:szCs w:val="20"/>
        </w:rPr>
        <w:t xml:space="preserve">Gráfica 1 </w:t>
      </w:r>
    </w:p>
    <w:p w14:paraId="6DF8FCC4" w14:textId="541863F0" w:rsidR="009200B0" w:rsidRDefault="009200B0" w:rsidP="00337FFC">
      <w:pPr>
        <w:pStyle w:val="Default"/>
        <w:ind w:left="-426"/>
        <w:jc w:val="center"/>
        <w:rPr>
          <w:rFonts w:ascii="Arial Negrita" w:hAnsi="Arial Negrita"/>
          <w:b/>
          <w:smallCaps/>
          <w:color w:val="auto"/>
          <w:sz w:val="22"/>
          <w:szCs w:val="22"/>
          <w:vertAlign w:val="superscript"/>
        </w:rPr>
      </w:pPr>
      <w:r w:rsidRPr="00337FFC">
        <w:rPr>
          <w:rFonts w:ascii="Arial Negrita" w:hAnsi="Arial Negrita"/>
          <w:b/>
          <w:smallCaps/>
          <w:color w:val="auto"/>
          <w:sz w:val="22"/>
          <w:szCs w:val="22"/>
        </w:rPr>
        <w:t>Personal ocupado total, 2021</w:t>
      </w:r>
      <w:r w:rsidRPr="00337FFC">
        <w:rPr>
          <w:rFonts w:ascii="Arial Negrita" w:hAnsi="Arial Negrita"/>
          <w:b/>
          <w:smallCaps/>
          <w:color w:val="auto"/>
          <w:sz w:val="22"/>
          <w:szCs w:val="22"/>
          <w:vertAlign w:val="superscript"/>
        </w:rPr>
        <w:t>p</w:t>
      </w:r>
      <w:r w:rsidR="001D5F31" w:rsidRPr="00337FFC">
        <w:rPr>
          <w:rFonts w:ascii="Arial Negrita" w:hAnsi="Arial Negrita"/>
          <w:b/>
          <w:smallCaps/>
          <w:color w:val="auto"/>
          <w:sz w:val="22"/>
          <w:szCs w:val="22"/>
          <w:vertAlign w:val="superscript"/>
        </w:rPr>
        <w:t>/</w:t>
      </w:r>
    </w:p>
    <w:p w14:paraId="5AF824F6" w14:textId="46BEDF7B" w:rsidR="001D5F31" w:rsidRPr="00337FFC" w:rsidRDefault="001D5F31" w:rsidP="00251C77">
      <w:pPr>
        <w:pStyle w:val="Default"/>
        <w:ind w:left="-425"/>
        <w:jc w:val="center"/>
        <w:rPr>
          <w:color w:val="auto"/>
          <w:sz w:val="18"/>
          <w:szCs w:val="22"/>
        </w:rPr>
      </w:pPr>
      <w:r w:rsidRPr="00337FFC">
        <w:rPr>
          <w:color w:val="auto"/>
          <w:sz w:val="18"/>
          <w:szCs w:val="22"/>
        </w:rPr>
        <w:t>(</w:t>
      </w:r>
      <w:r>
        <w:rPr>
          <w:color w:val="auto"/>
          <w:sz w:val="18"/>
          <w:szCs w:val="22"/>
        </w:rPr>
        <w:t>V</w:t>
      </w:r>
      <w:r w:rsidRPr="00337FFC">
        <w:rPr>
          <w:color w:val="auto"/>
          <w:sz w:val="18"/>
          <w:szCs w:val="22"/>
        </w:rPr>
        <w:t>ariaci</w:t>
      </w:r>
      <w:r w:rsidRPr="00337FFC">
        <w:rPr>
          <w:rFonts w:hint="eastAsia"/>
          <w:color w:val="auto"/>
          <w:sz w:val="18"/>
          <w:szCs w:val="22"/>
        </w:rPr>
        <w:t>ó</w:t>
      </w:r>
      <w:r w:rsidRPr="00337FFC">
        <w:rPr>
          <w:color w:val="auto"/>
          <w:sz w:val="18"/>
          <w:szCs w:val="22"/>
        </w:rPr>
        <w:t>n anual)</w:t>
      </w:r>
    </w:p>
    <w:p w14:paraId="0405EFC1" w14:textId="40992D97" w:rsidR="009200B0" w:rsidRDefault="00C07F67" w:rsidP="00337FFC">
      <w:pPr>
        <w:pStyle w:val="p0"/>
        <w:ind w:left="-284" w:right="142"/>
        <w:jc w:val="center"/>
        <w:rPr>
          <w:b/>
          <w:lang w:val="es-MX" w:eastAsia="es-MX"/>
        </w:rPr>
      </w:pPr>
      <w:r>
        <w:rPr>
          <w:noProof/>
        </w:rPr>
        <w:drawing>
          <wp:inline distT="0" distB="0" distL="0" distR="0" wp14:anchorId="18C04934" wp14:editId="0C4F28C7">
            <wp:extent cx="6248400" cy="2105025"/>
            <wp:effectExtent l="0" t="0" r="0" b="9525"/>
            <wp:docPr id="2" name="Gráfico 2">
              <a:extLst xmlns:a="http://schemas.openxmlformats.org/drawingml/2006/main">
                <a:ext uri="{FF2B5EF4-FFF2-40B4-BE49-F238E27FC236}">
                  <a16:creationId xmlns:a16="http://schemas.microsoft.com/office/drawing/2014/main" id="{BD7D2BFE-60A5-2FA1-B1AB-0AC05AAFF3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CB7F06" w14:textId="3675D867" w:rsidR="009200B0" w:rsidRPr="00337FFC" w:rsidRDefault="001D5F31" w:rsidP="00337FFC">
      <w:pPr>
        <w:pStyle w:val="p0"/>
        <w:spacing w:before="0"/>
        <w:jc w:val="left"/>
        <w:rPr>
          <w:rFonts w:ascii="Arial" w:hAnsi="Arial"/>
          <w:color w:val="000000" w:themeColor="text1"/>
          <w:sz w:val="16"/>
          <w:szCs w:val="16"/>
          <w:lang w:val="es-MX" w:eastAsia="es-MX"/>
        </w:rPr>
      </w:pPr>
      <w:r w:rsidRPr="00337FFC">
        <w:rPr>
          <w:rFonts w:ascii="Arial" w:hAnsi="Arial"/>
          <w:color w:val="000000" w:themeColor="text1"/>
          <w:sz w:val="16"/>
          <w:szCs w:val="16"/>
          <w:vertAlign w:val="superscript"/>
          <w:lang w:val="es-MX" w:eastAsia="es-MX"/>
        </w:rPr>
        <w:t>P/</w:t>
      </w:r>
      <w:r w:rsidRPr="00337FFC">
        <w:rPr>
          <w:rFonts w:ascii="Arial" w:hAnsi="Arial"/>
          <w:color w:val="000000" w:themeColor="text1"/>
          <w:sz w:val="16"/>
          <w:szCs w:val="16"/>
          <w:lang w:val="es-MX" w:eastAsia="es-MX"/>
        </w:rPr>
        <w:t xml:space="preserve"> Cifras preliminares</w:t>
      </w:r>
    </w:p>
    <w:p w14:paraId="30B0A485" w14:textId="77777777" w:rsidR="00462B98" w:rsidRDefault="00462B98" w:rsidP="00337FFC">
      <w:pPr>
        <w:ind w:right="193"/>
        <w:jc w:val="center"/>
      </w:pPr>
    </w:p>
    <w:p w14:paraId="4F03C629" w14:textId="77777777" w:rsidR="00462B98" w:rsidRDefault="00462B98" w:rsidP="00337FFC">
      <w:pPr>
        <w:ind w:right="193"/>
        <w:jc w:val="center"/>
      </w:pPr>
    </w:p>
    <w:p w14:paraId="5057D4ED" w14:textId="13F937CF" w:rsidR="00462B98" w:rsidRDefault="00C07F67" w:rsidP="00462B98">
      <w:pPr>
        <w:ind w:left="-426"/>
      </w:pPr>
      <w:r w:rsidRPr="00733E30">
        <w:t>En la actualidad, la participación de las mujeres ha ganado</w:t>
      </w:r>
      <w:r w:rsidR="00462B98">
        <w:t xml:space="preserve"> </w:t>
      </w:r>
      <w:r w:rsidRPr="00733E30">
        <w:t xml:space="preserve">terreno en diversas actividades económicas, </w:t>
      </w:r>
      <w:r w:rsidR="00462B98">
        <w:t>entre ellas,</w:t>
      </w:r>
      <w:r w:rsidRPr="00733E30">
        <w:t xml:space="preserve"> la de transportes</w:t>
      </w:r>
      <w:r w:rsidR="00462B98">
        <w:t>. E</w:t>
      </w:r>
      <w:r w:rsidRPr="00733E30">
        <w:t>n 202</w:t>
      </w:r>
      <w:r>
        <w:t>1</w:t>
      </w:r>
      <w:r w:rsidRPr="00733E30">
        <w:t xml:space="preserve"> cubr</w:t>
      </w:r>
      <w:r w:rsidR="00462B98">
        <w:t>iero</w:t>
      </w:r>
      <w:r w:rsidRPr="00733E30">
        <w:t>n 1</w:t>
      </w:r>
      <w:r>
        <w:t>4</w:t>
      </w:r>
      <w:r w:rsidRPr="00733E30">
        <w:t>.</w:t>
      </w:r>
      <w:r>
        <w:t xml:space="preserve">2 </w:t>
      </w:r>
      <w:r w:rsidRPr="00733E30">
        <w:t>% del total de la ocupación</w:t>
      </w:r>
      <w:r w:rsidR="00055643">
        <w:t>.</w:t>
      </w:r>
      <w:r w:rsidDel="00C07F67">
        <w:t xml:space="preserve"> </w:t>
      </w:r>
    </w:p>
    <w:p w14:paraId="40E1F32E" w14:textId="5ADEAAAF" w:rsidR="00462B98" w:rsidRDefault="00462B98" w:rsidP="00337FFC">
      <w:pPr>
        <w:ind w:right="193"/>
        <w:jc w:val="center"/>
        <w:rPr>
          <w:sz w:val="20"/>
          <w:szCs w:val="20"/>
          <w:lang w:val="es-MX" w:eastAsia="es-MX"/>
        </w:rPr>
      </w:pPr>
    </w:p>
    <w:p w14:paraId="2B46D50A" w14:textId="77777777" w:rsidR="00462B98" w:rsidRDefault="00462B98" w:rsidP="00337FFC">
      <w:pPr>
        <w:ind w:right="193"/>
        <w:jc w:val="center"/>
        <w:rPr>
          <w:sz w:val="20"/>
          <w:szCs w:val="20"/>
          <w:lang w:val="es-MX" w:eastAsia="es-MX"/>
        </w:rPr>
      </w:pPr>
    </w:p>
    <w:p w14:paraId="43A7CD1E" w14:textId="54905A38" w:rsidR="00805788" w:rsidRDefault="009200B0" w:rsidP="00337FFC">
      <w:pPr>
        <w:ind w:right="193"/>
        <w:jc w:val="center"/>
        <w:rPr>
          <w:b/>
          <w:sz w:val="22"/>
          <w:szCs w:val="22"/>
          <w:lang w:val="es-MX" w:eastAsia="es-MX"/>
        </w:rPr>
      </w:pPr>
      <w:r w:rsidRPr="00337FFC">
        <w:rPr>
          <w:sz w:val="20"/>
          <w:szCs w:val="20"/>
          <w:lang w:val="es-MX" w:eastAsia="es-MX"/>
        </w:rPr>
        <w:t>Gráfica 2</w:t>
      </w:r>
      <w:r w:rsidRPr="00733E30">
        <w:rPr>
          <w:b/>
          <w:sz w:val="22"/>
          <w:szCs w:val="22"/>
          <w:lang w:val="es-MX" w:eastAsia="es-MX"/>
        </w:rPr>
        <w:t xml:space="preserve"> </w:t>
      </w:r>
    </w:p>
    <w:p w14:paraId="1E7CAA49" w14:textId="64D3E6EA" w:rsidR="009200B0" w:rsidRPr="00337FFC" w:rsidRDefault="009200B0" w:rsidP="00337FFC">
      <w:pPr>
        <w:ind w:right="193"/>
        <w:jc w:val="center"/>
        <w:rPr>
          <w:rFonts w:ascii="Arial Negrita" w:hAnsi="Arial Negrita"/>
          <w:smallCaps/>
          <w:sz w:val="22"/>
          <w:szCs w:val="22"/>
        </w:rPr>
      </w:pPr>
      <w:r w:rsidRPr="00337FFC">
        <w:rPr>
          <w:rFonts w:ascii="Arial Negrita" w:hAnsi="Arial Negrita"/>
          <w:b/>
          <w:smallCaps/>
          <w:sz w:val="22"/>
          <w:szCs w:val="22"/>
          <w:lang w:val="es-MX" w:eastAsia="es-MX"/>
        </w:rPr>
        <w:t>Personal ocupado total</w:t>
      </w:r>
      <w:r w:rsidR="00805788">
        <w:rPr>
          <w:rFonts w:ascii="Arial Negrita" w:hAnsi="Arial Negrita"/>
          <w:b/>
          <w:smallCaps/>
          <w:sz w:val="22"/>
          <w:szCs w:val="22"/>
          <w:lang w:val="es-MX" w:eastAsia="es-MX"/>
        </w:rPr>
        <w:t xml:space="preserve"> en el sector Transporte según s</w:t>
      </w:r>
      <w:r w:rsidRPr="00337FFC">
        <w:rPr>
          <w:rFonts w:ascii="Arial Negrita" w:hAnsi="Arial Negrita"/>
          <w:b/>
          <w:smallCaps/>
          <w:sz w:val="22"/>
          <w:szCs w:val="22"/>
          <w:lang w:val="es-MX" w:eastAsia="es-MX"/>
        </w:rPr>
        <w:t>exo</w:t>
      </w:r>
      <w:r w:rsidR="00805788" w:rsidRPr="00B00775">
        <w:rPr>
          <w:rFonts w:ascii="Arial Negrita" w:hAnsi="Arial Negrita"/>
          <w:b/>
          <w:smallCaps/>
          <w:sz w:val="22"/>
          <w:szCs w:val="22"/>
          <w:vertAlign w:val="superscript"/>
        </w:rPr>
        <w:t>p/</w:t>
      </w:r>
    </w:p>
    <w:p w14:paraId="2F9D7236" w14:textId="580927E5" w:rsidR="009200B0" w:rsidRDefault="00C07F67" w:rsidP="00337FFC">
      <w:pPr>
        <w:ind w:right="193"/>
        <w:jc w:val="center"/>
        <w:rPr>
          <w:sz w:val="20"/>
          <w:szCs w:val="20"/>
        </w:rPr>
      </w:pPr>
      <w:r>
        <w:rPr>
          <w:noProof/>
        </w:rPr>
        <w:drawing>
          <wp:inline distT="0" distB="0" distL="0" distR="0" wp14:anchorId="58298267" wp14:editId="4B7C88BA">
            <wp:extent cx="5547360" cy="3073718"/>
            <wp:effectExtent l="0" t="0" r="15240" b="12700"/>
            <wp:docPr id="8" name="Gráfico 8">
              <a:extLst xmlns:a="http://schemas.openxmlformats.org/drawingml/2006/main">
                <a:ext uri="{FF2B5EF4-FFF2-40B4-BE49-F238E27FC236}">
                  <a16:creationId xmlns:a16="http://schemas.microsoft.com/office/drawing/2014/main" id="{B2E7A733-D7DC-645E-013D-C78F468C42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39E3D5" w14:textId="77777777" w:rsidR="00805788" w:rsidRPr="00B00775" w:rsidRDefault="00805788" w:rsidP="00462B98">
      <w:pPr>
        <w:pStyle w:val="p0"/>
        <w:spacing w:before="0"/>
        <w:ind w:firstLine="426"/>
        <w:jc w:val="left"/>
        <w:rPr>
          <w:rFonts w:ascii="Arial" w:hAnsi="Arial"/>
          <w:color w:val="000000" w:themeColor="text1"/>
          <w:sz w:val="16"/>
          <w:szCs w:val="16"/>
          <w:lang w:val="es-MX" w:eastAsia="es-MX"/>
        </w:rPr>
      </w:pPr>
      <w:r w:rsidRPr="00B00775">
        <w:rPr>
          <w:rFonts w:ascii="Arial" w:hAnsi="Arial"/>
          <w:color w:val="000000" w:themeColor="text1"/>
          <w:sz w:val="16"/>
          <w:szCs w:val="16"/>
          <w:vertAlign w:val="superscript"/>
          <w:lang w:val="es-MX" w:eastAsia="es-MX"/>
        </w:rPr>
        <w:t>P/</w:t>
      </w:r>
      <w:r w:rsidRPr="00B00775">
        <w:rPr>
          <w:rFonts w:ascii="Arial" w:hAnsi="Arial"/>
          <w:color w:val="000000" w:themeColor="text1"/>
          <w:sz w:val="16"/>
          <w:szCs w:val="16"/>
          <w:lang w:val="es-MX" w:eastAsia="es-MX"/>
        </w:rPr>
        <w:t xml:space="preserve"> Cifras preliminares</w:t>
      </w:r>
    </w:p>
    <w:p w14:paraId="10CD34FE" w14:textId="5DA82FBA" w:rsidR="009200B0" w:rsidRDefault="009200B0" w:rsidP="00FB3E0F">
      <w:pPr>
        <w:spacing w:before="120" w:after="240"/>
        <w:ind w:left="-426" w:right="193"/>
      </w:pPr>
    </w:p>
    <w:p w14:paraId="40B74DA6" w14:textId="77777777" w:rsidR="00462B98" w:rsidRDefault="00462B98" w:rsidP="00805788">
      <w:pPr>
        <w:ind w:left="-426"/>
        <w:contextualSpacing/>
      </w:pPr>
    </w:p>
    <w:p w14:paraId="2621FB65" w14:textId="77777777" w:rsidR="00462B98" w:rsidRDefault="00462B98" w:rsidP="00805788">
      <w:pPr>
        <w:ind w:left="-426"/>
        <w:contextualSpacing/>
      </w:pPr>
    </w:p>
    <w:p w14:paraId="63CE3ED3" w14:textId="77777777" w:rsidR="00462B98" w:rsidRDefault="00462B98" w:rsidP="00805788">
      <w:pPr>
        <w:ind w:left="-426"/>
        <w:contextualSpacing/>
      </w:pPr>
    </w:p>
    <w:p w14:paraId="4900EB1C" w14:textId="632DDE85" w:rsidR="00805788" w:rsidRDefault="00805788" w:rsidP="00805788">
      <w:pPr>
        <w:ind w:left="-426"/>
        <w:contextualSpacing/>
      </w:pPr>
      <w:r w:rsidRPr="00733E30">
        <w:t xml:space="preserve">El </w:t>
      </w:r>
      <w:r w:rsidR="00480571">
        <w:t>c</w:t>
      </w:r>
      <w:r w:rsidRPr="00733E30">
        <w:t>uadro 1 muestra</w:t>
      </w:r>
      <w:r w:rsidR="00480571">
        <w:t xml:space="preserve"> </w:t>
      </w:r>
      <w:r w:rsidR="00C07F67">
        <w:t xml:space="preserve">la composición de la ocupación del personal en </w:t>
      </w:r>
      <w:r w:rsidRPr="00733E30">
        <w:t>los dominios de transportes</w:t>
      </w:r>
      <w:r>
        <w:t>.</w:t>
      </w:r>
      <w:r w:rsidR="008409C6">
        <w:t xml:space="preserve"> En cinco de las siete modalidades estudiadas</w:t>
      </w:r>
      <w:r w:rsidR="00251C77">
        <w:t>,</w:t>
      </w:r>
      <w:r w:rsidR="008409C6">
        <w:t xml:space="preserve"> alrededor de 90 % oper</w:t>
      </w:r>
      <w:r w:rsidR="00153C0A">
        <w:t>ó</w:t>
      </w:r>
      <w:r w:rsidR="008409C6">
        <w:t xml:space="preserve"> con personal que depende de la razón social</w:t>
      </w:r>
      <w:r w:rsidR="00462B98">
        <w:t>. Solo</w:t>
      </w:r>
      <w:r w:rsidR="008409C6">
        <w:t xml:space="preserve"> en las modalidades de transporte marítimo</w:t>
      </w:r>
      <w:r w:rsidR="00055643">
        <w:t>,</w:t>
      </w:r>
      <w:r w:rsidR="008409C6">
        <w:t xml:space="preserve"> la operación de las empresas con personal dependiente de otra razón social rebas</w:t>
      </w:r>
      <w:r w:rsidR="00153C0A">
        <w:t>ó</w:t>
      </w:r>
      <w:r w:rsidR="008409C6">
        <w:t xml:space="preserve"> 30 por ciento</w:t>
      </w:r>
      <w:r w:rsidR="00055643">
        <w:t>.</w:t>
      </w:r>
      <w:r w:rsidR="008409C6">
        <w:t xml:space="preserve"> </w:t>
      </w:r>
    </w:p>
    <w:p w14:paraId="477ADF4C" w14:textId="77777777" w:rsidR="00805788" w:rsidRPr="00733E30" w:rsidRDefault="00805788" w:rsidP="00805788">
      <w:pPr>
        <w:ind w:left="-426"/>
        <w:contextualSpacing/>
      </w:pPr>
    </w:p>
    <w:p w14:paraId="4B8A7F6B" w14:textId="4DF4C933" w:rsidR="00805788" w:rsidRDefault="00805788" w:rsidP="00805788">
      <w:pPr>
        <w:ind w:right="193"/>
        <w:jc w:val="center"/>
        <w:rPr>
          <w:b/>
          <w:sz w:val="22"/>
          <w:szCs w:val="22"/>
          <w:lang w:val="es-MX" w:eastAsia="es-MX"/>
        </w:rPr>
      </w:pPr>
      <w:r w:rsidRPr="00337FFC">
        <w:rPr>
          <w:sz w:val="20"/>
          <w:szCs w:val="20"/>
          <w:lang w:val="es-MX" w:eastAsia="es-MX"/>
        </w:rPr>
        <w:t>Cuadro 1</w:t>
      </w:r>
      <w:r w:rsidRPr="00733E30">
        <w:rPr>
          <w:b/>
          <w:sz w:val="22"/>
          <w:szCs w:val="22"/>
          <w:lang w:val="es-MX" w:eastAsia="es-MX"/>
        </w:rPr>
        <w:t xml:space="preserve"> </w:t>
      </w:r>
    </w:p>
    <w:p w14:paraId="43486D69" w14:textId="6432F826" w:rsidR="00805788" w:rsidRPr="00337FFC" w:rsidRDefault="00805788" w:rsidP="00337FFC">
      <w:pPr>
        <w:ind w:left="-567" w:right="193"/>
        <w:jc w:val="center"/>
        <w:rPr>
          <w:rFonts w:ascii="Arial Negrita" w:hAnsi="Arial Negrita"/>
          <w:b/>
          <w:smallCaps/>
          <w:sz w:val="22"/>
          <w:szCs w:val="22"/>
          <w:lang w:val="es-MX" w:eastAsia="es-MX"/>
        </w:rPr>
      </w:pPr>
      <w:r>
        <w:rPr>
          <w:rFonts w:ascii="Arial Negrita" w:hAnsi="Arial Negrita"/>
          <w:b/>
          <w:smallCaps/>
          <w:sz w:val="22"/>
          <w:szCs w:val="22"/>
          <w:lang w:val="es-MX" w:eastAsia="es-MX"/>
        </w:rPr>
        <w:t>D</w:t>
      </w:r>
      <w:r w:rsidRPr="00337FFC">
        <w:rPr>
          <w:rFonts w:ascii="Arial Negrita" w:hAnsi="Arial Negrita"/>
          <w:b/>
          <w:smallCaps/>
          <w:sz w:val="22"/>
          <w:szCs w:val="22"/>
          <w:lang w:val="es-MX" w:eastAsia="es-MX"/>
        </w:rPr>
        <w:t>istribución de personal ocupado</w:t>
      </w:r>
      <w:r>
        <w:rPr>
          <w:rFonts w:ascii="Arial Negrita" w:hAnsi="Arial Negrita"/>
          <w:b/>
          <w:smallCaps/>
          <w:sz w:val="22"/>
          <w:szCs w:val="22"/>
          <w:lang w:val="es-MX" w:eastAsia="es-MX"/>
        </w:rPr>
        <w:t xml:space="preserve"> </w:t>
      </w:r>
      <w:r w:rsidRPr="00805788">
        <w:rPr>
          <w:rFonts w:ascii="Arial Negrita" w:hAnsi="Arial Negrita"/>
          <w:b/>
          <w:smallCaps/>
          <w:sz w:val="22"/>
          <w:szCs w:val="22"/>
          <w:lang w:val="es-MX" w:eastAsia="es-MX"/>
        </w:rPr>
        <w:t>seg</w:t>
      </w:r>
      <w:r w:rsidRPr="00805788">
        <w:rPr>
          <w:rFonts w:ascii="Arial Negrita" w:hAnsi="Arial Negrita" w:hint="eastAsia"/>
          <w:b/>
          <w:smallCaps/>
          <w:sz w:val="22"/>
          <w:szCs w:val="22"/>
          <w:lang w:val="es-MX" w:eastAsia="es-MX"/>
        </w:rPr>
        <w:t>ú</w:t>
      </w:r>
      <w:r w:rsidRPr="00805788">
        <w:rPr>
          <w:rFonts w:ascii="Arial Negrita" w:hAnsi="Arial Negrita"/>
          <w:b/>
          <w:smallCaps/>
          <w:sz w:val="22"/>
          <w:szCs w:val="22"/>
          <w:lang w:val="es-MX" w:eastAsia="es-MX"/>
        </w:rPr>
        <w:t xml:space="preserve">n </w:t>
      </w:r>
      <w:r w:rsidRPr="00337FFC">
        <w:rPr>
          <w:rFonts w:ascii="Arial Negrita" w:hAnsi="Arial Negrita"/>
          <w:b/>
          <w:smallCaps/>
          <w:sz w:val="22"/>
          <w:szCs w:val="22"/>
          <w:lang w:val="es-MX" w:eastAsia="es-MX"/>
        </w:rPr>
        <w:t xml:space="preserve">situación de dependencia de la razón social </w:t>
      </w:r>
      <w:r w:rsidR="00AC0531">
        <w:rPr>
          <w:rFonts w:ascii="Arial Negrita" w:hAnsi="Arial Negrita"/>
          <w:b/>
          <w:smallCaps/>
          <w:sz w:val="22"/>
          <w:szCs w:val="22"/>
          <w:lang w:val="es-MX" w:eastAsia="es-MX"/>
        </w:rPr>
        <w:t>2021</w:t>
      </w:r>
      <w:r w:rsidR="00AC0531" w:rsidRPr="00B00775">
        <w:rPr>
          <w:rFonts w:ascii="Arial Negrita" w:hAnsi="Arial Negrita"/>
          <w:b/>
          <w:smallCaps/>
          <w:sz w:val="22"/>
          <w:szCs w:val="22"/>
          <w:vertAlign w:val="superscript"/>
        </w:rPr>
        <w:t>p/</w:t>
      </w:r>
    </w:p>
    <w:tbl>
      <w:tblPr>
        <w:tblStyle w:val="Tablanormal4"/>
        <w:tblW w:w="5132" w:type="pct"/>
        <w:tblInd w:w="-426" w:type="dxa"/>
        <w:tblLayout w:type="fixed"/>
        <w:tblLook w:val="04A0" w:firstRow="1" w:lastRow="0" w:firstColumn="1" w:lastColumn="0" w:noHBand="0" w:noVBand="1"/>
      </w:tblPr>
      <w:tblGrid>
        <w:gridCol w:w="834"/>
        <w:gridCol w:w="1290"/>
        <w:gridCol w:w="708"/>
        <w:gridCol w:w="819"/>
        <w:gridCol w:w="1371"/>
        <w:gridCol w:w="1525"/>
        <w:gridCol w:w="610"/>
        <w:gridCol w:w="1371"/>
        <w:gridCol w:w="1221"/>
      </w:tblGrid>
      <w:tr w:rsidR="00805788" w:rsidRPr="00646299" w14:paraId="465C8E4B" w14:textId="77777777" w:rsidTr="0021593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8" w:type="pct"/>
            <w:noWrap/>
            <w:hideMark/>
          </w:tcPr>
          <w:p w14:paraId="4FBC05BB" w14:textId="0B9FE911" w:rsidR="00805788" w:rsidRPr="001F3B5B" w:rsidRDefault="00805788" w:rsidP="002D4275">
            <w:pPr>
              <w:rPr>
                <w:b w:val="0"/>
                <w:bCs w:val="0"/>
                <w:sz w:val="14"/>
                <w:szCs w:val="14"/>
                <w:lang w:eastAsia="es-MX"/>
              </w:rPr>
            </w:pPr>
          </w:p>
        </w:tc>
        <w:tc>
          <w:tcPr>
            <w:tcW w:w="662" w:type="pct"/>
            <w:noWrap/>
            <w:hideMark/>
          </w:tcPr>
          <w:p w14:paraId="7B34B125" w14:textId="77777777" w:rsidR="00805788" w:rsidRPr="001F3B5B" w:rsidRDefault="00805788" w:rsidP="002D4275">
            <w:pP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p>
        </w:tc>
        <w:tc>
          <w:tcPr>
            <w:tcW w:w="363" w:type="pct"/>
            <w:noWrap/>
            <w:hideMark/>
          </w:tcPr>
          <w:p w14:paraId="2F7CCCF5" w14:textId="77777777" w:rsidR="00805788" w:rsidRPr="00646299" w:rsidRDefault="00805788" w:rsidP="002D4275">
            <w:pPr>
              <w:cnfStyle w:val="100000000000" w:firstRow="1" w:lastRow="0" w:firstColumn="0" w:lastColumn="0" w:oddVBand="0" w:evenVBand="0" w:oddHBand="0" w:evenHBand="0" w:firstRowFirstColumn="0" w:firstRowLastColumn="0" w:lastRowFirstColumn="0" w:lastRowLastColumn="0"/>
              <w:rPr>
                <w:sz w:val="14"/>
                <w:szCs w:val="14"/>
                <w:lang w:eastAsia="es-MX"/>
              </w:rPr>
            </w:pPr>
          </w:p>
        </w:tc>
        <w:tc>
          <w:tcPr>
            <w:tcW w:w="420" w:type="pct"/>
            <w:noWrap/>
            <w:hideMark/>
          </w:tcPr>
          <w:p w14:paraId="61CF97DC" w14:textId="77777777" w:rsidR="00805788" w:rsidRPr="00646299" w:rsidRDefault="00805788" w:rsidP="002D4275">
            <w:pPr>
              <w:cnfStyle w:val="100000000000" w:firstRow="1" w:lastRow="0" w:firstColumn="0" w:lastColumn="0" w:oddVBand="0" w:evenVBand="0" w:oddHBand="0" w:evenHBand="0" w:firstRowFirstColumn="0" w:firstRowLastColumn="0" w:lastRowFirstColumn="0" w:lastRowLastColumn="0"/>
              <w:rPr>
                <w:sz w:val="14"/>
                <w:szCs w:val="14"/>
                <w:lang w:eastAsia="es-MX"/>
              </w:rPr>
            </w:pPr>
          </w:p>
        </w:tc>
        <w:tc>
          <w:tcPr>
            <w:tcW w:w="703" w:type="pct"/>
            <w:noWrap/>
            <w:hideMark/>
          </w:tcPr>
          <w:p w14:paraId="7401D059" w14:textId="77777777" w:rsidR="00805788" w:rsidRPr="00646299" w:rsidRDefault="00805788" w:rsidP="002D4275">
            <w:pPr>
              <w:cnfStyle w:val="100000000000" w:firstRow="1" w:lastRow="0" w:firstColumn="0" w:lastColumn="0" w:oddVBand="0" w:evenVBand="0" w:oddHBand="0" w:evenHBand="0" w:firstRowFirstColumn="0" w:firstRowLastColumn="0" w:lastRowFirstColumn="0" w:lastRowLastColumn="0"/>
              <w:rPr>
                <w:sz w:val="14"/>
                <w:szCs w:val="14"/>
                <w:lang w:eastAsia="es-MX"/>
              </w:rPr>
            </w:pPr>
          </w:p>
        </w:tc>
        <w:tc>
          <w:tcPr>
            <w:tcW w:w="782" w:type="pct"/>
            <w:noWrap/>
            <w:hideMark/>
          </w:tcPr>
          <w:p w14:paraId="04A2E916" w14:textId="77777777" w:rsidR="00805788" w:rsidRPr="00646299" w:rsidRDefault="00805788" w:rsidP="002D4275">
            <w:pPr>
              <w:cnfStyle w:val="100000000000" w:firstRow="1" w:lastRow="0" w:firstColumn="0" w:lastColumn="0" w:oddVBand="0" w:evenVBand="0" w:oddHBand="0" w:evenHBand="0" w:firstRowFirstColumn="0" w:firstRowLastColumn="0" w:lastRowFirstColumn="0" w:lastRowLastColumn="0"/>
              <w:rPr>
                <w:sz w:val="14"/>
                <w:szCs w:val="14"/>
                <w:lang w:eastAsia="es-MX"/>
              </w:rPr>
            </w:pPr>
          </w:p>
        </w:tc>
        <w:tc>
          <w:tcPr>
            <w:tcW w:w="313" w:type="pct"/>
            <w:noWrap/>
            <w:hideMark/>
          </w:tcPr>
          <w:p w14:paraId="78D4A31E" w14:textId="77777777" w:rsidR="00805788" w:rsidRPr="00646299" w:rsidRDefault="00805788" w:rsidP="002D4275">
            <w:pPr>
              <w:cnfStyle w:val="100000000000" w:firstRow="1" w:lastRow="0" w:firstColumn="0" w:lastColumn="0" w:oddVBand="0" w:evenVBand="0" w:oddHBand="0" w:evenHBand="0" w:firstRowFirstColumn="0" w:firstRowLastColumn="0" w:lastRowFirstColumn="0" w:lastRowLastColumn="0"/>
              <w:rPr>
                <w:sz w:val="14"/>
                <w:szCs w:val="14"/>
                <w:lang w:eastAsia="es-MX"/>
              </w:rPr>
            </w:pPr>
          </w:p>
        </w:tc>
        <w:tc>
          <w:tcPr>
            <w:tcW w:w="703" w:type="pct"/>
            <w:noWrap/>
            <w:hideMark/>
          </w:tcPr>
          <w:p w14:paraId="1082A399" w14:textId="77777777" w:rsidR="00805788" w:rsidRPr="00646299" w:rsidRDefault="00805788" w:rsidP="002D4275">
            <w:pPr>
              <w:cnfStyle w:val="100000000000" w:firstRow="1" w:lastRow="0" w:firstColumn="0" w:lastColumn="0" w:oddVBand="0" w:evenVBand="0" w:oddHBand="0" w:evenHBand="0" w:firstRowFirstColumn="0" w:firstRowLastColumn="0" w:lastRowFirstColumn="0" w:lastRowLastColumn="0"/>
              <w:rPr>
                <w:sz w:val="14"/>
                <w:szCs w:val="14"/>
                <w:lang w:eastAsia="es-MX"/>
              </w:rPr>
            </w:pPr>
          </w:p>
        </w:tc>
        <w:tc>
          <w:tcPr>
            <w:tcW w:w="626" w:type="pct"/>
            <w:noWrap/>
            <w:hideMark/>
          </w:tcPr>
          <w:p w14:paraId="7ECAD50F" w14:textId="77777777" w:rsidR="00805788" w:rsidRPr="00646299" w:rsidRDefault="00805788" w:rsidP="002D4275">
            <w:pPr>
              <w:cnfStyle w:val="100000000000" w:firstRow="1" w:lastRow="0" w:firstColumn="0" w:lastColumn="0" w:oddVBand="0" w:evenVBand="0" w:oddHBand="0" w:evenHBand="0" w:firstRowFirstColumn="0" w:firstRowLastColumn="0" w:lastRowFirstColumn="0" w:lastRowLastColumn="0"/>
              <w:rPr>
                <w:sz w:val="14"/>
                <w:szCs w:val="14"/>
                <w:lang w:eastAsia="es-MX"/>
              </w:rPr>
            </w:pPr>
          </w:p>
        </w:tc>
      </w:tr>
      <w:tr w:rsidR="00805788" w:rsidRPr="00646299" w14:paraId="67C5E640" w14:textId="77777777" w:rsidTr="00215939">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28" w:type="pct"/>
            <w:vMerge w:val="restart"/>
            <w:hideMark/>
          </w:tcPr>
          <w:p w14:paraId="67CBB82C" w14:textId="1B8E6F91" w:rsidR="00805788" w:rsidRPr="00646299" w:rsidRDefault="00805788" w:rsidP="002D4275">
            <w:pPr>
              <w:jc w:val="center"/>
              <w:rPr>
                <w:b w:val="0"/>
                <w:bCs w:val="0"/>
                <w:sz w:val="14"/>
                <w:szCs w:val="14"/>
                <w:lang w:eastAsia="es-MX"/>
              </w:rPr>
            </w:pPr>
            <w:r w:rsidRPr="00646299">
              <w:rPr>
                <w:sz w:val="14"/>
                <w:szCs w:val="14"/>
                <w:lang w:eastAsia="es-MX"/>
              </w:rPr>
              <w:t>Código SCIAN</w:t>
            </w:r>
            <w:r w:rsidR="0042465A" w:rsidRPr="00646299">
              <w:rPr>
                <w:sz w:val="14"/>
                <w:szCs w:val="14"/>
                <w:vertAlign w:val="superscript"/>
                <w:lang w:eastAsia="es-MX"/>
              </w:rPr>
              <w:t>1</w:t>
            </w:r>
            <w:r w:rsidRPr="00646299">
              <w:rPr>
                <w:sz w:val="14"/>
                <w:szCs w:val="14"/>
                <w:lang w:eastAsia="es-MX"/>
              </w:rPr>
              <w:t xml:space="preserve"> 2013</w:t>
            </w:r>
          </w:p>
          <w:p w14:paraId="0D656387" w14:textId="77777777" w:rsidR="00805788" w:rsidRPr="00646299" w:rsidRDefault="00805788" w:rsidP="002D4275">
            <w:pPr>
              <w:jc w:val="center"/>
              <w:rPr>
                <w:b w:val="0"/>
                <w:bCs w:val="0"/>
                <w:sz w:val="14"/>
                <w:szCs w:val="14"/>
                <w:lang w:eastAsia="es-MX"/>
              </w:rPr>
            </w:pPr>
            <w:r w:rsidRPr="00646299">
              <w:rPr>
                <w:b w:val="0"/>
                <w:bCs w:val="0"/>
                <w:sz w:val="14"/>
                <w:szCs w:val="14"/>
                <w:lang w:eastAsia="es-MX"/>
              </w:rPr>
              <w:t> </w:t>
            </w:r>
          </w:p>
        </w:tc>
        <w:tc>
          <w:tcPr>
            <w:tcW w:w="662" w:type="pct"/>
            <w:vMerge w:val="restart"/>
            <w:hideMark/>
          </w:tcPr>
          <w:p w14:paraId="05A7E8F8" w14:textId="77777777" w:rsidR="00805788" w:rsidRPr="00646299" w:rsidRDefault="00805788"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646299">
              <w:rPr>
                <w:b/>
                <w:bCs/>
                <w:sz w:val="14"/>
                <w:szCs w:val="14"/>
                <w:lang w:eastAsia="es-MX"/>
              </w:rPr>
              <w:t>Descripción</w:t>
            </w:r>
          </w:p>
        </w:tc>
        <w:tc>
          <w:tcPr>
            <w:tcW w:w="363" w:type="pct"/>
            <w:vMerge w:val="restart"/>
            <w:hideMark/>
          </w:tcPr>
          <w:p w14:paraId="15A12B0B" w14:textId="77777777" w:rsidR="00805788" w:rsidRPr="00646299" w:rsidRDefault="00805788"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646299">
              <w:rPr>
                <w:b/>
                <w:bCs/>
                <w:sz w:val="14"/>
                <w:szCs w:val="14"/>
                <w:lang w:eastAsia="es-MX"/>
              </w:rPr>
              <w:t>Total</w:t>
            </w:r>
          </w:p>
        </w:tc>
        <w:tc>
          <w:tcPr>
            <w:tcW w:w="1905" w:type="pct"/>
            <w:gridSpan w:val="3"/>
            <w:hideMark/>
          </w:tcPr>
          <w:p w14:paraId="62FCFA45" w14:textId="77777777" w:rsidR="00805788" w:rsidRPr="00646299" w:rsidRDefault="00805788"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646299">
              <w:rPr>
                <w:b/>
                <w:bCs/>
                <w:sz w:val="14"/>
                <w:szCs w:val="14"/>
                <w:lang w:eastAsia="es-MX"/>
              </w:rPr>
              <w:t>Dependiente de la razón social</w:t>
            </w:r>
          </w:p>
        </w:tc>
        <w:tc>
          <w:tcPr>
            <w:tcW w:w="1642" w:type="pct"/>
            <w:gridSpan w:val="3"/>
            <w:hideMark/>
          </w:tcPr>
          <w:p w14:paraId="1E1A0887" w14:textId="77777777" w:rsidR="00805788" w:rsidRPr="00646299" w:rsidRDefault="00805788"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646299">
              <w:rPr>
                <w:b/>
                <w:bCs/>
                <w:sz w:val="14"/>
                <w:szCs w:val="14"/>
                <w:lang w:eastAsia="es-MX"/>
              </w:rPr>
              <w:t>No dependiente de la razón social</w:t>
            </w:r>
          </w:p>
        </w:tc>
      </w:tr>
      <w:tr w:rsidR="00805788" w:rsidRPr="00646299" w14:paraId="54EAB8B9" w14:textId="77777777" w:rsidTr="00646299">
        <w:trPr>
          <w:trHeight w:val="720"/>
        </w:trPr>
        <w:tc>
          <w:tcPr>
            <w:cnfStyle w:val="001000000000" w:firstRow="0" w:lastRow="0" w:firstColumn="1" w:lastColumn="0" w:oddVBand="0" w:evenVBand="0" w:oddHBand="0" w:evenHBand="0" w:firstRowFirstColumn="0" w:firstRowLastColumn="0" w:lastRowFirstColumn="0" w:lastRowLastColumn="0"/>
            <w:tcW w:w="428" w:type="pct"/>
            <w:vMerge/>
            <w:hideMark/>
          </w:tcPr>
          <w:p w14:paraId="2E1F22D5" w14:textId="77777777" w:rsidR="00805788" w:rsidRPr="00646299" w:rsidRDefault="00805788" w:rsidP="002D4275">
            <w:pPr>
              <w:jc w:val="center"/>
              <w:rPr>
                <w:b w:val="0"/>
                <w:bCs w:val="0"/>
                <w:sz w:val="14"/>
                <w:szCs w:val="14"/>
                <w:lang w:eastAsia="es-MX"/>
              </w:rPr>
            </w:pPr>
          </w:p>
        </w:tc>
        <w:tc>
          <w:tcPr>
            <w:tcW w:w="662" w:type="pct"/>
            <w:vMerge/>
            <w:hideMark/>
          </w:tcPr>
          <w:p w14:paraId="7B880956" w14:textId="77777777" w:rsidR="00805788" w:rsidRPr="00646299" w:rsidRDefault="00805788" w:rsidP="002D4275">
            <w:pPr>
              <w:cnfStyle w:val="000000000000" w:firstRow="0" w:lastRow="0" w:firstColumn="0" w:lastColumn="0" w:oddVBand="0" w:evenVBand="0" w:oddHBand="0" w:evenHBand="0" w:firstRowFirstColumn="0" w:firstRowLastColumn="0" w:lastRowFirstColumn="0" w:lastRowLastColumn="0"/>
              <w:rPr>
                <w:b/>
                <w:bCs/>
                <w:sz w:val="14"/>
                <w:szCs w:val="14"/>
                <w:lang w:eastAsia="es-MX"/>
              </w:rPr>
            </w:pPr>
          </w:p>
        </w:tc>
        <w:tc>
          <w:tcPr>
            <w:tcW w:w="363" w:type="pct"/>
            <w:vMerge/>
            <w:hideMark/>
          </w:tcPr>
          <w:p w14:paraId="2CDB1EC8" w14:textId="77777777" w:rsidR="00805788" w:rsidRPr="00646299" w:rsidRDefault="00805788" w:rsidP="002D4275">
            <w:pPr>
              <w:cnfStyle w:val="000000000000" w:firstRow="0" w:lastRow="0" w:firstColumn="0" w:lastColumn="0" w:oddVBand="0" w:evenVBand="0" w:oddHBand="0" w:evenHBand="0" w:firstRowFirstColumn="0" w:firstRowLastColumn="0" w:lastRowFirstColumn="0" w:lastRowLastColumn="0"/>
              <w:rPr>
                <w:b/>
                <w:bCs/>
                <w:sz w:val="14"/>
                <w:szCs w:val="14"/>
                <w:lang w:eastAsia="es-MX"/>
              </w:rPr>
            </w:pPr>
          </w:p>
        </w:tc>
        <w:tc>
          <w:tcPr>
            <w:tcW w:w="420" w:type="pct"/>
            <w:hideMark/>
          </w:tcPr>
          <w:p w14:paraId="6D389FEB" w14:textId="77777777" w:rsidR="00805788" w:rsidRPr="00646299" w:rsidRDefault="00805788" w:rsidP="002D4275">
            <w:pPr>
              <w:jc w:val="center"/>
              <w:cnfStyle w:val="000000000000" w:firstRow="0" w:lastRow="0" w:firstColumn="0" w:lastColumn="0" w:oddVBand="0" w:evenVBand="0" w:oddHBand="0" w:evenHBand="0" w:firstRowFirstColumn="0" w:firstRowLastColumn="0" w:lastRowFirstColumn="0" w:lastRowLastColumn="0"/>
              <w:rPr>
                <w:b/>
                <w:bCs/>
                <w:sz w:val="14"/>
                <w:szCs w:val="14"/>
                <w:lang w:eastAsia="es-MX"/>
              </w:rPr>
            </w:pPr>
            <w:r w:rsidRPr="00646299">
              <w:rPr>
                <w:b/>
                <w:bCs/>
                <w:sz w:val="14"/>
                <w:szCs w:val="14"/>
                <w:lang w:eastAsia="es-MX"/>
              </w:rPr>
              <w:t>Total</w:t>
            </w:r>
          </w:p>
        </w:tc>
        <w:tc>
          <w:tcPr>
            <w:tcW w:w="703" w:type="pct"/>
            <w:hideMark/>
          </w:tcPr>
          <w:p w14:paraId="305BDC3B" w14:textId="77777777" w:rsidR="00805788" w:rsidRPr="00646299" w:rsidRDefault="00805788" w:rsidP="002D4275">
            <w:pPr>
              <w:jc w:val="center"/>
              <w:cnfStyle w:val="000000000000" w:firstRow="0" w:lastRow="0" w:firstColumn="0" w:lastColumn="0" w:oddVBand="0" w:evenVBand="0" w:oddHBand="0" w:evenHBand="0" w:firstRowFirstColumn="0" w:firstRowLastColumn="0" w:lastRowFirstColumn="0" w:lastRowLastColumn="0"/>
              <w:rPr>
                <w:b/>
                <w:bCs/>
                <w:sz w:val="14"/>
                <w:szCs w:val="14"/>
                <w:lang w:eastAsia="es-MX"/>
              </w:rPr>
            </w:pPr>
            <w:r w:rsidRPr="00646299">
              <w:rPr>
                <w:b/>
                <w:bCs/>
                <w:sz w:val="14"/>
                <w:szCs w:val="14"/>
                <w:lang w:eastAsia="es-MX"/>
              </w:rPr>
              <w:t>Remunerado</w:t>
            </w:r>
          </w:p>
        </w:tc>
        <w:tc>
          <w:tcPr>
            <w:tcW w:w="782" w:type="pct"/>
            <w:hideMark/>
          </w:tcPr>
          <w:p w14:paraId="4F1C7F9A" w14:textId="77777777" w:rsidR="00805788" w:rsidRPr="00646299" w:rsidRDefault="00805788" w:rsidP="002D4275">
            <w:pPr>
              <w:jc w:val="center"/>
              <w:cnfStyle w:val="000000000000" w:firstRow="0" w:lastRow="0" w:firstColumn="0" w:lastColumn="0" w:oddVBand="0" w:evenVBand="0" w:oddHBand="0" w:evenHBand="0" w:firstRowFirstColumn="0" w:firstRowLastColumn="0" w:lastRowFirstColumn="0" w:lastRowLastColumn="0"/>
              <w:rPr>
                <w:b/>
                <w:bCs/>
                <w:sz w:val="14"/>
                <w:szCs w:val="14"/>
                <w:lang w:eastAsia="es-MX"/>
              </w:rPr>
            </w:pPr>
            <w:r w:rsidRPr="00646299">
              <w:rPr>
                <w:b/>
                <w:bCs/>
                <w:sz w:val="14"/>
                <w:szCs w:val="14"/>
                <w:lang w:eastAsia="es-MX"/>
              </w:rPr>
              <w:t>Propietarios, familiares y otros trabajadores no remunerados</w:t>
            </w:r>
          </w:p>
        </w:tc>
        <w:tc>
          <w:tcPr>
            <w:tcW w:w="313" w:type="pct"/>
            <w:hideMark/>
          </w:tcPr>
          <w:p w14:paraId="13580B51" w14:textId="77777777" w:rsidR="00805788" w:rsidRPr="00646299" w:rsidRDefault="00805788" w:rsidP="002D4275">
            <w:pPr>
              <w:jc w:val="center"/>
              <w:cnfStyle w:val="000000000000" w:firstRow="0" w:lastRow="0" w:firstColumn="0" w:lastColumn="0" w:oddVBand="0" w:evenVBand="0" w:oddHBand="0" w:evenHBand="0" w:firstRowFirstColumn="0" w:firstRowLastColumn="0" w:lastRowFirstColumn="0" w:lastRowLastColumn="0"/>
              <w:rPr>
                <w:b/>
                <w:bCs/>
                <w:sz w:val="14"/>
                <w:szCs w:val="14"/>
                <w:lang w:eastAsia="es-MX"/>
              </w:rPr>
            </w:pPr>
            <w:r w:rsidRPr="00646299">
              <w:rPr>
                <w:b/>
                <w:bCs/>
                <w:sz w:val="14"/>
                <w:szCs w:val="14"/>
                <w:lang w:eastAsia="es-MX"/>
              </w:rPr>
              <w:t>Total</w:t>
            </w:r>
          </w:p>
        </w:tc>
        <w:tc>
          <w:tcPr>
            <w:tcW w:w="703" w:type="pct"/>
            <w:hideMark/>
          </w:tcPr>
          <w:p w14:paraId="33B6EA22" w14:textId="77777777" w:rsidR="00805788" w:rsidRPr="00646299" w:rsidRDefault="00805788" w:rsidP="002D4275">
            <w:pPr>
              <w:jc w:val="center"/>
              <w:cnfStyle w:val="000000000000" w:firstRow="0" w:lastRow="0" w:firstColumn="0" w:lastColumn="0" w:oddVBand="0" w:evenVBand="0" w:oddHBand="0" w:evenHBand="0" w:firstRowFirstColumn="0" w:firstRowLastColumn="0" w:lastRowFirstColumn="0" w:lastRowLastColumn="0"/>
              <w:rPr>
                <w:b/>
                <w:bCs/>
                <w:sz w:val="14"/>
                <w:szCs w:val="14"/>
                <w:lang w:eastAsia="es-MX"/>
              </w:rPr>
            </w:pPr>
            <w:r w:rsidRPr="00646299">
              <w:rPr>
                <w:b/>
                <w:bCs/>
                <w:sz w:val="14"/>
                <w:szCs w:val="14"/>
                <w:lang w:eastAsia="es-MX"/>
              </w:rPr>
              <w:t>Personal suministrado por otra razón social</w:t>
            </w:r>
          </w:p>
        </w:tc>
        <w:tc>
          <w:tcPr>
            <w:tcW w:w="626" w:type="pct"/>
            <w:hideMark/>
          </w:tcPr>
          <w:p w14:paraId="0B40EDAD" w14:textId="77777777" w:rsidR="00805788" w:rsidRPr="00646299" w:rsidRDefault="00805788" w:rsidP="002D4275">
            <w:pPr>
              <w:jc w:val="center"/>
              <w:cnfStyle w:val="000000000000" w:firstRow="0" w:lastRow="0" w:firstColumn="0" w:lastColumn="0" w:oddVBand="0" w:evenVBand="0" w:oddHBand="0" w:evenHBand="0" w:firstRowFirstColumn="0" w:firstRowLastColumn="0" w:lastRowFirstColumn="0" w:lastRowLastColumn="0"/>
              <w:rPr>
                <w:b/>
                <w:bCs/>
                <w:sz w:val="14"/>
                <w:szCs w:val="14"/>
                <w:lang w:eastAsia="es-MX"/>
              </w:rPr>
            </w:pPr>
            <w:r w:rsidRPr="00646299">
              <w:rPr>
                <w:b/>
                <w:bCs/>
                <w:sz w:val="14"/>
                <w:szCs w:val="14"/>
                <w:lang w:eastAsia="es-MX"/>
              </w:rPr>
              <w:t>Personal por comisiones sin sueldo base</w:t>
            </w:r>
          </w:p>
        </w:tc>
      </w:tr>
      <w:tr w:rsidR="00805788" w:rsidRPr="00646299" w14:paraId="23804ED5" w14:textId="77777777" w:rsidTr="002159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8" w:type="pct"/>
            <w:hideMark/>
          </w:tcPr>
          <w:p w14:paraId="4BBD77DC" w14:textId="77777777" w:rsidR="00805788" w:rsidRPr="00646299" w:rsidRDefault="00805788" w:rsidP="002D4275">
            <w:pPr>
              <w:jc w:val="right"/>
              <w:rPr>
                <w:sz w:val="14"/>
                <w:szCs w:val="14"/>
                <w:lang w:eastAsia="es-MX"/>
              </w:rPr>
            </w:pPr>
            <w:r w:rsidRPr="00646299">
              <w:rPr>
                <w:sz w:val="14"/>
                <w:szCs w:val="14"/>
                <w:lang w:eastAsia="es-MX"/>
              </w:rPr>
              <w:t>481111</w:t>
            </w:r>
          </w:p>
        </w:tc>
        <w:tc>
          <w:tcPr>
            <w:tcW w:w="662" w:type="pct"/>
            <w:hideMark/>
          </w:tcPr>
          <w:p w14:paraId="3EAC06EB" w14:textId="77777777" w:rsidR="00805788" w:rsidRPr="00646299" w:rsidRDefault="00805788"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Transporte aéreo regular en líneas aéreas nacionales</w:t>
            </w:r>
          </w:p>
        </w:tc>
        <w:tc>
          <w:tcPr>
            <w:tcW w:w="363" w:type="pct"/>
            <w:noWrap/>
            <w:hideMark/>
          </w:tcPr>
          <w:p w14:paraId="68923099"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100</w:t>
            </w:r>
          </w:p>
        </w:tc>
        <w:tc>
          <w:tcPr>
            <w:tcW w:w="420" w:type="pct"/>
            <w:noWrap/>
            <w:hideMark/>
          </w:tcPr>
          <w:p w14:paraId="4B5F4582"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94.1</w:t>
            </w:r>
          </w:p>
        </w:tc>
        <w:tc>
          <w:tcPr>
            <w:tcW w:w="703" w:type="pct"/>
            <w:noWrap/>
            <w:hideMark/>
          </w:tcPr>
          <w:p w14:paraId="20FA6398"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94.1</w:t>
            </w:r>
          </w:p>
        </w:tc>
        <w:tc>
          <w:tcPr>
            <w:tcW w:w="782" w:type="pct"/>
            <w:noWrap/>
            <w:hideMark/>
          </w:tcPr>
          <w:p w14:paraId="40CB901E"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c>
          <w:tcPr>
            <w:tcW w:w="313" w:type="pct"/>
            <w:noWrap/>
            <w:hideMark/>
          </w:tcPr>
          <w:p w14:paraId="5C6496D4"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5.9</w:t>
            </w:r>
          </w:p>
        </w:tc>
        <w:tc>
          <w:tcPr>
            <w:tcW w:w="703" w:type="pct"/>
            <w:noWrap/>
            <w:hideMark/>
          </w:tcPr>
          <w:p w14:paraId="19FB2B3E"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5.8</w:t>
            </w:r>
          </w:p>
        </w:tc>
        <w:tc>
          <w:tcPr>
            <w:tcW w:w="626" w:type="pct"/>
            <w:noWrap/>
            <w:hideMark/>
          </w:tcPr>
          <w:p w14:paraId="53B6B666"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0.1</w:t>
            </w:r>
          </w:p>
        </w:tc>
      </w:tr>
      <w:tr w:rsidR="00805788" w:rsidRPr="00646299" w14:paraId="3CAAD513" w14:textId="77777777" w:rsidTr="00215939">
        <w:trPr>
          <w:trHeight w:val="255"/>
        </w:trPr>
        <w:tc>
          <w:tcPr>
            <w:cnfStyle w:val="001000000000" w:firstRow="0" w:lastRow="0" w:firstColumn="1" w:lastColumn="0" w:oddVBand="0" w:evenVBand="0" w:oddHBand="0" w:evenHBand="0" w:firstRowFirstColumn="0" w:firstRowLastColumn="0" w:lastRowFirstColumn="0" w:lastRowLastColumn="0"/>
            <w:tcW w:w="428" w:type="pct"/>
            <w:hideMark/>
          </w:tcPr>
          <w:p w14:paraId="0C5D0AD0" w14:textId="77777777" w:rsidR="00805788" w:rsidRPr="00646299" w:rsidRDefault="00805788" w:rsidP="002D4275">
            <w:pPr>
              <w:jc w:val="right"/>
              <w:rPr>
                <w:sz w:val="14"/>
                <w:szCs w:val="14"/>
                <w:lang w:eastAsia="es-MX"/>
              </w:rPr>
            </w:pPr>
            <w:r w:rsidRPr="00646299">
              <w:rPr>
                <w:sz w:val="14"/>
                <w:szCs w:val="14"/>
                <w:lang w:eastAsia="es-MX"/>
              </w:rPr>
              <w:t>482110</w:t>
            </w:r>
          </w:p>
        </w:tc>
        <w:tc>
          <w:tcPr>
            <w:tcW w:w="662" w:type="pct"/>
            <w:hideMark/>
          </w:tcPr>
          <w:p w14:paraId="68748156" w14:textId="77777777" w:rsidR="00805788" w:rsidRPr="00646299" w:rsidRDefault="00805788"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Transporte por ferrocarril</w:t>
            </w:r>
          </w:p>
        </w:tc>
        <w:tc>
          <w:tcPr>
            <w:tcW w:w="363" w:type="pct"/>
            <w:noWrap/>
            <w:hideMark/>
          </w:tcPr>
          <w:p w14:paraId="5892ADC9"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100</w:t>
            </w:r>
          </w:p>
        </w:tc>
        <w:tc>
          <w:tcPr>
            <w:tcW w:w="420" w:type="pct"/>
            <w:noWrap/>
            <w:hideMark/>
          </w:tcPr>
          <w:p w14:paraId="0E21E74B"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98.5</w:t>
            </w:r>
          </w:p>
        </w:tc>
        <w:tc>
          <w:tcPr>
            <w:tcW w:w="703" w:type="pct"/>
            <w:noWrap/>
            <w:hideMark/>
          </w:tcPr>
          <w:p w14:paraId="45B2D19B"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98.5</w:t>
            </w:r>
          </w:p>
        </w:tc>
        <w:tc>
          <w:tcPr>
            <w:tcW w:w="782" w:type="pct"/>
            <w:noWrap/>
            <w:hideMark/>
          </w:tcPr>
          <w:p w14:paraId="78200B56"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c>
          <w:tcPr>
            <w:tcW w:w="313" w:type="pct"/>
            <w:noWrap/>
            <w:hideMark/>
          </w:tcPr>
          <w:p w14:paraId="005FCEE4"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1.5</w:t>
            </w:r>
          </w:p>
        </w:tc>
        <w:tc>
          <w:tcPr>
            <w:tcW w:w="703" w:type="pct"/>
            <w:noWrap/>
            <w:hideMark/>
          </w:tcPr>
          <w:p w14:paraId="7690C2FD"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1.5</w:t>
            </w:r>
          </w:p>
        </w:tc>
        <w:tc>
          <w:tcPr>
            <w:tcW w:w="626" w:type="pct"/>
            <w:noWrap/>
            <w:hideMark/>
          </w:tcPr>
          <w:p w14:paraId="2A954CAA"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r>
      <w:tr w:rsidR="00805788" w:rsidRPr="00646299" w14:paraId="77804F59" w14:textId="77777777" w:rsidTr="002159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8" w:type="pct"/>
            <w:hideMark/>
          </w:tcPr>
          <w:p w14:paraId="00BD000A" w14:textId="77777777" w:rsidR="00805788" w:rsidRPr="00646299" w:rsidRDefault="00805788" w:rsidP="002D4275">
            <w:pPr>
              <w:jc w:val="right"/>
              <w:rPr>
                <w:sz w:val="14"/>
                <w:szCs w:val="14"/>
                <w:lang w:eastAsia="es-MX"/>
              </w:rPr>
            </w:pPr>
            <w:r w:rsidRPr="00646299">
              <w:rPr>
                <w:sz w:val="14"/>
                <w:szCs w:val="14"/>
                <w:lang w:eastAsia="es-MX"/>
              </w:rPr>
              <w:t>483111</w:t>
            </w:r>
          </w:p>
        </w:tc>
        <w:tc>
          <w:tcPr>
            <w:tcW w:w="662" w:type="pct"/>
            <w:hideMark/>
          </w:tcPr>
          <w:p w14:paraId="6DB733B5" w14:textId="77777777" w:rsidR="00805788" w:rsidRPr="00646299" w:rsidRDefault="00805788"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Transporte marítimo de altura, excepto de petróleo y gas natural</w:t>
            </w:r>
          </w:p>
        </w:tc>
        <w:tc>
          <w:tcPr>
            <w:tcW w:w="363" w:type="pct"/>
            <w:noWrap/>
            <w:hideMark/>
          </w:tcPr>
          <w:p w14:paraId="284789D0"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100</w:t>
            </w:r>
          </w:p>
        </w:tc>
        <w:tc>
          <w:tcPr>
            <w:tcW w:w="420" w:type="pct"/>
            <w:noWrap/>
            <w:hideMark/>
          </w:tcPr>
          <w:p w14:paraId="5B7EB485"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70.0</w:t>
            </w:r>
          </w:p>
        </w:tc>
        <w:tc>
          <w:tcPr>
            <w:tcW w:w="703" w:type="pct"/>
            <w:noWrap/>
            <w:hideMark/>
          </w:tcPr>
          <w:p w14:paraId="26E048DB"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70.0</w:t>
            </w:r>
          </w:p>
        </w:tc>
        <w:tc>
          <w:tcPr>
            <w:tcW w:w="782" w:type="pct"/>
            <w:noWrap/>
            <w:hideMark/>
          </w:tcPr>
          <w:p w14:paraId="0557BAAD"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c>
          <w:tcPr>
            <w:tcW w:w="313" w:type="pct"/>
            <w:noWrap/>
            <w:hideMark/>
          </w:tcPr>
          <w:p w14:paraId="11A12C68"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30.0</w:t>
            </w:r>
          </w:p>
        </w:tc>
        <w:tc>
          <w:tcPr>
            <w:tcW w:w="703" w:type="pct"/>
            <w:noWrap/>
            <w:hideMark/>
          </w:tcPr>
          <w:p w14:paraId="6F31560A"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10.9</w:t>
            </w:r>
          </w:p>
        </w:tc>
        <w:tc>
          <w:tcPr>
            <w:tcW w:w="626" w:type="pct"/>
            <w:noWrap/>
            <w:hideMark/>
          </w:tcPr>
          <w:p w14:paraId="52BEA9AE"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19.1</w:t>
            </w:r>
          </w:p>
        </w:tc>
      </w:tr>
      <w:tr w:rsidR="00805788" w:rsidRPr="00646299" w14:paraId="5E60908B" w14:textId="77777777" w:rsidTr="00215939">
        <w:trPr>
          <w:trHeight w:val="255"/>
        </w:trPr>
        <w:tc>
          <w:tcPr>
            <w:cnfStyle w:val="001000000000" w:firstRow="0" w:lastRow="0" w:firstColumn="1" w:lastColumn="0" w:oddVBand="0" w:evenVBand="0" w:oddHBand="0" w:evenHBand="0" w:firstRowFirstColumn="0" w:firstRowLastColumn="0" w:lastRowFirstColumn="0" w:lastRowLastColumn="0"/>
            <w:tcW w:w="428" w:type="pct"/>
            <w:hideMark/>
          </w:tcPr>
          <w:p w14:paraId="1071130E" w14:textId="77777777" w:rsidR="00805788" w:rsidRPr="00646299" w:rsidRDefault="00805788" w:rsidP="002D4275">
            <w:pPr>
              <w:jc w:val="right"/>
              <w:rPr>
                <w:sz w:val="14"/>
                <w:szCs w:val="14"/>
                <w:lang w:eastAsia="es-MX"/>
              </w:rPr>
            </w:pPr>
            <w:r w:rsidRPr="00646299">
              <w:rPr>
                <w:sz w:val="14"/>
                <w:szCs w:val="14"/>
                <w:lang w:eastAsia="es-MX"/>
              </w:rPr>
              <w:t>483112</w:t>
            </w:r>
          </w:p>
        </w:tc>
        <w:tc>
          <w:tcPr>
            <w:tcW w:w="662" w:type="pct"/>
            <w:hideMark/>
          </w:tcPr>
          <w:p w14:paraId="5CF4AE2A" w14:textId="77777777" w:rsidR="00805788" w:rsidRPr="00646299" w:rsidRDefault="00805788"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Transporte marítimo de cabotaje, excepto de petróleo y gas natural</w:t>
            </w:r>
          </w:p>
        </w:tc>
        <w:tc>
          <w:tcPr>
            <w:tcW w:w="363" w:type="pct"/>
            <w:noWrap/>
            <w:hideMark/>
          </w:tcPr>
          <w:p w14:paraId="31CA764C"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100</w:t>
            </w:r>
          </w:p>
        </w:tc>
        <w:tc>
          <w:tcPr>
            <w:tcW w:w="420" w:type="pct"/>
            <w:noWrap/>
            <w:hideMark/>
          </w:tcPr>
          <w:p w14:paraId="3F2910CF"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61.5</w:t>
            </w:r>
          </w:p>
        </w:tc>
        <w:tc>
          <w:tcPr>
            <w:tcW w:w="703" w:type="pct"/>
            <w:noWrap/>
            <w:hideMark/>
          </w:tcPr>
          <w:p w14:paraId="2576AED1"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61.4</w:t>
            </w:r>
          </w:p>
        </w:tc>
        <w:tc>
          <w:tcPr>
            <w:tcW w:w="782" w:type="pct"/>
            <w:noWrap/>
            <w:hideMark/>
          </w:tcPr>
          <w:p w14:paraId="551D44B1"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0.1</w:t>
            </w:r>
          </w:p>
        </w:tc>
        <w:tc>
          <w:tcPr>
            <w:tcW w:w="313" w:type="pct"/>
            <w:noWrap/>
            <w:hideMark/>
          </w:tcPr>
          <w:p w14:paraId="5EE1200D"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38.6</w:t>
            </w:r>
          </w:p>
        </w:tc>
        <w:tc>
          <w:tcPr>
            <w:tcW w:w="703" w:type="pct"/>
            <w:noWrap/>
            <w:hideMark/>
          </w:tcPr>
          <w:p w14:paraId="7D97862F"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38.5</w:t>
            </w:r>
          </w:p>
        </w:tc>
        <w:tc>
          <w:tcPr>
            <w:tcW w:w="626" w:type="pct"/>
            <w:noWrap/>
            <w:hideMark/>
          </w:tcPr>
          <w:p w14:paraId="3903B5C1"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0.1</w:t>
            </w:r>
          </w:p>
        </w:tc>
      </w:tr>
      <w:tr w:rsidR="00805788" w:rsidRPr="00646299" w14:paraId="40F60AF9" w14:textId="77777777" w:rsidTr="002159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8" w:type="pct"/>
            <w:hideMark/>
          </w:tcPr>
          <w:p w14:paraId="3995FFC2" w14:textId="77777777" w:rsidR="00805788" w:rsidRPr="00646299" w:rsidRDefault="00805788" w:rsidP="002D4275">
            <w:pPr>
              <w:jc w:val="right"/>
              <w:rPr>
                <w:sz w:val="14"/>
                <w:szCs w:val="14"/>
                <w:lang w:eastAsia="es-MX"/>
              </w:rPr>
            </w:pPr>
            <w:r w:rsidRPr="00646299">
              <w:rPr>
                <w:sz w:val="14"/>
                <w:szCs w:val="14"/>
                <w:lang w:eastAsia="es-MX"/>
              </w:rPr>
              <w:t>484</w:t>
            </w:r>
          </w:p>
        </w:tc>
        <w:tc>
          <w:tcPr>
            <w:tcW w:w="662" w:type="pct"/>
            <w:hideMark/>
          </w:tcPr>
          <w:p w14:paraId="4A819875" w14:textId="77777777" w:rsidR="00805788" w:rsidRPr="00646299" w:rsidRDefault="00805788"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Autotransporte de carga</w:t>
            </w:r>
          </w:p>
        </w:tc>
        <w:tc>
          <w:tcPr>
            <w:tcW w:w="363" w:type="pct"/>
            <w:noWrap/>
            <w:hideMark/>
          </w:tcPr>
          <w:p w14:paraId="68C29851"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100</w:t>
            </w:r>
          </w:p>
        </w:tc>
        <w:tc>
          <w:tcPr>
            <w:tcW w:w="420" w:type="pct"/>
            <w:noWrap/>
            <w:hideMark/>
          </w:tcPr>
          <w:p w14:paraId="0C5A5723"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90.9</w:t>
            </w:r>
          </w:p>
        </w:tc>
        <w:tc>
          <w:tcPr>
            <w:tcW w:w="703" w:type="pct"/>
            <w:noWrap/>
            <w:hideMark/>
          </w:tcPr>
          <w:p w14:paraId="00CD88ED"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87.9</w:t>
            </w:r>
          </w:p>
        </w:tc>
        <w:tc>
          <w:tcPr>
            <w:tcW w:w="782" w:type="pct"/>
            <w:noWrap/>
            <w:hideMark/>
          </w:tcPr>
          <w:p w14:paraId="680A89D8"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3.1</w:t>
            </w:r>
          </w:p>
        </w:tc>
        <w:tc>
          <w:tcPr>
            <w:tcW w:w="313" w:type="pct"/>
            <w:noWrap/>
            <w:hideMark/>
          </w:tcPr>
          <w:p w14:paraId="77570194"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9.1</w:t>
            </w:r>
          </w:p>
        </w:tc>
        <w:tc>
          <w:tcPr>
            <w:tcW w:w="703" w:type="pct"/>
            <w:noWrap/>
            <w:hideMark/>
          </w:tcPr>
          <w:p w14:paraId="5FE47576"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8.0</w:t>
            </w:r>
          </w:p>
        </w:tc>
        <w:tc>
          <w:tcPr>
            <w:tcW w:w="626" w:type="pct"/>
            <w:noWrap/>
            <w:hideMark/>
          </w:tcPr>
          <w:p w14:paraId="5A7B22E1"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1.1</w:t>
            </w:r>
          </w:p>
        </w:tc>
      </w:tr>
      <w:tr w:rsidR="00805788" w:rsidRPr="00646299" w14:paraId="45091430" w14:textId="77777777" w:rsidTr="00215939">
        <w:trPr>
          <w:trHeight w:val="255"/>
        </w:trPr>
        <w:tc>
          <w:tcPr>
            <w:cnfStyle w:val="001000000000" w:firstRow="0" w:lastRow="0" w:firstColumn="1" w:lastColumn="0" w:oddVBand="0" w:evenVBand="0" w:oddHBand="0" w:evenHBand="0" w:firstRowFirstColumn="0" w:firstRowLastColumn="0" w:lastRowFirstColumn="0" w:lastRowLastColumn="0"/>
            <w:tcW w:w="428" w:type="pct"/>
            <w:hideMark/>
          </w:tcPr>
          <w:p w14:paraId="3A0FC840" w14:textId="77777777" w:rsidR="00805788" w:rsidRPr="00646299" w:rsidRDefault="00805788" w:rsidP="002D4275">
            <w:pPr>
              <w:jc w:val="right"/>
              <w:rPr>
                <w:sz w:val="14"/>
                <w:szCs w:val="14"/>
                <w:lang w:eastAsia="es-MX"/>
              </w:rPr>
            </w:pPr>
            <w:r w:rsidRPr="00646299">
              <w:rPr>
                <w:sz w:val="14"/>
                <w:szCs w:val="14"/>
                <w:lang w:eastAsia="es-MX"/>
              </w:rPr>
              <w:t>485111</w:t>
            </w:r>
          </w:p>
        </w:tc>
        <w:tc>
          <w:tcPr>
            <w:tcW w:w="662" w:type="pct"/>
            <w:hideMark/>
          </w:tcPr>
          <w:p w14:paraId="0A821845" w14:textId="77777777" w:rsidR="00805788" w:rsidRPr="00646299" w:rsidRDefault="00805788"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Transporte colectivo urbano y suburbano de pasajeros en autobuses de ruta fija</w:t>
            </w:r>
          </w:p>
        </w:tc>
        <w:tc>
          <w:tcPr>
            <w:tcW w:w="363" w:type="pct"/>
            <w:noWrap/>
            <w:hideMark/>
          </w:tcPr>
          <w:p w14:paraId="3BE9BA73"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100</w:t>
            </w:r>
          </w:p>
        </w:tc>
        <w:tc>
          <w:tcPr>
            <w:tcW w:w="420" w:type="pct"/>
            <w:noWrap/>
            <w:hideMark/>
          </w:tcPr>
          <w:p w14:paraId="10A2AE23"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89.3</w:t>
            </w:r>
          </w:p>
        </w:tc>
        <w:tc>
          <w:tcPr>
            <w:tcW w:w="703" w:type="pct"/>
            <w:noWrap/>
            <w:hideMark/>
          </w:tcPr>
          <w:p w14:paraId="4BFF3ED2"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84.4</w:t>
            </w:r>
          </w:p>
        </w:tc>
        <w:tc>
          <w:tcPr>
            <w:tcW w:w="782" w:type="pct"/>
            <w:noWrap/>
            <w:hideMark/>
          </w:tcPr>
          <w:p w14:paraId="1A19CA6B"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4.9</w:t>
            </w:r>
          </w:p>
        </w:tc>
        <w:tc>
          <w:tcPr>
            <w:tcW w:w="313" w:type="pct"/>
            <w:noWrap/>
            <w:hideMark/>
          </w:tcPr>
          <w:p w14:paraId="6A773353"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10.7</w:t>
            </w:r>
          </w:p>
        </w:tc>
        <w:tc>
          <w:tcPr>
            <w:tcW w:w="703" w:type="pct"/>
            <w:noWrap/>
            <w:hideMark/>
          </w:tcPr>
          <w:p w14:paraId="79F8E9CA"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1.3</w:t>
            </w:r>
          </w:p>
        </w:tc>
        <w:tc>
          <w:tcPr>
            <w:tcW w:w="626" w:type="pct"/>
            <w:noWrap/>
            <w:hideMark/>
          </w:tcPr>
          <w:p w14:paraId="5D2DE723" w14:textId="77777777" w:rsidR="00805788" w:rsidRPr="00646299" w:rsidRDefault="00805788"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9.4</w:t>
            </w:r>
          </w:p>
        </w:tc>
      </w:tr>
      <w:tr w:rsidR="00805788" w:rsidRPr="00646299" w14:paraId="35198D3A" w14:textId="77777777" w:rsidTr="002159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8" w:type="pct"/>
            <w:hideMark/>
          </w:tcPr>
          <w:p w14:paraId="0858538D" w14:textId="77777777" w:rsidR="00805788" w:rsidRPr="00646299" w:rsidRDefault="00805788" w:rsidP="002D4275">
            <w:pPr>
              <w:jc w:val="right"/>
              <w:rPr>
                <w:sz w:val="14"/>
                <w:szCs w:val="14"/>
                <w:lang w:eastAsia="es-MX"/>
              </w:rPr>
            </w:pPr>
            <w:r w:rsidRPr="00646299">
              <w:rPr>
                <w:sz w:val="14"/>
                <w:szCs w:val="14"/>
                <w:lang w:eastAsia="es-MX"/>
              </w:rPr>
              <w:t>4852</w:t>
            </w:r>
          </w:p>
        </w:tc>
        <w:tc>
          <w:tcPr>
            <w:tcW w:w="662" w:type="pct"/>
            <w:hideMark/>
          </w:tcPr>
          <w:p w14:paraId="3F8A0118" w14:textId="77777777" w:rsidR="00805788" w:rsidRPr="00646299" w:rsidRDefault="00805788"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Transporte colectivo foráneo de pasajeros de ruta fija</w:t>
            </w:r>
          </w:p>
        </w:tc>
        <w:tc>
          <w:tcPr>
            <w:tcW w:w="363" w:type="pct"/>
            <w:noWrap/>
            <w:hideMark/>
          </w:tcPr>
          <w:p w14:paraId="2C58CA64"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100</w:t>
            </w:r>
          </w:p>
        </w:tc>
        <w:tc>
          <w:tcPr>
            <w:tcW w:w="420" w:type="pct"/>
            <w:noWrap/>
            <w:hideMark/>
          </w:tcPr>
          <w:p w14:paraId="65591B8B"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95.6</w:t>
            </w:r>
          </w:p>
        </w:tc>
        <w:tc>
          <w:tcPr>
            <w:tcW w:w="703" w:type="pct"/>
            <w:noWrap/>
            <w:hideMark/>
          </w:tcPr>
          <w:p w14:paraId="26828CB3"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95.5</w:t>
            </w:r>
          </w:p>
        </w:tc>
        <w:tc>
          <w:tcPr>
            <w:tcW w:w="782" w:type="pct"/>
            <w:noWrap/>
            <w:hideMark/>
          </w:tcPr>
          <w:p w14:paraId="795C6366"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0.1</w:t>
            </w:r>
          </w:p>
        </w:tc>
        <w:tc>
          <w:tcPr>
            <w:tcW w:w="313" w:type="pct"/>
            <w:noWrap/>
            <w:hideMark/>
          </w:tcPr>
          <w:p w14:paraId="685E3EFB"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4.4</w:t>
            </w:r>
          </w:p>
        </w:tc>
        <w:tc>
          <w:tcPr>
            <w:tcW w:w="703" w:type="pct"/>
            <w:noWrap/>
            <w:hideMark/>
          </w:tcPr>
          <w:p w14:paraId="02A31800"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4.4</w:t>
            </w:r>
          </w:p>
        </w:tc>
        <w:tc>
          <w:tcPr>
            <w:tcW w:w="626" w:type="pct"/>
            <w:noWrap/>
            <w:hideMark/>
          </w:tcPr>
          <w:p w14:paraId="45DC724B" w14:textId="77777777" w:rsidR="00805788" w:rsidRPr="00646299" w:rsidRDefault="00805788"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r>
    </w:tbl>
    <w:p w14:paraId="73EA595F" w14:textId="77777777" w:rsidR="0042465A" w:rsidRPr="00337FFC" w:rsidRDefault="0042465A" w:rsidP="00337FFC">
      <w:pPr>
        <w:ind w:left="-284"/>
        <w:rPr>
          <w:b/>
          <w:bCs/>
          <w:sz w:val="16"/>
          <w:szCs w:val="16"/>
          <w:lang w:eastAsia="es-MX"/>
        </w:rPr>
      </w:pPr>
      <w:r w:rsidRPr="00337FFC">
        <w:rPr>
          <w:sz w:val="16"/>
          <w:szCs w:val="16"/>
          <w:vertAlign w:val="superscript"/>
          <w:lang w:eastAsia="es-MX"/>
        </w:rPr>
        <w:t>P/</w:t>
      </w:r>
      <w:r w:rsidRPr="00337FFC">
        <w:rPr>
          <w:sz w:val="16"/>
          <w:szCs w:val="16"/>
          <w:lang w:eastAsia="es-MX"/>
        </w:rPr>
        <w:t xml:space="preserve"> Preliminar</w:t>
      </w:r>
    </w:p>
    <w:p w14:paraId="0073922B" w14:textId="56189270" w:rsidR="0042465A" w:rsidRPr="00337FFC" w:rsidRDefault="0042465A" w:rsidP="00462B98">
      <w:pPr>
        <w:spacing w:after="120"/>
        <w:ind w:left="-284"/>
        <w:contextualSpacing/>
        <w:rPr>
          <w:sz w:val="16"/>
          <w:szCs w:val="16"/>
        </w:rPr>
      </w:pPr>
      <w:r w:rsidRPr="00337FFC">
        <w:rPr>
          <w:sz w:val="16"/>
          <w:szCs w:val="16"/>
          <w:vertAlign w:val="superscript"/>
          <w:lang w:eastAsia="es-MX"/>
        </w:rPr>
        <w:t>1</w:t>
      </w:r>
      <w:r w:rsidRPr="00337FFC">
        <w:rPr>
          <w:sz w:val="16"/>
          <w:szCs w:val="16"/>
          <w:lang w:eastAsia="es-MX"/>
        </w:rPr>
        <w:t xml:space="preserve"> SCIAN: Sistema de Clasificación Industrial de América del Norte</w:t>
      </w:r>
    </w:p>
    <w:p w14:paraId="6E12A17F" w14:textId="0B0F0E95" w:rsidR="0042465A" w:rsidRPr="00337FFC" w:rsidRDefault="00215939" w:rsidP="00337FFC">
      <w:pPr>
        <w:ind w:left="-426" w:firstLine="142"/>
        <w:contextualSpacing/>
        <w:rPr>
          <w:sz w:val="16"/>
          <w:szCs w:val="16"/>
        </w:rPr>
      </w:pPr>
      <w:r w:rsidRPr="00337FFC">
        <w:rPr>
          <w:sz w:val="16"/>
          <w:szCs w:val="16"/>
          <w:lang w:eastAsia="es-MX"/>
        </w:rPr>
        <w:t>Fuente: Instituto Nacional de Estadística y Geografía, Encuesta Anual del Transporte</w:t>
      </w:r>
      <w:r w:rsidR="001F3B5B">
        <w:rPr>
          <w:sz w:val="16"/>
          <w:szCs w:val="16"/>
          <w:lang w:eastAsia="es-MX"/>
        </w:rPr>
        <w:t xml:space="preserve"> 2021</w:t>
      </w:r>
    </w:p>
    <w:p w14:paraId="008A4D77" w14:textId="77777777" w:rsidR="0042465A" w:rsidRDefault="0042465A" w:rsidP="00337FFC">
      <w:pPr>
        <w:ind w:left="-425"/>
        <w:contextualSpacing/>
      </w:pPr>
    </w:p>
    <w:p w14:paraId="241D4274" w14:textId="367CEDB0" w:rsidR="00805788" w:rsidRDefault="00805788" w:rsidP="00215939">
      <w:pPr>
        <w:ind w:left="-425"/>
        <w:contextualSpacing/>
      </w:pPr>
      <w:r w:rsidRPr="00733E30">
        <w:t xml:space="preserve">La actividad con mayor retribución anual al empleo </w:t>
      </w:r>
      <w:r w:rsidR="00215939">
        <w:t>fue</w:t>
      </w:r>
      <w:r w:rsidRPr="00733E30">
        <w:t xml:space="preserve"> </w:t>
      </w:r>
      <w:r w:rsidR="00514C69">
        <w:rPr>
          <w:i/>
        </w:rPr>
        <w:t>T</w:t>
      </w:r>
      <w:r w:rsidRPr="00337FFC">
        <w:rPr>
          <w:i/>
        </w:rPr>
        <w:t>ransporte aéreo regular en líneas aéreas nacionales</w:t>
      </w:r>
      <w:r w:rsidRPr="00733E30">
        <w:t xml:space="preserve">, con </w:t>
      </w:r>
      <w:r>
        <w:t>623</w:t>
      </w:r>
      <w:r w:rsidRPr="00733E30">
        <w:t xml:space="preserve"> m</w:t>
      </w:r>
      <w:r>
        <w:t>iles de pesos (</w:t>
      </w:r>
      <w:proofErr w:type="spellStart"/>
      <w:r>
        <w:t>m</w:t>
      </w:r>
      <w:r w:rsidRPr="00733E30">
        <w:t>dp</w:t>
      </w:r>
      <w:proofErr w:type="spellEnd"/>
      <w:r>
        <w:t>)</w:t>
      </w:r>
      <w:r w:rsidRPr="00733E30">
        <w:t>.</w:t>
      </w:r>
      <w:r w:rsidR="00215939">
        <w:t xml:space="preserve"> </w:t>
      </w:r>
      <w:r w:rsidR="00D95EE0" w:rsidRPr="00ED3FCA">
        <w:rPr>
          <w:i/>
          <w:iCs/>
        </w:rPr>
        <w:t>T</w:t>
      </w:r>
      <w:r w:rsidRPr="00337FFC">
        <w:rPr>
          <w:i/>
        </w:rPr>
        <w:t>ransporte por ferrocarril</w:t>
      </w:r>
      <w:r>
        <w:t xml:space="preserve"> </w:t>
      </w:r>
      <w:r w:rsidR="00215939">
        <w:t>registró</w:t>
      </w:r>
      <w:r w:rsidRPr="00733E30">
        <w:t xml:space="preserve"> la cifra más elevada de ingresos por persona ocupada, con </w:t>
      </w:r>
      <w:r>
        <w:t>5 424</w:t>
      </w:r>
      <w:r w:rsidRPr="00733E30">
        <w:t xml:space="preserve"> </w:t>
      </w:r>
      <w:proofErr w:type="spellStart"/>
      <w:r w:rsidRPr="00733E30">
        <w:t>md</w:t>
      </w:r>
      <w:r w:rsidR="00215939">
        <w:t>p</w:t>
      </w:r>
      <w:proofErr w:type="spellEnd"/>
      <w:r w:rsidR="00251C77">
        <w:t>.</w:t>
      </w:r>
    </w:p>
    <w:p w14:paraId="7D300ABB" w14:textId="77777777" w:rsidR="00215939" w:rsidRPr="00733E30" w:rsidRDefault="00215939" w:rsidP="00337FFC">
      <w:pPr>
        <w:ind w:left="-425"/>
        <w:contextualSpacing/>
      </w:pPr>
    </w:p>
    <w:p w14:paraId="2AAA32AB" w14:textId="2EE93712" w:rsidR="002B1158" w:rsidRPr="003F4DF9" w:rsidRDefault="002B1158" w:rsidP="00337FFC">
      <w:pPr>
        <w:ind w:left="-425"/>
      </w:pPr>
      <w:r w:rsidRPr="003F4DF9">
        <w:t>Las actividades económicas que ocupa</w:t>
      </w:r>
      <w:r w:rsidR="00215939">
        <w:t>ro</w:t>
      </w:r>
      <w:r w:rsidRPr="003F4DF9">
        <w:t xml:space="preserve">n personal </w:t>
      </w:r>
      <w:r w:rsidR="00215939">
        <w:t xml:space="preserve">masculino </w:t>
      </w:r>
      <w:r w:rsidRPr="003F4DF9">
        <w:t xml:space="preserve">con mayor nivel de estudios, en términos relativos, </w:t>
      </w:r>
      <w:r w:rsidR="00215939">
        <w:t>fuero</w:t>
      </w:r>
      <w:r w:rsidRPr="003F4DF9">
        <w:t xml:space="preserve">n </w:t>
      </w:r>
      <w:r w:rsidR="00514C69">
        <w:rPr>
          <w:i/>
        </w:rPr>
        <w:t>T</w:t>
      </w:r>
      <w:r w:rsidR="00FB3E0F" w:rsidRPr="00337FFC">
        <w:rPr>
          <w:i/>
        </w:rPr>
        <w:t xml:space="preserve">ransporte marítimo de </w:t>
      </w:r>
      <w:r w:rsidR="00215939">
        <w:rPr>
          <w:i/>
        </w:rPr>
        <w:t>altura</w:t>
      </w:r>
      <w:r w:rsidR="00FB3E0F" w:rsidRPr="00337FFC">
        <w:rPr>
          <w:i/>
        </w:rPr>
        <w:t>, excepto de petróleo y gas natural</w:t>
      </w:r>
      <w:r w:rsidRPr="003F4DF9">
        <w:t xml:space="preserve"> y </w:t>
      </w:r>
      <w:r w:rsidR="00514C69">
        <w:rPr>
          <w:i/>
        </w:rPr>
        <w:t>T</w:t>
      </w:r>
      <w:r w:rsidRPr="00337FFC">
        <w:rPr>
          <w:i/>
        </w:rPr>
        <w:t xml:space="preserve">ransporte </w:t>
      </w:r>
      <w:r w:rsidR="004B5506" w:rsidRPr="00337FFC">
        <w:rPr>
          <w:i/>
        </w:rPr>
        <w:t>por ferrocarril</w:t>
      </w:r>
      <w:r w:rsidRPr="003F4DF9">
        <w:t xml:space="preserve">, </w:t>
      </w:r>
      <w:r w:rsidR="00480571">
        <w:t xml:space="preserve">con </w:t>
      </w:r>
      <w:r w:rsidR="00215939">
        <w:t>95.4 y</w:t>
      </w:r>
      <w:r w:rsidR="00215939" w:rsidRPr="003F4DF9">
        <w:t xml:space="preserve"> </w:t>
      </w:r>
      <w:r w:rsidR="00215939">
        <w:t>87.5</w:t>
      </w:r>
      <w:r w:rsidR="00A22FBF">
        <w:t xml:space="preserve"> </w:t>
      </w:r>
      <w:r w:rsidR="00215939" w:rsidRPr="00733E30">
        <w:t>%</w:t>
      </w:r>
      <w:r w:rsidR="00A22FBF">
        <w:t xml:space="preserve">, respectivamente. </w:t>
      </w:r>
      <w:r w:rsidR="00A22FBF" w:rsidRPr="00096097">
        <w:t>Las actividades con mayor número de mujeres con educación superior fueron</w:t>
      </w:r>
      <w:r w:rsidR="00462B98">
        <w:t xml:space="preserve"> </w:t>
      </w:r>
      <w:r w:rsidR="00514C69" w:rsidRPr="00096097">
        <w:rPr>
          <w:i/>
        </w:rPr>
        <w:t>T</w:t>
      </w:r>
      <w:r w:rsidR="00A22FBF" w:rsidRPr="00096097">
        <w:rPr>
          <w:i/>
        </w:rPr>
        <w:t>ransporte por ferrocarril</w:t>
      </w:r>
      <w:r w:rsidR="00A22FBF" w:rsidRPr="00096097">
        <w:t xml:space="preserve"> y </w:t>
      </w:r>
      <w:r w:rsidR="00514C69" w:rsidRPr="00096097">
        <w:rPr>
          <w:i/>
        </w:rPr>
        <w:t>T</w:t>
      </w:r>
      <w:r w:rsidR="00A22FBF" w:rsidRPr="00096097">
        <w:rPr>
          <w:i/>
        </w:rPr>
        <w:t>ransporte marítimo de altura, excepto de petróleo y gas natural</w:t>
      </w:r>
      <w:r w:rsidR="00A22FBF" w:rsidRPr="00096097">
        <w:t xml:space="preserve">, </w:t>
      </w:r>
      <w:r w:rsidR="00F568AE">
        <w:t>con</w:t>
      </w:r>
      <w:r w:rsidR="00A22FBF" w:rsidRPr="00096097">
        <w:t xml:space="preserve"> 99.4 y 89.6 %, respectivamente.</w:t>
      </w:r>
    </w:p>
    <w:p w14:paraId="12B36F2F" w14:textId="77777777" w:rsidR="00A22FBF" w:rsidRDefault="00A22FBF" w:rsidP="00A22FBF">
      <w:pPr>
        <w:ind w:right="193"/>
        <w:jc w:val="center"/>
        <w:rPr>
          <w:sz w:val="20"/>
          <w:szCs w:val="20"/>
          <w:lang w:val="es-MX" w:eastAsia="es-MX"/>
        </w:rPr>
      </w:pPr>
    </w:p>
    <w:p w14:paraId="22F12537" w14:textId="059FE571" w:rsidR="00822D76" w:rsidRDefault="00822D76" w:rsidP="00A22FBF">
      <w:pPr>
        <w:ind w:right="193"/>
        <w:jc w:val="center"/>
        <w:rPr>
          <w:sz w:val="20"/>
          <w:szCs w:val="20"/>
          <w:lang w:val="es-MX" w:eastAsia="es-MX"/>
        </w:rPr>
      </w:pPr>
    </w:p>
    <w:p w14:paraId="6231CDC1" w14:textId="182E5225" w:rsidR="00ED3FCA" w:rsidRDefault="00ED3FCA" w:rsidP="00A22FBF">
      <w:pPr>
        <w:ind w:right="193"/>
        <w:jc w:val="center"/>
        <w:rPr>
          <w:sz w:val="20"/>
          <w:szCs w:val="20"/>
          <w:lang w:val="es-MX" w:eastAsia="es-MX"/>
        </w:rPr>
      </w:pPr>
    </w:p>
    <w:p w14:paraId="441219C7" w14:textId="0573B3F3" w:rsidR="00241F0B" w:rsidRDefault="00241F0B" w:rsidP="00A22FBF">
      <w:pPr>
        <w:ind w:right="193"/>
        <w:jc w:val="center"/>
        <w:rPr>
          <w:sz w:val="20"/>
          <w:szCs w:val="20"/>
          <w:lang w:val="es-MX" w:eastAsia="es-MX"/>
        </w:rPr>
      </w:pPr>
    </w:p>
    <w:p w14:paraId="69B48F05" w14:textId="4E0B4F61" w:rsidR="00A22FBF" w:rsidRDefault="00215939" w:rsidP="00337FFC">
      <w:pPr>
        <w:ind w:right="193"/>
        <w:jc w:val="center"/>
        <w:rPr>
          <w:sz w:val="20"/>
          <w:szCs w:val="20"/>
          <w:lang w:val="es-MX" w:eastAsia="es-MX"/>
        </w:rPr>
      </w:pPr>
      <w:r w:rsidRPr="00337FFC">
        <w:rPr>
          <w:sz w:val="20"/>
          <w:szCs w:val="20"/>
          <w:lang w:val="es-MX" w:eastAsia="es-MX"/>
        </w:rPr>
        <w:lastRenderedPageBreak/>
        <w:t>Cuadro 2</w:t>
      </w:r>
    </w:p>
    <w:p w14:paraId="1F30D6CF" w14:textId="41876201" w:rsidR="00215939" w:rsidRPr="00337FFC" w:rsidRDefault="00A22FBF" w:rsidP="00337FFC">
      <w:pPr>
        <w:ind w:left="-567" w:right="193"/>
        <w:jc w:val="center"/>
        <w:rPr>
          <w:rFonts w:ascii="Arial Negrita" w:hAnsi="Arial Negrita"/>
          <w:b/>
          <w:smallCaps/>
          <w:sz w:val="22"/>
          <w:szCs w:val="22"/>
          <w:lang w:val="es-MX" w:eastAsia="es-MX"/>
        </w:rPr>
      </w:pPr>
      <w:r>
        <w:rPr>
          <w:b/>
          <w:sz w:val="22"/>
          <w:szCs w:val="22"/>
          <w:lang w:val="es-MX" w:eastAsia="es-MX"/>
        </w:rPr>
        <w:t>D</w:t>
      </w:r>
      <w:r w:rsidR="00215939" w:rsidRPr="00337FFC">
        <w:rPr>
          <w:rFonts w:ascii="Arial Negrita" w:hAnsi="Arial Negrita"/>
          <w:b/>
          <w:smallCaps/>
          <w:sz w:val="22"/>
          <w:szCs w:val="22"/>
          <w:lang w:val="es-MX" w:eastAsia="es-MX"/>
        </w:rPr>
        <w:t xml:space="preserve">istribución de personal ocupado </w:t>
      </w:r>
      <w:r>
        <w:rPr>
          <w:rFonts w:ascii="Arial Negrita" w:hAnsi="Arial Negrita"/>
          <w:b/>
          <w:smallCaps/>
          <w:sz w:val="22"/>
          <w:szCs w:val="22"/>
          <w:lang w:val="es-MX" w:eastAsia="es-MX"/>
        </w:rPr>
        <w:t>según</w:t>
      </w:r>
      <w:r w:rsidR="00215939" w:rsidRPr="00337FFC">
        <w:rPr>
          <w:rFonts w:ascii="Arial Negrita" w:hAnsi="Arial Negrita"/>
          <w:b/>
          <w:smallCaps/>
          <w:sz w:val="22"/>
          <w:szCs w:val="22"/>
          <w:lang w:val="es-MX" w:eastAsia="es-MX"/>
        </w:rPr>
        <w:t xml:space="preserve"> sexo y nivel educativo</w:t>
      </w:r>
      <w:r>
        <w:rPr>
          <w:rFonts w:ascii="Arial Negrita" w:hAnsi="Arial Negrita"/>
          <w:b/>
          <w:smallCaps/>
          <w:sz w:val="22"/>
          <w:szCs w:val="22"/>
          <w:lang w:val="es-MX" w:eastAsia="es-MX"/>
        </w:rPr>
        <w:t>, 2021</w:t>
      </w:r>
      <w:r w:rsidRPr="00A22FBF">
        <w:rPr>
          <w:rFonts w:ascii="Arial Negrita" w:hAnsi="Arial Negrita"/>
          <w:b/>
          <w:smallCaps/>
          <w:sz w:val="22"/>
          <w:szCs w:val="22"/>
          <w:vertAlign w:val="superscript"/>
        </w:rPr>
        <w:t xml:space="preserve"> </w:t>
      </w:r>
      <w:r w:rsidRPr="00B00775">
        <w:rPr>
          <w:rFonts w:ascii="Arial Negrita" w:hAnsi="Arial Negrita"/>
          <w:b/>
          <w:smallCaps/>
          <w:sz w:val="22"/>
          <w:szCs w:val="22"/>
          <w:vertAlign w:val="superscript"/>
        </w:rPr>
        <w:t>p/</w:t>
      </w:r>
      <w:r>
        <w:rPr>
          <w:rFonts w:ascii="Arial Negrita" w:hAnsi="Arial Negrita"/>
          <w:b/>
          <w:smallCaps/>
          <w:sz w:val="22"/>
          <w:szCs w:val="22"/>
          <w:lang w:val="es-MX" w:eastAsia="es-MX"/>
        </w:rPr>
        <w:t xml:space="preserve"> </w:t>
      </w:r>
    </w:p>
    <w:tbl>
      <w:tblPr>
        <w:tblStyle w:val="Tablanormal4"/>
        <w:tblW w:w="5268" w:type="pct"/>
        <w:tblInd w:w="-426" w:type="dxa"/>
        <w:tblLook w:val="04A0" w:firstRow="1" w:lastRow="0" w:firstColumn="1" w:lastColumn="0" w:noHBand="0" w:noVBand="1"/>
      </w:tblPr>
      <w:tblGrid>
        <w:gridCol w:w="960"/>
        <w:gridCol w:w="1561"/>
        <w:gridCol w:w="971"/>
        <w:gridCol w:w="924"/>
        <w:gridCol w:w="924"/>
        <w:gridCol w:w="924"/>
        <w:gridCol w:w="971"/>
        <w:gridCol w:w="924"/>
        <w:gridCol w:w="924"/>
        <w:gridCol w:w="924"/>
      </w:tblGrid>
      <w:tr w:rsidR="00215939" w:rsidRPr="00C83C95" w14:paraId="229533FB" w14:textId="77777777" w:rsidTr="00337FFC">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496" w:type="pct"/>
            <w:vMerge w:val="restart"/>
            <w:hideMark/>
          </w:tcPr>
          <w:p w14:paraId="03F71F5B" w14:textId="347FFB8F" w:rsidR="00215939" w:rsidRPr="00C83C95" w:rsidRDefault="00215939" w:rsidP="002D4275">
            <w:pPr>
              <w:jc w:val="center"/>
              <w:rPr>
                <w:b w:val="0"/>
                <w:bCs w:val="0"/>
                <w:sz w:val="14"/>
                <w:szCs w:val="14"/>
                <w:lang w:eastAsia="es-MX"/>
              </w:rPr>
            </w:pPr>
            <w:r w:rsidRPr="00C83C95">
              <w:rPr>
                <w:sz w:val="14"/>
                <w:szCs w:val="14"/>
                <w:lang w:eastAsia="es-MX"/>
              </w:rPr>
              <w:t>Código SCIAN</w:t>
            </w:r>
            <w:r w:rsidR="00A22FBF" w:rsidRPr="00337FFC">
              <w:rPr>
                <w:sz w:val="14"/>
                <w:szCs w:val="14"/>
                <w:vertAlign w:val="superscript"/>
                <w:lang w:eastAsia="es-MX"/>
              </w:rPr>
              <w:t>1</w:t>
            </w:r>
            <w:r w:rsidRPr="00C83C95">
              <w:rPr>
                <w:sz w:val="14"/>
                <w:szCs w:val="14"/>
                <w:lang w:eastAsia="es-MX"/>
              </w:rPr>
              <w:t xml:space="preserve"> 2013</w:t>
            </w:r>
          </w:p>
          <w:p w14:paraId="3A7A9424" w14:textId="77777777" w:rsidR="00215939" w:rsidRPr="00C83C95" w:rsidRDefault="00215939" w:rsidP="002D4275">
            <w:pPr>
              <w:rPr>
                <w:b w:val="0"/>
                <w:bCs w:val="0"/>
                <w:sz w:val="14"/>
                <w:szCs w:val="14"/>
                <w:lang w:eastAsia="es-MX"/>
              </w:rPr>
            </w:pPr>
            <w:r w:rsidRPr="00C83C95">
              <w:rPr>
                <w:sz w:val="14"/>
                <w:szCs w:val="14"/>
                <w:lang w:eastAsia="es-MX"/>
              </w:rPr>
              <w:t> </w:t>
            </w:r>
          </w:p>
        </w:tc>
        <w:tc>
          <w:tcPr>
            <w:tcW w:w="796" w:type="pct"/>
            <w:vMerge w:val="restart"/>
            <w:hideMark/>
          </w:tcPr>
          <w:p w14:paraId="0B91F7C2" w14:textId="77777777" w:rsidR="00215939" w:rsidRPr="00337FFC"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337FFC">
              <w:rPr>
                <w:b w:val="0"/>
                <w:bCs w:val="0"/>
                <w:sz w:val="16"/>
                <w:szCs w:val="16"/>
                <w:lang w:eastAsia="es-MX"/>
              </w:rPr>
              <w:t>Descripción</w:t>
            </w:r>
          </w:p>
        </w:tc>
        <w:tc>
          <w:tcPr>
            <w:tcW w:w="1825" w:type="pct"/>
            <w:gridSpan w:val="4"/>
            <w:hideMark/>
          </w:tcPr>
          <w:p w14:paraId="79DA764F" w14:textId="77777777" w:rsidR="00215939" w:rsidRPr="00337FFC"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337FFC">
              <w:rPr>
                <w:b w:val="0"/>
                <w:bCs w:val="0"/>
                <w:sz w:val="16"/>
                <w:szCs w:val="16"/>
                <w:lang w:eastAsia="es-MX"/>
              </w:rPr>
              <w:t>Hombres</w:t>
            </w:r>
          </w:p>
        </w:tc>
        <w:tc>
          <w:tcPr>
            <w:tcW w:w="1883" w:type="pct"/>
            <w:gridSpan w:val="4"/>
            <w:hideMark/>
          </w:tcPr>
          <w:p w14:paraId="4CF9B4AD" w14:textId="77777777" w:rsidR="00215939" w:rsidRPr="00337FFC"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337FFC">
              <w:rPr>
                <w:b w:val="0"/>
                <w:bCs w:val="0"/>
                <w:sz w:val="16"/>
                <w:szCs w:val="16"/>
                <w:lang w:eastAsia="es-MX"/>
              </w:rPr>
              <w:t>Mujeres</w:t>
            </w:r>
          </w:p>
        </w:tc>
      </w:tr>
      <w:tr w:rsidR="00215939" w:rsidRPr="00C83C95" w14:paraId="084231E0" w14:textId="77777777" w:rsidTr="0064629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96" w:type="pct"/>
            <w:vMerge/>
            <w:hideMark/>
          </w:tcPr>
          <w:p w14:paraId="50F7E392" w14:textId="77777777" w:rsidR="00215939" w:rsidRPr="00C83C95" w:rsidRDefault="00215939" w:rsidP="002D4275">
            <w:pPr>
              <w:rPr>
                <w:sz w:val="14"/>
                <w:szCs w:val="14"/>
                <w:lang w:eastAsia="es-MX"/>
              </w:rPr>
            </w:pPr>
          </w:p>
        </w:tc>
        <w:tc>
          <w:tcPr>
            <w:tcW w:w="796" w:type="pct"/>
            <w:vMerge/>
            <w:hideMark/>
          </w:tcPr>
          <w:p w14:paraId="50E24B81" w14:textId="77777777" w:rsidR="00215939" w:rsidRPr="00C83C95" w:rsidRDefault="00215939" w:rsidP="002D4275">
            <w:pPr>
              <w:cnfStyle w:val="000000100000" w:firstRow="0" w:lastRow="0" w:firstColumn="0" w:lastColumn="0" w:oddVBand="0" w:evenVBand="0" w:oddHBand="1" w:evenHBand="0" w:firstRowFirstColumn="0" w:firstRowLastColumn="0" w:lastRowFirstColumn="0" w:lastRowLastColumn="0"/>
              <w:rPr>
                <w:b/>
                <w:bCs/>
                <w:sz w:val="14"/>
                <w:szCs w:val="14"/>
                <w:lang w:eastAsia="es-MX"/>
              </w:rPr>
            </w:pPr>
          </w:p>
        </w:tc>
        <w:tc>
          <w:tcPr>
            <w:tcW w:w="489" w:type="pct"/>
            <w:hideMark/>
          </w:tcPr>
          <w:p w14:paraId="14776A2F" w14:textId="51244D0E" w:rsidR="00215939" w:rsidRPr="00C83C95" w:rsidRDefault="00215939" w:rsidP="002D4275">
            <w:pP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C83C95">
              <w:rPr>
                <w:b/>
                <w:bCs/>
                <w:sz w:val="14"/>
                <w:szCs w:val="14"/>
                <w:lang w:eastAsia="es-MX"/>
              </w:rPr>
              <w:t xml:space="preserve">Sin </w:t>
            </w:r>
            <w:r w:rsidR="00FC75ED">
              <w:rPr>
                <w:b/>
                <w:bCs/>
                <w:sz w:val="14"/>
                <w:szCs w:val="14"/>
                <w:lang w:eastAsia="es-MX"/>
              </w:rPr>
              <w:t>i</w:t>
            </w:r>
            <w:r w:rsidRPr="00C83C95">
              <w:rPr>
                <w:b/>
                <w:bCs/>
                <w:sz w:val="14"/>
                <w:szCs w:val="14"/>
                <w:lang w:eastAsia="es-MX"/>
              </w:rPr>
              <w:t>nstrucción</w:t>
            </w:r>
          </w:p>
        </w:tc>
        <w:tc>
          <w:tcPr>
            <w:tcW w:w="464" w:type="pct"/>
            <w:hideMark/>
          </w:tcPr>
          <w:p w14:paraId="44314A24" w14:textId="1DC3EAAF" w:rsidR="00215939" w:rsidRPr="00C83C95"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C83C95">
              <w:rPr>
                <w:b/>
                <w:bCs/>
                <w:sz w:val="14"/>
                <w:szCs w:val="14"/>
                <w:lang w:eastAsia="es-MX"/>
              </w:rPr>
              <w:t xml:space="preserve">Educación </w:t>
            </w:r>
            <w:r w:rsidR="00FC75ED">
              <w:rPr>
                <w:b/>
                <w:bCs/>
                <w:sz w:val="14"/>
                <w:szCs w:val="14"/>
                <w:lang w:eastAsia="es-MX"/>
              </w:rPr>
              <w:t>b</w:t>
            </w:r>
            <w:r w:rsidRPr="00C83C95">
              <w:rPr>
                <w:b/>
                <w:bCs/>
                <w:sz w:val="14"/>
                <w:szCs w:val="14"/>
                <w:lang w:eastAsia="es-MX"/>
              </w:rPr>
              <w:t>ásica</w:t>
            </w:r>
          </w:p>
        </w:tc>
        <w:tc>
          <w:tcPr>
            <w:tcW w:w="464" w:type="pct"/>
            <w:hideMark/>
          </w:tcPr>
          <w:p w14:paraId="31F62258" w14:textId="29F2DBC1" w:rsidR="00215939" w:rsidRPr="00C83C95"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C83C95">
              <w:rPr>
                <w:b/>
                <w:bCs/>
                <w:sz w:val="14"/>
                <w:szCs w:val="14"/>
                <w:lang w:eastAsia="es-MX"/>
              </w:rPr>
              <w:t xml:space="preserve">Educación </w:t>
            </w:r>
            <w:r w:rsidR="00FC75ED">
              <w:rPr>
                <w:b/>
                <w:bCs/>
                <w:sz w:val="14"/>
                <w:szCs w:val="14"/>
                <w:lang w:eastAsia="es-MX"/>
              </w:rPr>
              <w:t>m</w:t>
            </w:r>
            <w:r w:rsidRPr="00C83C95">
              <w:rPr>
                <w:b/>
                <w:bCs/>
                <w:sz w:val="14"/>
                <w:szCs w:val="14"/>
                <w:lang w:eastAsia="es-MX"/>
              </w:rPr>
              <w:t xml:space="preserve">edia </w:t>
            </w:r>
            <w:r w:rsidR="00FC75ED">
              <w:rPr>
                <w:b/>
                <w:bCs/>
                <w:sz w:val="14"/>
                <w:szCs w:val="14"/>
                <w:lang w:eastAsia="es-MX"/>
              </w:rPr>
              <w:t>s</w:t>
            </w:r>
            <w:r w:rsidRPr="00C83C95">
              <w:rPr>
                <w:b/>
                <w:bCs/>
                <w:sz w:val="14"/>
                <w:szCs w:val="14"/>
                <w:lang w:eastAsia="es-MX"/>
              </w:rPr>
              <w:t>uperior</w:t>
            </w:r>
          </w:p>
        </w:tc>
        <w:tc>
          <w:tcPr>
            <w:tcW w:w="408" w:type="pct"/>
            <w:hideMark/>
          </w:tcPr>
          <w:p w14:paraId="4A904696" w14:textId="4D43A2F3" w:rsidR="00215939" w:rsidRPr="00C83C95"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C83C95">
              <w:rPr>
                <w:b/>
                <w:bCs/>
                <w:sz w:val="14"/>
                <w:szCs w:val="14"/>
                <w:lang w:eastAsia="es-MX"/>
              </w:rPr>
              <w:t xml:space="preserve">Educación </w:t>
            </w:r>
            <w:r w:rsidR="00FC75ED">
              <w:rPr>
                <w:b/>
                <w:bCs/>
                <w:sz w:val="14"/>
                <w:szCs w:val="14"/>
                <w:lang w:eastAsia="es-MX"/>
              </w:rPr>
              <w:t>s</w:t>
            </w:r>
            <w:r w:rsidRPr="00C83C95">
              <w:rPr>
                <w:b/>
                <w:bCs/>
                <w:sz w:val="14"/>
                <w:szCs w:val="14"/>
                <w:lang w:eastAsia="es-MX"/>
              </w:rPr>
              <w:t>uperior</w:t>
            </w:r>
          </w:p>
        </w:tc>
        <w:tc>
          <w:tcPr>
            <w:tcW w:w="489" w:type="pct"/>
            <w:hideMark/>
          </w:tcPr>
          <w:p w14:paraId="1BF0C050" w14:textId="3C499677" w:rsidR="00215939" w:rsidRPr="00C83C95" w:rsidRDefault="00215939" w:rsidP="002D4275">
            <w:pP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C83C95">
              <w:rPr>
                <w:b/>
                <w:bCs/>
                <w:sz w:val="14"/>
                <w:szCs w:val="14"/>
                <w:lang w:eastAsia="es-MX"/>
              </w:rPr>
              <w:t xml:space="preserve">Sin </w:t>
            </w:r>
            <w:r w:rsidR="00FC75ED">
              <w:rPr>
                <w:b/>
                <w:bCs/>
                <w:sz w:val="14"/>
                <w:szCs w:val="14"/>
                <w:lang w:eastAsia="es-MX"/>
              </w:rPr>
              <w:t>in</w:t>
            </w:r>
            <w:r w:rsidRPr="00C83C95">
              <w:rPr>
                <w:b/>
                <w:bCs/>
                <w:sz w:val="14"/>
                <w:szCs w:val="14"/>
                <w:lang w:eastAsia="es-MX"/>
              </w:rPr>
              <w:t>strucción</w:t>
            </w:r>
          </w:p>
        </w:tc>
        <w:tc>
          <w:tcPr>
            <w:tcW w:w="464" w:type="pct"/>
            <w:hideMark/>
          </w:tcPr>
          <w:p w14:paraId="7E0E6C0A" w14:textId="138F016D" w:rsidR="00215939" w:rsidRPr="00C83C95"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C83C95">
              <w:rPr>
                <w:b/>
                <w:bCs/>
                <w:sz w:val="14"/>
                <w:szCs w:val="14"/>
                <w:lang w:eastAsia="es-MX"/>
              </w:rPr>
              <w:t xml:space="preserve">Educación </w:t>
            </w:r>
            <w:r w:rsidR="00FC75ED">
              <w:rPr>
                <w:b/>
                <w:bCs/>
                <w:sz w:val="14"/>
                <w:szCs w:val="14"/>
                <w:lang w:eastAsia="es-MX"/>
              </w:rPr>
              <w:t>b</w:t>
            </w:r>
            <w:r w:rsidRPr="00C83C95">
              <w:rPr>
                <w:b/>
                <w:bCs/>
                <w:sz w:val="14"/>
                <w:szCs w:val="14"/>
                <w:lang w:eastAsia="es-MX"/>
              </w:rPr>
              <w:t>ásica</w:t>
            </w:r>
          </w:p>
        </w:tc>
        <w:tc>
          <w:tcPr>
            <w:tcW w:w="464" w:type="pct"/>
            <w:hideMark/>
          </w:tcPr>
          <w:p w14:paraId="0A53B791" w14:textId="03661917" w:rsidR="00215939" w:rsidRPr="00C83C95"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C83C95">
              <w:rPr>
                <w:b/>
                <w:bCs/>
                <w:sz w:val="14"/>
                <w:szCs w:val="14"/>
                <w:lang w:eastAsia="es-MX"/>
              </w:rPr>
              <w:t xml:space="preserve">Educación </w:t>
            </w:r>
            <w:r w:rsidR="00FC75ED">
              <w:rPr>
                <w:b/>
                <w:bCs/>
                <w:sz w:val="14"/>
                <w:szCs w:val="14"/>
                <w:lang w:eastAsia="es-MX"/>
              </w:rPr>
              <w:t>m</w:t>
            </w:r>
            <w:r w:rsidRPr="00C83C95">
              <w:rPr>
                <w:b/>
                <w:bCs/>
                <w:sz w:val="14"/>
                <w:szCs w:val="14"/>
                <w:lang w:eastAsia="es-MX"/>
              </w:rPr>
              <w:t xml:space="preserve">edia </w:t>
            </w:r>
            <w:r w:rsidR="00FC75ED">
              <w:rPr>
                <w:b/>
                <w:bCs/>
                <w:sz w:val="14"/>
                <w:szCs w:val="14"/>
                <w:lang w:eastAsia="es-MX"/>
              </w:rPr>
              <w:t>s</w:t>
            </w:r>
            <w:r w:rsidRPr="00C83C95">
              <w:rPr>
                <w:b/>
                <w:bCs/>
                <w:sz w:val="14"/>
                <w:szCs w:val="14"/>
                <w:lang w:eastAsia="es-MX"/>
              </w:rPr>
              <w:t>uperior</w:t>
            </w:r>
          </w:p>
        </w:tc>
        <w:tc>
          <w:tcPr>
            <w:tcW w:w="466" w:type="pct"/>
            <w:hideMark/>
          </w:tcPr>
          <w:p w14:paraId="48B5F9EF" w14:textId="09D8DB87" w:rsidR="00215939" w:rsidRPr="00C83C95"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C83C95">
              <w:rPr>
                <w:b/>
                <w:bCs/>
                <w:sz w:val="14"/>
                <w:szCs w:val="14"/>
                <w:lang w:eastAsia="es-MX"/>
              </w:rPr>
              <w:t xml:space="preserve">Educación </w:t>
            </w:r>
            <w:r w:rsidR="00FC75ED">
              <w:rPr>
                <w:b/>
                <w:bCs/>
                <w:sz w:val="14"/>
                <w:szCs w:val="14"/>
                <w:lang w:eastAsia="es-MX"/>
              </w:rPr>
              <w:t>s</w:t>
            </w:r>
            <w:r w:rsidRPr="00C83C95">
              <w:rPr>
                <w:b/>
                <w:bCs/>
                <w:sz w:val="14"/>
                <w:szCs w:val="14"/>
                <w:lang w:eastAsia="es-MX"/>
              </w:rPr>
              <w:t>uperior</w:t>
            </w:r>
          </w:p>
        </w:tc>
      </w:tr>
      <w:tr w:rsidR="00337FFC" w:rsidRPr="00C83C95" w14:paraId="3040BF7F" w14:textId="77777777" w:rsidTr="00337FFC">
        <w:trPr>
          <w:trHeight w:val="478"/>
        </w:trPr>
        <w:tc>
          <w:tcPr>
            <w:cnfStyle w:val="001000000000" w:firstRow="0" w:lastRow="0" w:firstColumn="1" w:lastColumn="0" w:oddVBand="0" w:evenVBand="0" w:oddHBand="0" w:evenHBand="0" w:firstRowFirstColumn="0" w:firstRowLastColumn="0" w:lastRowFirstColumn="0" w:lastRowLastColumn="0"/>
            <w:tcW w:w="496" w:type="pct"/>
            <w:hideMark/>
          </w:tcPr>
          <w:p w14:paraId="6E800F00" w14:textId="77777777" w:rsidR="00215939" w:rsidRPr="00C83C95" w:rsidRDefault="00215939" w:rsidP="002D4275">
            <w:pPr>
              <w:jc w:val="right"/>
              <w:rPr>
                <w:sz w:val="14"/>
                <w:szCs w:val="14"/>
                <w:lang w:eastAsia="es-MX"/>
              </w:rPr>
            </w:pPr>
            <w:r w:rsidRPr="00C83C95">
              <w:rPr>
                <w:sz w:val="14"/>
                <w:szCs w:val="14"/>
                <w:lang w:eastAsia="es-MX"/>
              </w:rPr>
              <w:t>481111</w:t>
            </w:r>
          </w:p>
        </w:tc>
        <w:tc>
          <w:tcPr>
            <w:tcW w:w="796" w:type="pct"/>
            <w:hideMark/>
          </w:tcPr>
          <w:p w14:paraId="41CC6EC8" w14:textId="77777777" w:rsidR="00215939" w:rsidRPr="00C83C95"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Transporte aéreo regular en líneas aéreas nacionales</w:t>
            </w:r>
          </w:p>
        </w:tc>
        <w:tc>
          <w:tcPr>
            <w:tcW w:w="489" w:type="pct"/>
            <w:hideMark/>
          </w:tcPr>
          <w:p w14:paraId="5AC2CB31"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0</w:t>
            </w:r>
          </w:p>
        </w:tc>
        <w:tc>
          <w:tcPr>
            <w:tcW w:w="464" w:type="pct"/>
            <w:hideMark/>
          </w:tcPr>
          <w:p w14:paraId="7DF9FD26"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0.5</w:t>
            </w:r>
          </w:p>
        </w:tc>
        <w:tc>
          <w:tcPr>
            <w:tcW w:w="464" w:type="pct"/>
            <w:hideMark/>
          </w:tcPr>
          <w:p w14:paraId="7A719FA6"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72.1</w:t>
            </w:r>
          </w:p>
        </w:tc>
        <w:tc>
          <w:tcPr>
            <w:tcW w:w="408" w:type="pct"/>
            <w:hideMark/>
          </w:tcPr>
          <w:p w14:paraId="7406A574"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27.5</w:t>
            </w:r>
          </w:p>
        </w:tc>
        <w:tc>
          <w:tcPr>
            <w:tcW w:w="489" w:type="pct"/>
            <w:hideMark/>
          </w:tcPr>
          <w:p w14:paraId="3E06409C"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0.0</w:t>
            </w:r>
          </w:p>
        </w:tc>
        <w:tc>
          <w:tcPr>
            <w:tcW w:w="464" w:type="pct"/>
            <w:hideMark/>
          </w:tcPr>
          <w:p w14:paraId="10E9890D"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0.3</w:t>
            </w:r>
          </w:p>
        </w:tc>
        <w:tc>
          <w:tcPr>
            <w:tcW w:w="464" w:type="pct"/>
            <w:hideMark/>
          </w:tcPr>
          <w:p w14:paraId="6A3B6C2C"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74.5</w:t>
            </w:r>
          </w:p>
        </w:tc>
        <w:tc>
          <w:tcPr>
            <w:tcW w:w="466" w:type="pct"/>
            <w:hideMark/>
          </w:tcPr>
          <w:p w14:paraId="04B1B386"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25.3</w:t>
            </w:r>
          </w:p>
        </w:tc>
      </w:tr>
      <w:tr w:rsidR="00215939" w:rsidRPr="00C83C95" w14:paraId="643578B1" w14:textId="77777777" w:rsidTr="00337FF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96" w:type="pct"/>
            <w:hideMark/>
          </w:tcPr>
          <w:p w14:paraId="3EFF3E3C" w14:textId="77777777" w:rsidR="00215939" w:rsidRPr="00C83C95" w:rsidRDefault="00215939" w:rsidP="002D4275">
            <w:pPr>
              <w:jc w:val="right"/>
              <w:rPr>
                <w:sz w:val="14"/>
                <w:szCs w:val="14"/>
                <w:lang w:eastAsia="es-MX"/>
              </w:rPr>
            </w:pPr>
            <w:r w:rsidRPr="00C83C95">
              <w:rPr>
                <w:sz w:val="14"/>
                <w:szCs w:val="14"/>
                <w:lang w:eastAsia="es-MX"/>
              </w:rPr>
              <w:t>482110</w:t>
            </w:r>
          </w:p>
        </w:tc>
        <w:tc>
          <w:tcPr>
            <w:tcW w:w="796" w:type="pct"/>
            <w:hideMark/>
          </w:tcPr>
          <w:p w14:paraId="61034821" w14:textId="77777777" w:rsidR="00215939" w:rsidRPr="00C83C95"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Transporte por ferrocarril</w:t>
            </w:r>
          </w:p>
        </w:tc>
        <w:tc>
          <w:tcPr>
            <w:tcW w:w="489" w:type="pct"/>
            <w:hideMark/>
          </w:tcPr>
          <w:p w14:paraId="55F30D01"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1.6</w:t>
            </w:r>
          </w:p>
        </w:tc>
        <w:tc>
          <w:tcPr>
            <w:tcW w:w="464" w:type="pct"/>
            <w:hideMark/>
          </w:tcPr>
          <w:p w14:paraId="6846B23B"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6.1</w:t>
            </w:r>
          </w:p>
        </w:tc>
        <w:tc>
          <w:tcPr>
            <w:tcW w:w="464" w:type="pct"/>
            <w:hideMark/>
          </w:tcPr>
          <w:p w14:paraId="7B307D96"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4.8</w:t>
            </w:r>
          </w:p>
        </w:tc>
        <w:tc>
          <w:tcPr>
            <w:tcW w:w="408" w:type="pct"/>
            <w:hideMark/>
          </w:tcPr>
          <w:p w14:paraId="0E4EE2E0"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87.5</w:t>
            </w:r>
          </w:p>
        </w:tc>
        <w:tc>
          <w:tcPr>
            <w:tcW w:w="489" w:type="pct"/>
            <w:hideMark/>
          </w:tcPr>
          <w:p w14:paraId="036256C3"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0.4</w:t>
            </w:r>
          </w:p>
        </w:tc>
        <w:tc>
          <w:tcPr>
            <w:tcW w:w="464" w:type="pct"/>
            <w:hideMark/>
          </w:tcPr>
          <w:p w14:paraId="6EA730D5"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0.2</w:t>
            </w:r>
          </w:p>
        </w:tc>
        <w:tc>
          <w:tcPr>
            <w:tcW w:w="464" w:type="pct"/>
            <w:hideMark/>
          </w:tcPr>
          <w:p w14:paraId="1F094BD9"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0.1</w:t>
            </w:r>
          </w:p>
        </w:tc>
        <w:tc>
          <w:tcPr>
            <w:tcW w:w="466" w:type="pct"/>
            <w:hideMark/>
          </w:tcPr>
          <w:p w14:paraId="42AF9009"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99.4</w:t>
            </w:r>
          </w:p>
        </w:tc>
      </w:tr>
      <w:tr w:rsidR="00337FFC" w:rsidRPr="00C83C95" w14:paraId="4B866E50" w14:textId="77777777" w:rsidTr="00337FFC">
        <w:trPr>
          <w:trHeight w:val="478"/>
        </w:trPr>
        <w:tc>
          <w:tcPr>
            <w:cnfStyle w:val="001000000000" w:firstRow="0" w:lastRow="0" w:firstColumn="1" w:lastColumn="0" w:oddVBand="0" w:evenVBand="0" w:oddHBand="0" w:evenHBand="0" w:firstRowFirstColumn="0" w:firstRowLastColumn="0" w:lastRowFirstColumn="0" w:lastRowLastColumn="0"/>
            <w:tcW w:w="496" w:type="pct"/>
            <w:hideMark/>
          </w:tcPr>
          <w:p w14:paraId="72640CD1" w14:textId="77777777" w:rsidR="00215939" w:rsidRPr="00C83C95" w:rsidRDefault="00215939" w:rsidP="002D4275">
            <w:pPr>
              <w:jc w:val="right"/>
              <w:rPr>
                <w:sz w:val="14"/>
                <w:szCs w:val="14"/>
                <w:lang w:eastAsia="es-MX"/>
              </w:rPr>
            </w:pPr>
            <w:r w:rsidRPr="00C83C95">
              <w:rPr>
                <w:sz w:val="14"/>
                <w:szCs w:val="14"/>
                <w:lang w:eastAsia="es-MX"/>
              </w:rPr>
              <w:t>483111</w:t>
            </w:r>
          </w:p>
        </w:tc>
        <w:tc>
          <w:tcPr>
            <w:tcW w:w="796" w:type="pct"/>
            <w:hideMark/>
          </w:tcPr>
          <w:p w14:paraId="034CAB0F" w14:textId="77777777" w:rsidR="00215939" w:rsidRPr="00C83C95"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Transporte marítimo de altura, excepto de petróleo y gas natural</w:t>
            </w:r>
          </w:p>
        </w:tc>
        <w:tc>
          <w:tcPr>
            <w:tcW w:w="489" w:type="pct"/>
            <w:hideMark/>
          </w:tcPr>
          <w:p w14:paraId="2F4B1F1D"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0</w:t>
            </w:r>
          </w:p>
        </w:tc>
        <w:tc>
          <w:tcPr>
            <w:tcW w:w="464" w:type="pct"/>
            <w:hideMark/>
          </w:tcPr>
          <w:p w14:paraId="6FF56C02"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3.8</w:t>
            </w:r>
          </w:p>
        </w:tc>
        <w:tc>
          <w:tcPr>
            <w:tcW w:w="464" w:type="pct"/>
            <w:hideMark/>
          </w:tcPr>
          <w:p w14:paraId="353D7CB7"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0.8</w:t>
            </w:r>
          </w:p>
        </w:tc>
        <w:tc>
          <w:tcPr>
            <w:tcW w:w="408" w:type="pct"/>
            <w:hideMark/>
          </w:tcPr>
          <w:p w14:paraId="12E65937"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95.4</w:t>
            </w:r>
          </w:p>
        </w:tc>
        <w:tc>
          <w:tcPr>
            <w:tcW w:w="489" w:type="pct"/>
            <w:hideMark/>
          </w:tcPr>
          <w:p w14:paraId="29F95991"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0.0</w:t>
            </w:r>
          </w:p>
        </w:tc>
        <w:tc>
          <w:tcPr>
            <w:tcW w:w="464" w:type="pct"/>
            <w:hideMark/>
          </w:tcPr>
          <w:p w14:paraId="5DEDC732"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10.4</w:t>
            </w:r>
          </w:p>
        </w:tc>
        <w:tc>
          <w:tcPr>
            <w:tcW w:w="464" w:type="pct"/>
            <w:hideMark/>
          </w:tcPr>
          <w:p w14:paraId="05FFB9DC"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0.0</w:t>
            </w:r>
          </w:p>
        </w:tc>
        <w:tc>
          <w:tcPr>
            <w:tcW w:w="466" w:type="pct"/>
            <w:hideMark/>
          </w:tcPr>
          <w:p w14:paraId="3E89E797"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89.6</w:t>
            </w:r>
          </w:p>
        </w:tc>
      </w:tr>
      <w:tr w:rsidR="00215939" w:rsidRPr="00C83C95" w14:paraId="4C8E63DF" w14:textId="77777777" w:rsidTr="00337FF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96" w:type="pct"/>
            <w:hideMark/>
          </w:tcPr>
          <w:p w14:paraId="7F42C076" w14:textId="77777777" w:rsidR="00215939" w:rsidRPr="00C83C95" w:rsidRDefault="00215939" w:rsidP="002D4275">
            <w:pPr>
              <w:jc w:val="right"/>
              <w:rPr>
                <w:sz w:val="14"/>
                <w:szCs w:val="14"/>
                <w:lang w:eastAsia="es-MX"/>
              </w:rPr>
            </w:pPr>
            <w:r w:rsidRPr="00C83C95">
              <w:rPr>
                <w:sz w:val="14"/>
                <w:szCs w:val="14"/>
                <w:lang w:eastAsia="es-MX"/>
              </w:rPr>
              <w:t>483112</w:t>
            </w:r>
          </w:p>
        </w:tc>
        <w:tc>
          <w:tcPr>
            <w:tcW w:w="796" w:type="pct"/>
            <w:hideMark/>
          </w:tcPr>
          <w:p w14:paraId="3EDE610F" w14:textId="77777777" w:rsidR="00215939" w:rsidRPr="00C83C95"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Transporte marítimo de cabotaje, excepto de petróleo y gas natural</w:t>
            </w:r>
          </w:p>
        </w:tc>
        <w:tc>
          <w:tcPr>
            <w:tcW w:w="489" w:type="pct"/>
            <w:hideMark/>
          </w:tcPr>
          <w:p w14:paraId="743E4F64"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0.3</w:t>
            </w:r>
          </w:p>
        </w:tc>
        <w:tc>
          <w:tcPr>
            <w:tcW w:w="464" w:type="pct"/>
            <w:hideMark/>
          </w:tcPr>
          <w:p w14:paraId="1578B275"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8.5</w:t>
            </w:r>
          </w:p>
        </w:tc>
        <w:tc>
          <w:tcPr>
            <w:tcW w:w="464" w:type="pct"/>
            <w:hideMark/>
          </w:tcPr>
          <w:p w14:paraId="5262E12F"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52.5</w:t>
            </w:r>
          </w:p>
        </w:tc>
        <w:tc>
          <w:tcPr>
            <w:tcW w:w="408" w:type="pct"/>
            <w:hideMark/>
          </w:tcPr>
          <w:p w14:paraId="3665A822"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38.7</w:t>
            </w:r>
          </w:p>
        </w:tc>
        <w:tc>
          <w:tcPr>
            <w:tcW w:w="489" w:type="pct"/>
            <w:hideMark/>
          </w:tcPr>
          <w:p w14:paraId="74EFF4F1"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0.0</w:t>
            </w:r>
          </w:p>
        </w:tc>
        <w:tc>
          <w:tcPr>
            <w:tcW w:w="464" w:type="pct"/>
            <w:hideMark/>
          </w:tcPr>
          <w:p w14:paraId="3494C487"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4.6</w:t>
            </w:r>
          </w:p>
        </w:tc>
        <w:tc>
          <w:tcPr>
            <w:tcW w:w="464" w:type="pct"/>
            <w:hideMark/>
          </w:tcPr>
          <w:p w14:paraId="4A443600"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56.1</w:t>
            </w:r>
          </w:p>
        </w:tc>
        <w:tc>
          <w:tcPr>
            <w:tcW w:w="466" w:type="pct"/>
            <w:hideMark/>
          </w:tcPr>
          <w:p w14:paraId="35D8785D"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39.3</w:t>
            </w:r>
          </w:p>
        </w:tc>
      </w:tr>
      <w:tr w:rsidR="00337FFC" w:rsidRPr="00C83C95" w14:paraId="4FA1D0F0" w14:textId="77777777" w:rsidTr="00337FFC">
        <w:trPr>
          <w:trHeight w:val="253"/>
        </w:trPr>
        <w:tc>
          <w:tcPr>
            <w:cnfStyle w:val="001000000000" w:firstRow="0" w:lastRow="0" w:firstColumn="1" w:lastColumn="0" w:oddVBand="0" w:evenVBand="0" w:oddHBand="0" w:evenHBand="0" w:firstRowFirstColumn="0" w:firstRowLastColumn="0" w:lastRowFirstColumn="0" w:lastRowLastColumn="0"/>
            <w:tcW w:w="496" w:type="pct"/>
            <w:hideMark/>
          </w:tcPr>
          <w:p w14:paraId="0D9A44EC" w14:textId="77777777" w:rsidR="00215939" w:rsidRPr="00C83C95" w:rsidRDefault="00215939" w:rsidP="002D4275">
            <w:pPr>
              <w:jc w:val="right"/>
              <w:rPr>
                <w:sz w:val="14"/>
                <w:szCs w:val="14"/>
                <w:lang w:eastAsia="es-MX"/>
              </w:rPr>
            </w:pPr>
            <w:r w:rsidRPr="00C83C95">
              <w:rPr>
                <w:sz w:val="14"/>
                <w:szCs w:val="14"/>
                <w:lang w:eastAsia="es-MX"/>
              </w:rPr>
              <w:t>484</w:t>
            </w:r>
          </w:p>
        </w:tc>
        <w:tc>
          <w:tcPr>
            <w:tcW w:w="796" w:type="pct"/>
            <w:hideMark/>
          </w:tcPr>
          <w:p w14:paraId="7252BC37" w14:textId="77777777" w:rsidR="00215939" w:rsidRPr="00C83C95"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Autotransporte de carga</w:t>
            </w:r>
          </w:p>
        </w:tc>
        <w:tc>
          <w:tcPr>
            <w:tcW w:w="489" w:type="pct"/>
            <w:hideMark/>
          </w:tcPr>
          <w:p w14:paraId="6B0B89CE"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4.8</w:t>
            </w:r>
          </w:p>
        </w:tc>
        <w:tc>
          <w:tcPr>
            <w:tcW w:w="464" w:type="pct"/>
            <w:hideMark/>
          </w:tcPr>
          <w:p w14:paraId="34B29F8B"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54.0</w:t>
            </w:r>
          </w:p>
        </w:tc>
        <w:tc>
          <w:tcPr>
            <w:tcW w:w="464" w:type="pct"/>
            <w:hideMark/>
          </w:tcPr>
          <w:p w14:paraId="439F6D24"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31.3</w:t>
            </w:r>
          </w:p>
        </w:tc>
        <w:tc>
          <w:tcPr>
            <w:tcW w:w="408" w:type="pct"/>
            <w:hideMark/>
          </w:tcPr>
          <w:p w14:paraId="562AC928"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9.8</w:t>
            </w:r>
          </w:p>
        </w:tc>
        <w:tc>
          <w:tcPr>
            <w:tcW w:w="489" w:type="pct"/>
            <w:hideMark/>
          </w:tcPr>
          <w:p w14:paraId="4273DD85"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2.7</w:t>
            </w:r>
          </w:p>
        </w:tc>
        <w:tc>
          <w:tcPr>
            <w:tcW w:w="464" w:type="pct"/>
            <w:hideMark/>
          </w:tcPr>
          <w:p w14:paraId="720616EC"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24.2</w:t>
            </w:r>
          </w:p>
        </w:tc>
        <w:tc>
          <w:tcPr>
            <w:tcW w:w="464" w:type="pct"/>
            <w:hideMark/>
          </w:tcPr>
          <w:p w14:paraId="6EAA533E"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35.6</w:t>
            </w:r>
          </w:p>
        </w:tc>
        <w:tc>
          <w:tcPr>
            <w:tcW w:w="466" w:type="pct"/>
            <w:hideMark/>
          </w:tcPr>
          <w:p w14:paraId="174866F0"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37.5</w:t>
            </w:r>
          </w:p>
        </w:tc>
      </w:tr>
      <w:tr w:rsidR="00215939" w:rsidRPr="00C83C95" w14:paraId="2270F288" w14:textId="77777777" w:rsidTr="00337FFC">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496" w:type="pct"/>
            <w:hideMark/>
          </w:tcPr>
          <w:p w14:paraId="0DD97988" w14:textId="77777777" w:rsidR="00215939" w:rsidRPr="00C83C95" w:rsidRDefault="00215939" w:rsidP="002D4275">
            <w:pPr>
              <w:jc w:val="right"/>
              <w:rPr>
                <w:sz w:val="14"/>
                <w:szCs w:val="14"/>
                <w:lang w:eastAsia="es-MX"/>
              </w:rPr>
            </w:pPr>
            <w:r w:rsidRPr="00C83C95">
              <w:rPr>
                <w:sz w:val="14"/>
                <w:szCs w:val="14"/>
                <w:lang w:eastAsia="es-MX"/>
              </w:rPr>
              <w:t>485111</w:t>
            </w:r>
          </w:p>
        </w:tc>
        <w:tc>
          <w:tcPr>
            <w:tcW w:w="796" w:type="pct"/>
            <w:hideMark/>
          </w:tcPr>
          <w:p w14:paraId="6B1810EC" w14:textId="77777777" w:rsidR="00215939" w:rsidRPr="00C83C95"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Transporte colectivo urbano y suburbano de pasajeros en autobuses de ruta fija</w:t>
            </w:r>
          </w:p>
        </w:tc>
        <w:tc>
          <w:tcPr>
            <w:tcW w:w="489" w:type="pct"/>
            <w:hideMark/>
          </w:tcPr>
          <w:p w14:paraId="154E289F"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9.2</w:t>
            </w:r>
          </w:p>
        </w:tc>
        <w:tc>
          <w:tcPr>
            <w:tcW w:w="464" w:type="pct"/>
            <w:hideMark/>
          </w:tcPr>
          <w:p w14:paraId="72790B0A"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60.3</w:t>
            </w:r>
          </w:p>
        </w:tc>
        <w:tc>
          <w:tcPr>
            <w:tcW w:w="464" w:type="pct"/>
            <w:hideMark/>
          </w:tcPr>
          <w:p w14:paraId="28A97013"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25.6</w:t>
            </w:r>
          </w:p>
        </w:tc>
        <w:tc>
          <w:tcPr>
            <w:tcW w:w="408" w:type="pct"/>
            <w:hideMark/>
          </w:tcPr>
          <w:p w14:paraId="073D630B"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4.9</w:t>
            </w:r>
          </w:p>
        </w:tc>
        <w:tc>
          <w:tcPr>
            <w:tcW w:w="489" w:type="pct"/>
            <w:hideMark/>
          </w:tcPr>
          <w:p w14:paraId="590D642D"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1.5</w:t>
            </w:r>
          </w:p>
        </w:tc>
        <w:tc>
          <w:tcPr>
            <w:tcW w:w="464" w:type="pct"/>
            <w:hideMark/>
          </w:tcPr>
          <w:p w14:paraId="71C9019D"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27.9</w:t>
            </w:r>
          </w:p>
        </w:tc>
        <w:tc>
          <w:tcPr>
            <w:tcW w:w="464" w:type="pct"/>
            <w:hideMark/>
          </w:tcPr>
          <w:p w14:paraId="474FDA1F"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47.0</w:t>
            </w:r>
          </w:p>
        </w:tc>
        <w:tc>
          <w:tcPr>
            <w:tcW w:w="466" w:type="pct"/>
            <w:hideMark/>
          </w:tcPr>
          <w:p w14:paraId="5D6FBB4A" w14:textId="77777777" w:rsidR="00215939" w:rsidRPr="00C83C95"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C83C95">
              <w:rPr>
                <w:sz w:val="14"/>
                <w:szCs w:val="14"/>
                <w:lang w:eastAsia="es-MX"/>
              </w:rPr>
              <w:t>23.7</w:t>
            </w:r>
          </w:p>
        </w:tc>
      </w:tr>
      <w:tr w:rsidR="00337FFC" w:rsidRPr="00C83C95" w14:paraId="14762EE8" w14:textId="77777777" w:rsidTr="00337FFC">
        <w:trPr>
          <w:trHeight w:val="478"/>
        </w:trPr>
        <w:tc>
          <w:tcPr>
            <w:cnfStyle w:val="001000000000" w:firstRow="0" w:lastRow="0" w:firstColumn="1" w:lastColumn="0" w:oddVBand="0" w:evenVBand="0" w:oddHBand="0" w:evenHBand="0" w:firstRowFirstColumn="0" w:firstRowLastColumn="0" w:lastRowFirstColumn="0" w:lastRowLastColumn="0"/>
            <w:tcW w:w="496" w:type="pct"/>
            <w:hideMark/>
          </w:tcPr>
          <w:p w14:paraId="62150D6B" w14:textId="77777777" w:rsidR="00215939" w:rsidRPr="00C83C95" w:rsidRDefault="00215939" w:rsidP="002D4275">
            <w:pPr>
              <w:jc w:val="right"/>
              <w:rPr>
                <w:sz w:val="14"/>
                <w:szCs w:val="14"/>
                <w:lang w:eastAsia="es-MX"/>
              </w:rPr>
            </w:pPr>
            <w:r w:rsidRPr="00C83C95">
              <w:rPr>
                <w:sz w:val="14"/>
                <w:szCs w:val="14"/>
                <w:lang w:eastAsia="es-MX"/>
              </w:rPr>
              <w:t>4852</w:t>
            </w:r>
          </w:p>
        </w:tc>
        <w:tc>
          <w:tcPr>
            <w:tcW w:w="796" w:type="pct"/>
            <w:hideMark/>
          </w:tcPr>
          <w:p w14:paraId="5CB09CAF" w14:textId="77777777" w:rsidR="00215939" w:rsidRPr="00C83C95"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Transporte colectivo foráneo de pasajeros de ruta fija</w:t>
            </w:r>
          </w:p>
        </w:tc>
        <w:tc>
          <w:tcPr>
            <w:tcW w:w="489" w:type="pct"/>
            <w:hideMark/>
          </w:tcPr>
          <w:p w14:paraId="7E77C51B"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10.9</w:t>
            </w:r>
          </w:p>
        </w:tc>
        <w:tc>
          <w:tcPr>
            <w:tcW w:w="464" w:type="pct"/>
            <w:hideMark/>
          </w:tcPr>
          <w:p w14:paraId="53D18D5A"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55.7</w:t>
            </w:r>
          </w:p>
        </w:tc>
        <w:tc>
          <w:tcPr>
            <w:tcW w:w="464" w:type="pct"/>
            <w:hideMark/>
          </w:tcPr>
          <w:p w14:paraId="292888F1"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28.2</w:t>
            </w:r>
          </w:p>
        </w:tc>
        <w:tc>
          <w:tcPr>
            <w:tcW w:w="408" w:type="pct"/>
            <w:hideMark/>
          </w:tcPr>
          <w:p w14:paraId="131A57D3"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5.1</w:t>
            </w:r>
          </w:p>
        </w:tc>
        <w:tc>
          <w:tcPr>
            <w:tcW w:w="489" w:type="pct"/>
            <w:hideMark/>
          </w:tcPr>
          <w:p w14:paraId="74A7FE0F"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0.4</w:t>
            </w:r>
          </w:p>
        </w:tc>
        <w:tc>
          <w:tcPr>
            <w:tcW w:w="464" w:type="pct"/>
            <w:hideMark/>
          </w:tcPr>
          <w:p w14:paraId="6BCA7F6E"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58.2</w:t>
            </w:r>
          </w:p>
        </w:tc>
        <w:tc>
          <w:tcPr>
            <w:tcW w:w="464" w:type="pct"/>
            <w:hideMark/>
          </w:tcPr>
          <w:p w14:paraId="52879413"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29.4</w:t>
            </w:r>
          </w:p>
        </w:tc>
        <w:tc>
          <w:tcPr>
            <w:tcW w:w="466" w:type="pct"/>
            <w:hideMark/>
          </w:tcPr>
          <w:p w14:paraId="36487325" w14:textId="77777777" w:rsidR="00215939" w:rsidRPr="00C83C95"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C83C95">
              <w:rPr>
                <w:sz w:val="14"/>
                <w:szCs w:val="14"/>
                <w:lang w:eastAsia="es-MX"/>
              </w:rPr>
              <w:t>12.0</w:t>
            </w:r>
          </w:p>
        </w:tc>
      </w:tr>
    </w:tbl>
    <w:p w14:paraId="521B74BC" w14:textId="77777777" w:rsidR="00A22FBF" w:rsidRPr="00B00775" w:rsidRDefault="00A22FBF" w:rsidP="00337FFC">
      <w:pPr>
        <w:rPr>
          <w:b/>
          <w:bCs/>
          <w:sz w:val="16"/>
          <w:szCs w:val="16"/>
          <w:lang w:eastAsia="es-MX"/>
        </w:rPr>
      </w:pPr>
      <w:r w:rsidRPr="00B00775">
        <w:rPr>
          <w:sz w:val="16"/>
          <w:szCs w:val="16"/>
          <w:vertAlign w:val="superscript"/>
          <w:lang w:eastAsia="es-MX"/>
        </w:rPr>
        <w:t>P/</w:t>
      </w:r>
      <w:r w:rsidRPr="00B00775">
        <w:rPr>
          <w:sz w:val="16"/>
          <w:szCs w:val="16"/>
          <w:lang w:eastAsia="es-MX"/>
        </w:rPr>
        <w:t xml:space="preserve"> Preliminar</w:t>
      </w:r>
    </w:p>
    <w:p w14:paraId="025A38D3" w14:textId="77777777" w:rsidR="00A22FBF" w:rsidRPr="00B00775" w:rsidRDefault="00A22FBF" w:rsidP="00337FFC">
      <w:pPr>
        <w:contextualSpacing/>
        <w:rPr>
          <w:sz w:val="16"/>
          <w:szCs w:val="16"/>
        </w:rPr>
      </w:pPr>
      <w:r w:rsidRPr="00B00775">
        <w:rPr>
          <w:sz w:val="16"/>
          <w:szCs w:val="16"/>
          <w:vertAlign w:val="superscript"/>
          <w:lang w:eastAsia="es-MX"/>
        </w:rPr>
        <w:t>1</w:t>
      </w:r>
      <w:r w:rsidRPr="00B00775">
        <w:rPr>
          <w:sz w:val="16"/>
          <w:szCs w:val="16"/>
          <w:lang w:eastAsia="es-MX"/>
        </w:rPr>
        <w:t xml:space="preserve"> SCIAN: Sistema de Clasificación Industrial de América del Norte</w:t>
      </w:r>
    </w:p>
    <w:p w14:paraId="5A42B90A" w14:textId="4723FE5B" w:rsidR="00A22FBF" w:rsidRPr="00B00775" w:rsidRDefault="00A22FBF" w:rsidP="00337FFC">
      <w:pPr>
        <w:contextualSpacing/>
        <w:rPr>
          <w:sz w:val="16"/>
          <w:szCs w:val="16"/>
        </w:rPr>
      </w:pPr>
      <w:r w:rsidRPr="00B00775">
        <w:rPr>
          <w:sz w:val="16"/>
          <w:szCs w:val="16"/>
          <w:lang w:eastAsia="es-MX"/>
        </w:rPr>
        <w:t>Fuente: Instituto Nacional de Estadística y Geografía, Encuesta Anual del Transporte</w:t>
      </w:r>
      <w:r w:rsidR="001F3B5B">
        <w:rPr>
          <w:sz w:val="16"/>
          <w:szCs w:val="16"/>
          <w:lang w:eastAsia="es-MX"/>
        </w:rPr>
        <w:t xml:space="preserve"> 2021</w:t>
      </w:r>
    </w:p>
    <w:p w14:paraId="23EC81E7" w14:textId="77777777" w:rsidR="007661CB" w:rsidRDefault="007661CB" w:rsidP="007661CB">
      <w:pPr>
        <w:ind w:left="-425"/>
      </w:pPr>
    </w:p>
    <w:p w14:paraId="46246C3F" w14:textId="77777777" w:rsidR="00462B98" w:rsidRDefault="00462B98" w:rsidP="00337FFC">
      <w:pPr>
        <w:ind w:left="-425"/>
      </w:pPr>
    </w:p>
    <w:p w14:paraId="08F97255" w14:textId="00AECF65" w:rsidR="00215939" w:rsidRDefault="00A22FBF" w:rsidP="00337FFC">
      <w:pPr>
        <w:ind w:left="-425"/>
      </w:pPr>
      <w:r>
        <w:t>En</w:t>
      </w:r>
      <w:r w:rsidR="00215939" w:rsidRPr="00E64A4D">
        <w:t xml:space="preserve"> 202</w:t>
      </w:r>
      <w:r w:rsidR="00215939">
        <w:t>1</w:t>
      </w:r>
      <w:r>
        <w:t>,</w:t>
      </w:r>
      <w:r w:rsidR="00215939" w:rsidRPr="00E64A4D">
        <w:t xml:space="preserve"> el mayor margen </w:t>
      </w:r>
      <w:r w:rsidR="007661CB">
        <w:t>bruto por</w:t>
      </w:r>
      <w:r w:rsidR="00215939" w:rsidRPr="00E64A4D">
        <w:t xml:space="preserve"> operación se observ</w:t>
      </w:r>
      <w:r>
        <w:t>ó</w:t>
      </w:r>
      <w:r w:rsidR="00215939" w:rsidRPr="00E64A4D">
        <w:t xml:space="preserve"> en</w:t>
      </w:r>
      <w:r w:rsidR="00F568AE">
        <w:t xml:space="preserve"> </w:t>
      </w:r>
      <w:r w:rsidR="00514C69">
        <w:rPr>
          <w:i/>
        </w:rPr>
        <w:t>T</w:t>
      </w:r>
      <w:r w:rsidR="00215939" w:rsidRPr="00337FFC">
        <w:rPr>
          <w:i/>
        </w:rPr>
        <w:t>ransporte por ferrocarril</w:t>
      </w:r>
      <w:r w:rsidR="00F568AE">
        <w:rPr>
          <w:iCs/>
        </w:rPr>
        <w:t>,</w:t>
      </w:r>
      <w:r w:rsidR="00215939" w:rsidRPr="00E64A4D">
        <w:t xml:space="preserve"> con </w:t>
      </w:r>
      <w:r w:rsidR="00215939">
        <w:t>34.3</w:t>
      </w:r>
      <w:r w:rsidR="00E26D61">
        <w:t xml:space="preserve"> </w:t>
      </w:r>
      <w:proofErr w:type="spellStart"/>
      <w:r w:rsidR="00FC75ED">
        <w:t>mdp</w:t>
      </w:r>
      <w:proofErr w:type="spellEnd"/>
      <w:r w:rsidR="007661CB">
        <w:t xml:space="preserve">. </w:t>
      </w:r>
      <w:r w:rsidR="00F568AE">
        <w:t>S</w:t>
      </w:r>
      <w:r w:rsidR="007661CB">
        <w:t xml:space="preserve">iguió </w:t>
      </w:r>
      <w:r w:rsidR="00514C69">
        <w:rPr>
          <w:i/>
        </w:rPr>
        <w:t>T</w:t>
      </w:r>
      <w:r w:rsidR="00215939" w:rsidRPr="00337FFC">
        <w:rPr>
          <w:i/>
        </w:rPr>
        <w:t>ransporte colectivo foráneo de pasajeros de ruta fija</w:t>
      </w:r>
      <w:r w:rsidR="00F568AE">
        <w:t xml:space="preserve">, </w:t>
      </w:r>
      <w:r w:rsidR="00215939">
        <w:t>con 3</w:t>
      </w:r>
      <w:r w:rsidR="000B4B41">
        <w:t>2</w:t>
      </w:r>
      <w:r w:rsidR="00215939">
        <w:t>.5</w:t>
      </w:r>
      <w:r w:rsidR="00E26D61">
        <w:t xml:space="preserve"> </w:t>
      </w:r>
      <w:proofErr w:type="spellStart"/>
      <w:r w:rsidR="00FC75ED">
        <w:t>mdp</w:t>
      </w:r>
      <w:proofErr w:type="spellEnd"/>
      <w:r w:rsidR="007661CB">
        <w:t>. L</w:t>
      </w:r>
      <w:r w:rsidR="00215939" w:rsidRPr="00E64A4D">
        <w:t xml:space="preserve">a relación costo-beneficio </w:t>
      </w:r>
      <w:r w:rsidR="007661CB">
        <w:t>fue</w:t>
      </w:r>
      <w:r w:rsidR="00215939" w:rsidRPr="00E64A4D">
        <w:t xml:space="preserve"> </w:t>
      </w:r>
      <w:r w:rsidR="00215939">
        <w:t>men</w:t>
      </w:r>
      <w:r w:rsidR="00215939" w:rsidRPr="00E64A4D">
        <w:t>or en</w:t>
      </w:r>
      <w:r w:rsidR="00F568AE">
        <w:t xml:space="preserve"> </w:t>
      </w:r>
      <w:r w:rsidR="00514C69">
        <w:rPr>
          <w:i/>
        </w:rPr>
        <w:t>T</w:t>
      </w:r>
      <w:r w:rsidR="00215939" w:rsidRPr="00337FFC">
        <w:rPr>
          <w:i/>
        </w:rPr>
        <w:t>ransporte marítimo de altura</w:t>
      </w:r>
      <w:r w:rsidR="00215939" w:rsidRPr="00F506AE">
        <w:t xml:space="preserve">, </w:t>
      </w:r>
      <w:r w:rsidR="00215939" w:rsidRPr="00337FFC">
        <w:rPr>
          <w:i/>
        </w:rPr>
        <w:t>excepto de petróleo y gas natural.</w:t>
      </w:r>
    </w:p>
    <w:p w14:paraId="7FA303DF" w14:textId="77777777" w:rsidR="007661CB" w:rsidRDefault="007661CB" w:rsidP="00337FFC">
      <w:pPr>
        <w:ind w:left="-425"/>
      </w:pPr>
    </w:p>
    <w:p w14:paraId="19D6E06A" w14:textId="30CF1CC3" w:rsidR="007661CB" w:rsidRPr="00337FFC" w:rsidRDefault="00215939" w:rsidP="007661CB">
      <w:pPr>
        <w:jc w:val="center"/>
        <w:rPr>
          <w:sz w:val="20"/>
          <w:szCs w:val="20"/>
          <w:lang w:val="es-MX" w:eastAsia="es-MX"/>
        </w:rPr>
      </w:pPr>
      <w:r w:rsidRPr="00337FFC">
        <w:rPr>
          <w:sz w:val="20"/>
          <w:szCs w:val="20"/>
          <w:lang w:val="es-MX" w:eastAsia="es-MX"/>
        </w:rPr>
        <w:t xml:space="preserve">Cuadro 3 </w:t>
      </w:r>
    </w:p>
    <w:p w14:paraId="2168B741" w14:textId="78B4AADE" w:rsidR="00215939" w:rsidRPr="00337FFC" w:rsidRDefault="00215939" w:rsidP="007661CB">
      <w:pPr>
        <w:jc w:val="center"/>
        <w:rPr>
          <w:rFonts w:ascii="Arial Negrita" w:hAnsi="Arial Negrita"/>
          <w:smallCaps/>
          <w:sz w:val="22"/>
          <w:szCs w:val="22"/>
        </w:rPr>
      </w:pPr>
      <w:r w:rsidRPr="00337FFC">
        <w:rPr>
          <w:rFonts w:ascii="Arial Negrita" w:hAnsi="Arial Negrita"/>
          <w:b/>
          <w:smallCaps/>
          <w:sz w:val="22"/>
          <w:szCs w:val="22"/>
          <w:lang w:val="es-MX" w:eastAsia="es-MX"/>
        </w:rPr>
        <w:t>Encuesta Anual de Transportes, razones y proporciones</w:t>
      </w:r>
      <w:r w:rsidR="00E26D61">
        <w:rPr>
          <w:rFonts w:ascii="Arial Negrita" w:hAnsi="Arial Negrita"/>
          <w:b/>
          <w:smallCaps/>
          <w:sz w:val="22"/>
          <w:szCs w:val="22"/>
          <w:lang w:val="es-MX" w:eastAsia="es-MX"/>
        </w:rPr>
        <w:t xml:space="preserve"> contables</w:t>
      </w:r>
      <w:r w:rsidR="007661CB">
        <w:rPr>
          <w:rFonts w:ascii="Arial Negrita" w:hAnsi="Arial Negrita"/>
          <w:b/>
          <w:smallCaps/>
          <w:sz w:val="22"/>
          <w:szCs w:val="22"/>
          <w:lang w:val="es-MX" w:eastAsia="es-MX"/>
        </w:rPr>
        <w:t>, 2021</w:t>
      </w:r>
      <w:r w:rsidR="007661CB" w:rsidRPr="00337FFC">
        <w:rPr>
          <w:rFonts w:ascii="Arial Negrita" w:hAnsi="Arial Negrita"/>
          <w:b/>
          <w:smallCaps/>
          <w:sz w:val="22"/>
          <w:szCs w:val="22"/>
          <w:vertAlign w:val="superscript"/>
          <w:lang w:val="es-MX" w:eastAsia="es-MX"/>
        </w:rPr>
        <w:t>P/</w:t>
      </w:r>
    </w:p>
    <w:tbl>
      <w:tblPr>
        <w:tblStyle w:val="Tablanormal4"/>
        <w:tblW w:w="0" w:type="auto"/>
        <w:tblLook w:val="04A0" w:firstRow="1" w:lastRow="0" w:firstColumn="1" w:lastColumn="0" w:noHBand="0" w:noVBand="1"/>
      </w:tblPr>
      <w:tblGrid>
        <w:gridCol w:w="1002"/>
        <w:gridCol w:w="2357"/>
        <w:gridCol w:w="1585"/>
        <w:gridCol w:w="1704"/>
        <w:gridCol w:w="1241"/>
        <w:gridCol w:w="1609"/>
      </w:tblGrid>
      <w:tr w:rsidR="00E26D61" w:rsidRPr="00176FAA" w14:paraId="1342580E" w14:textId="77777777" w:rsidTr="002D4275">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0" w:type="auto"/>
            <w:hideMark/>
          </w:tcPr>
          <w:p w14:paraId="241DA9D7" w14:textId="37AF33D1" w:rsidR="00215939" w:rsidRPr="00EB31C3" w:rsidRDefault="00215939" w:rsidP="002D4275">
            <w:pPr>
              <w:jc w:val="center"/>
              <w:rPr>
                <w:b w:val="0"/>
                <w:bCs w:val="0"/>
                <w:sz w:val="16"/>
                <w:szCs w:val="16"/>
                <w:lang w:eastAsia="es-MX"/>
              </w:rPr>
            </w:pPr>
            <w:r w:rsidRPr="00EB31C3">
              <w:rPr>
                <w:sz w:val="16"/>
                <w:szCs w:val="16"/>
                <w:lang w:eastAsia="es-MX"/>
              </w:rPr>
              <w:t>Código SCIAN</w:t>
            </w:r>
            <w:r w:rsidR="007661CB" w:rsidRPr="00337FFC">
              <w:rPr>
                <w:sz w:val="16"/>
                <w:szCs w:val="16"/>
                <w:vertAlign w:val="superscript"/>
                <w:lang w:eastAsia="es-MX"/>
              </w:rPr>
              <w:t>1</w:t>
            </w:r>
            <w:r w:rsidRPr="00337FFC">
              <w:rPr>
                <w:sz w:val="16"/>
                <w:szCs w:val="16"/>
                <w:vertAlign w:val="superscript"/>
                <w:lang w:eastAsia="es-MX"/>
              </w:rPr>
              <w:t xml:space="preserve"> </w:t>
            </w:r>
            <w:r w:rsidRPr="00EB31C3">
              <w:rPr>
                <w:sz w:val="16"/>
                <w:szCs w:val="16"/>
                <w:lang w:eastAsia="es-MX"/>
              </w:rPr>
              <w:t>2013</w:t>
            </w:r>
          </w:p>
        </w:tc>
        <w:tc>
          <w:tcPr>
            <w:tcW w:w="0" w:type="auto"/>
            <w:hideMark/>
          </w:tcPr>
          <w:p w14:paraId="21096F3B" w14:textId="77777777" w:rsidR="00215939" w:rsidRPr="00EB31C3" w:rsidRDefault="00215939" w:rsidP="002D4275">
            <w:pP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Descripción</w:t>
            </w:r>
          </w:p>
        </w:tc>
        <w:tc>
          <w:tcPr>
            <w:tcW w:w="0" w:type="auto"/>
            <w:hideMark/>
          </w:tcPr>
          <w:p w14:paraId="01FCE0E9" w14:textId="77777777" w:rsidR="00215939" w:rsidRPr="00EB31C3"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Ingresos por persona ocupada (Miles de Pesos)</w:t>
            </w:r>
          </w:p>
        </w:tc>
        <w:tc>
          <w:tcPr>
            <w:tcW w:w="0" w:type="auto"/>
            <w:hideMark/>
          </w:tcPr>
          <w:p w14:paraId="5D4D0024" w14:textId="77777777" w:rsidR="00215939" w:rsidRPr="00EB31C3"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Retribución anual al empleo (Miles de pesos)</w:t>
            </w:r>
          </w:p>
        </w:tc>
        <w:tc>
          <w:tcPr>
            <w:tcW w:w="0" w:type="auto"/>
            <w:hideMark/>
          </w:tcPr>
          <w:p w14:paraId="6E0B5971" w14:textId="77777777" w:rsidR="00215939" w:rsidRPr="00EB31C3"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Relación beneficio-costo</w:t>
            </w:r>
          </w:p>
        </w:tc>
        <w:tc>
          <w:tcPr>
            <w:tcW w:w="0" w:type="auto"/>
            <w:hideMark/>
          </w:tcPr>
          <w:p w14:paraId="44733844" w14:textId="5276E38B" w:rsidR="00215939" w:rsidRPr="00EB31C3"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Margen bruto por operación</w:t>
            </w:r>
            <w:r w:rsidR="00E26D61">
              <w:rPr>
                <w:sz w:val="16"/>
                <w:szCs w:val="16"/>
                <w:lang w:eastAsia="es-MX"/>
              </w:rPr>
              <w:t xml:space="preserve"> (Miles de pesos)</w:t>
            </w:r>
          </w:p>
        </w:tc>
      </w:tr>
      <w:tr w:rsidR="00E26D61" w:rsidRPr="00176FAA" w14:paraId="70CBE63D" w14:textId="77777777" w:rsidTr="002D42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7338D245" w14:textId="77777777" w:rsidR="00215939" w:rsidRPr="00EB31C3" w:rsidRDefault="00215939" w:rsidP="002D4275">
            <w:pPr>
              <w:jc w:val="right"/>
              <w:rPr>
                <w:sz w:val="16"/>
                <w:szCs w:val="16"/>
                <w:lang w:eastAsia="es-MX"/>
              </w:rPr>
            </w:pPr>
            <w:r w:rsidRPr="00EB31C3">
              <w:rPr>
                <w:sz w:val="16"/>
                <w:szCs w:val="16"/>
                <w:lang w:eastAsia="es-MX"/>
              </w:rPr>
              <w:t>481111</w:t>
            </w:r>
          </w:p>
        </w:tc>
        <w:tc>
          <w:tcPr>
            <w:tcW w:w="0" w:type="auto"/>
            <w:hideMark/>
          </w:tcPr>
          <w:p w14:paraId="65E7A251" w14:textId="77777777" w:rsidR="00215939" w:rsidRPr="00EB31C3" w:rsidRDefault="00215939" w:rsidP="002D4275">
            <w:pPr>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Transporte aéreo regular en líneas aéreas nacionales</w:t>
            </w:r>
          </w:p>
        </w:tc>
        <w:tc>
          <w:tcPr>
            <w:tcW w:w="0" w:type="auto"/>
            <w:hideMark/>
          </w:tcPr>
          <w:p w14:paraId="024AE402"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5077</w:t>
            </w:r>
          </w:p>
        </w:tc>
        <w:tc>
          <w:tcPr>
            <w:tcW w:w="0" w:type="auto"/>
            <w:hideMark/>
          </w:tcPr>
          <w:p w14:paraId="0E19C765"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623</w:t>
            </w:r>
          </w:p>
        </w:tc>
        <w:tc>
          <w:tcPr>
            <w:tcW w:w="0" w:type="auto"/>
            <w:hideMark/>
          </w:tcPr>
          <w:p w14:paraId="0E0316AF" w14:textId="525C0C5C"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w:t>
            </w:r>
            <w:r w:rsidR="001F3B5B">
              <w:rPr>
                <w:sz w:val="16"/>
                <w:szCs w:val="16"/>
                <w:lang w:eastAsia="es-MX"/>
              </w:rPr>
              <w:t>2</w:t>
            </w:r>
          </w:p>
        </w:tc>
        <w:tc>
          <w:tcPr>
            <w:tcW w:w="0" w:type="auto"/>
            <w:hideMark/>
          </w:tcPr>
          <w:p w14:paraId="2789E967" w14:textId="305313B8"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12.8</w:t>
            </w:r>
          </w:p>
        </w:tc>
      </w:tr>
      <w:tr w:rsidR="00E26D61" w:rsidRPr="00176FAA" w14:paraId="13507CD9" w14:textId="77777777" w:rsidTr="002D4275">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594C997C" w14:textId="77777777" w:rsidR="00215939" w:rsidRPr="00EB31C3" w:rsidRDefault="00215939" w:rsidP="002D4275">
            <w:pPr>
              <w:jc w:val="right"/>
              <w:rPr>
                <w:sz w:val="16"/>
                <w:szCs w:val="16"/>
                <w:lang w:eastAsia="es-MX"/>
              </w:rPr>
            </w:pPr>
            <w:r w:rsidRPr="00EB31C3">
              <w:rPr>
                <w:sz w:val="16"/>
                <w:szCs w:val="16"/>
                <w:lang w:eastAsia="es-MX"/>
              </w:rPr>
              <w:t>482110</w:t>
            </w:r>
          </w:p>
        </w:tc>
        <w:tc>
          <w:tcPr>
            <w:tcW w:w="0" w:type="auto"/>
            <w:hideMark/>
          </w:tcPr>
          <w:p w14:paraId="6AA91677" w14:textId="77777777" w:rsidR="00215939" w:rsidRPr="00EB31C3" w:rsidRDefault="00215939" w:rsidP="002D4275">
            <w:pPr>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Transporte por ferrocarril</w:t>
            </w:r>
          </w:p>
        </w:tc>
        <w:tc>
          <w:tcPr>
            <w:tcW w:w="0" w:type="auto"/>
            <w:hideMark/>
          </w:tcPr>
          <w:p w14:paraId="73CFCD10"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5424</w:t>
            </w:r>
          </w:p>
        </w:tc>
        <w:tc>
          <w:tcPr>
            <w:tcW w:w="0" w:type="auto"/>
            <w:hideMark/>
          </w:tcPr>
          <w:p w14:paraId="05FAC5FE"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574</w:t>
            </w:r>
          </w:p>
        </w:tc>
        <w:tc>
          <w:tcPr>
            <w:tcW w:w="0" w:type="auto"/>
            <w:hideMark/>
          </w:tcPr>
          <w:p w14:paraId="008A5966" w14:textId="7E283BB4"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1.5</w:t>
            </w:r>
          </w:p>
        </w:tc>
        <w:tc>
          <w:tcPr>
            <w:tcW w:w="0" w:type="auto"/>
            <w:hideMark/>
          </w:tcPr>
          <w:p w14:paraId="56945367" w14:textId="68875BA1"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34.3</w:t>
            </w:r>
          </w:p>
        </w:tc>
      </w:tr>
      <w:tr w:rsidR="00E26D61" w:rsidRPr="00176FAA" w14:paraId="46E0F367" w14:textId="77777777" w:rsidTr="002D42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11D25B64" w14:textId="77777777" w:rsidR="00215939" w:rsidRPr="00EB31C3" w:rsidRDefault="00215939" w:rsidP="002D4275">
            <w:pPr>
              <w:jc w:val="right"/>
              <w:rPr>
                <w:sz w:val="16"/>
                <w:szCs w:val="16"/>
                <w:lang w:eastAsia="es-MX"/>
              </w:rPr>
            </w:pPr>
            <w:r w:rsidRPr="00EB31C3">
              <w:rPr>
                <w:sz w:val="16"/>
                <w:szCs w:val="16"/>
                <w:lang w:eastAsia="es-MX"/>
              </w:rPr>
              <w:t>483111</w:t>
            </w:r>
          </w:p>
        </w:tc>
        <w:tc>
          <w:tcPr>
            <w:tcW w:w="0" w:type="auto"/>
            <w:hideMark/>
          </w:tcPr>
          <w:p w14:paraId="4E08B48A" w14:textId="77777777" w:rsidR="00215939" w:rsidRPr="00EB31C3" w:rsidRDefault="00215939" w:rsidP="002D4275">
            <w:pPr>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Transporte marítimo de altura, excepto de petróleo y gas natural</w:t>
            </w:r>
          </w:p>
        </w:tc>
        <w:tc>
          <w:tcPr>
            <w:tcW w:w="0" w:type="auto"/>
            <w:hideMark/>
          </w:tcPr>
          <w:p w14:paraId="3F02E83A"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2053</w:t>
            </w:r>
          </w:p>
        </w:tc>
        <w:tc>
          <w:tcPr>
            <w:tcW w:w="0" w:type="auto"/>
            <w:hideMark/>
          </w:tcPr>
          <w:p w14:paraId="6D93C798"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183</w:t>
            </w:r>
          </w:p>
        </w:tc>
        <w:tc>
          <w:tcPr>
            <w:tcW w:w="0" w:type="auto"/>
            <w:hideMark/>
          </w:tcPr>
          <w:p w14:paraId="595CF9D8" w14:textId="2BD3176A"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1.0</w:t>
            </w:r>
          </w:p>
        </w:tc>
        <w:tc>
          <w:tcPr>
            <w:tcW w:w="0" w:type="auto"/>
            <w:hideMark/>
          </w:tcPr>
          <w:p w14:paraId="5EE9B566" w14:textId="5C3614DF"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1.3</w:t>
            </w:r>
          </w:p>
        </w:tc>
      </w:tr>
      <w:tr w:rsidR="00E26D61" w:rsidRPr="00176FAA" w14:paraId="61E35D46" w14:textId="77777777" w:rsidTr="002D4275">
        <w:trPr>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3EE69F18" w14:textId="77777777" w:rsidR="00215939" w:rsidRPr="00EB31C3" w:rsidRDefault="00215939" w:rsidP="002D4275">
            <w:pPr>
              <w:jc w:val="right"/>
              <w:rPr>
                <w:sz w:val="16"/>
                <w:szCs w:val="16"/>
                <w:lang w:eastAsia="es-MX"/>
              </w:rPr>
            </w:pPr>
            <w:r w:rsidRPr="00EB31C3">
              <w:rPr>
                <w:sz w:val="16"/>
                <w:szCs w:val="16"/>
                <w:lang w:eastAsia="es-MX"/>
              </w:rPr>
              <w:t>483112</w:t>
            </w:r>
          </w:p>
        </w:tc>
        <w:tc>
          <w:tcPr>
            <w:tcW w:w="0" w:type="auto"/>
            <w:hideMark/>
          </w:tcPr>
          <w:p w14:paraId="30722C0B" w14:textId="77777777" w:rsidR="00215939" w:rsidRPr="00EB31C3" w:rsidRDefault="00215939" w:rsidP="002D4275">
            <w:pPr>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Transporte marítimo de cabotaje, excepto de petróleo y gas natural</w:t>
            </w:r>
          </w:p>
        </w:tc>
        <w:tc>
          <w:tcPr>
            <w:tcW w:w="0" w:type="auto"/>
            <w:hideMark/>
          </w:tcPr>
          <w:p w14:paraId="2710710C"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2454</w:t>
            </w:r>
          </w:p>
        </w:tc>
        <w:tc>
          <w:tcPr>
            <w:tcW w:w="0" w:type="auto"/>
            <w:hideMark/>
          </w:tcPr>
          <w:p w14:paraId="3CCDA50A"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288</w:t>
            </w:r>
          </w:p>
        </w:tc>
        <w:tc>
          <w:tcPr>
            <w:tcW w:w="0" w:type="auto"/>
            <w:hideMark/>
          </w:tcPr>
          <w:p w14:paraId="384135A4" w14:textId="21CBA746"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w:t>
            </w:r>
            <w:r w:rsidR="001F3B5B">
              <w:rPr>
                <w:sz w:val="16"/>
                <w:szCs w:val="16"/>
                <w:lang w:eastAsia="es-MX"/>
              </w:rPr>
              <w:t>3</w:t>
            </w:r>
          </w:p>
        </w:tc>
        <w:tc>
          <w:tcPr>
            <w:tcW w:w="0" w:type="auto"/>
            <w:hideMark/>
          </w:tcPr>
          <w:p w14:paraId="38B3B995" w14:textId="1CDCF05D"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22.2</w:t>
            </w:r>
          </w:p>
        </w:tc>
      </w:tr>
      <w:tr w:rsidR="00E26D61" w:rsidRPr="00176FAA" w14:paraId="787A7D97" w14:textId="77777777" w:rsidTr="002D42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6A7E1F98" w14:textId="77777777" w:rsidR="00215939" w:rsidRPr="00EB31C3" w:rsidRDefault="00215939" w:rsidP="002D4275">
            <w:pPr>
              <w:jc w:val="right"/>
              <w:rPr>
                <w:sz w:val="16"/>
                <w:szCs w:val="16"/>
                <w:lang w:eastAsia="es-MX"/>
              </w:rPr>
            </w:pPr>
            <w:r w:rsidRPr="00EB31C3">
              <w:rPr>
                <w:sz w:val="16"/>
                <w:szCs w:val="16"/>
                <w:lang w:eastAsia="es-MX"/>
              </w:rPr>
              <w:t>484</w:t>
            </w:r>
          </w:p>
        </w:tc>
        <w:tc>
          <w:tcPr>
            <w:tcW w:w="0" w:type="auto"/>
            <w:hideMark/>
          </w:tcPr>
          <w:p w14:paraId="038EE9E8" w14:textId="77777777" w:rsidR="00215939" w:rsidRPr="00EB31C3" w:rsidRDefault="00215939" w:rsidP="002D4275">
            <w:pPr>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Autotransporte de carga</w:t>
            </w:r>
          </w:p>
        </w:tc>
        <w:tc>
          <w:tcPr>
            <w:tcW w:w="0" w:type="auto"/>
            <w:hideMark/>
          </w:tcPr>
          <w:p w14:paraId="1CB01B09"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1141</w:t>
            </w:r>
          </w:p>
        </w:tc>
        <w:tc>
          <w:tcPr>
            <w:tcW w:w="0" w:type="auto"/>
            <w:hideMark/>
          </w:tcPr>
          <w:p w14:paraId="2B09F320"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223</w:t>
            </w:r>
          </w:p>
        </w:tc>
        <w:tc>
          <w:tcPr>
            <w:tcW w:w="0" w:type="auto"/>
            <w:hideMark/>
          </w:tcPr>
          <w:p w14:paraId="37C0D7B6" w14:textId="62FDE1A5"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1.3</w:t>
            </w:r>
          </w:p>
        </w:tc>
        <w:tc>
          <w:tcPr>
            <w:tcW w:w="0" w:type="auto"/>
            <w:hideMark/>
          </w:tcPr>
          <w:p w14:paraId="7C2026B9" w14:textId="40C66A2E"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22.8</w:t>
            </w:r>
          </w:p>
        </w:tc>
      </w:tr>
      <w:tr w:rsidR="00E26D61" w:rsidRPr="00176FAA" w14:paraId="70A775FF" w14:textId="77777777" w:rsidTr="002D4275">
        <w:trPr>
          <w:trHeight w:val="540"/>
        </w:trPr>
        <w:tc>
          <w:tcPr>
            <w:cnfStyle w:val="001000000000" w:firstRow="0" w:lastRow="0" w:firstColumn="1" w:lastColumn="0" w:oddVBand="0" w:evenVBand="0" w:oddHBand="0" w:evenHBand="0" w:firstRowFirstColumn="0" w:firstRowLastColumn="0" w:lastRowFirstColumn="0" w:lastRowLastColumn="0"/>
            <w:tcW w:w="0" w:type="auto"/>
            <w:hideMark/>
          </w:tcPr>
          <w:p w14:paraId="0E3109C3" w14:textId="77777777" w:rsidR="00215939" w:rsidRPr="00EB31C3" w:rsidRDefault="00215939" w:rsidP="002D4275">
            <w:pPr>
              <w:jc w:val="right"/>
              <w:rPr>
                <w:sz w:val="16"/>
                <w:szCs w:val="16"/>
                <w:lang w:eastAsia="es-MX"/>
              </w:rPr>
            </w:pPr>
            <w:r w:rsidRPr="00EB31C3">
              <w:rPr>
                <w:sz w:val="16"/>
                <w:szCs w:val="16"/>
                <w:lang w:eastAsia="es-MX"/>
              </w:rPr>
              <w:t>485111</w:t>
            </w:r>
          </w:p>
        </w:tc>
        <w:tc>
          <w:tcPr>
            <w:tcW w:w="0" w:type="auto"/>
            <w:hideMark/>
          </w:tcPr>
          <w:p w14:paraId="0A5033B8" w14:textId="77777777" w:rsidR="00215939" w:rsidRPr="00EB31C3" w:rsidRDefault="00215939" w:rsidP="002D4275">
            <w:pPr>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Transporte colectivo urbano y suburbano de pasajeros en autobuses de ruta fija</w:t>
            </w:r>
          </w:p>
        </w:tc>
        <w:tc>
          <w:tcPr>
            <w:tcW w:w="0" w:type="auto"/>
            <w:hideMark/>
          </w:tcPr>
          <w:p w14:paraId="41DCBDF6"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422</w:t>
            </w:r>
          </w:p>
        </w:tc>
        <w:tc>
          <w:tcPr>
            <w:tcW w:w="0" w:type="auto"/>
            <w:hideMark/>
          </w:tcPr>
          <w:p w14:paraId="4C704EF9"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112</w:t>
            </w:r>
          </w:p>
        </w:tc>
        <w:tc>
          <w:tcPr>
            <w:tcW w:w="0" w:type="auto"/>
            <w:hideMark/>
          </w:tcPr>
          <w:p w14:paraId="0B9280AD" w14:textId="16E44E7D"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w:t>
            </w:r>
            <w:r w:rsidR="001F3B5B">
              <w:rPr>
                <w:sz w:val="16"/>
                <w:szCs w:val="16"/>
                <w:lang w:eastAsia="es-MX"/>
              </w:rPr>
              <w:t>3</w:t>
            </w:r>
          </w:p>
        </w:tc>
        <w:tc>
          <w:tcPr>
            <w:tcW w:w="0" w:type="auto"/>
            <w:hideMark/>
          </w:tcPr>
          <w:p w14:paraId="0E5F14A3" w14:textId="4FA3DAD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20.</w:t>
            </w:r>
            <w:r w:rsidR="001F3B5B">
              <w:rPr>
                <w:sz w:val="16"/>
                <w:szCs w:val="16"/>
                <w:lang w:eastAsia="es-MX"/>
              </w:rPr>
              <w:t>6</w:t>
            </w:r>
          </w:p>
        </w:tc>
      </w:tr>
      <w:tr w:rsidR="00E26D61" w:rsidRPr="00176FAA" w14:paraId="74C95B11" w14:textId="77777777" w:rsidTr="002D42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6366AE19" w14:textId="77777777" w:rsidR="00215939" w:rsidRPr="00EB31C3" w:rsidRDefault="00215939" w:rsidP="002D4275">
            <w:pPr>
              <w:jc w:val="right"/>
              <w:rPr>
                <w:sz w:val="16"/>
                <w:szCs w:val="16"/>
                <w:lang w:eastAsia="es-MX"/>
              </w:rPr>
            </w:pPr>
            <w:r w:rsidRPr="00EB31C3">
              <w:rPr>
                <w:sz w:val="16"/>
                <w:szCs w:val="16"/>
                <w:lang w:eastAsia="es-MX"/>
              </w:rPr>
              <w:t>4852</w:t>
            </w:r>
          </w:p>
        </w:tc>
        <w:tc>
          <w:tcPr>
            <w:tcW w:w="0" w:type="auto"/>
            <w:hideMark/>
          </w:tcPr>
          <w:p w14:paraId="7531D5A9" w14:textId="77777777" w:rsidR="00215939" w:rsidRPr="00EB31C3" w:rsidRDefault="00215939" w:rsidP="002D4275">
            <w:pPr>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Transporte colectivo foráneo de pasajeros de ruta fija</w:t>
            </w:r>
          </w:p>
        </w:tc>
        <w:tc>
          <w:tcPr>
            <w:tcW w:w="0" w:type="auto"/>
            <w:hideMark/>
          </w:tcPr>
          <w:p w14:paraId="13DEB9C5"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1016</w:t>
            </w:r>
          </w:p>
        </w:tc>
        <w:tc>
          <w:tcPr>
            <w:tcW w:w="0" w:type="auto"/>
            <w:hideMark/>
          </w:tcPr>
          <w:p w14:paraId="62897A54"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215</w:t>
            </w:r>
          </w:p>
        </w:tc>
        <w:tc>
          <w:tcPr>
            <w:tcW w:w="0" w:type="auto"/>
            <w:hideMark/>
          </w:tcPr>
          <w:p w14:paraId="4F26D875" w14:textId="5C0F443E"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w:t>
            </w:r>
            <w:r w:rsidR="001F3B5B">
              <w:rPr>
                <w:sz w:val="16"/>
                <w:szCs w:val="16"/>
                <w:lang w:eastAsia="es-MX"/>
              </w:rPr>
              <w:t>5</w:t>
            </w:r>
          </w:p>
        </w:tc>
        <w:tc>
          <w:tcPr>
            <w:tcW w:w="0" w:type="auto"/>
            <w:hideMark/>
          </w:tcPr>
          <w:p w14:paraId="204AE895" w14:textId="50B9EC11"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32.</w:t>
            </w:r>
            <w:r w:rsidR="001F3B5B">
              <w:rPr>
                <w:sz w:val="16"/>
                <w:szCs w:val="16"/>
                <w:lang w:eastAsia="es-MX"/>
              </w:rPr>
              <w:t>5</w:t>
            </w:r>
          </w:p>
        </w:tc>
      </w:tr>
    </w:tbl>
    <w:p w14:paraId="01A57285" w14:textId="77777777" w:rsidR="007661CB" w:rsidRPr="00B00775" w:rsidRDefault="007661CB" w:rsidP="007661CB">
      <w:pPr>
        <w:rPr>
          <w:b/>
          <w:bCs/>
          <w:sz w:val="16"/>
          <w:szCs w:val="16"/>
          <w:lang w:eastAsia="es-MX"/>
        </w:rPr>
      </w:pPr>
      <w:r w:rsidRPr="00B00775">
        <w:rPr>
          <w:sz w:val="16"/>
          <w:szCs w:val="16"/>
          <w:vertAlign w:val="superscript"/>
          <w:lang w:eastAsia="es-MX"/>
        </w:rPr>
        <w:t>P/</w:t>
      </w:r>
      <w:r w:rsidRPr="00B00775">
        <w:rPr>
          <w:sz w:val="16"/>
          <w:szCs w:val="16"/>
          <w:lang w:eastAsia="es-MX"/>
        </w:rPr>
        <w:t xml:space="preserve"> Preliminar</w:t>
      </w:r>
    </w:p>
    <w:p w14:paraId="43270C04" w14:textId="77777777" w:rsidR="007661CB" w:rsidRPr="00B00775" w:rsidRDefault="007661CB" w:rsidP="007661CB">
      <w:pPr>
        <w:contextualSpacing/>
        <w:rPr>
          <w:sz w:val="16"/>
          <w:szCs w:val="16"/>
        </w:rPr>
      </w:pPr>
      <w:r w:rsidRPr="00B00775">
        <w:rPr>
          <w:sz w:val="16"/>
          <w:szCs w:val="16"/>
          <w:vertAlign w:val="superscript"/>
          <w:lang w:eastAsia="es-MX"/>
        </w:rPr>
        <w:t>1</w:t>
      </w:r>
      <w:r w:rsidRPr="00B00775">
        <w:rPr>
          <w:sz w:val="16"/>
          <w:szCs w:val="16"/>
          <w:lang w:eastAsia="es-MX"/>
        </w:rPr>
        <w:t xml:space="preserve"> SCIAN: Sistema de Clasificación Industrial de América del Norte</w:t>
      </w:r>
    </w:p>
    <w:p w14:paraId="4C04DC08" w14:textId="4D570113" w:rsidR="007661CB" w:rsidRPr="00B00775" w:rsidRDefault="007661CB" w:rsidP="007661CB">
      <w:pPr>
        <w:contextualSpacing/>
        <w:rPr>
          <w:sz w:val="16"/>
          <w:szCs w:val="16"/>
        </w:rPr>
      </w:pPr>
      <w:r w:rsidRPr="00B00775">
        <w:rPr>
          <w:sz w:val="16"/>
          <w:szCs w:val="16"/>
          <w:lang w:eastAsia="es-MX"/>
        </w:rPr>
        <w:t>Fuente: Instituto Nacional de Estadística y Geografía, Encuesta Anual del Transporte</w:t>
      </w:r>
      <w:r w:rsidR="00935418">
        <w:rPr>
          <w:sz w:val="16"/>
          <w:szCs w:val="16"/>
          <w:lang w:eastAsia="es-MX"/>
        </w:rPr>
        <w:t xml:space="preserve"> 2021</w:t>
      </w:r>
    </w:p>
    <w:p w14:paraId="38281D07" w14:textId="7A472832" w:rsidR="00215939" w:rsidRPr="00E64A4D" w:rsidRDefault="0027278D">
      <w:pPr>
        <w:ind w:left="-426"/>
        <w:contextualSpacing/>
      </w:pPr>
      <w:r>
        <w:lastRenderedPageBreak/>
        <w:t>S</w:t>
      </w:r>
      <w:r w:rsidR="00FC75ED">
        <w:t>o</w:t>
      </w:r>
      <w:r>
        <w:t>lo 9.1 % del</w:t>
      </w:r>
      <w:r w:rsidR="00E26D61">
        <w:t xml:space="preserve"> personal de </w:t>
      </w:r>
      <w:r w:rsidR="00215939" w:rsidRPr="00E64A4D">
        <w:t>las empresas dedicadas al</w:t>
      </w:r>
      <w:r w:rsidR="00FB001C">
        <w:t xml:space="preserve"> </w:t>
      </w:r>
      <w:r w:rsidR="00FB001C">
        <w:rPr>
          <w:i/>
        </w:rPr>
        <w:t>T</w:t>
      </w:r>
      <w:r w:rsidR="00215939" w:rsidRPr="00337FFC">
        <w:rPr>
          <w:i/>
        </w:rPr>
        <w:t>ransporte marítimo de altura, excepto de petróleo y gas natural</w:t>
      </w:r>
      <w:r w:rsidR="00215939" w:rsidRPr="00E64A4D">
        <w:t xml:space="preserve"> </w:t>
      </w:r>
      <w:r>
        <w:t>recibió capacitación</w:t>
      </w:r>
      <w:r w:rsidR="00822D76">
        <w:t xml:space="preserve">. En las empresas de </w:t>
      </w:r>
      <w:r w:rsidR="00514C69">
        <w:rPr>
          <w:i/>
        </w:rPr>
        <w:t>T</w:t>
      </w:r>
      <w:r w:rsidR="00215939" w:rsidRPr="00337FFC">
        <w:rPr>
          <w:i/>
        </w:rPr>
        <w:t>ransporte por ferrocarril</w:t>
      </w:r>
      <w:r w:rsidR="00F71FB5">
        <w:t>,</w:t>
      </w:r>
      <w:r w:rsidR="00FC75ED">
        <w:t xml:space="preserve"> </w:t>
      </w:r>
      <w:r>
        <w:t>83.3</w:t>
      </w:r>
      <w:r w:rsidR="00822D76">
        <w:t xml:space="preserve"> %</w:t>
      </w:r>
      <w:r>
        <w:t xml:space="preserve"> del personal</w:t>
      </w:r>
      <w:r w:rsidR="00822D76">
        <w:t xml:space="preserve"> </w:t>
      </w:r>
      <w:r>
        <w:t>tuvo acceso a</w:t>
      </w:r>
      <w:r w:rsidR="00215939" w:rsidRPr="00E64A4D">
        <w:t xml:space="preserve"> esta práctica.</w:t>
      </w:r>
    </w:p>
    <w:p w14:paraId="75EE62CB" w14:textId="77777777" w:rsidR="00215939" w:rsidRDefault="00215939" w:rsidP="00215939">
      <w:pPr>
        <w:ind w:left="360" w:right="51"/>
        <w:contextualSpacing/>
        <w:rPr>
          <w:b/>
          <w:lang w:val="es-MX" w:eastAsia="es-MX"/>
        </w:rPr>
      </w:pPr>
    </w:p>
    <w:p w14:paraId="790CE09E" w14:textId="16FD0878" w:rsidR="00822D76" w:rsidRDefault="00215939" w:rsidP="00337FFC">
      <w:pPr>
        <w:ind w:left="360" w:right="51"/>
        <w:contextualSpacing/>
        <w:jc w:val="center"/>
        <w:rPr>
          <w:b/>
          <w:sz w:val="22"/>
          <w:szCs w:val="22"/>
          <w:lang w:val="es-MX" w:eastAsia="es-MX"/>
        </w:rPr>
      </w:pPr>
      <w:r w:rsidRPr="00337FFC">
        <w:rPr>
          <w:sz w:val="20"/>
          <w:szCs w:val="20"/>
          <w:lang w:val="es-MX" w:eastAsia="es-MX"/>
        </w:rPr>
        <w:t xml:space="preserve">Gráfica </w:t>
      </w:r>
      <w:r w:rsidR="00A85DD6">
        <w:rPr>
          <w:sz w:val="20"/>
          <w:szCs w:val="20"/>
          <w:lang w:val="es-MX" w:eastAsia="es-MX"/>
        </w:rPr>
        <w:t>3</w:t>
      </w:r>
    </w:p>
    <w:p w14:paraId="5550EA00" w14:textId="101F8EC1" w:rsidR="00215939" w:rsidRPr="00337FFC" w:rsidRDefault="00215939" w:rsidP="00822D76">
      <w:pPr>
        <w:ind w:left="360" w:right="51"/>
        <w:contextualSpacing/>
        <w:rPr>
          <w:rFonts w:ascii="Arial Negrita" w:hAnsi="Arial Negrita"/>
          <w:b/>
          <w:smallCaps/>
          <w:sz w:val="22"/>
          <w:szCs w:val="22"/>
          <w:vertAlign w:val="subscript"/>
          <w:lang w:val="es-MX" w:eastAsia="es-MX"/>
        </w:rPr>
      </w:pPr>
      <w:r w:rsidRPr="00337FFC">
        <w:rPr>
          <w:rFonts w:ascii="Arial Negrita" w:hAnsi="Arial Negrita"/>
          <w:b/>
          <w:smallCaps/>
          <w:sz w:val="22"/>
          <w:szCs w:val="22"/>
          <w:lang w:val="es-MX" w:eastAsia="es-MX"/>
        </w:rPr>
        <w:t>Personal ocupado dependiente de la razón social que recib</w:t>
      </w:r>
      <w:r w:rsidR="00822D76">
        <w:rPr>
          <w:rFonts w:ascii="Arial Negrita" w:hAnsi="Arial Negrita"/>
          <w:b/>
          <w:smallCaps/>
          <w:sz w:val="22"/>
          <w:szCs w:val="22"/>
          <w:lang w:val="es-MX" w:eastAsia="es-MX"/>
        </w:rPr>
        <w:t>ió</w:t>
      </w:r>
      <w:r w:rsidRPr="00337FFC">
        <w:rPr>
          <w:rFonts w:ascii="Arial Negrita" w:hAnsi="Arial Negrita"/>
          <w:b/>
          <w:smallCaps/>
          <w:sz w:val="22"/>
          <w:szCs w:val="22"/>
          <w:lang w:val="es-MX" w:eastAsia="es-MX"/>
        </w:rPr>
        <w:t xml:space="preserve"> capacitación</w:t>
      </w:r>
      <w:r w:rsidR="00822D76">
        <w:rPr>
          <w:rFonts w:ascii="Arial Negrita" w:hAnsi="Arial Negrita"/>
          <w:b/>
          <w:smallCaps/>
          <w:sz w:val="22"/>
          <w:szCs w:val="22"/>
          <w:lang w:val="es-MX" w:eastAsia="es-MX"/>
        </w:rPr>
        <w:t>, 2021</w:t>
      </w:r>
      <w:r w:rsidRPr="00337FFC">
        <w:rPr>
          <w:rFonts w:ascii="Arial Negrita" w:hAnsi="Arial Negrita"/>
          <w:b/>
          <w:smallCaps/>
          <w:sz w:val="22"/>
          <w:szCs w:val="22"/>
          <w:vertAlign w:val="superscript"/>
          <w:lang w:val="es-MX" w:eastAsia="es-MX"/>
        </w:rPr>
        <w:t>/p</w:t>
      </w:r>
    </w:p>
    <w:p w14:paraId="26911631" w14:textId="277346D6" w:rsidR="00215939" w:rsidRDefault="00E26D61" w:rsidP="00215939">
      <w:pPr>
        <w:ind w:left="-426"/>
        <w:contextualSpacing/>
        <w:jc w:val="center"/>
      </w:pPr>
      <w:r>
        <w:rPr>
          <w:noProof/>
        </w:rPr>
        <w:drawing>
          <wp:inline distT="0" distB="0" distL="0" distR="0" wp14:anchorId="79EA0511" wp14:editId="21D1507E">
            <wp:extent cx="5393056" cy="3296604"/>
            <wp:effectExtent l="0" t="0" r="17145" b="18415"/>
            <wp:docPr id="9" name="Gráfico 9">
              <a:extLst xmlns:a="http://schemas.openxmlformats.org/drawingml/2006/main">
                <a:ext uri="{FF2B5EF4-FFF2-40B4-BE49-F238E27FC236}">
                  <a16:creationId xmlns:a16="http://schemas.microsoft.com/office/drawing/2014/main" id="{25B71335-FF80-D831-5283-83FE3335E1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239FDA" w14:textId="77777777" w:rsidR="00822D76" w:rsidRPr="00B00775" w:rsidRDefault="00822D76" w:rsidP="00FC75ED">
      <w:pPr>
        <w:ind w:firstLine="426"/>
        <w:rPr>
          <w:b/>
          <w:bCs/>
          <w:sz w:val="16"/>
          <w:szCs w:val="16"/>
          <w:lang w:eastAsia="es-MX"/>
        </w:rPr>
      </w:pPr>
      <w:r w:rsidRPr="00B00775">
        <w:rPr>
          <w:sz w:val="16"/>
          <w:szCs w:val="16"/>
          <w:vertAlign w:val="superscript"/>
          <w:lang w:eastAsia="es-MX"/>
        </w:rPr>
        <w:t>P/</w:t>
      </w:r>
      <w:r w:rsidRPr="00B00775">
        <w:rPr>
          <w:sz w:val="16"/>
          <w:szCs w:val="16"/>
          <w:lang w:eastAsia="es-MX"/>
        </w:rPr>
        <w:t xml:space="preserve"> Preliminar</w:t>
      </w:r>
    </w:p>
    <w:p w14:paraId="180057C1" w14:textId="7BB82E41" w:rsidR="00822D76" w:rsidRDefault="00822D76" w:rsidP="00215939">
      <w:pPr>
        <w:ind w:left="-426"/>
        <w:contextualSpacing/>
      </w:pPr>
    </w:p>
    <w:p w14:paraId="63D37F6D" w14:textId="77777777" w:rsidR="00822D76" w:rsidRDefault="00822D76" w:rsidP="00215939">
      <w:pPr>
        <w:ind w:left="-426"/>
        <w:contextualSpacing/>
      </w:pPr>
    </w:p>
    <w:p w14:paraId="7C918E76" w14:textId="596CACD1" w:rsidR="0027278D" w:rsidRDefault="0027278D" w:rsidP="0027278D">
      <w:pPr>
        <w:ind w:left="-426" w:right="51"/>
        <w:contextualSpacing/>
      </w:pPr>
      <w:r w:rsidRPr="003F4DF9">
        <w:t>Las empresas transportistas poseen el mayor porcentaje de sus activos fijos en el equipo de transporte</w:t>
      </w:r>
      <w:r>
        <w:t xml:space="preserve"> (entre 19.0 y 99.3 %), mientras que el </w:t>
      </w:r>
      <w:r w:rsidR="00F71FB5">
        <w:rPr>
          <w:i/>
          <w:iCs/>
        </w:rPr>
        <w:t>T</w:t>
      </w:r>
      <w:r w:rsidRPr="00646299">
        <w:rPr>
          <w:i/>
          <w:iCs/>
        </w:rPr>
        <w:t>ransporte por ferrocarril</w:t>
      </w:r>
      <w:r w:rsidRPr="003F4DF9">
        <w:t xml:space="preserve"> invierte más en su infraestructura</w:t>
      </w:r>
      <w:r>
        <w:t xml:space="preserve"> </w:t>
      </w:r>
      <w:r w:rsidR="00F71FB5">
        <w:t>(</w:t>
      </w:r>
      <w:r>
        <w:t xml:space="preserve">24.4 </w:t>
      </w:r>
      <w:r w:rsidR="00F71FB5">
        <w:t>%)</w:t>
      </w:r>
      <w:r w:rsidRPr="003F4DF9">
        <w:t>.</w:t>
      </w:r>
    </w:p>
    <w:p w14:paraId="4C61992D" w14:textId="77777777" w:rsidR="00215939" w:rsidRDefault="00215939" w:rsidP="00215939">
      <w:pPr>
        <w:ind w:left="-426"/>
        <w:contextualSpacing/>
        <w:rPr>
          <w:b/>
          <w:lang w:val="es-MX" w:eastAsia="es-MX"/>
        </w:rPr>
      </w:pPr>
    </w:p>
    <w:p w14:paraId="7B0D1EEA" w14:textId="77777777" w:rsidR="00940360" w:rsidRDefault="00940360" w:rsidP="00215939">
      <w:pPr>
        <w:ind w:right="-374"/>
        <w:contextualSpacing/>
        <w:jc w:val="center"/>
        <w:rPr>
          <w:sz w:val="20"/>
          <w:szCs w:val="20"/>
          <w:lang w:val="es-MX" w:eastAsia="es-MX"/>
        </w:rPr>
      </w:pPr>
    </w:p>
    <w:p w14:paraId="4CB48217" w14:textId="77777777" w:rsidR="00940360" w:rsidRDefault="00940360" w:rsidP="00215939">
      <w:pPr>
        <w:ind w:right="-374"/>
        <w:contextualSpacing/>
        <w:jc w:val="center"/>
        <w:rPr>
          <w:sz w:val="20"/>
          <w:szCs w:val="20"/>
          <w:lang w:val="es-MX" w:eastAsia="es-MX"/>
        </w:rPr>
      </w:pPr>
    </w:p>
    <w:p w14:paraId="57EA931A" w14:textId="77777777" w:rsidR="00940360" w:rsidRDefault="00940360" w:rsidP="00215939">
      <w:pPr>
        <w:ind w:right="-374"/>
        <w:contextualSpacing/>
        <w:jc w:val="center"/>
        <w:rPr>
          <w:sz w:val="20"/>
          <w:szCs w:val="20"/>
          <w:lang w:val="es-MX" w:eastAsia="es-MX"/>
        </w:rPr>
      </w:pPr>
    </w:p>
    <w:p w14:paraId="4FA5EB68" w14:textId="77777777" w:rsidR="00940360" w:rsidRDefault="00940360" w:rsidP="00215939">
      <w:pPr>
        <w:ind w:right="-374"/>
        <w:contextualSpacing/>
        <w:jc w:val="center"/>
        <w:rPr>
          <w:sz w:val="20"/>
          <w:szCs w:val="20"/>
          <w:lang w:val="es-MX" w:eastAsia="es-MX"/>
        </w:rPr>
      </w:pPr>
    </w:p>
    <w:p w14:paraId="09CB9A88" w14:textId="77777777" w:rsidR="00940360" w:rsidRDefault="00940360" w:rsidP="00215939">
      <w:pPr>
        <w:ind w:right="-374"/>
        <w:contextualSpacing/>
        <w:jc w:val="center"/>
        <w:rPr>
          <w:sz w:val="20"/>
          <w:szCs w:val="20"/>
          <w:lang w:val="es-MX" w:eastAsia="es-MX"/>
        </w:rPr>
      </w:pPr>
    </w:p>
    <w:p w14:paraId="4814AE20" w14:textId="77777777" w:rsidR="00940360" w:rsidRDefault="00940360" w:rsidP="00215939">
      <w:pPr>
        <w:ind w:right="-374"/>
        <w:contextualSpacing/>
        <w:jc w:val="center"/>
        <w:rPr>
          <w:sz w:val="20"/>
          <w:szCs w:val="20"/>
          <w:lang w:val="es-MX" w:eastAsia="es-MX"/>
        </w:rPr>
      </w:pPr>
    </w:p>
    <w:p w14:paraId="3DA9D68D" w14:textId="77777777" w:rsidR="00940360" w:rsidRDefault="00940360" w:rsidP="00215939">
      <w:pPr>
        <w:ind w:right="-374"/>
        <w:contextualSpacing/>
        <w:jc w:val="center"/>
        <w:rPr>
          <w:sz w:val="20"/>
          <w:szCs w:val="20"/>
          <w:lang w:val="es-MX" w:eastAsia="es-MX"/>
        </w:rPr>
      </w:pPr>
    </w:p>
    <w:p w14:paraId="7645EBE8" w14:textId="77777777" w:rsidR="00940360" w:rsidRDefault="00940360" w:rsidP="00215939">
      <w:pPr>
        <w:ind w:right="-374"/>
        <w:contextualSpacing/>
        <w:jc w:val="center"/>
        <w:rPr>
          <w:sz w:val="20"/>
          <w:szCs w:val="20"/>
          <w:lang w:val="es-MX" w:eastAsia="es-MX"/>
        </w:rPr>
      </w:pPr>
    </w:p>
    <w:p w14:paraId="637D37CA" w14:textId="77777777" w:rsidR="00940360" w:rsidRDefault="00940360" w:rsidP="00215939">
      <w:pPr>
        <w:ind w:right="-374"/>
        <w:contextualSpacing/>
        <w:jc w:val="center"/>
        <w:rPr>
          <w:sz w:val="20"/>
          <w:szCs w:val="20"/>
          <w:lang w:val="es-MX" w:eastAsia="es-MX"/>
        </w:rPr>
      </w:pPr>
    </w:p>
    <w:p w14:paraId="7A053A33" w14:textId="77777777" w:rsidR="00940360" w:rsidRDefault="00940360" w:rsidP="00215939">
      <w:pPr>
        <w:ind w:right="-374"/>
        <w:contextualSpacing/>
        <w:jc w:val="center"/>
        <w:rPr>
          <w:sz w:val="20"/>
          <w:szCs w:val="20"/>
          <w:lang w:val="es-MX" w:eastAsia="es-MX"/>
        </w:rPr>
      </w:pPr>
    </w:p>
    <w:p w14:paraId="7340266B" w14:textId="77777777" w:rsidR="00940360" w:rsidRDefault="00940360" w:rsidP="00215939">
      <w:pPr>
        <w:ind w:right="-374"/>
        <w:contextualSpacing/>
        <w:jc w:val="center"/>
        <w:rPr>
          <w:sz w:val="20"/>
          <w:szCs w:val="20"/>
          <w:lang w:val="es-MX" w:eastAsia="es-MX"/>
        </w:rPr>
      </w:pPr>
    </w:p>
    <w:p w14:paraId="74754711" w14:textId="77777777" w:rsidR="00940360" w:rsidRDefault="00940360" w:rsidP="00215939">
      <w:pPr>
        <w:ind w:right="-374"/>
        <w:contextualSpacing/>
        <w:jc w:val="center"/>
        <w:rPr>
          <w:sz w:val="20"/>
          <w:szCs w:val="20"/>
          <w:lang w:val="es-MX" w:eastAsia="es-MX"/>
        </w:rPr>
      </w:pPr>
    </w:p>
    <w:p w14:paraId="3BF50267" w14:textId="1CB37358" w:rsidR="00940360" w:rsidRDefault="00940360" w:rsidP="00215939">
      <w:pPr>
        <w:ind w:right="-374"/>
        <w:contextualSpacing/>
        <w:jc w:val="center"/>
        <w:rPr>
          <w:sz w:val="20"/>
          <w:szCs w:val="20"/>
          <w:lang w:val="es-MX" w:eastAsia="es-MX"/>
        </w:rPr>
      </w:pPr>
    </w:p>
    <w:p w14:paraId="2B5CBCF4" w14:textId="77777777" w:rsidR="00FB001C" w:rsidRDefault="00FB001C" w:rsidP="00215939">
      <w:pPr>
        <w:ind w:right="-374"/>
        <w:contextualSpacing/>
        <w:jc w:val="center"/>
        <w:rPr>
          <w:sz w:val="20"/>
          <w:szCs w:val="20"/>
          <w:lang w:val="es-MX" w:eastAsia="es-MX"/>
        </w:rPr>
      </w:pPr>
    </w:p>
    <w:p w14:paraId="18120EEC" w14:textId="037C4972" w:rsidR="00940360" w:rsidRDefault="00940360" w:rsidP="00215939">
      <w:pPr>
        <w:ind w:right="-374"/>
        <w:contextualSpacing/>
        <w:jc w:val="center"/>
        <w:rPr>
          <w:sz w:val="20"/>
          <w:szCs w:val="20"/>
          <w:lang w:val="es-MX" w:eastAsia="es-MX"/>
        </w:rPr>
      </w:pPr>
    </w:p>
    <w:p w14:paraId="521A5FB9" w14:textId="61775171" w:rsidR="0082425F" w:rsidRDefault="0082425F" w:rsidP="00215939">
      <w:pPr>
        <w:ind w:right="-374"/>
        <w:contextualSpacing/>
        <w:jc w:val="center"/>
        <w:rPr>
          <w:sz w:val="20"/>
          <w:szCs w:val="20"/>
          <w:lang w:val="es-MX" w:eastAsia="es-MX"/>
        </w:rPr>
      </w:pPr>
    </w:p>
    <w:p w14:paraId="397C4E78" w14:textId="32ADD263" w:rsidR="0082425F" w:rsidRDefault="0082425F" w:rsidP="00215939">
      <w:pPr>
        <w:ind w:right="-374"/>
        <w:contextualSpacing/>
        <w:jc w:val="center"/>
        <w:rPr>
          <w:sz w:val="20"/>
          <w:szCs w:val="20"/>
          <w:lang w:val="es-MX" w:eastAsia="es-MX"/>
        </w:rPr>
      </w:pPr>
    </w:p>
    <w:p w14:paraId="516CEAAB" w14:textId="39F519BF" w:rsidR="0082425F" w:rsidRDefault="0082425F" w:rsidP="00215939">
      <w:pPr>
        <w:ind w:right="-374"/>
        <w:contextualSpacing/>
        <w:jc w:val="center"/>
        <w:rPr>
          <w:sz w:val="20"/>
          <w:szCs w:val="20"/>
          <w:lang w:val="es-MX" w:eastAsia="es-MX"/>
        </w:rPr>
      </w:pPr>
    </w:p>
    <w:p w14:paraId="0AE98E14" w14:textId="77777777" w:rsidR="0082425F" w:rsidRDefault="0082425F" w:rsidP="00215939">
      <w:pPr>
        <w:ind w:right="-374"/>
        <w:contextualSpacing/>
        <w:jc w:val="center"/>
        <w:rPr>
          <w:sz w:val="20"/>
          <w:szCs w:val="20"/>
          <w:lang w:val="es-MX" w:eastAsia="es-MX"/>
        </w:rPr>
      </w:pPr>
    </w:p>
    <w:p w14:paraId="0E74B569" w14:textId="6A4DE137" w:rsidR="00822D76" w:rsidRPr="00337FFC" w:rsidRDefault="00215939" w:rsidP="00215939">
      <w:pPr>
        <w:ind w:right="-374"/>
        <w:contextualSpacing/>
        <w:jc w:val="center"/>
        <w:rPr>
          <w:sz w:val="20"/>
          <w:szCs w:val="20"/>
          <w:lang w:val="es-MX" w:eastAsia="es-MX"/>
        </w:rPr>
      </w:pPr>
      <w:r w:rsidRPr="00337FFC">
        <w:rPr>
          <w:sz w:val="20"/>
          <w:szCs w:val="20"/>
          <w:lang w:val="es-MX" w:eastAsia="es-MX"/>
        </w:rPr>
        <w:t>Cuadro 4</w:t>
      </w:r>
    </w:p>
    <w:p w14:paraId="573E3354" w14:textId="48C5F9E9" w:rsidR="00215939" w:rsidRPr="00337FFC" w:rsidRDefault="00822D76" w:rsidP="00215939">
      <w:pPr>
        <w:ind w:right="-374"/>
        <w:contextualSpacing/>
        <w:jc w:val="center"/>
        <w:rPr>
          <w:rFonts w:ascii="Arial Negrita" w:hAnsi="Arial Negrita"/>
          <w:smallCaps/>
          <w:sz w:val="22"/>
          <w:szCs w:val="22"/>
        </w:rPr>
      </w:pPr>
      <w:r>
        <w:rPr>
          <w:rFonts w:ascii="Arial Negrita" w:hAnsi="Arial Negrita"/>
          <w:b/>
          <w:smallCaps/>
          <w:sz w:val="22"/>
          <w:szCs w:val="22"/>
          <w:lang w:val="es-MX" w:eastAsia="es-MX"/>
        </w:rPr>
        <w:t>A</w:t>
      </w:r>
      <w:r w:rsidR="00215939" w:rsidRPr="00337FFC">
        <w:rPr>
          <w:rFonts w:ascii="Arial Negrita" w:hAnsi="Arial Negrita"/>
          <w:b/>
          <w:smallCaps/>
          <w:sz w:val="22"/>
          <w:szCs w:val="22"/>
          <w:lang w:val="es-MX" w:eastAsia="es-MX"/>
        </w:rPr>
        <w:t>ctivos fijos</w:t>
      </w:r>
      <w:r>
        <w:rPr>
          <w:rFonts w:ascii="Arial Negrita" w:hAnsi="Arial Negrita"/>
          <w:b/>
          <w:smallCaps/>
          <w:sz w:val="22"/>
          <w:szCs w:val="22"/>
          <w:lang w:val="es-MX" w:eastAsia="es-MX"/>
        </w:rPr>
        <w:t xml:space="preserve"> en las empresas transportistas, 2021</w:t>
      </w:r>
      <w:r w:rsidRPr="00337FFC">
        <w:rPr>
          <w:rFonts w:ascii="Arial Negrita" w:hAnsi="Arial Negrita"/>
          <w:b/>
          <w:smallCaps/>
          <w:sz w:val="22"/>
          <w:szCs w:val="22"/>
          <w:vertAlign w:val="superscript"/>
          <w:lang w:val="es-MX" w:eastAsia="es-MX"/>
        </w:rPr>
        <w:t>P/</w:t>
      </w:r>
    </w:p>
    <w:tbl>
      <w:tblPr>
        <w:tblStyle w:val="Tablanormal4"/>
        <w:tblW w:w="0" w:type="auto"/>
        <w:tblLook w:val="04A0" w:firstRow="1" w:lastRow="0" w:firstColumn="1" w:lastColumn="0" w:noHBand="0" w:noVBand="1"/>
      </w:tblPr>
      <w:tblGrid>
        <w:gridCol w:w="853"/>
        <w:gridCol w:w="1661"/>
        <w:gridCol w:w="599"/>
        <w:gridCol w:w="1369"/>
        <w:gridCol w:w="1057"/>
        <w:gridCol w:w="1217"/>
        <w:gridCol w:w="1477"/>
        <w:gridCol w:w="1265"/>
      </w:tblGrid>
      <w:tr w:rsidR="00215939" w:rsidRPr="002331AA" w14:paraId="506A4F72" w14:textId="77777777" w:rsidTr="002D4275">
        <w:trPr>
          <w:cnfStyle w:val="100000000000" w:firstRow="1" w:lastRow="0" w:firstColumn="0" w:lastColumn="0" w:oddVBand="0" w:evenVBand="0" w:oddHBand="0"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0" w:type="auto"/>
            <w:hideMark/>
          </w:tcPr>
          <w:p w14:paraId="5CFAE607" w14:textId="3FCAA788" w:rsidR="00215939" w:rsidRPr="00EB31C3" w:rsidRDefault="00215939" w:rsidP="002D4275">
            <w:pPr>
              <w:jc w:val="center"/>
              <w:rPr>
                <w:b w:val="0"/>
                <w:bCs w:val="0"/>
                <w:sz w:val="16"/>
                <w:szCs w:val="16"/>
                <w:lang w:eastAsia="es-MX"/>
              </w:rPr>
            </w:pPr>
            <w:r w:rsidRPr="00EB31C3">
              <w:rPr>
                <w:sz w:val="16"/>
                <w:szCs w:val="16"/>
                <w:lang w:eastAsia="es-MX"/>
              </w:rPr>
              <w:t>Código SCIAN</w:t>
            </w:r>
            <w:r w:rsidR="00940360" w:rsidRPr="00337FFC">
              <w:rPr>
                <w:sz w:val="16"/>
                <w:szCs w:val="16"/>
                <w:vertAlign w:val="superscript"/>
                <w:lang w:eastAsia="es-MX"/>
              </w:rPr>
              <w:t>1</w:t>
            </w:r>
            <w:r w:rsidRPr="00337FFC">
              <w:rPr>
                <w:sz w:val="16"/>
                <w:szCs w:val="16"/>
                <w:vertAlign w:val="superscript"/>
                <w:lang w:eastAsia="es-MX"/>
              </w:rPr>
              <w:t xml:space="preserve"> </w:t>
            </w:r>
            <w:r w:rsidRPr="00EB31C3">
              <w:rPr>
                <w:sz w:val="16"/>
                <w:szCs w:val="16"/>
                <w:lang w:eastAsia="es-MX"/>
              </w:rPr>
              <w:t>2013</w:t>
            </w:r>
          </w:p>
        </w:tc>
        <w:tc>
          <w:tcPr>
            <w:tcW w:w="0" w:type="auto"/>
            <w:hideMark/>
          </w:tcPr>
          <w:p w14:paraId="2057774E" w14:textId="77777777" w:rsidR="00215939" w:rsidRPr="00EB31C3" w:rsidRDefault="00215939" w:rsidP="002D4275">
            <w:pP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Descripción</w:t>
            </w:r>
          </w:p>
        </w:tc>
        <w:tc>
          <w:tcPr>
            <w:tcW w:w="0" w:type="auto"/>
            <w:hideMark/>
          </w:tcPr>
          <w:p w14:paraId="5688C03B" w14:textId="77777777" w:rsidR="00215939" w:rsidRPr="00EB31C3"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Total</w:t>
            </w:r>
          </w:p>
        </w:tc>
        <w:tc>
          <w:tcPr>
            <w:tcW w:w="0" w:type="auto"/>
            <w:hideMark/>
          </w:tcPr>
          <w:p w14:paraId="5743698E" w14:textId="77777777" w:rsidR="00215939" w:rsidRPr="00EB31C3"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Unidades y equipo de transporte para la prestación del servicio</w:t>
            </w:r>
          </w:p>
        </w:tc>
        <w:tc>
          <w:tcPr>
            <w:tcW w:w="0" w:type="auto"/>
            <w:hideMark/>
          </w:tcPr>
          <w:p w14:paraId="5035496C" w14:textId="77777777" w:rsidR="00215939" w:rsidRPr="00EB31C3"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Bienes inmuebles</w:t>
            </w:r>
          </w:p>
        </w:tc>
        <w:tc>
          <w:tcPr>
            <w:tcW w:w="0" w:type="auto"/>
            <w:hideMark/>
          </w:tcPr>
          <w:p w14:paraId="274E9019" w14:textId="77777777" w:rsidR="00215939" w:rsidRPr="00EB31C3"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Unidades y equipo de transporte de apoyo</w:t>
            </w:r>
          </w:p>
        </w:tc>
        <w:tc>
          <w:tcPr>
            <w:tcW w:w="0" w:type="auto"/>
            <w:hideMark/>
          </w:tcPr>
          <w:p w14:paraId="0BFADD16" w14:textId="77777777" w:rsidR="00215939" w:rsidRPr="00EB31C3"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Equipo y sistemas de cómputo, localización y navegación satelital</w:t>
            </w:r>
          </w:p>
        </w:tc>
        <w:tc>
          <w:tcPr>
            <w:tcW w:w="0" w:type="auto"/>
            <w:hideMark/>
          </w:tcPr>
          <w:p w14:paraId="32004BD7" w14:textId="77777777" w:rsidR="00215939" w:rsidRPr="00EB31C3"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Mobiliario, equipo de oficina y otros activos fijos</w:t>
            </w:r>
          </w:p>
        </w:tc>
      </w:tr>
      <w:tr w:rsidR="00215939" w:rsidRPr="002331AA" w14:paraId="56D19155" w14:textId="77777777" w:rsidTr="002D42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1976A82D" w14:textId="77777777" w:rsidR="00215939" w:rsidRPr="00EB31C3" w:rsidRDefault="00215939" w:rsidP="002D4275">
            <w:pPr>
              <w:jc w:val="right"/>
              <w:rPr>
                <w:sz w:val="16"/>
                <w:szCs w:val="16"/>
                <w:lang w:eastAsia="es-MX"/>
              </w:rPr>
            </w:pPr>
            <w:r w:rsidRPr="00EB31C3">
              <w:rPr>
                <w:sz w:val="16"/>
                <w:szCs w:val="16"/>
                <w:lang w:eastAsia="es-MX"/>
              </w:rPr>
              <w:t>481111</w:t>
            </w:r>
          </w:p>
        </w:tc>
        <w:tc>
          <w:tcPr>
            <w:tcW w:w="0" w:type="auto"/>
            <w:hideMark/>
          </w:tcPr>
          <w:p w14:paraId="781E7F11" w14:textId="77777777" w:rsidR="00215939" w:rsidRPr="00EB31C3" w:rsidRDefault="00215939" w:rsidP="002D4275">
            <w:pPr>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Transporte aéreo regular en líneas aéreas nacionales</w:t>
            </w:r>
          </w:p>
        </w:tc>
        <w:tc>
          <w:tcPr>
            <w:tcW w:w="0" w:type="auto"/>
            <w:hideMark/>
          </w:tcPr>
          <w:p w14:paraId="44FD9C45"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100</w:t>
            </w:r>
          </w:p>
        </w:tc>
        <w:tc>
          <w:tcPr>
            <w:tcW w:w="0" w:type="auto"/>
            <w:hideMark/>
          </w:tcPr>
          <w:p w14:paraId="5060EEE3"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84.2</w:t>
            </w:r>
          </w:p>
        </w:tc>
        <w:tc>
          <w:tcPr>
            <w:tcW w:w="0" w:type="auto"/>
            <w:hideMark/>
          </w:tcPr>
          <w:p w14:paraId="31B962EB"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3.3</w:t>
            </w:r>
          </w:p>
        </w:tc>
        <w:tc>
          <w:tcPr>
            <w:tcW w:w="0" w:type="auto"/>
            <w:hideMark/>
          </w:tcPr>
          <w:p w14:paraId="30148CCA"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0.4</w:t>
            </w:r>
          </w:p>
        </w:tc>
        <w:tc>
          <w:tcPr>
            <w:tcW w:w="0" w:type="auto"/>
            <w:hideMark/>
          </w:tcPr>
          <w:p w14:paraId="1F69FCCC"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0.4</w:t>
            </w:r>
          </w:p>
        </w:tc>
        <w:tc>
          <w:tcPr>
            <w:tcW w:w="0" w:type="auto"/>
            <w:hideMark/>
          </w:tcPr>
          <w:p w14:paraId="4013E8AA"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11.8</w:t>
            </w:r>
          </w:p>
        </w:tc>
      </w:tr>
      <w:tr w:rsidR="00215939" w:rsidRPr="002331AA" w14:paraId="56CE67FD" w14:textId="77777777" w:rsidTr="002D4275">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40C13FF9" w14:textId="77777777" w:rsidR="00215939" w:rsidRPr="00EB31C3" w:rsidRDefault="00215939" w:rsidP="002D4275">
            <w:pPr>
              <w:jc w:val="right"/>
              <w:rPr>
                <w:sz w:val="16"/>
                <w:szCs w:val="16"/>
                <w:lang w:eastAsia="es-MX"/>
              </w:rPr>
            </w:pPr>
            <w:r w:rsidRPr="00EB31C3">
              <w:rPr>
                <w:sz w:val="16"/>
                <w:szCs w:val="16"/>
                <w:lang w:eastAsia="es-MX"/>
              </w:rPr>
              <w:t>482110</w:t>
            </w:r>
          </w:p>
        </w:tc>
        <w:tc>
          <w:tcPr>
            <w:tcW w:w="0" w:type="auto"/>
            <w:hideMark/>
          </w:tcPr>
          <w:p w14:paraId="50C001FB" w14:textId="77777777" w:rsidR="00215939" w:rsidRPr="00EB31C3" w:rsidRDefault="00215939" w:rsidP="002D4275">
            <w:pPr>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Transporte por ferrocarril</w:t>
            </w:r>
          </w:p>
        </w:tc>
        <w:tc>
          <w:tcPr>
            <w:tcW w:w="0" w:type="auto"/>
            <w:hideMark/>
          </w:tcPr>
          <w:p w14:paraId="7118E1CF"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100</w:t>
            </w:r>
          </w:p>
        </w:tc>
        <w:tc>
          <w:tcPr>
            <w:tcW w:w="0" w:type="auto"/>
            <w:hideMark/>
          </w:tcPr>
          <w:p w14:paraId="629BA40E"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19.0</w:t>
            </w:r>
          </w:p>
        </w:tc>
        <w:tc>
          <w:tcPr>
            <w:tcW w:w="0" w:type="auto"/>
            <w:hideMark/>
          </w:tcPr>
          <w:p w14:paraId="07F18F9F"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24.4</w:t>
            </w:r>
          </w:p>
        </w:tc>
        <w:tc>
          <w:tcPr>
            <w:tcW w:w="0" w:type="auto"/>
            <w:hideMark/>
          </w:tcPr>
          <w:p w14:paraId="591F74C4"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1.7</w:t>
            </w:r>
          </w:p>
        </w:tc>
        <w:tc>
          <w:tcPr>
            <w:tcW w:w="0" w:type="auto"/>
            <w:hideMark/>
          </w:tcPr>
          <w:p w14:paraId="26CF7146"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1.6</w:t>
            </w:r>
          </w:p>
        </w:tc>
        <w:tc>
          <w:tcPr>
            <w:tcW w:w="0" w:type="auto"/>
            <w:hideMark/>
          </w:tcPr>
          <w:p w14:paraId="7F395DBF"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53.3</w:t>
            </w:r>
          </w:p>
        </w:tc>
      </w:tr>
      <w:tr w:rsidR="00215939" w:rsidRPr="002331AA" w14:paraId="29675771" w14:textId="77777777" w:rsidTr="002D42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47783BA3" w14:textId="77777777" w:rsidR="00215939" w:rsidRPr="00EB31C3" w:rsidRDefault="00215939" w:rsidP="002D4275">
            <w:pPr>
              <w:jc w:val="right"/>
              <w:rPr>
                <w:sz w:val="16"/>
                <w:szCs w:val="16"/>
                <w:lang w:eastAsia="es-MX"/>
              </w:rPr>
            </w:pPr>
            <w:r w:rsidRPr="00EB31C3">
              <w:rPr>
                <w:sz w:val="16"/>
                <w:szCs w:val="16"/>
                <w:lang w:eastAsia="es-MX"/>
              </w:rPr>
              <w:t>483111</w:t>
            </w:r>
          </w:p>
        </w:tc>
        <w:tc>
          <w:tcPr>
            <w:tcW w:w="0" w:type="auto"/>
            <w:hideMark/>
          </w:tcPr>
          <w:p w14:paraId="6A94B72D" w14:textId="77777777" w:rsidR="00215939" w:rsidRPr="00EB31C3" w:rsidRDefault="00215939" w:rsidP="002D4275">
            <w:pPr>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Transporte marítimo de altura, excepto de petróleo y gas natural</w:t>
            </w:r>
          </w:p>
        </w:tc>
        <w:tc>
          <w:tcPr>
            <w:tcW w:w="0" w:type="auto"/>
            <w:hideMark/>
          </w:tcPr>
          <w:p w14:paraId="664426D1"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100</w:t>
            </w:r>
          </w:p>
        </w:tc>
        <w:tc>
          <w:tcPr>
            <w:tcW w:w="0" w:type="auto"/>
            <w:hideMark/>
          </w:tcPr>
          <w:p w14:paraId="5F920839"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99.3</w:t>
            </w:r>
          </w:p>
        </w:tc>
        <w:tc>
          <w:tcPr>
            <w:tcW w:w="0" w:type="auto"/>
            <w:hideMark/>
          </w:tcPr>
          <w:p w14:paraId="00526CEB"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0.5</w:t>
            </w:r>
          </w:p>
        </w:tc>
        <w:tc>
          <w:tcPr>
            <w:tcW w:w="0" w:type="auto"/>
            <w:hideMark/>
          </w:tcPr>
          <w:p w14:paraId="752930A9"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0.1</w:t>
            </w:r>
          </w:p>
        </w:tc>
        <w:tc>
          <w:tcPr>
            <w:tcW w:w="0" w:type="auto"/>
            <w:hideMark/>
          </w:tcPr>
          <w:p w14:paraId="483CB390"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0.0</w:t>
            </w:r>
          </w:p>
        </w:tc>
        <w:tc>
          <w:tcPr>
            <w:tcW w:w="0" w:type="auto"/>
            <w:hideMark/>
          </w:tcPr>
          <w:p w14:paraId="5BC18064"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0.1</w:t>
            </w:r>
          </w:p>
        </w:tc>
      </w:tr>
      <w:tr w:rsidR="00215939" w:rsidRPr="002331AA" w14:paraId="7F98040F" w14:textId="77777777" w:rsidTr="002D4275">
        <w:trPr>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7C925F17" w14:textId="77777777" w:rsidR="00215939" w:rsidRPr="00EB31C3" w:rsidRDefault="00215939" w:rsidP="002D4275">
            <w:pPr>
              <w:jc w:val="right"/>
              <w:rPr>
                <w:sz w:val="16"/>
                <w:szCs w:val="16"/>
                <w:lang w:eastAsia="es-MX"/>
              </w:rPr>
            </w:pPr>
            <w:r w:rsidRPr="00EB31C3">
              <w:rPr>
                <w:sz w:val="16"/>
                <w:szCs w:val="16"/>
                <w:lang w:eastAsia="es-MX"/>
              </w:rPr>
              <w:t>483112</w:t>
            </w:r>
          </w:p>
        </w:tc>
        <w:tc>
          <w:tcPr>
            <w:tcW w:w="0" w:type="auto"/>
            <w:hideMark/>
          </w:tcPr>
          <w:p w14:paraId="1656FBC8" w14:textId="77777777" w:rsidR="00215939" w:rsidRPr="00EB31C3" w:rsidRDefault="00215939" w:rsidP="002D4275">
            <w:pPr>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Transporte marítimo de cabotaje, excepto de petróleo y gas natural</w:t>
            </w:r>
          </w:p>
        </w:tc>
        <w:tc>
          <w:tcPr>
            <w:tcW w:w="0" w:type="auto"/>
            <w:hideMark/>
          </w:tcPr>
          <w:p w14:paraId="2205D60A"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100</w:t>
            </w:r>
          </w:p>
        </w:tc>
        <w:tc>
          <w:tcPr>
            <w:tcW w:w="0" w:type="auto"/>
            <w:hideMark/>
          </w:tcPr>
          <w:p w14:paraId="54F101D1"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93.1</w:t>
            </w:r>
          </w:p>
        </w:tc>
        <w:tc>
          <w:tcPr>
            <w:tcW w:w="0" w:type="auto"/>
            <w:hideMark/>
          </w:tcPr>
          <w:p w14:paraId="3CDF9401"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1.9</w:t>
            </w:r>
          </w:p>
        </w:tc>
        <w:tc>
          <w:tcPr>
            <w:tcW w:w="0" w:type="auto"/>
            <w:hideMark/>
          </w:tcPr>
          <w:p w14:paraId="683DC579"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3.0</w:t>
            </w:r>
          </w:p>
        </w:tc>
        <w:tc>
          <w:tcPr>
            <w:tcW w:w="0" w:type="auto"/>
            <w:hideMark/>
          </w:tcPr>
          <w:p w14:paraId="24CDAE5E"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0.6</w:t>
            </w:r>
          </w:p>
        </w:tc>
        <w:tc>
          <w:tcPr>
            <w:tcW w:w="0" w:type="auto"/>
            <w:hideMark/>
          </w:tcPr>
          <w:p w14:paraId="01A705D9"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1.3</w:t>
            </w:r>
          </w:p>
        </w:tc>
      </w:tr>
      <w:tr w:rsidR="00215939" w:rsidRPr="002331AA" w14:paraId="12DAE522" w14:textId="77777777" w:rsidTr="002D42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05E0B66E" w14:textId="77777777" w:rsidR="00215939" w:rsidRPr="00EB31C3" w:rsidRDefault="00215939" w:rsidP="002D4275">
            <w:pPr>
              <w:jc w:val="right"/>
              <w:rPr>
                <w:sz w:val="16"/>
                <w:szCs w:val="16"/>
                <w:lang w:eastAsia="es-MX"/>
              </w:rPr>
            </w:pPr>
            <w:r w:rsidRPr="00EB31C3">
              <w:rPr>
                <w:sz w:val="16"/>
                <w:szCs w:val="16"/>
                <w:lang w:eastAsia="es-MX"/>
              </w:rPr>
              <w:t>484</w:t>
            </w:r>
          </w:p>
        </w:tc>
        <w:tc>
          <w:tcPr>
            <w:tcW w:w="0" w:type="auto"/>
            <w:hideMark/>
          </w:tcPr>
          <w:p w14:paraId="18C34619" w14:textId="77777777" w:rsidR="00215939" w:rsidRPr="00EB31C3" w:rsidRDefault="00215939" w:rsidP="002D4275">
            <w:pPr>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Autotransporte de carga</w:t>
            </w:r>
          </w:p>
        </w:tc>
        <w:tc>
          <w:tcPr>
            <w:tcW w:w="0" w:type="auto"/>
            <w:hideMark/>
          </w:tcPr>
          <w:p w14:paraId="1664E009"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100</w:t>
            </w:r>
          </w:p>
        </w:tc>
        <w:tc>
          <w:tcPr>
            <w:tcW w:w="0" w:type="auto"/>
            <w:hideMark/>
          </w:tcPr>
          <w:p w14:paraId="36F38087"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84.7</w:t>
            </w:r>
          </w:p>
        </w:tc>
        <w:tc>
          <w:tcPr>
            <w:tcW w:w="0" w:type="auto"/>
            <w:hideMark/>
          </w:tcPr>
          <w:p w14:paraId="36968AEB"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7.8</w:t>
            </w:r>
          </w:p>
        </w:tc>
        <w:tc>
          <w:tcPr>
            <w:tcW w:w="0" w:type="auto"/>
            <w:hideMark/>
          </w:tcPr>
          <w:p w14:paraId="485C24F9"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2.7</w:t>
            </w:r>
          </w:p>
        </w:tc>
        <w:tc>
          <w:tcPr>
            <w:tcW w:w="0" w:type="auto"/>
            <w:hideMark/>
          </w:tcPr>
          <w:p w14:paraId="120348DD"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2.9</w:t>
            </w:r>
          </w:p>
        </w:tc>
        <w:tc>
          <w:tcPr>
            <w:tcW w:w="0" w:type="auto"/>
            <w:hideMark/>
          </w:tcPr>
          <w:p w14:paraId="230F090C"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2.0</w:t>
            </w:r>
          </w:p>
        </w:tc>
      </w:tr>
      <w:tr w:rsidR="00215939" w:rsidRPr="002331AA" w14:paraId="4C5D4497" w14:textId="77777777" w:rsidTr="002D4275">
        <w:trPr>
          <w:trHeight w:val="540"/>
        </w:trPr>
        <w:tc>
          <w:tcPr>
            <w:cnfStyle w:val="001000000000" w:firstRow="0" w:lastRow="0" w:firstColumn="1" w:lastColumn="0" w:oddVBand="0" w:evenVBand="0" w:oddHBand="0" w:evenHBand="0" w:firstRowFirstColumn="0" w:firstRowLastColumn="0" w:lastRowFirstColumn="0" w:lastRowLastColumn="0"/>
            <w:tcW w:w="0" w:type="auto"/>
            <w:hideMark/>
          </w:tcPr>
          <w:p w14:paraId="7294FFAC" w14:textId="77777777" w:rsidR="00215939" w:rsidRPr="00EB31C3" w:rsidRDefault="00215939" w:rsidP="002D4275">
            <w:pPr>
              <w:jc w:val="right"/>
              <w:rPr>
                <w:sz w:val="16"/>
                <w:szCs w:val="16"/>
                <w:lang w:eastAsia="es-MX"/>
              </w:rPr>
            </w:pPr>
            <w:r w:rsidRPr="00EB31C3">
              <w:rPr>
                <w:sz w:val="16"/>
                <w:szCs w:val="16"/>
                <w:lang w:eastAsia="es-MX"/>
              </w:rPr>
              <w:t>485111</w:t>
            </w:r>
          </w:p>
        </w:tc>
        <w:tc>
          <w:tcPr>
            <w:tcW w:w="0" w:type="auto"/>
            <w:hideMark/>
          </w:tcPr>
          <w:p w14:paraId="59215DC6" w14:textId="77777777" w:rsidR="00215939" w:rsidRPr="00EB31C3" w:rsidRDefault="00215939" w:rsidP="002D4275">
            <w:pPr>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Transporte colectivo urbano y suburbano de pasajeros en autobuses de ruta fija</w:t>
            </w:r>
          </w:p>
        </w:tc>
        <w:tc>
          <w:tcPr>
            <w:tcW w:w="0" w:type="auto"/>
            <w:hideMark/>
          </w:tcPr>
          <w:p w14:paraId="70174B2B"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100</w:t>
            </w:r>
          </w:p>
        </w:tc>
        <w:tc>
          <w:tcPr>
            <w:tcW w:w="0" w:type="auto"/>
            <w:hideMark/>
          </w:tcPr>
          <w:p w14:paraId="48ABB372"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94.3</w:t>
            </w:r>
          </w:p>
        </w:tc>
        <w:tc>
          <w:tcPr>
            <w:tcW w:w="0" w:type="auto"/>
            <w:hideMark/>
          </w:tcPr>
          <w:p w14:paraId="7E0FFBF2"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4.2</w:t>
            </w:r>
          </w:p>
        </w:tc>
        <w:tc>
          <w:tcPr>
            <w:tcW w:w="0" w:type="auto"/>
            <w:hideMark/>
          </w:tcPr>
          <w:p w14:paraId="46416375"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0.4</w:t>
            </w:r>
          </w:p>
        </w:tc>
        <w:tc>
          <w:tcPr>
            <w:tcW w:w="0" w:type="auto"/>
            <w:hideMark/>
          </w:tcPr>
          <w:p w14:paraId="559152C0"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0.7</w:t>
            </w:r>
          </w:p>
        </w:tc>
        <w:tc>
          <w:tcPr>
            <w:tcW w:w="0" w:type="auto"/>
            <w:hideMark/>
          </w:tcPr>
          <w:p w14:paraId="43206205"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0.5</w:t>
            </w:r>
          </w:p>
        </w:tc>
      </w:tr>
      <w:tr w:rsidR="00215939" w:rsidRPr="002331AA" w14:paraId="4D2AC02C" w14:textId="77777777" w:rsidTr="002D42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311D287A" w14:textId="77777777" w:rsidR="00215939" w:rsidRPr="00EB31C3" w:rsidRDefault="00215939" w:rsidP="002D4275">
            <w:pPr>
              <w:jc w:val="right"/>
              <w:rPr>
                <w:sz w:val="16"/>
                <w:szCs w:val="16"/>
                <w:lang w:eastAsia="es-MX"/>
              </w:rPr>
            </w:pPr>
            <w:r w:rsidRPr="00EB31C3">
              <w:rPr>
                <w:sz w:val="16"/>
                <w:szCs w:val="16"/>
                <w:lang w:eastAsia="es-MX"/>
              </w:rPr>
              <w:t>4852</w:t>
            </w:r>
          </w:p>
        </w:tc>
        <w:tc>
          <w:tcPr>
            <w:tcW w:w="0" w:type="auto"/>
            <w:hideMark/>
          </w:tcPr>
          <w:p w14:paraId="46A69F12" w14:textId="77777777" w:rsidR="00215939" w:rsidRPr="00EB31C3" w:rsidRDefault="00215939" w:rsidP="002D4275">
            <w:pPr>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Transporte colectivo foráneo de pasajeros de ruta fija</w:t>
            </w:r>
          </w:p>
        </w:tc>
        <w:tc>
          <w:tcPr>
            <w:tcW w:w="0" w:type="auto"/>
            <w:hideMark/>
          </w:tcPr>
          <w:p w14:paraId="01314BB6"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100</w:t>
            </w:r>
          </w:p>
        </w:tc>
        <w:tc>
          <w:tcPr>
            <w:tcW w:w="0" w:type="auto"/>
            <w:hideMark/>
          </w:tcPr>
          <w:p w14:paraId="5B32343F"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82.7</w:t>
            </w:r>
          </w:p>
        </w:tc>
        <w:tc>
          <w:tcPr>
            <w:tcW w:w="0" w:type="auto"/>
            <w:hideMark/>
          </w:tcPr>
          <w:p w14:paraId="300B3865"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6.0</w:t>
            </w:r>
          </w:p>
        </w:tc>
        <w:tc>
          <w:tcPr>
            <w:tcW w:w="0" w:type="auto"/>
            <w:hideMark/>
          </w:tcPr>
          <w:p w14:paraId="397F4206"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7.1</w:t>
            </w:r>
          </w:p>
        </w:tc>
        <w:tc>
          <w:tcPr>
            <w:tcW w:w="0" w:type="auto"/>
            <w:hideMark/>
          </w:tcPr>
          <w:p w14:paraId="6214B705"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2.2</w:t>
            </w:r>
          </w:p>
        </w:tc>
        <w:tc>
          <w:tcPr>
            <w:tcW w:w="0" w:type="auto"/>
            <w:hideMark/>
          </w:tcPr>
          <w:p w14:paraId="4FBE28A9"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2.1</w:t>
            </w:r>
          </w:p>
        </w:tc>
      </w:tr>
    </w:tbl>
    <w:p w14:paraId="15F8918E" w14:textId="77777777" w:rsidR="00940360" w:rsidRPr="00B00775" w:rsidRDefault="00940360" w:rsidP="00940360">
      <w:pPr>
        <w:rPr>
          <w:b/>
          <w:bCs/>
          <w:sz w:val="16"/>
          <w:szCs w:val="16"/>
          <w:lang w:eastAsia="es-MX"/>
        </w:rPr>
      </w:pPr>
      <w:r w:rsidRPr="00B00775">
        <w:rPr>
          <w:sz w:val="16"/>
          <w:szCs w:val="16"/>
          <w:vertAlign w:val="superscript"/>
          <w:lang w:eastAsia="es-MX"/>
        </w:rPr>
        <w:t>P/</w:t>
      </w:r>
      <w:r w:rsidRPr="00B00775">
        <w:rPr>
          <w:sz w:val="16"/>
          <w:szCs w:val="16"/>
          <w:lang w:eastAsia="es-MX"/>
        </w:rPr>
        <w:t xml:space="preserve"> Preliminar</w:t>
      </w:r>
    </w:p>
    <w:p w14:paraId="7BF4AC1B" w14:textId="77777777" w:rsidR="00940360" w:rsidRPr="00B00775" w:rsidRDefault="00940360" w:rsidP="00940360">
      <w:pPr>
        <w:contextualSpacing/>
        <w:rPr>
          <w:sz w:val="16"/>
          <w:szCs w:val="16"/>
        </w:rPr>
      </w:pPr>
      <w:r w:rsidRPr="00B00775">
        <w:rPr>
          <w:sz w:val="16"/>
          <w:szCs w:val="16"/>
          <w:vertAlign w:val="superscript"/>
          <w:lang w:eastAsia="es-MX"/>
        </w:rPr>
        <w:t>1</w:t>
      </w:r>
      <w:r w:rsidRPr="00B00775">
        <w:rPr>
          <w:sz w:val="16"/>
          <w:szCs w:val="16"/>
          <w:lang w:eastAsia="es-MX"/>
        </w:rPr>
        <w:t xml:space="preserve"> SCIAN: Sistema de Clasificación Industrial de América del Norte</w:t>
      </w:r>
    </w:p>
    <w:p w14:paraId="747B787F" w14:textId="438D162C" w:rsidR="00940360" w:rsidRPr="00B00775" w:rsidRDefault="00940360" w:rsidP="00940360">
      <w:pPr>
        <w:contextualSpacing/>
        <w:rPr>
          <w:sz w:val="16"/>
          <w:szCs w:val="16"/>
        </w:rPr>
      </w:pPr>
      <w:r w:rsidRPr="00B00775">
        <w:rPr>
          <w:sz w:val="16"/>
          <w:szCs w:val="16"/>
          <w:lang w:eastAsia="es-MX"/>
        </w:rPr>
        <w:t>Fuente: Instituto Nacional de Estadística y Geografía, Encuesta Anual del Transporte</w:t>
      </w:r>
      <w:r w:rsidR="00736EE1">
        <w:rPr>
          <w:sz w:val="16"/>
          <w:szCs w:val="16"/>
          <w:lang w:eastAsia="es-MX"/>
        </w:rPr>
        <w:t xml:space="preserve"> 2021</w:t>
      </w:r>
    </w:p>
    <w:p w14:paraId="05355A6F" w14:textId="77777777" w:rsidR="00215939" w:rsidRDefault="00215939" w:rsidP="00215939">
      <w:pPr>
        <w:ind w:left="-426"/>
        <w:contextualSpacing/>
      </w:pPr>
    </w:p>
    <w:p w14:paraId="5768F8A1" w14:textId="581FAF46" w:rsidR="00215939" w:rsidRDefault="00940360" w:rsidP="00940360">
      <w:pPr>
        <w:contextualSpacing/>
      </w:pPr>
      <w:r>
        <w:t xml:space="preserve">La EAT 2021 </w:t>
      </w:r>
      <w:r w:rsidR="00215939" w:rsidRPr="00E64A4D">
        <w:t>aport</w:t>
      </w:r>
      <w:r>
        <w:t>a</w:t>
      </w:r>
      <w:r w:rsidR="00215939" w:rsidRPr="00E64A4D">
        <w:t xml:space="preserve"> información </w:t>
      </w:r>
      <w:r>
        <w:t>sobre el gasto que las empresas transportistas realizan en combustible. El</w:t>
      </w:r>
      <w:r w:rsidR="00215939" w:rsidRPr="00E64A4D">
        <w:t xml:space="preserve"> diésel </w:t>
      </w:r>
      <w:r>
        <w:t xml:space="preserve">fue el </w:t>
      </w:r>
      <w:r w:rsidR="00215939" w:rsidRPr="00E64A4D">
        <w:t>que se utiliz</w:t>
      </w:r>
      <w:r>
        <w:t>ó</w:t>
      </w:r>
      <w:r w:rsidR="00215939" w:rsidRPr="00E64A4D">
        <w:t xml:space="preserve"> con mayor frecuencia</w:t>
      </w:r>
      <w:r w:rsidR="00FC75ED">
        <w:t xml:space="preserve">. </w:t>
      </w:r>
      <w:r w:rsidR="00F71FB5" w:rsidRPr="00F71FB5">
        <w:rPr>
          <w:i/>
        </w:rPr>
        <w:t>T</w:t>
      </w:r>
      <w:r w:rsidR="0027278D" w:rsidRPr="00F71FB5">
        <w:rPr>
          <w:i/>
        </w:rPr>
        <w:t>ra</w:t>
      </w:r>
      <w:r w:rsidR="0027278D" w:rsidRPr="00FC75ED">
        <w:rPr>
          <w:i/>
        </w:rPr>
        <w:t>nsporte aéreo</w:t>
      </w:r>
      <w:r w:rsidR="00FC75ED" w:rsidRPr="00FC75ED">
        <w:rPr>
          <w:i/>
        </w:rPr>
        <w:t xml:space="preserve"> regular en líneas aéreas nacionales</w:t>
      </w:r>
      <w:r w:rsidR="0027278D">
        <w:t xml:space="preserve"> utiliza turbosina y las actividades de </w:t>
      </w:r>
      <w:r w:rsidR="00F71FB5">
        <w:rPr>
          <w:i/>
        </w:rPr>
        <w:t>T</w:t>
      </w:r>
      <w:r w:rsidR="0027278D" w:rsidRPr="00FC75ED">
        <w:rPr>
          <w:i/>
        </w:rPr>
        <w:t>ransporte de carga</w:t>
      </w:r>
      <w:r w:rsidR="0027278D">
        <w:t xml:space="preserve"> y de </w:t>
      </w:r>
      <w:r w:rsidR="00F71FB5">
        <w:rPr>
          <w:i/>
        </w:rPr>
        <w:t>T</w:t>
      </w:r>
      <w:r w:rsidR="0027278D" w:rsidRPr="00FC75ED">
        <w:rPr>
          <w:i/>
        </w:rPr>
        <w:t>ransporte colectivo urbano y suburbano de pasajeros</w:t>
      </w:r>
      <w:r w:rsidR="00F71FB5">
        <w:t xml:space="preserve"> usan</w:t>
      </w:r>
      <w:r w:rsidR="0027278D">
        <w:t xml:space="preserve"> gasolina </w:t>
      </w:r>
      <w:r w:rsidR="00FC75ED">
        <w:t xml:space="preserve">y </w:t>
      </w:r>
      <w:r w:rsidR="0027278D">
        <w:t>diésel</w:t>
      </w:r>
      <w:r w:rsidR="00215939" w:rsidRPr="00E64A4D">
        <w:t>.</w:t>
      </w:r>
    </w:p>
    <w:p w14:paraId="4245E197" w14:textId="7AB5E4C9" w:rsidR="00940360" w:rsidRDefault="00940360" w:rsidP="00337FFC">
      <w:pPr>
        <w:spacing w:line="240" w:lineRule="atLeast"/>
        <w:contextualSpacing/>
      </w:pPr>
    </w:p>
    <w:p w14:paraId="2F16FACA" w14:textId="1F9FF652" w:rsidR="00241F0B" w:rsidRDefault="00241F0B" w:rsidP="00337FFC">
      <w:pPr>
        <w:spacing w:line="240" w:lineRule="atLeast"/>
        <w:contextualSpacing/>
      </w:pPr>
    </w:p>
    <w:p w14:paraId="56B96095" w14:textId="20BB2832" w:rsidR="00241F0B" w:rsidRDefault="00241F0B" w:rsidP="00337FFC">
      <w:pPr>
        <w:spacing w:line="240" w:lineRule="atLeast"/>
        <w:contextualSpacing/>
      </w:pPr>
    </w:p>
    <w:p w14:paraId="4701C780" w14:textId="2A4F6254" w:rsidR="00241F0B" w:rsidRDefault="00241F0B" w:rsidP="00337FFC">
      <w:pPr>
        <w:spacing w:line="240" w:lineRule="atLeast"/>
        <w:contextualSpacing/>
      </w:pPr>
    </w:p>
    <w:p w14:paraId="427BE86A" w14:textId="268FF151" w:rsidR="00241F0B" w:rsidRDefault="00241F0B" w:rsidP="00337FFC">
      <w:pPr>
        <w:spacing w:line="240" w:lineRule="atLeast"/>
        <w:contextualSpacing/>
      </w:pPr>
    </w:p>
    <w:p w14:paraId="7B297CD9" w14:textId="01A79B87" w:rsidR="00241F0B" w:rsidRDefault="00241F0B" w:rsidP="00337FFC">
      <w:pPr>
        <w:spacing w:line="240" w:lineRule="atLeast"/>
        <w:contextualSpacing/>
      </w:pPr>
    </w:p>
    <w:p w14:paraId="160645EA" w14:textId="09B4DA82" w:rsidR="00241F0B" w:rsidRDefault="00241F0B" w:rsidP="00337FFC">
      <w:pPr>
        <w:spacing w:line="240" w:lineRule="atLeast"/>
        <w:contextualSpacing/>
      </w:pPr>
    </w:p>
    <w:p w14:paraId="7A2F6A8D" w14:textId="0817AA0F" w:rsidR="00241F0B" w:rsidRDefault="00241F0B" w:rsidP="00337FFC">
      <w:pPr>
        <w:spacing w:line="240" w:lineRule="atLeast"/>
        <w:contextualSpacing/>
      </w:pPr>
    </w:p>
    <w:p w14:paraId="0EE3C2DD" w14:textId="52B761B7" w:rsidR="00241F0B" w:rsidRDefault="00241F0B" w:rsidP="00337FFC">
      <w:pPr>
        <w:spacing w:line="240" w:lineRule="atLeast"/>
        <w:contextualSpacing/>
      </w:pPr>
    </w:p>
    <w:p w14:paraId="602C839E" w14:textId="26C231F2" w:rsidR="00241F0B" w:rsidRDefault="00241F0B" w:rsidP="00337FFC">
      <w:pPr>
        <w:spacing w:line="240" w:lineRule="atLeast"/>
        <w:contextualSpacing/>
      </w:pPr>
    </w:p>
    <w:p w14:paraId="0302D9D3" w14:textId="1F6B1D04" w:rsidR="00241F0B" w:rsidRDefault="00241F0B" w:rsidP="00337FFC">
      <w:pPr>
        <w:spacing w:line="240" w:lineRule="atLeast"/>
        <w:contextualSpacing/>
      </w:pPr>
    </w:p>
    <w:p w14:paraId="6B44E01E" w14:textId="4C56E28C" w:rsidR="00241F0B" w:rsidRDefault="00241F0B" w:rsidP="00337FFC">
      <w:pPr>
        <w:spacing w:line="240" w:lineRule="atLeast"/>
        <w:contextualSpacing/>
      </w:pPr>
    </w:p>
    <w:p w14:paraId="3C3DF43E" w14:textId="774FEAB5" w:rsidR="00241F0B" w:rsidRDefault="00241F0B" w:rsidP="00337FFC">
      <w:pPr>
        <w:spacing w:line="240" w:lineRule="atLeast"/>
        <w:contextualSpacing/>
      </w:pPr>
    </w:p>
    <w:p w14:paraId="4FEC0DF3" w14:textId="2DE00835" w:rsidR="00FC75ED" w:rsidRDefault="00FC75ED" w:rsidP="00337FFC">
      <w:pPr>
        <w:spacing w:line="240" w:lineRule="atLeast"/>
        <w:contextualSpacing/>
      </w:pPr>
    </w:p>
    <w:p w14:paraId="06A7A66F" w14:textId="77777777" w:rsidR="00FC75ED" w:rsidRDefault="00FC75ED" w:rsidP="00337FFC">
      <w:pPr>
        <w:spacing w:line="240" w:lineRule="atLeast"/>
        <w:contextualSpacing/>
      </w:pPr>
    </w:p>
    <w:p w14:paraId="5296BA53" w14:textId="7B76EC19" w:rsidR="00241F0B" w:rsidRDefault="00241F0B" w:rsidP="00337FFC">
      <w:pPr>
        <w:spacing w:line="240" w:lineRule="atLeast"/>
        <w:contextualSpacing/>
      </w:pPr>
    </w:p>
    <w:p w14:paraId="1C4C7525" w14:textId="3C36BBDF" w:rsidR="00241F0B" w:rsidRDefault="00241F0B" w:rsidP="00337FFC">
      <w:pPr>
        <w:spacing w:line="240" w:lineRule="atLeast"/>
        <w:contextualSpacing/>
      </w:pPr>
    </w:p>
    <w:p w14:paraId="075E4C33" w14:textId="77777777" w:rsidR="00940360" w:rsidRDefault="00215939" w:rsidP="00215939">
      <w:pPr>
        <w:ind w:left="-426"/>
        <w:contextualSpacing/>
        <w:jc w:val="center"/>
        <w:rPr>
          <w:sz w:val="20"/>
          <w:szCs w:val="20"/>
          <w:lang w:val="es-MX" w:eastAsia="es-MX"/>
        </w:rPr>
      </w:pPr>
      <w:r w:rsidRPr="00337FFC">
        <w:rPr>
          <w:sz w:val="20"/>
          <w:szCs w:val="20"/>
          <w:lang w:val="es-MX" w:eastAsia="es-MX"/>
        </w:rPr>
        <w:lastRenderedPageBreak/>
        <w:t>Cuadro 5</w:t>
      </w:r>
    </w:p>
    <w:p w14:paraId="711713AC" w14:textId="2471F91F" w:rsidR="00215939" w:rsidRPr="00337FFC" w:rsidRDefault="00940360" w:rsidP="00215939">
      <w:pPr>
        <w:ind w:left="-426"/>
        <w:contextualSpacing/>
        <w:jc w:val="center"/>
        <w:rPr>
          <w:rFonts w:ascii="Arial Negrita" w:hAnsi="Arial Negrita"/>
          <w:smallCaps/>
          <w:sz w:val="22"/>
          <w:szCs w:val="22"/>
        </w:rPr>
      </w:pPr>
      <w:r w:rsidRPr="00337FFC">
        <w:rPr>
          <w:rFonts w:ascii="Arial Negrita" w:hAnsi="Arial Negrita"/>
          <w:b/>
          <w:smallCaps/>
          <w:sz w:val="22"/>
          <w:szCs w:val="22"/>
          <w:lang w:val="es-MX" w:eastAsia="es-MX"/>
        </w:rPr>
        <w:t>D</w:t>
      </w:r>
      <w:r w:rsidR="00215939" w:rsidRPr="00337FFC">
        <w:rPr>
          <w:rFonts w:ascii="Arial Negrita" w:hAnsi="Arial Negrita"/>
          <w:b/>
          <w:smallCaps/>
          <w:sz w:val="22"/>
          <w:szCs w:val="22"/>
          <w:lang w:val="es-MX" w:eastAsia="es-MX"/>
        </w:rPr>
        <w:t>istribución porcentual del gasto en combustible</w:t>
      </w:r>
      <w:r>
        <w:rPr>
          <w:rFonts w:ascii="Arial Negrita" w:hAnsi="Arial Negrita"/>
          <w:b/>
          <w:smallCaps/>
          <w:sz w:val="22"/>
          <w:szCs w:val="22"/>
          <w:lang w:val="es-MX" w:eastAsia="es-MX"/>
        </w:rPr>
        <w:t>, 2021</w:t>
      </w:r>
      <w:r w:rsidRPr="00337FFC">
        <w:rPr>
          <w:rFonts w:ascii="Arial Negrita" w:hAnsi="Arial Negrita"/>
          <w:b/>
          <w:smallCaps/>
          <w:sz w:val="22"/>
          <w:szCs w:val="22"/>
          <w:vertAlign w:val="superscript"/>
          <w:lang w:val="es-MX" w:eastAsia="es-MX"/>
        </w:rPr>
        <w:t>P/</w:t>
      </w:r>
    </w:p>
    <w:tbl>
      <w:tblPr>
        <w:tblStyle w:val="Tablanormal4"/>
        <w:tblW w:w="5000" w:type="pct"/>
        <w:tblLook w:val="04A0" w:firstRow="1" w:lastRow="0" w:firstColumn="1" w:lastColumn="0" w:noHBand="0" w:noVBand="1"/>
      </w:tblPr>
      <w:tblGrid>
        <w:gridCol w:w="985"/>
        <w:gridCol w:w="1982"/>
        <w:gridCol w:w="796"/>
        <w:gridCol w:w="796"/>
        <w:gridCol w:w="893"/>
        <w:gridCol w:w="703"/>
        <w:gridCol w:w="945"/>
        <w:gridCol w:w="796"/>
        <w:gridCol w:w="568"/>
        <w:gridCol w:w="1034"/>
      </w:tblGrid>
      <w:tr w:rsidR="00215939" w:rsidRPr="007F5F35" w14:paraId="0789B54B" w14:textId="77777777" w:rsidTr="00337FF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9" w:type="pct"/>
            <w:vMerge w:val="restart"/>
            <w:hideMark/>
          </w:tcPr>
          <w:p w14:paraId="371873FD" w14:textId="627EC7A9" w:rsidR="00215939" w:rsidRPr="00EB31C3" w:rsidRDefault="00215939" w:rsidP="002D4275">
            <w:pPr>
              <w:jc w:val="center"/>
              <w:rPr>
                <w:b w:val="0"/>
                <w:bCs w:val="0"/>
                <w:sz w:val="16"/>
                <w:szCs w:val="16"/>
                <w:lang w:eastAsia="es-MX"/>
              </w:rPr>
            </w:pPr>
            <w:r w:rsidRPr="00EB31C3">
              <w:rPr>
                <w:sz w:val="16"/>
                <w:szCs w:val="16"/>
                <w:lang w:eastAsia="es-MX"/>
              </w:rPr>
              <w:t>Código SCIAN</w:t>
            </w:r>
            <w:r w:rsidR="00940360" w:rsidRPr="00337FFC">
              <w:rPr>
                <w:sz w:val="16"/>
                <w:szCs w:val="16"/>
                <w:vertAlign w:val="superscript"/>
                <w:lang w:eastAsia="es-MX"/>
              </w:rPr>
              <w:t>1</w:t>
            </w:r>
            <w:r w:rsidRPr="00EB31C3">
              <w:rPr>
                <w:sz w:val="16"/>
                <w:szCs w:val="16"/>
                <w:lang w:eastAsia="es-MX"/>
              </w:rPr>
              <w:t xml:space="preserve"> 2013</w:t>
            </w:r>
          </w:p>
        </w:tc>
        <w:tc>
          <w:tcPr>
            <w:tcW w:w="1044" w:type="pct"/>
            <w:vMerge w:val="restart"/>
            <w:hideMark/>
          </w:tcPr>
          <w:p w14:paraId="4026916B" w14:textId="77777777" w:rsidR="00215939" w:rsidRPr="00EB31C3"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Descripción</w:t>
            </w:r>
          </w:p>
        </w:tc>
        <w:tc>
          <w:tcPr>
            <w:tcW w:w="419" w:type="pct"/>
            <w:vMerge w:val="restart"/>
            <w:hideMark/>
          </w:tcPr>
          <w:p w14:paraId="22A58DEA" w14:textId="77777777" w:rsidR="00215939" w:rsidRPr="00EB31C3"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Total</w:t>
            </w:r>
          </w:p>
        </w:tc>
        <w:tc>
          <w:tcPr>
            <w:tcW w:w="2474" w:type="pct"/>
            <w:gridSpan w:val="6"/>
            <w:hideMark/>
          </w:tcPr>
          <w:p w14:paraId="44420DE5" w14:textId="77777777" w:rsidR="00215939" w:rsidRPr="00EB31C3"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Combustibles</w:t>
            </w:r>
          </w:p>
        </w:tc>
        <w:tc>
          <w:tcPr>
            <w:tcW w:w="544" w:type="pct"/>
            <w:hideMark/>
          </w:tcPr>
          <w:p w14:paraId="351BD366" w14:textId="77777777" w:rsidR="00215939" w:rsidRPr="00EB31C3" w:rsidRDefault="00215939" w:rsidP="002D4275">
            <w:pP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EB31C3">
              <w:rPr>
                <w:sz w:val="16"/>
                <w:szCs w:val="16"/>
                <w:lang w:eastAsia="es-MX"/>
              </w:rPr>
              <w:t>Lubricante</w:t>
            </w:r>
          </w:p>
        </w:tc>
      </w:tr>
      <w:tr w:rsidR="00215939" w:rsidRPr="007F5F35" w14:paraId="10F99634" w14:textId="77777777" w:rsidTr="00337FFC">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519" w:type="pct"/>
            <w:vMerge/>
            <w:hideMark/>
          </w:tcPr>
          <w:p w14:paraId="48FCAB6D" w14:textId="77777777" w:rsidR="00215939" w:rsidRPr="00EB31C3" w:rsidRDefault="00215939" w:rsidP="002D4275">
            <w:pPr>
              <w:rPr>
                <w:b w:val="0"/>
                <w:bCs w:val="0"/>
                <w:sz w:val="16"/>
                <w:szCs w:val="16"/>
                <w:lang w:eastAsia="es-MX"/>
              </w:rPr>
            </w:pPr>
          </w:p>
        </w:tc>
        <w:tc>
          <w:tcPr>
            <w:tcW w:w="1044" w:type="pct"/>
            <w:vMerge/>
            <w:hideMark/>
          </w:tcPr>
          <w:p w14:paraId="204962BF" w14:textId="77777777" w:rsidR="00215939" w:rsidRPr="00EB31C3" w:rsidRDefault="00215939" w:rsidP="002D4275">
            <w:pPr>
              <w:cnfStyle w:val="000000100000" w:firstRow="0" w:lastRow="0" w:firstColumn="0" w:lastColumn="0" w:oddVBand="0" w:evenVBand="0" w:oddHBand="1" w:evenHBand="0" w:firstRowFirstColumn="0" w:firstRowLastColumn="0" w:lastRowFirstColumn="0" w:lastRowLastColumn="0"/>
              <w:rPr>
                <w:b/>
                <w:bCs/>
                <w:sz w:val="16"/>
                <w:szCs w:val="16"/>
                <w:lang w:eastAsia="es-MX"/>
              </w:rPr>
            </w:pPr>
          </w:p>
        </w:tc>
        <w:tc>
          <w:tcPr>
            <w:tcW w:w="419" w:type="pct"/>
            <w:vMerge/>
            <w:hideMark/>
          </w:tcPr>
          <w:p w14:paraId="3A5DED50" w14:textId="77777777" w:rsidR="00215939" w:rsidRPr="00EB31C3" w:rsidRDefault="00215939" w:rsidP="002D4275">
            <w:pPr>
              <w:cnfStyle w:val="000000100000" w:firstRow="0" w:lastRow="0" w:firstColumn="0" w:lastColumn="0" w:oddVBand="0" w:evenVBand="0" w:oddHBand="1" w:evenHBand="0" w:firstRowFirstColumn="0" w:firstRowLastColumn="0" w:lastRowFirstColumn="0" w:lastRowLastColumn="0"/>
              <w:rPr>
                <w:b/>
                <w:bCs/>
                <w:sz w:val="16"/>
                <w:szCs w:val="16"/>
                <w:lang w:eastAsia="es-MX"/>
              </w:rPr>
            </w:pPr>
          </w:p>
        </w:tc>
        <w:tc>
          <w:tcPr>
            <w:tcW w:w="419" w:type="pct"/>
            <w:hideMark/>
          </w:tcPr>
          <w:p w14:paraId="4065EB2E" w14:textId="77777777" w:rsidR="00215939" w:rsidRPr="00EB31C3"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6"/>
                <w:szCs w:val="16"/>
                <w:lang w:eastAsia="es-MX"/>
              </w:rPr>
            </w:pPr>
            <w:r w:rsidRPr="00EB31C3">
              <w:rPr>
                <w:b/>
                <w:bCs/>
                <w:sz w:val="16"/>
                <w:szCs w:val="16"/>
                <w:lang w:eastAsia="es-MX"/>
              </w:rPr>
              <w:t>Total</w:t>
            </w:r>
          </w:p>
        </w:tc>
        <w:tc>
          <w:tcPr>
            <w:tcW w:w="470" w:type="pct"/>
            <w:hideMark/>
          </w:tcPr>
          <w:p w14:paraId="20FC2ABD" w14:textId="77777777" w:rsidR="00215939" w:rsidRPr="00EB31C3"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6"/>
                <w:szCs w:val="16"/>
                <w:lang w:eastAsia="es-MX"/>
              </w:rPr>
            </w:pPr>
            <w:r w:rsidRPr="00EB31C3">
              <w:rPr>
                <w:b/>
                <w:bCs/>
                <w:sz w:val="16"/>
                <w:szCs w:val="16"/>
                <w:lang w:eastAsia="es-MX"/>
              </w:rPr>
              <w:t>Gasolina</w:t>
            </w:r>
          </w:p>
        </w:tc>
        <w:tc>
          <w:tcPr>
            <w:tcW w:w="370" w:type="pct"/>
            <w:hideMark/>
          </w:tcPr>
          <w:p w14:paraId="05006523" w14:textId="77777777" w:rsidR="00215939" w:rsidRPr="00EB31C3"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6"/>
                <w:szCs w:val="16"/>
                <w:lang w:eastAsia="es-MX"/>
              </w:rPr>
            </w:pPr>
            <w:r w:rsidRPr="00EB31C3">
              <w:rPr>
                <w:b/>
                <w:bCs/>
                <w:sz w:val="16"/>
                <w:szCs w:val="16"/>
                <w:lang w:eastAsia="es-MX"/>
              </w:rPr>
              <w:t>Diésel</w:t>
            </w:r>
          </w:p>
        </w:tc>
        <w:tc>
          <w:tcPr>
            <w:tcW w:w="497" w:type="pct"/>
            <w:hideMark/>
          </w:tcPr>
          <w:p w14:paraId="7B34A656" w14:textId="77777777" w:rsidR="00215939" w:rsidRPr="00EB31C3"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6"/>
                <w:szCs w:val="16"/>
                <w:lang w:eastAsia="es-MX"/>
              </w:rPr>
            </w:pPr>
            <w:r w:rsidRPr="00EB31C3">
              <w:rPr>
                <w:b/>
                <w:bCs/>
                <w:sz w:val="16"/>
                <w:szCs w:val="16"/>
                <w:lang w:eastAsia="es-MX"/>
              </w:rPr>
              <w:t>Gas-avión o turbosina</w:t>
            </w:r>
          </w:p>
        </w:tc>
        <w:tc>
          <w:tcPr>
            <w:tcW w:w="419" w:type="pct"/>
            <w:hideMark/>
          </w:tcPr>
          <w:p w14:paraId="2DDE1B0B" w14:textId="77777777" w:rsidR="00215939" w:rsidRPr="00EB31C3"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6"/>
                <w:szCs w:val="16"/>
                <w:lang w:eastAsia="es-MX"/>
              </w:rPr>
            </w:pPr>
            <w:r w:rsidRPr="00EB31C3">
              <w:rPr>
                <w:b/>
                <w:bCs/>
                <w:sz w:val="16"/>
                <w:szCs w:val="16"/>
                <w:lang w:eastAsia="es-MX"/>
              </w:rPr>
              <w:t>Gas</w:t>
            </w:r>
          </w:p>
        </w:tc>
        <w:tc>
          <w:tcPr>
            <w:tcW w:w="298" w:type="pct"/>
            <w:hideMark/>
          </w:tcPr>
          <w:p w14:paraId="3CC03AC1" w14:textId="77777777" w:rsidR="00215939" w:rsidRPr="00EB31C3"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6"/>
                <w:szCs w:val="16"/>
                <w:lang w:eastAsia="es-MX"/>
              </w:rPr>
            </w:pPr>
            <w:r w:rsidRPr="00EB31C3">
              <w:rPr>
                <w:b/>
                <w:bCs/>
                <w:sz w:val="16"/>
                <w:szCs w:val="16"/>
                <w:lang w:eastAsia="es-MX"/>
              </w:rPr>
              <w:t>Otro</w:t>
            </w:r>
          </w:p>
        </w:tc>
        <w:tc>
          <w:tcPr>
            <w:tcW w:w="544" w:type="pct"/>
            <w:hideMark/>
          </w:tcPr>
          <w:p w14:paraId="359ADC13" w14:textId="77777777" w:rsidR="00215939" w:rsidRPr="00EB31C3"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6"/>
                <w:szCs w:val="16"/>
                <w:lang w:eastAsia="es-MX"/>
              </w:rPr>
            </w:pPr>
            <w:r w:rsidRPr="00EB31C3">
              <w:rPr>
                <w:b/>
                <w:bCs/>
                <w:sz w:val="16"/>
                <w:szCs w:val="16"/>
                <w:lang w:eastAsia="es-MX"/>
              </w:rPr>
              <w:t>Total</w:t>
            </w:r>
          </w:p>
        </w:tc>
      </w:tr>
      <w:tr w:rsidR="00337FFC" w:rsidRPr="007F5F35" w14:paraId="7376A59F" w14:textId="77777777" w:rsidTr="00337FFC">
        <w:trPr>
          <w:trHeight w:val="480"/>
        </w:trPr>
        <w:tc>
          <w:tcPr>
            <w:cnfStyle w:val="001000000000" w:firstRow="0" w:lastRow="0" w:firstColumn="1" w:lastColumn="0" w:oddVBand="0" w:evenVBand="0" w:oddHBand="0" w:evenHBand="0" w:firstRowFirstColumn="0" w:firstRowLastColumn="0" w:lastRowFirstColumn="0" w:lastRowLastColumn="0"/>
            <w:tcW w:w="519" w:type="pct"/>
            <w:hideMark/>
          </w:tcPr>
          <w:p w14:paraId="5203FF70" w14:textId="77777777" w:rsidR="00215939" w:rsidRPr="00EB31C3" w:rsidRDefault="00215939" w:rsidP="002D4275">
            <w:pPr>
              <w:jc w:val="right"/>
              <w:rPr>
                <w:sz w:val="16"/>
                <w:szCs w:val="16"/>
                <w:lang w:eastAsia="es-MX"/>
              </w:rPr>
            </w:pPr>
            <w:r w:rsidRPr="00EB31C3">
              <w:rPr>
                <w:sz w:val="16"/>
                <w:szCs w:val="16"/>
                <w:lang w:eastAsia="es-MX"/>
              </w:rPr>
              <w:t>481111</w:t>
            </w:r>
          </w:p>
        </w:tc>
        <w:tc>
          <w:tcPr>
            <w:tcW w:w="1044" w:type="pct"/>
            <w:hideMark/>
          </w:tcPr>
          <w:p w14:paraId="7E6B4E84" w14:textId="77777777" w:rsidR="00215939" w:rsidRPr="00EB31C3" w:rsidRDefault="00215939" w:rsidP="002D4275">
            <w:pPr>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Transporte aéreo regular en líneas aéreas nacionales</w:t>
            </w:r>
          </w:p>
        </w:tc>
        <w:tc>
          <w:tcPr>
            <w:tcW w:w="419" w:type="pct"/>
            <w:hideMark/>
          </w:tcPr>
          <w:p w14:paraId="75B00E31"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100</w:t>
            </w:r>
          </w:p>
        </w:tc>
        <w:tc>
          <w:tcPr>
            <w:tcW w:w="419" w:type="pct"/>
            <w:hideMark/>
          </w:tcPr>
          <w:p w14:paraId="7E1D71E5"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99.4</w:t>
            </w:r>
          </w:p>
        </w:tc>
        <w:tc>
          <w:tcPr>
            <w:tcW w:w="470" w:type="pct"/>
            <w:hideMark/>
          </w:tcPr>
          <w:p w14:paraId="4AA76763"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0.0</w:t>
            </w:r>
          </w:p>
        </w:tc>
        <w:tc>
          <w:tcPr>
            <w:tcW w:w="370" w:type="pct"/>
            <w:hideMark/>
          </w:tcPr>
          <w:p w14:paraId="13360AEC"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0.0</w:t>
            </w:r>
          </w:p>
        </w:tc>
        <w:tc>
          <w:tcPr>
            <w:tcW w:w="497" w:type="pct"/>
            <w:hideMark/>
          </w:tcPr>
          <w:p w14:paraId="1B4DBDED"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100.0</w:t>
            </w:r>
          </w:p>
        </w:tc>
        <w:tc>
          <w:tcPr>
            <w:tcW w:w="419" w:type="pct"/>
            <w:hideMark/>
          </w:tcPr>
          <w:p w14:paraId="107BFDCC"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0.0</w:t>
            </w:r>
          </w:p>
        </w:tc>
        <w:tc>
          <w:tcPr>
            <w:tcW w:w="298" w:type="pct"/>
            <w:hideMark/>
          </w:tcPr>
          <w:p w14:paraId="7FC446A2"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0.0</w:t>
            </w:r>
          </w:p>
        </w:tc>
        <w:tc>
          <w:tcPr>
            <w:tcW w:w="544" w:type="pct"/>
            <w:hideMark/>
          </w:tcPr>
          <w:p w14:paraId="27D6B8A7"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0.6</w:t>
            </w:r>
          </w:p>
        </w:tc>
      </w:tr>
      <w:tr w:rsidR="00215939" w:rsidRPr="007F5F35" w14:paraId="07CD9125" w14:textId="77777777" w:rsidTr="00337FF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19" w:type="pct"/>
            <w:hideMark/>
          </w:tcPr>
          <w:p w14:paraId="29BCC57D" w14:textId="77777777" w:rsidR="00215939" w:rsidRPr="00EB31C3" w:rsidRDefault="00215939" w:rsidP="002D4275">
            <w:pPr>
              <w:jc w:val="right"/>
              <w:rPr>
                <w:sz w:val="16"/>
                <w:szCs w:val="16"/>
                <w:lang w:eastAsia="es-MX"/>
              </w:rPr>
            </w:pPr>
            <w:r w:rsidRPr="00EB31C3">
              <w:rPr>
                <w:sz w:val="16"/>
                <w:szCs w:val="16"/>
                <w:lang w:eastAsia="es-MX"/>
              </w:rPr>
              <w:t>482110</w:t>
            </w:r>
          </w:p>
        </w:tc>
        <w:tc>
          <w:tcPr>
            <w:tcW w:w="1044" w:type="pct"/>
            <w:hideMark/>
          </w:tcPr>
          <w:p w14:paraId="49F128A6" w14:textId="77777777" w:rsidR="00215939" w:rsidRPr="00EB31C3" w:rsidRDefault="00215939" w:rsidP="002D4275">
            <w:pPr>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Transporte por ferrocarril</w:t>
            </w:r>
          </w:p>
        </w:tc>
        <w:tc>
          <w:tcPr>
            <w:tcW w:w="419" w:type="pct"/>
            <w:hideMark/>
          </w:tcPr>
          <w:p w14:paraId="43B132C9"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100</w:t>
            </w:r>
          </w:p>
        </w:tc>
        <w:tc>
          <w:tcPr>
            <w:tcW w:w="419" w:type="pct"/>
            <w:hideMark/>
          </w:tcPr>
          <w:p w14:paraId="7FF6119F"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99.1</w:t>
            </w:r>
          </w:p>
        </w:tc>
        <w:tc>
          <w:tcPr>
            <w:tcW w:w="470" w:type="pct"/>
            <w:hideMark/>
          </w:tcPr>
          <w:p w14:paraId="1E0F0157"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0.0</w:t>
            </w:r>
          </w:p>
        </w:tc>
        <w:tc>
          <w:tcPr>
            <w:tcW w:w="370" w:type="pct"/>
            <w:hideMark/>
          </w:tcPr>
          <w:p w14:paraId="40B334C2"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99.4</w:t>
            </w:r>
          </w:p>
        </w:tc>
        <w:tc>
          <w:tcPr>
            <w:tcW w:w="497" w:type="pct"/>
            <w:hideMark/>
          </w:tcPr>
          <w:p w14:paraId="35FBBB43"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0.0</w:t>
            </w:r>
          </w:p>
        </w:tc>
        <w:tc>
          <w:tcPr>
            <w:tcW w:w="419" w:type="pct"/>
            <w:hideMark/>
          </w:tcPr>
          <w:p w14:paraId="154BC971"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0.0</w:t>
            </w:r>
          </w:p>
        </w:tc>
        <w:tc>
          <w:tcPr>
            <w:tcW w:w="298" w:type="pct"/>
            <w:hideMark/>
          </w:tcPr>
          <w:p w14:paraId="177BAE33"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0.6</w:t>
            </w:r>
          </w:p>
        </w:tc>
        <w:tc>
          <w:tcPr>
            <w:tcW w:w="544" w:type="pct"/>
            <w:hideMark/>
          </w:tcPr>
          <w:p w14:paraId="7ED68C34"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0.9</w:t>
            </w:r>
          </w:p>
        </w:tc>
      </w:tr>
      <w:tr w:rsidR="00337FFC" w:rsidRPr="007F5F35" w14:paraId="59EF413F" w14:textId="77777777" w:rsidTr="00337FFC">
        <w:trPr>
          <w:trHeight w:val="480"/>
        </w:trPr>
        <w:tc>
          <w:tcPr>
            <w:cnfStyle w:val="001000000000" w:firstRow="0" w:lastRow="0" w:firstColumn="1" w:lastColumn="0" w:oddVBand="0" w:evenVBand="0" w:oddHBand="0" w:evenHBand="0" w:firstRowFirstColumn="0" w:firstRowLastColumn="0" w:lastRowFirstColumn="0" w:lastRowLastColumn="0"/>
            <w:tcW w:w="519" w:type="pct"/>
            <w:hideMark/>
          </w:tcPr>
          <w:p w14:paraId="7445DB6E" w14:textId="77777777" w:rsidR="00215939" w:rsidRPr="00EB31C3" w:rsidRDefault="00215939" w:rsidP="002D4275">
            <w:pPr>
              <w:jc w:val="right"/>
              <w:rPr>
                <w:sz w:val="16"/>
                <w:szCs w:val="16"/>
                <w:lang w:eastAsia="es-MX"/>
              </w:rPr>
            </w:pPr>
            <w:r w:rsidRPr="00EB31C3">
              <w:rPr>
                <w:sz w:val="16"/>
                <w:szCs w:val="16"/>
                <w:lang w:eastAsia="es-MX"/>
              </w:rPr>
              <w:t>483111</w:t>
            </w:r>
          </w:p>
        </w:tc>
        <w:tc>
          <w:tcPr>
            <w:tcW w:w="1044" w:type="pct"/>
            <w:hideMark/>
          </w:tcPr>
          <w:p w14:paraId="3700047F" w14:textId="77777777" w:rsidR="00215939" w:rsidRPr="00EB31C3" w:rsidRDefault="00215939" w:rsidP="002D4275">
            <w:pPr>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Transporte marítimo de altura, excepto de petróleo y gas natural</w:t>
            </w:r>
          </w:p>
        </w:tc>
        <w:tc>
          <w:tcPr>
            <w:tcW w:w="419" w:type="pct"/>
            <w:hideMark/>
          </w:tcPr>
          <w:p w14:paraId="16B94798"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100</w:t>
            </w:r>
          </w:p>
        </w:tc>
        <w:tc>
          <w:tcPr>
            <w:tcW w:w="419" w:type="pct"/>
            <w:hideMark/>
          </w:tcPr>
          <w:p w14:paraId="5CFC4252"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92.6</w:t>
            </w:r>
          </w:p>
        </w:tc>
        <w:tc>
          <w:tcPr>
            <w:tcW w:w="470" w:type="pct"/>
            <w:hideMark/>
          </w:tcPr>
          <w:p w14:paraId="54893528"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0.0</w:t>
            </w:r>
          </w:p>
        </w:tc>
        <w:tc>
          <w:tcPr>
            <w:tcW w:w="370" w:type="pct"/>
            <w:hideMark/>
          </w:tcPr>
          <w:p w14:paraId="2EC9128E"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100.0</w:t>
            </w:r>
          </w:p>
        </w:tc>
        <w:tc>
          <w:tcPr>
            <w:tcW w:w="497" w:type="pct"/>
            <w:hideMark/>
          </w:tcPr>
          <w:p w14:paraId="72D98EF3"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0.0</w:t>
            </w:r>
          </w:p>
        </w:tc>
        <w:tc>
          <w:tcPr>
            <w:tcW w:w="419" w:type="pct"/>
            <w:hideMark/>
          </w:tcPr>
          <w:p w14:paraId="1F4DF76A"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0.0</w:t>
            </w:r>
          </w:p>
        </w:tc>
        <w:tc>
          <w:tcPr>
            <w:tcW w:w="298" w:type="pct"/>
            <w:hideMark/>
          </w:tcPr>
          <w:p w14:paraId="0D197028"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0.0</w:t>
            </w:r>
          </w:p>
        </w:tc>
        <w:tc>
          <w:tcPr>
            <w:tcW w:w="544" w:type="pct"/>
            <w:hideMark/>
          </w:tcPr>
          <w:p w14:paraId="23F06F6C"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7.4</w:t>
            </w:r>
          </w:p>
        </w:tc>
      </w:tr>
      <w:tr w:rsidR="00215939" w:rsidRPr="007F5F35" w14:paraId="06842385" w14:textId="77777777" w:rsidTr="00337FF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19" w:type="pct"/>
            <w:hideMark/>
          </w:tcPr>
          <w:p w14:paraId="4AA704DF" w14:textId="77777777" w:rsidR="00215939" w:rsidRPr="00EB31C3" w:rsidRDefault="00215939" w:rsidP="002D4275">
            <w:pPr>
              <w:jc w:val="right"/>
              <w:rPr>
                <w:sz w:val="16"/>
                <w:szCs w:val="16"/>
                <w:lang w:eastAsia="es-MX"/>
              </w:rPr>
            </w:pPr>
            <w:r w:rsidRPr="00EB31C3">
              <w:rPr>
                <w:sz w:val="16"/>
                <w:szCs w:val="16"/>
                <w:lang w:eastAsia="es-MX"/>
              </w:rPr>
              <w:t>483112</w:t>
            </w:r>
          </w:p>
        </w:tc>
        <w:tc>
          <w:tcPr>
            <w:tcW w:w="1044" w:type="pct"/>
            <w:hideMark/>
          </w:tcPr>
          <w:p w14:paraId="0472C9F0" w14:textId="77777777" w:rsidR="00215939" w:rsidRPr="00EB31C3" w:rsidRDefault="00215939" w:rsidP="002D4275">
            <w:pPr>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Transporte marítimo de cabotaje, excepto de petróleo y gas natural</w:t>
            </w:r>
          </w:p>
        </w:tc>
        <w:tc>
          <w:tcPr>
            <w:tcW w:w="419" w:type="pct"/>
            <w:hideMark/>
          </w:tcPr>
          <w:p w14:paraId="42B9B762"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100</w:t>
            </w:r>
          </w:p>
        </w:tc>
        <w:tc>
          <w:tcPr>
            <w:tcW w:w="419" w:type="pct"/>
            <w:hideMark/>
          </w:tcPr>
          <w:p w14:paraId="69BCF11B"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95.0</w:t>
            </w:r>
          </w:p>
        </w:tc>
        <w:tc>
          <w:tcPr>
            <w:tcW w:w="470" w:type="pct"/>
            <w:hideMark/>
          </w:tcPr>
          <w:p w14:paraId="107A9618"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0.0</w:t>
            </w:r>
          </w:p>
        </w:tc>
        <w:tc>
          <w:tcPr>
            <w:tcW w:w="370" w:type="pct"/>
            <w:hideMark/>
          </w:tcPr>
          <w:p w14:paraId="49DCBECE"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100.0</w:t>
            </w:r>
          </w:p>
        </w:tc>
        <w:tc>
          <w:tcPr>
            <w:tcW w:w="497" w:type="pct"/>
            <w:hideMark/>
          </w:tcPr>
          <w:p w14:paraId="3490C57F"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0.0</w:t>
            </w:r>
          </w:p>
        </w:tc>
        <w:tc>
          <w:tcPr>
            <w:tcW w:w="419" w:type="pct"/>
            <w:hideMark/>
          </w:tcPr>
          <w:p w14:paraId="30F558C1"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0.0</w:t>
            </w:r>
          </w:p>
        </w:tc>
        <w:tc>
          <w:tcPr>
            <w:tcW w:w="298" w:type="pct"/>
            <w:hideMark/>
          </w:tcPr>
          <w:p w14:paraId="4F5A9FC1"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0.0</w:t>
            </w:r>
          </w:p>
        </w:tc>
        <w:tc>
          <w:tcPr>
            <w:tcW w:w="544" w:type="pct"/>
            <w:hideMark/>
          </w:tcPr>
          <w:p w14:paraId="62AF9F6E"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5.0</w:t>
            </w:r>
          </w:p>
        </w:tc>
      </w:tr>
      <w:tr w:rsidR="00337FFC" w:rsidRPr="007F5F35" w14:paraId="492AFC59" w14:textId="77777777" w:rsidTr="00337FFC">
        <w:trPr>
          <w:trHeight w:val="255"/>
        </w:trPr>
        <w:tc>
          <w:tcPr>
            <w:cnfStyle w:val="001000000000" w:firstRow="0" w:lastRow="0" w:firstColumn="1" w:lastColumn="0" w:oddVBand="0" w:evenVBand="0" w:oddHBand="0" w:evenHBand="0" w:firstRowFirstColumn="0" w:firstRowLastColumn="0" w:lastRowFirstColumn="0" w:lastRowLastColumn="0"/>
            <w:tcW w:w="519" w:type="pct"/>
            <w:hideMark/>
          </w:tcPr>
          <w:p w14:paraId="16534FA7" w14:textId="77777777" w:rsidR="00215939" w:rsidRPr="00EB31C3" w:rsidRDefault="00215939" w:rsidP="002D4275">
            <w:pPr>
              <w:jc w:val="right"/>
              <w:rPr>
                <w:sz w:val="16"/>
                <w:szCs w:val="16"/>
                <w:lang w:eastAsia="es-MX"/>
              </w:rPr>
            </w:pPr>
            <w:r w:rsidRPr="00EB31C3">
              <w:rPr>
                <w:sz w:val="16"/>
                <w:szCs w:val="16"/>
                <w:lang w:eastAsia="es-MX"/>
              </w:rPr>
              <w:t>484</w:t>
            </w:r>
          </w:p>
        </w:tc>
        <w:tc>
          <w:tcPr>
            <w:tcW w:w="1044" w:type="pct"/>
            <w:hideMark/>
          </w:tcPr>
          <w:p w14:paraId="15238533" w14:textId="77777777" w:rsidR="00215939" w:rsidRPr="00EB31C3" w:rsidRDefault="00215939" w:rsidP="002D4275">
            <w:pPr>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Autotransporte de carga</w:t>
            </w:r>
          </w:p>
        </w:tc>
        <w:tc>
          <w:tcPr>
            <w:tcW w:w="419" w:type="pct"/>
            <w:hideMark/>
          </w:tcPr>
          <w:p w14:paraId="0EB9AC9A"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100</w:t>
            </w:r>
          </w:p>
        </w:tc>
        <w:tc>
          <w:tcPr>
            <w:tcW w:w="419" w:type="pct"/>
            <w:hideMark/>
          </w:tcPr>
          <w:p w14:paraId="041F56D5"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91.8</w:t>
            </w:r>
          </w:p>
        </w:tc>
        <w:tc>
          <w:tcPr>
            <w:tcW w:w="470" w:type="pct"/>
            <w:hideMark/>
          </w:tcPr>
          <w:p w14:paraId="4152D669"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5.1</w:t>
            </w:r>
          </w:p>
        </w:tc>
        <w:tc>
          <w:tcPr>
            <w:tcW w:w="370" w:type="pct"/>
            <w:hideMark/>
          </w:tcPr>
          <w:p w14:paraId="21F85A5B"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94.2</w:t>
            </w:r>
          </w:p>
        </w:tc>
        <w:tc>
          <w:tcPr>
            <w:tcW w:w="497" w:type="pct"/>
            <w:hideMark/>
          </w:tcPr>
          <w:p w14:paraId="4FAF113A"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0.0</w:t>
            </w:r>
          </w:p>
        </w:tc>
        <w:tc>
          <w:tcPr>
            <w:tcW w:w="419" w:type="pct"/>
            <w:hideMark/>
          </w:tcPr>
          <w:p w14:paraId="0A34B271"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0.5</w:t>
            </w:r>
          </w:p>
        </w:tc>
        <w:tc>
          <w:tcPr>
            <w:tcW w:w="298" w:type="pct"/>
            <w:hideMark/>
          </w:tcPr>
          <w:p w14:paraId="22AE60C2"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0.1</w:t>
            </w:r>
          </w:p>
        </w:tc>
        <w:tc>
          <w:tcPr>
            <w:tcW w:w="544" w:type="pct"/>
            <w:hideMark/>
          </w:tcPr>
          <w:p w14:paraId="16C2C5CD"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8.2</w:t>
            </w:r>
          </w:p>
        </w:tc>
      </w:tr>
      <w:tr w:rsidR="00215939" w:rsidRPr="007F5F35" w14:paraId="5FB1B102" w14:textId="77777777" w:rsidTr="00337FFC">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19" w:type="pct"/>
            <w:hideMark/>
          </w:tcPr>
          <w:p w14:paraId="111FC8FD" w14:textId="77777777" w:rsidR="00215939" w:rsidRPr="00EB31C3" w:rsidRDefault="00215939" w:rsidP="002D4275">
            <w:pPr>
              <w:jc w:val="right"/>
              <w:rPr>
                <w:sz w:val="16"/>
                <w:szCs w:val="16"/>
                <w:lang w:eastAsia="es-MX"/>
              </w:rPr>
            </w:pPr>
            <w:r w:rsidRPr="00EB31C3">
              <w:rPr>
                <w:sz w:val="16"/>
                <w:szCs w:val="16"/>
                <w:lang w:eastAsia="es-MX"/>
              </w:rPr>
              <w:t>485111</w:t>
            </w:r>
          </w:p>
        </w:tc>
        <w:tc>
          <w:tcPr>
            <w:tcW w:w="1044" w:type="pct"/>
            <w:hideMark/>
          </w:tcPr>
          <w:p w14:paraId="0B6E3F8C" w14:textId="77777777" w:rsidR="00215939" w:rsidRPr="00EB31C3" w:rsidRDefault="00215939" w:rsidP="002D4275">
            <w:pPr>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Transporte colectivo urbano y suburbano de pasajeros en autobuses de ruta fija</w:t>
            </w:r>
          </w:p>
        </w:tc>
        <w:tc>
          <w:tcPr>
            <w:tcW w:w="419" w:type="pct"/>
            <w:hideMark/>
          </w:tcPr>
          <w:p w14:paraId="1F8882BA"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100</w:t>
            </w:r>
          </w:p>
        </w:tc>
        <w:tc>
          <w:tcPr>
            <w:tcW w:w="419" w:type="pct"/>
            <w:hideMark/>
          </w:tcPr>
          <w:p w14:paraId="530BDB22"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86.8</w:t>
            </w:r>
          </w:p>
        </w:tc>
        <w:tc>
          <w:tcPr>
            <w:tcW w:w="470" w:type="pct"/>
            <w:hideMark/>
          </w:tcPr>
          <w:p w14:paraId="08E27EB9"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11.6</w:t>
            </w:r>
          </w:p>
        </w:tc>
        <w:tc>
          <w:tcPr>
            <w:tcW w:w="370" w:type="pct"/>
            <w:hideMark/>
          </w:tcPr>
          <w:p w14:paraId="74242ABD"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83.1</w:t>
            </w:r>
          </w:p>
        </w:tc>
        <w:tc>
          <w:tcPr>
            <w:tcW w:w="497" w:type="pct"/>
            <w:hideMark/>
          </w:tcPr>
          <w:p w14:paraId="2A8882F5"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0.0</w:t>
            </w:r>
          </w:p>
        </w:tc>
        <w:tc>
          <w:tcPr>
            <w:tcW w:w="419" w:type="pct"/>
            <w:hideMark/>
          </w:tcPr>
          <w:p w14:paraId="5214B2DD"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5.3</w:t>
            </w:r>
          </w:p>
        </w:tc>
        <w:tc>
          <w:tcPr>
            <w:tcW w:w="298" w:type="pct"/>
            <w:hideMark/>
          </w:tcPr>
          <w:p w14:paraId="7F1EBB85"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0.0</w:t>
            </w:r>
          </w:p>
        </w:tc>
        <w:tc>
          <w:tcPr>
            <w:tcW w:w="544" w:type="pct"/>
            <w:hideMark/>
          </w:tcPr>
          <w:p w14:paraId="590CEB74" w14:textId="77777777" w:rsidR="00215939" w:rsidRPr="00EB31C3" w:rsidRDefault="00215939" w:rsidP="002D4275">
            <w:pPr>
              <w:jc w:val="right"/>
              <w:cnfStyle w:val="000000100000" w:firstRow="0" w:lastRow="0" w:firstColumn="0" w:lastColumn="0" w:oddVBand="0" w:evenVBand="0" w:oddHBand="1" w:evenHBand="0" w:firstRowFirstColumn="0" w:firstRowLastColumn="0" w:lastRowFirstColumn="0" w:lastRowLastColumn="0"/>
              <w:rPr>
                <w:sz w:val="16"/>
                <w:szCs w:val="16"/>
                <w:lang w:eastAsia="es-MX"/>
              </w:rPr>
            </w:pPr>
            <w:r w:rsidRPr="00EB31C3">
              <w:rPr>
                <w:sz w:val="16"/>
                <w:szCs w:val="16"/>
                <w:lang w:eastAsia="es-MX"/>
              </w:rPr>
              <w:t>13.2</w:t>
            </w:r>
          </w:p>
        </w:tc>
      </w:tr>
      <w:tr w:rsidR="00337FFC" w:rsidRPr="007F5F35" w14:paraId="53F20DE7" w14:textId="77777777" w:rsidTr="00337FFC">
        <w:trPr>
          <w:trHeight w:val="480"/>
        </w:trPr>
        <w:tc>
          <w:tcPr>
            <w:cnfStyle w:val="001000000000" w:firstRow="0" w:lastRow="0" w:firstColumn="1" w:lastColumn="0" w:oddVBand="0" w:evenVBand="0" w:oddHBand="0" w:evenHBand="0" w:firstRowFirstColumn="0" w:firstRowLastColumn="0" w:lastRowFirstColumn="0" w:lastRowLastColumn="0"/>
            <w:tcW w:w="519" w:type="pct"/>
            <w:hideMark/>
          </w:tcPr>
          <w:p w14:paraId="3EE07AD6" w14:textId="77777777" w:rsidR="00215939" w:rsidRPr="00EB31C3" w:rsidRDefault="00215939" w:rsidP="002D4275">
            <w:pPr>
              <w:jc w:val="right"/>
              <w:rPr>
                <w:sz w:val="16"/>
                <w:szCs w:val="16"/>
                <w:lang w:eastAsia="es-MX"/>
              </w:rPr>
            </w:pPr>
            <w:r w:rsidRPr="00EB31C3">
              <w:rPr>
                <w:sz w:val="16"/>
                <w:szCs w:val="16"/>
                <w:lang w:eastAsia="es-MX"/>
              </w:rPr>
              <w:t>4852</w:t>
            </w:r>
          </w:p>
        </w:tc>
        <w:tc>
          <w:tcPr>
            <w:tcW w:w="1044" w:type="pct"/>
            <w:hideMark/>
          </w:tcPr>
          <w:p w14:paraId="44D526CE" w14:textId="77777777" w:rsidR="00215939" w:rsidRPr="00EB31C3" w:rsidRDefault="00215939" w:rsidP="002D4275">
            <w:pPr>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Transporte colectivo foráneo de pasajeros de ruta fija</w:t>
            </w:r>
          </w:p>
        </w:tc>
        <w:tc>
          <w:tcPr>
            <w:tcW w:w="419" w:type="pct"/>
            <w:hideMark/>
          </w:tcPr>
          <w:p w14:paraId="403E761E"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100</w:t>
            </w:r>
          </w:p>
        </w:tc>
        <w:tc>
          <w:tcPr>
            <w:tcW w:w="419" w:type="pct"/>
            <w:hideMark/>
          </w:tcPr>
          <w:p w14:paraId="3746291A"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90.5</w:t>
            </w:r>
          </w:p>
        </w:tc>
        <w:tc>
          <w:tcPr>
            <w:tcW w:w="470" w:type="pct"/>
            <w:hideMark/>
          </w:tcPr>
          <w:p w14:paraId="19A399DF"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4.6</w:t>
            </w:r>
          </w:p>
        </w:tc>
        <w:tc>
          <w:tcPr>
            <w:tcW w:w="370" w:type="pct"/>
            <w:hideMark/>
          </w:tcPr>
          <w:p w14:paraId="3452C82B"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93.6</w:t>
            </w:r>
          </w:p>
        </w:tc>
        <w:tc>
          <w:tcPr>
            <w:tcW w:w="497" w:type="pct"/>
            <w:hideMark/>
          </w:tcPr>
          <w:p w14:paraId="66D5F063"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0.0</w:t>
            </w:r>
          </w:p>
        </w:tc>
        <w:tc>
          <w:tcPr>
            <w:tcW w:w="419" w:type="pct"/>
            <w:hideMark/>
          </w:tcPr>
          <w:p w14:paraId="3873ECD8"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0.0</w:t>
            </w:r>
          </w:p>
        </w:tc>
        <w:tc>
          <w:tcPr>
            <w:tcW w:w="298" w:type="pct"/>
            <w:hideMark/>
          </w:tcPr>
          <w:p w14:paraId="5251DD01"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1.9</w:t>
            </w:r>
          </w:p>
        </w:tc>
        <w:tc>
          <w:tcPr>
            <w:tcW w:w="544" w:type="pct"/>
            <w:hideMark/>
          </w:tcPr>
          <w:p w14:paraId="29985498" w14:textId="77777777" w:rsidR="00215939" w:rsidRPr="00EB31C3" w:rsidRDefault="00215939" w:rsidP="002D4275">
            <w:pPr>
              <w:jc w:val="right"/>
              <w:cnfStyle w:val="000000000000" w:firstRow="0" w:lastRow="0" w:firstColumn="0" w:lastColumn="0" w:oddVBand="0" w:evenVBand="0" w:oddHBand="0" w:evenHBand="0" w:firstRowFirstColumn="0" w:firstRowLastColumn="0" w:lastRowFirstColumn="0" w:lastRowLastColumn="0"/>
              <w:rPr>
                <w:sz w:val="16"/>
                <w:szCs w:val="16"/>
                <w:lang w:eastAsia="es-MX"/>
              </w:rPr>
            </w:pPr>
            <w:r w:rsidRPr="00EB31C3">
              <w:rPr>
                <w:sz w:val="16"/>
                <w:szCs w:val="16"/>
                <w:lang w:eastAsia="es-MX"/>
              </w:rPr>
              <w:t>9.5</w:t>
            </w:r>
          </w:p>
        </w:tc>
      </w:tr>
    </w:tbl>
    <w:p w14:paraId="65364A8F" w14:textId="77777777" w:rsidR="00940360" w:rsidRPr="00B00775" w:rsidRDefault="00940360" w:rsidP="00940360">
      <w:pPr>
        <w:rPr>
          <w:b/>
          <w:bCs/>
          <w:sz w:val="16"/>
          <w:szCs w:val="16"/>
          <w:lang w:eastAsia="es-MX"/>
        </w:rPr>
      </w:pPr>
      <w:r w:rsidRPr="00B00775">
        <w:rPr>
          <w:sz w:val="16"/>
          <w:szCs w:val="16"/>
          <w:vertAlign w:val="superscript"/>
          <w:lang w:eastAsia="es-MX"/>
        </w:rPr>
        <w:t>P/</w:t>
      </w:r>
      <w:r w:rsidRPr="00B00775">
        <w:rPr>
          <w:sz w:val="16"/>
          <w:szCs w:val="16"/>
          <w:lang w:eastAsia="es-MX"/>
        </w:rPr>
        <w:t xml:space="preserve"> Preliminar</w:t>
      </w:r>
    </w:p>
    <w:p w14:paraId="6ED74822" w14:textId="77777777" w:rsidR="00940360" w:rsidRPr="00B00775" w:rsidRDefault="00940360" w:rsidP="00940360">
      <w:pPr>
        <w:contextualSpacing/>
        <w:rPr>
          <w:sz w:val="16"/>
          <w:szCs w:val="16"/>
        </w:rPr>
      </w:pPr>
      <w:r w:rsidRPr="00B00775">
        <w:rPr>
          <w:sz w:val="16"/>
          <w:szCs w:val="16"/>
          <w:vertAlign w:val="superscript"/>
          <w:lang w:eastAsia="es-MX"/>
        </w:rPr>
        <w:t>1</w:t>
      </w:r>
      <w:r w:rsidRPr="00B00775">
        <w:rPr>
          <w:sz w:val="16"/>
          <w:szCs w:val="16"/>
          <w:lang w:eastAsia="es-MX"/>
        </w:rPr>
        <w:t xml:space="preserve"> SCIAN: Sistema de Clasificación Industrial de América del Norte</w:t>
      </w:r>
    </w:p>
    <w:p w14:paraId="53F727AD" w14:textId="26CEC94C" w:rsidR="00940360" w:rsidRDefault="00940360" w:rsidP="00FC75ED">
      <w:pPr>
        <w:spacing w:after="120"/>
        <w:contextualSpacing/>
        <w:rPr>
          <w:sz w:val="16"/>
          <w:szCs w:val="16"/>
          <w:lang w:eastAsia="es-MX"/>
        </w:rPr>
      </w:pPr>
      <w:r w:rsidRPr="00B00775">
        <w:rPr>
          <w:sz w:val="16"/>
          <w:szCs w:val="16"/>
          <w:lang w:eastAsia="es-MX"/>
        </w:rPr>
        <w:t>Fuente: Instituto Nacional de Estadística y Geografía, Encuesta Anual del Transporte</w:t>
      </w:r>
      <w:r w:rsidR="00857F5D">
        <w:rPr>
          <w:sz w:val="16"/>
          <w:szCs w:val="16"/>
          <w:lang w:eastAsia="es-MX"/>
        </w:rPr>
        <w:t xml:space="preserve"> 2021</w:t>
      </w:r>
    </w:p>
    <w:p w14:paraId="0F0EABBE" w14:textId="77777777" w:rsidR="00ED65F9" w:rsidRPr="00B00775" w:rsidRDefault="00ED65F9" w:rsidP="00940360">
      <w:pPr>
        <w:contextualSpacing/>
        <w:rPr>
          <w:sz w:val="16"/>
          <w:szCs w:val="16"/>
        </w:rPr>
      </w:pPr>
    </w:p>
    <w:p w14:paraId="2924FB32" w14:textId="77777777" w:rsidR="00FC75ED" w:rsidRDefault="00FC75ED" w:rsidP="00215939">
      <w:pPr>
        <w:ind w:left="-426"/>
        <w:contextualSpacing/>
      </w:pPr>
    </w:p>
    <w:p w14:paraId="6CEA20A3" w14:textId="3ABC9F49" w:rsidR="00215939" w:rsidRDefault="00940360" w:rsidP="00215939">
      <w:pPr>
        <w:ind w:left="-426"/>
        <w:contextualSpacing/>
        <w:rPr>
          <w:noProof/>
          <w:lang w:eastAsia="es-MX"/>
        </w:rPr>
      </w:pPr>
      <w:r w:rsidRPr="00337FFC">
        <w:t>En 2021, a</w:t>
      </w:r>
      <w:r w:rsidR="00F71FB5">
        <w:rPr>
          <w:noProof/>
          <w:lang w:eastAsia="es-MX"/>
        </w:rPr>
        <w:t>u</w:t>
      </w:r>
      <w:r w:rsidRPr="00940360">
        <w:rPr>
          <w:noProof/>
          <w:lang w:eastAsia="es-MX"/>
        </w:rPr>
        <w:t>n con</w:t>
      </w:r>
      <w:r w:rsidR="00215939" w:rsidRPr="00E64A4D">
        <w:rPr>
          <w:noProof/>
          <w:lang w:eastAsia="es-MX"/>
        </w:rPr>
        <w:t xml:space="preserve"> la disminución de las actividades económicas en el país, el sector </w:t>
      </w:r>
      <w:r>
        <w:rPr>
          <w:noProof/>
          <w:lang w:eastAsia="es-MX"/>
        </w:rPr>
        <w:t>T</w:t>
      </w:r>
      <w:r w:rsidR="00215939" w:rsidRPr="00E64A4D">
        <w:rPr>
          <w:noProof/>
          <w:lang w:eastAsia="es-MX"/>
        </w:rPr>
        <w:t xml:space="preserve">ransportes mantuvo actividades en un volumen significativo </w:t>
      </w:r>
      <w:r>
        <w:rPr>
          <w:noProof/>
          <w:lang w:eastAsia="es-MX"/>
        </w:rPr>
        <w:t xml:space="preserve">y </w:t>
      </w:r>
      <w:r w:rsidR="00215939">
        <w:rPr>
          <w:noProof/>
          <w:lang w:eastAsia="es-MX"/>
        </w:rPr>
        <w:t>m</w:t>
      </w:r>
      <w:r>
        <w:rPr>
          <w:noProof/>
          <w:lang w:eastAsia="es-MX"/>
        </w:rPr>
        <w:t>o</w:t>
      </w:r>
      <w:r w:rsidR="00215939">
        <w:rPr>
          <w:noProof/>
          <w:lang w:eastAsia="es-MX"/>
        </w:rPr>
        <w:t>str</w:t>
      </w:r>
      <w:r>
        <w:rPr>
          <w:noProof/>
          <w:lang w:eastAsia="es-MX"/>
        </w:rPr>
        <w:t>ó</w:t>
      </w:r>
      <w:r w:rsidR="00215939">
        <w:rPr>
          <w:noProof/>
          <w:lang w:eastAsia="es-MX"/>
        </w:rPr>
        <w:t xml:space="preserve"> niveles de recuperación</w:t>
      </w:r>
      <w:r w:rsidR="0027278D">
        <w:rPr>
          <w:noProof/>
          <w:lang w:eastAsia="es-MX"/>
        </w:rPr>
        <w:t xml:space="preserve">: 86.5 % de incremento en pasajeros transportados vía aérea; 84.7 % de </w:t>
      </w:r>
      <w:r w:rsidR="00F54AB9">
        <w:rPr>
          <w:noProof/>
          <w:lang w:eastAsia="es-MX"/>
        </w:rPr>
        <w:t xml:space="preserve">incremento en carga transportada vía ferrocarril y 48.8 % más de kilómetros recorridos en </w:t>
      </w:r>
      <w:r w:rsidR="00F71FB5">
        <w:rPr>
          <w:noProof/>
          <w:lang w:eastAsia="es-MX"/>
        </w:rPr>
        <w:t>T</w:t>
      </w:r>
      <w:r w:rsidR="00F54AB9" w:rsidRPr="00FC75ED">
        <w:rPr>
          <w:i/>
          <w:noProof/>
          <w:lang w:eastAsia="es-MX"/>
        </w:rPr>
        <w:t>ransporte marítimo de altura, excepto de petróleo y gas natural</w:t>
      </w:r>
      <w:r w:rsidR="00F54AB9">
        <w:rPr>
          <w:noProof/>
          <w:lang w:eastAsia="es-MX"/>
        </w:rPr>
        <w:t>, todo en comparación con los niveles de 2020</w:t>
      </w:r>
      <w:r w:rsidR="00ED65F9">
        <w:rPr>
          <w:noProof/>
          <w:lang w:eastAsia="es-MX"/>
        </w:rPr>
        <w:t>. Lo anterior</w:t>
      </w:r>
      <w:r w:rsidR="00FC75ED">
        <w:rPr>
          <w:noProof/>
          <w:lang w:eastAsia="es-MX"/>
        </w:rPr>
        <w:t>,</w:t>
      </w:r>
      <w:r w:rsidR="00215939">
        <w:rPr>
          <w:noProof/>
          <w:lang w:eastAsia="es-MX"/>
        </w:rPr>
        <w:t xml:space="preserve"> a pesar de la pandemia por</w:t>
      </w:r>
      <w:r>
        <w:rPr>
          <w:noProof/>
          <w:lang w:eastAsia="es-MX"/>
        </w:rPr>
        <w:t xml:space="preserve"> </w:t>
      </w:r>
      <w:r w:rsidR="00FC75ED">
        <w:rPr>
          <w:noProof/>
          <w:lang w:eastAsia="es-MX"/>
        </w:rPr>
        <w:t xml:space="preserve">la </w:t>
      </w:r>
      <w:r w:rsidR="00215939">
        <w:rPr>
          <w:noProof/>
          <w:lang w:eastAsia="es-MX"/>
        </w:rPr>
        <w:t>COVID-19</w:t>
      </w:r>
      <w:r w:rsidR="00ED65F9">
        <w:rPr>
          <w:noProof/>
          <w:lang w:eastAsia="es-MX"/>
        </w:rPr>
        <w:t>.</w:t>
      </w:r>
    </w:p>
    <w:p w14:paraId="6CF30612" w14:textId="77777777" w:rsidR="00215939" w:rsidRDefault="00215939" w:rsidP="00215939">
      <w:pPr>
        <w:ind w:left="-426"/>
        <w:contextualSpacing/>
        <w:rPr>
          <w:noProof/>
          <w:lang w:eastAsia="es-MX"/>
        </w:rPr>
      </w:pPr>
    </w:p>
    <w:p w14:paraId="5CA9764A" w14:textId="1433A7FE" w:rsidR="00940360" w:rsidRDefault="00215939" w:rsidP="00215939">
      <w:pPr>
        <w:ind w:right="284"/>
        <w:contextualSpacing/>
        <w:jc w:val="center"/>
        <w:rPr>
          <w:b/>
          <w:sz w:val="22"/>
          <w:szCs w:val="22"/>
          <w:lang w:val="es-MX" w:eastAsia="es-MX"/>
        </w:rPr>
      </w:pPr>
      <w:r w:rsidRPr="00337FFC">
        <w:rPr>
          <w:sz w:val="20"/>
          <w:szCs w:val="20"/>
          <w:lang w:val="es-MX" w:eastAsia="es-MX"/>
        </w:rPr>
        <w:t>Cuadro 6</w:t>
      </w:r>
      <w:r w:rsidRPr="00E64A4D">
        <w:rPr>
          <w:b/>
          <w:sz w:val="22"/>
          <w:szCs w:val="22"/>
          <w:lang w:val="es-MX" w:eastAsia="es-MX"/>
        </w:rPr>
        <w:t xml:space="preserve"> </w:t>
      </w:r>
    </w:p>
    <w:p w14:paraId="423CE04B" w14:textId="2E49DB05" w:rsidR="00215939" w:rsidRPr="00337FFC" w:rsidRDefault="00940360" w:rsidP="00215939">
      <w:pPr>
        <w:ind w:right="284"/>
        <w:contextualSpacing/>
        <w:jc w:val="center"/>
        <w:rPr>
          <w:rFonts w:ascii="Arial Negrita" w:hAnsi="Arial Negrita"/>
          <w:smallCaps/>
          <w:sz w:val="22"/>
          <w:szCs w:val="22"/>
        </w:rPr>
      </w:pPr>
      <w:r w:rsidRPr="00337FFC">
        <w:rPr>
          <w:rFonts w:ascii="Arial Negrita" w:hAnsi="Arial Negrita"/>
          <w:b/>
          <w:smallCaps/>
          <w:sz w:val="22"/>
          <w:szCs w:val="22"/>
          <w:lang w:val="es-MX" w:eastAsia="es-MX"/>
        </w:rPr>
        <w:t>Volumen de actividades de las empresas transportistas</w:t>
      </w:r>
      <w:r w:rsidR="002D4275">
        <w:rPr>
          <w:rFonts w:ascii="Arial Negrita" w:hAnsi="Arial Negrita"/>
          <w:b/>
          <w:smallCaps/>
          <w:sz w:val="22"/>
          <w:szCs w:val="22"/>
          <w:lang w:val="es-MX" w:eastAsia="es-MX"/>
        </w:rPr>
        <w:t>, 2021</w:t>
      </w:r>
      <w:r w:rsidR="002D4275" w:rsidRPr="00337FFC">
        <w:rPr>
          <w:rFonts w:ascii="Arial Negrita" w:hAnsi="Arial Negrita"/>
          <w:b/>
          <w:smallCaps/>
          <w:sz w:val="22"/>
          <w:szCs w:val="22"/>
          <w:vertAlign w:val="superscript"/>
          <w:lang w:val="es-MX" w:eastAsia="es-MX"/>
        </w:rPr>
        <w:t>P/</w:t>
      </w:r>
    </w:p>
    <w:tbl>
      <w:tblPr>
        <w:tblStyle w:val="Tablanormal4"/>
        <w:tblW w:w="10284" w:type="dxa"/>
        <w:tblInd w:w="-426" w:type="dxa"/>
        <w:tblLook w:val="04A0" w:firstRow="1" w:lastRow="0" w:firstColumn="1" w:lastColumn="0" w:noHBand="0" w:noVBand="1"/>
      </w:tblPr>
      <w:tblGrid>
        <w:gridCol w:w="935"/>
        <w:gridCol w:w="1901"/>
        <w:gridCol w:w="1330"/>
        <w:gridCol w:w="2368"/>
        <w:gridCol w:w="3750"/>
      </w:tblGrid>
      <w:tr w:rsidR="00FB001C" w:rsidRPr="00646299" w14:paraId="28DCE0AC" w14:textId="77777777" w:rsidTr="00337FFC">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35" w:type="dxa"/>
            <w:hideMark/>
          </w:tcPr>
          <w:p w14:paraId="17FFF19C" w14:textId="56187EB7" w:rsidR="00215939" w:rsidRPr="00646299" w:rsidRDefault="00215939" w:rsidP="002D4275">
            <w:pPr>
              <w:jc w:val="center"/>
              <w:rPr>
                <w:b w:val="0"/>
                <w:bCs w:val="0"/>
                <w:sz w:val="14"/>
                <w:szCs w:val="14"/>
                <w:lang w:eastAsia="es-MX"/>
              </w:rPr>
            </w:pPr>
            <w:r w:rsidRPr="00646299">
              <w:rPr>
                <w:sz w:val="14"/>
                <w:szCs w:val="14"/>
                <w:lang w:eastAsia="es-MX"/>
              </w:rPr>
              <w:t>Código SCIAN</w:t>
            </w:r>
            <w:r w:rsidR="002D4275" w:rsidRPr="00646299">
              <w:rPr>
                <w:sz w:val="14"/>
                <w:szCs w:val="14"/>
                <w:vertAlign w:val="superscript"/>
                <w:lang w:eastAsia="es-MX"/>
              </w:rPr>
              <w:t>1</w:t>
            </w:r>
            <w:r w:rsidRPr="00646299">
              <w:rPr>
                <w:sz w:val="14"/>
                <w:szCs w:val="14"/>
                <w:lang w:eastAsia="es-MX"/>
              </w:rPr>
              <w:t xml:space="preserve"> 2013</w:t>
            </w:r>
          </w:p>
        </w:tc>
        <w:tc>
          <w:tcPr>
            <w:tcW w:w="1901" w:type="dxa"/>
            <w:hideMark/>
          </w:tcPr>
          <w:p w14:paraId="50E4B60D" w14:textId="77777777" w:rsidR="00215939" w:rsidRPr="00646299" w:rsidRDefault="00215939" w:rsidP="002D4275">
            <w:pP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646299">
              <w:rPr>
                <w:sz w:val="14"/>
                <w:szCs w:val="14"/>
                <w:lang w:eastAsia="es-MX"/>
              </w:rPr>
              <w:t>Descripción</w:t>
            </w:r>
          </w:p>
        </w:tc>
        <w:tc>
          <w:tcPr>
            <w:tcW w:w="1330" w:type="dxa"/>
            <w:hideMark/>
          </w:tcPr>
          <w:p w14:paraId="7128FC64" w14:textId="77777777" w:rsidR="00215939" w:rsidRPr="00646299"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646299">
              <w:rPr>
                <w:sz w:val="14"/>
                <w:szCs w:val="14"/>
                <w:lang w:eastAsia="es-MX"/>
              </w:rPr>
              <w:t>Pasajeros transportados</w:t>
            </w:r>
          </w:p>
        </w:tc>
        <w:tc>
          <w:tcPr>
            <w:tcW w:w="2368" w:type="dxa"/>
            <w:hideMark/>
          </w:tcPr>
          <w:p w14:paraId="4C678934" w14:textId="77777777" w:rsidR="00215939" w:rsidRPr="00646299"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646299">
              <w:rPr>
                <w:sz w:val="14"/>
                <w:szCs w:val="14"/>
                <w:lang w:eastAsia="es-MX"/>
              </w:rPr>
              <w:t>Toneladas transportadas</w:t>
            </w:r>
          </w:p>
        </w:tc>
        <w:tc>
          <w:tcPr>
            <w:tcW w:w="3750" w:type="dxa"/>
            <w:hideMark/>
          </w:tcPr>
          <w:p w14:paraId="3B0779EA" w14:textId="77777777" w:rsidR="00215939" w:rsidRPr="00646299"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646299">
              <w:rPr>
                <w:sz w:val="14"/>
                <w:szCs w:val="14"/>
                <w:lang w:eastAsia="es-MX"/>
              </w:rPr>
              <w:t>Kilómetros recorridos</w:t>
            </w:r>
          </w:p>
        </w:tc>
      </w:tr>
      <w:tr w:rsidR="00FB001C" w:rsidRPr="00646299" w14:paraId="0F2CEB7E" w14:textId="77777777" w:rsidTr="00337FF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935" w:type="dxa"/>
            <w:hideMark/>
          </w:tcPr>
          <w:p w14:paraId="3CA3F815" w14:textId="77777777" w:rsidR="00215939" w:rsidRPr="00646299" w:rsidRDefault="00215939" w:rsidP="002D4275">
            <w:pPr>
              <w:jc w:val="right"/>
              <w:rPr>
                <w:sz w:val="14"/>
                <w:szCs w:val="14"/>
                <w:lang w:eastAsia="es-MX"/>
              </w:rPr>
            </w:pPr>
            <w:r w:rsidRPr="00646299">
              <w:rPr>
                <w:sz w:val="14"/>
                <w:szCs w:val="14"/>
                <w:lang w:eastAsia="es-MX"/>
              </w:rPr>
              <w:t>481111</w:t>
            </w:r>
          </w:p>
        </w:tc>
        <w:tc>
          <w:tcPr>
            <w:tcW w:w="1901" w:type="dxa"/>
            <w:hideMark/>
          </w:tcPr>
          <w:p w14:paraId="7971100C" w14:textId="77777777" w:rsidR="00215939" w:rsidRPr="00646299"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Transporte aéreo regular en líneas aéreas nacionales</w:t>
            </w:r>
          </w:p>
        </w:tc>
        <w:tc>
          <w:tcPr>
            <w:tcW w:w="1330" w:type="dxa"/>
            <w:hideMark/>
          </w:tcPr>
          <w:p w14:paraId="01819513" w14:textId="5EA63480"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54</w:t>
            </w:r>
            <w:r w:rsidR="00FC75ED">
              <w:rPr>
                <w:sz w:val="14"/>
                <w:szCs w:val="14"/>
                <w:lang w:eastAsia="es-MX"/>
              </w:rPr>
              <w:t xml:space="preserve"> </w:t>
            </w:r>
            <w:r w:rsidRPr="00646299">
              <w:rPr>
                <w:sz w:val="14"/>
                <w:szCs w:val="14"/>
                <w:lang w:eastAsia="es-MX"/>
              </w:rPr>
              <w:t>541</w:t>
            </w:r>
            <w:r w:rsidR="00FC75ED">
              <w:rPr>
                <w:sz w:val="14"/>
                <w:szCs w:val="14"/>
                <w:lang w:eastAsia="es-MX"/>
              </w:rPr>
              <w:t xml:space="preserve"> </w:t>
            </w:r>
            <w:r w:rsidRPr="00646299">
              <w:rPr>
                <w:sz w:val="14"/>
                <w:szCs w:val="14"/>
                <w:lang w:eastAsia="es-MX"/>
              </w:rPr>
              <w:t>796</w:t>
            </w:r>
          </w:p>
        </w:tc>
        <w:tc>
          <w:tcPr>
            <w:tcW w:w="2368" w:type="dxa"/>
            <w:hideMark/>
          </w:tcPr>
          <w:p w14:paraId="63409EFD"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N/D</w:t>
            </w:r>
          </w:p>
        </w:tc>
        <w:tc>
          <w:tcPr>
            <w:tcW w:w="3750" w:type="dxa"/>
            <w:hideMark/>
          </w:tcPr>
          <w:p w14:paraId="41204CBE" w14:textId="02A7F071"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709</w:t>
            </w:r>
            <w:r w:rsidR="00FC75ED">
              <w:rPr>
                <w:sz w:val="14"/>
                <w:szCs w:val="14"/>
                <w:lang w:eastAsia="es-MX"/>
              </w:rPr>
              <w:t xml:space="preserve"> </w:t>
            </w:r>
            <w:r w:rsidRPr="00646299">
              <w:rPr>
                <w:sz w:val="14"/>
                <w:szCs w:val="14"/>
                <w:lang w:eastAsia="es-MX"/>
              </w:rPr>
              <w:t>896</w:t>
            </w:r>
            <w:r w:rsidR="00FC75ED">
              <w:rPr>
                <w:sz w:val="14"/>
                <w:szCs w:val="14"/>
                <w:lang w:eastAsia="es-MX"/>
              </w:rPr>
              <w:t xml:space="preserve"> </w:t>
            </w:r>
            <w:r w:rsidRPr="00646299">
              <w:rPr>
                <w:sz w:val="14"/>
                <w:szCs w:val="14"/>
                <w:lang w:eastAsia="es-MX"/>
              </w:rPr>
              <w:t>178</w:t>
            </w:r>
          </w:p>
        </w:tc>
      </w:tr>
      <w:tr w:rsidR="00FB001C" w:rsidRPr="00646299" w14:paraId="3B7524F4" w14:textId="77777777" w:rsidTr="00337FFC">
        <w:trPr>
          <w:trHeight w:val="255"/>
        </w:trPr>
        <w:tc>
          <w:tcPr>
            <w:cnfStyle w:val="001000000000" w:firstRow="0" w:lastRow="0" w:firstColumn="1" w:lastColumn="0" w:oddVBand="0" w:evenVBand="0" w:oddHBand="0" w:evenHBand="0" w:firstRowFirstColumn="0" w:firstRowLastColumn="0" w:lastRowFirstColumn="0" w:lastRowLastColumn="0"/>
            <w:tcW w:w="935" w:type="dxa"/>
            <w:hideMark/>
          </w:tcPr>
          <w:p w14:paraId="49530BC7" w14:textId="77777777" w:rsidR="00215939" w:rsidRPr="00646299" w:rsidRDefault="00215939" w:rsidP="002D4275">
            <w:pPr>
              <w:jc w:val="right"/>
              <w:rPr>
                <w:sz w:val="14"/>
                <w:szCs w:val="14"/>
                <w:lang w:eastAsia="es-MX"/>
              </w:rPr>
            </w:pPr>
            <w:r w:rsidRPr="00646299">
              <w:rPr>
                <w:sz w:val="14"/>
                <w:szCs w:val="14"/>
                <w:lang w:eastAsia="es-MX"/>
              </w:rPr>
              <w:t>482110</w:t>
            </w:r>
          </w:p>
        </w:tc>
        <w:tc>
          <w:tcPr>
            <w:tcW w:w="1901" w:type="dxa"/>
            <w:hideMark/>
          </w:tcPr>
          <w:p w14:paraId="11F7A451" w14:textId="77777777" w:rsidR="00215939" w:rsidRPr="00646299"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Transporte por ferrocarril</w:t>
            </w:r>
          </w:p>
        </w:tc>
        <w:tc>
          <w:tcPr>
            <w:tcW w:w="1330" w:type="dxa"/>
            <w:hideMark/>
          </w:tcPr>
          <w:p w14:paraId="646774CA" w14:textId="07C417CC"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133</w:t>
            </w:r>
            <w:r w:rsidR="00FC75ED">
              <w:rPr>
                <w:sz w:val="14"/>
                <w:szCs w:val="14"/>
                <w:lang w:eastAsia="es-MX"/>
              </w:rPr>
              <w:t xml:space="preserve"> </w:t>
            </w:r>
            <w:r w:rsidRPr="00646299">
              <w:rPr>
                <w:sz w:val="14"/>
                <w:szCs w:val="14"/>
                <w:lang w:eastAsia="es-MX"/>
              </w:rPr>
              <w:t>809</w:t>
            </w:r>
          </w:p>
        </w:tc>
        <w:tc>
          <w:tcPr>
            <w:tcW w:w="2368" w:type="dxa"/>
            <w:hideMark/>
          </w:tcPr>
          <w:p w14:paraId="6FF86084" w14:textId="6D2799FF"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141</w:t>
            </w:r>
            <w:r w:rsidR="00FC75ED">
              <w:rPr>
                <w:sz w:val="14"/>
                <w:szCs w:val="14"/>
                <w:lang w:eastAsia="es-MX"/>
              </w:rPr>
              <w:t xml:space="preserve"> </w:t>
            </w:r>
            <w:r w:rsidRPr="00646299">
              <w:rPr>
                <w:sz w:val="14"/>
                <w:szCs w:val="14"/>
                <w:lang w:eastAsia="es-MX"/>
              </w:rPr>
              <w:t>900</w:t>
            </w:r>
            <w:r w:rsidR="00FC75ED">
              <w:rPr>
                <w:sz w:val="14"/>
                <w:szCs w:val="14"/>
                <w:lang w:eastAsia="es-MX"/>
              </w:rPr>
              <w:t xml:space="preserve"> </w:t>
            </w:r>
            <w:r w:rsidRPr="00646299">
              <w:rPr>
                <w:sz w:val="14"/>
                <w:szCs w:val="14"/>
                <w:lang w:eastAsia="es-MX"/>
              </w:rPr>
              <w:t>035</w:t>
            </w:r>
          </w:p>
        </w:tc>
        <w:tc>
          <w:tcPr>
            <w:tcW w:w="3750" w:type="dxa"/>
            <w:hideMark/>
          </w:tcPr>
          <w:p w14:paraId="269BA0D0" w14:textId="5402F4A5"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563</w:t>
            </w:r>
            <w:r w:rsidR="00FC75ED">
              <w:rPr>
                <w:sz w:val="14"/>
                <w:szCs w:val="14"/>
                <w:lang w:eastAsia="es-MX"/>
              </w:rPr>
              <w:t xml:space="preserve"> </w:t>
            </w:r>
            <w:r w:rsidRPr="00646299">
              <w:rPr>
                <w:sz w:val="14"/>
                <w:szCs w:val="14"/>
                <w:lang w:eastAsia="es-MX"/>
              </w:rPr>
              <w:t>461</w:t>
            </w:r>
            <w:r w:rsidR="00FC75ED">
              <w:rPr>
                <w:sz w:val="14"/>
                <w:szCs w:val="14"/>
                <w:lang w:eastAsia="es-MX"/>
              </w:rPr>
              <w:t xml:space="preserve"> </w:t>
            </w:r>
            <w:r w:rsidRPr="00646299">
              <w:rPr>
                <w:sz w:val="14"/>
                <w:szCs w:val="14"/>
                <w:lang w:eastAsia="es-MX"/>
              </w:rPr>
              <w:t>511</w:t>
            </w:r>
          </w:p>
        </w:tc>
      </w:tr>
      <w:tr w:rsidR="00FB001C" w:rsidRPr="00646299" w14:paraId="48ADDE61" w14:textId="77777777" w:rsidTr="00337FFC">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35" w:type="dxa"/>
            <w:hideMark/>
          </w:tcPr>
          <w:p w14:paraId="181772DE" w14:textId="77777777" w:rsidR="00215939" w:rsidRPr="00646299" w:rsidRDefault="00215939" w:rsidP="002D4275">
            <w:pPr>
              <w:jc w:val="right"/>
              <w:rPr>
                <w:sz w:val="14"/>
                <w:szCs w:val="14"/>
                <w:lang w:eastAsia="es-MX"/>
              </w:rPr>
            </w:pPr>
            <w:r w:rsidRPr="00646299">
              <w:rPr>
                <w:sz w:val="14"/>
                <w:szCs w:val="14"/>
                <w:lang w:eastAsia="es-MX"/>
              </w:rPr>
              <w:t>483111</w:t>
            </w:r>
          </w:p>
        </w:tc>
        <w:tc>
          <w:tcPr>
            <w:tcW w:w="1901" w:type="dxa"/>
            <w:hideMark/>
          </w:tcPr>
          <w:p w14:paraId="569E7A66" w14:textId="77777777" w:rsidR="00215939" w:rsidRPr="00646299"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Transporte marítimo de altura, excepto de petróleo y gas natural</w:t>
            </w:r>
          </w:p>
        </w:tc>
        <w:tc>
          <w:tcPr>
            <w:tcW w:w="1330" w:type="dxa"/>
            <w:hideMark/>
          </w:tcPr>
          <w:p w14:paraId="18CA8D66"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N/D</w:t>
            </w:r>
          </w:p>
        </w:tc>
        <w:tc>
          <w:tcPr>
            <w:tcW w:w="2368" w:type="dxa"/>
            <w:hideMark/>
          </w:tcPr>
          <w:p w14:paraId="2D9F3C93" w14:textId="4BFEC2B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w:t>
            </w:r>
            <w:r w:rsidR="00FC75ED">
              <w:rPr>
                <w:sz w:val="14"/>
                <w:szCs w:val="14"/>
                <w:lang w:eastAsia="es-MX"/>
              </w:rPr>
              <w:t xml:space="preserve"> </w:t>
            </w:r>
            <w:r w:rsidRPr="00646299">
              <w:rPr>
                <w:sz w:val="14"/>
                <w:szCs w:val="14"/>
                <w:lang w:eastAsia="es-MX"/>
              </w:rPr>
              <w:t>998</w:t>
            </w:r>
            <w:r w:rsidR="00FC75ED">
              <w:rPr>
                <w:sz w:val="14"/>
                <w:szCs w:val="14"/>
                <w:lang w:eastAsia="es-MX"/>
              </w:rPr>
              <w:t xml:space="preserve"> </w:t>
            </w:r>
            <w:r w:rsidRPr="00646299">
              <w:rPr>
                <w:sz w:val="14"/>
                <w:szCs w:val="14"/>
                <w:lang w:eastAsia="es-MX"/>
              </w:rPr>
              <w:t>596</w:t>
            </w:r>
          </w:p>
        </w:tc>
        <w:tc>
          <w:tcPr>
            <w:tcW w:w="3750" w:type="dxa"/>
            <w:hideMark/>
          </w:tcPr>
          <w:p w14:paraId="50E3A7EC" w14:textId="3D5D96B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355</w:t>
            </w:r>
            <w:r w:rsidR="00FC75ED">
              <w:rPr>
                <w:sz w:val="14"/>
                <w:szCs w:val="14"/>
                <w:lang w:eastAsia="es-MX"/>
              </w:rPr>
              <w:t xml:space="preserve"> </w:t>
            </w:r>
            <w:r w:rsidRPr="00646299">
              <w:rPr>
                <w:sz w:val="14"/>
                <w:szCs w:val="14"/>
                <w:lang w:eastAsia="es-MX"/>
              </w:rPr>
              <w:t>277</w:t>
            </w:r>
          </w:p>
        </w:tc>
      </w:tr>
      <w:tr w:rsidR="00FB001C" w:rsidRPr="00646299" w14:paraId="7ABA8FF3" w14:textId="77777777" w:rsidTr="00337FFC">
        <w:trPr>
          <w:trHeight w:val="248"/>
        </w:trPr>
        <w:tc>
          <w:tcPr>
            <w:cnfStyle w:val="001000000000" w:firstRow="0" w:lastRow="0" w:firstColumn="1" w:lastColumn="0" w:oddVBand="0" w:evenVBand="0" w:oddHBand="0" w:evenHBand="0" w:firstRowFirstColumn="0" w:firstRowLastColumn="0" w:lastRowFirstColumn="0" w:lastRowLastColumn="0"/>
            <w:tcW w:w="935" w:type="dxa"/>
            <w:hideMark/>
          </w:tcPr>
          <w:p w14:paraId="5138FA51" w14:textId="77777777" w:rsidR="00215939" w:rsidRPr="00646299" w:rsidRDefault="00215939" w:rsidP="002D4275">
            <w:pPr>
              <w:jc w:val="right"/>
              <w:rPr>
                <w:sz w:val="14"/>
                <w:szCs w:val="14"/>
                <w:lang w:eastAsia="es-MX"/>
              </w:rPr>
            </w:pPr>
            <w:r w:rsidRPr="00646299">
              <w:rPr>
                <w:sz w:val="14"/>
                <w:szCs w:val="14"/>
                <w:lang w:eastAsia="es-MX"/>
              </w:rPr>
              <w:t>483112</w:t>
            </w:r>
          </w:p>
        </w:tc>
        <w:tc>
          <w:tcPr>
            <w:tcW w:w="1901" w:type="dxa"/>
            <w:hideMark/>
          </w:tcPr>
          <w:p w14:paraId="11E7CF6B" w14:textId="77777777" w:rsidR="00215939" w:rsidRPr="00646299"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Transporte marítimo de cabotaje, excepto de petróleo y gas natural</w:t>
            </w:r>
          </w:p>
        </w:tc>
        <w:tc>
          <w:tcPr>
            <w:tcW w:w="1330" w:type="dxa"/>
            <w:hideMark/>
          </w:tcPr>
          <w:p w14:paraId="050CF51F"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N/D</w:t>
            </w:r>
          </w:p>
        </w:tc>
        <w:tc>
          <w:tcPr>
            <w:tcW w:w="2368" w:type="dxa"/>
            <w:hideMark/>
          </w:tcPr>
          <w:p w14:paraId="5D24510B" w14:textId="26AD97F4"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4</w:t>
            </w:r>
            <w:r w:rsidR="00FC75ED">
              <w:rPr>
                <w:sz w:val="14"/>
                <w:szCs w:val="14"/>
                <w:lang w:eastAsia="es-MX"/>
              </w:rPr>
              <w:t xml:space="preserve"> </w:t>
            </w:r>
            <w:r w:rsidRPr="00646299">
              <w:rPr>
                <w:sz w:val="14"/>
                <w:szCs w:val="14"/>
                <w:lang w:eastAsia="es-MX"/>
              </w:rPr>
              <w:t>594</w:t>
            </w:r>
            <w:r w:rsidR="00FC75ED">
              <w:rPr>
                <w:sz w:val="14"/>
                <w:szCs w:val="14"/>
                <w:lang w:eastAsia="es-MX"/>
              </w:rPr>
              <w:t xml:space="preserve"> </w:t>
            </w:r>
            <w:r w:rsidRPr="00646299">
              <w:rPr>
                <w:sz w:val="14"/>
                <w:szCs w:val="14"/>
                <w:lang w:eastAsia="es-MX"/>
              </w:rPr>
              <w:t>018</w:t>
            </w:r>
          </w:p>
        </w:tc>
        <w:tc>
          <w:tcPr>
            <w:tcW w:w="3750" w:type="dxa"/>
            <w:hideMark/>
          </w:tcPr>
          <w:p w14:paraId="55460855" w14:textId="254A019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6</w:t>
            </w:r>
            <w:r w:rsidR="00FC75ED">
              <w:rPr>
                <w:sz w:val="14"/>
                <w:szCs w:val="14"/>
                <w:lang w:eastAsia="es-MX"/>
              </w:rPr>
              <w:t xml:space="preserve"> </w:t>
            </w:r>
            <w:r w:rsidRPr="00646299">
              <w:rPr>
                <w:sz w:val="14"/>
                <w:szCs w:val="14"/>
                <w:lang w:eastAsia="es-MX"/>
              </w:rPr>
              <w:t>067</w:t>
            </w:r>
            <w:r w:rsidR="00FC75ED">
              <w:rPr>
                <w:sz w:val="14"/>
                <w:szCs w:val="14"/>
                <w:lang w:eastAsia="es-MX"/>
              </w:rPr>
              <w:t xml:space="preserve"> </w:t>
            </w:r>
            <w:r w:rsidRPr="00646299">
              <w:rPr>
                <w:sz w:val="14"/>
                <w:szCs w:val="14"/>
                <w:lang w:eastAsia="es-MX"/>
              </w:rPr>
              <w:t>887</w:t>
            </w:r>
          </w:p>
        </w:tc>
      </w:tr>
      <w:tr w:rsidR="00FB001C" w:rsidRPr="00646299" w14:paraId="393E6B9C" w14:textId="77777777" w:rsidTr="00337FF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5" w:type="dxa"/>
            <w:hideMark/>
          </w:tcPr>
          <w:p w14:paraId="62314CC5" w14:textId="77777777" w:rsidR="00215939" w:rsidRPr="00646299" w:rsidRDefault="00215939" w:rsidP="002D4275">
            <w:pPr>
              <w:jc w:val="right"/>
              <w:rPr>
                <w:sz w:val="14"/>
                <w:szCs w:val="14"/>
                <w:lang w:eastAsia="es-MX"/>
              </w:rPr>
            </w:pPr>
            <w:r w:rsidRPr="00646299">
              <w:rPr>
                <w:sz w:val="14"/>
                <w:szCs w:val="14"/>
                <w:lang w:eastAsia="es-MX"/>
              </w:rPr>
              <w:t>484</w:t>
            </w:r>
          </w:p>
        </w:tc>
        <w:tc>
          <w:tcPr>
            <w:tcW w:w="1901" w:type="dxa"/>
            <w:hideMark/>
          </w:tcPr>
          <w:p w14:paraId="185B0633" w14:textId="77777777" w:rsidR="00215939" w:rsidRPr="00646299"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Autotransporte de carga</w:t>
            </w:r>
          </w:p>
        </w:tc>
        <w:tc>
          <w:tcPr>
            <w:tcW w:w="1330" w:type="dxa"/>
            <w:hideMark/>
          </w:tcPr>
          <w:p w14:paraId="770983D4"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w:t>
            </w:r>
          </w:p>
        </w:tc>
        <w:tc>
          <w:tcPr>
            <w:tcW w:w="2368" w:type="dxa"/>
            <w:hideMark/>
          </w:tcPr>
          <w:p w14:paraId="431349C9" w14:textId="47D00798"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234</w:t>
            </w:r>
            <w:r w:rsidR="00FC75ED">
              <w:rPr>
                <w:sz w:val="14"/>
                <w:szCs w:val="14"/>
                <w:lang w:eastAsia="es-MX"/>
              </w:rPr>
              <w:t xml:space="preserve"> </w:t>
            </w:r>
            <w:r w:rsidRPr="00646299">
              <w:rPr>
                <w:sz w:val="14"/>
                <w:szCs w:val="14"/>
                <w:lang w:eastAsia="es-MX"/>
              </w:rPr>
              <w:t>506</w:t>
            </w:r>
            <w:r w:rsidR="00FC75ED">
              <w:rPr>
                <w:sz w:val="14"/>
                <w:szCs w:val="14"/>
                <w:lang w:eastAsia="es-MX"/>
              </w:rPr>
              <w:t xml:space="preserve"> </w:t>
            </w:r>
            <w:r w:rsidRPr="00646299">
              <w:rPr>
                <w:sz w:val="14"/>
                <w:szCs w:val="14"/>
                <w:lang w:eastAsia="es-MX"/>
              </w:rPr>
              <w:t>307</w:t>
            </w:r>
          </w:p>
        </w:tc>
        <w:tc>
          <w:tcPr>
            <w:tcW w:w="3750" w:type="dxa"/>
            <w:hideMark/>
          </w:tcPr>
          <w:p w14:paraId="560281E7" w14:textId="27376043"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5</w:t>
            </w:r>
            <w:r w:rsidR="00FC75ED">
              <w:rPr>
                <w:sz w:val="14"/>
                <w:szCs w:val="14"/>
                <w:lang w:eastAsia="es-MX"/>
              </w:rPr>
              <w:t xml:space="preserve"> </w:t>
            </w:r>
            <w:r w:rsidRPr="00646299">
              <w:rPr>
                <w:sz w:val="14"/>
                <w:szCs w:val="14"/>
                <w:lang w:eastAsia="es-MX"/>
              </w:rPr>
              <w:t>155</w:t>
            </w:r>
            <w:r w:rsidR="00FC75ED">
              <w:rPr>
                <w:sz w:val="14"/>
                <w:szCs w:val="14"/>
                <w:lang w:eastAsia="es-MX"/>
              </w:rPr>
              <w:t xml:space="preserve"> </w:t>
            </w:r>
            <w:r w:rsidRPr="00646299">
              <w:rPr>
                <w:sz w:val="14"/>
                <w:szCs w:val="14"/>
                <w:lang w:eastAsia="es-MX"/>
              </w:rPr>
              <w:t>412</w:t>
            </w:r>
            <w:r w:rsidR="00FC75ED">
              <w:rPr>
                <w:sz w:val="14"/>
                <w:szCs w:val="14"/>
                <w:lang w:eastAsia="es-MX"/>
              </w:rPr>
              <w:t xml:space="preserve"> </w:t>
            </w:r>
            <w:r w:rsidRPr="00646299">
              <w:rPr>
                <w:sz w:val="14"/>
                <w:szCs w:val="14"/>
                <w:lang w:eastAsia="es-MX"/>
              </w:rPr>
              <w:t>498</w:t>
            </w:r>
          </w:p>
        </w:tc>
      </w:tr>
      <w:tr w:rsidR="00FB001C" w:rsidRPr="00646299" w14:paraId="2C49DE60" w14:textId="77777777" w:rsidTr="00337FFC">
        <w:trPr>
          <w:trHeight w:val="356"/>
        </w:trPr>
        <w:tc>
          <w:tcPr>
            <w:cnfStyle w:val="001000000000" w:firstRow="0" w:lastRow="0" w:firstColumn="1" w:lastColumn="0" w:oddVBand="0" w:evenVBand="0" w:oddHBand="0" w:evenHBand="0" w:firstRowFirstColumn="0" w:firstRowLastColumn="0" w:lastRowFirstColumn="0" w:lastRowLastColumn="0"/>
            <w:tcW w:w="935" w:type="dxa"/>
            <w:hideMark/>
          </w:tcPr>
          <w:p w14:paraId="2AB320B5" w14:textId="77777777" w:rsidR="00215939" w:rsidRPr="00646299" w:rsidRDefault="00215939" w:rsidP="002D4275">
            <w:pPr>
              <w:jc w:val="right"/>
              <w:rPr>
                <w:sz w:val="14"/>
                <w:szCs w:val="14"/>
                <w:lang w:eastAsia="es-MX"/>
              </w:rPr>
            </w:pPr>
            <w:r w:rsidRPr="00646299">
              <w:rPr>
                <w:sz w:val="14"/>
                <w:szCs w:val="14"/>
                <w:lang w:eastAsia="es-MX"/>
              </w:rPr>
              <w:t>485111</w:t>
            </w:r>
          </w:p>
        </w:tc>
        <w:tc>
          <w:tcPr>
            <w:tcW w:w="1901" w:type="dxa"/>
            <w:hideMark/>
          </w:tcPr>
          <w:p w14:paraId="34FA7BD9" w14:textId="77777777" w:rsidR="00215939" w:rsidRPr="00646299"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Transporte colectivo urbano y suburbano de pasajeros en autobuses de ruta fija</w:t>
            </w:r>
          </w:p>
        </w:tc>
        <w:tc>
          <w:tcPr>
            <w:tcW w:w="1330" w:type="dxa"/>
            <w:hideMark/>
          </w:tcPr>
          <w:p w14:paraId="086E013D" w14:textId="4FD57CCE"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w:t>
            </w:r>
            <w:r w:rsidR="00FC75ED">
              <w:rPr>
                <w:sz w:val="14"/>
                <w:szCs w:val="14"/>
                <w:lang w:eastAsia="es-MX"/>
              </w:rPr>
              <w:t xml:space="preserve"> </w:t>
            </w:r>
            <w:r w:rsidRPr="00646299">
              <w:rPr>
                <w:sz w:val="14"/>
                <w:szCs w:val="14"/>
                <w:lang w:eastAsia="es-MX"/>
              </w:rPr>
              <w:t>317</w:t>
            </w:r>
            <w:r w:rsidR="00FC75ED">
              <w:rPr>
                <w:sz w:val="14"/>
                <w:szCs w:val="14"/>
                <w:lang w:eastAsia="es-MX"/>
              </w:rPr>
              <w:t xml:space="preserve"> </w:t>
            </w:r>
            <w:r w:rsidRPr="00646299">
              <w:rPr>
                <w:sz w:val="14"/>
                <w:szCs w:val="14"/>
                <w:lang w:eastAsia="es-MX"/>
              </w:rPr>
              <w:t>284</w:t>
            </w:r>
            <w:r w:rsidR="00FC75ED">
              <w:rPr>
                <w:sz w:val="14"/>
                <w:szCs w:val="14"/>
                <w:lang w:eastAsia="es-MX"/>
              </w:rPr>
              <w:t xml:space="preserve"> </w:t>
            </w:r>
            <w:r w:rsidRPr="00646299">
              <w:rPr>
                <w:sz w:val="14"/>
                <w:szCs w:val="14"/>
                <w:lang w:eastAsia="es-MX"/>
              </w:rPr>
              <w:t>681</w:t>
            </w:r>
          </w:p>
        </w:tc>
        <w:tc>
          <w:tcPr>
            <w:tcW w:w="2368" w:type="dxa"/>
            <w:hideMark/>
          </w:tcPr>
          <w:p w14:paraId="7F32269F"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w:t>
            </w:r>
          </w:p>
        </w:tc>
        <w:tc>
          <w:tcPr>
            <w:tcW w:w="3750" w:type="dxa"/>
            <w:hideMark/>
          </w:tcPr>
          <w:p w14:paraId="42009B12" w14:textId="2DA2D09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706</w:t>
            </w:r>
            <w:r w:rsidR="00FC75ED">
              <w:rPr>
                <w:sz w:val="14"/>
                <w:szCs w:val="14"/>
                <w:lang w:eastAsia="es-MX"/>
              </w:rPr>
              <w:t xml:space="preserve"> </w:t>
            </w:r>
            <w:r w:rsidRPr="00646299">
              <w:rPr>
                <w:sz w:val="14"/>
                <w:szCs w:val="14"/>
                <w:lang w:eastAsia="es-MX"/>
              </w:rPr>
              <w:t>960</w:t>
            </w:r>
            <w:r w:rsidR="00FC75ED">
              <w:rPr>
                <w:sz w:val="14"/>
                <w:szCs w:val="14"/>
                <w:lang w:eastAsia="es-MX"/>
              </w:rPr>
              <w:t xml:space="preserve"> </w:t>
            </w:r>
            <w:r w:rsidRPr="00646299">
              <w:rPr>
                <w:sz w:val="14"/>
                <w:szCs w:val="14"/>
                <w:lang w:eastAsia="es-MX"/>
              </w:rPr>
              <w:t>518</w:t>
            </w:r>
          </w:p>
        </w:tc>
      </w:tr>
      <w:tr w:rsidR="00FB001C" w:rsidRPr="00646299" w14:paraId="01EB4AE7" w14:textId="77777777" w:rsidTr="00337FF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35" w:type="dxa"/>
            <w:hideMark/>
          </w:tcPr>
          <w:p w14:paraId="28E4E4BD" w14:textId="77777777" w:rsidR="00215939" w:rsidRPr="00646299" w:rsidRDefault="00215939" w:rsidP="002D4275">
            <w:pPr>
              <w:jc w:val="right"/>
              <w:rPr>
                <w:sz w:val="14"/>
                <w:szCs w:val="14"/>
                <w:lang w:eastAsia="es-MX"/>
              </w:rPr>
            </w:pPr>
            <w:r w:rsidRPr="00646299">
              <w:rPr>
                <w:sz w:val="14"/>
                <w:szCs w:val="14"/>
                <w:lang w:eastAsia="es-MX"/>
              </w:rPr>
              <w:t>4852</w:t>
            </w:r>
          </w:p>
        </w:tc>
        <w:tc>
          <w:tcPr>
            <w:tcW w:w="1901" w:type="dxa"/>
            <w:hideMark/>
          </w:tcPr>
          <w:p w14:paraId="7027F4A8" w14:textId="77777777" w:rsidR="00215939" w:rsidRPr="00646299"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Transporte colectivo foráneo de pasajeros de ruta fija</w:t>
            </w:r>
          </w:p>
        </w:tc>
        <w:tc>
          <w:tcPr>
            <w:tcW w:w="1330" w:type="dxa"/>
            <w:hideMark/>
          </w:tcPr>
          <w:p w14:paraId="47E1D49B" w14:textId="01FF33BD"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198</w:t>
            </w:r>
            <w:r w:rsidR="00FC75ED">
              <w:rPr>
                <w:sz w:val="14"/>
                <w:szCs w:val="14"/>
                <w:lang w:eastAsia="es-MX"/>
              </w:rPr>
              <w:t xml:space="preserve"> </w:t>
            </w:r>
            <w:r w:rsidRPr="00646299">
              <w:rPr>
                <w:sz w:val="14"/>
                <w:szCs w:val="14"/>
                <w:lang w:eastAsia="es-MX"/>
              </w:rPr>
              <w:t>014</w:t>
            </w:r>
            <w:r w:rsidR="00FC75ED">
              <w:rPr>
                <w:sz w:val="14"/>
                <w:szCs w:val="14"/>
                <w:lang w:eastAsia="es-MX"/>
              </w:rPr>
              <w:t xml:space="preserve"> </w:t>
            </w:r>
            <w:r w:rsidRPr="00646299">
              <w:rPr>
                <w:sz w:val="14"/>
                <w:szCs w:val="14"/>
                <w:lang w:eastAsia="es-MX"/>
              </w:rPr>
              <w:t>741</w:t>
            </w:r>
          </w:p>
        </w:tc>
        <w:tc>
          <w:tcPr>
            <w:tcW w:w="2368" w:type="dxa"/>
            <w:hideMark/>
          </w:tcPr>
          <w:p w14:paraId="3DA616A6"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w:t>
            </w:r>
          </w:p>
        </w:tc>
        <w:tc>
          <w:tcPr>
            <w:tcW w:w="3750" w:type="dxa"/>
            <w:hideMark/>
          </w:tcPr>
          <w:p w14:paraId="27BFBE11" w14:textId="12FAB946"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2</w:t>
            </w:r>
            <w:r w:rsidR="00FC75ED">
              <w:rPr>
                <w:sz w:val="14"/>
                <w:szCs w:val="14"/>
                <w:lang w:eastAsia="es-MX"/>
              </w:rPr>
              <w:t xml:space="preserve"> </w:t>
            </w:r>
            <w:r w:rsidRPr="00646299">
              <w:rPr>
                <w:sz w:val="14"/>
                <w:szCs w:val="14"/>
                <w:lang w:eastAsia="es-MX"/>
              </w:rPr>
              <w:t>062</w:t>
            </w:r>
            <w:r w:rsidR="00FC75ED">
              <w:rPr>
                <w:sz w:val="14"/>
                <w:szCs w:val="14"/>
                <w:lang w:eastAsia="es-MX"/>
              </w:rPr>
              <w:t xml:space="preserve"> </w:t>
            </w:r>
            <w:r w:rsidRPr="00646299">
              <w:rPr>
                <w:sz w:val="14"/>
                <w:szCs w:val="14"/>
                <w:lang w:eastAsia="es-MX"/>
              </w:rPr>
              <w:t>355</w:t>
            </w:r>
            <w:r w:rsidR="00FC75ED">
              <w:rPr>
                <w:sz w:val="14"/>
                <w:szCs w:val="14"/>
                <w:lang w:eastAsia="es-MX"/>
              </w:rPr>
              <w:t xml:space="preserve"> </w:t>
            </w:r>
            <w:r w:rsidRPr="00646299">
              <w:rPr>
                <w:sz w:val="14"/>
                <w:szCs w:val="14"/>
                <w:lang w:eastAsia="es-MX"/>
              </w:rPr>
              <w:t>642</w:t>
            </w:r>
          </w:p>
        </w:tc>
      </w:tr>
    </w:tbl>
    <w:p w14:paraId="46B7C396" w14:textId="4A3AB864" w:rsidR="002D4275" w:rsidRDefault="002D4275" w:rsidP="002D4275">
      <w:pPr>
        <w:rPr>
          <w:sz w:val="16"/>
          <w:szCs w:val="16"/>
          <w:lang w:eastAsia="es-MX"/>
        </w:rPr>
      </w:pPr>
      <w:r w:rsidRPr="00B00775">
        <w:rPr>
          <w:sz w:val="16"/>
          <w:szCs w:val="16"/>
          <w:vertAlign w:val="superscript"/>
          <w:lang w:eastAsia="es-MX"/>
        </w:rPr>
        <w:t>P/</w:t>
      </w:r>
      <w:r w:rsidRPr="00B00775">
        <w:rPr>
          <w:sz w:val="16"/>
          <w:szCs w:val="16"/>
          <w:lang w:eastAsia="es-MX"/>
        </w:rPr>
        <w:t xml:space="preserve"> Preliminar</w:t>
      </w:r>
    </w:p>
    <w:p w14:paraId="49C0ABFE" w14:textId="55C7B986" w:rsidR="00FE42DA" w:rsidRPr="00646299" w:rsidRDefault="00FE42DA" w:rsidP="002D4275">
      <w:pPr>
        <w:contextualSpacing/>
        <w:rPr>
          <w:sz w:val="16"/>
          <w:szCs w:val="16"/>
        </w:rPr>
      </w:pPr>
      <w:r>
        <w:rPr>
          <w:sz w:val="16"/>
          <w:szCs w:val="16"/>
          <w:lang w:eastAsia="es-MX"/>
        </w:rPr>
        <w:t>N/D: No disponible</w:t>
      </w:r>
    </w:p>
    <w:p w14:paraId="12D71CE0" w14:textId="77777777" w:rsidR="002D4275" w:rsidRPr="00B00775" w:rsidRDefault="002D4275" w:rsidP="002D4275">
      <w:pPr>
        <w:contextualSpacing/>
        <w:rPr>
          <w:sz w:val="16"/>
          <w:szCs w:val="16"/>
        </w:rPr>
      </w:pPr>
      <w:r w:rsidRPr="00B00775">
        <w:rPr>
          <w:sz w:val="16"/>
          <w:szCs w:val="16"/>
          <w:vertAlign w:val="superscript"/>
          <w:lang w:eastAsia="es-MX"/>
        </w:rPr>
        <w:t>1</w:t>
      </w:r>
      <w:r w:rsidRPr="00B00775">
        <w:rPr>
          <w:sz w:val="16"/>
          <w:szCs w:val="16"/>
          <w:lang w:eastAsia="es-MX"/>
        </w:rPr>
        <w:t xml:space="preserve"> SCIAN: Sistema de Clasificación Industrial de América del Norte</w:t>
      </w:r>
    </w:p>
    <w:p w14:paraId="617B6682" w14:textId="1A9B6A86" w:rsidR="002D4275" w:rsidRDefault="002D4275" w:rsidP="002D4275">
      <w:pPr>
        <w:contextualSpacing/>
        <w:rPr>
          <w:sz w:val="16"/>
          <w:szCs w:val="16"/>
          <w:lang w:eastAsia="es-MX"/>
        </w:rPr>
      </w:pPr>
      <w:r w:rsidRPr="00B00775">
        <w:rPr>
          <w:sz w:val="16"/>
          <w:szCs w:val="16"/>
          <w:lang w:eastAsia="es-MX"/>
        </w:rPr>
        <w:t>Fuente: Instituto Nacional de Estadística y Geografía, Encuesta Anual del Transporte</w:t>
      </w:r>
    </w:p>
    <w:p w14:paraId="6A2A1AD2" w14:textId="77777777" w:rsidR="00215939" w:rsidRPr="00E64A4D" w:rsidRDefault="00215939" w:rsidP="00215939">
      <w:pPr>
        <w:jc w:val="left"/>
        <w:rPr>
          <w:noProof/>
          <w:lang w:eastAsia="es-MX"/>
        </w:rPr>
      </w:pPr>
    </w:p>
    <w:p w14:paraId="6C53D74F" w14:textId="6960B0D1" w:rsidR="00215939" w:rsidRDefault="00215939" w:rsidP="00215939">
      <w:pPr>
        <w:ind w:left="-426"/>
        <w:rPr>
          <w:noProof/>
          <w:lang w:eastAsia="es-MX"/>
        </w:rPr>
      </w:pPr>
      <w:r w:rsidRPr="00E64A4D">
        <w:rPr>
          <w:noProof/>
          <w:lang w:eastAsia="es-MX"/>
        </w:rPr>
        <w:lastRenderedPageBreak/>
        <w:t>Durante 202</w:t>
      </w:r>
      <w:r>
        <w:rPr>
          <w:noProof/>
          <w:lang w:eastAsia="es-MX"/>
        </w:rPr>
        <w:t>1</w:t>
      </w:r>
      <w:r w:rsidRPr="00E64A4D">
        <w:rPr>
          <w:noProof/>
          <w:lang w:eastAsia="es-MX"/>
        </w:rPr>
        <w:t>,</w:t>
      </w:r>
      <w:r w:rsidR="00ED65F9">
        <w:rPr>
          <w:noProof/>
          <w:lang w:eastAsia="es-MX"/>
        </w:rPr>
        <w:t xml:space="preserve"> </w:t>
      </w:r>
      <w:r w:rsidR="00514C69">
        <w:rPr>
          <w:i/>
          <w:noProof/>
          <w:lang w:eastAsia="es-MX"/>
        </w:rPr>
        <w:t>T</w:t>
      </w:r>
      <w:r w:rsidRPr="00337FFC">
        <w:rPr>
          <w:i/>
          <w:noProof/>
          <w:lang w:eastAsia="es-MX"/>
        </w:rPr>
        <w:t xml:space="preserve">ransporte colectivo urbano y suburbano de pasajeros en autobuses de ruta fija </w:t>
      </w:r>
      <w:r>
        <w:rPr>
          <w:noProof/>
          <w:lang w:eastAsia="es-MX"/>
        </w:rPr>
        <w:t xml:space="preserve">y </w:t>
      </w:r>
      <w:r w:rsidR="00514C69">
        <w:rPr>
          <w:i/>
          <w:noProof/>
          <w:lang w:eastAsia="es-MX"/>
        </w:rPr>
        <w:t>T</w:t>
      </w:r>
      <w:r w:rsidRPr="00337FFC">
        <w:rPr>
          <w:i/>
          <w:noProof/>
          <w:lang w:eastAsia="es-MX"/>
        </w:rPr>
        <w:t>ransporte colectivo foráneo de pasajeros de ruta fija</w:t>
      </w:r>
      <w:r>
        <w:rPr>
          <w:noProof/>
          <w:lang w:eastAsia="es-MX"/>
        </w:rPr>
        <w:t xml:space="preserve"> registra</w:t>
      </w:r>
      <w:r w:rsidR="002D4275">
        <w:rPr>
          <w:noProof/>
          <w:lang w:eastAsia="es-MX"/>
        </w:rPr>
        <w:t>ro</w:t>
      </w:r>
      <w:r>
        <w:rPr>
          <w:noProof/>
          <w:lang w:eastAsia="es-MX"/>
        </w:rPr>
        <w:t>n de</w:t>
      </w:r>
      <w:r w:rsidRPr="00E64A4D">
        <w:rPr>
          <w:noProof/>
          <w:lang w:eastAsia="es-MX"/>
        </w:rPr>
        <w:t>cremento en el número de kilómetros recorridos</w:t>
      </w:r>
      <w:r>
        <w:rPr>
          <w:noProof/>
          <w:lang w:eastAsia="es-MX"/>
        </w:rPr>
        <w:t xml:space="preserve"> (4.4 y 3.4</w:t>
      </w:r>
      <w:r w:rsidR="002D4275">
        <w:rPr>
          <w:noProof/>
          <w:lang w:eastAsia="es-MX"/>
        </w:rPr>
        <w:t xml:space="preserve"> </w:t>
      </w:r>
      <w:r>
        <w:rPr>
          <w:noProof/>
          <w:lang w:eastAsia="es-MX"/>
        </w:rPr>
        <w:t>%</w:t>
      </w:r>
      <w:r w:rsidRPr="00E64A4D">
        <w:rPr>
          <w:noProof/>
          <w:lang w:eastAsia="es-MX"/>
        </w:rPr>
        <w:t>,</w:t>
      </w:r>
      <w:r>
        <w:rPr>
          <w:noProof/>
          <w:lang w:eastAsia="es-MX"/>
        </w:rPr>
        <w:t xml:space="preserve"> </w:t>
      </w:r>
      <w:r w:rsidRPr="00E64A4D">
        <w:rPr>
          <w:noProof/>
          <w:lang w:eastAsia="es-MX"/>
        </w:rPr>
        <w:t>respectivamente</w:t>
      </w:r>
      <w:r>
        <w:rPr>
          <w:noProof/>
          <w:lang w:eastAsia="es-MX"/>
        </w:rPr>
        <w:t>)</w:t>
      </w:r>
      <w:r w:rsidR="002D4275">
        <w:rPr>
          <w:noProof/>
          <w:lang w:eastAsia="es-MX"/>
        </w:rPr>
        <w:t>. E</w:t>
      </w:r>
      <w:r>
        <w:rPr>
          <w:noProof/>
          <w:lang w:eastAsia="es-MX"/>
        </w:rPr>
        <w:t xml:space="preserve">l resto de las actividades </w:t>
      </w:r>
      <w:r w:rsidR="00FC75ED">
        <w:rPr>
          <w:noProof/>
          <w:lang w:eastAsia="es-MX"/>
        </w:rPr>
        <w:t>reportaron</w:t>
      </w:r>
      <w:r w:rsidRPr="00E64A4D">
        <w:rPr>
          <w:noProof/>
          <w:lang w:eastAsia="es-MX"/>
        </w:rPr>
        <w:t xml:space="preserve"> </w:t>
      </w:r>
      <w:r w:rsidR="002D4275">
        <w:rPr>
          <w:noProof/>
          <w:lang w:eastAsia="es-MX"/>
        </w:rPr>
        <w:t>aumento</w:t>
      </w:r>
      <w:r w:rsidR="00ED65F9">
        <w:rPr>
          <w:noProof/>
          <w:lang w:eastAsia="es-MX"/>
        </w:rPr>
        <w:t>s</w:t>
      </w:r>
      <w:r w:rsidR="002D4275">
        <w:rPr>
          <w:noProof/>
          <w:lang w:eastAsia="es-MX"/>
        </w:rPr>
        <w:t>.</w:t>
      </w:r>
    </w:p>
    <w:p w14:paraId="7B6ECBF1" w14:textId="77777777" w:rsidR="00215939" w:rsidRDefault="00215939" w:rsidP="00215939">
      <w:pPr>
        <w:ind w:right="-516"/>
        <w:contextualSpacing/>
        <w:rPr>
          <w:noProof/>
          <w:sz w:val="20"/>
          <w:szCs w:val="20"/>
          <w:lang w:eastAsia="es-MX"/>
        </w:rPr>
      </w:pPr>
    </w:p>
    <w:p w14:paraId="79748ECB" w14:textId="6349D892" w:rsidR="002D4275" w:rsidRDefault="00215939" w:rsidP="00215939">
      <w:pPr>
        <w:ind w:left="-426" w:right="-141"/>
        <w:contextualSpacing/>
        <w:jc w:val="center"/>
        <w:rPr>
          <w:b/>
          <w:sz w:val="22"/>
          <w:szCs w:val="22"/>
          <w:lang w:val="es-MX" w:eastAsia="es-MX"/>
        </w:rPr>
      </w:pPr>
      <w:r w:rsidRPr="00337FFC">
        <w:rPr>
          <w:sz w:val="20"/>
          <w:szCs w:val="20"/>
          <w:lang w:val="es-MX" w:eastAsia="es-MX"/>
        </w:rPr>
        <w:t>Cuadro 7</w:t>
      </w:r>
    </w:p>
    <w:p w14:paraId="6492CBE4" w14:textId="40FA3D7B" w:rsidR="00215939" w:rsidRDefault="002D4275" w:rsidP="00215939">
      <w:pPr>
        <w:ind w:left="-426" w:right="-141"/>
        <w:contextualSpacing/>
        <w:jc w:val="center"/>
        <w:rPr>
          <w:rFonts w:ascii="Arial Negrita" w:hAnsi="Arial Negrita"/>
          <w:b/>
          <w:smallCaps/>
          <w:sz w:val="22"/>
          <w:szCs w:val="22"/>
          <w:vertAlign w:val="superscript"/>
          <w:lang w:val="es-MX" w:eastAsia="es-MX"/>
        </w:rPr>
      </w:pPr>
      <w:r>
        <w:rPr>
          <w:b/>
          <w:sz w:val="22"/>
          <w:szCs w:val="22"/>
          <w:lang w:val="es-MX" w:eastAsia="es-MX"/>
        </w:rPr>
        <w:t>V</w:t>
      </w:r>
      <w:r w:rsidRPr="00B00775">
        <w:rPr>
          <w:rFonts w:ascii="Arial Negrita" w:hAnsi="Arial Negrita"/>
          <w:b/>
          <w:smallCaps/>
          <w:sz w:val="22"/>
          <w:szCs w:val="22"/>
          <w:lang w:val="es-MX" w:eastAsia="es-MX"/>
        </w:rPr>
        <w:t>olumen de actividades de las empresas transportistas</w:t>
      </w:r>
      <w:r>
        <w:rPr>
          <w:rFonts w:ascii="Arial Negrita" w:hAnsi="Arial Negrita"/>
          <w:b/>
          <w:smallCaps/>
          <w:sz w:val="22"/>
          <w:szCs w:val="22"/>
          <w:lang w:val="es-MX" w:eastAsia="es-MX"/>
        </w:rPr>
        <w:t>, 2021</w:t>
      </w:r>
      <w:r w:rsidRPr="00B00775">
        <w:rPr>
          <w:rFonts w:ascii="Arial Negrita" w:hAnsi="Arial Negrita"/>
          <w:b/>
          <w:smallCaps/>
          <w:sz w:val="22"/>
          <w:szCs w:val="22"/>
          <w:vertAlign w:val="superscript"/>
          <w:lang w:val="es-MX" w:eastAsia="es-MX"/>
        </w:rPr>
        <w:t>P</w:t>
      </w:r>
    </w:p>
    <w:p w14:paraId="3F62F4AD" w14:textId="07D8B88E" w:rsidR="002D4275" w:rsidRPr="00337FFC" w:rsidRDefault="002D4275" w:rsidP="00215939">
      <w:pPr>
        <w:ind w:left="-426" w:right="-141"/>
        <w:contextualSpacing/>
        <w:jc w:val="center"/>
        <w:rPr>
          <w:rFonts w:ascii="Arial Negrita" w:hAnsi="Arial Negrita"/>
          <w:smallCaps/>
          <w:sz w:val="18"/>
          <w:szCs w:val="18"/>
        </w:rPr>
      </w:pPr>
      <w:r w:rsidRPr="00337FFC">
        <w:rPr>
          <w:sz w:val="18"/>
          <w:szCs w:val="18"/>
          <w:lang w:val="es-MX" w:eastAsia="es-MX"/>
        </w:rPr>
        <w:t>(Variación anual)</w:t>
      </w:r>
    </w:p>
    <w:tbl>
      <w:tblPr>
        <w:tblStyle w:val="Tablanormal4"/>
        <w:tblW w:w="9820" w:type="dxa"/>
        <w:tblLook w:val="04A0" w:firstRow="1" w:lastRow="0" w:firstColumn="1" w:lastColumn="0" w:noHBand="0" w:noVBand="1"/>
      </w:tblPr>
      <w:tblGrid>
        <w:gridCol w:w="1200"/>
        <w:gridCol w:w="3760"/>
        <w:gridCol w:w="1620"/>
        <w:gridCol w:w="1620"/>
        <w:gridCol w:w="1620"/>
      </w:tblGrid>
      <w:tr w:rsidR="00215939" w:rsidRPr="00646299" w14:paraId="1F1D6682" w14:textId="77777777" w:rsidTr="002D4275">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200" w:type="dxa"/>
            <w:hideMark/>
          </w:tcPr>
          <w:p w14:paraId="1CCCDF5F" w14:textId="349DD953" w:rsidR="00215939" w:rsidRPr="00646299" w:rsidRDefault="00215939" w:rsidP="002D4275">
            <w:pPr>
              <w:jc w:val="center"/>
              <w:rPr>
                <w:b w:val="0"/>
                <w:bCs w:val="0"/>
                <w:sz w:val="14"/>
                <w:szCs w:val="14"/>
                <w:lang w:eastAsia="es-MX"/>
              </w:rPr>
            </w:pPr>
            <w:r w:rsidRPr="00646299">
              <w:rPr>
                <w:sz w:val="14"/>
                <w:szCs w:val="14"/>
                <w:lang w:eastAsia="es-MX"/>
              </w:rPr>
              <w:t>Código SCIAN</w:t>
            </w:r>
            <w:r w:rsidR="002D4275" w:rsidRPr="00646299">
              <w:rPr>
                <w:sz w:val="14"/>
                <w:szCs w:val="14"/>
                <w:vertAlign w:val="superscript"/>
                <w:lang w:eastAsia="es-MX"/>
              </w:rPr>
              <w:t>1</w:t>
            </w:r>
            <w:r w:rsidRPr="00646299">
              <w:rPr>
                <w:sz w:val="14"/>
                <w:szCs w:val="14"/>
                <w:lang w:eastAsia="es-MX"/>
              </w:rPr>
              <w:t xml:space="preserve"> 2013</w:t>
            </w:r>
          </w:p>
        </w:tc>
        <w:tc>
          <w:tcPr>
            <w:tcW w:w="3760" w:type="dxa"/>
            <w:hideMark/>
          </w:tcPr>
          <w:p w14:paraId="7AA1F95A" w14:textId="77777777" w:rsidR="00215939" w:rsidRPr="00646299" w:rsidRDefault="00215939" w:rsidP="002D4275">
            <w:pP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646299">
              <w:rPr>
                <w:sz w:val="14"/>
                <w:szCs w:val="14"/>
                <w:lang w:eastAsia="es-MX"/>
              </w:rPr>
              <w:t>Descripción</w:t>
            </w:r>
          </w:p>
        </w:tc>
        <w:tc>
          <w:tcPr>
            <w:tcW w:w="1620" w:type="dxa"/>
            <w:hideMark/>
          </w:tcPr>
          <w:p w14:paraId="32E7FA97" w14:textId="77777777" w:rsidR="00215939" w:rsidRPr="00646299"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646299">
              <w:rPr>
                <w:sz w:val="14"/>
                <w:szCs w:val="14"/>
                <w:lang w:eastAsia="es-MX"/>
              </w:rPr>
              <w:t>Pasajeros transportados</w:t>
            </w:r>
          </w:p>
        </w:tc>
        <w:tc>
          <w:tcPr>
            <w:tcW w:w="1620" w:type="dxa"/>
            <w:hideMark/>
          </w:tcPr>
          <w:p w14:paraId="0885474E" w14:textId="77777777" w:rsidR="00215939" w:rsidRPr="00646299"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646299">
              <w:rPr>
                <w:sz w:val="14"/>
                <w:szCs w:val="14"/>
                <w:lang w:eastAsia="es-MX"/>
              </w:rPr>
              <w:t>Toneladas transportadas</w:t>
            </w:r>
          </w:p>
        </w:tc>
        <w:tc>
          <w:tcPr>
            <w:tcW w:w="1620" w:type="dxa"/>
            <w:hideMark/>
          </w:tcPr>
          <w:p w14:paraId="7C0D23A5" w14:textId="77777777" w:rsidR="00215939" w:rsidRPr="00646299"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646299">
              <w:rPr>
                <w:sz w:val="14"/>
                <w:szCs w:val="14"/>
                <w:lang w:eastAsia="es-MX"/>
              </w:rPr>
              <w:t>Kilómetros recorridos</w:t>
            </w:r>
          </w:p>
        </w:tc>
      </w:tr>
      <w:tr w:rsidR="00215939" w:rsidRPr="00646299" w14:paraId="57043BB9" w14:textId="77777777" w:rsidTr="002D427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00" w:type="dxa"/>
            <w:hideMark/>
          </w:tcPr>
          <w:p w14:paraId="45F23C8D" w14:textId="77777777" w:rsidR="00215939" w:rsidRPr="00646299" w:rsidRDefault="00215939" w:rsidP="002D4275">
            <w:pPr>
              <w:jc w:val="right"/>
              <w:rPr>
                <w:sz w:val="14"/>
                <w:szCs w:val="14"/>
                <w:lang w:eastAsia="es-MX"/>
              </w:rPr>
            </w:pPr>
            <w:r w:rsidRPr="00646299">
              <w:rPr>
                <w:sz w:val="14"/>
                <w:szCs w:val="14"/>
                <w:lang w:eastAsia="es-MX"/>
              </w:rPr>
              <w:t>481111</w:t>
            </w:r>
          </w:p>
        </w:tc>
        <w:tc>
          <w:tcPr>
            <w:tcW w:w="3760" w:type="dxa"/>
            <w:hideMark/>
          </w:tcPr>
          <w:p w14:paraId="7909D751" w14:textId="77777777" w:rsidR="00215939" w:rsidRPr="00646299"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Transporte aéreo regular en líneas aéreas nacionales</w:t>
            </w:r>
          </w:p>
        </w:tc>
        <w:tc>
          <w:tcPr>
            <w:tcW w:w="1620" w:type="dxa"/>
            <w:hideMark/>
          </w:tcPr>
          <w:p w14:paraId="0996466D"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86.5</w:t>
            </w:r>
          </w:p>
        </w:tc>
        <w:tc>
          <w:tcPr>
            <w:tcW w:w="1620" w:type="dxa"/>
            <w:hideMark/>
          </w:tcPr>
          <w:p w14:paraId="65186AC9"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N/D</w:t>
            </w:r>
          </w:p>
        </w:tc>
        <w:tc>
          <w:tcPr>
            <w:tcW w:w="1620" w:type="dxa"/>
            <w:hideMark/>
          </w:tcPr>
          <w:p w14:paraId="74C57AC8"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49.5</w:t>
            </w:r>
          </w:p>
        </w:tc>
      </w:tr>
      <w:tr w:rsidR="00215939" w:rsidRPr="00646299" w14:paraId="74AA2553" w14:textId="77777777" w:rsidTr="002D4275">
        <w:trPr>
          <w:trHeight w:val="255"/>
        </w:trPr>
        <w:tc>
          <w:tcPr>
            <w:cnfStyle w:val="001000000000" w:firstRow="0" w:lastRow="0" w:firstColumn="1" w:lastColumn="0" w:oddVBand="0" w:evenVBand="0" w:oddHBand="0" w:evenHBand="0" w:firstRowFirstColumn="0" w:firstRowLastColumn="0" w:lastRowFirstColumn="0" w:lastRowLastColumn="0"/>
            <w:tcW w:w="1200" w:type="dxa"/>
            <w:hideMark/>
          </w:tcPr>
          <w:p w14:paraId="587405CB" w14:textId="77777777" w:rsidR="00215939" w:rsidRPr="00646299" w:rsidRDefault="00215939" w:rsidP="002D4275">
            <w:pPr>
              <w:jc w:val="right"/>
              <w:rPr>
                <w:sz w:val="14"/>
                <w:szCs w:val="14"/>
                <w:lang w:eastAsia="es-MX"/>
              </w:rPr>
            </w:pPr>
            <w:r w:rsidRPr="00646299">
              <w:rPr>
                <w:sz w:val="14"/>
                <w:szCs w:val="14"/>
                <w:lang w:eastAsia="es-MX"/>
              </w:rPr>
              <w:t>482110</w:t>
            </w:r>
          </w:p>
        </w:tc>
        <w:tc>
          <w:tcPr>
            <w:tcW w:w="3760" w:type="dxa"/>
            <w:hideMark/>
          </w:tcPr>
          <w:p w14:paraId="760F1190" w14:textId="77777777" w:rsidR="00215939" w:rsidRPr="00646299"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Transporte por ferrocarril</w:t>
            </w:r>
          </w:p>
        </w:tc>
        <w:tc>
          <w:tcPr>
            <w:tcW w:w="1620" w:type="dxa"/>
            <w:hideMark/>
          </w:tcPr>
          <w:p w14:paraId="3B21B2D4"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23.6</w:t>
            </w:r>
          </w:p>
        </w:tc>
        <w:tc>
          <w:tcPr>
            <w:tcW w:w="1620" w:type="dxa"/>
            <w:hideMark/>
          </w:tcPr>
          <w:p w14:paraId="16D6500D"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84.7</w:t>
            </w:r>
          </w:p>
        </w:tc>
        <w:tc>
          <w:tcPr>
            <w:tcW w:w="1620" w:type="dxa"/>
            <w:hideMark/>
          </w:tcPr>
          <w:p w14:paraId="36C9BED1"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36.2</w:t>
            </w:r>
          </w:p>
        </w:tc>
      </w:tr>
      <w:tr w:rsidR="00215939" w:rsidRPr="00646299" w14:paraId="14408AC0" w14:textId="77777777" w:rsidTr="002D4275">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200" w:type="dxa"/>
            <w:hideMark/>
          </w:tcPr>
          <w:p w14:paraId="3E66D358" w14:textId="77777777" w:rsidR="00215939" w:rsidRPr="00646299" w:rsidRDefault="00215939" w:rsidP="002D4275">
            <w:pPr>
              <w:jc w:val="right"/>
              <w:rPr>
                <w:sz w:val="14"/>
                <w:szCs w:val="14"/>
                <w:lang w:eastAsia="es-MX"/>
              </w:rPr>
            </w:pPr>
            <w:r w:rsidRPr="00646299">
              <w:rPr>
                <w:sz w:val="14"/>
                <w:szCs w:val="14"/>
                <w:lang w:eastAsia="es-MX"/>
              </w:rPr>
              <w:t>483111</w:t>
            </w:r>
          </w:p>
        </w:tc>
        <w:tc>
          <w:tcPr>
            <w:tcW w:w="3760" w:type="dxa"/>
            <w:hideMark/>
          </w:tcPr>
          <w:p w14:paraId="09C6A9EB" w14:textId="77777777" w:rsidR="00215939" w:rsidRPr="00646299"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Transporte marítimo de altura, excepto de petróleo y gas natural</w:t>
            </w:r>
          </w:p>
        </w:tc>
        <w:tc>
          <w:tcPr>
            <w:tcW w:w="1620" w:type="dxa"/>
            <w:hideMark/>
          </w:tcPr>
          <w:p w14:paraId="257152C5"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N/D</w:t>
            </w:r>
          </w:p>
        </w:tc>
        <w:tc>
          <w:tcPr>
            <w:tcW w:w="1620" w:type="dxa"/>
            <w:hideMark/>
          </w:tcPr>
          <w:p w14:paraId="07812477"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49.4</w:t>
            </w:r>
          </w:p>
        </w:tc>
        <w:tc>
          <w:tcPr>
            <w:tcW w:w="1620" w:type="dxa"/>
            <w:hideMark/>
          </w:tcPr>
          <w:p w14:paraId="006094FE"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48.8</w:t>
            </w:r>
          </w:p>
        </w:tc>
      </w:tr>
      <w:tr w:rsidR="00215939" w:rsidRPr="00646299" w14:paraId="28F53BA7" w14:textId="77777777" w:rsidTr="002D4275">
        <w:trPr>
          <w:trHeight w:val="390"/>
        </w:trPr>
        <w:tc>
          <w:tcPr>
            <w:cnfStyle w:val="001000000000" w:firstRow="0" w:lastRow="0" w:firstColumn="1" w:lastColumn="0" w:oddVBand="0" w:evenVBand="0" w:oddHBand="0" w:evenHBand="0" w:firstRowFirstColumn="0" w:firstRowLastColumn="0" w:lastRowFirstColumn="0" w:lastRowLastColumn="0"/>
            <w:tcW w:w="1200" w:type="dxa"/>
            <w:hideMark/>
          </w:tcPr>
          <w:p w14:paraId="0B179D41" w14:textId="77777777" w:rsidR="00215939" w:rsidRPr="00646299" w:rsidRDefault="00215939" w:rsidP="002D4275">
            <w:pPr>
              <w:jc w:val="right"/>
              <w:rPr>
                <w:sz w:val="14"/>
                <w:szCs w:val="14"/>
                <w:lang w:eastAsia="es-MX"/>
              </w:rPr>
            </w:pPr>
            <w:r w:rsidRPr="00646299">
              <w:rPr>
                <w:sz w:val="14"/>
                <w:szCs w:val="14"/>
                <w:lang w:eastAsia="es-MX"/>
              </w:rPr>
              <w:t>483112</w:t>
            </w:r>
          </w:p>
        </w:tc>
        <w:tc>
          <w:tcPr>
            <w:tcW w:w="3760" w:type="dxa"/>
            <w:hideMark/>
          </w:tcPr>
          <w:p w14:paraId="23F87C9F" w14:textId="77777777" w:rsidR="00215939" w:rsidRPr="00646299"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Transporte marítimo de cabotaje, excepto de petróleo y gas natural</w:t>
            </w:r>
          </w:p>
        </w:tc>
        <w:tc>
          <w:tcPr>
            <w:tcW w:w="1620" w:type="dxa"/>
            <w:hideMark/>
          </w:tcPr>
          <w:p w14:paraId="0ED199AA"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N/D</w:t>
            </w:r>
          </w:p>
        </w:tc>
        <w:tc>
          <w:tcPr>
            <w:tcW w:w="1620" w:type="dxa"/>
            <w:hideMark/>
          </w:tcPr>
          <w:p w14:paraId="1A00D9C4"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16.6</w:t>
            </w:r>
          </w:p>
        </w:tc>
        <w:tc>
          <w:tcPr>
            <w:tcW w:w="1620" w:type="dxa"/>
            <w:hideMark/>
          </w:tcPr>
          <w:p w14:paraId="2DAEE0DD"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8.9</w:t>
            </w:r>
          </w:p>
        </w:tc>
      </w:tr>
      <w:tr w:rsidR="00215939" w:rsidRPr="00646299" w14:paraId="193568AE" w14:textId="77777777" w:rsidTr="002D42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0" w:type="dxa"/>
            <w:hideMark/>
          </w:tcPr>
          <w:p w14:paraId="62FE4670" w14:textId="77777777" w:rsidR="00215939" w:rsidRPr="00646299" w:rsidRDefault="00215939" w:rsidP="002D4275">
            <w:pPr>
              <w:jc w:val="right"/>
              <w:rPr>
                <w:sz w:val="14"/>
                <w:szCs w:val="14"/>
                <w:lang w:eastAsia="es-MX"/>
              </w:rPr>
            </w:pPr>
            <w:r w:rsidRPr="00646299">
              <w:rPr>
                <w:sz w:val="14"/>
                <w:szCs w:val="14"/>
                <w:lang w:eastAsia="es-MX"/>
              </w:rPr>
              <w:t>484</w:t>
            </w:r>
          </w:p>
        </w:tc>
        <w:tc>
          <w:tcPr>
            <w:tcW w:w="3760" w:type="dxa"/>
            <w:hideMark/>
          </w:tcPr>
          <w:p w14:paraId="4FE12F8C" w14:textId="77777777" w:rsidR="00215939" w:rsidRPr="00646299"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Autotransporte de carga</w:t>
            </w:r>
          </w:p>
        </w:tc>
        <w:tc>
          <w:tcPr>
            <w:tcW w:w="1620" w:type="dxa"/>
            <w:hideMark/>
          </w:tcPr>
          <w:p w14:paraId="0CE9E72D"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N/D</w:t>
            </w:r>
          </w:p>
        </w:tc>
        <w:tc>
          <w:tcPr>
            <w:tcW w:w="1620" w:type="dxa"/>
            <w:hideMark/>
          </w:tcPr>
          <w:p w14:paraId="0456709C"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1.8</w:t>
            </w:r>
          </w:p>
        </w:tc>
        <w:tc>
          <w:tcPr>
            <w:tcW w:w="1620" w:type="dxa"/>
            <w:hideMark/>
          </w:tcPr>
          <w:p w14:paraId="032ABA30"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4.4</w:t>
            </w:r>
          </w:p>
        </w:tc>
      </w:tr>
      <w:tr w:rsidR="00215939" w:rsidRPr="00646299" w14:paraId="6BB76E08" w14:textId="77777777" w:rsidTr="002D4275">
        <w:trPr>
          <w:trHeight w:val="428"/>
        </w:trPr>
        <w:tc>
          <w:tcPr>
            <w:cnfStyle w:val="001000000000" w:firstRow="0" w:lastRow="0" w:firstColumn="1" w:lastColumn="0" w:oddVBand="0" w:evenVBand="0" w:oddHBand="0" w:evenHBand="0" w:firstRowFirstColumn="0" w:firstRowLastColumn="0" w:lastRowFirstColumn="0" w:lastRowLastColumn="0"/>
            <w:tcW w:w="1200" w:type="dxa"/>
            <w:hideMark/>
          </w:tcPr>
          <w:p w14:paraId="30FD9941" w14:textId="77777777" w:rsidR="00215939" w:rsidRPr="00646299" w:rsidRDefault="00215939" w:rsidP="002D4275">
            <w:pPr>
              <w:jc w:val="right"/>
              <w:rPr>
                <w:sz w:val="14"/>
                <w:szCs w:val="14"/>
                <w:lang w:eastAsia="es-MX"/>
              </w:rPr>
            </w:pPr>
            <w:r w:rsidRPr="00646299">
              <w:rPr>
                <w:sz w:val="14"/>
                <w:szCs w:val="14"/>
                <w:lang w:eastAsia="es-MX"/>
              </w:rPr>
              <w:t>485111</w:t>
            </w:r>
          </w:p>
        </w:tc>
        <w:tc>
          <w:tcPr>
            <w:tcW w:w="3760" w:type="dxa"/>
            <w:hideMark/>
          </w:tcPr>
          <w:p w14:paraId="0BED2C62" w14:textId="77777777" w:rsidR="00215939" w:rsidRPr="00646299"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Transporte colectivo urbano y suburbano de pasajeros en autobuses de ruta fija</w:t>
            </w:r>
          </w:p>
        </w:tc>
        <w:tc>
          <w:tcPr>
            <w:tcW w:w="1620" w:type="dxa"/>
            <w:hideMark/>
          </w:tcPr>
          <w:p w14:paraId="24CC4FF2"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-10.0</w:t>
            </w:r>
          </w:p>
        </w:tc>
        <w:tc>
          <w:tcPr>
            <w:tcW w:w="1620" w:type="dxa"/>
            <w:hideMark/>
          </w:tcPr>
          <w:p w14:paraId="4D23AE10"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N/D</w:t>
            </w:r>
          </w:p>
        </w:tc>
        <w:tc>
          <w:tcPr>
            <w:tcW w:w="1620" w:type="dxa"/>
            <w:hideMark/>
          </w:tcPr>
          <w:p w14:paraId="6CD969A9"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-4.4</w:t>
            </w:r>
          </w:p>
        </w:tc>
      </w:tr>
      <w:tr w:rsidR="00215939" w:rsidRPr="00646299" w14:paraId="2682F6CC" w14:textId="77777777" w:rsidTr="002D427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00" w:type="dxa"/>
            <w:hideMark/>
          </w:tcPr>
          <w:p w14:paraId="770509A3" w14:textId="77777777" w:rsidR="00215939" w:rsidRPr="00646299" w:rsidRDefault="00215939" w:rsidP="002D4275">
            <w:pPr>
              <w:jc w:val="right"/>
              <w:rPr>
                <w:sz w:val="14"/>
                <w:szCs w:val="14"/>
                <w:lang w:eastAsia="es-MX"/>
              </w:rPr>
            </w:pPr>
            <w:r w:rsidRPr="00646299">
              <w:rPr>
                <w:sz w:val="14"/>
                <w:szCs w:val="14"/>
                <w:lang w:eastAsia="es-MX"/>
              </w:rPr>
              <w:t>4852</w:t>
            </w:r>
          </w:p>
        </w:tc>
        <w:tc>
          <w:tcPr>
            <w:tcW w:w="3760" w:type="dxa"/>
            <w:hideMark/>
          </w:tcPr>
          <w:p w14:paraId="174F9F3D" w14:textId="77777777" w:rsidR="00215939" w:rsidRPr="00646299"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Transporte colectivo foráneo de pasajeros de ruta fija</w:t>
            </w:r>
          </w:p>
        </w:tc>
        <w:tc>
          <w:tcPr>
            <w:tcW w:w="1620" w:type="dxa"/>
            <w:hideMark/>
          </w:tcPr>
          <w:p w14:paraId="649CA5B9"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-9.6</w:t>
            </w:r>
          </w:p>
        </w:tc>
        <w:tc>
          <w:tcPr>
            <w:tcW w:w="1620" w:type="dxa"/>
            <w:hideMark/>
          </w:tcPr>
          <w:p w14:paraId="688E9DBF"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N/D</w:t>
            </w:r>
          </w:p>
        </w:tc>
        <w:tc>
          <w:tcPr>
            <w:tcW w:w="1620" w:type="dxa"/>
            <w:hideMark/>
          </w:tcPr>
          <w:p w14:paraId="424685AC"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-3.4</w:t>
            </w:r>
          </w:p>
        </w:tc>
      </w:tr>
    </w:tbl>
    <w:p w14:paraId="1B4B09A8" w14:textId="1A3A5C49" w:rsidR="002D4275" w:rsidRDefault="002D4275" w:rsidP="002D4275">
      <w:pPr>
        <w:rPr>
          <w:sz w:val="16"/>
          <w:szCs w:val="16"/>
          <w:lang w:eastAsia="es-MX"/>
        </w:rPr>
      </w:pPr>
      <w:r w:rsidRPr="00B00775">
        <w:rPr>
          <w:sz w:val="16"/>
          <w:szCs w:val="16"/>
          <w:vertAlign w:val="superscript"/>
          <w:lang w:eastAsia="es-MX"/>
        </w:rPr>
        <w:t>P/</w:t>
      </w:r>
      <w:r w:rsidRPr="00B00775">
        <w:rPr>
          <w:sz w:val="16"/>
          <w:szCs w:val="16"/>
          <w:lang w:eastAsia="es-MX"/>
        </w:rPr>
        <w:t xml:space="preserve"> Preliminar</w:t>
      </w:r>
    </w:p>
    <w:p w14:paraId="4BF30940" w14:textId="631D2B6B" w:rsidR="00FE42DA" w:rsidRPr="00646299" w:rsidRDefault="00FE42DA" w:rsidP="002D4275">
      <w:pPr>
        <w:contextualSpacing/>
        <w:rPr>
          <w:sz w:val="16"/>
          <w:szCs w:val="16"/>
        </w:rPr>
      </w:pPr>
      <w:r>
        <w:rPr>
          <w:sz w:val="16"/>
          <w:szCs w:val="16"/>
          <w:lang w:eastAsia="es-MX"/>
        </w:rPr>
        <w:t>N/D: No disponible</w:t>
      </w:r>
    </w:p>
    <w:p w14:paraId="28BE30E6" w14:textId="77777777" w:rsidR="002D4275" w:rsidRPr="00B00775" w:rsidRDefault="002D4275" w:rsidP="002D4275">
      <w:pPr>
        <w:contextualSpacing/>
        <w:rPr>
          <w:sz w:val="16"/>
          <w:szCs w:val="16"/>
        </w:rPr>
      </w:pPr>
      <w:r w:rsidRPr="00B00775">
        <w:rPr>
          <w:sz w:val="16"/>
          <w:szCs w:val="16"/>
          <w:vertAlign w:val="superscript"/>
          <w:lang w:eastAsia="es-MX"/>
        </w:rPr>
        <w:t>1</w:t>
      </w:r>
      <w:r w:rsidRPr="00B00775">
        <w:rPr>
          <w:sz w:val="16"/>
          <w:szCs w:val="16"/>
          <w:lang w:eastAsia="es-MX"/>
        </w:rPr>
        <w:t xml:space="preserve"> SCIAN: Sistema de Clasificación Industrial de América del Norte</w:t>
      </w:r>
    </w:p>
    <w:p w14:paraId="2366AA3E" w14:textId="0B5750E9" w:rsidR="002D4275" w:rsidRDefault="002D4275" w:rsidP="002D4275">
      <w:pPr>
        <w:contextualSpacing/>
        <w:rPr>
          <w:sz w:val="16"/>
          <w:szCs w:val="16"/>
          <w:lang w:eastAsia="es-MX"/>
        </w:rPr>
      </w:pPr>
      <w:r w:rsidRPr="00B00775">
        <w:rPr>
          <w:sz w:val="16"/>
          <w:szCs w:val="16"/>
          <w:lang w:eastAsia="es-MX"/>
        </w:rPr>
        <w:t>Fuente: Instituto Nacional de Estadística y Geografía, Encuesta Anual del Transporte</w:t>
      </w:r>
      <w:r w:rsidR="00644EEE">
        <w:rPr>
          <w:sz w:val="16"/>
          <w:szCs w:val="16"/>
          <w:lang w:eastAsia="es-MX"/>
        </w:rPr>
        <w:t xml:space="preserve"> 2021.</w:t>
      </w:r>
    </w:p>
    <w:p w14:paraId="29657490" w14:textId="2E2ED1EA" w:rsidR="00215939" w:rsidRDefault="00215939" w:rsidP="00215939">
      <w:pPr>
        <w:ind w:right="142"/>
        <w:contextualSpacing/>
        <w:jc w:val="center"/>
        <w:rPr>
          <w:b/>
          <w:lang w:val="es-MX" w:eastAsia="es-MX"/>
        </w:rPr>
      </w:pPr>
    </w:p>
    <w:p w14:paraId="633FE001" w14:textId="3F5E16E0" w:rsidR="00F54AB9" w:rsidRDefault="00F54AB9" w:rsidP="00F54AB9">
      <w:pPr>
        <w:ind w:left="-426"/>
        <w:rPr>
          <w:noProof/>
          <w:lang w:eastAsia="es-MX"/>
        </w:rPr>
      </w:pPr>
      <w:r>
        <w:rPr>
          <w:noProof/>
          <w:lang w:eastAsia="es-MX"/>
        </w:rPr>
        <w:t>E</w:t>
      </w:r>
      <w:r w:rsidR="00FC75ED">
        <w:rPr>
          <w:noProof/>
          <w:lang w:eastAsia="es-MX"/>
        </w:rPr>
        <w:t xml:space="preserve">n 2021, </w:t>
      </w:r>
      <w:r w:rsidR="005A6EEE" w:rsidRPr="005A6EEE">
        <w:rPr>
          <w:i/>
          <w:noProof/>
          <w:lang w:eastAsia="es-MX"/>
        </w:rPr>
        <w:t>T</w:t>
      </w:r>
      <w:r w:rsidRPr="005A6EEE">
        <w:rPr>
          <w:i/>
          <w:noProof/>
          <w:lang w:eastAsia="es-MX"/>
        </w:rPr>
        <w:t>ansporte aéreo</w:t>
      </w:r>
      <w:r>
        <w:rPr>
          <w:noProof/>
          <w:lang w:eastAsia="es-MX"/>
        </w:rPr>
        <w:t xml:space="preserve"> </w:t>
      </w:r>
      <w:r w:rsidR="00A14BFD">
        <w:rPr>
          <w:noProof/>
          <w:lang w:eastAsia="es-MX"/>
        </w:rPr>
        <w:t>obt</w:t>
      </w:r>
      <w:r w:rsidR="00FC75ED">
        <w:rPr>
          <w:noProof/>
          <w:lang w:eastAsia="es-MX"/>
        </w:rPr>
        <w:t>uvo</w:t>
      </w:r>
      <w:r w:rsidR="00A14BFD">
        <w:rPr>
          <w:noProof/>
          <w:lang w:eastAsia="es-MX"/>
        </w:rPr>
        <w:t xml:space="preserve"> 8.2 % de sus ingresos por realizar transporte de carga; también </w:t>
      </w:r>
      <w:r w:rsidR="00F71FB5" w:rsidRPr="00F71FB5">
        <w:rPr>
          <w:i/>
          <w:noProof/>
          <w:lang w:eastAsia="es-MX"/>
        </w:rPr>
        <w:t>T</w:t>
      </w:r>
      <w:r w:rsidR="00A14BFD" w:rsidRPr="00FC75ED">
        <w:rPr>
          <w:i/>
          <w:noProof/>
          <w:lang w:eastAsia="es-MX"/>
        </w:rPr>
        <w:t>ransporte marítimo de cabotajes</w:t>
      </w:r>
      <w:r w:rsidR="00A14BFD">
        <w:rPr>
          <w:noProof/>
          <w:lang w:eastAsia="es-MX"/>
        </w:rPr>
        <w:t xml:space="preserve"> </w:t>
      </w:r>
      <w:r w:rsidR="00FC75ED">
        <w:rPr>
          <w:noProof/>
          <w:lang w:eastAsia="es-MX"/>
        </w:rPr>
        <w:t>percibió</w:t>
      </w:r>
      <w:r w:rsidR="00A14BFD">
        <w:rPr>
          <w:noProof/>
          <w:lang w:eastAsia="es-MX"/>
        </w:rPr>
        <w:t xml:space="preserve"> hasta 71.5 % de sus ingresos por transporte de carga</w:t>
      </w:r>
      <w:r w:rsidR="008E2BBC">
        <w:rPr>
          <w:noProof/>
          <w:lang w:eastAsia="es-MX"/>
        </w:rPr>
        <w:t xml:space="preserve"> y </w:t>
      </w:r>
      <w:r w:rsidR="00A14BFD">
        <w:rPr>
          <w:noProof/>
          <w:lang w:eastAsia="es-MX"/>
        </w:rPr>
        <w:t>respondi</w:t>
      </w:r>
      <w:r w:rsidR="008E2BBC">
        <w:rPr>
          <w:noProof/>
          <w:lang w:eastAsia="es-MX"/>
        </w:rPr>
        <w:t xml:space="preserve">ó </w:t>
      </w:r>
      <w:r w:rsidR="00A14BFD">
        <w:rPr>
          <w:noProof/>
          <w:lang w:eastAsia="es-MX"/>
        </w:rPr>
        <w:t>a la demanda reorientada por la pandemia que afectó de diferente manera las actividades económicas.</w:t>
      </w:r>
    </w:p>
    <w:p w14:paraId="3F283E20" w14:textId="77777777" w:rsidR="00F54AB9" w:rsidRDefault="00F54AB9" w:rsidP="00215939">
      <w:pPr>
        <w:ind w:right="142"/>
        <w:contextualSpacing/>
        <w:jc w:val="center"/>
        <w:rPr>
          <w:b/>
          <w:lang w:val="es-MX" w:eastAsia="es-MX"/>
        </w:rPr>
      </w:pPr>
    </w:p>
    <w:p w14:paraId="1F4597AF" w14:textId="60BF52B4" w:rsidR="002D4275" w:rsidRDefault="00215939" w:rsidP="00337FFC">
      <w:pPr>
        <w:ind w:right="-374"/>
        <w:contextualSpacing/>
        <w:jc w:val="center"/>
        <w:rPr>
          <w:b/>
          <w:sz w:val="22"/>
          <w:szCs w:val="22"/>
          <w:lang w:val="es-MX" w:eastAsia="es-MX"/>
        </w:rPr>
      </w:pPr>
      <w:r w:rsidRPr="00337FFC">
        <w:rPr>
          <w:sz w:val="20"/>
          <w:szCs w:val="20"/>
          <w:lang w:val="es-MX" w:eastAsia="es-MX"/>
        </w:rPr>
        <w:t>Cuadro 8</w:t>
      </w:r>
      <w:r w:rsidRPr="00E64A4D">
        <w:rPr>
          <w:b/>
          <w:sz w:val="22"/>
          <w:szCs w:val="22"/>
          <w:lang w:val="es-MX" w:eastAsia="es-MX"/>
        </w:rPr>
        <w:t xml:space="preserve"> </w:t>
      </w:r>
    </w:p>
    <w:p w14:paraId="02AE1C74" w14:textId="26D4AE8A" w:rsidR="00215939" w:rsidRPr="00337FFC" w:rsidRDefault="002D4275" w:rsidP="00215939">
      <w:pPr>
        <w:ind w:left="-426"/>
        <w:contextualSpacing/>
        <w:jc w:val="center"/>
        <w:rPr>
          <w:rFonts w:ascii="Arial Negrita" w:hAnsi="Arial Negrita"/>
          <w:smallCaps/>
          <w:sz w:val="22"/>
          <w:szCs w:val="22"/>
        </w:rPr>
      </w:pPr>
      <w:r>
        <w:rPr>
          <w:rFonts w:ascii="Arial Negrita" w:hAnsi="Arial Negrita"/>
          <w:b/>
          <w:smallCaps/>
          <w:sz w:val="22"/>
          <w:szCs w:val="22"/>
          <w:lang w:val="es-MX" w:eastAsia="es-MX"/>
        </w:rPr>
        <w:t>D</w:t>
      </w:r>
      <w:r w:rsidR="00215939" w:rsidRPr="00337FFC">
        <w:rPr>
          <w:rFonts w:ascii="Arial Negrita" w:hAnsi="Arial Negrita"/>
          <w:b/>
          <w:smallCaps/>
          <w:sz w:val="22"/>
          <w:szCs w:val="22"/>
          <w:lang w:val="es-MX" w:eastAsia="es-MX"/>
        </w:rPr>
        <w:t>istribución porcentual de los ingresos</w:t>
      </w:r>
      <w:r>
        <w:rPr>
          <w:rFonts w:ascii="Arial Negrita" w:hAnsi="Arial Negrita"/>
          <w:b/>
          <w:smallCaps/>
          <w:sz w:val="22"/>
          <w:szCs w:val="22"/>
          <w:lang w:val="es-MX" w:eastAsia="es-MX"/>
        </w:rPr>
        <w:t>, 2021</w:t>
      </w:r>
      <w:r w:rsidRPr="00337FFC">
        <w:rPr>
          <w:rFonts w:ascii="Arial Negrita" w:hAnsi="Arial Negrita"/>
          <w:b/>
          <w:smallCaps/>
          <w:sz w:val="22"/>
          <w:szCs w:val="22"/>
          <w:vertAlign w:val="superscript"/>
          <w:lang w:val="es-MX" w:eastAsia="es-MX"/>
        </w:rPr>
        <w:t>P/</w:t>
      </w:r>
    </w:p>
    <w:tbl>
      <w:tblPr>
        <w:tblStyle w:val="Tablanormal4"/>
        <w:tblW w:w="5000" w:type="pct"/>
        <w:tblLook w:val="04A0" w:firstRow="1" w:lastRow="0" w:firstColumn="1" w:lastColumn="0" w:noHBand="0" w:noVBand="1"/>
      </w:tblPr>
      <w:tblGrid>
        <w:gridCol w:w="985"/>
        <w:gridCol w:w="1560"/>
        <w:gridCol w:w="562"/>
        <w:gridCol w:w="910"/>
        <w:gridCol w:w="910"/>
        <w:gridCol w:w="948"/>
        <w:gridCol w:w="910"/>
        <w:gridCol w:w="910"/>
        <w:gridCol w:w="870"/>
        <w:gridCol w:w="933"/>
      </w:tblGrid>
      <w:tr w:rsidR="00215939" w:rsidRPr="005E5947" w14:paraId="51DF09FE" w14:textId="77777777" w:rsidTr="002D4275">
        <w:trPr>
          <w:cnfStyle w:val="100000000000" w:firstRow="1" w:lastRow="0" w:firstColumn="0" w:lastColumn="0" w:oddVBand="0" w:evenVBand="0" w:oddHBand="0"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519" w:type="pct"/>
            <w:hideMark/>
          </w:tcPr>
          <w:p w14:paraId="55B053B9" w14:textId="6D99D0D4" w:rsidR="00215939" w:rsidRPr="00A2424E" w:rsidRDefault="00215939" w:rsidP="002D4275">
            <w:pPr>
              <w:jc w:val="center"/>
              <w:rPr>
                <w:b w:val="0"/>
                <w:bCs w:val="0"/>
                <w:sz w:val="14"/>
                <w:szCs w:val="14"/>
                <w:lang w:eastAsia="es-MX"/>
              </w:rPr>
            </w:pPr>
            <w:r w:rsidRPr="00A2424E">
              <w:rPr>
                <w:sz w:val="14"/>
                <w:szCs w:val="14"/>
                <w:lang w:eastAsia="es-MX"/>
              </w:rPr>
              <w:t>Código SCIAN</w:t>
            </w:r>
            <w:r w:rsidR="002D4275" w:rsidRPr="00337FFC">
              <w:rPr>
                <w:sz w:val="14"/>
                <w:szCs w:val="14"/>
                <w:vertAlign w:val="superscript"/>
                <w:lang w:eastAsia="es-MX"/>
              </w:rPr>
              <w:t>1</w:t>
            </w:r>
            <w:r w:rsidRPr="00337FFC">
              <w:rPr>
                <w:sz w:val="14"/>
                <w:szCs w:val="14"/>
                <w:vertAlign w:val="superscript"/>
                <w:lang w:eastAsia="es-MX"/>
              </w:rPr>
              <w:t xml:space="preserve"> </w:t>
            </w:r>
            <w:r w:rsidRPr="00A2424E">
              <w:rPr>
                <w:sz w:val="14"/>
                <w:szCs w:val="14"/>
                <w:lang w:eastAsia="es-MX"/>
              </w:rPr>
              <w:t>2013</w:t>
            </w:r>
          </w:p>
        </w:tc>
        <w:tc>
          <w:tcPr>
            <w:tcW w:w="821" w:type="pct"/>
            <w:hideMark/>
          </w:tcPr>
          <w:p w14:paraId="6888C967" w14:textId="77777777" w:rsidR="00215939" w:rsidRPr="00A2424E" w:rsidRDefault="00215939" w:rsidP="002D4275">
            <w:pP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A2424E">
              <w:rPr>
                <w:sz w:val="14"/>
                <w:szCs w:val="14"/>
                <w:lang w:eastAsia="es-MX"/>
              </w:rPr>
              <w:t>Descripción</w:t>
            </w:r>
          </w:p>
        </w:tc>
        <w:tc>
          <w:tcPr>
            <w:tcW w:w="296" w:type="pct"/>
            <w:hideMark/>
          </w:tcPr>
          <w:p w14:paraId="62A37585" w14:textId="77777777" w:rsidR="00215939" w:rsidRPr="00A2424E"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A2424E">
              <w:rPr>
                <w:sz w:val="14"/>
                <w:szCs w:val="14"/>
                <w:lang w:eastAsia="es-MX"/>
              </w:rPr>
              <w:t>Total</w:t>
            </w:r>
          </w:p>
        </w:tc>
        <w:tc>
          <w:tcPr>
            <w:tcW w:w="479" w:type="pct"/>
            <w:hideMark/>
          </w:tcPr>
          <w:p w14:paraId="33E047E2" w14:textId="77777777" w:rsidR="00215939" w:rsidRPr="00A2424E"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A2424E">
              <w:rPr>
                <w:sz w:val="14"/>
                <w:szCs w:val="14"/>
                <w:lang w:eastAsia="es-MX"/>
              </w:rPr>
              <w:t>Ingresos por el servicio de transporte de pasajeros</w:t>
            </w:r>
          </w:p>
        </w:tc>
        <w:tc>
          <w:tcPr>
            <w:tcW w:w="479" w:type="pct"/>
            <w:hideMark/>
          </w:tcPr>
          <w:p w14:paraId="3E327767" w14:textId="77777777" w:rsidR="00215939" w:rsidRPr="00A2424E"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A2424E">
              <w:rPr>
                <w:sz w:val="14"/>
                <w:szCs w:val="14"/>
                <w:lang w:eastAsia="es-MX"/>
              </w:rPr>
              <w:t>Ingresos por el servicio de transporte de carga</w:t>
            </w:r>
          </w:p>
        </w:tc>
        <w:tc>
          <w:tcPr>
            <w:tcW w:w="499" w:type="pct"/>
            <w:hideMark/>
          </w:tcPr>
          <w:p w14:paraId="311B7D24" w14:textId="77777777" w:rsidR="00215939" w:rsidRPr="00A2424E"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A2424E">
              <w:rPr>
                <w:sz w:val="14"/>
                <w:szCs w:val="14"/>
                <w:lang w:eastAsia="es-MX"/>
              </w:rPr>
              <w:t>Ingresos por el servicio de mensajería y paquetería</w:t>
            </w:r>
          </w:p>
        </w:tc>
        <w:tc>
          <w:tcPr>
            <w:tcW w:w="479" w:type="pct"/>
            <w:hideMark/>
          </w:tcPr>
          <w:p w14:paraId="069C95F0" w14:textId="77777777" w:rsidR="00215939" w:rsidRPr="00A2424E"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A2424E">
              <w:rPr>
                <w:sz w:val="14"/>
                <w:szCs w:val="14"/>
                <w:lang w:eastAsia="es-MX"/>
              </w:rPr>
              <w:t>Ingresos por el alquiler de equipo de transporte</w:t>
            </w:r>
          </w:p>
        </w:tc>
        <w:tc>
          <w:tcPr>
            <w:tcW w:w="479" w:type="pct"/>
            <w:hideMark/>
          </w:tcPr>
          <w:p w14:paraId="4030D315" w14:textId="77777777" w:rsidR="00215939" w:rsidRPr="00A2424E"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A2424E">
              <w:rPr>
                <w:sz w:val="14"/>
                <w:szCs w:val="14"/>
                <w:lang w:eastAsia="es-MX"/>
              </w:rPr>
              <w:t>Ingresos por el alquiler de otros bienes muebles e inmuebles</w:t>
            </w:r>
          </w:p>
        </w:tc>
        <w:tc>
          <w:tcPr>
            <w:tcW w:w="458" w:type="pct"/>
            <w:hideMark/>
          </w:tcPr>
          <w:p w14:paraId="2C1E9DA1" w14:textId="77777777" w:rsidR="00215939" w:rsidRPr="00A2424E"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A2424E">
              <w:rPr>
                <w:sz w:val="14"/>
                <w:szCs w:val="14"/>
                <w:lang w:eastAsia="es-MX"/>
              </w:rPr>
              <w:t>Ingresos por servicios logísticos</w:t>
            </w:r>
          </w:p>
        </w:tc>
        <w:tc>
          <w:tcPr>
            <w:tcW w:w="491" w:type="pct"/>
            <w:hideMark/>
          </w:tcPr>
          <w:p w14:paraId="2D91EA87" w14:textId="77777777" w:rsidR="00215939" w:rsidRPr="00A2424E"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A2424E">
              <w:rPr>
                <w:sz w:val="14"/>
                <w:szCs w:val="14"/>
                <w:lang w:eastAsia="es-MX"/>
              </w:rPr>
              <w:t>Otros ingresos por suministro de bienes y servicios</w:t>
            </w:r>
          </w:p>
        </w:tc>
      </w:tr>
      <w:tr w:rsidR="00215939" w:rsidRPr="005E5947" w14:paraId="1AA10B65" w14:textId="77777777" w:rsidTr="002D42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19" w:type="pct"/>
            <w:hideMark/>
          </w:tcPr>
          <w:p w14:paraId="748F4404" w14:textId="77777777" w:rsidR="00215939" w:rsidRPr="00A2424E" w:rsidRDefault="00215939" w:rsidP="002D4275">
            <w:pPr>
              <w:jc w:val="right"/>
              <w:rPr>
                <w:sz w:val="14"/>
                <w:szCs w:val="14"/>
                <w:lang w:eastAsia="es-MX"/>
              </w:rPr>
            </w:pPr>
            <w:r w:rsidRPr="00A2424E">
              <w:rPr>
                <w:sz w:val="14"/>
                <w:szCs w:val="14"/>
                <w:lang w:eastAsia="es-MX"/>
              </w:rPr>
              <w:t>481111</w:t>
            </w:r>
          </w:p>
        </w:tc>
        <w:tc>
          <w:tcPr>
            <w:tcW w:w="821" w:type="pct"/>
            <w:hideMark/>
          </w:tcPr>
          <w:p w14:paraId="37313920" w14:textId="77777777" w:rsidR="00215939" w:rsidRPr="00A2424E"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Transporte aéreo regular en líneas aéreas nacionales</w:t>
            </w:r>
          </w:p>
        </w:tc>
        <w:tc>
          <w:tcPr>
            <w:tcW w:w="296" w:type="pct"/>
            <w:hideMark/>
          </w:tcPr>
          <w:p w14:paraId="76695B36"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100</w:t>
            </w:r>
          </w:p>
        </w:tc>
        <w:tc>
          <w:tcPr>
            <w:tcW w:w="479" w:type="pct"/>
            <w:hideMark/>
          </w:tcPr>
          <w:p w14:paraId="42DD179C"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81.3</w:t>
            </w:r>
          </w:p>
        </w:tc>
        <w:tc>
          <w:tcPr>
            <w:tcW w:w="479" w:type="pct"/>
            <w:hideMark/>
          </w:tcPr>
          <w:p w14:paraId="36DF9237"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8.2</w:t>
            </w:r>
          </w:p>
        </w:tc>
        <w:tc>
          <w:tcPr>
            <w:tcW w:w="499" w:type="pct"/>
            <w:hideMark/>
          </w:tcPr>
          <w:p w14:paraId="39F919F4"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0.0</w:t>
            </w:r>
          </w:p>
        </w:tc>
        <w:tc>
          <w:tcPr>
            <w:tcW w:w="479" w:type="pct"/>
            <w:hideMark/>
          </w:tcPr>
          <w:p w14:paraId="2465748B"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0.9</w:t>
            </w:r>
          </w:p>
        </w:tc>
        <w:tc>
          <w:tcPr>
            <w:tcW w:w="479" w:type="pct"/>
            <w:hideMark/>
          </w:tcPr>
          <w:p w14:paraId="6334B63C"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0.0</w:t>
            </w:r>
          </w:p>
        </w:tc>
        <w:tc>
          <w:tcPr>
            <w:tcW w:w="458" w:type="pct"/>
            <w:hideMark/>
          </w:tcPr>
          <w:p w14:paraId="78400F68"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0.0</w:t>
            </w:r>
          </w:p>
        </w:tc>
        <w:tc>
          <w:tcPr>
            <w:tcW w:w="491" w:type="pct"/>
            <w:hideMark/>
          </w:tcPr>
          <w:p w14:paraId="4C9C1366"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9.6</w:t>
            </w:r>
          </w:p>
        </w:tc>
      </w:tr>
      <w:tr w:rsidR="00215939" w:rsidRPr="005E5947" w14:paraId="1C684ADF" w14:textId="77777777" w:rsidTr="002D4275">
        <w:trPr>
          <w:trHeight w:val="255"/>
        </w:trPr>
        <w:tc>
          <w:tcPr>
            <w:cnfStyle w:val="001000000000" w:firstRow="0" w:lastRow="0" w:firstColumn="1" w:lastColumn="0" w:oddVBand="0" w:evenVBand="0" w:oddHBand="0" w:evenHBand="0" w:firstRowFirstColumn="0" w:firstRowLastColumn="0" w:lastRowFirstColumn="0" w:lastRowLastColumn="0"/>
            <w:tcW w:w="519" w:type="pct"/>
            <w:hideMark/>
          </w:tcPr>
          <w:p w14:paraId="2F3EE547" w14:textId="77777777" w:rsidR="00215939" w:rsidRPr="00A2424E" w:rsidRDefault="00215939" w:rsidP="002D4275">
            <w:pPr>
              <w:jc w:val="right"/>
              <w:rPr>
                <w:sz w:val="14"/>
                <w:szCs w:val="14"/>
                <w:lang w:eastAsia="es-MX"/>
              </w:rPr>
            </w:pPr>
            <w:r w:rsidRPr="00A2424E">
              <w:rPr>
                <w:sz w:val="14"/>
                <w:szCs w:val="14"/>
                <w:lang w:eastAsia="es-MX"/>
              </w:rPr>
              <w:t>482110</w:t>
            </w:r>
          </w:p>
        </w:tc>
        <w:tc>
          <w:tcPr>
            <w:tcW w:w="821" w:type="pct"/>
            <w:hideMark/>
          </w:tcPr>
          <w:p w14:paraId="1AEEA87E" w14:textId="77777777" w:rsidR="00215939" w:rsidRPr="00A2424E"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Transporte por ferrocarril</w:t>
            </w:r>
          </w:p>
        </w:tc>
        <w:tc>
          <w:tcPr>
            <w:tcW w:w="296" w:type="pct"/>
            <w:hideMark/>
          </w:tcPr>
          <w:p w14:paraId="50C29921"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100</w:t>
            </w:r>
          </w:p>
        </w:tc>
        <w:tc>
          <w:tcPr>
            <w:tcW w:w="479" w:type="pct"/>
            <w:hideMark/>
          </w:tcPr>
          <w:p w14:paraId="54795909"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0.2</w:t>
            </w:r>
          </w:p>
        </w:tc>
        <w:tc>
          <w:tcPr>
            <w:tcW w:w="479" w:type="pct"/>
            <w:hideMark/>
          </w:tcPr>
          <w:p w14:paraId="4E598423"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96.7</w:t>
            </w:r>
          </w:p>
        </w:tc>
        <w:tc>
          <w:tcPr>
            <w:tcW w:w="499" w:type="pct"/>
            <w:hideMark/>
          </w:tcPr>
          <w:p w14:paraId="5B2F12B2"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0.0</w:t>
            </w:r>
          </w:p>
        </w:tc>
        <w:tc>
          <w:tcPr>
            <w:tcW w:w="479" w:type="pct"/>
            <w:hideMark/>
          </w:tcPr>
          <w:p w14:paraId="37ED2AA7"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0.0</w:t>
            </w:r>
          </w:p>
        </w:tc>
        <w:tc>
          <w:tcPr>
            <w:tcW w:w="479" w:type="pct"/>
            <w:hideMark/>
          </w:tcPr>
          <w:p w14:paraId="208A2967"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0.0</w:t>
            </w:r>
          </w:p>
        </w:tc>
        <w:tc>
          <w:tcPr>
            <w:tcW w:w="458" w:type="pct"/>
            <w:hideMark/>
          </w:tcPr>
          <w:p w14:paraId="6F631AFF"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0.2</w:t>
            </w:r>
          </w:p>
        </w:tc>
        <w:tc>
          <w:tcPr>
            <w:tcW w:w="491" w:type="pct"/>
            <w:hideMark/>
          </w:tcPr>
          <w:p w14:paraId="480FACE3"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2.9</w:t>
            </w:r>
          </w:p>
        </w:tc>
      </w:tr>
      <w:tr w:rsidR="00215939" w:rsidRPr="005E5947" w14:paraId="778FDB44" w14:textId="77777777" w:rsidTr="002D42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19" w:type="pct"/>
            <w:hideMark/>
          </w:tcPr>
          <w:p w14:paraId="680D0EA6" w14:textId="77777777" w:rsidR="00215939" w:rsidRPr="00A2424E" w:rsidRDefault="00215939" w:rsidP="002D4275">
            <w:pPr>
              <w:jc w:val="right"/>
              <w:rPr>
                <w:sz w:val="14"/>
                <w:szCs w:val="14"/>
                <w:lang w:eastAsia="es-MX"/>
              </w:rPr>
            </w:pPr>
            <w:r w:rsidRPr="00A2424E">
              <w:rPr>
                <w:sz w:val="14"/>
                <w:szCs w:val="14"/>
                <w:lang w:eastAsia="es-MX"/>
              </w:rPr>
              <w:t>483111</w:t>
            </w:r>
          </w:p>
        </w:tc>
        <w:tc>
          <w:tcPr>
            <w:tcW w:w="821" w:type="pct"/>
            <w:hideMark/>
          </w:tcPr>
          <w:p w14:paraId="57F7D4A3" w14:textId="77777777" w:rsidR="00215939" w:rsidRPr="00A2424E"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Transporte marítimo de altura, excepto de petróleo y gas natural</w:t>
            </w:r>
          </w:p>
        </w:tc>
        <w:tc>
          <w:tcPr>
            <w:tcW w:w="296" w:type="pct"/>
            <w:hideMark/>
          </w:tcPr>
          <w:p w14:paraId="59A5655A"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100</w:t>
            </w:r>
          </w:p>
        </w:tc>
        <w:tc>
          <w:tcPr>
            <w:tcW w:w="479" w:type="pct"/>
            <w:hideMark/>
          </w:tcPr>
          <w:p w14:paraId="392E1C5D"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0.1</w:t>
            </w:r>
          </w:p>
        </w:tc>
        <w:tc>
          <w:tcPr>
            <w:tcW w:w="479" w:type="pct"/>
            <w:hideMark/>
          </w:tcPr>
          <w:p w14:paraId="3903007D"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99.8</w:t>
            </w:r>
          </w:p>
        </w:tc>
        <w:tc>
          <w:tcPr>
            <w:tcW w:w="499" w:type="pct"/>
            <w:hideMark/>
          </w:tcPr>
          <w:p w14:paraId="43369A0B"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0.0</w:t>
            </w:r>
          </w:p>
        </w:tc>
        <w:tc>
          <w:tcPr>
            <w:tcW w:w="479" w:type="pct"/>
            <w:hideMark/>
          </w:tcPr>
          <w:p w14:paraId="20C081A6"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0.0</w:t>
            </w:r>
          </w:p>
        </w:tc>
        <w:tc>
          <w:tcPr>
            <w:tcW w:w="479" w:type="pct"/>
            <w:hideMark/>
          </w:tcPr>
          <w:p w14:paraId="143A7521"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0.0</w:t>
            </w:r>
          </w:p>
        </w:tc>
        <w:tc>
          <w:tcPr>
            <w:tcW w:w="458" w:type="pct"/>
            <w:hideMark/>
          </w:tcPr>
          <w:p w14:paraId="21AC32D4"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0.0</w:t>
            </w:r>
          </w:p>
        </w:tc>
        <w:tc>
          <w:tcPr>
            <w:tcW w:w="491" w:type="pct"/>
            <w:hideMark/>
          </w:tcPr>
          <w:p w14:paraId="6626BF90"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0.1</w:t>
            </w:r>
          </w:p>
        </w:tc>
      </w:tr>
      <w:tr w:rsidR="00215939" w:rsidRPr="005E5947" w14:paraId="12DF6031" w14:textId="77777777" w:rsidTr="002D4275">
        <w:trPr>
          <w:trHeight w:val="480"/>
        </w:trPr>
        <w:tc>
          <w:tcPr>
            <w:cnfStyle w:val="001000000000" w:firstRow="0" w:lastRow="0" w:firstColumn="1" w:lastColumn="0" w:oddVBand="0" w:evenVBand="0" w:oddHBand="0" w:evenHBand="0" w:firstRowFirstColumn="0" w:firstRowLastColumn="0" w:lastRowFirstColumn="0" w:lastRowLastColumn="0"/>
            <w:tcW w:w="519" w:type="pct"/>
            <w:hideMark/>
          </w:tcPr>
          <w:p w14:paraId="64DBA561" w14:textId="77777777" w:rsidR="00215939" w:rsidRPr="00A2424E" w:rsidRDefault="00215939" w:rsidP="002D4275">
            <w:pPr>
              <w:jc w:val="right"/>
              <w:rPr>
                <w:sz w:val="14"/>
                <w:szCs w:val="14"/>
                <w:lang w:eastAsia="es-MX"/>
              </w:rPr>
            </w:pPr>
            <w:r w:rsidRPr="00A2424E">
              <w:rPr>
                <w:sz w:val="14"/>
                <w:szCs w:val="14"/>
                <w:lang w:eastAsia="es-MX"/>
              </w:rPr>
              <w:t>483112</w:t>
            </w:r>
          </w:p>
        </w:tc>
        <w:tc>
          <w:tcPr>
            <w:tcW w:w="821" w:type="pct"/>
            <w:hideMark/>
          </w:tcPr>
          <w:p w14:paraId="596466CF" w14:textId="77777777" w:rsidR="00215939" w:rsidRPr="00A2424E"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Transporte marítimo de cabotaje, excepto de petróleo y gas natural</w:t>
            </w:r>
          </w:p>
        </w:tc>
        <w:tc>
          <w:tcPr>
            <w:tcW w:w="296" w:type="pct"/>
            <w:hideMark/>
          </w:tcPr>
          <w:p w14:paraId="7BC8F49A"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100</w:t>
            </w:r>
          </w:p>
        </w:tc>
        <w:tc>
          <w:tcPr>
            <w:tcW w:w="479" w:type="pct"/>
            <w:hideMark/>
          </w:tcPr>
          <w:p w14:paraId="675CBD3E"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27.2</w:t>
            </w:r>
          </w:p>
        </w:tc>
        <w:tc>
          <w:tcPr>
            <w:tcW w:w="479" w:type="pct"/>
            <w:hideMark/>
          </w:tcPr>
          <w:p w14:paraId="6BD4D2C1"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71.5</w:t>
            </w:r>
          </w:p>
        </w:tc>
        <w:tc>
          <w:tcPr>
            <w:tcW w:w="499" w:type="pct"/>
            <w:hideMark/>
          </w:tcPr>
          <w:p w14:paraId="5EA63125"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0.0</w:t>
            </w:r>
          </w:p>
        </w:tc>
        <w:tc>
          <w:tcPr>
            <w:tcW w:w="479" w:type="pct"/>
            <w:hideMark/>
          </w:tcPr>
          <w:p w14:paraId="28B83C2C"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0.0</w:t>
            </w:r>
          </w:p>
        </w:tc>
        <w:tc>
          <w:tcPr>
            <w:tcW w:w="479" w:type="pct"/>
            <w:hideMark/>
          </w:tcPr>
          <w:p w14:paraId="3EE934C2"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0.0</w:t>
            </w:r>
          </w:p>
        </w:tc>
        <w:tc>
          <w:tcPr>
            <w:tcW w:w="458" w:type="pct"/>
            <w:hideMark/>
          </w:tcPr>
          <w:p w14:paraId="1399C8FA"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0.0</w:t>
            </w:r>
          </w:p>
        </w:tc>
        <w:tc>
          <w:tcPr>
            <w:tcW w:w="491" w:type="pct"/>
            <w:hideMark/>
          </w:tcPr>
          <w:p w14:paraId="0DBFD1C6"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1.4</w:t>
            </w:r>
          </w:p>
        </w:tc>
      </w:tr>
      <w:tr w:rsidR="00215939" w:rsidRPr="005E5947" w14:paraId="2C79B1E2" w14:textId="77777777" w:rsidTr="002D42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19" w:type="pct"/>
            <w:hideMark/>
          </w:tcPr>
          <w:p w14:paraId="1E79E150" w14:textId="77777777" w:rsidR="00215939" w:rsidRPr="00A2424E" w:rsidRDefault="00215939" w:rsidP="002D4275">
            <w:pPr>
              <w:jc w:val="right"/>
              <w:rPr>
                <w:sz w:val="14"/>
                <w:szCs w:val="14"/>
                <w:lang w:eastAsia="es-MX"/>
              </w:rPr>
            </w:pPr>
            <w:r w:rsidRPr="00A2424E">
              <w:rPr>
                <w:sz w:val="14"/>
                <w:szCs w:val="14"/>
                <w:lang w:eastAsia="es-MX"/>
              </w:rPr>
              <w:t>484</w:t>
            </w:r>
          </w:p>
        </w:tc>
        <w:tc>
          <w:tcPr>
            <w:tcW w:w="821" w:type="pct"/>
            <w:hideMark/>
          </w:tcPr>
          <w:p w14:paraId="44C585AA" w14:textId="77777777" w:rsidR="00215939" w:rsidRPr="00A2424E"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Autotransporte de carga</w:t>
            </w:r>
          </w:p>
        </w:tc>
        <w:tc>
          <w:tcPr>
            <w:tcW w:w="296" w:type="pct"/>
            <w:hideMark/>
          </w:tcPr>
          <w:p w14:paraId="68A5AF29"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100</w:t>
            </w:r>
          </w:p>
        </w:tc>
        <w:tc>
          <w:tcPr>
            <w:tcW w:w="479" w:type="pct"/>
            <w:hideMark/>
          </w:tcPr>
          <w:p w14:paraId="373DA105"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0.0</w:t>
            </w:r>
          </w:p>
        </w:tc>
        <w:tc>
          <w:tcPr>
            <w:tcW w:w="479" w:type="pct"/>
            <w:hideMark/>
          </w:tcPr>
          <w:p w14:paraId="52571096"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97.1</w:t>
            </w:r>
          </w:p>
        </w:tc>
        <w:tc>
          <w:tcPr>
            <w:tcW w:w="499" w:type="pct"/>
            <w:hideMark/>
          </w:tcPr>
          <w:p w14:paraId="7124272D"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0.0</w:t>
            </w:r>
          </w:p>
        </w:tc>
        <w:tc>
          <w:tcPr>
            <w:tcW w:w="479" w:type="pct"/>
            <w:hideMark/>
          </w:tcPr>
          <w:p w14:paraId="12FFDDA4"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0.8</w:t>
            </w:r>
          </w:p>
        </w:tc>
        <w:tc>
          <w:tcPr>
            <w:tcW w:w="479" w:type="pct"/>
            <w:hideMark/>
          </w:tcPr>
          <w:p w14:paraId="7CE68C74"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0.1</w:t>
            </w:r>
          </w:p>
        </w:tc>
        <w:tc>
          <w:tcPr>
            <w:tcW w:w="458" w:type="pct"/>
            <w:hideMark/>
          </w:tcPr>
          <w:p w14:paraId="33A740F7"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0.7</w:t>
            </w:r>
          </w:p>
        </w:tc>
        <w:tc>
          <w:tcPr>
            <w:tcW w:w="491" w:type="pct"/>
            <w:hideMark/>
          </w:tcPr>
          <w:p w14:paraId="32742344"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1.3</w:t>
            </w:r>
          </w:p>
        </w:tc>
      </w:tr>
      <w:tr w:rsidR="00215939" w:rsidRPr="005E5947" w14:paraId="70FD1069" w14:textId="77777777" w:rsidTr="002D4275">
        <w:trPr>
          <w:trHeight w:val="540"/>
        </w:trPr>
        <w:tc>
          <w:tcPr>
            <w:cnfStyle w:val="001000000000" w:firstRow="0" w:lastRow="0" w:firstColumn="1" w:lastColumn="0" w:oddVBand="0" w:evenVBand="0" w:oddHBand="0" w:evenHBand="0" w:firstRowFirstColumn="0" w:firstRowLastColumn="0" w:lastRowFirstColumn="0" w:lastRowLastColumn="0"/>
            <w:tcW w:w="519" w:type="pct"/>
            <w:hideMark/>
          </w:tcPr>
          <w:p w14:paraId="53A9FE32" w14:textId="77777777" w:rsidR="00215939" w:rsidRPr="00A2424E" w:rsidRDefault="00215939" w:rsidP="002D4275">
            <w:pPr>
              <w:jc w:val="right"/>
              <w:rPr>
                <w:sz w:val="14"/>
                <w:szCs w:val="14"/>
                <w:lang w:eastAsia="es-MX"/>
              </w:rPr>
            </w:pPr>
            <w:r w:rsidRPr="00A2424E">
              <w:rPr>
                <w:sz w:val="14"/>
                <w:szCs w:val="14"/>
                <w:lang w:eastAsia="es-MX"/>
              </w:rPr>
              <w:t>485111</w:t>
            </w:r>
          </w:p>
        </w:tc>
        <w:tc>
          <w:tcPr>
            <w:tcW w:w="821" w:type="pct"/>
            <w:hideMark/>
          </w:tcPr>
          <w:p w14:paraId="3B89AEDD" w14:textId="77777777" w:rsidR="00215939" w:rsidRPr="00A2424E"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Transporte colectivo urbano y suburbano de pasajeros en autobuses de ruta fija</w:t>
            </w:r>
          </w:p>
        </w:tc>
        <w:tc>
          <w:tcPr>
            <w:tcW w:w="296" w:type="pct"/>
            <w:hideMark/>
          </w:tcPr>
          <w:p w14:paraId="2C0620F0"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100</w:t>
            </w:r>
          </w:p>
        </w:tc>
        <w:tc>
          <w:tcPr>
            <w:tcW w:w="479" w:type="pct"/>
            <w:hideMark/>
          </w:tcPr>
          <w:p w14:paraId="022A6A10"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98.6</w:t>
            </w:r>
          </w:p>
        </w:tc>
        <w:tc>
          <w:tcPr>
            <w:tcW w:w="479" w:type="pct"/>
            <w:hideMark/>
          </w:tcPr>
          <w:p w14:paraId="3033973E"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0.0</w:t>
            </w:r>
          </w:p>
        </w:tc>
        <w:tc>
          <w:tcPr>
            <w:tcW w:w="499" w:type="pct"/>
            <w:hideMark/>
          </w:tcPr>
          <w:p w14:paraId="463DFE8A"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0.0</w:t>
            </w:r>
          </w:p>
        </w:tc>
        <w:tc>
          <w:tcPr>
            <w:tcW w:w="479" w:type="pct"/>
            <w:hideMark/>
          </w:tcPr>
          <w:p w14:paraId="535ADCE2"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0.5</w:t>
            </w:r>
          </w:p>
        </w:tc>
        <w:tc>
          <w:tcPr>
            <w:tcW w:w="479" w:type="pct"/>
            <w:hideMark/>
          </w:tcPr>
          <w:p w14:paraId="5FD8A164"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0.0</w:t>
            </w:r>
          </w:p>
        </w:tc>
        <w:tc>
          <w:tcPr>
            <w:tcW w:w="458" w:type="pct"/>
            <w:hideMark/>
          </w:tcPr>
          <w:p w14:paraId="14B46A9F"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0.0</w:t>
            </w:r>
          </w:p>
        </w:tc>
        <w:tc>
          <w:tcPr>
            <w:tcW w:w="491" w:type="pct"/>
            <w:hideMark/>
          </w:tcPr>
          <w:p w14:paraId="686B21D0" w14:textId="77777777" w:rsidR="00215939" w:rsidRPr="00A2424E"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A2424E">
              <w:rPr>
                <w:sz w:val="14"/>
                <w:szCs w:val="14"/>
                <w:lang w:eastAsia="es-MX"/>
              </w:rPr>
              <w:t>0.9</w:t>
            </w:r>
          </w:p>
        </w:tc>
      </w:tr>
      <w:tr w:rsidR="00215939" w:rsidRPr="005E5947" w14:paraId="5F4996B7" w14:textId="77777777" w:rsidTr="002D427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19" w:type="pct"/>
            <w:hideMark/>
          </w:tcPr>
          <w:p w14:paraId="376B82E8" w14:textId="77777777" w:rsidR="00215939" w:rsidRPr="00A2424E" w:rsidRDefault="00215939" w:rsidP="002D4275">
            <w:pPr>
              <w:jc w:val="right"/>
              <w:rPr>
                <w:sz w:val="14"/>
                <w:szCs w:val="14"/>
                <w:lang w:eastAsia="es-MX"/>
              </w:rPr>
            </w:pPr>
            <w:r w:rsidRPr="00A2424E">
              <w:rPr>
                <w:sz w:val="14"/>
                <w:szCs w:val="14"/>
                <w:lang w:eastAsia="es-MX"/>
              </w:rPr>
              <w:t>4852</w:t>
            </w:r>
          </w:p>
        </w:tc>
        <w:tc>
          <w:tcPr>
            <w:tcW w:w="821" w:type="pct"/>
            <w:hideMark/>
          </w:tcPr>
          <w:p w14:paraId="3289D460" w14:textId="77777777" w:rsidR="00215939" w:rsidRPr="00A2424E"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Transporte colectivo foráneo de pasajeros de ruta fija</w:t>
            </w:r>
          </w:p>
        </w:tc>
        <w:tc>
          <w:tcPr>
            <w:tcW w:w="296" w:type="pct"/>
            <w:hideMark/>
          </w:tcPr>
          <w:p w14:paraId="6CA53566"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100</w:t>
            </w:r>
          </w:p>
        </w:tc>
        <w:tc>
          <w:tcPr>
            <w:tcW w:w="479" w:type="pct"/>
            <w:hideMark/>
          </w:tcPr>
          <w:p w14:paraId="18FE71AF"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94.2</w:t>
            </w:r>
          </w:p>
        </w:tc>
        <w:tc>
          <w:tcPr>
            <w:tcW w:w="479" w:type="pct"/>
            <w:hideMark/>
          </w:tcPr>
          <w:p w14:paraId="745C0224"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0.0</w:t>
            </w:r>
          </w:p>
        </w:tc>
        <w:tc>
          <w:tcPr>
            <w:tcW w:w="499" w:type="pct"/>
            <w:hideMark/>
          </w:tcPr>
          <w:p w14:paraId="08CB086E"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2.1</w:t>
            </w:r>
          </w:p>
        </w:tc>
        <w:tc>
          <w:tcPr>
            <w:tcW w:w="479" w:type="pct"/>
            <w:hideMark/>
          </w:tcPr>
          <w:p w14:paraId="700F266B"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0.2</w:t>
            </w:r>
          </w:p>
        </w:tc>
        <w:tc>
          <w:tcPr>
            <w:tcW w:w="479" w:type="pct"/>
            <w:hideMark/>
          </w:tcPr>
          <w:p w14:paraId="1041DB7F"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0.0</w:t>
            </w:r>
          </w:p>
        </w:tc>
        <w:tc>
          <w:tcPr>
            <w:tcW w:w="458" w:type="pct"/>
            <w:hideMark/>
          </w:tcPr>
          <w:p w14:paraId="498E5E18"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0.0</w:t>
            </w:r>
          </w:p>
        </w:tc>
        <w:tc>
          <w:tcPr>
            <w:tcW w:w="491" w:type="pct"/>
            <w:hideMark/>
          </w:tcPr>
          <w:p w14:paraId="75BC9914" w14:textId="77777777" w:rsidR="00215939" w:rsidRPr="00A2424E"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A2424E">
              <w:rPr>
                <w:sz w:val="14"/>
                <w:szCs w:val="14"/>
                <w:lang w:eastAsia="es-MX"/>
              </w:rPr>
              <w:t>3.4</w:t>
            </w:r>
          </w:p>
        </w:tc>
      </w:tr>
    </w:tbl>
    <w:p w14:paraId="4877F6BE" w14:textId="77777777" w:rsidR="002D4275" w:rsidRPr="00B00775" w:rsidRDefault="002D4275" w:rsidP="002D4275">
      <w:pPr>
        <w:rPr>
          <w:b/>
          <w:bCs/>
          <w:sz w:val="16"/>
          <w:szCs w:val="16"/>
          <w:lang w:eastAsia="es-MX"/>
        </w:rPr>
      </w:pPr>
      <w:r w:rsidRPr="00B00775">
        <w:rPr>
          <w:sz w:val="16"/>
          <w:szCs w:val="16"/>
          <w:vertAlign w:val="superscript"/>
          <w:lang w:eastAsia="es-MX"/>
        </w:rPr>
        <w:t>P/</w:t>
      </w:r>
      <w:r w:rsidRPr="00B00775">
        <w:rPr>
          <w:sz w:val="16"/>
          <w:szCs w:val="16"/>
          <w:lang w:eastAsia="es-MX"/>
        </w:rPr>
        <w:t xml:space="preserve"> Preliminar</w:t>
      </w:r>
    </w:p>
    <w:p w14:paraId="3D41BF40" w14:textId="77777777" w:rsidR="002D4275" w:rsidRPr="00B00775" w:rsidRDefault="002D4275" w:rsidP="002D4275">
      <w:pPr>
        <w:contextualSpacing/>
        <w:rPr>
          <w:sz w:val="16"/>
          <w:szCs w:val="16"/>
        </w:rPr>
      </w:pPr>
      <w:r w:rsidRPr="00B00775">
        <w:rPr>
          <w:sz w:val="16"/>
          <w:szCs w:val="16"/>
          <w:vertAlign w:val="superscript"/>
          <w:lang w:eastAsia="es-MX"/>
        </w:rPr>
        <w:t>1</w:t>
      </w:r>
      <w:r w:rsidRPr="00B00775">
        <w:rPr>
          <w:sz w:val="16"/>
          <w:szCs w:val="16"/>
          <w:lang w:eastAsia="es-MX"/>
        </w:rPr>
        <w:t xml:space="preserve"> SCIAN: Sistema de Clasificación Industrial de América del Norte</w:t>
      </w:r>
    </w:p>
    <w:p w14:paraId="1E52C721" w14:textId="6969CB04" w:rsidR="002D4275" w:rsidRPr="00B00775" w:rsidRDefault="002D4275" w:rsidP="002D4275">
      <w:pPr>
        <w:contextualSpacing/>
        <w:rPr>
          <w:sz w:val="16"/>
          <w:szCs w:val="16"/>
        </w:rPr>
      </w:pPr>
      <w:r w:rsidRPr="00B00775">
        <w:rPr>
          <w:sz w:val="16"/>
          <w:szCs w:val="16"/>
          <w:lang w:eastAsia="es-MX"/>
        </w:rPr>
        <w:t>Fuente: Instituto Nacional de Estadística y Geografía, Encuesta Anual del Transporte</w:t>
      </w:r>
      <w:r w:rsidR="00644EEE">
        <w:rPr>
          <w:sz w:val="16"/>
          <w:szCs w:val="16"/>
          <w:lang w:eastAsia="es-MX"/>
        </w:rPr>
        <w:t xml:space="preserve"> 2021</w:t>
      </w:r>
    </w:p>
    <w:p w14:paraId="0039D574" w14:textId="77777777" w:rsidR="00215939" w:rsidRDefault="00215939" w:rsidP="00215939">
      <w:pPr>
        <w:ind w:left="360" w:right="-374"/>
        <w:contextualSpacing/>
        <w:rPr>
          <w:bCs/>
          <w:sz w:val="20"/>
          <w:szCs w:val="20"/>
          <w:lang w:val="es-MX" w:eastAsia="es-MX"/>
        </w:rPr>
      </w:pPr>
    </w:p>
    <w:p w14:paraId="45BE6B01" w14:textId="27864F7E" w:rsidR="00215939" w:rsidRDefault="00ED65F9" w:rsidP="00215939">
      <w:pPr>
        <w:ind w:left="-426"/>
        <w:contextualSpacing/>
        <w:rPr>
          <w:bCs/>
          <w:lang w:val="es-MX" w:eastAsia="es-MX"/>
        </w:rPr>
      </w:pPr>
      <w:r>
        <w:rPr>
          <w:bCs/>
          <w:lang w:val="es-MX" w:eastAsia="es-MX"/>
        </w:rPr>
        <w:lastRenderedPageBreak/>
        <w:t xml:space="preserve">De las empresas encuestadas, </w:t>
      </w:r>
      <w:r w:rsidR="00514C69">
        <w:rPr>
          <w:bCs/>
          <w:i/>
          <w:lang w:val="es-MX" w:eastAsia="es-MX"/>
        </w:rPr>
        <w:t>T</w:t>
      </w:r>
      <w:r w:rsidR="00215939" w:rsidRPr="00337FFC">
        <w:rPr>
          <w:bCs/>
          <w:i/>
          <w:lang w:val="es-MX" w:eastAsia="es-MX"/>
        </w:rPr>
        <w:t>ransporte marítimo de altura, excepto de petróleo y gas natural</w:t>
      </w:r>
      <w:r>
        <w:rPr>
          <w:bCs/>
          <w:iCs/>
          <w:lang w:val="es-MX" w:eastAsia="es-MX"/>
        </w:rPr>
        <w:t xml:space="preserve">, con </w:t>
      </w:r>
      <w:r w:rsidRPr="00E64A4D">
        <w:rPr>
          <w:bCs/>
          <w:lang w:val="es-MX" w:eastAsia="es-MX"/>
        </w:rPr>
        <w:t>9.1</w:t>
      </w:r>
      <w:r>
        <w:rPr>
          <w:bCs/>
          <w:lang w:val="es-MX" w:eastAsia="es-MX"/>
        </w:rPr>
        <w:t xml:space="preserve"> </w:t>
      </w:r>
      <w:r w:rsidRPr="00E64A4D">
        <w:rPr>
          <w:bCs/>
          <w:lang w:val="es-MX" w:eastAsia="es-MX"/>
        </w:rPr>
        <w:t>%</w:t>
      </w:r>
      <w:r>
        <w:rPr>
          <w:bCs/>
          <w:lang w:val="es-MX" w:eastAsia="es-MX"/>
        </w:rPr>
        <w:t xml:space="preserve"> </w:t>
      </w:r>
      <w:r w:rsidR="00215939" w:rsidRPr="00E64A4D">
        <w:rPr>
          <w:bCs/>
          <w:lang w:val="es-MX" w:eastAsia="es-MX"/>
        </w:rPr>
        <w:t xml:space="preserve">y </w:t>
      </w:r>
      <w:r>
        <w:rPr>
          <w:bCs/>
          <w:i/>
          <w:lang w:val="es-MX" w:eastAsia="es-MX"/>
        </w:rPr>
        <w:t>T</w:t>
      </w:r>
      <w:r w:rsidRPr="00337FFC">
        <w:rPr>
          <w:bCs/>
          <w:i/>
          <w:lang w:val="es-MX" w:eastAsia="es-MX"/>
        </w:rPr>
        <w:t>ransporte aéreo regular en líneas aéreas nacionales</w:t>
      </w:r>
      <w:r>
        <w:rPr>
          <w:bCs/>
          <w:iCs/>
          <w:lang w:val="es-MX" w:eastAsia="es-MX"/>
        </w:rPr>
        <w:t>, con</w:t>
      </w:r>
      <w:r w:rsidRPr="00E64A4D">
        <w:rPr>
          <w:bCs/>
          <w:lang w:val="es-MX" w:eastAsia="es-MX"/>
        </w:rPr>
        <w:t xml:space="preserve"> </w:t>
      </w:r>
      <w:r w:rsidR="00215939" w:rsidRPr="00E64A4D">
        <w:rPr>
          <w:bCs/>
          <w:lang w:val="es-MX" w:eastAsia="es-MX"/>
        </w:rPr>
        <w:t>3</w:t>
      </w:r>
      <w:r w:rsidR="00215939">
        <w:rPr>
          <w:bCs/>
          <w:lang w:val="es-MX" w:eastAsia="es-MX"/>
        </w:rPr>
        <w:t>8</w:t>
      </w:r>
      <w:r w:rsidR="00215939" w:rsidRPr="00E64A4D">
        <w:rPr>
          <w:bCs/>
          <w:lang w:val="es-MX" w:eastAsia="es-MX"/>
        </w:rPr>
        <w:t>.</w:t>
      </w:r>
      <w:r w:rsidR="00215939">
        <w:rPr>
          <w:bCs/>
          <w:lang w:val="es-MX" w:eastAsia="es-MX"/>
        </w:rPr>
        <w:t>5</w:t>
      </w:r>
      <w:r w:rsidR="006F6A68">
        <w:rPr>
          <w:bCs/>
          <w:lang w:val="es-MX" w:eastAsia="es-MX"/>
        </w:rPr>
        <w:t xml:space="preserve"> </w:t>
      </w:r>
      <w:r w:rsidR="00215939" w:rsidRPr="00E64A4D">
        <w:rPr>
          <w:bCs/>
          <w:lang w:val="es-MX" w:eastAsia="es-MX"/>
        </w:rPr>
        <w:t xml:space="preserve">% </w:t>
      </w:r>
      <w:r>
        <w:rPr>
          <w:bCs/>
          <w:lang w:val="es-MX" w:eastAsia="es-MX"/>
        </w:rPr>
        <w:t xml:space="preserve">fueron las que obtuvieron crédito, </w:t>
      </w:r>
      <w:r w:rsidR="00215939" w:rsidRPr="00E64A4D">
        <w:rPr>
          <w:bCs/>
          <w:lang w:val="es-MX" w:eastAsia="es-MX"/>
        </w:rPr>
        <w:t>préstamo o financiamiento para el desarrollo de sus actividades</w:t>
      </w:r>
      <w:r w:rsidR="006F6A68">
        <w:rPr>
          <w:bCs/>
          <w:lang w:val="es-MX" w:eastAsia="es-MX"/>
        </w:rPr>
        <w:t xml:space="preserve">. Los </w:t>
      </w:r>
      <w:r w:rsidR="00215939" w:rsidRPr="00E64A4D">
        <w:rPr>
          <w:bCs/>
          <w:lang w:val="es-MX" w:eastAsia="es-MX"/>
        </w:rPr>
        <w:t xml:space="preserve">bancos </w:t>
      </w:r>
      <w:r w:rsidR="006F6A68">
        <w:rPr>
          <w:bCs/>
          <w:lang w:val="es-MX" w:eastAsia="es-MX"/>
        </w:rPr>
        <w:t xml:space="preserve">fueron </w:t>
      </w:r>
      <w:r w:rsidR="00215939" w:rsidRPr="00E64A4D">
        <w:rPr>
          <w:bCs/>
          <w:lang w:val="es-MX" w:eastAsia="es-MX"/>
        </w:rPr>
        <w:t>la principal fuente.</w:t>
      </w:r>
    </w:p>
    <w:p w14:paraId="351BD11E" w14:textId="3DB4E5FF" w:rsidR="00215939" w:rsidRDefault="00215939" w:rsidP="00215939">
      <w:pPr>
        <w:ind w:right="-374"/>
        <w:contextualSpacing/>
        <w:jc w:val="center"/>
        <w:rPr>
          <w:b/>
          <w:lang w:val="es-MX" w:eastAsia="es-MX"/>
        </w:rPr>
      </w:pPr>
    </w:p>
    <w:p w14:paraId="22C76C07" w14:textId="77777777" w:rsidR="00ED3FCA" w:rsidRDefault="00ED3FCA" w:rsidP="00215939">
      <w:pPr>
        <w:ind w:left="-426" w:right="142"/>
        <w:contextualSpacing/>
        <w:jc w:val="center"/>
        <w:rPr>
          <w:sz w:val="20"/>
          <w:szCs w:val="20"/>
          <w:lang w:val="es-MX" w:eastAsia="es-MX"/>
        </w:rPr>
      </w:pPr>
    </w:p>
    <w:p w14:paraId="41FC29B2" w14:textId="5D9B1D7F" w:rsidR="006F6A68" w:rsidRDefault="00215939" w:rsidP="00215939">
      <w:pPr>
        <w:ind w:left="-426" w:right="142"/>
        <w:contextualSpacing/>
        <w:jc w:val="center"/>
        <w:rPr>
          <w:b/>
          <w:sz w:val="22"/>
          <w:szCs w:val="22"/>
          <w:lang w:val="es-MX" w:eastAsia="es-MX"/>
        </w:rPr>
      </w:pPr>
      <w:r w:rsidRPr="00337FFC">
        <w:rPr>
          <w:sz w:val="20"/>
          <w:szCs w:val="20"/>
          <w:lang w:val="es-MX" w:eastAsia="es-MX"/>
        </w:rPr>
        <w:t>Cuadro 9</w:t>
      </w:r>
    </w:p>
    <w:p w14:paraId="4EAEDC16" w14:textId="79B6B6AF" w:rsidR="006F6A68" w:rsidRDefault="00215939" w:rsidP="006F6A68">
      <w:pPr>
        <w:ind w:left="-426"/>
        <w:contextualSpacing/>
        <w:jc w:val="center"/>
        <w:rPr>
          <w:rFonts w:ascii="Arial Negrita" w:hAnsi="Arial Negrita"/>
          <w:b/>
          <w:smallCaps/>
          <w:sz w:val="22"/>
          <w:szCs w:val="22"/>
          <w:lang w:val="es-MX" w:eastAsia="es-MX"/>
        </w:rPr>
      </w:pPr>
      <w:r w:rsidRPr="00E64A4D">
        <w:rPr>
          <w:b/>
          <w:sz w:val="22"/>
          <w:szCs w:val="22"/>
          <w:lang w:val="es-MX" w:eastAsia="es-MX"/>
        </w:rPr>
        <w:t xml:space="preserve"> </w:t>
      </w:r>
      <w:r w:rsidR="006F6A68">
        <w:rPr>
          <w:rFonts w:ascii="Arial Negrita" w:hAnsi="Arial Negrita"/>
          <w:b/>
          <w:smallCaps/>
          <w:sz w:val="22"/>
          <w:szCs w:val="22"/>
          <w:lang w:val="es-MX" w:eastAsia="es-MX"/>
        </w:rPr>
        <w:t>D</w:t>
      </w:r>
      <w:r w:rsidRPr="00337FFC">
        <w:rPr>
          <w:rFonts w:ascii="Arial Negrita" w:hAnsi="Arial Negrita"/>
          <w:b/>
          <w:smallCaps/>
          <w:sz w:val="22"/>
          <w:szCs w:val="22"/>
          <w:lang w:val="es-MX" w:eastAsia="es-MX"/>
        </w:rPr>
        <w:t xml:space="preserve">istribución porcentual de los establecimientos que obtuvieron crédito </w:t>
      </w:r>
    </w:p>
    <w:p w14:paraId="2EBE546E" w14:textId="578B01E0" w:rsidR="00215939" w:rsidRPr="00337FFC" w:rsidRDefault="00215939" w:rsidP="00337FFC">
      <w:pPr>
        <w:ind w:left="-426"/>
        <w:contextualSpacing/>
        <w:jc w:val="center"/>
        <w:rPr>
          <w:rFonts w:ascii="Arial Negrita" w:hAnsi="Arial Negrita"/>
          <w:smallCaps/>
          <w:sz w:val="22"/>
          <w:szCs w:val="22"/>
        </w:rPr>
      </w:pPr>
      <w:r w:rsidRPr="00337FFC">
        <w:rPr>
          <w:rFonts w:ascii="Arial Negrita" w:hAnsi="Arial Negrita"/>
          <w:b/>
          <w:smallCaps/>
          <w:sz w:val="22"/>
          <w:szCs w:val="22"/>
          <w:lang w:val="es-MX" w:eastAsia="es-MX"/>
        </w:rPr>
        <w:t>según procedencia</w:t>
      </w:r>
      <w:r w:rsidR="006F6A68">
        <w:rPr>
          <w:rFonts w:ascii="Arial Negrita" w:hAnsi="Arial Negrita"/>
          <w:b/>
          <w:smallCaps/>
          <w:sz w:val="22"/>
          <w:szCs w:val="22"/>
          <w:lang w:val="es-MX" w:eastAsia="es-MX"/>
        </w:rPr>
        <w:t>, 2021</w:t>
      </w:r>
      <w:r w:rsidR="006F6A68" w:rsidRPr="00337FFC">
        <w:rPr>
          <w:rFonts w:ascii="Arial Negrita" w:hAnsi="Arial Negrita"/>
          <w:b/>
          <w:smallCaps/>
          <w:sz w:val="22"/>
          <w:szCs w:val="22"/>
          <w:vertAlign w:val="superscript"/>
          <w:lang w:val="es-MX" w:eastAsia="es-MX"/>
        </w:rPr>
        <w:t>P/</w:t>
      </w:r>
    </w:p>
    <w:tbl>
      <w:tblPr>
        <w:tblStyle w:val="Tablanormal4"/>
        <w:tblW w:w="5462" w:type="pct"/>
        <w:tblInd w:w="-426" w:type="dxa"/>
        <w:tblLayout w:type="fixed"/>
        <w:tblLook w:val="04A0" w:firstRow="1" w:lastRow="0" w:firstColumn="1" w:lastColumn="0" w:noHBand="0" w:noVBand="1"/>
      </w:tblPr>
      <w:tblGrid>
        <w:gridCol w:w="800"/>
        <w:gridCol w:w="1095"/>
        <w:gridCol w:w="687"/>
        <w:gridCol w:w="677"/>
        <w:gridCol w:w="737"/>
        <w:gridCol w:w="766"/>
        <w:gridCol w:w="1220"/>
        <w:gridCol w:w="996"/>
        <w:gridCol w:w="992"/>
        <w:gridCol w:w="911"/>
        <w:gridCol w:w="762"/>
        <w:gridCol w:w="733"/>
      </w:tblGrid>
      <w:tr w:rsidR="00215939" w:rsidRPr="00646299" w14:paraId="396F5EE4" w14:textId="77777777" w:rsidTr="00337FFC">
        <w:trPr>
          <w:cnfStyle w:val="100000000000" w:firstRow="1" w:lastRow="0" w:firstColumn="0" w:lastColumn="0" w:oddVBand="0" w:evenVBand="0" w:oddHBand="0"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386" w:type="pct"/>
            <w:vMerge w:val="restart"/>
            <w:hideMark/>
          </w:tcPr>
          <w:p w14:paraId="16A871FE" w14:textId="646E2EE5" w:rsidR="00215939" w:rsidRPr="00646299" w:rsidRDefault="00215939" w:rsidP="002D4275">
            <w:pPr>
              <w:jc w:val="center"/>
              <w:rPr>
                <w:b w:val="0"/>
                <w:bCs w:val="0"/>
                <w:sz w:val="14"/>
                <w:szCs w:val="14"/>
                <w:lang w:eastAsia="es-MX"/>
              </w:rPr>
            </w:pPr>
            <w:r w:rsidRPr="00646299">
              <w:rPr>
                <w:sz w:val="14"/>
                <w:szCs w:val="14"/>
                <w:lang w:eastAsia="es-MX"/>
              </w:rPr>
              <w:t>Código SCIAN</w:t>
            </w:r>
            <w:r w:rsidR="006F6A68" w:rsidRPr="00646299">
              <w:rPr>
                <w:sz w:val="14"/>
                <w:szCs w:val="14"/>
                <w:vertAlign w:val="superscript"/>
                <w:lang w:eastAsia="es-MX"/>
              </w:rPr>
              <w:t>1</w:t>
            </w:r>
            <w:r w:rsidRPr="00646299">
              <w:rPr>
                <w:sz w:val="14"/>
                <w:szCs w:val="14"/>
                <w:vertAlign w:val="superscript"/>
                <w:lang w:eastAsia="es-MX"/>
              </w:rPr>
              <w:t xml:space="preserve"> </w:t>
            </w:r>
            <w:r w:rsidRPr="00646299">
              <w:rPr>
                <w:sz w:val="14"/>
                <w:szCs w:val="14"/>
                <w:lang w:eastAsia="es-MX"/>
              </w:rPr>
              <w:t>2013</w:t>
            </w:r>
          </w:p>
        </w:tc>
        <w:tc>
          <w:tcPr>
            <w:tcW w:w="528" w:type="pct"/>
            <w:vMerge w:val="restart"/>
            <w:hideMark/>
          </w:tcPr>
          <w:p w14:paraId="5729D086" w14:textId="77777777" w:rsidR="00215939" w:rsidRPr="00646299"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646299">
              <w:rPr>
                <w:sz w:val="14"/>
                <w:szCs w:val="14"/>
                <w:lang w:eastAsia="es-MX"/>
              </w:rPr>
              <w:t>Descripción</w:t>
            </w:r>
          </w:p>
        </w:tc>
        <w:tc>
          <w:tcPr>
            <w:tcW w:w="657" w:type="pct"/>
            <w:gridSpan w:val="2"/>
            <w:hideMark/>
          </w:tcPr>
          <w:p w14:paraId="7A3187CE" w14:textId="294B90F1" w:rsidR="00215939" w:rsidRPr="00646299"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proofErr w:type="spellStart"/>
            <w:r w:rsidRPr="00646299">
              <w:rPr>
                <w:sz w:val="14"/>
                <w:szCs w:val="14"/>
                <w:lang w:eastAsia="es-MX"/>
              </w:rPr>
              <w:t>Establecimien</w:t>
            </w:r>
            <w:proofErr w:type="spellEnd"/>
            <w:r w:rsidR="00A14BFD" w:rsidRPr="00646299">
              <w:rPr>
                <w:sz w:val="14"/>
                <w:szCs w:val="14"/>
                <w:lang w:eastAsia="es-MX"/>
              </w:rPr>
              <w:t>-</w:t>
            </w:r>
            <w:r w:rsidRPr="00646299">
              <w:rPr>
                <w:sz w:val="14"/>
                <w:szCs w:val="14"/>
                <w:lang w:eastAsia="es-MX"/>
              </w:rPr>
              <w:t>tos que obtuvieron crédito, préstamo o financiamiento para su cooperación</w:t>
            </w:r>
          </w:p>
        </w:tc>
        <w:tc>
          <w:tcPr>
            <w:tcW w:w="3429" w:type="pct"/>
            <w:gridSpan w:val="8"/>
            <w:hideMark/>
          </w:tcPr>
          <w:p w14:paraId="5933F5F3" w14:textId="77777777" w:rsidR="00215939" w:rsidRPr="00646299" w:rsidRDefault="00215939" w:rsidP="002D427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es-MX"/>
              </w:rPr>
            </w:pPr>
            <w:r w:rsidRPr="00646299">
              <w:rPr>
                <w:sz w:val="14"/>
                <w:szCs w:val="14"/>
                <w:lang w:eastAsia="es-MX"/>
              </w:rPr>
              <w:t>Procedencia del crédito, préstamo o financiamiento</w:t>
            </w:r>
          </w:p>
        </w:tc>
      </w:tr>
      <w:tr w:rsidR="00337FFC" w:rsidRPr="00646299" w14:paraId="1EE3F925" w14:textId="77777777" w:rsidTr="00337FFC">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386" w:type="pct"/>
            <w:vMerge/>
            <w:hideMark/>
          </w:tcPr>
          <w:p w14:paraId="00983516" w14:textId="77777777" w:rsidR="00215939" w:rsidRPr="00646299" w:rsidRDefault="00215939" w:rsidP="002D4275">
            <w:pPr>
              <w:rPr>
                <w:b w:val="0"/>
                <w:bCs w:val="0"/>
                <w:sz w:val="14"/>
                <w:szCs w:val="14"/>
                <w:lang w:eastAsia="es-MX"/>
              </w:rPr>
            </w:pPr>
          </w:p>
        </w:tc>
        <w:tc>
          <w:tcPr>
            <w:tcW w:w="528" w:type="pct"/>
            <w:vMerge/>
            <w:hideMark/>
          </w:tcPr>
          <w:p w14:paraId="6A3941D0" w14:textId="77777777" w:rsidR="00215939" w:rsidRPr="00646299" w:rsidRDefault="00215939" w:rsidP="002D4275">
            <w:pPr>
              <w:cnfStyle w:val="000000100000" w:firstRow="0" w:lastRow="0" w:firstColumn="0" w:lastColumn="0" w:oddVBand="0" w:evenVBand="0" w:oddHBand="1" w:evenHBand="0" w:firstRowFirstColumn="0" w:firstRowLastColumn="0" w:lastRowFirstColumn="0" w:lastRowLastColumn="0"/>
              <w:rPr>
                <w:b/>
                <w:bCs/>
                <w:sz w:val="14"/>
                <w:szCs w:val="14"/>
                <w:lang w:eastAsia="es-MX"/>
              </w:rPr>
            </w:pPr>
          </w:p>
        </w:tc>
        <w:tc>
          <w:tcPr>
            <w:tcW w:w="331" w:type="pct"/>
            <w:hideMark/>
          </w:tcPr>
          <w:p w14:paraId="319ECAF1" w14:textId="77777777" w:rsidR="00215939" w:rsidRPr="00646299"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646299">
              <w:rPr>
                <w:b/>
                <w:bCs/>
                <w:sz w:val="14"/>
                <w:szCs w:val="14"/>
                <w:lang w:eastAsia="es-MX"/>
              </w:rPr>
              <w:t>No</w:t>
            </w:r>
          </w:p>
        </w:tc>
        <w:tc>
          <w:tcPr>
            <w:tcW w:w="326" w:type="pct"/>
            <w:hideMark/>
          </w:tcPr>
          <w:p w14:paraId="33DC4097" w14:textId="2FBD4C12" w:rsidR="00215939" w:rsidRPr="00646299"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646299">
              <w:rPr>
                <w:b/>
                <w:bCs/>
                <w:sz w:val="14"/>
                <w:szCs w:val="14"/>
                <w:lang w:eastAsia="es-MX"/>
              </w:rPr>
              <w:t>S</w:t>
            </w:r>
            <w:r w:rsidR="00A52F63">
              <w:rPr>
                <w:b/>
                <w:bCs/>
                <w:sz w:val="14"/>
                <w:szCs w:val="14"/>
                <w:lang w:eastAsia="es-MX"/>
              </w:rPr>
              <w:t>í</w:t>
            </w:r>
          </w:p>
        </w:tc>
        <w:tc>
          <w:tcPr>
            <w:tcW w:w="355" w:type="pct"/>
            <w:hideMark/>
          </w:tcPr>
          <w:p w14:paraId="23A6ADCF" w14:textId="77777777" w:rsidR="00215939" w:rsidRPr="00646299"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646299">
              <w:rPr>
                <w:b/>
                <w:bCs/>
                <w:sz w:val="14"/>
                <w:szCs w:val="14"/>
                <w:lang w:eastAsia="es-MX"/>
              </w:rPr>
              <w:t>Banco</w:t>
            </w:r>
          </w:p>
        </w:tc>
        <w:tc>
          <w:tcPr>
            <w:tcW w:w="369" w:type="pct"/>
            <w:hideMark/>
          </w:tcPr>
          <w:p w14:paraId="4C66A694" w14:textId="77777777" w:rsidR="00215939" w:rsidRPr="00646299"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646299">
              <w:rPr>
                <w:b/>
                <w:bCs/>
                <w:sz w:val="14"/>
                <w:szCs w:val="14"/>
                <w:lang w:eastAsia="es-MX"/>
              </w:rPr>
              <w:t>Cajas de ahorro</w:t>
            </w:r>
          </w:p>
        </w:tc>
        <w:tc>
          <w:tcPr>
            <w:tcW w:w="588" w:type="pct"/>
            <w:hideMark/>
          </w:tcPr>
          <w:p w14:paraId="19116771" w14:textId="77777777" w:rsidR="00215939" w:rsidRPr="00646299"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646299">
              <w:rPr>
                <w:b/>
                <w:bCs/>
                <w:sz w:val="14"/>
                <w:szCs w:val="14"/>
                <w:lang w:eastAsia="es-MX"/>
              </w:rPr>
              <w:t>Proveedores (incluye contado comercial)</w:t>
            </w:r>
          </w:p>
        </w:tc>
        <w:tc>
          <w:tcPr>
            <w:tcW w:w="480" w:type="pct"/>
            <w:hideMark/>
          </w:tcPr>
          <w:p w14:paraId="4BBA0E33" w14:textId="77777777" w:rsidR="00215939" w:rsidRPr="00646299"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646299">
              <w:rPr>
                <w:b/>
                <w:bCs/>
                <w:sz w:val="14"/>
                <w:szCs w:val="14"/>
                <w:lang w:eastAsia="es-MX"/>
              </w:rPr>
              <w:t>Gobierno</w:t>
            </w:r>
          </w:p>
        </w:tc>
        <w:tc>
          <w:tcPr>
            <w:tcW w:w="478" w:type="pct"/>
            <w:hideMark/>
          </w:tcPr>
          <w:p w14:paraId="3BBFA48D" w14:textId="0C1C2D8D" w:rsidR="00215939" w:rsidRPr="00646299"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proofErr w:type="gramStart"/>
            <w:r w:rsidRPr="00646299">
              <w:rPr>
                <w:b/>
                <w:bCs/>
                <w:sz w:val="14"/>
                <w:szCs w:val="14"/>
                <w:lang w:eastAsia="es-MX"/>
              </w:rPr>
              <w:t>Presta-mistas</w:t>
            </w:r>
            <w:proofErr w:type="gramEnd"/>
            <w:r w:rsidRPr="00646299">
              <w:rPr>
                <w:b/>
                <w:bCs/>
                <w:sz w:val="14"/>
                <w:szCs w:val="14"/>
                <w:lang w:eastAsia="es-MX"/>
              </w:rPr>
              <w:t xml:space="preserve"> privados o agiotistas</w:t>
            </w:r>
          </w:p>
        </w:tc>
        <w:tc>
          <w:tcPr>
            <w:tcW w:w="439" w:type="pct"/>
            <w:hideMark/>
          </w:tcPr>
          <w:p w14:paraId="42188FE3" w14:textId="77777777" w:rsidR="00215939" w:rsidRPr="00646299"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646299">
              <w:rPr>
                <w:b/>
                <w:bCs/>
                <w:sz w:val="14"/>
                <w:szCs w:val="14"/>
                <w:lang w:eastAsia="es-MX"/>
              </w:rPr>
              <w:t>Emisión de títulos de deuda, por ejemplo bonos</w:t>
            </w:r>
          </w:p>
        </w:tc>
        <w:tc>
          <w:tcPr>
            <w:tcW w:w="367" w:type="pct"/>
            <w:noWrap/>
            <w:hideMark/>
          </w:tcPr>
          <w:p w14:paraId="4354C910" w14:textId="13A1B2BB" w:rsidR="00215939" w:rsidRPr="00646299"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proofErr w:type="spellStart"/>
            <w:r w:rsidRPr="00646299">
              <w:rPr>
                <w:b/>
                <w:bCs/>
                <w:sz w:val="14"/>
                <w:szCs w:val="14"/>
                <w:lang w:eastAsia="es-MX"/>
              </w:rPr>
              <w:t>Propie</w:t>
            </w:r>
            <w:r w:rsidR="00A14BFD" w:rsidRPr="00646299">
              <w:rPr>
                <w:b/>
                <w:bCs/>
                <w:sz w:val="14"/>
                <w:szCs w:val="14"/>
                <w:lang w:eastAsia="es-MX"/>
              </w:rPr>
              <w:t>-</w:t>
            </w:r>
            <w:r w:rsidRPr="00646299">
              <w:rPr>
                <w:b/>
                <w:bCs/>
                <w:sz w:val="14"/>
                <w:szCs w:val="14"/>
                <w:lang w:eastAsia="es-MX"/>
              </w:rPr>
              <w:t>tarios</w:t>
            </w:r>
            <w:proofErr w:type="spellEnd"/>
          </w:p>
        </w:tc>
        <w:tc>
          <w:tcPr>
            <w:tcW w:w="352" w:type="pct"/>
            <w:noWrap/>
            <w:hideMark/>
          </w:tcPr>
          <w:p w14:paraId="26B23D3C" w14:textId="77777777" w:rsidR="00215939" w:rsidRPr="00646299" w:rsidRDefault="00215939" w:rsidP="002D4275">
            <w:pPr>
              <w:jc w:val="center"/>
              <w:cnfStyle w:val="000000100000" w:firstRow="0" w:lastRow="0" w:firstColumn="0" w:lastColumn="0" w:oddVBand="0" w:evenVBand="0" w:oddHBand="1" w:evenHBand="0" w:firstRowFirstColumn="0" w:firstRowLastColumn="0" w:lastRowFirstColumn="0" w:lastRowLastColumn="0"/>
              <w:rPr>
                <w:b/>
                <w:bCs/>
                <w:sz w:val="14"/>
                <w:szCs w:val="14"/>
                <w:lang w:eastAsia="es-MX"/>
              </w:rPr>
            </w:pPr>
            <w:r w:rsidRPr="00646299">
              <w:rPr>
                <w:b/>
                <w:bCs/>
                <w:sz w:val="14"/>
                <w:szCs w:val="14"/>
                <w:lang w:eastAsia="es-MX"/>
              </w:rPr>
              <w:t>Otros</w:t>
            </w:r>
          </w:p>
        </w:tc>
      </w:tr>
      <w:tr w:rsidR="00FB001C" w:rsidRPr="00646299" w14:paraId="16327D01" w14:textId="77777777" w:rsidTr="006F6A68">
        <w:trPr>
          <w:trHeight w:val="480"/>
        </w:trPr>
        <w:tc>
          <w:tcPr>
            <w:cnfStyle w:val="001000000000" w:firstRow="0" w:lastRow="0" w:firstColumn="1" w:lastColumn="0" w:oddVBand="0" w:evenVBand="0" w:oddHBand="0" w:evenHBand="0" w:firstRowFirstColumn="0" w:firstRowLastColumn="0" w:lastRowFirstColumn="0" w:lastRowLastColumn="0"/>
            <w:tcW w:w="386" w:type="pct"/>
            <w:hideMark/>
          </w:tcPr>
          <w:p w14:paraId="2AD9CBD2" w14:textId="77777777" w:rsidR="00215939" w:rsidRPr="00646299" w:rsidRDefault="00215939" w:rsidP="002D4275">
            <w:pPr>
              <w:jc w:val="right"/>
              <w:rPr>
                <w:sz w:val="14"/>
                <w:szCs w:val="14"/>
                <w:lang w:eastAsia="es-MX"/>
              </w:rPr>
            </w:pPr>
            <w:r w:rsidRPr="00646299">
              <w:rPr>
                <w:sz w:val="14"/>
                <w:szCs w:val="14"/>
                <w:lang w:eastAsia="es-MX"/>
              </w:rPr>
              <w:t>481111</w:t>
            </w:r>
          </w:p>
        </w:tc>
        <w:tc>
          <w:tcPr>
            <w:tcW w:w="528" w:type="pct"/>
            <w:hideMark/>
          </w:tcPr>
          <w:p w14:paraId="006D06CB" w14:textId="77777777" w:rsidR="00215939" w:rsidRPr="00646299"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Transporte aéreo regular en líneas aéreas nacionales</w:t>
            </w:r>
          </w:p>
        </w:tc>
        <w:tc>
          <w:tcPr>
            <w:tcW w:w="331" w:type="pct"/>
            <w:hideMark/>
          </w:tcPr>
          <w:p w14:paraId="71AA4281"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61.5</w:t>
            </w:r>
          </w:p>
        </w:tc>
        <w:tc>
          <w:tcPr>
            <w:tcW w:w="326" w:type="pct"/>
            <w:hideMark/>
          </w:tcPr>
          <w:p w14:paraId="2BC647E0"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38.5</w:t>
            </w:r>
          </w:p>
        </w:tc>
        <w:tc>
          <w:tcPr>
            <w:tcW w:w="355" w:type="pct"/>
            <w:hideMark/>
          </w:tcPr>
          <w:p w14:paraId="70C028E0"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60.0</w:t>
            </w:r>
          </w:p>
        </w:tc>
        <w:tc>
          <w:tcPr>
            <w:tcW w:w="369" w:type="pct"/>
            <w:hideMark/>
          </w:tcPr>
          <w:p w14:paraId="16ED04AD"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c>
          <w:tcPr>
            <w:tcW w:w="588" w:type="pct"/>
            <w:hideMark/>
          </w:tcPr>
          <w:p w14:paraId="1DD91886"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40.0</w:t>
            </w:r>
          </w:p>
        </w:tc>
        <w:tc>
          <w:tcPr>
            <w:tcW w:w="480" w:type="pct"/>
            <w:hideMark/>
          </w:tcPr>
          <w:p w14:paraId="2C8E7E95"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20.0</w:t>
            </w:r>
          </w:p>
        </w:tc>
        <w:tc>
          <w:tcPr>
            <w:tcW w:w="478" w:type="pct"/>
            <w:hideMark/>
          </w:tcPr>
          <w:p w14:paraId="719AF2EB"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c>
          <w:tcPr>
            <w:tcW w:w="439" w:type="pct"/>
            <w:hideMark/>
          </w:tcPr>
          <w:p w14:paraId="60660493"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40.0</w:t>
            </w:r>
          </w:p>
        </w:tc>
        <w:tc>
          <w:tcPr>
            <w:tcW w:w="367" w:type="pct"/>
            <w:noWrap/>
            <w:hideMark/>
          </w:tcPr>
          <w:p w14:paraId="44CA6820"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c>
          <w:tcPr>
            <w:tcW w:w="352" w:type="pct"/>
            <w:noWrap/>
            <w:hideMark/>
          </w:tcPr>
          <w:p w14:paraId="24095C9B"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r>
      <w:tr w:rsidR="00337FFC" w:rsidRPr="00646299" w14:paraId="0AD8240E" w14:textId="77777777" w:rsidTr="00337FF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6" w:type="pct"/>
            <w:hideMark/>
          </w:tcPr>
          <w:p w14:paraId="29F248E9" w14:textId="77777777" w:rsidR="00215939" w:rsidRPr="00646299" w:rsidRDefault="00215939" w:rsidP="002D4275">
            <w:pPr>
              <w:jc w:val="right"/>
              <w:rPr>
                <w:sz w:val="14"/>
                <w:szCs w:val="14"/>
                <w:lang w:eastAsia="es-MX"/>
              </w:rPr>
            </w:pPr>
            <w:r w:rsidRPr="00646299">
              <w:rPr>
                <w:sz w:val="14"/>
                <w:szCs w:val="14"/>
                <w:lang w:eastAsia="es-MX"/>
              </w:rPr>
              <w:t>482110</w:t>
            </w:r>
          </w:p>
        </w:tc>
        <w:tc>
          <w:tcPr>
            <w:tcW w:w="528" w:type="pct"/>
            <w:hideMark/>
          </w:tcPr>
          <w:p w14:paraId="4EE3D94D" w14:textId="77777777" w:rsidR="00215939" w:rsidRPr="00646299"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Transporte por ferrocarril</w:t>
            </w:r>
          </w:p>
        </w:tc>
        <w:tc>
          <w:tcPr>
            <w:tcW w:w="331" w:type="pct"/>
            <w:hideMark/>
          </w:tcPr>
          <w:p w14:paraId="161443D4"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83.3</w:t>
            </w:r>
          </w:p>
        </w:tc>
        <w:tc>
          <w:tcPr>
            <w:tcW w:w="326" w:type="pct"/>
            <w:hideMark/>
          </w:tcPr>
          <w:p w14:paraId="227AE23A"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16.7</w:t>
            </w:r>
          </w:p>
        </w:tc>
        <w:tc>
          <w:tcPr>
            <w:tcW w:w="355" w:type="pct"/>
            <w:hideMark/>
          </w:tcPr>
          <w:p w14:paraId="5F45861D"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100.0</w:t>
            </w:r>
          </w:p>
        </w:tc>
        <w:tc>
          <w:tcPr>
            <w:tcW w:w="369" w:type="pct"/>
            <w:hideMark/>
          </w:tcPr>
          <w:p w14:paraId="0936E579"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c>
          <w:tcPr>
            <w:tcW w:w="588" w:type="pct"/>
            <w:hideMark/>
          </w:tcPr>
          <w:p w14:paraId="1A0E0BC1"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c>
          <w:tcPr>
            <w:tcW w:w="480" w:type="pct"/>
            <w:hideMark/>
          </w:tcPr>
          <w:p w14:paraId="27E5B8D1"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c>
          <w:tcPr>
            <w:tcW w:w="478" w:type="pct"/>
            <w:hideMark/>
          </w:tcPr>
          <w:p w14:paraId="32EFEB44"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c>
          <w:tcPr>
            <w:tcW w:w="439" w:type="pct"/>
            <w:hideMark/>
          </w:tcPr>
          <w:p w14:paraId="3921522A"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c>
          <w:tcPr>
            <w:tcW w:w="367" w:type="pct"/>
            <w:noWrap/>
            <w:hideMark/>
          </w:tcPr>
          <w:p w14:paraId="4E59F384"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c>
          <w:tcPr>
            <w:tcW w:w="352" w:type="pct"/>
            <w:noWrap/>
            <w:hideMark/>
          </w:tcPr>
          <w:p w14:paraId="6BDFFC1F"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r>
      <w:tr w:rsidR="00FB001C" w:rsidRPr="00646299" w14:paraId="5A9BA54F" w14:textId="77777777" w:rsidTr="006F6A68">
        <w:trPr>
          <w:trHeight w:val="480"/>
        </w:trPr>
        <w:tc>
          <w:tcPr>
            <w:cnfStyle w:val="001000000000" w:firstRow="0" w:lastRow="0" w:firstColumn="1" w:lastColumn="0" w:oddVBand="0" w:evenVBand="0" w:oddHBand="0" w:evenHBand="0" w:firstRowFirstColumn="0" w:firstRowLastColumn="0" w:lastRowFirstColumn="0" w:lastRowLastColumn="0"/>
            <w:tcW w:w="386" w:type="pct"/>
            <w:hideMark/>
          </w:tcPr>
          <w:p w14:paraId="20EBEB0E" w14:textId="77777777" w:rsidR="00215939" w:rsidRPr="00646299" w:rsidRDefault="00215939" w:rsidP="002D4275">
            <w:pPr>
              <w:jc w:val="right"/>
              <w:rPr>
                <w:sz w:val="14"/>
                <w:szCs w:val="14"/>
                <w:lang w:eastAsia="es-MX"/>
              </w:rPr>
            </w:pPr>
            <w:r w:rsidRPr="00646299">
              <w:rPr>
                <w:sz w:val="14"/>
                <w:szCs w:val="14"/>
                <w:lang w:eastAsia="es-MX"/>
              </w:rPr>
              <w:t>483111</w:t>
            </w:r>
          </w:p>
        </w:tc>
        <w:tc>
          <w:tcPr>
            <w:tcW w:w="528" w:type="pct"/>
            <w:hideMark/>
          </w:tcPr>
          <w:p w14:paraId="15A533E2" w14:textId="77777777" w:rsidR="00215939" w:rsidRPr="00646299"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Transporte marítimo de altura, excepto de petróleo y gas natural</w:t>
            </w:r>
          </w:p>
        </w:tc>
        <w:tc>
          <w:tcPr>
            <w:tcW w:w="331" w:type="pct"/>
            <w:hideMark/>
          </w:tcPr>
          <w:p w14:paraId="7DC416A0"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90.9</w:t>
            </w:r>
          </w:p>
        </w:tc>
        <w:tc>
          <w:tcPr>
            <w:tcW w:w="326" w:type="pct"/>
            <w:hideMark/>
          </w:tcPr>
          <w:p w14:paraId="66A4FACC"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9.1</w:t>
            </w:r>
          </w:p>
        </w:tc>
        <w:tc>
          <w:tcPr>
            <w:tcW w:w="355" w:type="pct"/>
            <w:hideMark/>
          </w:tcPr>
          <w:p w14:paraId="62365BEB"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100.0</w:t>
            </w:r>
          </w:p>
        </w:tc>
        <w:tc>
          <w:tcPr>
            <w:tcW w:w="369" w:type="pct"/>
            <w:hideMark/>
          </w:tcPr>
          <w:p w14:paraId="5A713138"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c>
          <w:tcPr>
            <w:tcW w:w="588" w:type="pct"/>
            <w:hideMark/>
          </w:tcPr>
          <w:p w14:paraId="437A0BEF"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c>
          <w:tcPr>
            <w:tcW w:w="480" w:type="pct"/>
            <w:hideMark/>
          </w:tcPr>
          <w:p w14:paraId="3C289A74"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c>
          <w:tcPr>
            <w:tcW w:w="478" w:type="pct"/>
            <w:hideMark/>
          </w:tcPr>
          <w:p w14:paraId="7CBA2AAE"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c>
          <w:tcPr>
            <w:tcW w:w="439" w:type="pct"/>
            <w:hideMark/>
          </w:tcPr>
          <w:p w14:paraId="0D044D8D"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100.0</w:t>
            </w:r>
          </w:p>
        </w:tc>
        <w:tc>
          <w:tcPr>
            <w:tcW w:w="367" w:type="pct"/>
            <w:noWrap/>
            <w:hideMark/>
          </w:tcPr>
          <w:p w14:paraId="791FC2E8"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c>
          <w:tcPr>
            <w:tcW w:w="352" w:type="pct"/>
            <w:noWrap/>
            <w:hideMark/>
          </w:tcPr>
          <w:p w14:paraId="52853052"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r>
      <w:tr w:rsidR="00337FFC" w:rsidRPr="00646299" w14:paraId="528E7A29" w14:textId="77777777" w:rsidTr="00337FF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86" w:type="pct"/>
            <w:hideMark/>
          </w:tcPr>
          <w:p w14:paraId="2021BAA4" w14:textId="77777777" w:rsidR="00215939" w:rsidRPr="00646299" w:rsidRDefault="00215939" w:rsidP="002D4275">
            <w:pPr>
              <w:jc w:val="right"/>
              <w:rPr>
                <w:sz w:val="14"/>
                <w:szCs w:val="14"/>
                <w:lang w:eastAsia="es-MX"/>
              </w:rPr>
            </w:pPr>
            <w:r w:rsidRPr="00646299">
              <w:rPr>
                <w:sz w:val="14"/>
                <w:szCs w:val="14"/>
                <w:lang w:eastAsia="es-MX"/>
              </w:rPr>
              <w:t>483112</w:t>
            </w:r>
          </w:p>
        </w:tc>
        <w:tc>
          <w:tcPr>
            <w:tcW w:w="528" w:type="pct"/>
            <w:hideMark/>
          </w:tcPr>
          <w:p w14:paraId="4901F17B" w14:textId="77777777" w:rsidR="00215939" w:rsidRPr="00646299"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Transporte marítimo de cabotaje, excepto de petróleo y gas natural</w:t>
            </w:r>
          </w:p>
        </w:tc>
        <w:tc>
          <w:tcPr>
            <w:tcW w:w="331" w:type="pct"/>
            <w:hideMark/>
          </w:tcPr>
          <w:p w14:paraId="6A99D598"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75.0</w:t>
            </w:r>
          </w:p>
        </w:tc>
        <w:tc>
          <w:tcPr>
            <w:tcW w:w="326" w:type="pct"/>
            <w:hideMark/>
          </w:tcPr>
          <w:p w14:paraId="2AA42739"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25.0</w:t>
            </w:r>
          </w:p>
        </w:tc>
        <w:tc>
          <w:tcPr>
            <w:tcW w:w="355" w:type="pct"/>
            <w:hideMark/>
          </w:tcPr>
          <w:p w14:paraId="76818AF9"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83.3</w:t>
            </w:r>
          </w:p>
        </w:tc>
        <w:tc>
          <w:tcPr>
            <w:tcW w:w="369" w:type="pct"/>
            <w:hideMark/>
          </w:tcPr>
          <w:p w14:paraId="62BD676B"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c>
          <w:tcPr>
            <w:tcW w:w="588" w:type="pct"/>
            <w:hideMark/>
          </w:tcPr>
          <w:p w14:paraId="1735628B"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50.0</w:t>
            </w:r>
          </w:p>
        </w:tc>
        <w:tc>
          <w:tcPr>
            <w:tcW w:w="480" w:type="pct"/>
            <w:hideMark/>
          </w:tcPr>
          <w:p w14:paraId="76122CD5"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16.7</w:t>
            </w:r>
          </w:p>
        </w:tc>
        <w:tc>
          <w:tcPr>
            <w:tcW w:w="478" w:type="pct"/>
            <w:hideMark/>
          </w:tcPr>
          <w:p w14:paraId="324EEC61"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c>
          <w:tcPr>
            <w:tcW w:w="439" w:type="pct"/>
            <w:hideMark/>
          </w:tcPr>
          <w:p w14:paraId="18CF089A"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c>
          <w:tcPr>
            <w:tcW w:w="367" w:type="pct"/>
            <w:noWrap/>
            <w:hideMark/>
          </w:tcPr>
          <w:p w14:paraId="5989BABC"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16.7</w:t>
            </w:r>
          </w:p>
        </w:tc>
        <w:tc>
          <w:tcPr>
            <w:tcW w:w="352" w:type="pct"/>
            <w:noWrap/>
            <w:hideMark/>
          </w:tcPr>
          <w:p w14:paraId="13CDA062"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33.3</w:t>
            </w:r>
          </w:p>
        </w:tc>
      </w:tr>
      <w:tr w:rsidR="00FB001C" w:rsidRPr="00646299" w14:paraId="397F2D60" w14:textId="77777777" w:rsidTr="006F6A68">
        <w:trPr>
          <w:trHeight w:val="255"/>
        </w:trPr>
        <w:tc>
          <w:tcPr>
            <w:cnfStyle w:val="001000000000" w:firstRow="0" w:lastRow="0" w:firstColumn="1" w:lastColumn="0" w:oddVBand="0" w:evenVBand="0" w:oddHBand="0" w:evenHBand="0" w:firstRowFirstColumn="0" w:firstRowLastColumn="0" w:lastRowFirstColumn="0" w:lastRowLastColumn="0"/>
            <w:tcW w:w="386" w:type="pct"/>
            <w:hideMark/>
          </w:tcPr>
          <w:p w14:paraId="3EF15754" w14:textId="77777777" w:rsidR="00215939" w:rsidRPr="00646299" w:rsidRDefault="00215939" w:rsidP="002D4275">
            <w:pPr>
              <w:jc w:val="right"/>
              <w:rPr>
                <w:sz w:val="14"/>
                <w:szCs w:val="14"/>
                <w:lang w:eastAsia="es-MX"/>
              </w:rPr>
            </w:pPr>
            <w:r w:rsidRPr="00646299">
              <w:rPr>
                <w:sz w:val="14"/>
                <w:szCs w:val="14"/>
                <w:lang w:eastAsia="es-MX"/>
              </w:rPr>
              <w:t>484</w:t>
            </w:r>
          </w:p>
        </w:tc>
        <w:tc>
          <w:tcPr>
            <w:tcW w:w="528" w:type="pct"/>
            <w:hideMark/>
          </w:tcPr>
          <w:p w14:paraId="4BB00296" w14:textId="77777777" w:rsidR="00215939" w:rsidRPr="00646299"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Autotransporte de carga</w:t>
            </w:r>
          </w:p>
        </w:tc>
        <w:tc>
          <w:tcPr>
            <w:tcW w:w="331" w:type="pct"/>
            <w:hideMark/>
          </w:tcPr>
          <w:p w14:paraId="3A6022DD"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81.4</w:t>
            </w:r>
          </w:p>
        </w:tc>
        <w:tc>
          <w:tcPr>
            <w:tcW w:w="326" w:type="pct"/>
            <w:hideMark/>
          </w:tcPr>
          <w:p w14:paraId="1526411E"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18.6</w:t>
            </w:r>
          </w:p>
        </w:tc>
        <w:tc>
          <w:tcPr>
            <w:tcW w:w="355" w:type="pct"/>
            <w:hideMark/>
          </w:tcPr>
          <w:p w14:paraId="779CE4A7"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63.6</w:t>
            </w:r>
          </w:p>
        </w:tc>
        <w:tc>
          <w:tcPr>
            <w:tcW w:w="369" w:type="pct"/>
            <w:hideMark/>
          </w:tcPr>
          <w:p w14:paraId="58FCC2D1"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0.1</w:t>
            </w:r>
          </w:p>
        </w:tc>
        <w:tc>
          <w:tcPr>
            <w:tcW w:w="588" w:type="pct"/>
            <w:hideMark/>
          </w:tcPr>
          <w:p w14:paraId="73CAB858"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19.4</w:t>
            </w:r>
          </w:p>
        </w:tc>
        <w:tc>
          <w:tcPr>
            <w:tcW w:w="480" w:type="pct"/>
            <w:hideMark/>
          </w:tcPr>
          <w:p w14:paraId="430F01CD"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11.0</w:t>
            </w:r>
          </w:p>
        </w:tc>
        <w:tc>
          <w:tcPr>
            <w:tcW w:w="478" w:type="pct"/>
            <w:hideMark/>
          </w:tcPr>
          <w:p w14:paraId="31C4FCCD"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1.7</w:t>
            </w:r>
          </w:p>
        </w:tc>
        <w:tc>
          <w:tcPr>
            <w:tcW w:w="439" w:type="pct"/>
            <w:hideMark/>
          </w:tcPr>
          <w:p w14:paraId="6D230A74"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0.1</w:t>
            </w:r>
          </w:p>
        </w:tc>
        <w:tc>
          <w:tcPr>
            <w:tcW w:w="367" w:type="pct"/>
            <w:noWrap/>
            <w:hideMark/>
          </w:tcPr>
          <w:p w14:paraId="7454F701"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11.1</w:t>
            </w:r>
          </w:p>
        </w:tc>
        <w:tc>
          <w:tcPr>
            <w:tcW w:w="352" w:type="pct"/>
            <w:noWrap/>
            <w:hideMark/>
          </w:tcPr>
          <w:p w14:paraId="7A94CCBB"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4.8</w:t>
            </w:r>
          </w:p>
        </w:tc>
      </w:tr>
      <w:tr w:rsidR="00337FFC" w:rsidRPr="00646299" w14:paraId="61956497" w14:textId="77777777" w:rsidTr="00337FFC">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86" w:type="pct"/>
            <w:hideMark/>
          </w:tcPr>
          <w:p w14:paraId="5EFC9710" w14:textId="77777777" w:rsidR="00215939" w:rsidRPr="00646299" w:rsidRDefault="00215939" w:rsidP="002D4275">
            <w:pPr>
              <w:jc w:val="right"/>
              <w:rPr>
                <w:sz w:val="14"/>
                <w:szCs w:val="14"/>
                <w:lang w:eastAsia="es-MX"/>
              </w:rPr>
            </w:pPr>
            <w:r w:rsidRPr="00646299">
              <w:rPr>
                <w:sz w:val="14"/>
                <w:szCs w:val="14"/>
                <w:lang w:eastAsia="es-MX"/>
              </w:rPr>
              <w:t>485111</w:t>
            </w:r>
          </w:p>
        </w:tc>
        <w:tc>
          <w:tcPr>
            <w:tcW w:w="528" w:type="pct"/>
            <w:hideMark/>
          </w:tcPr>
          <w:p w14:paraId="1B3C1CD4" w14:textId="77777777" w:rsidR="00215939" w:rsidRPr="00646299" w:rsidRDefault="00215939" w:rsidP="002D4275">
            <w:pPr>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Transporte colectivo urbano y suburbano de pasajeros en autobuses de ruta fija</w:t>
            </w:r>
          </w:p>
        </w:tc>
        <w:tc>
          <w:tcPr>
            <w:tcW w:w="331" w:type="pct"/>
            <w:hideMark/>
          </w:tcPr>
          <w:p w14:paraId="6C2AA696"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89.1</w:t>
            </w:r>
          </w:p>
        </w:tc>
        <w:tc>
          <w:tcPr>
            <w:tcW w:w="326" w:type="pct"/>
            <w:hideMark/>
          </w:tcPr>
          <w:p w14:paraId="3B45C3D3"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10.9</w:t>
            </w:r>
          </w:p>
        </w:tc>
        <w:tc>
          <w:tcPr>
            <w:tcW w:w="355" w:type="pct"/>
            <w:hideMark/>
          </w:tcPr>
          <w:p w14:paraId="7E764EE3"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62.7</w:t>
            </w:r>
          </w:p>
        </w:tc>
        <w:tc>
          <w:tcPr>
            <w:tcW w:w="369" w:type="pct"/>
            <w:hideMark/>
          </w:tcPr>
          <w:p w14:paraId="1BBD677C"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19.3</w:t>
            </w:r>
          </w:p>
        </w:tc>
        <w:tc>
          <w:tcPr>
            <w:tcW w:w="588" w:type="pct"/>
            <w:hideMark/>
          </w:tcPr>
          <w:p w14:paraId="4C37ADD4"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15.6</w:t>
            </w:r>
          </w:p>
        </w:tc>
        <w:tc>
          <w:tcPr>
            <w:tcW w:w="480" w:type="pct"/>
            <w:hideMark/>
          </w:tcPr>
          <w:p w14:paraId="0F14772F"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1.2</w:t>
            </w:r>
          </w:p>
        </w:tc>
        <w:tc>
          <w:tcPr>
            <w:tcW w:w="478" w:type="pct"/>
            <w:hideMark/>
          </w:tcPr>
          <w:p w14:paraId="1F2CFF66"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2.5</w:t>
            </w:r>
          </w:p>
        </w:tc>
        <w:tc>
          <w:tcPr>
            <w:tcW w:w="439" w:type="pct"/>
            <w:hideMark/>
          </w:tcPr>
          <w:p w14:paraId="1C4E9DCF"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0.0</w:t>
            </w:r>
          </w:p>
        </w:tc>
        <w:tc>
          <w:tcPr>
            <w:tcW w:w="367" w:type="pct"/>
            <w:noWrap/>
            <w:hideMark/>
          </w:tcPr>
          <w:p w14:paraId="0F08D90E"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9.5</w:t>
            </w:r>
          </w:p>
        </w:tc>
        <w:tc>
          <w:tcPr>
            <w:tcW w:w="352" w:type="pct"/>
            <w:noWrap/>
            <w:hideMark/>
          </w:tcPr>
          <w:p w14:paraId="617BB32B" w14:textId="77777777" w:rsidR="00215939" w:rsidRPr="00646299" w:rsidRDefault="00215939" w:rsidP="002D4275">
            <w:pPr>
              <w:jc w:val="right"/>
              <w:cnfStyle w:val="000000100000" w:firstRow="0" w:lastRow="0" w:firstColumn="0" w:lastColumn="0" w:oddVBand="0" w:evenVBand="0" w:oddHBand="1" w:evenHBand="0" w:firstRowFirstColumn="0" w:firstRowLastColumn="0" w:lastRowFirstColumn="0" w:lastRowLastColumn="0"/>
              <w:rPr>
                <w:sz w:val="14"/>
                <w:szCs w:val="14"/>
                <w:lang w:eastAsia="es-MX"/>
              </w:rPr>
            </w:pPr>
            <w:r w:rsidRPr="00646299">
              <w:rPr>
                <w:sz w:val="14"/>
                <w:szCs w:val="14"/>
                <w:lang w:eastAsia="es-MX"/>
              </w:rPr>
              <w:t>5.3</w:t>
            </w:r>
          </w:p>
        </w:tc>
      </w:tr>
      <w:tr w:rsidR="00FB001C" w:rsidRPr="00646299" w14:paraId="01B26158" w14:textId="77777777" w:rsidTr="006F6A68">
        <w:trPr>
          <w:trHeight w:val="480"/>
        </w:trPr>
        <w:tc>
          <w:tcPr>
            <w:cnfStyle w:val="001000000000" w:firstRow="0" w:lastRow="0" w:firstColumn="1" w:lastColumn="0" w:oddVBand="0" w:evenVBand="0" w:oddHBand="0" w:evenHBand="0" w:firstRowFirstColumn="0" w:firstRowLastColumn="0" w:lastRowFirstColumn="0" w:lastRowLastColumn="0"/>
            <w:tcW w:w="386" w:type="pct"/>
            <w:hideMark/>
          </w:tcPr>
          <w:p w14:paraId="3B40EB3E" w14:textId="77777777" w:rsidR="00215939" w:rsidRPr="00646299" w:rsidRDefault="00215939" w:rsidP="002D4275">
            <w:pPr>
              <w:jc w:val="right"/>
              <w:rPr>
                <w:sz w:val="14"/>
                <w:szCs w:val="14"/>
                <w:lang w:eastAsia="es-MX"/>
              </w:rPr>
            </w:pPr>
            <w:r w:rsidRPr="00646299">
              <w:rPr>
                <w:sz w:val="14"/>
                <w:szCs w:val="14"/>
                <w:lang w:eastAsia="es-MX"/>
              </w:rPr>
              <w:t>4852</w:t>
            </w:r>
          </w:p>
        </w:tc>
        <w:tc>
          <w:tcPr>
            <w:tcW w:w="528" w:type="pct"/>
            <w:hideMark/>
          </w:tcPr>
          <w:p w14:paraId="448D8310" w14:textId="77777777" w:rsidR="00215939" w:rsidRPr="00646299" w:rsidRDefault="00215939" w:rsidP="002D4275">
            <w:pPr>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Transporte colectivo foráneo de pasajeros de ruta fija</w:t>
            </w:r>
          </w:p>
        </w:tc>
        <w:tc>
          <w:tcPr>
            <w:tcW w:w="331" w:type="pct"/>
            <w:hideMark/>
          </w:tcPr>
          <w:p w14:paraId="03E9D8FA"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70.2</w:t>
            </w:r>
          </w:p>
        </w:tc>
        <w:tc>
          <w:tcPr>
            <w:tcW w:w="326" w:type="pct"/>
            <w:hideMark/>
          </w:tcPr>
          <w:p w14:paraId="3D35B255"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29.8</w:t>
            </w:r>
          </w:p>
        </w:tc>
        <w:tc>
          <w:tcPr>
            <w:tcW w:w="355" w:type="pct"/>
            <w:hideMark/>
          </w:tcPr>
          <w:p w14:paraId="5007339B"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75.0</w:t>
            </w:r>
          </w:p>
        </w:tc>
        <w:tc>
          <w:tcPr>
            <w:tcW w:w="369" w:type="pct"/>
            <w:hideMark/>
          </w:tcPr>
          <w:p w14:paraId="3F539B26"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c>
          <w:tcPr>
            <w:tcW w:w="588" w:type="pct"/>
            <w:hideMark/>
          </w:tcPr>
          <w:p w14:paraId="0573D27B"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21.4</w:t>
            </w:r>
          </w:p>
        </w:tc>
        <w:tc>
          <w:tcPr>
            <w:tcW w:w="480" w:type="pct"/>
            <w:hideMark/>
          </w:tcPr>
          <w:p w14:paraId="475E6BB6"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c>
          <w:tcPr>
            <w:tcW w:w="478" w:type="pct"/>
            <w:hideMark/>
          </w:tcPr>
          <w:p w14:paraId="0C56F359"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c>
          <w:tcPr>
            <w:tcW w:w="439" w:type="pct"/>
            <w:hideMark/>
          </w:tcPr>
          <w:p w14:paraId="7EC242B8"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0.0</w:t>
            </w:r>
          </w:p>
        </w:tc>
        <w:tc>
          <w:tcPr>
            <w:tcW w:w="367" w:type="pct"/>
            <w:noWrap/>
            <w:hideMark/>
          </w:tcPr>
          <w:p w14:paraId="7D867F2E"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10.7</w:t>
            </w:r>
          </w:p>
        </w:tc>
        <w:tc>
          <w:tcPr>
            <w:tcW w:w="352" w:type="pct"/>
            <w:noWrap/>
            <w:hideMark/>
          </w:tcPr>
          <w:p w14:paraId="2BCA0F1C" w14:textId="77777777" w:rsidR="00215939" w:rsidRPr="00646299" w:rsidRDefault="00215939" w:rsidP="002D4275">
            <w:pPr>
              <w:jc w:val="right"/>
              <w:cnfStyle w:val="000000000000" w:firstRow="0" w:lastRow="0" w:firstColumn="0" w:lastColumn="0" w:oddVBand="0" w:evenVBand="0" w:oddHBand="0" w:evenHBand="0" w:firstRowFirstColumn="0" w:firstRowLastColumn="0" w:lastRowFirstColumn="0" w:lastRowLastColumn="0"/>
              <w:rPr>
                <w:sz w:val="14"/>
                <w:szCs w:val="14"/>
                <w:lang w:eastAsia="es-MX"/>
              </w:rPr>
            </w:pPr>
            <w:r w:rsidRPr="00646299">
              <w:rPr>
                <w:sz w:val="14"/>
                <w:szCs w:val="14"/>
                <w:lang w:eastAsia="es-MX"/>
              </w:rPr>
              <w:t>21.4</w:t>
            </w:r>
          </w:p>
        </w:tc>
      </w:tr>
    </w:tbl>
    <w:p w14:paraId="410B0FB9" w14:textId="77777777" w:rsidR="006F6A68" w:rsidRPr="00B00775" w:rsidRDefault="006F6A68" w:rsidP="006F6A68">
      <w:pPr>
        <w:rPr>
          <w:b/>
          <w:bCs/>
          <w:sz w:val="16"/>
          <w:szCs w:val="16"/>
          <w:lang w:eastAsia="es-MX"/>
        </w:rPr>
      </w:pPr>
      <w:r w:rsidRPr="00B00775">
        <w:rPr>
          <w:sz w:val="16"/>
          <w:szCs w:val="16"/>
          <w:vertAlign w:val="superscript"/>
          <w:lang w:eastAsia="es-MX"/>
        </w:rPr>
        <w:t>P/</w:t>
      </w:r>
      <w:r w:rsidRPr="00B00775">
        <w:rPr>
          <w:sz w:val="16"/>
          <w:szCs w:val="16"/>
          <w:lang w:eastAsia="es-MX"/>
        </w:rPr>
        <w:t xml:space="preserve"> Preliminar</w:t>
      </w:r>
    </w:p>
    <w:p w14:paraId="6066FE07" w14:textId="77777777" w:rsidR="006F6A68" w:rsidRPr="00B00775" w:rsidRDefault="006F6A68" w:rsidP="006F6A68">
      <w:pPr>
        <w:contextualSpacing/>
        <w:rPr>
          <w:sz w:val="16"/>
          <w:szCs w:val="16"/>
        </w:rPr>
      </w:pPr>
      <w:r w:rsidRPr="00B00775">
        <w:rPr>
          <w:sz w:val="16"/>
          <w:szCs w:val="16"/>
          <w:vertAlign w:val="superscript"/>
          <w:lang w:eastAsia="es-MX"/>
        </w:rPr>
        <w:t>1</w:t>
      </w:r>
      <w:r w:rsidRPr="00B00775">
        <w:rPr>
          <w:sz w:val="16"/>
          <w:szCs w:val="16"/>
          <w:lang w:eastAsia="es-MX"/>
        </w:rPr>
        <w:t xml:space="preserve"> SCIAN: Sistema de Clasificación Industrial de América del Norte</w:t>
      </w:r>
    </w:p>
    <w:p w14:paraId="6A2C39DE" w14:textId="1A9E378A" w:rsidR="006F6A68" w:rsidRPr="00B00775" w:rsidRDefault="006F6A68" w:rsidP="006F6A68">
      <w:pPr>
        <w:contextualSpacing/>
        <w:rPr>
          <w:sz w:val="16"/>
          <w:szCs w:val="16"/>
        </w:rPr>
      </w:pPr>
      <w:r w:rsidRPr="00B00775">
        <w:rPr>
          <w:sz w:val="16"/>
          <w:szCs w:val="16"/>
          <w:lang w:eastAsia="es-MX"/>
        </w:rPr>
        <w:t>Fuente: Instituto Nacional de Estadística y Geografía, Encuesta Anual del Transporte</w:t>
      </w:r>
      <w:r w:rsidR="00644EEE">
        <w:rPr>
          <w:sz w:val="16"/>
          <w:szCs w:val="16"/>
          <w:lang w:eastAsia="es-MX"/>
        </w:rPr>
        <w:t xml:space="preserve"> 2021</w:t>
      </w:r>
    </w:p>
    <w:p w14:paraId="7918C12B" w14:textId="77777777" w:rsidR="00215939" w:rsidRDefault="00215939" w:rsidP="00215939">
      <w:pPr>
        <w:ind w:left="-426"/>
        <w:rPr>
          <w:b/>
          <w:bCs/>
        </w:rPr>
      </w:pPr>
    </w:p>
    <w:p w14:paraId="63388EDF" w14:textId="66A453B6" w:rsidR="006F6A68" w:rsidRPr="00337FFC" w:rsidRDefault="006F6A68" w:rsidP="00337FFC">
      <w:pPr>
        <w:keepNext/>
        <w:keepLines/>
        <w:spacing w:before="160" w:after="240"/>
        <w:ind w:left="-426" w:right="51"/>
        <w:jc w:val="left"/>
        <w:rPr>
          <w:rFonts w:cs="Times New Roman"/>
          <w:snapToGrid w:val="0"/>
          <w:lang w:val="es-MX"/>
        </w:rPr>
      </w:pPr>
      <w:r w:rsidRPr="006D30D9">
        <w:rPr>
          <w:rFonts w:cs="Times New Roman"/>
          <w:snapToGrid w:val="0"/>
          <w:lang w:val="es-MX"/>
        </w:rPr>
        <w:t xml:space="preserve">Las cifras </w:t>
      </w:r>
      <w:r>
        <w:rPr>
          <w:rFonts w:cs="Times New Roman"/>
          <w:snapToGrid w:val="0"/>
          <w:lang w:val="es-MX"/>
        </w:rPr>
        <w:t>de la EAT 2021 pueden consultarse en</w:t>
      </w:r>
      <w:r w:rsidRPr="006D30D9">
        <w:rPr>
          <w:rFonts w:cs="Times New Roman"/>
          <w:snapToGrid w:val="0"/>
          <w:lang w:val="es-MX"/>
        </w:rPr>
        <w:t xml:space="preserve">: </w:t>
      </w:r>
      <w:hyperlink r:id="rId14" w:history="1">
        <w:r w:rsidRPr="006D30D9">
          <w:rPr>
            <w:rStyle w:val="Hipervnculo"/>
          </w:rPr>
          <w:t>https://www.inegi.org.mx/programas/eat/2013/</w:t>
        </w:r>
      </w:hyperlink>
      <w:r w:rsidRPr="006D30D9">
        <w:t xml:space="preserve"> </w:t>
      </w:r>
    </w:p>
    <w:p w14:paraId="18D3356C" w14:textId="79B531A5" w:rsidR="00DD17EE" w:rsidRDefault="00DD17EE" w:rsidP="003F4DF9">
      <w:pPr>
        <w:ind w:left="-426" w:right="-374"/>
        <w:contextualSpacing/>
        <w:rPr>
          <w:bCs/>
          <w:lang w:val="es-MX" w:eastAsia="es-MX"/>
        </w:rPr>
      </w:pPr>
    </w:p>
    <w:p w14:paraId="20AC8BFD" w14:textId="75629820" w:rsidR="00ED3FCA" w:rsidRDefault="00ED3FCA" w:rsidP="003F4DF9">
      <w:pPr>
        <w:ind w:left="-426"/>
        <w:rPr>
          <w:b/>
          <w:bCs/>
        </w:rPr>
      </w:pPr>
    </w:p>
    <w:p w14:paraId="6272E7F4" w14:textId="77777777" w:rsidR="00241F0B" w:rsidRDefault="00241F0B" w:rsidP="003F4DF9">
      <w:pPr>
        <w:ind w:left="-426"/>
        <w:rPr>
          <w:b/>
          <w:bCs/>
        </w:rPr>
      </w:pPr>
    </w:p>
    <w:p w14:paraId="4CD312DF" w14:textId="77777777" w:rsidR="00241F0B" w:rsidRDefault="00241F0B" w:rsidP="003F4DF9">
      <w:pPr>
        <w:ind w:left="-426"/>
        <w:rPr>
          <w:b/>
          <w:bCs/>
        </w:rPr>
      </w:pPr>
    </w:p>
    <w:p w14:paraId="24382D6C" w14:textId="6D395DDF" w:rsidR="002B1158" w:rsidRPr="003F4DF9" w:rsidRDefault="002B1158" w:rsidP="003F4DF9">
      <w:pPr>
        <w:ind w:left="-426"/>
        <w:rPr>
          <w:b/>
          <w:bCs/>
        </w:rPr>
      </w:pPr>
      <w:r w:rsidRPr="003F4DF9">
        <w:rPr>
          <w:b/>
          <w:bCs/>
        </w:rPr>
        <w:lastRenderedPageBreak/>
        <w:t>Nota al usuario</w:t>
      </w:r>
    </w:p>
    <w:p w14:paraId="1A33429B" w14:textId="77777777" w:rsidR="002B1158" w:rsidRPr="003F4DF9" w:rsidRDefault="002B1158" w:rsidP="003F4DF9">
      <w:pPr>
        <w:ind w:left="-426"/>
        <w:rPr>
          <w:b/>
          <w:bCs/>
        </w:rPr>
      </w:pPr>
    </w:p>
    <w:p w14:paraId="3B8EFAE4" w14:textId="18CF9383" w:rsidR="002B1158" w:rsidRPr="003F4DF9" w:rsidRDefault="00D86D0D" w:rsidP="003F4DF9">
      <w:pPr>
        <w:ind w:left="-426" w:right="51"/>
      </w:pPr>
      <w:r>
        <w:t xml:space="preserve">El año </w:t>
      </w:r>
      <w:r w:rsidR="002B1158" w:rsidRPr="003F4DF9">
        <w:t>202</w:t>
      </w:r>
      <w:r w:rsidR="00091326">
        <w:t>1</w:t>
      </w:r>
      <w:r w:rsidR="00600431">
        <w:t xml:space="preserve"> </w:t>
      </w:r>
      <w:r w:rsidR="002B1158" w:rsidRPr="003F4DF9">
        <w:t>fue atípico</w:t>
      </w:r>
      <w:r>
        <w:t>:</w:t>
      </w:r>
      <w:r w:rsidR="006F6A68">
        <w:t xml:space="preserve"> </w:t>
      </w:r>
      <w:r>
        <w:t>d</w:t>
      </w:r>
      <w:r w:rsidR="00600431">
        <w:t xml:space="preserve">esde </w:t>
      </w:r>
      <w:r w:rsidR="002B1158" w:rsidRPr="003F4DF9">
        <w:t>el 11 de marzo de 2020</w:t>
      </w:r>
      <w:r w:rsidR="006F6A68">
        <w:t>,</w:t>
      </w:r>
      <w:r w:rsidR="002B1158" w:rsidRPr="003F4DF9">
        <w:t xml:space="preserve"> la Organización Mundial de la Salud declaró </w:t>
      </w:r>
      <w:r>
        <w:t>l</w:t>
      </w:r>
      <w:r w:rsidR="002B1158" w:rsidRPr="003F4DF9">
        <w:t>a pandemia</w:t>
      </w:r>
      <w:r w:rsidR="00DD17EE">
        <w:t xml:space="preserve"> </w:t>
      </w:r>
      <w:r>
        <w:t xml:space="preserve">por la </w:t>
      </w:r>
      <w:r w:rsidR="002B1158" w:rsidRPr="003F4DF9">
        <w:t>COVID-19</w:t>
      </w:r>
      <w:r>
        <w:t xml:space="preserve"> y </w:t>
      </w:r>
      <w:r w:rsidR="002B1158" w:rsidRPr="003F4DF9">
        <w:t>se adoptaron medidas emergentes. Esta situación se ha prolongado hasta este añ</w:t>
      </w:r>
      <w:r w:rsidR="00DD17EE">
        <w:t>o</w:t>
      </w:r>
      <w:r>
        <w:t xml:space="preserve"> y se refleja </w:t>
      </w:r>
      <w:r w:rsidR="002B1158" w:rsidRPr="003F4DF9">
        <w:t xml:space="preserve">en los resultados </w:t>
      </w:r>
      <w:r w:rsidR="006F6A68">
        <w:t>que a</w:t>
      </w:r>
      <w:r>
        <w:t>quí</w:t>
      </w:r>
      <w:r w:rsidR="006F6A68">
        <w:t xml:space="preserve"> se presentan.</w:t>
      </w:r>
    </w:p>
    <w:p w14:paraId="773BDAB6" w14:textId="77777777" w:rsidR="002B1158" w:rsidRPr="003F4DF9" w:rsidRDefault="002B1158" w:rsidP="003F4DF9">
      <w:pPr>
        <w:ind w:left="-426" w:right="-233"/>
        <w:rPr>
          <w:lang w:val="es-MX"/>
        </w:rPr>
      </w:pPr>
    </w:p>
    <w:p w14:paraId="5A330991" w14:textId="7C6824DC" w:rsidR="00DD17EE" w:rsidRDefault="002B1158" w:rsidP="00DD17EE">
      <w:pPr>
        <w:ind w:left="-426" w:right="51"/>
        <w:rPr>
          <w:lang w:val="es-MX"/>
        </w:rPr>
      </w:pPr>
      <w:r w:rsidRPr="003F4DF9">
        <w:rPr>
          <w:lang w:val="es-MX"/>
        </w:rPr>
        <w:t xml:space="preserve">La </w:t>
      </w:r>
      <w:r w:rsidR="00D86D0D">
        <w:rPr>
          <w:lang w:val="es-MX"/>
        </w:rPr>
        <w:t>t</w:t>
      </w:r>
      <w:r w:rsidRPr="003F4DF9">
        <w:rPr>
          <w:lang w:val="es-MX"/>
        </w:rPr>
        <w:t xml:space="preserve">asa de </w:t>
      </w:r>
      <w:r w:rsidR="006F6A68">
        <w:rPr>
          <w:lang w:val="es-MX"/>
        </w:rPr>
        <w:t>n</w:t>
      </w:r>
      <w:r w:rsidRPr="003F4DF9">
        <w:rPr>
          <w:lang w:val="es-MX"/>
        </w:rPr>
        <w:t xml:space="preserve">o </w:t>
      </w:r>
      <w:r w:rsidR="006F6A68">
        <w:rPr>
          <w:lang w:val="es-MX"/>
        </w:rPr>
        <w:t>r</w:t>
      </w:r>
      <w:r w:rsidRPr="003F4DF9">
        <w:rPr>
          <w:lang w:val="es-MX"/>
        </w:rPr>
        <w:t>espuesta de la E</w:t>
      </w:r>
      <w:r w:rsidR="006F6A68">
        <w:rPr>
          <w:lang w:val="es-MX"/>
        </w:rPr>
        <w:t>AT 2021</w:t>
      </w:r>
      <w:r w:rsidRPr="003F4DF9">
        <w:rPr>
          <w:lang w:val="es-MX"/>
        </w:rPr>
        <w:t xml:space="preserve"> registró porcentajes apropiados conforme al diseño estadístico de la encuesta</w:t>
      </w:r>
      <w:r w:rsidR="006F6A68">
        <w:rPr>
          <w:lang w:val="es-MX"/>
        </w:rPr>
        <w:t xml:space="preserve">. Esto </w:t>
      </w:r>
      <w:r w:rsidRPr="003F4DF9">
        <w:rPr>
          <w:lang w:val="es-MX"/>
        </w:rPr>
        <w:t>permitió genera</w:t>
      </w:r>
      <w:r w:rsidR="006F6A68">
        <w:rPr>
          <w:lang w:val="es-MX"/>
        </w:rPr>
        <w:t>r</w:t>
      </w:r>
      <w:r w:rsidRPr="003F4DF9">
        <w:rPr>
          <w:lang w:val="es-MX"/>
        </w:rPr>
        <w:t xml:space="preserve"> estadísticas con niveles adecuados de precisión en todos los dominios de estudio, con excepción del</w:t>
      </w:r>
      <w:r w:rsidR="00C711E1">
        <w:rPr>
          <w:lang w:val="es-MX"/>
        </w:rPr>
        <w:t xml:space="preserve"> </w:t>
      </w:r>
      <w:r w:rsidRPr="003F4DF9">
        <w:rPr>
          <w:lang w:val="es-MX"/>
        </w:rPr>
        <w:t xml:space="preserve">dominio </w:t>
      </w:r>
      <w:r w:rsidRPr="00C711E1">
        <w:rPr>
          <w:lang w:val="es-MX"/>
        </w:rPr>
        <w:t xml:space="preserve">4852, </w:t>
      </w:r>
      <w:r w:rsidR="00514C69">
        <w:rPr>
          <w:i/>
          <w:lang w:val="es-MX"/>
        </w:rPr>
        <w:t>T</w:t>
      </w:r>
      <w:r w:rsidRPr="00337FFC">
        <w:rPr>
          <w:i/>
          <w:lang w:val="es-MX"/>
        </w:rPr>
        <w:t>ransporte colectivo foráneo de pasajeros de ruta fija</w:t>
      </w:r>
      <w:r w:rsidR="00C711E1">
        <w:rPr>
          <w:lang w:val="es-MX"/>
        </w:rPr>
        <w:t>, que</w:t>
      </w:r>
      <w:r w:rsidRPr="00C711E1">
        <w:rPr>
          <w:lang w:val="es-MX"/>
        </w:rPr>
        <w:t xml:space="preserve"> </w:t>
      </w:r>
      <w:r w:rsidR="00C711E1">
        <w:rPr>
          <w:lang w:val="es-MX"/>
        </w:rPr>
        <w:t xml:space="preserve">debe tomarse con reserva y que </w:t>
      </w:r>
      <w:r w:rsidRPr="00C711E1">
        <w:rPr>
          <w:lang w:val="es-MX"/>
        </w:rPr>
        <w:t>aport</w:t>
      </w:r>
      <w:r w:rsidR="006F6A68">
        <w:rPr>
          <w:lang w:val="es-MX"/>
        </w:rPr>
        <w:t>ó</w:t>
      </w:r>
      <w:r w:rsidRPr="00C711E1">
        <w:rPr>
          <w:lang w:val="es-MX"/>
        </w:rPr>
        <w:t xml:space="preserve"> 3.0</w:t>
      </w:r>
      <w:r w:rsidR="006F6A68">
        <w:rPr>
          <w:lang w:val="es-MX"/>
        </w:rPr>
        <w:t xml:space="preserve"> </w:t>
      </w:r>
      <w:r w:rsidRPr="00C711E1">
        <w:rPr>
          <w:lang w:val="es-MX"/>
        </w:rPr>
        <w:t xml:space="preserve">% de los ingresos totales del sector </w:t>
      </w:r>
      <w:r w:rsidR="00D86D0D">
        <w:rPr>
          <w:lang w:val="es-MX"/>
        </w:rPr>
        <w:t>T</w:t>
      </w:r>
      <w:r w:rsidRPr="00C711E1">
        <w:rPr>
          <w:lang w:val="es-MX"/>
        </w:rPr>
        <w:t>ransportes</w:t>
      </w:r>
      <w:r w:rsidRPr="003F4DF9">
        <w:rPr>
          <w:lang w:val="es-MX"/>
        </w:rPr>
        <w:t>.</w:t>
      </w:r>
    </w:p>
    <w:p w14:paraId="5133F98B" w14:textId="77777777" w:rsidR="00DD17EE" w:rsidRDefault="00DD17EE" w:rsidP="00DD17EE">
      <w:pPr>
        <w:ind w:left="-426" w:right="51"/>
      </w:pPr>
    </w:p>
    <w:p w14:paraId="199A84B9" w14:textId="57E276B6" w:rsidR="00DD17EE" w:rsidRDefault="00DD17EE" w:rsidP="00DD17EE">
      <w:pPr>
        <w:ind w:left="-426" w:right="51"/>
        <w:jc w:val="center"/>
        <w:rPr>
          <w:b/>
        </w:rPr>
      </w:pPr>
    </w:p>
    <w:p w14:paraId="25F1053A" w14:textId="2A624522" w:rsidR="00DD17EE" w:rsidRDefault="00DD17EE" w:rsidP="00DD17EE">
      <w:pPr>
        <w:ind w:left="-426" w:right="51"/>
        <w:jc w:val="center"/>
        <w:rPr>
          <w:b/>
        </w:rPr>
      </w:pPr>
    </w:p>
    <w:p w14:paraId="7DD8B426" w14:textId="7D84230B" w:rsidR="00DD17EE" w:rsidRDefault="00DD17EE" w:rsidP="00733E30">
      <w:pPr>
        <w:ind w:right="51"/>
        <w:rPr>
          <w:b/>
        </w:rPr>
      </w:pPr>
    </w:p>
    <w:p w14:paraId="514145F8" w14:textId="0701E1E4" w:rsidR="00DD17EE" w:rsidRDefault="00DD17EE" w:rsidP="00DD17EE">
      <w:pPr>
        <w:ind w:left="-426" w:right="51"/>
        <w:jc w:val="center"/>
        <w:rPr>
          <w:b/>
        </w:rPr>
      </w:pPr>
    </w:p>
    <w:p w14:paraId="6E43899E" w14:textId="30036F88" w:rsidR="006F6A68" w:rsidRDefault="006F6A68" w:rsidP="00DD17EE">
      <w:pPr>
        <w:ind w:left="-426" w:right="51"/>
        <w:jc w:val="center"/>
        <w:rPr>
          <w:b/>
        </w:rPr>
      </w:pPr>
    </w:p>
    <w:p w14:paraId="0EDA7513" w14:textId="6DCA0402" w:rsidR="006F6A68" w:rsidRDefault="006F6A68" w:rsidP="00DD17EE">
      <w:pPr>
        <w:ind w:left="-426" w:right="51"/>
        <w:jc w:val="center"/>
        <w:rPr>
          <w:b/>
        </w:rPr>
      </w:pPr>
    </w:p>
    <w:p w14:paraId="7A08C413" w14:textId="3D56F6C7" w:rsidR="006F6A68" w:rsidRDefault="006F6A68" w:rsidP="00DD17EE">
      <w:pPr>
        <w:ind w:left="-426" w:right="51"/>
        <w:jc w:val="center"/>
        <w:rPr>
          <w:b/>
        </w:rPr>
      </w:pPr>
    </w:p>
    <w:p w14:paraId="4C45FD18" w14:textId="340B6287" w:rsidR="006F6A68" w:rsidRDefault="006F6A68" w:rsidP="00DD17EE">
      <w:pPr>
        <w:ind w:left="-426" w:right="51"/>
        <w:jc w:val="center"/>
        <w:rPr>
          <w:b/>
        </w:rPr>
      </w:pPr>
    </w:p>
    <w:p w14:paraId="33CFA298" w14:textId="3F9D7AFC" w:rsidR="006F6A68" w:rsidRDefault="006F6A68" w:rsidP="00DD17EE">
      <w:pPr>
        <w:ind w:left="-426" w:right="51"/>
        <w:jc w:val="center"/>
        <w:rPr>
          <w:b/>
        </w:rPr>
      </w:pPr>
    </w:p>
    <w:p w14:paraId="1783E041" w14:textId="393ED4C3" w:rsidR="006F6A68" w:rsidRDefault="006F6A68" w:rsidP="00DD17EE">
      <w:pPr>
        <w:ind w:left="-426" w:right="51"/>
        <w:jc w:val="center"/>
        <w:rPr>
          <w:b/>
        </w:rPr>
      </w:pPr>
    </w:p>
    <w:p w14:paraId="3A750AB1" w14:textId="3727F793" w:rsidR="006F6A68" w:rsidRDefault="006F6A68" w:rsidP="00DD17EE">
      <w:pPr>
        <w:ind w:left="-426" w:right="51"/>
        <w:jc w:val="center"/>
        <w:rPr>
          <w:b/>
        </w:rPr>
      </w:pPr>
    </w:p>
    <w:p w14:paraId="1351A2FD" w14:textId="3DE67C8E" w:rsidR="006F6A68" w:rsidRDefault="006F6A68" w:rsidP="00DD17EE">
      <w:pPr>
        <w:ind w:left="-426" w:right="51"/>
        <w:jc w:val="center"/>
        <w:rPr>
          <w:b/>
        </w:rPr>
      </w:pPr>
    </w:p>
    <w:p w14:paraId="4E4539B6" w14:textId="50C3EB0F" w:rsidR="006F6A68" w:rsidRDefault="006F6A68" w:rsidP="00DD17EE">
      <w:pPr>
        <w:ind w:left="-426" w:right="51"/>
        <w:jc w:val="center"/>
        <w:rPr>
          <w:b/>
        </w:rPr>
      </w:pPr>
    </w:p>
    <w:p w14:paraId="071D8687" w14:textId="5887CD5A" w:rsidR="006F6A68" w:rsidRDefault="006F6A68" w:rsidP="00DD17EE">
      <w:pPr>
        <w:ind w:left="-426" w:right="51"/>
        <w:jc w:val="center"/>
        <w:rPr>
          <w:b/>
        </w:rPr>
      </w:pPr>
    </w:p>
    <w:p w14:paraId="6CDDD574" w14:textId="1552A23A" w:rsidR="00241F0B" w:rsidRDefault="00241F0B" w:rsidP="00DD17EE">
      <w:pPr>
        <w:ind w:left="-426" w:right="51"/>
        <w:jc w:val="center"/>
        <w:rPr>
          <w:b/>
        </w:rPr>
      </w:pPr>
    </w:p>
    <w:p w14:paraId="1E2651E1" w14:textId="3F1FF12A" w:rsidR="00241F0B" w:rsidRDefault="00241F0B" w:rsidP="00DD17EE">
      <w:pPr>
        <w:ind w:left="-426" w:right="51"/>
        <w:jc w:val="center"/>
        <w:rPr>
          <w:b/>
        </w:rPr>
      </w:pPr>
    </w:p>
    <w:p w14:paraId="4773BC96" w14:textId="3E16A8A6" w:rsidR="00241F0B" w:rsidRDefault="00241F0B" w:rsidP="00DD17EE">
      <w:pPr>
        <w:ind w:left="-426" w:right="51"/>
        <w:jc w:val="center"/>
        <w:rPr>
          <w:b/>
        </w:rPr>
      </w:pPr>
    </w:p>
    <w:p w14:paraId="0650C033" w14:textId="62EA1A79" w:rsidR="00241F0B" w:rsidRDefault="00241F0B" w:rsidP="00DD17EE">
      <w:pPr>
        <w:ind w:left="-426" w:right="51"/>
        <w:jc w:val="center"/>
        <w:rPr>
          <w:b/>
        </w:rPr>
      </w:pPr>
    </w:p>
    <w:p w14:paraId="4A068BC4" w14:textId="77777777" w:rsidR="00241F0B" w:rsidRDefault="00241F0B" w:rsidP="00DD17EE">
      <w:pPr>
        <w:ind w:left="-426" w:right="51"/>
        <w:jc w:val="center"/>
        <w:rPr>
          <w:b/>
        </w:rPr>
      </w:pPr>
    </w:p>
    <w:p w14:paraId="373F3834" w14:textId="77777777" w:rsidR="006F6A68" w:rsidRDefault="006F6A68" w:rsidP="00DD17EE">
      <w:pPr>
        <w:ind w:left="-426" w:right="51"/>
        <w:jc w:val="center"/>
        <w:rPr>
          <w:b/>
        </w:rPr>
      </w:pPr>
    </w:p>
    <w:p w14:paraId="62C106AE" w14:textId="77777777" w:rsidR="00DD17EE" w:rsidRPr="00DD17EE" w:rsidRDefault="00DD17EE" w:rsidP="00DD17EE">
      <w:pPr>
        <w:ind w:left="-426" w:right="51"/>
        <w:jc w:val="center"/>
        <w:rPr>
          <w:b/>
        </w:rPr>
      </w:pPr>
    </w:p>
    <w:p w14:paraId="654D24E2" w14:textId="77777777" w:rsidR="00DD17EE" w:rsidRPr="003F4DF9" w:rsidRDefault="00DD17EE" w:rsidP="00DD17EE">
      <w:pPr>
        <w:ind w:left="-426" w:right="51"/>
      </w:pPr>
    </w:p>
    <w:p w14:paraId="01664682" w14:textId="1D2B73E1" w:rsidR="002B1158" w:rsidRPr="003F4DF9" w:rsidRDefault="002B1158" w:rsidP="00DD17EE">
      <w:pPr>
        <w:pStyle w:val="NormalWeb"/>
        <w:spacing w:before="0" w:beforeAutospacing="0" w:after="0" w:afterAutospacing="0"/>
        <w:ind w:left="-426"/>
        <w:contextualSpacing/>
        <w:jc w:val="center"/>
        <w:rPr>
          <w:rFonts w:ascii="Arial" w:hAnsi="Arial" w:cs="Arial"/>
        </w:rPr>
      </w:pPr>
      <w:r w:rsidRPr="003F4DF9">
        <w:rPr>
          <w:rFonts w:ascii="Arial" w:hAnsi="Arial" w:cs="Arial"/>
        </w:rPr>
        <w:t xml:space="preserve">Para consultas de medios y periodistas, </w:t>
      </w:r>
      <w:r w:rsidR="006F6A68">
        <w:rPr>
          <w:rFonts w:ascii="Arial" w:hAnsi="Arial" w:cs="Arial"/>
        </w:rPr>
        <w:t>escribi</w:t>
      </w:r>
      <w:r w:rsidRPr="003F4DF9">
        <w:rPr>
          <w:rFonts w:ascii="Arial" w:hAnsi="Arial" w:cs="Arial"/>
        </w:rPr>
        <w:t xml:space="preserve">r a: </w:t>
      </w:r>
      <w:hyperlink r:id="rId15" w:history="1">
        <w:r w:rsidRPr="003F4DF9">
          <w:rPr>
            <w:rStyle w:val="Hipervnculo"/>
            <w:rFonts w:ascii="Arial" w:hAnsi="Arial" w:cs="Arial"/>
          </w:rPr>
          <w:t>comunicacionsocial@inegi.org.mx</w:t>
        </w:r>
      </w:hyperlink>
    </w:p>
    <w:p w14:paraId="4BAB9B81" w14:textId="77777777" w:rsidR="002B1158" w:rsidRPr="003F4DF9" w:rsidRDefault="002B1158" w:rsidP="00DD17EE">
      <w:pPr>
        <w:pStyle w:val="NormalWeb"/>
        <w:spacing w:before="0" w:beforeAutospacing="0" w:after="0" w:afterAutospacing="0"/>
        <w:ind w:left="-426"/>
        <w:contextualSpacing/>
        <w:jc w:val="center"/>
        <w:rPr>
          <w:rFonts w:ascii="Arial" w:hAnsi="Arial" w:cs="Arial"/>
        </w:rPr>
      </w:pPr>
      <w:r w:rsidRPr="003F4DF9">
        <w:rPr>
          <w:rFonts w:ascii="Arial" w:hAnsi="Arial" w:cs="Arial"/>
        </w:rPr>
        <w:t xml:space="preserve">o llamar al teléfono (55) 52-78-10-00, </w:t>
      </w:r>
      <w:proofErr w:type="spellStart"/>
      <w:r w:rsidRPr="003F4DF9">
        <w:rPr>
          <w:rFonts w:ascii="Arial" w:hAnsi="Arial" w:cs="Arial"/>
        </w:rPr>
        <w:t>exts</w:t>
      </w:r>
      <w:proofErr w:type="spellEnd"/>
      <w:r w:rsidRPr="003F4DF9">
        <w:rPr>
          <w:rFonts w:ascii="Arial" w:hAnsi="Arial" w:cs="Arial"/>
        </w:rPr>
        <w:t>. 1134, 1260 y 1241.</w:t>
      </w:r>
    </w:p>
    <w:p w14:paraId="11797923" w14:textId="77777777" w:rsidR="002B1158" w:rsidRPr="003F4DF9" w:rsidRDefault="002B1158" w:rsidP="00DD17EE">
      <w:pPr>
        <w:ind w:left="-426"/>
        <w:contextualSpacing/>
        <w:jc w:val="center"/>
      </w:pPr>
    </w:p>
    <w:p w14:paraId="7C28E769" w14:textId="47B70C95" w:rsidR="002B1158" w:rsidRPr="003F4DF9" w:rsidRDefault="002B1158" w:rsidP="00DD17EE">
      <w:pPr>
        <w:ind w:left="-426"/>
        <w:contextualSpacing/>
        <w:jc w:val="center"/>
      </w:pPr>
      <w:r w:rsidRPr="003F4DF9">
        <w:t>Dirección de Atención a Medios/ Dirección General Adjunta de Comunicación</w:t>
      </w:r>
    </w:p>
    <w:p w14:paraId="4842B416" w14:textId="77777777" w:rsidR="002B1158" w:rsidRPr="003F4DF9" w:rsidRDefault="002B1158" w:rsidP="003F4DF9">
      <w:pPr>
        <w:ind w:left="-426" w:right="-518"/>
        <w:contextualSpacing/>
        <w:jc w:val="center"/>
      </w:pPr>
    </w:p>
    <w:p w14:paraId="7B644582" w14:textId="77777777" w:rsidR="00733E30" w:rsidRDefault="002B1158" w:rsidP="002B1158">
      <w:pPr>
        <w:ind w:left="-425" w:right="-516"/>
        <w:contextualSpacing/>
        <w:jc w:val="center"/>
        <w:rPr>
          <w:noProof/>
          <w:sz w:val="22"/>
          <w:szCs w:val="22"/>
          <w:lang w:eastAsia="es-MX"/>
        </w:rPr>
        <w:sectPr w:rsidR="00733E30" w:rsidSect="00337FFC">
          <w:headerReference w:type="default" r:id="rId16"/>
          <w:footerReference w:type="default" r:id="rId17"/>
          <w:pgSz w:w="12242" w:h="15842" w:code="1"/>
          <w:pgMar w:top="765" w:right="1185" w:bottom="851" w:left="1559" w:header="567" w:footer="267" w:gutter="0"/>
          <w:paperSrc w:first="7" w:other="7"/>
          <w:pgNumType w:start="1"/>
          <w:cols w:space="720"/>
          <w:docGrid w:linePitch="360"/>
        </w:sectPr>
      </w:pPr>
      <w:r w:rsidRPr="00510F8F">
        <w:rPr>
          <w:noProof/>
          <w:sz w:val="22"/>
          <w:szCs w:val="22"/>
          <w:lang w:val="es-MX" w:eastAsia="es-MX"/>
        </w:rPr>
        <w:drawing>
          <wp:inline distT="0" distB="0" distL="0" distR="0" wp14:anchorId="27FD83DD" wp14:editId="1FA4DB7F">
            <wp:extent cx="340995" cy="365760"/>
            <wp:effectExtent l="0" t="0" r="1905" b="0"/>
            <wp:docPr id="4" name="Imagen 4" descr="C:\Users\saladeprensa\Desktop\NVOS LOGOS\F.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995" cy="365760"/>
                    </a:xfrm>
                    <a:prstGeom prst="rect">
                      <a:avLst/>
                    </a:prstGeom>
                    <a:noFill/>
                    <a:ln>
                      <a:noFill/>
                    </a:ln>
                  </pic:spPr>
                </pic:pic>
              </a:graphicData>
            </a:graphic>
          </wp:inline>
        </w:drawing>
      </w:r>
      <w:r w:rsidRPr="00510F8F">
        <w:rPr>
          <w:noProof/>
          <w:sz w:val="22"/>
          <w:szCs w:val="22"/>
          <w:lang w:eastAsia="es-MX"/>
        </w:rPr>
        <w:t xml:space="preserve"> </w:t>
      </w:r>
      <w:r w:rsidRPr="00510F8F">
        <w:rPr>
          <w:noProof/>
          <w:sz w:val="22"/>
          <w:szCs w:val="22"/>
          <w:lang w:val="es-MX" w:eastAsia="es-MX"/>
        </w:rPr>
        <w:drawing>
          <wp:inline distT="0" distB="0" distL="0" distR="0" wp14:anchorId="1A09F3CB" wp14:editId="0ADA61F4">
            <wp:extent cx="365760" cy="365760"/>
            <wp:effectExtent l="0" t="0" r="0" b="0"/>
            <wp:docPr id="5" name="Imagen 5" descr="C:\Users\saladeprensa\Desktop\NVOS LOGOS\I.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510F8F">
        <w:rPr>
          <w:noProof/>
          <w:sz w:val="22"/>
          <w:szCs w:val="22"/>
          <w:lang w:eastAsia="es-MX"/>
        </w:rPr>
        <w:t xml:space="preserve"> </w:t>
      </w:r>
      <w:r w:rsidRPr="00510F8F">
        <w:rPr>
          <w:noProof/>
          <w:sz w:val="22"/>
          <w:szCs w:val="22"/>
          <w:lang w:val="es-MX" w:eastAsia="es-MX"/>
        </w:rPr>
        <w:drawing>
          <wp:inline distT="0" distB="0" distL="0" distR="0" wp14:anchorId="76EC91BF" wp14:editId="6CA050DC">
            <wp:extent cx="365760" cy="365760"/>
            <wp:effectExtent l="0" t="0" r="0" b="0"/>
            <wp:docPr id="12" name="Imagen 12" descr="C:\Users\saladeprensa\Desktop\NVOS LOGOS\T.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510F8F">
        <w:rPr>
          <w:noProof/>
          <w:sz w:val="22"/>
          <w:szCs w:val="22"/>
          <w:lang w:eastAsia="es-MX"/>
        </w:rPr>
        <w:t xml:space="preserve"> </w:t>
      </w:r>
      <w:r w:rsidRPr="00510F8F">
        <w:rPr>
          <w:noProof/>
          <w:sz w:val="22"/>
          <w:szCs w:val="22"/>
          <w:lang w:val="es-MX" w:eastAsia="es-MX"/>
        </w:rPr>
        <w:drawing>
          <wp:inline distT="0" distB="0" distL="0" distR="0" wp14:anchorId="5D4AE727" wp14:editId="0572A6B8">
            <wp:extent cx="365760" cy="365760"/>
            <wp:effectExtent l="0" t="0" r="0" b="0"/>
            <wp:docPr id="14" name="Imagen 14" descr="C:\Users\saladeprensa\Desktop\NVOS LOGOS\Y.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510F8F">
        <w:rPr>
          <w:noProof/>
          <w:sz w:val="22"/>
          <w:szCs w:val="22"/>
          <w:lang w:eastAsia="es-MX"/>
        </w:rPr>
        <w:t xml:space="preserve">  </w:t>
      </w:r>
      <w:r w:rsidRPr="00510F8F">
        <w:rPr>
          <w:noProof/>
          <w:sz w:val="22"/>
          <w:szCs w:val="22"/>
          <w:lang w:val="es-MX" w:eastAsia="es-MX"/>
        </w:rPr>
        <w:drawing>
          <wp:inline distT="0" distB="0" distL="0" distR="0" wp14:anchorId="219A6DFB" wp14:editId="7FBAC2C3">
            <wp:extent cx="2990850" cy="358902"/>
            <wp:effectExtent l="0" t="0" r="0" b="3175"/>
            <wp:docPr id="16" name="Imagen 1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96185" cy="359542"/>
                    </a:xfrm>
                    <a:prstGeom prst="rect">
                      <a:avLst/>
                    </a:prstGeom>
                    <a:noFill/>
                    <a:ln>
                      <a:noFill/>
                    </a:ln>
                  </pic:spPr>
                </pic:pic>
              </a:graphicData>
            </a:graphic>
          </wp:inline>
        </w:drawing>
      </w:r>
    </w:p>
    <w:p w14:paraId="42037D18" w14:textId="55676A42" w:rsidR="002B1158" w:rsidRPr="00510F8F" w:rsidRDefault="002B1158" w:rsidP="002B1158">
      <w:pPr>
        <w:ind w:left="-425" w:right="-516"/>
        <w:contextualSpacing/>
        <w:jc w:val="center"/>
        <w:rPr>
          <w:noProof/>
          <w:sz w:val="22"/>
          <w:szCs w:val="22"/>
          <w:lang w:eastAsia="es-MX"/>
        </w:rPr>
      </w:pPr>
    </w:p>
    <w:p w14:paraId="1AE2D80A" w14:textId="2AF3EE5B" w:rsidR="002B1158" w:rsidRDefault="002B1158" w:rsidP="002B1158">
      <w:pPr>
        <w:ind w:left="-425" w:right="-516"/>
        <w:contextualSpacing/>
        <w:jc w:val="center"/>
        <w:rPr>
          <w:noProof/>
          <w:sz w:val="22"/>
          <w:szCs w:val="22"/>
          <w:lang w:eastAsia="es-MX"/>
        </w:rPr>
      </w:pPr>
    </w:p>
    <w:p w14:paraId="6B0BEE53" w14:textId="43C2DB1E" w:rsidR="006F6A68" w:rsidRDefault="006F6A68" w:rsidP="002B1158">
      <w:pPr>
        <w:ind w:left="-425" w:right="-516"/>
        <w:contextualSpacing/>
        <w:jc w:val="center"/>
        <w:rPr>
          <w:noProof/>
          <w:sz w:val="22"/>
          <w:szCs w:val="22"/>
          <w:lang w:eastAsia="es-MX"/>
        </w:rPr>
      </w:pPr>
    </w:p>
    <w:p w14:paraId="255CD635" w14:textId="75926D97" w:rsidR="006F6A68" w:rsidRDefault="006F6A68" w:rsidP="002B1158">
      <w:pPr>
        <w:ind w:left="-425" w:right="-516"/>
        <w:contextualSpacing/>
        <w:jc w:val="center"/>
        <w:rPr>
          <w:noProof/>
          <w:sz w:val="22"/>
          <w:szCs w:val="22"/>
          <w:lang w:eastAsia="es-MX"/>
        </w:rPr>
      </w:pPr>
    </w:p>
    <w:p w14:paraId="0D833EDB" w14:textId="7F0F1AEA" w:rsidR="006F6A68" w:rsidRDefault="006F6A68" w:rsidP="002B1158">
      <w:pPr>
        <w:ind w:left="-425" w:right="-516"/>
        <w:contextualSpacing/>
        <w:jc w:val="center"/>
        <w:rPr>
          <w:noProof/>
          <w:sz w:val="22"/>
          <w:szCs w:val="22"/>
          <w:lang w:eastAsia="es-MX"/>
        </w:rPr>
      </w:pPr>
    </w:p>
    <w:p w14:paraId="01888E87" w14:textId="6ED08CE8" w:rsidR="006F6A68" w:rsidRDefault="006F6A68" w:rsidP="002B1158">
      <w:pPr>
        <w:ind w:left="-425" w:right="-516"/>
        <w:contextualSpacing/>
        <w:jc w:val="center"/>
        <w:rPr>
          <w:noProof/>
          <w:sz w:val="22"/>
          <w:szCs w:val="22"/>
          <w:lang w:eastAsia="es-MX"/>
        </w:rPr>
      </w:pPr>
    </w:p>
    <w:p w14:paraId="0B86B4B4" w14:textId="34E60B3A" w:rsidR="002B1158" w:rsidRPr="00337FFC" w:rsidRDefault="00514C69" w:rsidP="00337FFC">
      <w:pPr>
        <w:ind w:left="-425" w:right="-283"/>
        <w:contextualSpacing/>
        <w:jc w:val="center"/>
        <w:rPr>
          <w:b/>
          <w:noProof/>
          <w:sz w:val="22"/>
          <w:szCs w:val="22"/>
          <w:lang w:eastAsia="es-MX"/>
        </w:rPr>
      </w:pPr>
      <w:r w:rsidRPr="00337FFC">
        <w:rPr>
          <w:b/>
          <w:noProof/>
          <w:sz w:val="22"/>
          <w:szCs w:val="22"/>
          <w:lang w:eastAsia="es-MX"/>
        </w:rPr>
        <w:lastRenderedPageBreak/>
        <w:t>ANEXO</w:t>
      </w:r>
    </w:p>
    <w:p w14:paraId="78498D34" w14:textId="77777777" w:rsidR="00514C69" w:rsidRPr="00337FFC" w:rsidRDefault="00514C69" w:rsidP="00337FFC">
      <w:pPr>
        <w:ind w:left="-425" w:right="-283"/>
        <w:contextualSpacing/>
        <w:jc w:val="center"/>
        <w:rPr>
          <w:b/>
          <w:noProof/>
          <w:sz w:val="22"/>
          <w:szCs w:val="22"/>
          <w:lang w:eastAsia="es-MX"/>
        </w:rPr>
      </w:pPr>
    </w:p>
    <w:p w14:paraId="24590AA3" w14:textId="68BA879C" w:rsidR="00343574" w:rsidRPr="00514C69" w:rsidRDefault="00C945D9" w:rsidP="00337FFC">
      <w:pPr>
        <w:tabs>
          <w:tab w:val="left" w:pos="8789"/>
        </w:tabs>
        <w:ind w:left="-426" w:right="-283"/>
        <w:jc w:val="center"/>
        <w:rPr>
          <w:b/>
        </w:rPr>
      </w:pPr>
      <w:r w:rsidRPr="00514C69">
        <w:rPr>
          <w:b/>
        </w:rPr>
        <w:t>NOTA TÉCNICA</w:t>
      </w:r>
    </w:p>
    <w:p w14:paraId="2C3DF5E2" w14:textId="77777777" w:rsidR="00DD34D5" w:rsidRPr="006D30D9" w:rsidRDefault="00DD34D5" w:rsidP="00337FFC">
      <w:pPr>
        <w:ind w:right="51"/>
        <w:contextualSpacing/>
        <w:rPr>
          <w:b/>
          <w:bCs/>
          <w:noProof/>
          <w:lang w:eastAsia="es-MX"/>
        </w:rPr>
      </w:pPr>
    </w:p>
    <w:p w14:paraId="308A05BD" w14:textId="3F6A0E7F" w:rsidR="00C86D89" w:rsidRPr="00337FFC" w:rsidRDefault="00C86D89">
      <w:pPr>
        <w:ind w:left="-426" w:right="51"/>
        <w:contextualSpacing/>
        <w:rPr>
          <w:rFonts w:ascii="Arial Negrita" w:hAnsi="Arial Negrita"/>
          <w:b/>
          <w:bCs/>
          <w:smallCaps/>
          <w:noProof/>
          <w:lang w:eastAsia="es-MX"/>
        </w:rPr>
      </w:pPr>
      <w:r w:rsidRPr="00337FFC">
        <w:rPr>
          <w:rFonts w:ascii="Arial Negrita" w:hAnsi="Arial Negrita"/>
          <w:b/>
          <w:bCs/>
          <w:smallCaps/>
          <w:noProof/>
          <w:lang w:eastAsia="es-MX"/>
        </w:rPr>
        <w:t>Aspectos metodol</w:t>
      </w:r>
      <w:r w:rsidR="00514C69">
        <w:rPr>
          <w:rFonts w:ascii="Arial Negrita" w:hAnsi="Arial Negrita"/>
          <w:b/>
          <w:bCs/>
          <w:smallCaps/>
          <w:noProof/>
          <w:lang w:eastAsia="es-MX"/>
        </w:rPr>
        <w:t>óg</w:t>
      </w:r>
      <w:r w:rsidRPr="00337FFC">
        <w:rPr>
          <w:rFonts w:ascii="Arial Negrita" w:hAnsi="Arial Negrita"/>
          <w:b/>
          <w:bCs/>
          <w:smallCaps/>
          <w:noProof/>
          <w:lang w:eastAsia="es-MX"/>
        </w:rPr>
        <w:t xml:space="preserve">icos </w:t>
      </w:r>
    </w:p>
    <w:p w14:paraId="3B73FF75" w14:textId="6C1C00FF" w:rsidR="005148F0" w:rsidRPr="006D30D9" w:rsidRDefault="005148F0">
      <w:pPr>
        <w:ind w:left="-426" w:right="51"/>
        <w:contextualSpacing/>
        <w:rPr>
          <w:b/>
          <w:bCs/>
          <w:noProof/>
          <w:lang w:eastAsia="es-MX"/>
        </w:rPr>
      </w:pPr>
    </w:p>
    <w:p w14:paraId="095F1A25" w14:textId="4C86438D" w:rsidR="005148F0" w:rsidRPr="006D30D9" w:rsidRDefault="005148F0">
      <w:pPr>
        <w:ind w:left="-426" w:right="51"/>
        <w:contextualSpacing/>
        <w:rPr>
          <w:noProof/>
          <w:lang w:eastAsia="es-MX"/>
        </w:rPr>
      </w:pPr>
      <w:r w:rsidRPr="006D30D9">
        <w:rPr>
          <w:noProof/>
          <w:lang w:eastAsia="es-MX"/>
        </w:rPr>
        <w:t>La EAT genera información estadística básica, de manera oportuna y permanente</w:t>
      </w:r>
      <w:r w:rsidR="00D86D0D">
        <w:rPr>
          <w:noProof/>
          <w:lang w:eastAsia="es-MX"/>
        </w:rPr>
        <w:t>,</w:t>
      </w:r>
      <w:r w:rsidRPr="006D30D9">
        <w:rPr>
          <w:noProof/>
          <w:lang w:eastAsia="es-MX"/>
        </w:rPr>
        <w:t xml:space="preserve"> sobre las actividades de transportes y los servicios relacionados</w:t>
      </w:r>
      <w:r w:rsidR="00514C69">
        <w:rPr>
          <w:noProof/>
          <w:lang w:eastAsia="es-MX"/>
        </w:rPr>
        <w:t>,</w:t>
      </w:r>
      <w:r w:rsidRPr="006D30D9">
        <w:rPr>
          <w:noProof/>
          <w:lang w:eastAsia="es-MX"/>
        </w:rPr>
        <w:t xml:space="preserve"> a nivel nacional</w:t>
      </w:r>
      <w:r w:rsidR="00514C69">
        <w:rPr>
          <w:noProof/>
          <w:lang w:eastAsia="es-MX"/>
        </w:rPr>
        <w:t>.</w:t>
      </w:r>
    </w:p>
    <w:p w14:paraId="6FA6F4A1" w14:textId="77777777" w:rsidR="005148F0" w:rsidRPr="006D30D9" w:rsidRDefault="005148F0">
      <w:pPr>
        <w:pStyle w:val="Default"/>
        <w:ind w:left="-426" w:right="51"/>
        <w:jc w:val="both"/>
      </w:pPr>
    </w:p>
    <w:p w14:paraId="3F1F5545" w14:textId="1D4A0E0A" w:rsidR="007604C1" w:rsidRDefault="007604C1" w:rsidP="00BC0BC5">
      <w:pPr>
        <w:pStyle w:val="Default"/>
        <w:ind w:left="-426" w:right="51"/>
        <w:jc w:val="both"/>
      </w:pPr>
      <w:r w:rsidRPr="006D30D9">
        <w:t xml:space="preserve">El transporte y los servicios relacionados </w:t>
      </w:r>
      <w:r w:rsidR="002F3C73">
        <w:t>con</w:t>
      </w:r>
      <w:r w:rsidRPr="006D30D9">
        <w:t xml:space="preserve"> esta actividad refleja</w:t>
      </w:r>
      <w:r w:rsidR="00997585">
        <w:t>n</w:t>
      </w:r>
      <w:r w:rsidRPr="006D30D9">
        <w:t xml:space="preserve"> el estado general de la economía</w:t>
      </w:r>
      <w:r w:rsidR="00D86D0D">
        <w:t xml:space="preserve">: </w:t>
      </w:r>
      <w:r w:rsidRPr="006D30D9">
        <w:t>representa, por una parte, la distribución de insumos para la producción</w:t>
      </w:r>
      <w:r w:rsidR="00D86D0D">
        <w:t xml:space="preserve">; </w:t>
      </w:r>
      <w:r w:rsidRPr="006D30D9">
        <w:t xml:space="preserve">por otra, la distribución de la producción entre </w:t>
      </w:r>
      <w:r w:rsidR="00D86D0D">
        <w:t xml:space="preserve">las y </w:t>
      </w:r>
      <w:r w:rsidRPr="006D30D9">
        <w:t>los consumidores finales</w:t>
      </w:r>
      <w:r w:rsidR="002F3C73">
        <w:t xml:space="preserve">. </w:t>
      </w:r>
      <w:r w:rsidR="00BC0BC5">
        <w:t xml:space="preserve">Ejemplo de lo anterior es el turismo, que es </w:t>
      </w:r>
      <w:r w:rsidRPr="006D30D9">
        <w:t>un indicador</w:t>
      </w:r>
      <w:r w:rsidR="002F3C73">
        <w:t xml:space="preserve"> que se relaciona </w:t>
      </w:r>
      <w:r w:rsidRPr="006D30D9">
        <w:t xml:space="preserve">directamente </w:t>
      </w:r>
      <w:r w:rsidR="00BC0BC5">
        <w:t xml:space="preserve">con el </w:t>
      </w:r>
      <w:r w:rsidR="002F3C73">
        <w:t>sector Transporte</w:t>
      </w:r>
      <w:r w:rsidR="00BC0BC5">
        <w:t xml:space="preserve">. Por esto, </w:t>
      </w:r>
      <w:r w:rsidRPr="006D30D9">
        <w:t>el estudio del sector 48-49 del SCIAN proporciona elementos</w:t>
      </w:r>
      <w:r w:rsidR="00A953D8">
        <w:t xml:space="preserve"> </w:t>
      </w:r>
      <w:r w:rsidR="00BC0BC5">
        <w:t>torales</w:t>
      </w:r>
      <w:r w:rsidRPr="006D30D9">
        <w:t xml:space="preserve"> para la comprensión de la coyuntura y estructura operativa del país.</w:t>
      </w:r>
    </w:p>
    <w:p w14:paraId="182D9DF7" w14:textId="77777777" w:rsidR="00FB001C" w:rsidRPr="00646299" w:rsidRDefault="00FB001C">
      <w:pPr>
        <w:pStyle w:val="Default"/>
        <w:ind w:left="-426" w:right="51"/>
        <w:jc w:val="both"/>
        <w:rPr>
          <w:lang w:eastAsia="en-US"/>
        </w:rPr>
      </w:pPr>
    </w:p>
    <w:p w14:paraId="1A506580" w14:textId="1081D8DA" w:rsidR="00C86D89" w:rsidRPr="006D30D9" w:rsidRDefault="00C86D89" w:rsidP="00337FFC">
      <w:pPr>
        <w:pStyle w:val="Pa8"/>
        <w:spacing w:line="240" w:lineRule="auto"/>
        <w:ind w:left="-426" w:right="51"/>
        <w:jc w:val="both"/>
        <w:rPr>
          <w:lang w:val="es-ES_tradnl" w:eastAsia="es-MX"/>
        </w:rPr>
      </w:pPr>
      <w:r w:rsidRPr="006D30D9">
        <w:rPr>
          <w:lang w:val="es-ES_tradnl" w:eastAsia="es-MX"/>
        </w:rPr>
        <w:t xml:space="preserve">La unidad de observación </w:t>
      </w:r>
      <w:r w:rsidR="007604C1" w:rsidRPr="006D30D9">
        <w:rPr>
          <w:lang w:val="es-ES_tradnl" w:eastAsia="es-MX"/>
        </w:rPr>
        <w:t xml:space="preserve">en la EAT </w:t>
      </w:r>
      <w:r w:rsidRPr="006D30D9">
        <w:rPr>
          <w:lang w:val="es-ES_tradnl" w:eastAsia="es-MX"/>
        </w:rPr>
        <w:t xml:space="preserve">es </w:t>
      </w:r>
      <w:r w:rsidR="00B92C6A" w:rsidRPr="006D30D9">
        <w:rPr>
          <w:lang w:val="es-ES_tradnl" w:eastAsia="es-MX"/>
        </w:rPr>
        <w:t>la empresa</w:t>
      </w:r>
      <w:r w:rsidR="002F3C73">
        <w:rPr>
          <w:lang w:val="es-ES_tradnl" w:eastAsia="es-MX"/>
        </w:rPr>
        <w:t>. L</w:t>
      </w:r>
      <w:r w:rsidRPr="006D30D9">
        <w:rPr>
          <w:lang w:val="es-ES_tradnl" w:eastAsia="es-MX"/>
        </w:rPr>
        <w:t xml:space="preserve">a cobertura sectorial corresponde a </w:t>
      </w:r>
      <w:r w:rsidR="00B92C6A" w:rsidRPr="006D30D9">
        <w:rPr>
          <w:lang w:val="es-ES_tradnl" w:eastAsia="es-MX"/>
        </w:rPr>
        <w:t>13 dominios</w:t>
      </w:r>
      <w:r w:rsidR="003D06B2" w:rsidRPr="006D30D9">
        <w:rPr>
          <w:lang w:val="es-ES_tradnl" w:eastAsia="es-MX"/>
        </w:rPr>
        <w:t xml:space="preserve"> de estudio (dos probabilísticos, el subsector 484 </w:t>
      </w:r>
      <w:r w:rsidR="003D06B2" w:rsidRPr="00337FFC">
        <w:rPr>
          <w:i/>
          <w:lang w:val="es-ES_tradnl" w:eastAsia="es-MX"/>
        </w:rPr>
        <w:t>Autotransporte de carga</w:t>
      </w:r>
      <w:r w:rsidR="003D06B2" w:rsidRPr="006D30D9">
        <w:rPr>
          <w:lang w:val="es-ES_tradnl" w:eastAsia="es-MX"/>
        </w:rPr>
        <w:t xml:space="preserve"> y la clase de actividad 485111 </w:t>
      </w:r>
      <w:r w:rsidR="003D06B2" w:rsidRPr="00337FFC">
        <w:rPr>
          <w:i/>
          <w:lang w:val="es-ES_tradnl" w:eastAsia="es-MX"/>
        </w:rPr>
        <w:t>Transporte colectivo urbano y suburbano de pasajeros en autobuses de ruta fija</w:t>
      </w:r>
      <w:r w:rsidR="003D06B2" w:rsidRPr="006D30D9">
        <w:rPr>
          <w:lang w:val="es-ES_tradnl" w:eastAsia="es-MX"/>
        </w:rPr>
        <w:t xml:space="preserve"> y </w:t>
      </w:r>
      <w:r w:rsidR="002A5495" w:rsidRPr="006D30D9">
        <w:rPr>
          <w:lang w:val="es-ES_tradnl" w:eastAsia="es-MX"/>
        </w:rPr>
        <w:t>11</w:t>
      </w:r>
      <w:r w:rsidR="003D06B2" w:rsidRPr="006D30D9">
        <w:rPr>
          <w:lang w:val="es-ES_tradnl" w:eastAsia="es-MX"/>
        </w:rPr>
        <w:t xml:space="preserve"> dominios de estudio no probabilísticos)</w:t>
      </w:r>
      <w:r w:rsidRPr="006D30D9">
        <w:rPr>
          <w:lang w:val="es-ES_tradnl" w:eastAsia="es-MX"/>
        </w:rPr>
        <w:t xml:space="preserve"> a nivel de clase</w:t>
      </w:r>
      <w:r w:rsidR="007604C1" w:rsidRPr="006D30D9">
        <w:rPr>
          <w:lang w:val="es-ES_tradnl" w:eastAsia="es-MX"/>
        </w:rPr>
        <w:t>,</w:t>
      </w:r>
      <w:r w:rsidRPr="006D30D9">
        <w:rPr>
          <w:lang w:val="es-ES_tradnl" w:eastAsia="es-MX"/>
        </w:rPr>
        <w:t xml:space="preserve"> rama</w:t>
      </w:r>
      <w:r w:rsidR="007604C1" w:rsidRPr="006D30D9">
        <w:rPr>
          <w:lang w:val="es-ES_tradnl" w:eastAsia="es-MX"/>
        </w:rPr>
        <w:t xml:space="preserve"> o subsector</w:t>
      </w:r>
      <w:r w:rsidRPr="006D30D9">
        <w:rPr>
          <w:lang w:val="es-ES_tradnl" w:eastAsia="es-MX"/>
        </w:rPr>
        <w:t xml:space="preserve">, de acuerdo con el </w:t>
      </w:r>
      <w:r w:rsidR="006D30D9">
        <w:rPr>
          <w:lang w:val="es-ES_tradnl" w:eastAsia="es-MX"/>
        </w:rPr>
        <w:t xml:space="preserve">SCIAN </w:t>
      </w:r>
      <w:r w:rsidRPr="006D30D9">
        <w:rPr>
          <w:lang w:val="es-ES_tradnl" w:eastAsia="es-MX"/>
        </w:rPr>
        <w:t xml:space="preserve">2013. </w:t>
      </w:r>
    </w:p>
    <w:p w14:paraId="0514B935" w14:textId="0711CDD2" w:rsidR="002A5495" w:rsidRPr="006D30D9" w:rsidRDefault="002A5495">
      <w:pPr>
        <w:pStyle w:val="Default"/>
        <w:ind w:left="-426" w:right="51"/>
        <w:rPr>
          <w:lang w:val="es-ES_tradnl"/>
        </w:rPr>
      </w:pPr>
    </w:p>
    <w:p w14:paraId="5111A12B" w14:textId="67AB8D6C" w:rsidR="002A5495" w:rsidRPr="006D30D9" w:rsidRDefault="002A5495">
      <w:pPr>
        <w:pStyle w:val="Default"/>
        <w:ind w:left="-426" w:right="51"/>
        <w:rPr>
          <w:rFonts w:eastAsiaTheme="minorHAnsi"/>
          <w:color w:val="auto"/>
          <w:lang w:val="es-ES_tradnl"/>
        </w:rPr>
      </w:pPr>
      <w:r w:rsidRPr="006D30D9">
        <w:rPr>
          <w:rFonts w:eastAsiaTheme="minorHAnsi"/>
          <w:color w:val="auto"/>
          <w:lang w:val="es-ES_tradnl"/>
        </w:rPr>
        <w:t xml:space="preserve">Los parámetros de diseño estadístico </w:t>
      </w:r>
      <w:r w:rsidR="00A031AD">
        <w:rPr>
          <w:rFonts w:eastAsiaTheme="minorHAnsi"/>
          <w:color w:val="auto"/>
          <w:lang w:val="es-ES_tradnl"/>
        </w:rPr>
        <w:t>fueron</w:t>
      </w:r>
      <w:r w:rsidRPr="006D30D9">
        <w:rPr>
          <w:rFonts w:eastAsiaTheme="minorHAnsi"/>
          <w:color w:val="auto"/>
          <w:lang w:val="es-ES_tradnl"/>
        </w:rPr>
        <w:t>:</w:t>
      </w:r>
    </w:p>
    <w:p w14:paraId="3E583D26" w14:textId="5A2EB864" w:rsidR="002A5495" w:rsidRPr="006D30D9" w:rsidRDefault="002A5495">
      <w:pPr>
        <w:pStyle w:val="Default"/>
        <w:ind w:left="-426" w:right="51"/>
        <w:rPr>
          <w:rFonts w:eastAsiaTheme="minorHAnsi"/>
          <w:color w:val="auto"/>
          <w:lang w:val="es-ES_tradnl"/>
        </w:rPr>
      </w:pPr>
    </w:p>
    <w:p w14:paraId="4D64A925" w14:textId="150B0E7A" w:rsidR="002A5495" w:rsidRPr="006D30D9" w:rsidRDefault="002A5495">
      <w:pPr>
        <w:pStyle w:val="Default"/>
        <w:numPr>
          <w:ilvl w:val="0"/>
          <w:numId w:val="34"/>
        </w:numPr>
        <w:ind w:left="-142" w:right="193" w:hanging="284"/>
        <w:jc w:val="both"/>
        <w:rPr>
          <w:rFonts w:eastAsiaTheme="minorHAnsi"/>
          <w:color w:val="auto"/>
          <w:lang w:val="es-ES_tradnl"/>
        </w:rPr>
      </w:pPr>
      <w:r w:rsidRPr="006D30D9">
        <w:rPr>
          <w:rFonts w:eastAsiaTheme="minorHAnsi"/>
          <w:color w:val="auto"/>
          <w:lang w:val="es-ES_tradnl"/>
        </w:rPr>
        <w:t>Probabilístico</w:t>
      </w:r>
      <w:r w:rsidR="00BC0BC5">
        <w:rPr>
          <w:rFonts w:eastAsiaTheme="minorHAnsi"/>
          <w:color w:val="auto"/>
          <w:lang w:val="es-ES_tradnl"/>
        </w:rPr>
        <w:t>.</w:t>
      </w:r>
      <w:r w:rsidRPr="006D30D9">
        <w:rPr>
          <w:rFonts w:eastAsiaTheme="minorHAnsi"/>
          <w:color w:val="auto"/>
          <w:lang w:val="es-ES_tradnl"/>
        </w:rPr>
        <w:t xml:space="preserve"> </w:t>
      </w:r>
      <w:r w:rsidR="00BC0BC5">
        <w:rPr>
          <w:rFonts w:eastAsiaTheme="minorHAnsi"/>
          <w:color w:val="auto"/>
          <w:lang w:val="es-ES_tradnl"/>
        </w:rPr>
        <w:t>N</w:t>
      </w:r>
      <w:r w:rsidR="006D0511" w:rsidRPr="006D30D9">
        <w:rPr>
          <w:rFonts w:eastAsiaTheme="minorHAnsi"/>
          <w:color w:val="auto"/>
          <w:lang w:val="es-ES_tradnl"/>
        </w:rPr>
        <w:t>ivel de confianza de 95</w:t>
      </w:r>
      <w:r w:rsidR="00A031AD">
        <w:rPr>
          <w:rFonts w:eastAsiaTheme="minorHAnsi"/>
          <w:color w:val="auto"/>
          <w:lang w:val="es-ES_tradnl"/>
        </w:rPr>
        <w:t xml:space="preserve"> </w:t>
      </w:r>
      <w:r w:rsidR="006D0511" w:rsidRPr="006D30D9">
        <w:rPr>
          <w:rFonts w:eastAsiaTheme="minorHAnsi"/>
          <w:color w:val="auto"/>
          <w:lang w:val="es-ES_tradnl"/>
        </w:rPr>
        <w:t>%, una tasa de no respuesta esperada de 15</w:t>
      </w:r>
      <w:r w:rsidR="00A031AD">
        <w:rPr>
          <w:rFonts w:eastAsiaTheme="minorHAnsi"/>
          <w:color w:val="auto"/>
          <w:lang w:val="es-ES_tradnl"/>
        </w:rPr>
        <w:t xml:space="preserve"> </w:t>
      </w:r>
      <w:r w:rsidR="006D0511" w:rsidRPr="006D30D9">
        <w:rPr>
          <w:rFonts w:eastAsiaTheme="minorHAnsi"/>
          <w:color w:val="auto"/>
          <w:lang w:val="es-ES_tradnl"/>
        </w:rPr>
        <w:t>% y un error relativo de 10</w:t>
      </w:r>
      <w:r w:rsidR="006D30D9">
        <w:rPr>
          <w:rFonts w:eastAsiaTheme="minorHAnsi"/>
          <w:color w:val="auto"/>
          <w:lang w:val="es-ES_tradnl"/>
        </w:rPr>
        <w:t xml:space="preserve"> por ciento</w:t>
      </w:r>
      <w:r w:rsidR="006D0511" w:rsidRPr="006D30D9">
        <w:rPr>
          <w:rFonts w:eastAsiaTheme="minorHAnsi"/>
          <w:color w:val="auto"/>
          <w:lang w:val="es-ES_tradnl"/>
        </w:rPr>
        <w:t>.</w:t>
      </w:r>
    </w:p>
    <w:p w14:paraId="4B0C2E28" w14:textId="6437202E" w:rsidR="006D0511" w:rsidRDefault="006D0511" w:rsidP="00A031AD">
      <w:pPr>
        <w:pStyle w:val="Default"/>
        <w:numPr>
          <w:ilvl w:val="0"/>
          <w:numId w:val="34"/>
        </w:numPr>
        <w:ind w:left="-142" w:right="193" w:hanging="284"/>
        <w:jc w:val="both"/>
        <w:rPr>
          <w:rFonts w:eastAsiaTheme="minorHAnsi"/>
          <w:color w:val="auto"/>
          <w:lang w:val="es-ES_tradnl"/>
        </w:rPr>
      </w:pPr>
      <w:r w:rsidRPr="006D30D9">
        <w:rPr>
          <w:rFonts w:eastAsiaTheme="minorHAnsi"/>
          <w:color w:val="auto"/>
          <w:lang w:val="es-ES_tradnl"/>
        </w:rPr>
        <w:t>No probabilístico</w:t>
      </w:r>
      <w:r w:rsidR="00BC0BC5">
        <w:rPr>
          <w:rFonts w:eastAsiaTheme="minorHAnsi"/>
          <w:color w:val="auto"/>
          <w:lang w:val="es-ES_tradnl"/>
        </w:rPr>
        <w:t>.</w:t>
      </w:r>
      <w:r w:rsidRPr="006D30D9">
        <w:rPr>
          <w:rFonts w:eastAsiaTheme="minorHAnsi"/>
          <w:color w:val="auto"/>
          <w:lang w:val="es-ES_tradnl"/>
        </w:rPr>
        <w:t xml:space="preserve"> Cobertura alta. Corresponde a los dominios cuya cobertura en ingresos es mayor o igual a 80</w:t>
      </w:r>
      <w:r w:rsidR="006D30D9">
        <w:rPr>
          <w:rFonts w:eastAsiaTheme="minorHAnsi"/>
          <w:color w:val="auto"/>
          <w:lang w:val="es-ES_tradnl"/>
        </w:rPr>
        <w:t xml:space="preserve"> por ciento</w:t>
      </w:r>
      <w:r w:rsidRPr="006D30D9">
        <w:rPr>
          <w:rFonts w:eastAsiaTheme="minorHAnsi"/>
          <w:color w:val="auto"/>
          <w:lang w:val="es-ES_tradnl"/>
        </w:rPr>
        <w:t>.</w:t>
      </w:r>
    </w:p>
    <w:p w14:paraId="2DA48548" w14:textId="77777777" w:rsidR="00A031AD" w:rsidRPr="006D30D9" w:rsidRDefault="00A031AD" w:rsidP="00337FFC">
      <w:pPr>
        <w:pStyle w:val="Default"/>
        <w:ind w:left="-142" w:right="193"/>
        <w:jc w:val="both"/>
        <w:rPr>
          <w:rFonts w:eastAsiaTheme="minorHAnsi"/>
          <w:color w:val="auto"/>
          <w:lang w:val="es-ES_tradnl"/>
        </w:rPr>
      </w:pPr>
    </w:p>
    <w:p w14:paraId="3BE4BBC2" w14:textId="52350F13" w:rsidR="00C86D89" w:rsidRPr="006D30D9" w:rsidRDefault="00C86D89" w:rsidP="00337FFC">
      <w:pPr>
        <w:pStyle w:val="Prrafodelista"/>
        <w:autoSpaceDE w:val="0"/>
        <w:autoSpaceDN w:val="0"/>
        <w:adjustRightInd w:val="0"/>
        <w:ind w:left="-567" w:right="51"/>
        <w:contextualSpacing/>
        <w:jc w:val="left"/>
        <w:rPr>
          <w:lang w:eastAsia="es-MX"/>
        </w:rPr>
      </w:pPr>
      <w:r w:rsidRPr="006D30D9">
        <w:rPr>
          <w:lang w:eastAsia="es-MX"/>
        </w:rPr>
        <w:t>La cobertura temática que cubre el programa estadístico</w:t>
      </w:r>
      <w:r w:rsidR="00A031AD">
        <w:rPr>
          <w:lang w:eastAsia="es-MX"/>
        </w:rPr>
        <w:t xml:space="preserve"> la</w:t>
      </w:r>
      <w:r w:rsidRPr="006D30D9">
        <w:rPr>
          <w:lang w:eastAsia="es-MX"/>
        </w:rPr>
        <w:t xml:space="preserve"> integr</w:t>
      </w:r>
      <w:r w:rsidR="00A031AD">
        <w:rPr>
          <w:lang w:eastAsia="es-MX"/>
        </w:rPr>
        <w:t>an</w:t>
      </w:r>
      <w:r w:rsidRPr="006D30D9">
        <w:rPr>
          <w:lang w:eastAsia="es-MX"/>
        </w:rPr>
        <w:t xml:space="preserve"> los siguientes capítulos:</w:t>
      </w:r>
      <w:r w:rsidR="003055D2" w:rsidRPr="006D30D9">
        <w:rPr>
          <w:lang w:eastAsia="es-MX"/>
        </w:rPr>
        <w:tab/>
      </w:r>
      <w:r w:rsidR="00A031AD">
        <w:rPr>
          <w:lang w:eastAsia="es-MX"/>
        </w:rPr>
        <w:t xml:space="preserve"> </w:t>
      </w:r>
    </w:p>
    <w:p w14:paraId="49D6DEA7" w14:textId="77777777" w:rsidR="00FB001C" w:rsidRDefault="00FB001C">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 xml:space="preserve">Personal dependiente de la razón social </w:t>
      </w:r>
    </w:p>
    <w:p w14:paraId="5103CAFB" w14:textId="63839423" w:rsidR="00C86D89" w:rsidRPr="006D30D9" w:rsidRDefault="00C86D89" w:rsidP="00337FFC">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Personal no dependiente de la razón social</w:t>
      </w:r>
    </w:p>
    <w:p w14:paraId="62BD1679" w14:textId="05BE49C7" w:rsidR="003055D2" w:rsidRPr="006D30D9" w:rsidRDefault="003055D2" w:rsidP="00337FFC">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Capacitación</w:t>
      </w:r>
    </w:p>
    <w:p w14:paraId="198EE04B" w14:textId="7021018D" w:rsidR="00C86D89" w:rsidRPr="006D30D9" w:rsidRDefault="00C86D89" w:rsidP="00337FFC">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Remuneraciones</w:t>
      </w:r>
    </w:p>
    <w:p w14:paraId="3D456925" w14:textId="3F380F2D" w:rsidR="003055D2" w:rsidRPr="006D30D9" w:rsidRDefault="003055D2" w:rsidP="00337FFC">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Consumo de bienes y servicios</w:t>
      </w:r>
    </w:p>
    <w:p w14:paraId="64AAFB3A" w14:textId="56D9B222" w:rsidR="003055D2" w:rsidRPr="006D30D9" w:rsidRDefault="003055D2" w:rsidP="00337FFC">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Gastos por comercio electrónico</w:t>
      </w:r>
    </w:p>
    <w:p w14:paraId="193F604F" w14:textId="77777777" w:rsidR="00C86D89" w:rsidRPr="006D30D9" w:rsidRDefault="00C86D89" w:rsidP="00337FFC">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Gastos fiscales, financieros y donaciones</w:t>
      </w:r>
    </w:p>
    <w:p w14:paraId="2F5E7FFB" w14:textId="040B5079" w:rsidR="00C86D89" w:rsidRPr="006D30D9" w:rsidRDefault="00C86D89" w:rsidP="00337FFC">
      <w:pPr>
        <w:pStyle w:val="Pa8"/>
        <w:numPr>
          <w:ilvl w:val="0"/>
          <w:numId w:val="23"/>
        </w:numPr>
        <w:spacing w:line="240" w:lineRule="auto"/>
        <w:ind w:left="-426" w:right="51" w:firstLine="0"/>
        <w:jc w:val="both"/>
        <w:rPr>
          <w:lang w:val="es-ES_tradnl" w:eastAsia="es-MX"/>
        </w:rPr>
      </w:pPr>
      <w:r w:rsidRPr="006D30D9">
        <w:rPr>
          <w:lang w:val="es-ES_tradnl" w:eastAsia="es-MX"/>
        </w:rPr>
        <w:t>Ingresos por suministro de bienes y servicios</w:t>
      </w:r>
    </w:p>
    <w:p w14:paraId="411AD83F" w14:textId="7025AC32" w:rsidR="003055D2" w:rsidRPr="006D30D9" w:rsidRDefault="003055D2" w:rsidP="00337FFC">
      <w:pPr>
        <w:pStyle w:val="Pa8"/>
        <w:numPr>
          <w:ilvl w:val="0"/>
          <w:numId w:val="23"/>
        </w:numPr>
        <w:spacing w:line="240" w:lineRule="auto"/>
        <w:ind w:left="-426" w:right="51" w:firstLine="0"/>
        <w:jc w:val="both"/>
        <w:rPr>
          <w:lang w:val="es-ES_tradnl" w:eastAsia="es-MX"/>
        </w:rPr>
      </w:pPr>
      <w:r w:rsidRPr="006D30D9">
        <w:rPr>
          <w:lang w:val="es-ES_tradnl" w:eastAsia="es-MX"/>
        </w:rPr>
        <w:t>Ingresos por comercio electrónico</w:t>
      </w:r>
    </w:p>
    <w:p w14:paraId="704BFE43" w14:textId="054E0156" w:rsidR="003055D2" w:rsidRPr="006D30D9" w:rsidRDefault="003055D2" w:rsidP="00337FFC">
      <w:pPr>
        <w:pStyle w:val="Pa8"/>
        <w:numPr>
          <w:ilvl w:val="0"/>
          <w:numId w:val="23"/>
        </w:numPr>
        <w:spacing w:line="240" w:lineRule="auto"/>
        <w:ind w:left="-426" w:right="51" w:firstLine="0"/>
        <w:jc w:val="both"/>
        <w:rPr>
          <w:lang w:val="es-ES_tradnl" w:eastAsia="es-MX"/>
        </w:rPr>
      </w:pPr>
      <w:r w:rsidRPr="006D30D9">
        <w:rPr>
          <w:lang w:val="es-ES_tradnl" w:eastAsia="es-MX"/>
        </w:rPr>
        <w:t>Ingresos financieros, subsidios y donaciones</w:t>
      </w:r>
    </w:p>
    <w:p w14:paraId="57608C62" w14:textId="77777777" w:rsidR="00C86D89" w:rsidRPr="006D30D9" w:rsidRDefault="00C86D89" w:rsidP="00337FFC">
      <w:pPr>
        <w:pStyle w:val="Default"/>
        <w:numPr>
          <w:ilvl w:val="0"/>
          <w:numId w:val="23"/>
        </w:numPr>
        <w:ind w:left="-426" w:right="51" w:firstLine="0"/>
        <w:rPr>
          <w:lang w:val="es-ES_tradnl"/>
        </w:rPr>
      </w:pPr>
      <w:r w:rsidRPr="006D30D9">
        <w:rPr>
          <w:lang w:val="es-ES_tradnl"/>
        </w:rPr>
        <w:t>Activos fijos a valor presente o costo de reposición</w:t>
      </w:r>
    </w:p>
    <w:p w14:paraId="2DF68164" w14:textId="1C95FFA2" w:rsidR="00C86D89" w:rsidRPr="006D30D9" w:rsidRDefault="00C86D89" w:rsidP="00337FFC">
      <w:pPr>
        <w:pStyle w:val="Default"/>
        <w:numPr>
          <w:ilvl w:val="0"/>
          <w:numId w:val="23"/>
        </w:numPr>
        <w:ind w:left="-426" w:right="51" w:firstLine="0"/>
        <w:rPr>
          <w:lang w:val="es-ES_tradnl"/>
        </w:rPr>
      </w:pPr>
      <w:r w:rsidRPr="006D30D9">
        <w:rPr>
          <w:lang w:val="es-ES_tradnl"/>
        </w:rPr>
        <w:t>Clasificación económica</w:t>
      </w:r>
    </w:p>
    <w:p w14:paraId="417CB6F4" w14:textId="52D2EE0E" w:rsidR="003055D2" w:rsidRPr="006D30D9" w:rsidRDefault="003055D2" w:rsidP="00337FFC">
      <w:pPr>
        <w:pStyle w:val="Default"/>
        <w:numPr>
          <w:ilvl w:val="0"/>
          <w:numId w:val="23"/>
        </w:numPr>
        <w:ind w:left="-426" w:right="51" w:firstLine="0"/>
        <w:rPr>
          <w:lang w:val="es-ES_tradnl"/>
        </w:rPr>
      </w:pPr>
      <w:r w:rsidRPr="006D30D9">
        <w:rPr>
          <w:lang w:val="es-ES_tradnl"/>
        </w:rPr>
        <w:t>Características generales</w:t>
      </w:r>
      <w:r w:rsidR="00D7409D" w:rsidRPr="006D30D9">
        <w:rPr>
          <w:lang w:val="es-ES_tradnl"/>
        </w:rPr>
        <w:t xml:space="preserve"> de la empresa</w:t>
      </w:r>
    </w:p>
    <w:p w14:paraId="01036016" w14:textId="26FCB73E" w:rsidR="00D7409D" w:rsidRPr="006D30D9" w:rsidRDefault="00D7409D" w:rsidP="00337FFC">
      <w:pPr>
        <w:pStyle w:val="Default"/>
        <w:numPr>
          <w:ilvl w:val="0"/>
          <w:numId w:val="23"/>
        </w:numPr>
        <w:ind w:left="-426" w:right="51" w:firstLine="0"/>
        <w:rPr>
          <w:lang w:val="es-ES_tradnl"/>
        </w:rPr>
      </w:pPr>
      <w:r w:rsidRPr="006D30D9">
        <w:rPr>
          <w:lang w:val="es-ES_tradnl"/>
        </w:rPr>
        <w:t>Características generales del servicio de transporte</w:t>
      </w:r>
    </w:p>
    <w:p w14:paraId="6DFB37C6" w14:textId="0CF9A83E" w:rsidR="00D7409D" w:rsidRPr="006D30D9" w:rsidRDefault="00D7409D" w:rsidP="00337FFC">
      <w:pPr>
        <w:pStyle w:val="Default"/>
        <w:numPr>
          <w:ilvl w:val="0"/>
          <w:numId w:val="23"/>
        </w:numPr>
        <w:ind w:left="-426" w:right="51" w:firstLine="0"/>
        <w:rPr>
          <w:lang w:val="es-ES_tradnl"/>
        </w:rPr>
      </w:pPr>
      <w:r w:rsidRPr="006D30D9">
        <w:rPr>
          <w:lang w:val="es-ES_tradnl"/>
        </w:rPr>
        <w:lastRenderedPageBreak/>
        <w:t>Parque vehicular para la prestación del servicio</w:t>
      </w:r>
    </w:p>
    <w:p w14:paraId="15DECDA7" w14:textId="71CB48E2" w:rsidR="00D7409D" w:rsidRDefault="00D7409D">
      <w:pPr>
        <w:pStyle w:val="Default"/>
        <w:numPr>
          <w:ilvl w:val="0"/>
          <w:numId w:val="23"/>
        </w:numPr>
        <w:ind w:left="-426" w:right="51" w:firstLine="0"/>
        <w:rPr>
          <w:lang w:val="es-ES_tradnl"/>
        </w:rPr>
      </w:pPr>
      <w:r w:rsidRPr="006D30D9">
        <w:rPr>
          <w:lang w:val="es-ES_tradnl"/>
        </w:rPr>
        <w:t>Origen y destino</w:t>
      </w:r>
    </w:p>
    <w:p w14:paraId="1EB80B67" w14:textId="77777777" w:rsidR="00FB001C" w:rsidRPr="006D30D9" w:rsidRDefault="00FB001C" w:rsidP="00337FFC">
      <w:pPr>
        <w:pStyle w:val="Default"/>
        <w:ind w:left="-426" w:right="51"/>
        <w:rPr>
          <w:lang w:val="es-ES_tradnl"/>
        </w:rPr>
      </w:pPr>
    </w:p>
    <w:p w14:paraId="54D51EFF" w14:textId="31DA77F4" w:rsidR="00A9621D" w:rsidRDefault="00BC0BC5">
      <w:pPr>
        <w:autoSpaceDE w:val="0"/>
        <w:autoSpaceDN w:val="0"/>
        <w:adjustRightInd w:val="0"/>
        <w:ind w:left="-426" w:right="51"/>
        <w:rPr>
          <w:lang w:eastAsia="es-MX"/>
        </w:rPr>
      </w:pPr>
      <w:r>
        <w:rPr>
          <w:lang w:eastAsia="es-MX"/>
        </w:rPr>
        <w:t xml:space="preserve">Nótese que </w:t>
      </w:r>
      <w:r w:rsidR="00A9621D" w:rsidRPr="00C711E1">
        <w:rPr>
          <w:lang w:eastAsia="es-MX"/>
        </w:rPr>
        <w:t>el personal ocupado que se report</w:t>
      </w:r>
      <w:r w:rsidR="00FB001C">
        <w:rPr>
          <w:lang w:eastAsia="es-MX"/>
        </w:rPr>
        <w:t>ó</w:t>
      </w:r>
      <w:r w:rsidR="00A9621D" w:rsidRPr="00C711E1">
        <w:rPr>
          <w:lang w:eastAsia="es-MX"/>
        </w:rPr>
        <w:t xml:space="preserve"> en este programa estadístico es conceptualmente diferente al que se obtiene con la definición de puestos de trabajo afiliados al Instituto Mexicano del Seguro Social (IMSS). Para mayores detalles, consúltese la sección metadatos de la EAT: </w:t>
      </w:r>
      <w:hyperlink r:id="rId28" w:history="1">
        <w:r w:rsidR="00A9621D" w:rsidRPr="00C711E1">
          <w:rPr>
            <w:rStyle w:val="Hipervnculo"/>
            <w:lang w:eastAsia="es-MX"/>
          </w:rPr>
          <w:t>https://www.inegi.org.mx/rnm/index.php/catalog/628</w:t>
        </w:r>
      </w:hyperlink>
      <w:r w:rsidR="00A9621D" w:rsidRPr="00C711E1">
        <w:rPr>
          <w:lang w:eastAsia="es-MX"/>
        </w:rPr>
        <w:t xml:space="preserve"> </w:t>
      </w:r>
    </w:p>
    <w:p w14:paraId="6A234C8D" w14:textId="77777777" w:rsidR="00FB001C" w:rsidRPr="00C711E1" w:rsidRDefault="00FB001C" w:rsidP="00337FFC">
      <w:pPr>
        <w:autoSpaceDE w:val="0"/>
        <w:autoSpaceDN w:val="0"/>
        <w:adjustRightInd w:val="0"/>
        <w:ind w:left="-426" w:right="51"/>
        <w:rPr>
          <w:shd w:val="clear" w:color="auto" w:fill="FFFFFF" w:themeFill="background1"/>
        </w:rPr>
      </w:pPr>
    </w:p>
    <w:p w14:paraId="0D7AC56C" w14:textId="6EB44860" w:rsidR="00787FC0" w:rsidRDefault="00787FC0">
      <w:pPr>
        <w:autoSpaceDE w:val="0"/>
        <w:autoSpaceDN w:val="0"/>
        <w:adjustRightInd w:val="0"/>
        <w:ind w:left="-426" w:right="51"/>
        <w:rPr>
          <w:shd w:val="clear" w:color="auto" w:fill="FFFFFF" w:themeFill="background1"/>
        </w:rPr>
      </w:pPr>
      <w:r w:rsidRPr="006D30D9">
        <w:rPr>
          <w:shd w:val="clear" w:color="auto" w:fill="FFFFFF" w:themeFill="background1"/>
        </w:rPr>
        <w:t>As</w:t>
      </w:r>
      <w:r w:rsidR="00BC0BC5">
        <w:rPr>
          <w:shd w:val="clear" w:color="auto" w:fill="FFFFFF" w:themeFill="background1"/>
        </w:rPr>
        <w:t xml:space="preserve">imismo, </w:t>
      </w:r>
      <w:r w:rsidRPr="006D30D9">
        <w:rPr>
          <w:shd w:val="clear" w:color="auto" w:fill="FFFFFF" w:themeFill="background1"/>
        </w:rPr>
        <w:t xml:space="preserve">y </w:t>
      </w:r>
      <w:r w:rsidR="00BC0BC5">
        <w:rPr>
          <w:shd w:val="clear" w:color="auto" w:fill="FFFFFF" w:themeFill="background1"/>
        </w:rPr>
        <w:t xml:space="preserve">con base en </w:t>
      </w:r>
      <w:r w:rsidRPr="006D30D9">
        <w:rPr>
          <w:shd w:val="clear" w:color="auto" w:fill="FFFFFF" w:themeFill="background1"/>
        </w:rPr>
        <w:t xml:space="preserve">lo establecido por el Comité de Aseguramiento de la Calidad del Instituto, la información estadística </w:t>
      </w:r>
      <w:r w:rsidR="00FB001C">
        <w:rPr>
          <w:shd w:val="clear" w:color="auto" w:fill="FFFFFF" w:themeFill="background1"/>
        </w:rPr>
        <w:t>que se genera</w:t>
      </w:r>
      <w:r w:rsidRPr="006D30D9">
        <w:rPr>
          <w:shd w:val="clear" w:color="auto" w:fill="FFFFFF" w:themeFill="background1"/>
        </w:rPr>
        <w:t xml:space="preserve"> debe presentar sus </w:t>
      </w:r>
      <w:r w:rsidR="00BC0BC5">
        <w:rPr>
          <w:shd w:val="clear" w:color="auto" w:fill="FFFFFF" w:themeFill="background1"/>
        </w:rPr>
        <w:t>i</w:t>
      </w:r>
      <w:r w:rsidRPr="006D30D9">
        <w:rPr>
          <w:shd w:val="clear" w:color="auto" w:fill="FFFFFF" w:themeFill="background1"/>
        </w:rPr>
        <w:t xml:space="preserve">ndicadores de </w:t>
      </w:r>
      <w:r w:rsidR="00BC0BC5">
        <w:rPr>
          <w:shd w:val="clear" w:color="auto" w:fill="FFFFFF" w:themeFill="background1"/>
        </w:rPr>
        <w:t>p</w:t>
      </w:r>
      <w:r w:rsidRPr="006D30D9">
        <w:rPr>
          <w:shd w:val="clear" w:color="auto" w:fill="FFFFFF" w:themeFill="background1"/>
        </w:rPr>
        <w:t xml:space="preserve">recisión </w:t>
      </w:r>
      <w:r w:rsidR="00BC0BC5">
        <w:rPr>
          <w:shd w:val="clear" w:color="auto" w:fill="FFFFFF" w:themeFill="background1"/>
        </w:rPr>
        <w:t>e</w:t>
      </w:r>
      <w:r w:rsidRPr="006D30D9">
        <w:rPr>
          <w:shd w:val="clear" w:color="auto" w:fill="FFFFFF" w:themeFill="background1"/>
        </w:rPr>
        <w:t>stadística que</w:t>
      </w:r>
      <w:r w:rsidR="00BC0BC5">
        <w:rPr>
          <w:shd w:val="clear" w:color="auto" w:fill="FFFFFF" w:themeFill="background1"/>
        </w:rPr>
        <w:t>,</w:t>
      </w:r>
      <w:r w:rsidRPr="006D30D9">
        <w:rPr>
          <w:shd w:val="clear" w:color="auto" w:fill="FFFFFF" w:themeFill="background1"/>
        </w:rPr>
        <w:t xml:space="preserve"> para el caso de los dominios de estudio con diseño probabilístico</w:t>
      </w:r>
      <w:r w:rsidR="00BC0BC5">
        <w:rPr>
          <w:shd w:val="clear" w:color="auto" w:fill="FFFFFF" w:themeFill="background1"/>
        </w:rPr>
        <w:t>,</w:t>
      </w:r>
      <w:r w:rsidRPr="006D30D9">
        <w:rPr>
          <w:shd w:val="clear" w:color="auto" w:fill="FFFFFF" w:themeFill="background1"/>
        </w:rPr>
        <w:t xml:space="preserve"> son: coeficiente de variación, intervalo de confianza (límites inferior y superior), estimador y error estándar. Para los dominios no probabilísticos se presenta la cobertura porcentual sobre los ingresos.</w:t>
      </w:r>
    </w:p>
    <w:p w14:paraId="4FAE7AB2" w14:textId="77777777" w:rsidR="00FB001C" w:rsidRPr="006D30D9" w:rsidRDefault="00FB001C" w:rsidP="00337FFC">
      <w:pPr>
        <w:autoSpaceDE w:val="0"/>
        <w:autoSpaceDN w:val="0"/>
        <w:adjustRightInd w:val="0"/>
        <w:ind w:left="-426" w:right="51"/>
      </w:pPr>
    </w:p>
    <w:p w14:paraId="6615E8D0" w14:textId="258CAD3C" w:rsidR="00C86D89" w:rsidRPr="00BC0BC5" w:rsidRDefault="00C86D89">
      <w:pPr>
        <w:autoSpaceDE w:val="0"/>
        <w:autoSpaceDN w:val="0"/>
        <w:adjustRightInd w:val="0"/>
        <w:ind w:left="-426" w:right="51"/>
        <w:rPr>
          <w:shd w:val="clear" w:color="auto" w:fill="FFFFFF" w:themeFill="background1"/>
        </w:rPr>
      </w:pPr>
      <w:r w:rsidRPr="0029195A">
        <w:t>Se considera</w:t>
      </w:r>
      <w:r w:rsidR="00FB001C" w:rsidRPr="0029195A">
        <w:t>ro</w:t>
      </w:r>
      <w:r w:rsidRPr="0029195A">
        <w:t xml:space="preserve">n las recomendaciones internacionales sobre </w:t>
      </w:r>
      <w:r w:rsidR="0029195A" w:rsidRPr="00337FFC">
        <w:rPr>
          <w:color w:val="4D5156"/>
          <w:shd w:val="clear" w:color="auto" w:fill="FFFFFF"/>
        </w:rPr>
        <w:t>«</w:t>
      </w:r>
      <w:r w:rsidRPr="0029195A">
        <w:t xml:space="preserve">Estadísticas de Comercio, Distribución y </w:t>
      </w:r>
      <w:r w:rsidRPr="00BC0BC5">
        <w:t>Servicio</w:t>
      </w:r>
      <w:r w:rsidR="0029195A" w:rsidRPr="00ED3FCA">
        <w:rPr>
          <w:shd w:val="clear" w:color="auto" w:fill="FFFFFF"/>
        </w:rPr>
        <w:t>s»</w:t>
      </w:r>
      <w:r w:rsidRPr="00BC0BC5">
        <w:t xml:space="preserve"> de la Oficina de Estadística de las Naciones Unidas, Serie M, Número 57; de la </w:t>
      </w:r>
      <w:r w:rsidR="0029195A" w:rsidRPr="00ED3FCA">
        <w:rPr>
          <w:shd w:val="clear" w:color="auto" w:fill="FFFFFF"/>
        </w:rPr>
        <w:t>«</w:t>
      </w:r>
      <w:r w:rsidRPr="00BC0BC5">
        <w:t>Organización y Realización de Encuestas sobre Comercio y Distribución</w:t>
      </w:r>
      <w:r w:rsidR="0029195A" w:rsidRPr="00ED3FCA">
        <w:rPr>
          <w:shd w:val="clear" w:color="auto" w:fill="FFFFFF"/>
        </w:rPr>
        <w:t>»</w:t>
      </w:r>
      <w:r w:rsidRPr="00BC0BC5">
        <w:t xml:space="preserve"> de la Oficina de Estadística de las Naciones Unidas, Serie F, Número 19; el </w:t>
      </w:r>
      <w:r w:rsidRPr="00BC0BC5">
        <w:rPr>
          <w:shd w:val="clear" w:color="auto" w:fill="FFFFFF" w:themeFill="background1"/>
        </w:rPr>
        <w:t>SCIAN 2013</w:t>
      </w:r>
      <w:r w:rsidRPr="00BC0BC5">
        <w:rPr>
          <w:rStyle w:val="Refdenotaalpie"/>
          <w:shd w:val="clear" w:color="auto" w:fill="FFFFFF" w:themeFill="background1"/>
        </w:rPr>
        <w:footnoteReference w:id="2"/>
      </w:r>
      <w:r w:rsidRPr="00BC0BC5">
        <w:rPr>
          <w:shd w:val="clear" w:color="auto" w:fill="FFFFFF" w:themeFill="background1"/>
        </w:rPr>
        <w:t xml:space="preserve"> y la</w:t>
      </w:r>
      <w:r w:rsidR="0029195A" w:rsidRPr="00BC0BC5">
        <w:rPr>
          <w:shd w:val="clear" w:color="auto" w:fill="FFFFFF" w:themeFill="background1"/>
        </w:rPr>
        <w:t xml:space="preserve"> </w:t>
      </w:r>
      <w:r w:rsidR="0029195A" w:rsidRPr="00ED3FCA">
        <w:rPr>
          <w:shd w:val="clear" w:color="auto" w:fill="FFFFFF"/>
        </w:rPr>
        <w:t>«</w:t>
      </w:r>
      <w:r w:rsidRPr="00BC0BC5">
        <w:rPr>
          <w:shd w:val="clear" w:color="auto" w:fill="FFFFFF" w:themeFill="background1"/>
        </w:rPr>
        <w:t>Clasificación Industrial Internacional Uniforme de todas las Actividades Económicas (CIIU)</w:t>
      </w:r>
      <w:r w:rsidR="0029195A" w:rsidRPr="00ED3FCA">
        <w:rPr>
          <w:shd w:val="clear" w:color="auto" w:fill="FFFFFF"/>
        </w:rPr>
        <w:t>»</w:t>
      </w:r>
      <w:r w:rsidRPr="00BC0BC5">
        <w:rPr>
          <w:shd w:val="clear" w:color="auto" w:fill="FFFFFF" w:themeFill="background1"/>
        </w:rPr>
        <w:t xml:space="preserve"> en su cuarta revisión.</w:t>
      </w:r>
    </w:p>
    <w:p w14:paraId="45583138" w14:textId="77777777" w:rsidR="00FB001C" w:rsidRPr="006D30D9" w:rsidRDefault="00FB001C" w:rsidP="00337FFC">
      <w:pPr>
        <w:autoSpaceDE w:val="0"/>
        <w:autoSpaceDN w:val="0"/>
        <w:adjustRightInd w:val="0"/>
        <w:ind w:left="-426" w:right="51"/>
        <w:rPr>
          <w:shd w:val="clear" w:color="auto" w:fill="FFFFFF" w:themeFill="background1"/>
        </w:rPr>
      </w:pPr>
    </w:p>
    <w:p w14:paraId="35B94B88" w14:textId="77777777" w:rsidR="005E77EF" w:rsidRDefault="00C86D89" w:rsidP="00337FFC">
      <w:pPr>
        <w:keepNext/>
        <w:keepLines/>
        <w:ind w:left="-426" w:right="51"/>
      </w:pPr>
      <w:r w:rsidRPr="006D30D9">
        <w:t xml:space="preserve">La información </w:t>
      </w:r>
      <w:r w:rsidR="00FB001C">
        <w:t xml:space="preserve">que contiene </w:t>
      </w:r>
      <w:r w:rsidRPr="006D30D9">
        <w:t xml:space="preserve">este documento </w:t>
      </w:r>
      <w:r w:rsidR="00FB001C">
        <w:t xml:space="preserve">la </w:t>
      </w:r>
      <w:r w:rsidRPr="006D30D9">
        <w:t xml:space="preserve">genera el INEGI </w:t>
      </w:r>
      <w:r w:rsidR="00BC0BC5">
        <w:t xml:space="preserve">mediante </w:t>
      </w:r>
      <w:r w:rsidRPr="006D30D9">
        <w:t xml:space="preserve">la </w:t>
      </w:r>
      <w:r w:rsidR="00D7409D" w:rsidRPr="006D30D9">
        <w:t>Encuesta Anual de Transportes (EAT</w:t>
      </w:r>
      <w:r w:rsidRPr="006D30D9">
        <w:t>)</w:t>
      </w:r>
      <w:r w:rsidRPr="006D30D9">
        <w:rPr>
          <w:b/>
          <w:lang w:val="es-MX"/>
        </w:rPr>
        <w:t xml:space="preserve"> </w:t>
      </w:r>
      <w:r w:rsidRPr="006D30D9">
        <w:t xml:space="preserve">y se da a conocer en la fecha </w:t>
      </w:r>
      <w:r w:rsidR="00FB001C">
        <w:t xml:space="preserve">que </w:t>
      </w:r>
      <w:r w:rsidRPr="006D30D9">
        <w:t>establec</w:t>
      </w:r>
      <w:r w:rsidR="00FB001C">
        <w:t>e</w:t>
      </w:r>
      <w:r w:rsidRPr="006D30D9">
        <w:t xml:space="preserve"> el Calendario de </w:t>
      </w:r>
      <w:r w:rsidR="00BC0BC5">
        <w:t>D</w:t>
      </w:r>
      <w:r w:rsidRPr="006D30D9">
        <w:t xml:space="preserve">ifusión de </w:t>
      </w:r>
      <w:r w:rsidR="00BC0BC5">
        <w:t>I</w:t>
      </w:r>
      <w:r w:rsidRPr="006D30D9">
        <w:t xml:space="preserve">nformación </w:t>
      </w:r>
      <w:r w:rsidR="00BC0BC5">
        <w:t>E</w:t>
      </w:r>
      <w:r w:rsidRPr="006D30D9">
        <w:t xml:space="preserve">stadística y </w:t>
      </w:r>
      <w:r w:rsidR="00BC0BC5">
        <w:t>G</w:t>
      </w:r>
      <w:r w:rsidRPr="006D30D9">
        <w:t>eográfica</w:t>
      </w:r>
      <w:r w:rsidR="005E77EF">
        <w:t>:</w:t>
      </w:r>
    </w:p>
    <w:p w14:paraId="71915A70" w14:textId="208A2A78" w:rsidR="00C86D89" w:rsidRPr="006D30D9" w:rsidRDefault="005E77EF" w:rsidP="00337FFC">
      <w:pPr>
        <w:keepNext/>
        <w:keepLines/>
        <w:ind w:left="-426" w:right="51"/>
      </w:pPr>
      <w:r w:rsidRPr="005E77EF">
        <w:t xml:space="preserve"> </w:t>
      </w:r>
      <w:hyperlink r:id="rId29" w:history="1">
        <w:r w:rsidRPr="00241F0B">
          <w:rPr>
            <w:rStyle w:val="Hipervnculo"/>
            <w:lang w:eastAsia="es-MX"/>
          </w:rPr>
          <w:t>https://www.inegi.org.mx/app/saladeprensa/calendario/default.html</w:t>
        </w:r>
      </w:hyperlink>
      <w:r w:rsidR="00241F0B">
        <w:t xml:space="preserve"> </w:t>
      </w:r>
    </w:p>
    <w:p w14:paraId="4D7329A9" w14:textId="75A560CC" w:rsidR="00C86D89" w:rsidRPr="006D30D9" w:rsidRDefault="00C86D89" w:rsidP="00337FFC">
      <w:pPr>
        <w:keepNext/>
        <w:keepLines/>
        <w:ind w:left="-426" w:right="51"/>
      </w:pPr>
    </w:p>
    <w:sectPr w:rsidR="00C86D89" w:rsidRPr="006D30D9" w:rsidSect="00337FFC">
      <w:headerReference w:type="default" r:id="rId30"/>
      <w:type w:val="continuous"/>
      <w:pgSz w:w="12242" w:h="15842" w:code="1"/>
      <w:pgMar w:top="897" w:right="1185" w:bottom="1134" w:left="1559"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D51E2" w14:textId="77777777" w:rsidR="00DD49B2" w:rsidRDefault="00DD49B2">
      <w:r>
        <w:separator/>
      </w:r>
    </w:p>
  </w:endnote>
  <w:endnote w:type="continuationSeparator" w:id="0">
    <w:p w14:paraId="060D581F" w14:textId="77777777" w:rsidR="00DD49B2" w:rsidRDefault="00DD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363526"/>
      <w:docPartObj>
        <w:docPartGallery w:val="Page Numbers (Bottom of Page)"/>
        <w:docPartUnique/>
      </w:docPartObj>
    </w:sdtPr>
    <w:sdtEndPr>
      <w:rPr>
        <w:b/>
        <w:color w:val="002060"/>
        <w:sz w:val="20"/>
        <w:szCs w:val="20"/>
      </w:rPr>
    </w:sdtEndPr>
    <w:sdtContent>
      <w:p w14:paraId="183E27EA" w14:textId="2082E963" w:rsidR="00462B98" w:rsidRPr="00DD17EE" w:rsidRDefault="00462B98" w:rsidP="00733E30">
        <w:pPr>
          <w:pStyle w:val="Piedepgina"/>
          <w:ind w:left="-426"/>
          <w:jc w:val="center"/>
          <w:rPr>
            <w:b/>
            <w:color w:val="002060"/>
            <w:sz w:val="20"/>
            <w:szCs w:val="20"/>
          </w:rPr>
        </w:pPr>
        <w:r w:rsidRPr="00DD17EE">
          <w:rPr>
            <w:b/>
            <w:color w:val="002060"/>
            <w:sz w:val="20"/>
            <w:szCs w:val="20"/>
          </w:rPr>
          <w:t>COMUNICACIÓN SOCIAL</w:t>
        </w:r>
      </w:p>
    </w:sdtContent>
  </w:sdt>
  <w:p w14:paraId="2F4F105D" w14:textId="610F04F5" w:rsidR="00462B98" w:rsidRDefault="00462B98" w:rsidP="003076C4">
    <w:pPr>
      <w:pStyle w:val="Piedepgina"/>
      <w:jc w:val="center"/>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7077A" w14:textId="77777777" w:rsidR="00DD49B2" w:rsidRDefault="00DD49B2">
      <w:r>
        <w:separator/>
      </w:r>
    </w:p>
  </w:footnote>
  <w:footnote w:type="continuationSeparator" w:id="0">
    <w:p w14:paraId="6CF09AA1" w14:textId="77777777" w:rsidR="00DD49B2" w:rsidRDefault="00DD49B2">
      <w:r>
        <w:continuationSeparator/>
      </w:r>
    </w:p>
  </w:footnote>
  <w:footnote w:id="1">
    <w:p w14:paraId="1ACBA5B8" w14:textId="6DBC6C35" w:rsidR="00462B98" w:rsidRPr="00337FFC" w:rsidRDefault="00462B98" w:rsidP="00337FFC">
      <w:pPr>
        <w:pStyle w:val="Textonotapie"/>
        <w:ind w:left="-284" w:hanging="142"/>
        <w:rPr>
          <w:color w:val="000000"/>
          <w:sz w:val="16"/>
          <w:szCs w:val="16"/>
          <w:lang w:eastAsia="es-MX"/>
        </w:rPr>
      </w:pPr>
      <w:r w:rsidRPr="00337FFC">
        <w:rPr>
          <w:rStyle w:val="Refdenotaalpie"/>
          <w:sz w:val="16"/>
          <w:szCs w:val="16"/>
        </w:rPr>
        <w:footnoteRef/>
      </w:r>
      <w:r w:rsidRPr="00337FFC">
        <w:rPr>
          <w:sz w:val="16"/>
          <w:szCs w:val="16"/>
        </w:rPr>
        <w:t xml:space="preserve"> </w:t>
      </w:r>
      <w:r>
        <w:rPr>
          <w:sz w:val="16"/>
          <w:szCs w:val="16"/>
        </w:rPr>
        <w:t>Los dominios de estudio de transportes de la EAT son:</w:t>
      </w:r>
      <w:r w:rsidRPr="00337FFC">
        <w:rPr>
          <w:sz w:val="16"/>
          <w:szCs w:val="16"/>
        </w:rPr>
        <w:t xml:space="preserve"> </w:t>
      </w:r>
      <w:r w:rsidRPr="00ED3FCA">
        <w:rPr>
          <w:i/>
          <w:iCs/>
          <w:color w:val="000000"/>
          <w:sz w:val="16"/>
          <w:szCs w:val="16"/>
          <w:lang w:eastAsia="es-MX"/>
        </w:rPr>
        <w:t>Transporte aéreo regular en líneas aéreas nacionales</w:t>
      </w:r>
      <w:r w:rsidRPr="00BF318D">
        <w:rPr>
          <w:sz w:val="16"/>
          <w:szCs w:val="16"/>
        </w:rPr>
        <w:t xml:space="preserve">, </w:t>
      </w:r>
      <w:r w:rsidRPr="00ED3FCA">
        <w:rPr>
          <w:i/>
          <w:iCs/>
          <w:color w:val="000000"/>
          <w:sz w:val="16"/>
          <w:szCs w:val="16"/>
          <w:lang w:eastAsia="es-MX"/>
        </w:rPr>
        <w:t>Transporte por ferrocarril</w:t>
      </w:r>
      <w:r w:rsidRPr="00BF318D">
        <w:rPr>
          <w:color w:val="000000"/>
          <w:sz w:val="16"/>
          <w:szCs w:val="16"/>
          <w:lang w:eastAsia="es-MX"/>
        </w:rPr>
        <w:t xml:space="preserve">, </w:t>
      </w:r>
      <w:r w:rsidRPr="00ED3FCA">
        <w:rPr>
          <w:i/>
          <w:iCs/>
          <w:color w:val="000000"/>
          <w:sz w:val="16"/>
          <w:szCs w:val="16"/>
          <w:lang w:eastAsia="es-MX"/>
        </w:rPr>
        <w:t>Transporte marítimo de altura, excepto de petróleo y gas natural</w:t>
      </w:r>
      <w:r w:rsidRPr="00BF318D">
        <w:rPr>
          <w:sz w:val="16"/>
          <w:szCs w:val="16"/>
        </w:rPr>
        <w:t xml:space="preserve">, </w:t>
      </w:r>
      <w:r w:rsidRPr="00ED3FCA">
        <w:rPr>
          <w:i/>
          <w:iCs/>
          <w:color w:val="000000"/>
          <w:sz w:val="16"/>
          <w:szCs w:val="16"/>
          <w:lang w:eastAsia="es-MX"/>
        </w:rPr>
        <w:t>Transporte marítimo de cabotaje, excepto de petróleo y gas natural</w:t>
      </w:r>
      <w:r w:rsidRPr="00BF318D">
        <w:rPr>
          <w:sz w:val="16"/>
          <w:szCs w:val="16"/>
        </w:rPr>
        <w:t xml:space="preserve">, </w:t>
      </w:r>
      <w:r w:rsidRPr="00ED3FCA">
        <w:rPr>
          <w:i/>
          <w:iCs/>
          <w:color w:val="000000"/>
          <w:sz w:val="16"/>
          <w:szCs w:val="16"/>
          <w:lang w:eastAsia="es-MX"/>
        </w:rPr>
        <w:t>Autotransporte de carga</w:t>
      </w:r>
      <w:r w:rsidRPr="00BF318D">
        <w:rPr>
          <w:sz w:val="16"/>
          <w:szCs w:val="16"/>
        </w:rPr>
        <w:t xml:space="preserve">, </w:t>
      </w:r>
      <w:r w:rsidRPr="00ED3FCA">
        <w:rPr>
          <w:i/>
          <w:iCs/>
          <w:color w:val="000000"/>
          <w:sz w:val="16"/>
          <w:szCs w:val="16"/>
          <w:lang w:eastAsia="es-MX"/>
        </w:rPr>
        <w:t>Transporte colectivo urbano y suburbano de pasajeros en autobuses de ruta fija</w:t>
      </w:r>
      <w:r>
        <w:rPr>
          <w:sz w:val="16"/>
          <w:szCs w:val="16"/>
        </w:rPr>
        <w:t xml:space="preserve"> y</w:t>
      </w:r>
      <w:r w:rsidRPr="00BF318D">
        <w:rPr>
          <w:sz w:val="16"/>
          <w:szCs w:val="16"/>
        </w:rPr>
        <w:t xml:space="preserve"> </w:t>
      </w:r>
      <w:r w:rsidRPr="00ED3FCA">
        <w:rPr>
          <w:i/>
          <w:iCs/>
          <w:color w:val="000000"/>
          <w:sz w:val="16"/>
          <w:szCs w:val="16"/>
          <w:lang w:eastAsia="es-MX"/>
        </w:rPr>
        <w:t>Transporte colectivo foráneo de pasajeros de ruta fija</w:t>
      </w:r>
      <w:r w:rsidRPr="00BF318D">
        <w:rPr>
          <w:sz w:val="16"/>
          <w:szCs w:val="16"/>
        </w:rPr>
        <w:t>.</w:t>
      </w:r>
    </w:p>
    <w:tbl>
      <w:tblPr>
        <w:tblStyle w:val="Tablanormal4"/>
        <w:tblW w:w="10264" w:type="pct"/>
        <w:tblLayout w:type="fixed"/>
        <w:tblLook w:val="04A0" w:firstRow="1" w:lastRow="0" w:firstColumn="1" w:lastColumn="0" w:noHBand="0" w:noVBand="1"/>
      </w:tblPr>
      <w:tblGrid>
        <w:gridCol w:w="9748"/>
        <w:gridCol w:w="9749"/>
      </w:tblGrid>
      <w:tr w:rsidR="00462B98" w:rsidRPr="00BF318D" w14:paraId="732FBB4D" w14:textId="08AE6103" w:rsidTr="00337FF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pct"/>
            <w:hideMark/>
          </w:tcPr>
          <w:p w14:paraId="11A1470F" w14:textId="1C3ECE3C" w:rsidR="00462B98" w:rsidRPr="00BF318D" w:rsidRDefault="00462B98" w:rsidP="00337FFC">
            <w:pPr>
              <w:ind w:left="-284" w:hanging="142"/>
              <w:rPr>
                <w:sz w:val="16"/>
                <w:szCs w:val="16"/>
                <w:lang w:eastAsia="es-MX"/>
              </w:rPr>
            </w:pPr>
          </w:p>
        </w:tc>
        <w:tc>
          <w:tcPr>
            <w:tcW w:w="2500" w:type="pct"/>
          </w:tcPr>
          <w:p w14:paraId="24CC5675" w14:textId="77777777" w:rsidR="00462B98" w:rsidRPr="00BF318D" w:rsidRDefault="00462B98" w:rsidP="00337FFC">
            <w:pPr>
              <w:ind w:left="-284" w:hanging="142"/>
              <w:cnfStyle w:val="100000000000" w:firstRow="1" w:lastRow="0" w:firstColumn="0" w:lastColumn="0" w:oddVBand="0" w:evenVBand="0" w:oddHBand="0" w:evenHBand="0" w:firstRowFirstColumn="0" w:firstRowLastColumn="0" w:lastRowFirstColumn="0" w:lastRowLastColumn="0"/>
              <w:rPr>
                <w:sz w:val="16"/>
                <w:szCs w:val="16"/>
                <w:lang w:eastAsia="es-MX"/>
              </w:rPr>
            </w:pPr>
          </w:p>
        </w:tc>
      </w:tr>
    </w:tbl>
    <w:p w14:paraId="3A33793F" w14:textId="7592C63A" w:rsidR="00462B98" w:rsidRPr="00337FFC" w:rsidRDefault="00462B98">
      <w:pPr>
        <w:pStyle w:val="Textonotapie"/>
        <w:rPr>
          <w:lang w:val="es-MX"/>
        </w:rPr>
      </w:pPr>
    </w:p>
  </w:footnote>
  <w:footnote w:id="2">
    <w:p w14:paraId="703FB9F7" w14:textId="77777777" w:rsidR="00462B98" w:rsidRPr="00BC0BC5" w:rsidRDefault="00462B98" w:rsidP="00C86D89">
      <w:pPr>
        <w:pStyle w:val="Textonotapie"/>
        <w:jc w:val="left"/>
        <w:rPr>
          <w:sz w:val="16"/>
          <w:szCs w:val="16"/>
        </w:rPr>
      </w:pPr>
      <w:r w:rsidRPr="00BC0BC5">
        <w:rPr>
          <w:rStyle w:val="Refdenotaalpie"/>
          <w:sz w:val="16"/>
          <w:szCs w:val="16"/>
        </w:rPr>
        <w:footnoteRef/>
      </w:r>
      <w:r w:rsidRPr="00ED3FCA">
        <w:rPr>
          <w:sz w:val="16"/>
          <w:szCs w:val="16"/>
        </w:rPr>
        <w:t xml:space="preserve"> </w:t>
      </w:r>
      <w:r w:rsidRPr="00BC0BC5">
        <w:rPr>
          <w:sz w:val="16"/>
          <w:szCs w:val="16"/>
          <w:lang w:val="es-MX"/>
        </w:rPr>
        <w:t>El Sistema completo puede consultarse en:</w:t>
      </w:r>
      <w:r w:rsidRPr="00BC0BC5">
        <w:rPr>
          <w:sz w:val="16"/>
          <w:szCs w:val="16"/>
        </w:rPr>
        <w:t xml:space="preserve"> </w:t>
      </w:r>
    </w:p>
    <w:p w14:paraId="57CE32F0" w14:textId="77777777" w:rsidR="00462B98" w:rsidRPr="00ED3FCA" w:rsidRDefault="00DD49B2" w:rsidP="00C86D89">
      <w:pPr>
        <w:pStyle w:val="Textonotapie"/>
        <w:jc w:val="left"/>
        <w:rPr>
          <w:sz w:val="16"/>
          <w:szCs w:val="16"/>
          <w:lang w:val="es-MX"/>
        </w:rPr>
      </w:pPr>
      <w:hyperlink r:id="rId1" w:history="1">
        <w:r w:rsidR="00462B98" w:rsidRPr="00BC0BC5">
          <w:rPr>
            <w:rStyle w:val="Hipervnculo"/>
            <w:sz w:val="16"/>
            <w:szCs w:val="16"/>
          </w:rPr>
          <w:t>https://www.inegi.org.mx/app/biblioteca/ficha.html?upc=702825051693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BB4C" w14:textId="643710F0" w:rsidR="00462B98" w:rsidRPr="003105E6" w:rsidRDefault="00462B98" w:rsidP="002B1158">
    <w:pPr>
      <w:pStyle w:val="Encabezado"/>
      <w:framePr w:w="5398" w:hSpace="141" w:wrap="auto" w:vAnchor="text" w:hAnchor="page" w:x="5695" w:y="31"/>
      <w:ind w:left="567" w:hanging="11"/>
      <w:jc w:val="right"/>
      <w:rPr>
        <w:b/>
        <w:color w:val="002060"/>
      </w:rPr>
    </w:pPr>
    <w:r w:rsidRPr="00987CEE">
      <w:rPr>
        <w:b/>
        <w:color w:val="002060"/>
      </w:rPr>
      <w:t xml:space="preserve">COMUNICADO DE PRENSA NÚM. </w:t>
    </w:r>
    <w:r>
      <w:rPr>
        <w:b/>
        <w:color w:val="002060"/>
      </w:rPr>
      <w:t>774</w:t>
    </w:r>
    <w:r w:rsidRPr="00987CEE">
      <w:rPr>
        <w:b/>
        <w:color w:val="002060"/>
      </w:rPr>
      <w:t>/</w:t>
    </w:r>
    <w:r>
      <w:rPr>
        <w:b/>
        <w:color w:val="002060"/>
      </w:rPr>
      <w:t>22</w:t>
    </w:r>
  </w:p>
  <w:p w14:paraId="235E2FF9" w14:textId="59E93DAA" w:rsidR="00462B98" w:rsidRPr="00987CEE" w:rsidRDefault="00462B98" w:rsidP="002B1158">
    <w:pPr>
      <w:pStyle w:val="Encabezado"/>
      <w:framePr w:w="5398" w:hSpace="141" w:wrap="auto" w:vAnchor="text" w:hAnchor="page" w:x="5695" w:y="31"/>
      <w:ind w:left="567" w:hanging="11"/>
      <w:jc w:val="right"/>
      <w:rPr>
        <w:b/>
        <w:color w:val="002060"/>
        <w:lang w:val="pt-BR"/>
      </w:rPr>
    </w:pPr>
    <w:r>
      <w:rPr>
        <w:b/>
        <w:color w:val="002060"/>
        <w:lang w:val="pt-BR"/>
      </w:rPr>
      <w:t xml:space="preserve">9 </w:t>
    </w:r>
    <w:r w:rsidRPr="00987CEE">
      <w:rPr>
        <w:b/>
        <w:color w:val="002060"/>
        <w:lang w:val="pt-BR"/>
      </w:rPr>
      <w:t xml:space="preserve">DE </w:t>
    </w:r>
    <w:r>
      <w:rPr>
        <w:b/>
        <w:color w:val="002060"/>
        <w:lang w:val="pt-BR"/>
      </w:rPr>
      <w:t xml:space="preserve">DICIEMBRE DE </w:t>
    </w:r>
    <w:r w:rsidRPr="00987CEE">
      <w:rPr>
        <w:b/>
        <w:color w:val="002060"/>
        <w:lang w:val="pt-BR"/>
      </w:rPr>
      <w:t>20</w:t>
    </w:r>
    <w:r>
      <w:rPr>
        <w:b/>
        <w:color w:val="002060"/>
        <w:lang w:val="pt-BR"/>
      </w:rPr>
      <w:t>22</w:t>
    </w:r>
  </w:p>
  <w:p w14:paraId="6F63235E" w14:textId="32A91F6F" w:rsidR="00462B98" w:rsidRPr="00987CEE" w:rsidRDefault="00462B98" w:rsidP="002B1158">
    <w:pPr>
      <w:pStyle w:val="Encabezado"/>
      <w:framePr w:w="5398" w:hSpace="141" w:wrap="auto" w:vAnchor="text" w:hAnchor="page" w:x="5695" w:y="31"/>
      <w:ind w:left="567" w:hanging="11"/>
      <w:jc w:val="right"/>
      <w:rPr>
        <w:b/>
        <w:color w:val="002060"/>
        <w:lang w:val="pt-BR"/>
      </w:rPr>
    </w:pPr>
    <w:r w:rsidRPr="00987CEE">
      <w:rPr>
        <w:b/>
        <w:color w:val="002060"/>
        <w:lang w:val="pt-BR"/>
      </w:rPr>
      <w:t xml:space="preserve">PÁGINA </w:t>
    </w:r>
    <w:r w:rsidRPr="00987CEE">
      <w:rPr>
        <w:b/>
        <w:color w:val="002060"/>
      </w:rPr>
      <w:fldChar w:fldCharType="begin"/>
    </w:r>
    <w:r w:rsidRPr="00987CEE">
      <w:rPr>
        <w:b/>
        <w:color w:val="002060"/>
        <w:lang w:val="pt-BR"/>
      </w:rPr>
      <w:instrText xml:space="preserve">\PAGE </w:instrText>
    </w:r>
    <w:r w:rsidRPr="00987CEE">
      <w:rPr>
        <w:color w:val="002060"/>
      </w:rPr>
      <w:fldChar w:fldCharType="separate"/>
    </w:r>
    <w:r>
      <w:rPr>
        <w:color w:val="002060"/>
      </w:rPr>
      <w:t>1</w:t>
    </w:r>
    <w:r w:rsidRPr="00987CEE">
      <w:rPr>
        <w:color w:val="002060"/>
      </w:rPr>
      <w:fldChar w:fldCharType="end"/>
    </w:r>
    <w:r w:rsidRPr="00987CEE">
      <w:rPr>
        <w:b/>
        <w:color w:val="002060"/>
        <w:lang w:val="pt-BR"/>
      </w:rPr>
      <w:t>/</w:t>
    </w:r>
    <w:r>
      <w:rPr>
        <w:b/>
        <w:color w:val="002060"/>
        <w:lang w:val="pt-BR"/>
      </w:rPr>
      <w:t>1</w:t>
    </w:r>
    <w:r w:rsidR="00153C0A">
      <w:rPr>
        <w:b/>
        <w:color w:val="002060"/>
        <w:lang w:val="pt-BR"/>
      </w:rPr>
      <w:t>2</w:t>
    </w:r>
  </w:p>
  <w:p w14:paraId="4950CB07" w14:textId="77777777" w:rsidR="00462B98" w:rsidRDefault="00462B98" w:rsidP="003F4DF9">
    <w:pPr>
      <w:pStyle w:val="Encabezado"/>
      <w:tabs>
        <w:tab w:val="center" w:pos="1713"/>
      </w:tabs>
      <w:ind w:left="-426"/>
    </w:pPr>
    <w:r w:rsidRPr="008309F1">
      <w:rPr>
        <w:noProof/>
      </w:rPr>
      <w:drawing>
        <wp:inline distT="0" distB="0" distL="0" distR="0" wp14:anchorId="3B89AB60" wp14:editId="2B8067EE">
          <wp:extent cx="742950" cy="76946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r>
      <w:tab/>
    </w:r>
  </w:p>
  <w:p w14:paraId="53A6E2C1" w14:textId="77777777" w:rsidR="00462B98" w:rsidRDefault="00462B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46452" w14:textId="506F7E53" w:rsidR="00462B98" w:rsidRDefault="00462B98" w:rsidP="00337FFC">
    <w:pPr>
      <w:pStyle w:val="Encabezado"/>
      <w:tabs>
        <w:tab w:val="center" w:pos="1713"/>
      </w:tabs>
      <w:ind w:left="-426" w:firstLine="568"/>
      <w:jc w:val="center"/>
    </w:pPr>
    <w:r w:rsidRPr="008309F1">
      <w:rPr>
        <w:noProof/>
      </w:rPr>
      <w:drawing>
        <wp:inline distT="0" distB="0" distL="0" distR="0" wp14:anchorId="5F390196" wp14:editId="28FEC244">
          <wp:extent cx="742950" cy="769466"/>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p>
  <w:p w14:paraId="0CF99501" w14:textId="77777777" w:rsidR="00462B98" w:rsidRDefault="00462B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967DC4"/>
    <w:multiLevelType w:val="hybridMultilevel"/>
    <w:tmpl w:val="216ED8E8"/>
    <w:lvl w:ilvl="0" w:tplc="C6A2D250">
      <w:start w:val="872"/>
      <w:numFmt w:val="bullet"/>
      <w:lvlText w:val=""/>
      <w:lvlJc w:val="left"/>
      <w:pPr>
        <w:ind w:left="300" w:hanging="360"/>
      </w:pPr>
      <w:rPr>
        <w:rFonts w:ascii="Symbol" w:hAnsi="Symbol" w:hint="default"/>
      </w:rPr>
    </w:lvl>
    <w:lvl w:ilvl="1" w:tplc="080A0003" w:tentative="1">
      <w:start w:val="1"/>
      <w:numFmt w:val="bullet"/>
      <w:lvlText w:val="o"/>
      <w:lvlJc w:val="left"/>
      <w:pPr>
        <w:ind w:left="1020" w:hanging="360"/>
      </w:pPr>
      <w:rPr>
        <w:rFonts w:ascii="Courier New" w:hAnsi="Courier New" w:cs="Courier New" w:hint="default"/>
      </w:rPr>
    </w:lvl>
    <w:lvl w:ilvl="2" w:tplc="080A0005" w:tentative="1">
      <w:start w:val="1"/>
      <w:numFmt w:val="bullet"/>
      <w:lvlText w:val=""/>
      <w:lvlJc w:val="left"/>
      <w:pPr>
        <w:ind w:left="1740" w:hanging="360"/>
      </w:pPr>
      <w:rPr>
        <w:rFonts w:ascii="Wingdings" w:hAnsi="Wingdings" w:hint="default"/>
      </w:rPr>
    </w:lvl>
    <w:lvl w:ilvl="3" w:tplc="080A0001" w:tentative="1">
      <w:start w:val="1"/>
      <w:numFmt w:val="bullet"/>
      <w:lvlText w:val=""/>
      <w:lvlJc w:val="left"/>
      <w:pPr>
        <w:ind w:left="2460" w:hanging="360"/>
      </w:pPr>
      <w:rPr>
        <w:rFonts w:ascii="Symbol" w:hAnsi="Symbol" w:hint="default"/>
      </w:rPr>
    </w:lvl>
    <w:lvl w:ilvl="4" w:tplc="080A0003" w:tentative="1">
      <w:start w:val="1"/>
      <w:numFmt w:val="bullet"/>
      <w:lvlText w:val="o"/>
      <w:lvlJc w:val="left"/>
      <w:pPr>
        <w:ind w:left="3180" w:hanging="360"/>
      </w:pPr>
      <w:rPr>
        <w:rFonts w:ascii="Courier New" w:hAnsi="Courier New" w:cs="Courier New" w:hint="default"/>
      </w:rPr>
    </w:lvl>
    <w:lvl w:ilvl="5" w:tplc="080A0005" w:tentative="1">
      <w:start w:val="1"/>
      <w:numFmt w:val="bullet"/>
      <w:lvlText w:val=""/>
      <w:lvlJc w:val="left"/>
      <w:pPr>
        <w:ind w:left="3900" w:hanging="360"/>
      </w:pPr>
      <w:rPr>
        <w:rFonts w:ascii="Wingdings" w:hAnsi="Wingdings" w:hint="default"/>
      </w:rPr>
    </w:lvl>
    <w:lvl w:ilvl="6" w:tplc="080A0001" w:tentative="1">
      <w:start w:val="1"/>
      <w:numFmt w:val="bullet"/>
      <w:lvlText w:val=""/>
      <w:lvlJc w:val="left"/>
      <w:pPr>
        <w:ind w:left="4620" w:hanging="360"/>
      </w:pPr>
      <w:rPr>
        <w:rFonts w:ascii="Symbol" w:hAnsi="Symbol" w:hint="default"/>
      </w:rPr>
    </w:lvl>
    <w:lvl w:ilvl="7" w:tplc="080A0003" w:tentative="1">
      <w:start w:val="1"/>
      <w:numFmt w:val="bullet"/>
      <w:lvlText w:val="o"/>
      <w:lvlJc w:val="left"/>
      <w:pPr>
        <w:ind w:left="5340" w:hanging="360"/>
      </w:pPr>
      <w:rPr>
        <w:rFonts w:ascii="Courier New" w:hAnsi="Courier New" w:cs="Courier New" w:hint="default"/>
      </w:rPr>
    </w:lvl>
    <w:lvl w:ilvl="8" w:tplc="080A0005" w:tentative="1">
      <w:start w:val="1"/>
      <w:numFmt w:val="bullet"/>
      <w:lvlText w:val=""/>
      <w:lvlJc w:val="left"/>
      <w:pPr>
        <w:ind w:left="6060" w:hanging="360"/>
      </w:pPr>
      <w:rPr>
        <w:rFonts w:ascii="Wingdings" w:hAnsi="Wingdings" w:hint="default"/>
      </w:rPr>
    </w:lvl>
  </w:abstractNum>
  <w:abstractNum w:abstractNumId="2" w15:restartNumberingAfterBreak="0">
    <w:nsid w:val="10B47C07"/>
    <w:multiLevelType w:val="hybridMultilevel"/>
    <w:tmpl w:val="E8D60D64"/>
    <w:lvl w:ilvl="0" w:tplc="080A0005">
      <w:start w:val="1"/>
      <w:numFmt w:val="bullet"/>
      <w:lvlText w:val=""/>
      <w:lvlJc w:val="left"/>
      <w:pPr>
        <w:ind w:left="294" w:hanging="360"/>
      </w:pPr>
      <w:rPr>
        <w:rFonts w:ascii="Wingdings" w:hAnsi="Wingdings"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3" w15:restartNumberingAfterBreak="0">
    <w:nsid w:val="1188512F"/>
    <w:multiLevelType w:val="hybridMultilevel"/>
    <w:tmpl w:val="3A3A4FFA"/>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C445C1"/>
    <w:multiLevelType w:val="hybridMultilevel"/>
    <w:tmpl w:val="65AC037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B197F"/>
    <w:multiLevelType w:val="hybridMultilevel"/>
    <w:tmpl w:val="A25C29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780045D"/>
    <w:multiLevelType w:val="hybridMultilevel"/>
    <w:tmpl w:val="478AD55E"/>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613DBE"/>
    <w:multiLevelType w:val="hybridMultilevel"/>
    <w:tmpl w:val="B55C2364"/>
    <w:lvl w:ilvl="0" w:tplc="C6A2D250">
      <w:start w:val="872"/>
      <w:numFmt w:val="bullet"/>
      <w:lvlText w:val=""/>
      <w:lvlJc w:val="left"/>
      <w:pPr>
        <w:ind w:left="300" w:hanging="360"/>
      </w:pPr>
      <w:rPr>
        <w:rFonts w:ascii="Symbol" w:hAnsi="Symbol" w:hint="default"/>
      </w:rPr>
    </w:lvl>
    <w:lvl w:ilvl="1" w:tplc="080A0003" w:tentative="1">
      <w:start w:val="1"/>
      <w:numFmt w:val="bullet"/>
      <w:lvlText w:val="o"/>
      <w:lvlJc w:val="left"/>
      <w:pPr>
        <w:ind w:left="1020" w:hanging="360"/>
      </w:pPr>
      <w:rPr>
        <w:rFonts w:ascii="Courier New" w:hAnsi="Courier New" w:cs="Courier New" w:hint="default"/>
      </w:rPr>
    </w:lvl>
    <w:lvl w:ilvl="2" w:tplc="080A0005" w:tentative="1">
      <w:start w:val="1"/>
      <w:numFmt w:val="bullet"/>
      <w:lvlText w:val=""/>
      <w:lvlJc w:val="left"/>
      <w:pPr>
        <w:ind w:left="1740" w:hanging="360"/>
      </w:pPr>
      <w:rPr>
        <w:rFonts w:ascii="Wingdings" w:hAnsi="Wingdings" w:hint="default"/>
      </w:rPr>
    </w:lvl>
    <w:lvl w:ilvl="3" w:tplc="080A0001" w:tentative="1">
      <w:start w:val="1"/>
      <w:numFmt w:val="bullet"/>
      <w:lvlText w:val=""/>
      <w:lvlJc w:val="left"/>
      <w:pPr>
        <w:ind w:left="2460" w:hanging="360"/>
      </w:pPr>
      <w:rPr>
        <w:rFonts w:ascii="Symbol" w:hAnsi="Symbol" w:hint="default"/>
      </w:rPr>
    </w:lvl>
    <w:lvl w:ilvl="4" w:tplc="080A0003" w:tentative="1">
      <w:start w:val="1"/>
      <w:numFmt w:val="bullet"/>
      <w:lvlText w:val="o"/>
      <w:lvlJc w:val="left"/>
      <w:pPr>
        <w:ind w:left="3180" w:hanging="360"/>
      </w:pPr>
      <w:rPr>
        <w:rFonts w:ascii="Courier New" w:hAnsi="Courier New" w:cs="Courier New" w:hint="default"/>
      </w:rPr>
    </w:lvl>
    <w:lvl w:ilvl="5" w:tplc="080A0005" w:tentative="1">
      <w:start w:val="1"/>
      <w:numFmt w:val="bullet"/>
      <w:lvlText w:val=""/>
      <w:lvlJc w:val="left"/>
      <w:pPr>
        <w:ind w:left="3900" w:hanging="360"/>
      </w:pPr>
      <w:rPr>
        <w:rFonts w:ascii="Wingdings" w:hAnsi="Wingdings" w:hint="default"/>
      </w:rPr>
    </w:lvl>
    <w:lvl w:ilvl="6" w:tplc="080A0001" w:tentative="1">
      <w:start w:val="1"/>
      <w:numFmt w:val="bullet"/>
      <w:lvlText w:val=""/>
      <w:lvlJc w:val="left"/>
      <w:pPr>
        <w:ind w:left="4620" w:hanging="360"/>
      </w:pPr>
      <w:rPr>
        <w:rFonts w:ascii="Symbol" w:hAnsi="Symbol" w:hint="default"/>
      </w:rPr>
    </w:lvl>
    <w:lvl w:ilvl="7" w:tplc="080A0003" w:tentative="1">
      <w:start w:val="1"/>
      <w:numFmt w:val="bullet"/>
      <w:lvlText w:val="o"/>
      <w:lvlJc w:val="left"/>
      <w:pPr>
        <w:ind w:left="5340" w:hanging="360"/>
      </w:pPr>
      <w:rPr>
        <w:rFonts w:ascii="Courier New" w:hAnsi="Courier New" w:cs="Courier New" w:hint="default"/>
      </w:rPr>
    </w:lvl>
    <w:lvl w:ilvl="8" w:tplc="080A0005" w:tentative="1">
      <w:start w:val="1"/>
      <w:numFmt w:val="bullet"/>
      <w:lvlText w:val=""/>
      <w:lvlJc w:val="left"/>
      <w:pPr>
        <w:ind w:left="6060" w:hanging="360"/>
      </w:pPr>
      <w:rPr>
        <w:rFonts w:ascii="Wingdings" w:hAnsi="Wingdings" w:hint="default"/>
      </w:r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E467E4"/>
    <w:multiLevelType w:val="hybridMultilevel"/>
    <w:tmpl w:val="2EBC45E0"/>
    <w:lvl w:ilvl="0" w:tplc="0C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F77F74"/>
    <w:multiLevelType w:val="hybridMultilevel"/>
    <w:tmpl w:val="5C4C418C"/>
    <w:lvl w:ilvl="0" w:tplc="DC986B8C">
      <w:start w:val="16"/>
      <w:numFmt w:val="bullet"/>
      <w:lvlText w:val=""/>
      <w:lvlJc w:val="left"/>
      <w:pPr>
        <w:ind w:left="854" w:hanging="570"/>
      </w:pPr>
      <w:rPr>
        <w:rFonts w:ascii="Symbol" w:eastAsiaTheme="minorHAnsi" w:hAnsi="Symbol" w:cs="Courier New" w:hint="default"/>
        <w:sz w:val="2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0" w15:restartNumberingAfterBreak="0">
    <w:nsid w:val="4BFD7B6C"/>
    <w:multiLevelType w:val="hybridMultilevel"/>
    <w:tmpl w:val="543AB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F59481B"/>
    <w:multiLevelType w:val="hybridMultilevel"/>
    <w:tmpl w:val="D9F8B42C"/>
    <w:lvl w:ilvl="0" w:tplc="080A0003">
      <w:start w:val="1"/>
      <w:numFmt w:val="bullet"/>
      <w:lvlText w:val="o"/>
      <w:lvlJc w:val="left"/>
      <w:pPr>
        <w:ind w:left="-3852" w:hanging="360"/>
      </w:pPr>
      <w:rPr>
        <w:rFonts w:ascii="Courier New" w:hAnsi="Courier New" w:cs="Courier New" w:hint="default"/>
      </w:rPr>
    </w:lvl>
    <w:lvl w:ilvl="1" w:tplc="080A0003" w:tentative="1">
      <w:start w:val="1"/>
      <w:numFmt w:val="bullet"/>
      <w:lvlText w:val="o"/>
      <w:lvlJc w:val="left"/>
      <w:pPr>
        <w:ind w:left="-3132" w:hanging="360"/>
      </w:pPr>
      <w:rPr>
        <w:rFonts w:ascii="Courier New" w:hAnsi="Courier New" w:cs="Courier New" w:hint="default"/>
      </w:rPr>
    </w:lvl>
    <w:lvl w:ilvl="2" w:tplc="080A0005" w:tentative="1">
      <w:start w:val="1"/>
      <w:numFmt w:val="bullet"/>
      <w:lvlText w:val=""/>
      <w:lvlJc w:val="left"/>
      <w:pPr>
        <w:ind w:left="-2412" w:hanging="360"/>
      </w:pPr>
      <w:rPr>
        <w:rFonts w:ascii="Wingdings" w:hAnsi="Wingdings" w:hint="default"/>
      </w:rPr>
    </w:lvl>
    <w:lvl w:ilvl="3" w:tplc="080A0001" w:tentative="1">
      <w:start w:val="1"/>
      <w:numFmt w:val="bullet"/>
      <w:lvlText w:val=""/>
      <w:lvlJc w:val="left"/>
      <w:pPr>
        <w:ind w:left="-1692" w:hanging="360"/>
      </w:pPr>
      <w:rPr>
        <w:rFonts w:ascii="Symbol" w:hAnsi="Symbol" w:hint="default"/>
      </w:rPr>
    </w:lvl>
    <w:lvl w:ilvl="4" w:tplc="080A0003" w:tentative="1">
      <w:start w:val="1"/>
      <w:numFmt w:val="bullet"/>
      <w:lvlText w:val="o"/>
      <w:lvlJc w:val="left"/>
      <w:pPr>
        <w:ind w:left="-972" w:hanging="360"/>
      </w:pPr>
      <w:rPr>
        <w:rFonts w:ascii="Courier New" w:hAnsi="Courier New" w:cs="Courier New" w:hint="default"/>
      </w:rPr>
    </w:lvl>
    <w:lvl w:ilvl="5" w:tplc="080A0005" w:tentative="1">
      <w:start w:val="1"/>
      <w:numFmt w:val="bullet"/>
      <w:lvlText w:val=""/>
      <w:lvlJc w:val="left"/>
      <w:pPr>
        <w:ind w:left="-252" w:hanging="360"/>
      </w:pPr>
      <w:rPr>
        <w:rFonts w:ascii="Wingdings" w:hAnsi="Wingdings" w:hint="default"/>
      </w:rPr>
    </w:lvl>
    <w:lvl w:ilvl="6" w:tplc="080A0001" w:tentative="1">
      <w:start w:val="1"/>
      <w:numFmt w:val="bullet"/>
      <w:lvlText w:val=""/>
      <w:lvlJc w:val="left"/>
      <w:pPr>
        <w:ind w:left="468" w:hanging="360"/>
      </w:pPr>
      <w:rPr>
        <w:rFonts w:ascii="Symbol" w:hAnsi="Symbol" w:hint="default"/>
      </w:rPr>
    </w:lvl>
    <w:lvl w:ilvl="7" w:tplc="080A0003" w:tentative="1">
      <w:start w:val="1"/>
      <w:numFmt w:val="bullet"/>
      <w:lvlText w:val="o"/>
      <w:lvlJc w:val="left"/>
      <w:pPr>
        <w:ind w:left="1188" w:hanging="360"/>
      </w:pPr>
      <w:rPr>
        <w:rFonts w:ascii="Courier New" w:hAnsi="Courier New" w:cs="Courier New" w:hint="default"/>
      </w:rPr>
    </w:lvl>
    <w:lvl w:ilvl="8" w:tplc="080A0005" w:tentative="1">
      <w:start w:val="1"/>
      <w:numFmt w:val="bullet"/>
      <w:lvlText w:val=""/>
      <w:lvlJc w:val="left"/>
      <w:pPr>
        <w:ind w:left="1908" w:hanging="360"/>
      </w:pPr>
      <w:rPr>
        <w:rFonts w:ascii="Wingdings" w:hAnsi="Wingdings" w:hint="default"/>
      </w:rPr>
    </w:lvl>
  </w:abstractNum>
  <w:abstractNum w:abstractNumId="2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99F6F03"/>
    <w:multiLevelType w:val="hybridMultilevel"/>
    <w:tmpl w:val="380CAB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F11F99"/>
    <w:multiLevelType w:val="hybridMultilevel"/>
    <w:tmpl w:val="E3BEA9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8" w15:restartNumberingAfterBreak="0">
    <w:nsid w:val="6E2E3CE1"/>
    <w:multiLevelType w:val="hybridMultilevel"/>
    <w:tmpl w:val="7C4A9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9A2481"/>
    <w:multiLevelType w:val="hybridMultilevel"/>
    <w:tmpl w:val="5CAA6FC8"/>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30"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6B3291"/>
    <w:multiLevelType w:val="hybridMultilevel"/>
    <w:tmpl w:val="4770E0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1C6739"/>
    <w:multiLevelType w:val="hybridMultilevel"/>
    <w:tmpl w:val="0A2219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4"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7"/>
  </w:num>
  <w:num w:numId="4">
    <w:abstractNumId w:val="10"/>
  </w:num>
  <w:num w:numId="5">
    <w:abstractNumId w:val="13"/>
  </w:num>
  <w:num w:numId="6">
    <w:abstractNumId w:val="4"/>
  </w:num>
  <w:num w:numId="7">
    <w:abstractNumId w:val="8"/>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7"/>
  </w:num>
  <w:num w:numId="12">
    <w:abstractNumId w:val="33"/>
  </w:num>
  <w:num w:numId="13">
    <w:abstractNumId w:val="35"/>
  </w:num>
  <w:num w:numId="14">
    <w:abstractNumId w:val="17"/>
  </w:num>
  <w:num w:numId="15">
    <w:abstractNumId w:val="14"/>
  </w:num>
  <w:num w:numId="16">
    <w:abstractNumId w:val="23"/>
  </w:num>
  <w:num w:numId="17">
    <w:abstractNumId w:val="16"/>
  </w:num>
  <w:num w:numId="18">
    <w:abstractNumId w:val="21"/>
  </w:num>
  <w:num w:numId="19">
    <w:abstractNumId w:val="9"/>
  </w:num>
  <w:num w:numId="20">
    <w:abstractNumId w:val="34"/>
  </w:num>
  <w:num w:numId="21">
    <w:abstractNumId w:val="26"/>
  </w:num>
  <w:num w:numId="22">
    <w:abstractNumId w:val="12"/>
  </w:num>
  <w:num w:numId="23">
    <w:abstractNumId w:val="30"/>
  </w:num>
  <w:num w:numId="24">
    <w:abstractNumId w:val="24"/>
  </w:num>
  <w:num w:numId="25">
    <w:abstractNumId w:val="11"/>
  </w:num>
  <w:num w:numId="26">
    <w:abstractNumId w:val="22"/>
  </w:num>
  <w:num w:numId="27">
    <w:abstractNumId w:val="3"/>
  </w:num>
  <w:num w:numId="28">
    <w:abstractNumId w:val="18"/>
  </w:num>
  <w:num w:numId="29">
    <w:abstractNumId w:val="32"/>
  </w:num>
  <w:num w:numId="30">
    <w:abstractNumId w:val="19"/>
  </w:num>
  <w:num w:numId="31">
    <w:abstractNumId w:val="2"/>
  </w:num>
  <w:num w:numId="32">
    <w:abstractNumId w:val="31"/>
  </w:num>
  <w:num w:numId="33">
    <w:abstractNumId w:val="28"/>
  </w:num>
  <w:num w:numId="34">
    <w:abstractNumId w:val="20"/>
  </w:num>
  <w:num w:numId="35">
    <w:abstractNumId w:val="6"/>
  </w:num>
  <w:num w:numId="36">
    <w:abstractNumId w:val="5"/>
  </w:num>
  <w:num w:numId="37">
    <w:abstractNumId w:val="25"/>
  </w:num>
  <w:num w:numId="38">
    <w:abstractNumId w:val="29"/>
  </w:num>
  <w:num w:numId="39">
    <w:abstractNumId w:val="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EC"/>
    <w:rsid w:val="0000043F"/>
    <w:rsid w:val="00000BEA"/>
    <w:rsid w:val="00000E98"/>
    <w:rsid w:val="00001694"/>
    <w:rsid w:val="0000180F"/>
    <w:rsid w:val="00001C91"/>
    <w:rsid w:val="000022A6"/>
    <w:rsid w:val="00002466"/>
    <w:rsid w:val="00002561"/>
    <w:rsid w:val="00002665"/>
    <w:rsid w:val="000027BD"/>
    <w:rsid w:val="00002AFF"/>
    <w:rsid w:val="00002B26"/>
    <w:rsid w:val="00003497"/>
    <w:rsid w:val="0000361C"/>
    <w:rsid w:val="00003C25"/>
    <w:rsid w:val="00003C68"/>
    <w:rsid w:val="00003E85"/>
    <w:rsid w:val="00004291"/>
    <w:rsid w:val="0000458A"/>
    <w:rsid w:val="00004909"/>
    <w:rsid w:val="000050C6"/>
    <w:rsid w:val="00005940"/>
    <w:rsid w:val="0000696E"/>
    <w:rsid w:val="00006B5A"/>
    <w:rsid w:val="00006B6A"/>
    <w:rsid w:val="00007512"/>
    <w:rsid w:val="000078B1"/>
    <w:rsid w:val="00007A1A"/>
    <w:rsid w:val="00007D5F"/>
    <w:rsid w:val="000108E8"/>
    <w:rsid w:val="00010A59"/>
    <w:rsid w:val="000112A7"/>
    <w:rsid w:val="0001151F"/>
    <w:rsid w:val="00011840"/>
    <w:rsid w:val="00011AC0"/>
    <w:rsid w:val="00011BD3"/>
    <w:rsid w:val="00012278"/>
    <w:rsid w:val="000124D2"/>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0A1"/>
    <w:rsid w:val="00015302"/>
    <w:rsid w:val="00016220"/>
    <w:rsid w:val="00016590"/>
    <w:rsid w:val="00016B4E"/>
    <w:rsid w:val="00016D3A"/>
    <w:rsid w:val="0001718D"/>
    <w:rsid w:val="0001743D"/>
    <w:rsid w:val="000176AC"/>
    <w:rsid w:val="00017C10"/>
    <w:rsid w:val="000213A3"/>
    <w:rsid w:val="00021432"/>
    <w:rsid w:val="00021492"/>
    <w:rsid w:val="000216A3"/>
    <w:rsid w:val="00022306"/>
    <w:rsid w:val="000228C4"/>
    <w:rsid w:val="00022CA3"/>
    <w:rsid w:val="000238E1"/>
    <w:rsid w:val="00023B4F"/>
    <w:rsid w:val="0002439B"/>
    <w:rsid w:val="000248E6"/>
    <w:rsid w:val="00025201"/>
    <w:rsid w:val="00025663"/>
    <w:rsid w:val="000260EE"/>
    <w:rsid w:val="0002657A"/>
    <w:rsid w:val="00026B3C"/>
    <w:rsid w:val="00026B52"/>
    <w:rsid w:val="00027615"/>
    <w:rsid w:val="00027EEC"/>
    <w:rsid w:val="00030480"/>
    <w:rsid w:val="00030511"/>
    <w:rsid w:val="0003065F"/>
    <w:rsid w:val="00030D10"/>
    <w:rsid w:val="00031231"/>
    <w:rsid w:val="000314D3"/>
    <w:rsid w:val="00031737"/>
    <w:rsid w:val="00031BCF"/>
    <w:rsid w:val="00032B16"/>
    <w:rsid w:val="00033603"/>
    <w:rsid w:val="00033A14"/>
    <w:rsid w:val="00034050"/>
    <w:rsid w:val="0003447A"/>
    <w:rsid w:val="00034BC3"/>
    <w:rsid w:val="000353F3"/>
    <w:rsid w:val="00035600"/>
    <w:rsid w:val="00035A19"/>
    <w:rsid w:val="00035B2D"/>
    <w:rsid w:val="00035DA7"/>
    <w:rsid w:val="00036D72"/>
    <w:rsid w:val="00037009"/>
    <w:rsid w:val="00037089"/>
    <w:rsid w:val="00037177"/>
    <w:rsid w:val="00037C35"/>
    <w:rsid w:val="00037CC4"/>
    <w:rsid w:val="00037DCD"/>
    <w:rsid w:val="00040411"/>
    <w:rsid w:val="0004066E"/>
    <w:rsid w:val="00040B73"/>
    <w:rsid w:val="00040CFD"/>
    <w:rsid w:val="00040F75"/>
    <w:rsid w:val="00041FF7"/>
    <w:rsid w:val="0004225C"/>
    <w:rsid w:val="0004333A"/>
    <w:rsid w:val="00043535"/>
    <w:rsid w:val="00043B32"/>
    <w:rsid w:val="00043E2B"/>
    <w:rsid w:val="00044296"/>
    <w:rsid w:val="00044699"/>
    <w:rsid w:val="00044700"/>
    <w:rsid w:val="000447CE"/>
    <w:rsid w:val="00044C5E"/>
    <w:rsid w:val="0004596A"/>
    <w:rsid w:val="00045AF1"/>
    <w:rsid w:val="00045E9B"/>
    <w:rsid w:val="0004612E"/>
    <w:rsid w:val="00046139"/>
    <w:rsid w:val="000465BA"/>
    <w:rsid w:val="000465BF"/>
    <w:rsid w:val="00046822"/>
    <w:rsid w:val="00046AB6"/>
    <w:rsid w:val="00046D06"/>
    <w:rsid w:val="000471CD"/>
    <w:rsid w:val="0004735D"/>
    <w:rsid w:val="0004777C"/>
    <w:rsid w:val="000501E0"/>
    <w:rsid w:val="000502DE"/>
    <w:rsid w:val="00050934"/>
    <w:rsid w:val="00050FB5"/>
    <w:rsid w:val="0005141B"/>
    <w:rsid w:val="00051C72"/>
    <w:rsid w:val="00051D1C"/>
    <w:rsid w:val="00051D9E"/>
    <w:rsid w:val="00052F04"/>
    <w:rsid w:val="00052F1E"/>
    <w:rsid w:val="000536D2"/>
    <w:rsid w:val="00053B2C"/>
    <w:rsid w:val="00053EB7"/>
    <w:rsid w:val="00053EFC"/>
    <w:rsid w:val="00054A4F"/>
    <w:rsid w:val="00055047"/>
    <w:rsid w:val="00055643"/>
    <w:rsid w:val="000557E2"/>
    <w:rsid w:val="000558CA"/>
    <w:rsid w:val="00055B54"/>
    <w:rsid w:val="00055CD3"/>
    <w:rsid w:val="00056553"/>
    <w:rsid w:val="000567F8"/>
    <w:rsid w:val="000569EC"/>
    <w:rsid w:val="00056F51"/>
    <w:rsid w:val="000573F5"/>
    <w:rsid w:val="00057A63"/>
    <w:rsid w:val="00057F37"/>
    <w:rsid w:val="000602B0"/>
    <w:rsid w:val="0006056C"/>
    <w:rsid w:val="0006144A"/>
    <w:rsid w:val="00062234"/>
    <w:rsid w:val="0006228A"/>
    <w:rsid w:val="00063034"/>
    <w:rsid w:val="00063614"/>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431"/>
    <w:rsid w:val="000707FF"/>
    <w:rsid w:val="00070864"/>
    <w:rsid w:val="0007145A"/>
    <w:rsid w:val="00071F33"/>
    <w:rsid w:val="00072211"/>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7F7"/>
    <w:rsid w:val="00076EE9"/>
    <w:rsid w:val="00076EEC"/>
    <w:rsid w:val="0007728D"/>
    <w:rsid w:val="00077871"/>
    <w:rsid w:val="00077C46"/>
    <w:rsid w:val="00080033"/>
    <w:rsid w:val="0008027F"/>
    <w:rsid w:val="0008084D"/>
    <w:rsid w:val="00080B3C"/>
    <w:rsid w:val="000814ED"/>
    <w:rsid w:val="0008175A"/>
    <w:rsid w:val="0008195B"/>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151"/>
    <w:rsid w:val="00087287"/>
    <w:rsid w:val="0008756B"/>
    <w:rsid w:val="00087DB7"/>
    <w:rsid w:val="0009025D"/>
    <w:rsid w:val="0009084F"/>
    <w:rsid w:val="00090B9C"/>
    <w:rsid w:val="00090D7B"/>
    <w:rsid w:val="00091326"/>
    <w:rsid w:val="00091474"/>
    <w:rsid w:val="000915F7"/>
    <w:rsid w:val="00092764"/>
    <w:rsid w:val="0009292F"/>
    <w:rsid w:val="00092F4C"/>
    <w:rsid w:val="00093974"/>
    <w:rsid w:val="00094496"/>
    <w:rsid w:val="000950E7"/>
    <w:rsid w:val="00095360"/>
    <w:rsid w:val="000955AA"/>
    <w:rsid w:val="000957BC"/>
    <w:rsid w:val="00095E03"/>
    <w:rsid w:val="00096097"/>
    <w:rsid w:val="000962FD"/>
    <w:rsid w:val="00096737"/>
    <w:rsid w:val="00097837"/>
    <w:rsid w:val="00097C0A"/>
    <w:rsid w:val="000A0344"/>
    <w:rsid w:val="000A0823"/>
    <w:rsid w:val="000A17B7"/>
    <w:rsid w:val="000A1D6D"/>
    <w:rsid w:val="000A21D6"/>
    <w:rsid w:val="000A254B"/>
    <w:rsid w:val="000A2F4F"/>
    <w:rsid w:val="000A31EF"/>
    <w:rsid w:val="000A3354"/>
    <w:rsid w:val="000A3733"/>
    <w:rsid w:val="000A3FEB"/>
    <w:rsid w:val="000A43B0"/>
    <w:rsid w:val="000A4834"/>
    <w:rsid w:val="000A53E6"/>
    <w:rsid w:val="000A574B"/>
    <w:rsid w:val="000A5B04"/>
    <w:rsid w:val="000A5E2A"/>
    <w:rsid w:val="000A6341"/>
    <w:rsid w:val="000A643B"/>
    <w:rsid w:val="000A707A"/>
    <w:rsid w:val="000A709A"/>
    <w:rsid w:val="000A7875"/>
    <w:rsid w:val="000A78BA"/>
    <w:rsid w:val="000A7E58"/>
    <w:rsid w:val="000B0710"/>
    <w:rsid w:val="000B0A59"/>
    <w:rsid w:val="000B1C11"/>
    <w:rsid w:val="000B1D13"/>
    <w:rsid w:val="000B239B"/>
    <w:rsid w:val="000B29B8"/>
    <w:rsid w:val="000B2A27"/>
    <w:rsid w:val="000B2A60"/>
    <w:rsid w:val="000B2D2B"/>
    <w:rsid w:val="000B38D2"/>
    <w:rsid w:val="000B4A6A"/>
    <w:rsid w:val="000B4B41"/>
    <w:rsid w:val="000B50FB"/>
    <w:rsid w:val="000B515D"/>
    <w:rsid w:val="000B5A74"/>
    <w:rsid w:val="000B5FA3"/>
    <w:rsid w:val="000B6145"/>
    <w:rsid w:val="000B65EF"/>
    <w:rsid w:val="000B6AF6"/>
    <w:rsid w:val="000B6F71"/>
    <w:rsid w:val="000B74C1"/>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487"/>
    <w:rsid w:val="000C6A4A"/>
    <w:rsid w:val="000C6AFD"/>
    <w:rsid w:val="000D06FA"/>
    <w:rsid w:val="000D0DDA"/>
    <w:rsid w:val="000D0ED5"/>
    <w:rsid w:val="000D0FE7"/>
    <w:rsid w:val="000D113E"/>
    <w:rsid w:val="000D1169"/>
    <w:rsid w:val="000D15C5"/>
    <w:rsid w:val="000D1C34"/>
    <w:rsid w:val="000D28A5"/>
    <w:rsid w:val="000D291F"/>
    <w:rsid w:val="000D2FC3"/>
    <w:rsid w:val="000D31C1"/>
    <w:rsid w:val="000D36B2"/>
    <w:rsid w:val="000D3893"/>
    <w:rsid w:val="000D39FD"/>
    <w:rsid w:val="000D44D4"/>
    <w:rsid w:val="000D4833"/>
    <w:rsid w:val="000D49D2"/>
    <w:rsid w:val="000D4A88"/>
    <w:rsid w:val="000D4BBC"/>
    <w:rsid w:val="000D4D90"/>
    <w:rsid w:val="000D4E26"/>
    <w:rsid w:val="000D5176"/>
    <w:rsid w:val="000D5EDB"/>
    <w:rsid w:val="000D6C0F"/>
    <w:rsid w:val="000D6D0B"/>
    <w:rsid w:val="000D6F1E"/>
    <w:rsid w:val="000D706E"/>
    <w:rsid w:val="000D7265"/>
    <w:rsid w:val="000D7A95"/>
    <w:rsid w:val="000D7BBD"/>
    <w:rsid w:val="000E03C0"/>
    <w:rsid w:val="000E0648"/>
    <w:rsid w:val="000E0654"/>
    <w:rsid w:val="000E19B3"/>
    <w:rsid w:val="000E1EB3"/>
    <w:rsid w:val="000E2970"/>
    <w:rsid w:val="000E34E1"/>
    <w:rsid w:val="000E3892"/>
    <w:rsid w:val="000E3CC1"/>
    <w:rsid w:val="000E3CE2"/>
    <w:rsid w:val="000E4A53"/>
    <w:rsid w:val="000E5331"/>
    <w:rsid w:val="000E5526"/>
    <w:rsid w:val="000E5D6B"/>
    <w:rsid w:val="000E5FE0"/>
    <w:rsid w:val="000E6D5D"/>
    <w:rsid w:val="000F032C"/>
    <w:rsid w:val="000F05D5"/>
    <w:rsid w:val="000F1DEB"/>
    <w:rsid w:val="000F3413"/>
    <w:rsid w:val="000F3491"/>
    <w:rsid w:val="000F3C15"/>
    <w:rsid w:val="000F3DE6"/>
    <w:rsid w:val="000F4136"/>
    <w:rsid w:val="000F44E7"/>
    <w:rsid w:val="000F44EA"/>
    <w:rsid w:val="000F4523"/>
    <w:rsid w:val="000F49F1"/>
    <w:rsid w:val="000F4C41"/>
    <w:rsid w:val="000F4FA7"/>
    <w:rsid w:val="000F536A"/>
    <w:rsid w:val="000F541D"/>
    <w:rsid w:val="000F5AD1"/>
    <w:rsid w:val="000F69FA"/>
    <w:rsid w:val="000F741C"/>
    <w:rsid w:val="000F7577"/>
    <w:rsid w:val="000F763F"/>
    <w:rsid w:val="000F7974"/>
    <w:rsid w:val="000F7C20"/>
    <w:rsid w:val="000F7ECD"/>
    <w:rsid w:val="000F7FB5"/>
    <w:rsid w:val="00100317"/>
    <w:rsid w:val="001004CA"/>
    <w:rsid w:val="0010087D"/>
    <w:rsid w:val="00100D31"/>
    <w:rsid w:val="001011EC"/>
    <w:rsid w:val="001013B1"/>
    <w:rsid w:val="001017C1"/>
    <w:rsid w:val="00101E92"/>
    <w:rsid w:val="00101F40"/>
    <w:rsid w:val="001024CF"/>
    <w:rsid w:val="00102769"/>
    <w:rsid w:val="00102A6F"/>
    <w:rsid w:val="00103847"/>
    <w:rsid w:val="00103913"/>
    <w:rsid w:val="00105234"/>
    <w:rsid w:val="00105E2B"/>
    <w:rsid w:val="0010619C"/>
    <w:rsid w:val="0010664D"/>
    <w:rsid w:val="001070CC"/>
    <w:rsid w:val="00110510"/>
    <w:rsid w:val="0011076D"/>
    <w:rsid w:val="00110DB1"/>
    <w:rsid w:val="00110DF0"/>
    <w:rsid w:val="001114D0"/>
    <w:rsid w:val="00111703"/>
    <w:rsid w:val="00111A96"/>
    <w:rsid w:val="00111AA3"/>
    <w:rsid w:val="00111E43"/>
    <w:rsid w:val="00111F29"/>
    <w:rsid w:val="0011254F"/>
    <w:rsid w:val="00113348"/>
    <w:rsid w:val="00113404"/>
    <w:rsid w:val="001134B4"/>
    <w:rsid w:val="00113DE8"/>
    <w:rsid w:val="0011424C"/>
    <w:rsid w:val="0011478A"/>
    <w:rsid w:val="00114B56"/>
    <w:rsid w:val="00114B96"/>
    <w:rsid w:val="00114E47"/>
    <w:rsid w:val="00115A20"/>
    <w:rsid w:val="00116647"/>
    <w:rsid w:val="00116DC7"/>
    <w:rsid w:val="00116F1D"/>
    <w:rsid w:val="00116F38"/>
    <w:rsid w:val="00116F84"/>
    <w:rsid w:val="00117D7A"/>
    <w:rsid w:val="00120112"/>
    <w:rsid w:val="00120AED"/>
    <w:rsid w:val="00120EA1"/>
    <w:rsid w:val="00121427"/>
    <w:rsid w:val="0012181E"/>
    <w:rsid w:val="00121C3F"/>
    <w:rsid w:val="00122048"/>
    <w:rsid w:val="001226E4"/>
    <w:rsid w:val="00122709"/>
    <w:rsid w:val="001228A0"/>
    <w:rsid w:val="0012338F"/>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2910"/>
    <w:rsid w:val="001330D5"/>
    <w:rsid w:val="00133239"/>
    <w:rsid w:val="00133603"/>
    <w:rsid w:val="00134904"/>
    <w:rsid w:val="001349AB"/>
    <w:rsid w:val="00134F4E"/>
    <w:rsid w:val="00134FB0"/>
    <w:rsid w:val="001350AC"/>
    <w:rsid w:val="001352EC"/>
    <w:rsid w:val="00135E0B"/>
    <w:rsid w:val="0013614B"/>
    <w:rsid w:val="001361A8"/>
    <w:rsid w:val="001365A5"/>
    <w:rsid w:val="00136690"/>
    <w:rsid w:val="001368CC"/>
    <w:rsid w:val="0013711A"/>
    <w:rsid w:val="001372CA"/>
    <w:rsid w:val="00137AFD"/>
    <w:rsid w:val="0014012A"/>
    <w:rsid w:val="00140AD8"/>
    <w:rsid w:val="00140BE4"/>
    <w:rsid w:val="00140DD6"/>
    <w:rsid w:val="00140E33"/>
    <w:rsid w:val="001411DE"/>
    <w:rsid w:val="00141399"/>
    <w:rsid w:val="00141A0B"/>
    <w:rsid w:val="00141AF4"/>
    <w:rsid w:val="00142E09"/>
    <w:rsid w:val="0014377B"/>
    <w:rsid w:val="00143D3A"/>
    <w:rsid w:val="0014507B"/>
    <w:rsid w:val="00145842"/>
    <w:rsid w:val="00145D32"/>
    <w:rsid w:val="00145F65"/>
    <w:rsid w:val="00145FDA"/>
    <w:rsid w:val="001460E0"/>
    <w:rsid w:val="00146902"/>
    <w:rsid w:val="00146DFA"/>
    <w:rsid w:val="0014794D"/>
    <w:rsid w:val="001479A6"/>
    <w:rsid w:val="00147E53"/>
    <w:rsid w:val="0015018D"/>
    <w:rsid w:val="00150228"/>
    <w:rsid w:val="001502C3"/>
    <w:rsid w:val="001504E8"/>
    <w:rsid w:val="00150536"/>
    <w:rsid w:val="0015105E"/>
    <w:rsid w:val="00152A3D"/>
    <w:rsid w:val="001531B1"/>
    <w:rsid w:val="001533B2"/>
    <w:rsid w:val="001534CA"/>
    <w:rsid w:val="0015369A"/>
    <w:rsid w:val="0015386A"/>
    <w:rsid w:val="00153C0A"/>
    <w:rsid w:val="001540F9"/>
    <w:rsid w:val="00154208"/>
    <w:rsid w:val="00154E90"/>
    <w:rsid w:val="00155261"/>
    <w:rsid w:val="001557A9"/>
    <w:rsid w:val="00155878"/>
    <w:rsid w:val="0015599D"/>
    <w:rsid w:val="00155A36"/>
    <w:rsid w:val="00155E65"/>
    <w:rsid w:val="0015606B"/>
    <w:rsid w:val="0015669A"/>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806"/>
    <w:rsid w:val="001639F3"/>
    <w:rsid w:val="00163D74"/>
    <w:rsid w:val="00163F7A"/>
    <w:rsid w:val="00164CD1"/>
    <w:rsid w:val="001655BD"/>
    <w:rsid w:val="00165634"/>
    <w:rsid w:val="001657C9"/>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40E5"/>
    <w:rsid w:val="00174587"/>
    <w:rsid w:val="0017474C"/>
    <w:rsid w:val="00174783"/>
    <w:rsid w:val="00175CF4"/>
    <w:rsid w:val="00175EFC"/>
    <w:rsid w:val="001762E2"/>
    <w:rsid w:val="001763FA"/>
    <w:rsid w:val="001763FC"/>
    <w:rsid w:val="00176592"/>
    <w:rsid w:val="00176CB5"/>
    <w:rsid w:val="00176E7D"/>
    <w:rsid w:val="00177026"/>
    <w:rsid w:val="0017707D"/>
    <w:rsid w:val="00177187"/>
    <w:rsid w:val="001773BC"/>
    <w:rsid w:val="00177DA2"/>
    <w:rsid w:val="00180887"/>
    <w:rsid w:val="00180A83"/>
    <w:rsid w:val="001813AB"/>
    <w:rsid w:val="001819C6"/>
    <w:rsid w:val="00181B78"/>
    <w:rsid w:val="0018211C"/>
    <w:rsid w:val="001821F8"/>
    <w:rsid w:val="0018235F"/>
    <w:rsid w:val="00182CBE"/>
    <w:rsid w:val="001831B3"/>
    <w:rsid w:val="001845FA"/>
    <w:rsid w:val="00185115"/>
    <w:rsid w:val="0018522B"/>
    <w:rsid w:val="001854A8"/>
    <w:rsid w:val="00185D40"/>
    <w:rsid w:val="001864B0"/>
    <w:rsid w:val="00186C17"/>
    <w:rsid w:val="001879F1"/>
    <w:rsid w:val="00190180"/>
    <w:rsid w:val="00190A43"/>
    <w:rsid w:val="00190D0B"/>
    <w:rsid w:val="00190E61"/>
    <w:rsid w:val="001912FB"/>
    <w:rsid w:val="00191608"/>
    <w:rsid w:val="00191664"/>
    <w:rsid w:val="00192065"/>
    <w:rsid w:val="0019263A"/>
    <w:rsid w:val="001941AA"/>
    <w:rsid w:val="00194F73"/>
    <w:rsid w:val="00195EC2"/>
    <w:rsid w:val="00195F99"/>
    <w:rsid w:val="001965F0"/>
    <w:rsid w:val="00196906"/>
    <w:rsid w:val="00196935"/>
    <w:rsid w:val="001A016C"/>
    <w:rsid w:val="001A0422"/>
    <w:rsid w:val="001A09FC"/>
    <w:rsid w:val="001A0AF7"/>
    <w:rsid w:val="001A102F"/>
    <w:rsid w:val="001A1948"/>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9F0"/>
    <w:rsid w:val="001A6D5E"/>
    <w:rsid w:val="001A79AA"/>
    <w:rsid w:val="001A7DDA"/>
    <w:rsid w:val="001A7F95"/>
    <w:rsid w:val="001B05E5"/>
    <w:rsid w:val="001B07B0"/>
    <w:rsid w:val="001B0854"/>
    <w:rsid w:val="001B0992"/>
    <w:rsid w:val="001B0AC4"/>
    <w:rsid w:val="001B1120"/>
    <w:rsid w:val="001B1160"/>
    <w:rsid w:val="001B15E2"/>
    <w:rsid w:val="001B163A"/>
    <w:rsid w:val="001B16B4"/>
    <w:rsid w:val="001B1E85"/>
    <w:rsid w:val="001B1EBF"/>
    <w:rsid w:val="001B253D"/>
    <w:rsid w:val="001B277C"/>
    <w:rsid w:val="001B2C6A"/>
    <w:rsid w:val="001B2F19"/>
    <w:rsid w:val="001B2F69"/>
    <w:rsid w:val="001B35E9"/>
    <w:rsid w:val="001B35ED"/>
    <w:rsid w:val="001B369D"/>
    <w:rsid w:val="001B4262"/>
    <w:rsid w:val="001B450E"/>
    <w:rsid w:val="001B46DB"/>
    <w:rsid w:val="001B4F75"/>
    <w:rsid w:val="001B5942"/>
    <w:rsid w:val="001B5D0E"/>
    <w:rsid w:val="001B5DDB"/>
    <w:rsid w:val="001B5EDA"/>
    <w:rsid w:val="001B5FB9"/>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9E7"/>
    <w:rsid w:val="001C32C6"/>
    <w:rsid w:val="001C3C93"/>
    <w:rsid w:val="001C3E2D"/>
    <w:rsid w:val="001C48C7"/>
    <w:rsid w:val="001C49D0"/>
    <w:rsid w:val="001C4A9E"/>
    <w:rsid w:val="001C5D49"/>
    <w:rsid w:val="001C5D7D"/>
    <w:rsid w:val="001C6664"/>
    <w:rsid w:val="001C69A9"/>
    <w:rsid w:val="001C6CAB"/>
    <w:rsid w:val="001C6CC1"/>
    <w:rsid w:val="001C6F99"/>
    <w:rsid w:val="001C6FAA"/>
    <w:rsid w:val="001C7130"/>
    <w:rsid w:val="001C7E70"/>
    <w:rsid w:val="001D0068"/>
    <w:rsid w:val="001D01C6"/>
    <w:rsid w:val="001D092F"/>
    <w:rsid w:val="001D190C"/>
    <w:rsid w:val="001D1AEF"/>
    <w:rsid w:val="001D1F00"/>
    <w:rsid w:val="001D244E"/>
    <w:rsid w:val="001D24F1"/>
    <w:rsid w:val="001D2A3E"/>
    <w:rsid w:val="001D2F42"/>
    <w:rsid w:val="001D2F4B"/>
    <w:rsid w:val="001D319E"/>
    <w:rsid w:val="001D3AD1"/>
    <w:rsid w:val="001D478B"/>
    <w:rsid w:val="001D4970"/>
    <w:rsid w:val="001D55CC"/>
    <w:rsid w:val="001D5F02"/>
    <w:rsid w:val="001D5F31"/>
    <w:rsid w:val="001D6186"/>
    <w:rsid w:val="001D61BE"/>
    <w:rsid w:val="001D62AF"/>
    <w:rsid w:val="001D637E"/>
    <w:rsid w:val="001D6652"/>
    <w:rsid w:val="001D6997"/>
    <w:rsid w:val="001D69E5"/>
    <w:rsid w:val="001D6B3D"/>
    <w:rsid w:val="001D7104"/>
    <w:rsid w:val="001D7A25"/>
    <w:rsid w:val="001D7B5D"/>
    <w:rsid w:val="001E075F"/>
    <w:rsid w:val="001E0933"/>
    <w:rsid w:val="001E0EF0"/>
    <w:rsid w:val="001E13D8"/>
    <w:rsid w:val="001E14E8"/>
    <w:rsid w:val="001E1627"/>
    <w:rsid w:val="001E18BD"/>
    <w:rsid w:val="001E1C7A"/>
    <w:rsid w:val="001E1DBA"/>
    <w:rsid w:val="001E1EF2"/>
    <w:rsid w:val="001E24F8"/>
    <w:rsid w:val="001E290B"/>
    <w:rsid w:val="001E2E78"/>
    <w:rsid w:val="001E385F"/>
    <w:rsid w:val="001E39E4"/>
    <w:rsid w:val="001E41DD"/>
    <w:rsid w:val="001E490C"/>
    <w:rsid w:val="001E4942"/>
    <w:rsid w:val="001E4C68"/>
    <w:rsid w:val="001E4D21"/>
    <w:rsid w:val="001E50FD"/>
    <w:rsid w:val="001E5310"/>
    <w:rsid w:val="001E59DC"/>
    <w:rsid w:val="001E5CAA"/>
    <w:rsid w:val="001E5DD7"/>
    <w:rsid w:val="001E5EEE"/>
    <w:rsid w:val="001E7358"/>
    <w:rsid w:val="001E750F"/>
    <w:rsid w:val="001E7C72"/>
    <w:rsid w:val="001E7EDD"/>
    <w:rsid w:val="001F003E"/>
    <w:rsid w:val="001F01E8"/>
    <w:rsid w:val="001F02CD"/>
    <w:rsid w:val="001F0793"/>
    <w:rsid w:val="001F0B7F"/>
    <w:rsid w:val="001F0CD0"/>
    <w:rsid w:val="001F0ECE"/>
    <w:rsid w:val="001F0F71"/>
    <w:rsid w:val="001F16F9"/>
    <w:rsid w:val="001F19D1"/>
    <w:rsid w:val="001F1B69"/>
    <w:rsid w:val="001F1D9A"/>
    <w:rsid w:val="001F2740"/>
    <w:rsid w:val="001F2C3A"/>
    <w:rsid w:val="001F3531"/>
    <w:rsid w:val="001F3696"/>
    <w:rsid w:val="001F3B5B"/>
    <w:rsid w:val="001F3BDD"/>
    <w:rsid w:val="001F42FF"/>
    <w:rsid w:val="001F44B4"/>
    <w:rsid w:val="001F44D3"/>
    <w:rsid w:val="001F4510"/>
    <w:rsid w:val="001F58D3"/>
    <w:rsid w:val="001F5BEC"/>
    <w:rsid w:val="001F605D"/>
    <w:rsid w:val="001F65A4"/>
    <w:rsid w:val="001F65E0"/>
    <w:rsid w:val="001F6CEB"/>
    <w:rsid w:val="001F6EE3"/>
    <w:rsid w:val="001F7362"/>
    <w:rsid w:val="001F7AE9"/>
    <w:rsid w:val="001F7C33"/>
    <w:rsid w:val="001F7CFD"/>
    <w:rsid w:val="001F7EA0"/>
    <w:rsid w:val="00200281"/>
    <w:rsid w:val="0020036F"/>
    <w:rsid w:val="0020072F"/>
    <w:rsid w:val="00200D1F"/>
    <w:rsid w:val="002011D5"/>
    <w:rsid w:val="00201C2D"/>
    <w:rsid w:val="00201D5A"/>
    <w:rsid w:val="00202242"/>
    <w:rsid w:val="00202C8A"/>
    <w:rsid w:val="00203367"/>
    <w:rsid w:val="0020357F"/>
    <w:rsid w:val="00203D37"/>
    <w:rsid w:val="00204157"/>
    <w:rsid w:val="00204438"/>
    <w:rsid w:val="00204A44"/>
    <w:rsid w:val="0020546E"/>
    <w:rsid w:val="00206147"/>
    <w:rsid w:val="002064F3"/>
    <w:rsid w:val="002069A8"/>
    <w:rsid w:val="00206BA6"/>
    <w:rsid w:val="00206EE7"/>
    <w:rsid w:val="002070D4"/>
    <w:rsid w:val="002074FB"/>
    <w:rsid w:val="0020789A"/>
    <w:rsid w:val="00207C83"/>
    <w:rsid w:val="00210197"/>
    <w:rsid w:val="0021036A"/>
    <w:rsid w:val="00210629"/>
    <w:rsid w:val="002106F7"/>
    <w:rsid w:val="00210869"/>
    <w:rsid w:val="00210BDF"/>
    <w:rsid w:val="00210D96"/>
    <w:rsid w:val="002116AD"/>
    <w:rsid w:val="00211999"/>
    <w:rsid w:val="00212078"/>
    <w:rsid w:val="002123A4"/>
    <w:rsid w:val="002125D3"/>
    <w:rsid w:val="002126CD"/>
    <w:rsid w:val="00213773"/>
    <w:rsid w:val="00213A16"/>
    <w:rsid w:val="00213B0E"/>
    <w:rsid w:val="00213CBC"/>
    <w:rsid w:val="002141FB"/>
    <w:rsid w:val="002146CA"/>
    <w:rsid w:val="002147D6"/>
    <w:rsid w:val="0021575B"/>
    <w:rsid w:val="00215783"/>
    <w:rsid w:val="00215939"/>
    <w:rsid w:val="0021669B"/>
    <w:rsid w:val="002167C3"/>
    <w:rsid w:val="00216876"/>
    <w:rsid w:val="00216B88"/>
    <w:rsid w:val="00217161"/>
    <w:rsid w:val="0022018A"/>
    <w:rsid w:val="00220ADA"/>
    <w:rsid w:val="00220B7B"/>
    <w:rsid w:val="002216A6"/>
    <w:rsid w:val="0022180E"/>
    <w:rsid w:val="00221E07"/>
    <w:rsid w:val="002220BA"/>
    <w:rsid w:val="0022252D"/>
    <w:rsid w:val="002227B3"/>
    <w:rsid w:val="00222C92"/>
    <w:rsid w:val="00222CE3"/>
    <w:rsid w:val="002235D7"/>
    <w:rsid w:val="002239C4"/>
    <w:rsid w:val="00224617"/>
    <w:rsid w:val="002253FA"/>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739"/>
    <w:rsid w:val="00231839"/>
    <w:rsid w:val="0023262B"/>
    <w:rsid w:val="00232933"/>
    <w:rsid w:val="00232A4E"/>
    <w:rsid w:val="0023346F"/>
    <w:rsid w:val="00233666"/>
    <w:rsid w:val="002336FE"/>
    <w:rsid w:val="00233A7D"/>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1F0B"/>
    <w:rsid w:val="0024285E"/>
    <w:rsid w:val="00242F79"/>
    <w:rsid w:val="00242FA8"/>
    <w:rsid w:val="00243010"/>
    <w:rsid w:val="0024307C"/>
    <w:rsid w:val="0024310E"/>
    <w:rsid w:val="00243204"/>
    <w:rsid w:val="00243A8E"/>
    <w:rsid w:val="00243AC5"/>
    <w:rsid w:val="0024405D"/>
    <w:rsid w:val="00244516"/>
    <w:rsid w:val="00244626"/>
    <w:rsid w:val="00244CF8"/>
    <w:rsid w:val="002454F0"/>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FD5"/>
    <w:rsid w:val="00251167"/>
    <w:rsid w:val="002511BA"/>
    <w:rsid w:val="00251C77"/>
    <w:rsid w:val="002526B9"/>
    <w:rsid w:val="00252899"/>
    <w:rsid w:val="00252C10"/>
    <w:rsid w:val="00252DD3"/>
    <w:rsid w:val="0025353B"/>
    <w:rsid w:val="0025394F"/>
    <w:rsid w:val="00253B97"/>
    <w:rsid w:val="002544CB"/>
    <w:rsid w:val="00254724"/>
    <w:rsid w:val="00255D8E"/>
    <w:rsid w:val="00256584"/>
    <w:rsid w:val="00256C48"/>
    <w:rsid w:val="00256C9F"/>
    <w:rsid w:val="00256EF8"/>
    <w:rsid w:val="002570D5"/>
    <w:rsid w:val="00257177"/>
    <w:rsid w:val="00257688"/>
    <w:rsid w:val="00257730"/>
    <w:rsid w:val="00257803"/>
    <w:rsid w:val="00257B74"/>
    <w:rsid w:val="00257CD8"/>
    <w:rsid w:val="002610D8"/>
    <w:rsid w:val="00261A6C"/>
    <w:rsid w:val="002629E2"/>
    <w:rsid w:val="00262BA8"/>
    <w:rsid w:val="00262BC8"/>
    <w:rsid w:val="002630FB"/>
    <w:rsid w:val="002633F4"/>
    <w:rsid w:val="00263BDD"/>
    <w:rsid w:val="002641D9"/>
    <w:rsid w:val="002643C5"/>
    <w:rsid w:val="00264917"/>
    <w:rsid w:val="002651EC"/>
    <w:rsid w:val="00265564"/>
    <w:rsid w:val="00265A0E"/>
    <w:rsid w:val="00265A0F"/>
    <w:rsid w:val="00265C78"/>
    <w:rsid w:val="00265DC2"/>
    <w:rsid w:val="0026638C"/>
    <w:rsid w:val="00266E7D"/>
    <w:rsid w:val="00266F00"/>
    <w:rsid w:val="00266F78"/>
    <w:rsid w:val="002670EF"/>
    <w:rsid w:val="002671A2"/>
    <w:rsid w:val="00267A38"/>
    <w:rsid w:val="00267F5F"/>
    <w:rsid w:val="00270965"/>
    <w:rsid w:val="00271899"/>
    <w:rsid w:val="00271E5D"/>
    <w:rsid w:val="00271F60"/>
    <w:rsid w:val="00272082"/>
    <w:rsid w:val="0027278D"/>
    <w:rsid w:val="002728D2"/>
    <w:rsid w:val="0027349D"/>
    <w:rsid w:val="00273516"/>
    <w:rsid w:val="00273985"/>
    <w:rsid w:val="00273B82"/>
    <w:rsid w:val="00273E7A"/>
    <w:rsid w:val="00274372"/>
    <w:rsid w:val="0027475A"/>
    <w:rsid w:val="00274BF0"/>
    <w:rsid w:val="002752B8"/>
    <w:rsid w:val="002755FE"/>
    <w:rsid w:val="00275F56"/>
    <w:rsid w:val="00275F6F"/>
    <w:rsid w:val="002765B7"/>
    <w:rsid w:val="00276B85"/>
    <w:rsid w:val="00276EAA"/>
    <w:rsid w:val="0027769C"/>
    <w:rsid w:val="00277713"/>
    <w:rsid w:val="00277DBC"/>
    <w:rsid w:val="00277F64"/>
    <w:rsid w:val="00280550"/>
    <w:rsid w:val="002806EC"/>
    <w:rsid w:val="00281063"/>
    <w:rsid w:val="00281676"/>
    <w:rsid w:val="002818CB"/>
    <w:rsid w:val="00281E32"/>
    <w:rsid w:val="00282479"/>
    <w:rsid w:val="002824C4"/>
    <w:rsid w:val="0028276E"/>
    <w:rsid w:val="002827F3"/>
    <w:rsid w:val="002829BD"/>
    <w:rsid w:val="00282B3E"/>
    <w:rsid w:val="00282C1F"/>
    <w:rsid w:val="00282C6C"/>
    <w:rsid w:val="00283229"/>
    <w:rsid w:val="00283440"/>
    <w:rsid w:val="0028347B"/>
    <w:rsid w:val="00283B7F"/>
    <w:rsid w:val="0028468D"/>
    <w:rsid w:val="0028470C"/>
    <w:rsid w:val="00284831"/>
    <w:rsid w:val="00284B5F"/>
    <w:rsid w:val="00284C6A"/>
    <w:rsid w:val="0028596B"/>
    <w:rsid w:val="00285C70"/>
    <w:rsid w:val="00285C8C"/>
    <w:rsid w:val="00285FB9"/>
    <w:rsid w:val="00286219"/>
    <w:rsid w:val="00286A03"/>
    <w:rsid w:val="00286FF4"/>
    <w:rsid w:val="00287514"/>
    <w:rsid w:val="0028791B"/>
    <w:rsid w:val="00287C1D"/>
    <w:rsid w:val="00287E44"/>
    <w:rsid w:val="00287F79"/>
    <w:rsid w:val="002900A9"/>
    <w:rsid w:val="0029022A"/>
    <w:rsid w:val="002906E8"/>
    <w:rsid w:val="00290A6D"/>
    <w:rsid w:val="00290C43"/>
    <w:rsid w:val="00290C90"/>
    <w:rsid w:val="00290E50"/>
    <w:rsid w:val="002913BC"/>
    <w:rsid w:val="002916DB"/>
    <w:rsid w:val="0029190A"/>
    <w:rsid w:val="0029195A"/>
    <w:rsid w:val="002919A1"/>
    <w:rsid w:val="00292F2E"/>
    <w:rsid w:val="00293271"/>
    <w:rsid w:val="0029334B"/>
    <w:rsid w:val="00293587"/>
    <w:rsid w:val="002937CB"/>
    <w:rsid w:val="00293896"/>
    <w:rsid w:val="00293ED1"/>
    <w:rsid w:val="002948BB"/>
    <w:rsid w:val="00294A06"/>
    <w:rsid w:val="00294F88"/>
    <w:rsid w:val="00294FFB"/>
    <w:rsid w:val="002954FD"/>
    <w:rsid w:val="00296242"/>
    <w:rsid w:val="00296CE6"/>
    <w:rsid w:val="002973DF"/>
    <w:rsid w:val="00297864"/>
    <w:rsid w:val="00297D6A"/>
    <w:rsid w:val="002A0190"/>
    <w:rsid w:val="002A0702"/>
    <w:rsid w:val="002A0983"/>
    <w:rsid w:val="002A0AFF"/>
    <w:rsid w:val="002A0BF5"/>
    <w:rsid w:val="002A0E8F"/>
    <w:rsid w:val="002A1128"/>
    <w:rsid w:val="002A158C"/>
    <w:rsid w:val="002A24EB"/>
    <w:rsid w:val="002A2C5E"/>
    <w:rsid w:val="002A2D66"/>
    <w:rsid w:val="002A428E"/>
    <w:rsid w:val="002A42C1"/>
    <w:rsid w:val="002A46FA"/>
    <w:rsid w:val="002A4DC4"/>
    <w:rsid w:val="002A5043"/>
    <w:rsid w:val="002A5227"/>
    <w:rsid w:val="002A52F6"/>
    <w:rsid w:val="002A5495"/>
    <w:rsid w:val="002A57BC"/>
    <w:rsid w:val="002A581C"/>
    <w:rsid w:val="002A5A35"/>
    <w:rsid w:val="002A63AF"/>
    <w:rsid w:val="002A723F"/>
    <w:rsid w:val="002B00FE"/>
    <w:rsid w:val="002B0D3F"/>
    <w:rsid w:val="002B0E27"/>
    <w:rsid w:val="002B0E85"/>
    <w:rsid w:val="002B10B6"/>
    <w:rsid w:val="002B10D3"/>
    <w:rsid w:val="002B1113"/>
    <w:rsid w:val="002B1158"/>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62F0"/>
    <w:rsid w:val="002B63D3"/>
    <w:rsid w:val="002B6815"/>
    <w:rsid w:val="002B6AB1"/>
    <w:rsid w:val="002B71D1"/>
    <w:rsid w:val="002B729C"/>
    <w:rsid w:val="002C0144"/>
    <w:rsid w:val="002C0CAC"/>
    <w:rsid w:val="002C153B"/>
    <w:rsid w:val="002C1C2A"/>
    <w:rsid w:val="002C1F28"/>
    <w:rsid w:val="002C254B"/>
    <w:rsid w:val="002C25DE"/>
    <w:rsid w:val="002C2686"/>
    <w:rsid w:val="002C26F6"/>
    <w:rsid w:val="002C27E8"/>
    <w:rsid w:val="002C2ACB"/>
    <w:rsid w:val="002C2F60"/>
    <w:rsid w:val="002C349A"/>
    <w:rsid w:val="002C41CB"/>
    <w:rsid w:val="002C4A37"/>
    <w:rsid w:val="002C5C58"/>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40A5"/>
    <w:rsid w:val="002D4275"/>
    <w:rsid w:val="002D4377"/>
    <w:rsid w:val="002D48E1"/>
    <w:rsid w:val="002D61C8"/>
    <w:rsid w:val="002D629E"/>
    <w:rsid w:val="002D6E9A"/>
    <w:rsid w:val="002D726B"/>
    <w:rsid w:val="002D75DB"/>
    <w:rsid w:val="002D7782"/>
    <w:rsid w:val="002E0067"/>
    <w:rsid w:val="002E02D0"/>
    <w:rsid w:val="002E0489"/>
    <w:rsid w:val="002E04C0"/>
    <w:rsid w:val="002E0544"/>
    <w:rsid w:val="002E1DF4"/>
    <w:rsid w:val="002E2708"/>
    <w:rsid w:val="002E2C3B"/>
    <w:rsid w:val="002E3206"/>
    <w:rsid w:val="002E3565"/>
    <w:rsid w:val="002E3C37"/>
    <w:rsid w:val="002E49AC"/>
    <w:rsid w:val="002E4BA7"/>
    <w:rsid w:val="002E4D3D"/>
    <w:rsid w:val="002E4FF2"/>
    <w:rsid w:val="002E516C"/>
    <w:rsid w:val="002E5CA7"/>
    <w:rsid w:val="002E5E64"/>
    <w:rsid w:val="002E668B"/>
    <w:rsid w:val="002E688D"/>
    <w:rsid w:val="002E6A72"/>
    <w:rsid w:val="002E7235"/>
    <w:rsid w:val="002E74C8"/>
    <w:rsid w:val="002E7DEA"/>
    <w:rsid w:val="002F0276"/>
    <w:rsid w:val="002F10E7"/>
    <w:rsid w:val="002F11F9"/>
    <w:rsid w:val="002F1274"/>
    <w:rsid w:val="002F13E0"/>
    <w:rsid w:val="002F16CB"/>
    <w:rsid w:val="002F1742"/>
    <w:rsid w:val="002F1AB0"/>
    <w:rsid w:val="002F1B2F"/>
    <w:rsid w:val="002F29D0"/>
    <w:rsid w:val="002F29E3"/>
    <w:rsid w:val="002F3247"/>
    <w:rsid w:val="002F3C64"/>
    <w:rsid w:val="002F3C73"/>
    <w:rsid w:val="002F4431"/>
    <w:rsid w:val="002F47E7"/>
    <w:rsid w:val="002F510D"/>
    <w:rsid w:val="002F5F61"/>
    <w:rsid w:val="002F72D0"/>
    <w:rsid w:val="002F7881"/>
    <w:rsid w:val="00300081"/>
    <w:rsid w:val="0030023E"/>
    <w:rsid w:val="0030059B"/>
    <w:rsid w:val="00300983"/>
    <w:rsid w:val="003009DC"/>
    <w:rsid w:val="00300DE8"/>
    <w:rsid w:val="00300FC5"/>
    <w:rsid w:val="003011C0"/>
    <w:rsid w:val="00301277"/>
    <w:rsid w:val="00301837"/>
    <w:rsid w:val="003019CD"/>
    <w:rsid w:val="00302CE7"/>
    <w:rsid w:val="0030341B"/>
    <w:rsid w:val="003034D2"/>
    <w:rsid w:val="0030373E"/>
    <w:rsid w:val="00303A1B"/>
    <w:rsid w:val="00303CEE"/>
    <w:rsid w:val="003043AA"/>
    <w:rsid w:val="003045BE"/>
    <w:rsid w:val="003055D2"/>
    <w:rsid w:val="00305B61"/>
    <w:rsid w:val="00305F53"/>
    <w:rsid w:val="003060F3"/>
    <w:rsid w:val="0030612A"/>
    <w:rsid w:val="00306639"/>
    <w:rsid w:val="003068EC"/>
    <w:rsid w:val="00306C01"/>
    <w:rsid w:val="0030759B"/>
    <w:rsid w:val="003076C4"/>
    <w:rsid w:val="003079A6"/>
    <w:rsid w:val="0031024D"/>
    <w:rsid w:val="003106C8"/>
    <w:rsid w:val="0031076D"/>
    <w:rsid w:val="003107CE"/>
    <w:rsid w:val="00310E3F"/>
    <w:rsid w:val="00311270"/>
    <w:rsid w:val="0031165B"/>
    <w:rsid w:val="0031175D"/>
    <w:rsid w:val="003119DD"/>
    <w:rsid w:val="00312297"/>
    <w:rsid w:val="0031300C"/>
    <w:rsid w:val="0031309E"/>
    <w:rsid w:val="00313367"/>
    <w:rsid w:val="0031354F"/>
    <w:rsid w:val="003136C5"/>
    <w:rsid w:val="00314614"/>
    <w:rsid w:val="00314739"/>
    <w:rsid w:val="00314773"/>
    <w:rsid w:val="00314BD5"/>
    <w:rsid w:val="00314F8A"/>
    <w:rsid w:val="003151F3"/>
    <w:rsid w:val="003152B9"/>
    <w:rsid w:val="003152FA"/>
    <w:rsid w:val="003154DB"/>
    <w:rsid w:val="00316779"/>
    <w:rsid w:val="0031702D"/>
    <w:rsid w:val="0031703A"/>
    <w:rsid w:val="00317DA5"/>
    <w:rsid w:val="003201D0"/>
    <w:rsid w:val="0032047C"/>
    <w:rsid w:val="003205E0"/>
    <w:rsid w:val="00321010"/>
    <w:rsid w:val="00321179"/>
    <w:rsid w:val="00321386"/>
    <w:rsid w:val="00321650"/>
    <w:rsid w:val="00321788"/>
    <w:rsid w:val="00321848"/>
    <w:rsid w:val="003218BC"/>
    <w:rsid w:val="00321A30"/>
    <w:rsid w:val="00321CB3"/>
    <w:rsid w:val="00322341"/>
    <w:rsid w:val="00322E0E"/>
    <w:rsid w:val="0032345B"/>
    <w:rsid w:val="003235FE"/>
    <w:rsid w:val="00323C0E"/>
    <w:rsid w:val="00324FF5"/>
    <w:rsid w:val="003256A0"/>
    <w:rsid w:val="003265DE"/>
    <w:rsid w:val="00326A08"/>
    <w:rsid w:val="0032733A"/>
    <w:rsid w:val="003275D6"/>
    <w:rsid w:val="0032767E"/>
    <w:rsid w:val="003277C6"/>
    <w:rsid w:val="00327845"/>
    <w:rsid w:val="00327B0E"/>
    <w:rsid w:val="003302CF"/>
    <w:rsid w:val="00330559"/>
    <w:rsid w:val="00330B86"/>
    <w:rsid w:val="00330DB5"/>
    <w:rsid w:val="00331023"/>
    <w:rsid w:val="00331306"/>
    <w:rsid w:val="00331659"/>
    <w:rsid w:val="003319C5"/>
    <w:rsid w:val="00331A58"/>
    <w:rsid w:val="003320F9"/>
    <w:rsid w:val="003327BD"/>
    <w:rsid w:val="00333105"/>
    <w:rsid w:val="0033311A"/>
    <w:rsid w:val="00333676"/>
    <w:rsid w:val="003338EB"/>
    <w:rsid w:val="00334446"/>
    <w:rsid w:val="0033444C"/>
    <w:rsid w:val="00334512"/>
    <w:rsid w:val="003346EE"/>
    <w:rsid w:val="00334725"/>
    <w:rsid w:val="0033493A"/>
    <w:rsid w:val="00334A38"/>
    <w:rsid w:val="00334AF1"/>
    <w:rsid w:val="003353D5"/>
    <w:rsid w:val="003353FD"/>
    <w:rsid w:val="00335A53"/>
    <w:rsid w:val="00336452"/>
    <w:rsid w:val="00336905"/>
    <w:rsid w:val="003379A4"/>
    <w:rsid w:val="00337A7F"/>
    <w:rsid w:val="00337BB0"/>
    <w:rsid w:val="00337CB6"/>
    <w:rsid w:val="00337FFC"/>
    <w:rsid w:val="003403AE"/>
    <w:rsid w:val="003409BD"/>
    <w:rsid w:val="00340D68"/>
    <w:rsid w:val="0034111B"/>
    <w:rsid w:val="00341DFB"/>
    <w:rsid w:val="00342559"/>
    <w:rsid w:val="00342D1A"/>
    <w:rsid w:val="00342E8E"/>
    <w:rsid w:val="0034339B"/>
    <w:rsid w:val="0034346B"/>
    <w:rsid w:val="00343574"/>
    <w:rsid w:val="0034360C"/>
    <w:rsid w:val="00343860"/>
    <w:rsid w:val="003438BC"/>
    <w:rsid w:val="00343AB5"/>
    <w:rsid w:val="003444FD"/>
    <w:rsid w:val="00344CEF"/>
    <w:rsid w:val="00344F44"/>
    <w:rsid w:val="00345034"/>
    <w:rsid w:val="0034511C"/>
    <w:rsid w:val="00345191"/>
    <w:rsid w:val="00345441"/>
    <w:rsid w:val="0034550A"/>
    <w:rsid w:val="00345B7B"/>
    <w:rsid w:val="0034620C"/>
    <w:rsid w:val="00346579"/>
    <w:rsid w:val="00346C50"/>
    <w:rsid w:val="003474B3"/>
    <w:rsid w:val="00347A1B"/>
    <w:rsid w:val="00347CA3"/>
    <w:rsid w:val="00347F9F"/>
    <w:rsid w:val="00350F2C"/>
    <w:rsid w:val="00351032"/>
    <w:rsid w:val="0035149A"/>
    <w:rsid w:val="00351668"/>
    <w:rsid w:val="00351B41"/>
    <w:rsid w:val="00352775"/>
    <w:rsid w:val="00352F14"/>
    <w:rsid w:val="003530B3"/>
    <w:rsid w:val="00355090"/>
    <w:rsid w:val="0035546F"/>
    <w:rsid w:val="003554BD"/>
    <w:rsid w:val="003554CE"/>
    <w:rsid w:val="00355A18"/>
    <w:rsid w:val="00356586"/>
    <w:rsid w:val="00356792"/>
    <w:rsid w:val="003571E2"/>
    <w:rsid w:val="00360A82"/>
    <w:rsid w:val="00361062"/>
    <w:rsid w:val="003610F5"/>
    <w:rsid w:val="003616F4"/>
    <w:rsid w:val="003617C3"/>
    <w:rsid w:val="003619AE"/>
    <w:rsid w:val="003624D9"/>
    <w:rsid w:val="00362B5E"/>
    <w:rsid w:val="003638E9"/>
    <w:rsid w:val="00363DE6"/>
    <w:rsid w:val="00363E4E"/>
    <w:rsid w:val="00363F74"/>
    <w:rsid w:val="00363FF6"/>
    <w:rsid w:val="003643A5"/>
    <w:rsid w:val="00364A3C"/>
    <w:rsid w:val="00364D97"/>
    <w:rsid w:val="00365093"/>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334A"/>
    <w:rsid w:val="003734B3"/>
    <w:rsid w:val="0037423B"/>
    <w:rsid w:val="0037443B"/>
    <w:rsid w:val="0037465C"/>
    <w:rsid w:val="00374D3E"/>
    <w:rsid w:val="0037543D"/>
    <w:rsid w:val="003757FB"/>
    <w:rsid w:val="00375820"/>
    <w:rsid w:val="00375B14"/>
    <w:rsid w:val="00375C95"/>
    <w:rsid w:val="00375D85"/>
    <w:rsid w:val="003760FD"/>
    <w:rsid w:val="003769D5"/>
    <w:rsid w:val="00377475"/>
    <w:rsid w:val="00377A8C"/>
    <w:rsid w:val="0038054C"/>
    <w:rsid w:val="0038061C"/>
    <w:rsid w:val="00381168"/>
    <w:rsid w:val="0038142C"/>
    <w:rsid w:val="00381BE1"/>
    <w:rsid w:val="00381E3D"/>
    <w:rsid w:val="00381EA0"/>
    <w:rsid w:val="003823DE"/>
    <w:rsid w:val="003825CB"/>
    <w:rsid w:val="003825F4"/>
    <w:rsid w:val="00382F31"/>
    <w:rsid w:val="003830B9"/>
    <w:rsid w:val="00383181"/>
    <w:rsid w:val="003831C2"/>
    <w:rsid w:val="00383338"/>
    <w:rsid w:val="0038339B"/>
    <w:rsid w:val="00383701"/>
    <w:rsid w:val="003840B4"/>
    <w:rsid w:val="00384187"/>
    <w:rsid w:val="00384563"/>
    <w:rsid w:val="0038458A"/>
    <w:rsid w:val="00384744"/>
    <w:rsid w:val="00384900"/>
    <w:rsid w:val="00384D8F"/>
    <w:rsid w:val="00384DCE"/>
    <w:rsid w:val="00384EF8"/>
    <w:rsid w:val="00385ADC"/>
    <w:rsid w:val="00386891"/>
    <w:rsid w:val="00386A21"/>
    <w:rsid w:val="00386E26"/>
    <w:rsid w:val="0038735C"/>
    <w:rsid w:val="003874B4"/>
    <w:rsid w:val="00387627"/>
    <w:rsid w:val="00387631"/>
    <w:rsid w:val="00387823"/>
    <w:rsid w:val="00387FAE"/>
    <w:rsid w:val="00390044"/>
    <w:rsid w:val="003903FB"/>
    <w:rsid w:val="00390644"/>
    <w:rsid w:val="0039066F"/>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94C"/>
    <w:rsid w:val="00393E76"/>
    <w:rsid w:val="00393FA8"/>
    <w:rsid w:val="00394FE8"/>
    <w:rsid w:val="00395069"/>
    <w:rsid w:val="00395344"/>
    <w:rsid w:val="003955AD"/>
    <w:rsid w:val="00395A0A"/>
    <w:rsid w:val="00396674"/>
    <w:rsid w:val="00396C46"/>
    <w:rsid w:val="00397520"/>
    <w:rsid w:val="00397BF1"/>
    <w:rsid w:val="00397FCB"/>
    <w:rsid w:val="003A0A67"/>
    <w:rsid w:val="003A1273"/>
    <w:rsid w:val="003A1596"/>
    <w:rsid w:val="003A164E"/>
    <w:rsid w:val="003A1FEA"/>
    <w:rsid w:val="003A3195"/>
    <w:rsid w:val="003A344A"/>
    <w:rsid w:val="003A3622"/>
    <w:rsid w:val="003A36D4"/>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DFF"/>
    <w:rsid w:val="003A7FD9"/>
    <w:rsid w:val="003B00E9"/>
    <w:rsid w:val="003B02DF"/>
    <w:rsid w:val="003B099A"/>
    <w:rsid w:val="003B0A8B"/>
    <w:rsid w:val="003B1083"/>
    <w:rsid w:val="003B12DB"/>
    <w:rsid w:val="003B1870"/>
    <w:rsid w:val="003B1C5D"/>
    <w:rsid w:val="003B1EAD"/>
    <w:rsid w:val="003B1F1C"/>
    <w:rsid w:val="003B2120"/>
    <w:rsid w:val="003B23A8"/>
    <w:rsid w:val="003B292A"/>
    <w:rsid w:val="003B31FD"/>
    <w:rsid w:val="003B3822"/>
    <w:rsid w:val="003B3BAD"/>
    <w:rsid w:val="003B3F02"/>
    <w:rsid w:val="003B3F64"/>
    <w:rsid w:val="003B4216"/>
    <w:rsid w:val="003B43A2"/>
    <w:rsid w:val="003B4644"/>
    <w:rsid w:val="003B4B26"/>
    <w:rsid w:val="003B4E29"/>
    <w:rsid w:val="003B5306"/>
    <w:rsid w:val="003B5757"/>
    <w:rsid w:val="003B6179"/>
    <w:rsid w:val="003B69D0"/>
    <w:rsid w:val="003B6A8D"/>
    <w:rsid w:val="003B7B4D"/>
    <w:rsid w:val="003C0125"/>
    <w:rsid w:val="003C02E0"/>
    <w:rsid w:val="003C03F7"/>
    <w:rsid w:val="003C05CD"/>
    <w:rsid w:val="003C0DCD"/>
    <w:rsid w:val="003C0FE5"/>
    <w:rsid w:val="003C1A9A"/>
    <w:rsid w:val="003C1CAF"/>
    <w:rsid w:val="003C22D4"/>
    <w:rsid w:val="003C23EF"/>
    <w:rsid w:val="003C29AF"/>
    <w:rsid w:val="003C2BDB"/>
    <w:rsid w:val="003C3481"/>
    <w:rsid w:val="003C3B78"/>
    <w:rsid w:val="003C3F73"/>
    <w:rsid w:val="003C40A2"/>
    <w:rsid w:val="003C4BB8"/>
    <w:rsid w:val="003C5027"/>
    <w:rsid w:val="003C5519"/>
    <w:rsid w:val="003C5A97"/>
    <w:rsid w:val="003C616B"/>
    <w:rsid w:val="003C681D"/>
    <w:rsid w:val="003C6A7B"/>
    <w:rsid w:val="003C6BED"/>
    <w:rsid w:val="003C7560"/>
    <w:rsid w:val="003C7965"/>
    <w:rsid w:val="003C7D06"/>
    <w:rsid w:val="003C7EF7"/>
    <w:rsid w:val="003D03D1"/>
    <w:rsid w:val="003D06B2"/>
    <w:rsid w:val="003D0E1F"/>
    <w:rsid w:val="003D1182"/>
    <w:rsid w:val="003D1806"/>
    <w:rsid w:val="003D1973"/>
    <w:rsid w:val="003D1AE0"/>
    <w:rsid w:val="003D1B4D"/>
    <w:rsid w:val="003D22DA"/>
    <w:rsid w:val="003D26D6"/>
    <w:rsid w:val="003D2B6D"/>
    <w:rsid w:val="003D3779"/>
    <w:rsid w:val="003D3B12"/>
    <w:rsid w:val="003D3CF9"/>
    <w:rsid w:val="003D425A"/>
    <w:rsid w:val="003D4866"/>
    <w:rsid w:val="003D4AE6"/>
    <w:rsid w:val="003D4B7E"/>
    <w:rsid w:val="003D507A"/>
    <w:rsid w:val="003D5107"/>
    <w:rsid w:val="003D6280"/>
    <w:rsid w:val="003D63C3"/>
    <w:rsid w:val="003D6659"/>
    <w:rsid w:val="003D66CB"/>
    <w:rsid w:val="003D687A"/>
    <w:rsid w:val="003D6E45"/>
    <w:rsid w:val="003D7633"/>
    <w:rsid w:val="003D7A2D"/>
    <w:rsid w:val="003D7C91"/>
    <w:rsid w:val="003E043F"/>
    <w:rsid w:val="003E04C7"/>
    <w:rsid w:val="003E07F1"/>
    <w:rsid w:val="003E0E8C"/>
    <w:rsid w:val="003E113F"/>
    <w:rsid w:val="003E1418"/>
    <w:rsid w:val="003E1F18"/>
    <w:rsid w:val="003E3102"/>
    <w:rsid w:val="003E37A4"/>
    <w:rsid w:val="003E3DD7"/>
    <w:rsid w:val="003E4435"/>
    <w:rsid w:val="003E4979"/>
    <w:rsid w:val="003E4B79"/>
    <w:rsid w:val="003E4B85"/>
    <w:rsid w:val="003E4C9F"/>
    <w:rsid w:val="003E581F"/>
    <w:rsid w:val="003E5C72"/>
    <w:rsid w:val="003E5F16"/>
    <w:rsid w:val="003E634D"/>
    <w:rsid w:val="003E64BB"/>
    <w:rsid w:val="003E685D"/>
    <w:rsid w:val="003E693C"/>
    <w:rsid w:val="003E6AC1"/>
    <w:rsid w:val="003E7EEA"/>
    <w:rsid w:val="003F01E7"/>
    <w:rsid w:val="003F0A73"/>
    <w:rsid w:val="003F18CF"/>
    <w:rsid w:val="003F1E48"/>
    <w:rsid w:val="003F2BFE"/>
    <w:rsid w:val="003F3A44"/>
    <w:rsid w:val="003F42D2"/>
    <w:rsid w:val="003F45D9"/>
    <w:rsid w:val="003F4DF9"/>
    <w:rsid w:val="003F5F0A"/>
    <w:rsid w:val="003F6DF4"/>
    <w:rsid w:val="003F7022"/>
    <w:rsid w:val="003F7263"/>
    <w:rsid w:val="003F7D77"/>
    <w:rsid w:val="0040077C"/>
    <w:rsid w:val="00400A5E"/>
    <w:rsid w:val="00400A94"/>
    <w:rsid w:val="0040113F"/>
    <w:rsid w:val="004015B0"/>
    <w:rsid w:val="004016AD"/>
    <w:rsid w:val="00401A15"/>
    <w:rsid w:val="00401B9C"/>
    <w:rsid w:val="00401C5B"/>
    <w:rsid w:val="00401DB1"/>
    <w:rsid w:val="004020FB"/>
    <w:rsid w:val="0040230D"/>
    <w:rsid w:val="0040233C"/>
    <w:rsid w:val="0040252B"/>
    <w:rsid w:val="004028D0"/>
    <w:rsid w:val="00402940"/>
    <w:rsid w:val="00402D71"/>
    <w:rsid w:val="00403226"/>
    <w:rsid w:val="00403827"/>
    <w:rsid w:val="004040E3"/>
    <w:rsid w:val="004043AA"/>
    <w:rsid w:val="0040440B"/>
    <w:rsid w:val="00404D4D"/>
    <w:rsid w:val="00404D9C"/>
    <w:rsid w:val="0040517F"/>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DEC"/>
    <w:rsid w:val="00410F72"/>
    <w:rsid w:val="0041138F"/>
    <w:rsid w:val="004118D5"/>
    <w:rsid w:val="00412132"/>
    <w:rsid w:val="00412EF3"/>
    <w:rsid w:val="004133CD"/>
    <w:rsid w:val="00413540"/>
    <w:rsid w:val="00413549"/>
    <w:rsid w:val="004138A5"/>
    <w:rsid w:val="00413AF5"/>
    <w:rsid w:val="00414538"/>
    <w:rsid w:val="0041479C"/>
    <w:rsid w:val="00414B92"/>
    <w:rsid w:val="00414C2D"/>
    <w:rsid w:val="00415780"/>
    <w:rsid w:val="00415D75"/>
    <w:rsid w:val="00416787"/>
    <w:rsid w:val="004168AF"/>
    <w:rsid w:val="004170B1"/>
    <w:rsid w:val="00417281"/>
    <w:rsid w:val="0041798F"/>
    <w:rsid w:val="004203CA"/>
    <w:rsid w:val="004208D7"/>
    <w:rsid w:val="00420A0D"/>
    <w:rsid w:val="00420CA2"/>
    <w:rsid w:val="00420E33"/>
    <w:rsid w:val="00421878"/>
    <w:rsid w:val="00421B80"/>
    <w:rsid w:val="00421C35"/>
    <w:rsid w:val="004228EE"/>
    <w:rsid w:val="00422A05"/>
    <w:rsid w:val="00422BB1"/>
    <w:rsid w:val="00422D87"/>
    <w:rsid w:val="0042325A"/>
    <w:rsid w:val="0042336F"/>
    <w:rsid w:val="004234EF"/>
    <w:rsid w:val="004242F2"/>
    <w:rsid w:val="00424529"/>
    <w:rsid w:val="0042465A"/>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D87"/>
    <w:rsid w:val="00433ECE"/>
    <w:rsid w:val="004347A7"/>
    <w:rsid w:val="00434800"/>
    <w:rsid w:val="00434F7F"/>
    <w:rsid w:val="00434F9C"/>
    <w:rsid w:val="00435826"/>
    <w:rsid w:val="00435F09"/>
    <w:rsid w:val="00435F6F"/>
    <w:rsid w:val="00436548"/>
    <w:rsid w:val="00436771"/>
    <w:rsid w:val="00436C20"/>
    <w:rsid w:val="004373A1"/>
    <w:rsid w:val="00440392"/>
    <w:rsid w:val="00440502"/>
    <w:rsid w:val="00440516"/>
    <w:rsid w:val="00440891"/>
    <w:rsid w:val="004412E5"/>
    <w:rsid w:val="004415FC"/>
    <w:rsid w:val="00441989"/>
    <w:rsid w:val="00441DBA"/>
    <w:rsid w:val="00442112"/>
    <w:rsid w:val="00442314"/>
    <w:rsid w:val="00442822"/>
    <w:rsid w:val="00442A1E"/>
    <w:rsid w:val="00442E6F"/>
    <w:rsid w:val="00442FFB"/>
    <w:rsid w:val="004437F3"/>
    <w:rsid w:val="00443A3A"/>
    <w:rsid w:val="00443A81"/>
    <w:rsid w:val="00443AE0"/>
    <w:rsid w:val="00443D1A"/>
    <w:rsid w:val="004442B1"/>
    <w:rsid w:val="004443FB"/>
    <w:rsid w:val="0044475F"/>
    <w:rsid w:val="0044476D"/>
    <w:rsid w:val="00445064"/>
    <w:rsid w:val="00445172"/>
    <w:rsid w:val="00446D2D"/>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7142"/>
    <w:rsid w:val="004573A4"/>
    <w:rsid w:val="00457493"/>
    <w:rsid w:val="00457958"/>
    <w:rsid w:val="0046115F"/>
    <w:rsid w:val="0046148D"/>
    <w:rsid w:val="00461535"/>
    <w:rsid w:val="004619B9"/>
    <w:rsid w:val="004619E2"/>
    <w:rsid w:val="00461CE1"/>
    <w:rsid w:val="004627CF"/>
    <w:rsid w:val="00462977"/>
    <w:rsid w:val="00462AC9"/>
    <w:rsid w:val="00462B98"/>
    <w:rsid w:val="00462BE1"/>
    <w:rsid w:val="00462DBA"/>
    <w:rsid w:val="004635B7"/>
    <w:rsid w:val="00464027"/>
    <w:rsid w:val="004641CB"/>
    <w:rsid w:val="0046443B"/>
    <w:rsid w:val="00464BC7"/>
    <w:rsid w:val="004651B8"/>
    <w:rsid w:val="00465475"/>
    <w:rsid w:val="00465580"/>
    <w:rsid w:val="00465972"/>
    <w:rsid w:val="00465E7E"/>
    <w:rsid w:val="00466BB5"/>
    <w:rsid w:val="004672E8"/>
    <w:rsid w:val="0046761C"/>
    <w:rsid w:val="004677E9"/>
    <w:rsid w:val="00470535"/>
    <w:rsid w:val="004708F6"/>
    <w:rsid w:val="00470CFF"/>
    <w:rsid w:val="00471018"/>
    <w:rsid w:val="00471183"/>
    <w:rsid w:val="0047123C"/>
    <w:rsid w:val="004714F6"/>
    <w:rsid w:val="0047289C"/>
    <w:rsid w:val="00472939"/>
    <w:rsid w:val="00472E22"/>
    <w:rsid w:val="00472EA3"/>
    <w:rsid w:val="00472F67"/>
    <w:rsid w:val="004739A1"/>
    <w:rsid w:val="0047430D"/>
    <w:rsid w:val="00474925"/>
    <w:rsid w:val="00474FDF"/>
    <w:rsid w:val="00475688"/>
    <w:rsid w:val="004758F6"/>
    <w:rsid w:val="004759E3"/>
    <w:rsid w:val="00475B89"/>
    <w:rsid w:val="00475C51"/>
    <w:rsid w:val="00476161"/>
    <w:rsid w:val="00476503"/>
    <w:rsid w:val="00476658"/>
    <w:rsid w:val="00476E34"/>
    <w:rsid w:val="00476EE1"/>
    <w:rsid w:val="00477163"/>
    <w:rsid w:val="00477B0E"/>
    <w:rsid w:val="00477BE2"/>
    <w:rsid w:val="00480571"/>
    <w:rsid w:val="00481688"/>
    <w:rsid w:val="004820E0"/>
    <w:rsid w:val="004822CA"/>
    <w:rsid w:val="00483F95"/>
    <w:rsid w:val="0048435D"/>
    <w:rsid w:val="00484BAC"/>
    <w:rsid w:val="00484D20"/>
    <w:rsid w:val="004850C1"/>
    <w:rsid w:val="00485C46"/>
    <w:rsid w:val="00486F54"/>
    <w:rsid w:val="004871B4"/>
    <w:rsid w:val="004876B9"/>
    <w:rsid w:val="004876DD"/>
    <w:rsid w:val="00487D65"/>
    <w:rsid w:val="0049178A"/>
    <w:rsid w:val="00491A0F"/>
    <w:rsid w:val="00491C1D"/>
    <w:rsid w:val="00491DF1"/>
    <w:rsid w:val="0049227A"/>
    <w:rsid w:val="00492535"/>
    <w:rsid w:val="00493435"/>
    <w:rsid w:val="00493C1E"/>
    <w:rsid w:val="00493C3B"/>
    <w:rsid w:val="00494B28"/>
    <w:rsid w:val="00495411"/>
    <w:rsid w:val="00495FFF"/>
    <w:rsid w:val="00496A9F"/>
    <w:rsid w:val="00496D10"/>
    <w:rsid w:val="00497352"/>
    <w:rsid w:val="00497358"/>
    <w:rsid w:val="00497FA5"/>
    <w:rsid w:val="004A03B3"/>
    <w:rsid w:val="004A04D5"/>
    <w:rsid w:val="004A0986"/>
    <w:rsid w:val="004A12D1"/>
    <w:rsid w:val="004A1B07"/>
    <w:rsid w:val="004A2E04"/>
    <w:rsid w:val="004A31AE"/>
    <w:rsid w:val="004A3226"/>
    <w:rsid w:val="004A399F"/>
    <w:rsid w:val="004A3AAA"/>
    <w:rsid w:val="004A3B8F"/>
    <w:rsid w:val="004A3FDD"/>
    <w:rsid w:val="004A4096"/>
    <w:rsid w:val="004A466A"/>
    <w:rsid w:val="004A4692"/>
    <w:rsid w:val="004A4F2E"/>
    <w:rsid w:val="004A5318"/>
    <w:rsid w:val="004A531A"/>
    <w:rsid w:val="004A669F"/>
    <w:rsid w:val="004A6842"/>
    <w:rsid w:val="004A718C"/>
    <w:rsid w:val="004A7993"/>
    <w:rsid w:val="004A7DBE"/>
    <w:rsid w:val="004A7F94"/>
    <w:rsid w:val="004B08AC"/>
    <w:rsid w:val="004B09D4"/>
    <w:rsid w:val="004B0A66"/>
    <w:rsid w:val="004B0D88"/>
    <w:rsid w:val="004B0DE7"/>
    <w:rsid w:val="004B1CB6"/>
    <w:rsid w:val="004B206E"/>
    <w:rsid w:val="004B229E"/>
    <w:rsid w:val="004B29C2"/>
    <w:rsid w:val="004B29E1"/>
    <w:rsid w:val="004B2C52"/>
    <w:rsid w:val="004B2DFE"/>
    <w:rsid w:val="004B2F46"/>
    <w:rsid w:val="004B395D"/>
    <w:rsid w:val="004B4194"/>
    <w:rsid w:val="004B457E"/>
    <w:rsid w:val="004B47FE"/>
    <w:rsid w:val="004B4E64"/>
    <w:rsid w:val="004B515E"/>
    <w:rsid w:val="004B5506"/>
    <w:rsid w:val="004B55F0"/>
    <w:rsid w:val="004B56C3"/>
    <w:rsid w:val="004B692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93D"/>
    <w:rsid w:val="004C5BD0"/>
    <w:rsid w:val="004C5D52"/>
    <w:rsid w:val="004C5DB0"/>
    <w:rsid w:val="004C60D8"/>
    <w:rsid w:val="004C62EE"/>
    <w:rsid w:val="004C6A0D"/>
    <w:rsid w:val="004C6D3F"/>
    <w:rsid w:val="004C7075"/>
    <w:rsid w:val="004D1000"/>
    <w:rsid w:val="004D1D27"/>
    <w:rsid w:val="004D1FE7"/>
    <w:rsid w:val="004D2EC3"/>
    <w:rsid w:val="004D2FF6"/>
    <w:rsid w:val="004D384E"/>
    <w:rsid w:val="004D3DDA"/>
    <w:rsid w:val="004D3FD6"/>
    <w:rsid w:val="004D405F"/>
    <w:rsid w:val="004D4F6E"/>
    <w:rsid w:val="004D55CA"/>
    <w:rsid w:val="004D5A27"/>
    <w:rsid w:val="004D5F0E"/>
    <w:rsid w:val="004D62FE"/>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2DB"/>
    <w:rsid w:val="004E28E1"/>
    <w:rsid w:val="004E2B01"/>
    <w:rsid w:val="004E34C7"/>
    <w:rsid w:val="004E356A"/>
    <w:rsid w:val="004E375D"/>
    <w:rsid w:val="004E3850"/>
    <w:rsid w:val="004E3DCD"/>
    <w:rsid w:val="004E3FC1"/>
    <w:rsid w:val="004E403A"/>
    <w:rsid w:val="004E58EA"/>
    <w:rsid w:val="004E5F65"/>
    <w:rsid w:val="004E6C7A"/>
    <w:rsid w:val="004E7615"/>
    <w:rsid w:val="004E780E"/>
    <w:rsid w:val="004E79FF"/>
    <w:rsid w:val="004E7CDF"/>
    <w:rsid w:val="004F071F"/>
    <w:rsid w:val="004F078C"/>
    <w:rsid w:val="004F1324"/>
    <w:rsid w:val="004F1C7D"/>
    <w:rsid w:val="004F1D24"/>
    <w:rsid w:val="004F21D2"/>
    <w:rsid w:val="004F2641"/>
    <w:rsid w:val="004F27F3"/>
    <w:rsid w:val="004F29B9"/>
    <w:rsid w:val="004F2A24"/>
    <w:rsid w:val="004F2B8E"/>
    <w:rsid w:val="004F2C85"/>
    <w:rsid w:val="004F310E"/>
    <w:rsid w:val="004F32BF"/>
    <w:rsid w:val="004F3736"/>
    <w:rsid w:val="004F3E6A"/>
    <w:rsid w:val="004F416F"/>
    <w:rsid w:val="004F469D"/>
    <w:rsid w:val="004F5346"/>
    <w:rsid w:val="004F5BA0"/>
    <w:rsid w:val="004F5C09"/>
    <w:rsid w:val="004F5E4E"/>
    <w:rsid w:val="004F63CC"/>
    <w:rsid w:val="004F6678"/>
    <w:rsid w:val="004F6B28"/>
    <w:rsid w:val="004F6B51"/>
    <w:rsid w:val="004F6C65"/>
    <w:rsid w:val="004F6D2E"/>
    <w:rsid w:val="004F788E"/>
    <w:rsid w:val="004F7F0F"/>
    <w:rsid w:val="004F7F4B"/>
    <w:rsid w:val="004F7FBC"/>
    <w:rsid w:val="005001AE"/>
    <w:rsid w:val="005007E7"/>
    <w:rsid w:val="00500EEB"/>
    <w:rsid w:val="00501141"/>
    <w:rsid w:val="005012FC"/>
    <w:rsid w:val="00501EBE"/>
    <w:rsid w:val="00501F78"/>
    <w:rsid w:val="005032EB"/>
    <w:rsid w:val="00503551"/>
    <w:rsid w:val="00503F38"/>
    <w:rsid w:val="005043FC"/>
    <w:rsid w:val="0050444E"/>
    <w:rsid w:val="00504A55"/>
    <w:rsid w:val="00505166"/>
    <w:rsid w:val="00505F08"/>
    <w:rsid w:val="005061A3"/>
    <w:rsid w:val="005062EE"/>
    <w:rsid w:val="0050671D"/>
    <w:rsid w:val="0050672C"/>
    <w:rsid w:val="00506C4C"/>
    <w:rsid w:val="0050700E"/>
    <w:rsid w:val="005079D7"/>
    <w:rsid w:val="00507B26"/>
    <w:rsid w:val="00507B2A"/>
    <w:rsid w:val="00510A22"/>
    <w:rsid w:val="00510D8A"/>
    <w:rsid w:val="00510DCA"/>
    <w:rsid w:val="00510F8F"/>
    <w:rsid w:val="00511947"/>
    <w:rsid w:val="00511EBC"/>
    <w:rsid w:val="00511F49"/>
    <w:rsid w:val="005125D5"/>
    <w:rsid w:val="00512CAF"/>
    <w:rsid w:val="00512D51"/>
    <w:rsid w:val="00512DB8"/>
    <w:rsid w:val="00512E95"/>
    <w:rsid w:val="0051301F"/>
    <w:rsid w:val="00513BC1"/>
    <w:rsid w:val="00514674"/>
    <w:rsid w:val="0051477F"/>
    <w:rsid w:val="005148F0"/>
    <w:rsid w:val="00514962"/>
    <w:rsid w:val="00514C46"/>
    <w:rsid w:val="00514C69"/>
    <w:rsid w:val="0051550C"/>
    <w:rsid w:val="00515B94"/>
    <w:rsid w:val="00515BCF"/>
    <w:rsid w:val="00515E20"/>
    <w:rsid w:val="00516083"/>
    <w:rsid w:val="0051635A"/>
    <w:rsid w:val="005163AF"/>
    <w:rsid w:val="0051646E"/>
    <w:rsid w:val="005166C3"/>
    <w:rsid w:val="00516EA5"/>
    <w:rsid w:val="0051734F"/>
    <w:rsid w:val="005179DA"/>
    <w:rsid w:val="00517E2A"/>
    <w:rsid w:val="0052097D"/>
    <w:rsid w:val="005209A5"/>
    <w:rsid w:val="00520B3D"/>
    <w:rsid w:val="00520C1C"/>
    <w:rsid w:val="005212B1"/>
    <w:rsid w:val="00521439"/>
    <w:rsid w:val="005219D6"/>
    <w:rsid w:val="00522133"/>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1D12"/>
    <w:rsid w:val="005324FA"/>
    <w:rsid w:val="005326D0"/>
    <w:rsid w:val="005327CB"/>
    <w:rsid w:val="00532800"/>
    <w:rsid w:val="00532A80"/>
    <w:rsid w:val="00532FDA"/>
    <w:rsid w:val="005336BA"/>
    <w:rsid w:val="005338E1"/>
    <w:rsid w:val="00533EA9"/>
    <w:rsid w:val="00533EE8"/>
    <w:rsid w:val="0053417D"/>
    <w:rsid w:val="00534225"/>
    <w:rsid w:val="005345D4"/>
    <w:rsid w:val="005345E1"/>
    <w:rsid w:val="0053490C"/>
    <w:rsid w:val="00535585"/>
    <w:rsid w:val="00535997"/>
    <w:rsid w:val="00535E42"/>
    <w:rsid w:val="00535FAE"/>
    <w:rsid w:val="00536A58"/>
    <w:rsid w:val="00536AB4"/>
    <w:rsid w:val="00537127"/>
    <w:rsid w:val="0053764B"/>
    <w:rsid w:val="0054069F"/>
    <w:rsid w:val="00540814"/>
    <w:rsid w:val="00540B20"/>
    <w:rsid w:val="00541307"/>
    <w:rsid w:val="005416F2"/>
    <w:rsid w:val="00541B60"/>
    <w:rsid w:val="00541DB8"/>
    <w:rsid w:val="00541F9A"/>
    <w:rsid w:val="00542599"/>
    <w:rsid w:val="005427EC"/>
    <w:rsid w:val="00542EB4"/>
    <w:rsid w:val="005437F2"/>
    <w:rsid w:val="005448B9"/>
    <w:rsid w:val="00545136"/>
    <w:rsid w:val="005452C1"/>
    <w:rsid w:val="0054569B"/>
    <w:rsid w:val="00545B42"/>
    <w:rsid w:val="0054612B"/>
    <w:rsid w:val="0054684B"/>
    <w:rsid w:val="00546D72"/>
    <w:rsid w:val="005472C0"/>
    <w:rsid w:val="00547753"/>
    <w:rsid w:val="005479F5"/>
    <w:rsid w:val="00547D0B"/>
    <w:rsid w:val="00547D90"/>
    <w:rsid w:val="00547E92"/>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5A2"/>
    <w:rsid w:val="005558C4"/>
    <w:rsid w:val="00555FC3"/>
    <w:rsid w:val="00556027"/>
    <w:rsid w:val="00556506"/>
    <w:rsid w:val="0055659A"/>
    <w:rsid w:val="00556731"/>
    <w:rsid w:val="00556A54"/>
    <w:rsid w:val="005573D7"/>
    <w:rsid w:val="00557401"/>
    <w:rsid w:val="0055747C"/>
    <w:rsid w:val="00557D41"/>
    <w:rsid w:val="00557F5B"/>
    <w:rsid w:val="00557FE2"/>
    <w:rsid w:val="00560729"/>
    <w:rsid w:val="00560A86"/>
    <w:rsid w:val="00561088"/>
    <w:rsid w:val="00561C64"/>
    <w:rsid w:val="0056218D"/>
    <w:rsid w:val="0056267C"/>
    <w:rsid w:val="00562887"/>
    <w:rsid w:val="00562EAD"/>
    <w:rsid w:val="00563222"/>
    <w:rsid w:val="00563AEB"/>
    <w:rsid w:val="00564265"/>
    <w:rsid w:val="00564654"/>
    <w:rsid w:val="00564775"/>
    <w:rsid w:val="00564C1E"/>
    <w:rsid w:val="00565AA1"/>
    <w:rsid w:val="005669A3"/>
    <w:rsid w:val="00566C28"/>
    <w:rsid w:val="00566CA0"/>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E3"/>
    <w:rsid w:val="00575CF3"/>
    <w:rsid w:val="00576234"/>
    <w:rsid w:val="00576672"/>
    <w:rsid w:val="00576D35"/>
    <w:rsid w:val="00576FE8"/>
    <w:rsid w:val="005777C8"/>
    <w:rsid w:val="00577AD5"/>
    <w:rsid w:val="00577F23"/>
    <w:rsid w:val="005801AF"/>
    <w:rsid w:val="00580363"/>
    <w:rsid w:val="00580A72"/>
    <w:rsid w:val="0058107B"/>
    <w:rsid w:val="0058149F"/>
    <w:rsid w:val="0058161B"/>
    <w:rsid w:val="005817A5"/>
    <w:rsid w:val="005819C8"/>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81A"/>
    <w:rsid w:val="00586967"/>
    <w:rsid w:val="005874CD"/>
    <w:rsid w:val="00587597"/>
    <w:rsid w:val="00587B7F"/>
    <w:rsid w:val="0059077B"/>
    <w:rsid w:val="00590D18"/>
    <w:rsid w:val="00590EDD"/>
    <w:rsid w:val="00591988"/>
    <w:rsid w:val="00591D2D"/>
    <w:rsid w:val="005921C8"/>
    <w:rsid w:val="005922A3"/>
    <w:rsid w:val="0059239E"/>
    <w:rsid w:val="005924DB"/>
    <w:rsid w:val="00592700"/>
    <w:rsid w:val="005929E8"/>
    <w:rsid w:val="00592A2E"/>
    <w:rsid w:val="00592E24"/>
    <w:rsid w:val="00593155"/>
    <w:rsid w:val="0059353B"/>
    <w:rsid w:val="005938DB"/>
    <w:rsid w:val="00593C6F"/>
    <w:rsid w:val="005949FB"/>
    <w:rsid w:val="00594C1A"/>
    <w:rsid w:val="005950B7"/>
    <w:rsid w:val="00595106"/>
    <w:rsid w:val="00595692"/>
    <w:rsid w:val="00595AE7"/>
    <w:rsid w:val="00595B7B"/>
    <w:rsid w:val="00596020"/>
    <w:rsid w:val="0059632F"/>
    <w:rsid w:val="00596842"/>
    <w:rsid w:val="00597799"/>
    <w:rsid w:val="005977F9"/>
    <w:rsid w:val="0059796C"/>
    <w:rsid w:val="00597A95"/>
    <w:rsid w:val="00597BA8"/>
    <w:rsid w:val="005A01E7"/>
    <w:rsid w:val="005A02C8"/>
    <w:rsid w:val="005A09E5"/>
    <w:rsid w:val="005A1473"/>
    <w:rsid w:val="005A19FF"/>
    <w:rsid w:val="005A1CC0"/>
    <w:rsid w:val="005A2074"/>
    <w:rsid w:val="005A2384"/>
    <w:rsid w:val="005A24AE"/>
    <w:rsid w:val="005A2E8C"/>
    <w:rsid w:val="005A2F1D"/>
    <w:rsid w:val="005A30FC"/>
    <w:rsid w:val="005A3394"/>
    <w:rsid w:val="005A3B6C"/>
    <w:rsid w:val="005A403A"/>
    <w:rsid w:val="005A43BE"/>
    <w:rsid w:val="005A459A"/>
    <w:rsid w:val="005A4624"/>
    <w:rsid w:val="005A4726"/>
    <w:rsid w:val="005A5011"/>
    <w:rsid w:val="005A501A"/>
    <w:rsid w:val="005A508D"/>
    <w:rsid w:val="005A5383"/>
    <w:rsid w:val="005A5A65"/>
    <w:rsid w:val="005A5B6F"/>
    <w:rsid w:val="005A60BA"/>
    <w:rsid w:val="005A6EEE"/>
    <w:rsid w:val="005A761B"/>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0898"/>
    <w:rsid w:val="005C0F1C"/>
    <w:rsid w:val="005C12AC"/>
    <w:rsid w:val="005C1644"/>
    <w:rsid w:val="005C1C90"/>
    <w:rsid w:val="005C1CEF"/>
    <w:rsid w:val="005C2209"/>
    <w:rsid w:val="005C2D12"/>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101F"/>
    <w:rsid w:val="005D1247"/>
    <w:rsid w:val="005D1D60"/>
    <w:rsid w:val="005D205D"/>
    <w:rsid w:val="005D2A11"/>
    <w:rsid w:val="005D2F54"/>
    <w:rsid w:val="005D33D2"/>
    <w:rsid w:val="005D353D"/>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BB5"/>
    <w:rsid w:val="005E1BD6"/>
    <w:rsid w:val="005E1BE7"/>
    <w:rsid w:val="005E20C5"/>
    <w:rsid w:val="005E20D0"/>
    <w:rsid w:val="005E2381"/>
    <w:rsid w:val="005E2A79"/>
    <w:rsid w:val="005E2D15"/>
    <w:rsid w:val="005E2EDB"/>
    <w:rsid w:val="005E2FB1"/>
    <w:rsid w:val="005E30D5"/>
    <w:rsid w:val="005E3850"/>
    <w:rsid w:val="005E3EB4"/>
    <w:rsid w:val="005E40C8"/>
    <w:rsid w:val="005E41B6"/>
    <w:rsid w:val="005E43DF"/>
    <w:rsid w:val="005E48DE"/>
    <w:rsid w:val="005E566F"/>
    <w:rsid w:val="005E631D"/>
    <w:rsid w:val="005E633A"/>
    <w:rsid w:val="005E64AF"/>
    <w:rsid w:val="005E6674"/>
    <w:rsid w:val="005E66DC"/>
    <w:rsid w:val="005E6BE9"/>
    <w:rsid w:val="005E71A5"/>
    <w:rsid w:val="005E777B"/>
    <w:rsid w:val="005E77EF"/>
    <w:rsid w:val="005E7F2B"/>
    <w:rsid w:val="005F03D5"/>
    <w:rsid w:val="005F046C"/>
    <w:rsid w:val="005F0860"/>
    <w:rsid w:val="005F14A7"/>
    <w:rsid w:val="005F1B20"/>
    <w:rsid w:val="005F1E18"/>
    <w:rsid w:val="005F27E0"/>
    <w:rsid w:val="005F29C0"/>
    <w:rsid w:val="005F2A66"/>
    <w:rsid w:val="005F2B32"/>
    <w:rsid w:val="005F2B4D"/>
    <w:rsid w:val="005F3176"/>
    <w:rsid w:val="005F3549"/>
    <w:rsid w:val="005F3D8C"/>
    <w:rsid w:val="005F4D37"/>
    <w:rsid w:val="005F54B4"/>
    <w:rsid w:val="005F5576"/>
    <w:rsid w:val="005F5A4E"/>
    <w:rsid w:val="005F5A6F"/>
    <w:rsid w:val="005F5C6D"/>
    <w:rsid w:val="005F5E8E"/>
    <w:rsid w:val="005F60E6"/>
    <w:rsid w:val="005F61DD"/>
    <w:rsid w:val="005F764A"/>
    <w:rsid w:val="0060008E"/>
    <w:rsid w:val="00600431"/>
    <w:rsid w:val="006005C1"/>
    <w:rsid w:val="00600731"/>
    <w:rsid w:val="00600AC6"/>
    <w:rsid w:val="006011A0"/>
    <w:rsid w:val="006012AC"/>
    <w:rsid w:val="00601300"/>
    <w:rsid w:val="00601EF1"/>
    <w:rsid w:val="00602829"/>
    <w:rsid w:val="00602A78"/>
    <w:rsid w:val="00602B8C"/>
    <w:rsid w:val="00602BCA"/>
    <w:rsid w:val="0060305F"/>
    <w:rsid w:val="006034C7"/>
    <w:rsid w:val="00604617"/>
    <w:rsid w:val="00604730"/>
    <w:rsid w:val="006049CE"/>
    <w:rsid w:val="00604AE3"/>
    <w:rsid w:val="00604D1B"/>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07E2E"/>
    <w:rsid w:val="00610D71"/>
    <w:rsid w:val="00611536"/>
    <w:rsid w:val="00611BA6"/>
    <w:rsid w:val="00612797"/>
    <w:rsid w:val="00612D19"/>
    <w:rsid w:val="00613029"/>
    <w:rsid w:val="0061330F"/>
    <w:rsid w:val="00613448"/>
    <w:rsid w:val="00613641"/>
    <w:rsid w:val="00614139"/>
    <w:rsid w:val="00614483"/>
    <w:rsid w:val="0061478C"/>
    <w:rsid w:val="0061516E"/>
    <w:rsid w:val="006151BC"/>
    <w:rsid w:val="00615204"/>
    <w:rsid w:val="006154A7"/>
    <w:rsid w:val="006154F0"/>
    <w:rsid w:val="0061582E"/>
    <w:rsid w:val="00615C0E"/>
    <w:rsid w:val="00615E77"/>
    <w:rsid w:val="006162A3"/>
    <w:rsid w:val="00616307"/>
    <w:rsid w:val="00616AC5"/>
    <w:rsid w:val="00616C7D"/>
    <w:rsid w:val="0061735F"/>
    <w:rsid w:val="006175DD"/>
    <w:rsid w:val="00617602"/>
    <w:rsid w:val="00617B42"/>
    <w:rsid w:val="006200B5"/>
    <w:rsid w:val="0062031E"/>
    <w:rsid w:val="006205E1"/>
    <w:rsid w:val="006208EE"/>
    <w:rsid w:val="0062091D"/>
    <w:rsid w:val="00620C44"/>
    <w:rsid w:val="0062100E"/>
    <w:rsid w:val="006211A5"/>
    <w:rsid w:val="006219BC"/>
    <w:rsid w:val="00622789"/>
    <w:rsid w:val="006233C1"/>
    <w:rsid w:val="00623424"/>
    <w:rsid w:val="00623A6D"/>
    <w:rsid w:val="00624395"/>
    <w:rsid w:val="0062460B"/>
    <w:rsid w:val="00624649"/>
    <w:rsid w:val="006249A7"/>
    <w:rsid w:val="006249D1"/>
    <w:rsid w:val="00624D4F"/>
    <w:rsid w:val="00624E15"/>
    <w:rsid w:val="00625713"/>
    <w:rsid w:val="00625B22"/>
    <w:rsid w:val="00625C53"/>
    <w:rsid w:val="00626415"/>
    <w:rsid w:val="00626418"/>
    <w:rsid w:val="00626568"/>
    <w:rsid w:val="006267B0"/>
    <w:rsid w:val="00626BBE"/>
    <w:rsid w:val="0062768B"/>
    <w:rsid w:val="0062799A"/>
    <w:rsid w:val="00627A49"/>
    <w:rsid w:val="00627BE2"/>
    <w:rsid w:val="00627D60"/>
    <w:rsid w:val="00627E30"/>
    <w:rsid w:val="00627F4F"/>
    <w:rsid w:val="006303FC"/>
    <w:rsid w:val="006309D1"/>
    <w:rsid w:val="00630BF5"/>
    <w:rsid w:val="00631716"/>
    <w:rsid w:val="0063179F"/>
    <w:rsid w:val="006317A4"/>
    <w:rsid w:val="00632259"/>
    <w:rsid w:val="00632488"/>
    <w:rsid w:val="00632765"/>
    <w:rsid w:val="00632DD8"/>
    <w:rsid w:val="0063303A"/>
    <w:rsid w:val="006338DA"/>
    <w:rsid w:val="0063390C"/>
    <w:rsid w:val="00633A5E"/>
    <w:rsid w:val="00633BD8"/>
    <w:rsid w:val="00633F2B"/>
    <w:rsid w:val="00633F74"/>
    <w:rsid w:val="0063419A"/>
    <w:rsid w:val="00634BA0"/>
    <w:rsid w:val="00634DB1"/>
    <w:rsid w:val="00634F06"/>
    <w:rsid w:val="00635AEB"/>
    <w:rsid w:val="00636EF8"/>
    <w:rsid w:val="00636FEF"/>
    <w:rsid w:val="0063715F"/>
    <w:rsid w:val="006377DB"/>
    <w:rsid w:val="00637AD6"/>
    <w:rsid w:val="006405A2"/>
    <w:rsid w:val="00640699"/>
    <w:rsid w:val="00640702"/>
    <w:rsid w:val="0064096C"/>
    <w:rsid w:val="006417E0"/>
    <w:rsid w:val="006418D2"/>
    <w:rsid w:val="006419D4"/>
    <w:rsid w:val="00641E1E"/>
    <w:rsid w:val="00642453"/>
    <w:rsid w:val="00642729"/>
    <w:rsid w:val="006433DE"/>
    <w:rsid w:val="006441EC"/>
    <w:rsid w:val="00644277"/>
    <w:rsid w:val="006443B2"/>
    <w:rsid w:val="0064457D"/>
    <w:rsid w:val="006447A9"/>
    <w:rsid w:val="00644EEE"/>
    <w:rsid w:val="00645210"/>
    <w:rsid w:val="00645933"/>
    <w:rsid w:val="006459B3"/>
    <w:rsid w:val="00645D57"/>
    <w:rsid w:val="00646299"/>
    <w:rsid w:val="00646970"/>
    <w:rsid w:val="00646ED1"/>
    <w:rsid w:val="00646FDD"/>
    <w:rsid w:val="00647C38"/>
    <w:rsid w:val="00647C77"/>
    <w:rsid w:val="00647D39"/>
    <w:rsid w:val="00647DCE"/>
    <w:rsid w:val="006500A2"/>
    <w:rsid w:val="00650149"/>
    <w:rsid w:val="0065058D"/>
    <w:rsid w:val="00650A97"/>
    <w:rsid w:val="00650C5E"/>
    <w:rsid w:val="00650EBA"/>
    <w:rsid w:val="00651147"/>
    <w:rsid w:val="0065131D"/>
    <w:rsid w:val="006515BF"/>
    <w:rsid w:val="00651DC1"/>
    <w:rsid w:val="00651FD6"/>
    <w:rsid w:val="0065234B"/>
    <w:rsid w:val="0065252C"/>
    <w:rsid w:val="00653278"/>
    <w:rsid w:val="006533FF"/>
    <w:rsid w:val="00653AC4"/>
    <w:rsid w:val="00653C52"/>
    <w:rsid w:val="006540C1"/>
    <w:rsid w:val="00654191"/>
    <w:rsid w:val="0065426F"/>
    <w:rsid w:val="00654642"/>
    <w:rsid w:val="00654AF4"/>
    <w:rsid w:val="00654CB8"/>
    <w:rsid w:val="00654D30"/>
    <w:rsid w:val="0065561D"/>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110C"/>
    <w:rsid w:val="0066174C"/>
    <w:rsid w:val="00662932"/>
    <w:rsid w:val="00662A70"/>
    <w:rsid w:val="00662AF9"/>
    <w:rsid w:val="00662C14"/>
    <w:rsid w:val="00662C97"/>
    <w:rsid w:val="00662CBB"/>
    <w:rsid w:val="00662F3E"/>
    <w:rsid w:val="0066337D"/>
    <w:rsid w:val="00663666"/>
    <w:rsid w:val="0066398B"/>
    <w:rsid w:val="00663A91"/>
    <w:rsid w:val="00663F53"/>
    <w:rsid w:val="006640E1"/>
    <w:rsid w:val="006647E0"/>
    <w:rsid w:val="0066486A"/>
    <w:rsid w:val="00664A42"/>
    <w:rsid w:val="0066527F"/>
    <w:rsid w:val="0066611A"/>
    <w:rsid w:val="006663EF"/>
    <w:rsid w:val="00666754"/>
    <w:rsid w:val="00666859"/>
    <w:rsid w:val="00666AEA"/>
    <w:rsid w:val="00667ADE"/>
    <w:rsid w:val="00667F38"/>
    <w:rsid w:val="00667FB2"/>
    <w:rsid w:val="0067072F"/>
    <w:rsid w:val="00670D2E"/>
    <w:rsid w:val="00671D3B"/>
    <w:rsid w:val="0067269F"/>
    <w:rsid w:val="006726CB"/>
    <w:rsid w:val="0067272F"/>
    <w:rsid w:val="0067317F"/>
    <w:rsid w:val="00673BA4"/>
    <w:rsid w:val="00674A4D"/>
    <w:rsid w:val="00674A98"/>
    <w:rsid w:val="00674C5D"/>
    <w:rsid w:val="00674ED8"/>
    <w:rsid w:val="006752CD"/>
    <w:rsid w:val="006756E6"/>
    <w:rsid w:val="00675793"/>
    <w:rsid w:val="00675C5E"/>
    <w:rsid w:val="00676F0B"/>
    <w:rsid w:val="00677137"/>
    <w:rsid w:val="006773D1"/>
    <w:rsid w:val="00677A5F"/>
    <w:rsid w:val="006801BB"/>
    <w:rsid w:val="006802E3"/>
    <w:rsid w:val="00680CC6"/>
    <w:rsid w:val="0068241B"/>
    <w:rsid w:val="00682DA7"/>
    <w:rsid w:val="006834C7"/>
    <w:rsid w:val="00683889"/>
    <w:rsid w:val="006842A2"/>
    <w:rsid w:val="0068432E"/>
    <w:rsid w:val="006848BB"/>
    <w:rsid w:val="006849A8"/>
    <w:rsid w:val="00685075"/>
    <w:rsid w:val="00685339"/>
    <w:rsid w:val="00685597"/>
    <w:rsid w:val="00686338"/>
    <w:rsid w:val="00687039"/>
    <w:rsid w:val="0068731C"/>
    <w:rsid w:val="00687633"/>
    <w:rsid w:val="006904AD"/>
    <w:rsid w:val="006905F1"/>
    <w:rsid w:val="00691201"/>
    <w:rsid w:val="006912E6"/>
    <w:rsid w:val="006914E9"/>
    <w:rsid w:val="006915C2"/>
    <w:rsid w:val="00691815"/>
    <w:rsid w:val="00691E51"/>
    <w:rsid w:val="006920CA"/>
    <w:rsid w:val="006927F0"/>
    <w:rsid w:val="00692C4E"/>
    <w:rsid w:val="006936DB"/>
    <w:rsid w:val="00693801"/>
    <w:rsid w:val="006944B8"/>
    <w:rsid w:val="00694706"/>
    <w:rsid w:val="00694DF8"/>
    <w:rsid w:val="006953D7"/>
    <w:rsid w:val="006956E0"/>
    <w:rsid w:val="00695D3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E3"/>
    <w:rsid w:val="006A0B03"/>
    <w:rsid w:val="006A0ECA"/>
    <w:rsid w:val="006A11F4"/>
    <w:rsid w:val="006A14A8"/>
    <w:rsid w:val="006A1501"/>
    <w:rsid w:val="006A182D"/>
    <w:rsid w:val="006A1ADF"/>
    <w:rsid w:val="006A23AC"/>
    <w:rsid w:val="006A2835"/>
    <w:rsid w:val="006A3A19"/>
    <w:rsid w:val="006A3B9E"/>
    <w:rsid w:val="006A3D6D"/>
    <w:rsid w:val="006A3D73"/>
    <w:rsid w:val="006A40AC"/>
    <w:rsid w:val="006A43EA"/>
    <w:rsid w:val="006A471A"/>
    <w:rsid w:val="006A50B1"/>
    <w:rsid w:val="006A5290"/>
    <w:rsid w:val="006A5B75"/>
    <w:rsid w:val="006A6BE8"/>
    <w:rsid w:val="006A70AD"/>
    <w:rsid w:val="006A7444"/>
    <w:rsid w:val="006A777A"/>
    <w:rsid w:val="006A7AE9"/>
    <w:rsid w:val="006A7C9D"/>
    <w:rsid w:val="006B0264"/>
    <w:rsid w:val="006B02F4"/>
    <w:rsid w:val="006B05F6"/>
    <w:rsid w:val="006B0627"/>
    <w:rsid w:val="006B10C7"/>
    <w:rsid w:val="006B15C1"/>
    <w:rsid w:val="006B1942"/>
    <w:rsid w:val="006B19FD"/>
    <w:rsid w:val="006B1E59"/>
    <w:rsid w:val="006B2229"/>
    <w:rsid w:val="006B2995"/>
    <w:rsid w:val="006B2E08"/>
    <w:rsid w:val="006B2F13"/>
    <w:rsid w:val="006B3029"/>
    <w:rsid w:val="006B32B9"/>
    <w:rsid w:val="006B3843"/>
    <w:rsid w:val="006B3EFD"/>
    <w:rsid w:val="006B3F3A"/>
    <w:rsid w:val="006B40C8"/>
    <w:rsid w:val="006B472A"/>
    <w:rsid w:val="006B4A86"/>
    <w:rsid w:val="006B549F"/>
    <w:rsid w:val="006B65CB"/>
    <w:rsid w:val="006B689C"/>
    <w:rsid w:val="006B765D"/>
    <w:rsid w:val="006C0867"/>
    <w:rsid w:val="006C12B3"/>
    <w:rsid w:val="006C12F3"/>
    <w:rsid w:val="006C1C22"/>
    <w:rsid w:val="006C1FB2"/>
    <w:rsid w:val="006C215A"/>
    <w:rsid w:val="006C24C7"/>
    <w:rsid w:val="006C2503"/>
    <w:rsid w:val="006C255C"/>
    <w:rsid w:val="006C273C"/>
    <w:rsid w:val="006C2A55"/>
    <w:rsid w:val="006C2D53"/>
    <w:rsid w:val="006C374A"/>
    <w:rsid w:val="006C3A0F"/>
    <w:rsid w:val="006C41D4"/>
    <w:rsid w:val="006C479E"/>
    <w:rsid w:val="006C560D"/>
    <w:rsid w:val="006C57FE"/>
    <w:rsid w:val="006C5AB5"/>
    <w:rsid w:val="006C5B2C"/>
    <w:rsid w:val="006C6E36"/>
    <w:rsid w:val="006C6FD2"/>
    <w:rsid w:val="006C705E"/>
    <w:rsid w:val="006C7216"/>
    <w:rsid w:val="006C7266"/>
    <w:rsid w:val="006C7AF0"/>
    <w:rsid w:val="006C7E5E"/>
    <w:rsid w:val="006D045E"/>
    <w:rsid w:val="006D0511"/>
    <w:rsid w:val="006D0B6D"/>
    <w:rsid w:val="006D1549"/>
    <w:rsid w:val="006D1A5F"/>
    <w:rsid w:val="006D1D92"/>
    <w:rsid w:val="006D29A8"/>
    <w:rsid w:val="006D30D9"/>
    <w:rsid w:val="006D381C"/>
    <w:rsid w:val="006D39EA"/>
    <w:rsid w:val="006D3CE0"/>
    <w:rsid w:val="006D4720"/>
    <w:rsid w:val="006D4801"/>
    <w:rsid w:val="006D487E"/>
    <w:rsid w:val="006D4A33"/>
    <w:rsid w:val="006D53DF"/>
    <w:rsid w:val="006D54F7"/>
    <w:rsid w:val="006D5604"/>
    <w:rsid w:val="006D599A"/>
    <w:rsid w:val="006D5CDA"/>
    <w:rsid w:val="006D6436"/>
    <w:rsid w:val="006D6713"/>
    <w:rsid w:val="006D7902"/>
    <w:rsid w:val="006D79C4"/>
    <w:rsid w:val="006D7C9D"/>
    <w:rsid w:val="006D7D85"/>
    <w:rsid w:val="006E045E"/>
    <w:rsid w:val="006E09E9"/>
    <w:rsid w:val="006E0B21"/>
    <w:rsid w:val="006E171B"/>
    <w:rsid w:val="006E2AD6"/>
    <w:rsid w:val="006E2C6D"/>
    <w:rsid w:val="006E33D2"/>
    <w:rsid w:val="006E374B"/>
    <w:rsid w:val="006E3B50"/>
    <w:rsid w:val="006E44D3"/>
    <w:rsid w:val="006E4705"/>
    <w:rsid w:val="006E470D"/>
    <w:rsid w:val="006E49DF"/>
    <w:rsid w:val="006E4E81"/>
    <w:rsid w:val="006E58CF"/>
    <w:rsid w:val="006E6241"/>
    <w:rsid w:val="006E645F"/>
    <w:rsid w:val="006E6F3D"/>
    <w:rsid w:val="006E71C4"/>
    <w:rsid w:val="006F06C2"/>
    <w:rsid w:val="006F106E"/>
    <w:rsid w:val="006F10B6"/>
    <w:rsid w:val="006F117D"/>
    <w:rsid w:val="006F1195"/>
    <w:rsid w:val="006F13F3"/>
    <w:rsid w:val="006F186F"/>
    <w:rsid w:val="006F1962"/>
    <w:rsid w:val="006F1DBD"/>
    <w:rsid w:val="006F1E00"/>
    <w:rsid w:val="006F23E4"/>
    <w:rsid w:val="006F2509"/>
    <w:rsid w:val="006F29C6"/>
    <w:rsid w:val="006F301F"/>
    <w:rsid w:val="006F43E8"/>
    <w:rsid w:val="006F5402"/>
    <w:rsid w:val="006F5847"/>
    <w:rsid w:val="006F5B1A"/>
    <w:rsid w:val="006F5F76"/>
    <w:rsid w:val="006F62A6"/>
    <w:rsid w:val="006F6790"/>
    <w:rsid w:val="006F6800"/>
    <w:rsid w:val="006F6A1E"/>
    <w:rsid w:val="006F6A68"/>
    <w:rsid w:val="006F72A8"/>
    <w:rsid w:val="006F7AFB"/>
    <w:rsid w:val="00700821"/>
    <w:rsid w:val="007010A7"/>
    <w:rsid w:val="007010E0"/>
    <w:rsid w:val="007010E4"/>
    <w:rsid w:val="007011D1"/>
    <w:rsid w:val="007011D8"/>
    <w:rsid w:val="00701E6C"/>
    <w:rsid w:val="00702723"/>
    <w:rsid w:val="00702C8A"/>
    <w:rsid w:val="0070303A"/>
    <w:rsid w:val="0070328F"/>
    <w:rsid w:val="00703558"/>
    <w:rsid w:val="00703E20"/>
    <w:rsid w:val="00704131"/>
    <w:rsid w:val="00704346"/>
    <w:rsid w:val="00704464"/>
    <w:rsid w:val="00704527"/>
    <w:rsid w:val="007051C3"/>
    <w:rsid w:val="0070522E"/>
    <w:rsid w:val="00705634"/>
    <w:rsid w:val="00705BD7"/>
    <w:rsid w:val="007061EC"/>
    <w:rsid w:val="00706461"/>
    <w:rsid w:val="00706818"/>
    <w:rsid w:val="007068C5"/>
    <w:rsid w:val="00706995"/>
    <w:rsid w:val="00706C3A"/>
    <w:rsid w:val="00706CE7"/>
    <w:rsid w:val="00706E1E"/>
    <w:rsid w:val="00706EE2"/>
    <w:rsid w:val="007071D4"/>
    <w:rsid w:val="0070749B"/>
    <w:rsid w:val="00707C37"/>
    <w:rsid w:val="00707E92"/>
    <w:rsid w:val="00710164"/>
    <w:rsid w:val="00710167"/>
    <w:rsid w:val="00710595"/>
    <w:rsid w:val="00710870"/>
    <w:rsid w:val="007109AB"/>
    <w:rsid w:val="007109B1"/>
    <w:rsid w:val="00710A0B"/>
    <w:rsid w:val="00710A1A"/>
    <w:rsid w:val="00710BBD"/>
    <w:rsid w:val="00710E5E"/>
    <w:rsid w:val="007110B3"/>
    <w:rsid w:val="00712020"/>
    <w:rsid w:val="00712026"/>
    <w:rsid w:val="007121C0"/>
    <w:rsid w:val="00712638"/>
    <w:rsid w:val="0071276A"/>
    <w:rsid w:val="00712A32"/>
    <w:rsid w:val="00712B22"/>
    <w:rsid w:val="00712D93"/>
    <w:rsid w:val="007132CE"/>
    <w:rsid w:val="007139BF"/>
    <w:rsid w:val="00713C11"/>
    <w:rsid w:val="00713CBE"/>
    <w:rsid w:val="007140F9"/>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004"/>
    <w:rsid w:val="00721EFB"/>
    <w:rsid w:val="00721F31"/>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827"/>
    <w:rsid w:val="00725D1A"/>
    <w:rsid w:val="00725DF3"/>
    <w:rsid w:val="007262B9"/>
    <w:rsid w:val="00726401"/>
    <w:rsid w:val="00726676"/>
    <w:rsid w:val="00726B7D"/>
    <w:rsid w:val="00727285"/>
    <w:rsid w:val="00727380"/>
    <w:rsid w:val="00727D91"/>
    <w:rsid w:val="00727E44"/>
    <w:rsid w:val="00730152"/>
    <w:rsid w:val="007301B7"/>
    <w:rsid w:val="00730699"/>
    <w:rsid w:val="0073071A"/>
    <w:rsid w:val="00730DD2"/>
    <w:rsid w:val="007310E4"/>
    <w:rsid w:val="00731129"/>
    <w:rsid w:val="007314D7"/>
    <w:rsid w:val="00731607"/>
    <w:rsid w:val="00732732"/>
    <w:rsid w:val="007330EA"/>
    <w:rsid w:val="0073397C"/>
    <w:rsid w:val="00733A16"/>
    <w:rsid w:val="00733E30"/>
    <w:rsid w:val="00734051"/>
    <w:rsid w:val="00734519"/>
    <w:rsid w:val="0073458B"/>
    <w:rsid w:val="007345AE"/>
    <w:rsid w:val="00734B84"/>
    <w:rsid w:val="007352AF"/>
    <w:rsid w:val="0073562D"/>
    <w:rsid w:val="007358AD"/>
    <w:rsid w:val="00735CBE"/>
    <w:rsid w:val="00735EBF"/>
    <w:rsid w:val="0073653D"/>
    <w:rsid w:val="007365ED"/>
    <w:rsid w:val="00736747"/>
    <w:rsid w:val="00736927"/>
    <w:rsid w:val="00736EE1"/>
    <w:rsid w:val="0073771C"/>
    <w:rsid w:val="00737A4B"/>
    <w:rsid w:val="00740008"/>
    <w:rsid w:val="00740C2E"/>
    <w:rsid w:val="007410BB"/>
    <w:rsid w:val="00741355"/>
    <w:rsid w:val="00741914"/>
    <w:rsid w:val="00741C56"/>
    <w:rsid w:val="00741C83"/>
    <w:rsid w:val="00741E9A"/>
    <w:rsid w:val="007422F1"/>
    <w:rsid w:val="007427A3"/>
    <w:rsid w:val="00742891"/>
    <w:rsid w:val="00742A72"/>
    <w:rsid w:val="00742C3D"/>
    <w:rsid w:val="00742DAD"/>
    <w:rsid w:val="00743338"/>
    <w:rsid w:val="00743455"/>
    <w:rsid w:val="007435B8"/>
    <w:rsid w:val="00743FEF"/>
    <w:rsid w:val="007444AE"/>
    <w:rsid w:val="007444B8"/>
    <w:rsid w:val="007447C6"/>
    <w:rsid w:val="007449FE"/>
    <w:rsid w:val="00744CEC"/>
    <w:rsid w:val="00745A05"/>
    <w:rsid w:val="00745F8E"/>
    <w:rsid w:val="00746564"/>
    <w:rsid w:val="00746721"/>
    <w:rsid w:val="00746A84"/>
    <w:rsid w:val="00747741"/>
    <w:rsid w:val="00750447"/>
    <w:rsid w:val="007505F4"/>
    <w:rsid w:val="00750979"/>
    <w:rsid w:val="00751313"/>
    <w:rsid w:val="007514AA"/>
    <w:rsid w:val="007515E7"/>
    <w:rsid w:val="00751760"/>
    <w:rsid w:val="007518C9"/>
    <w:rsid w:val="00752147"/>
    <w:rsid w:val="0075218A"/>
    <w:rsid w:val="00752238"/>
    <w:rsid w:val="00752DE0"/>
    <w:rsid w:val="00752E14"/>
    <w:rsid w:val="00753427"/>
    <w:rsid w:val="00753B6A"/>
    <w:rsid w:val="00753DA5"/>
    <w:rsid w:val="00754E53"/>
    <w:rsid w:val="0075502B"/>
    <w:rsid w:val="00755633"/>
    <w:rsid w:val="00755B6F"/>
    <w:rsid w:val="00756309"/>
    <w:rsid w:val="0075691B"/>
    <w:rsid w:val="00756A17"/>
    <w:rsid w:val="00756B41"/>
    <w:rsid w:val="007576EC"/>
    <w:rsid w:val="00757957"/>
    <w:rsid w:val="007604C1"/>
    <w:rsid w:val="00760978"/>
    <w:rsid w:val="00760D42"/>
    <w:rsid w:val="00760FD9"/>
    <w:rsid w:val="007614CD"/>
    <w:rsid w:val="007620AA"/>
    <w:rsid w:val="007623B0"/>
    <w:rsid w:val="00762A7D"/>
    <w:rsid w:val="00762C65"/>
    <w:rsid w:val="00762E8B"/>
    <w:rsid w:val="007638B8"/>
    <w:rsid w:val="00763B9E"/>
    <w:rsid w:val="00764588"/>
    <w:rsid w:val="007648FE"/>
    <w:rsid w:val="00764B39"/>
    <w:rsid w:val="00765EE9"/>
    <w:rsid w:val="007661CB"/>
    <w:rsid w:val="007664EA"/>
    <w:rsid w:val="0076652D"/>
    <w:rsid w:val="00766541"/>
    <w:rsid w:val="007667C4"/>
    <w:rsid w:val="007667FE"/>
    <w:rsid w:val="00766E2B"/>
    <w:rsid w:val="007670FC"/>
    <w:rsid w:val="00767282"/>
    <w:rsid w:val="007678B9"/>
    <w:rsid w:val="00767AF2"/>
    <w:rsid w:val="00767DDD"/>
    <w:rsid w:val="00767F7F"/>
    <w:rsid w:val="007703EA"/>
    <w:rsid w:val="0077070D"/>
    <w:rsid w:val="00770C49"/>
    <w:rsid w:val="0077130E"/>
    <w:rsid w:val="007713D7"/>
    <w:rsid w:val="00771BF6"/>
    <w:rsid w:val="0077249A"/>
    <w:rsid w:val="0077262C"/>
    <w:rsid w:val="00772772"/>
    <w:rsid w:val="00772A29"/>
    <w:rsid w:val="007738F0"/>
    <w:rsid w:val="00773B3E"/>
    <w:rsid w:val="00773E65"/>
    <w:rsid w:val="007741B0"/>
    <w:rsid w:val="007745D3"/>
    <w:rsid w:val="00774644"/>
    <w:rsid w:val="007746DC"/>
    <w:rsid w:val="0077558B"/>
    <w:rsid w:val="007756E4"/>
    <w:rsid w:val="0077574B"/>
    <w:rsid w:val="00776874"/>
    <w:rsid w:val="0077726C"/>
    <w:rsid w:val="00777AAB"/>
    <w:rsid w:val="00777F54"/>
    <w:rsid w:val="0078004B"/>
    <w:rsid w:val="0078042F"/>
    <w:rsid w:val="00780FF9"/>
    <w:rsid w:val="00781071"/>
    <w:rsid w:val="00781937"/>
    <w:rsid w:val="0078285C"/>
    <w:rsid w:val="00782B30"/>
    <w:rsid w:val="00783A36"/>
    <w:rsid w:val="0078404B"/>
    <w:rsid w:val="007845D4"/>
    <w:rsid w:val="00784DF0"/>
    <w:rsid w:val="007855B7"/>
    <w:rsid w:val="00785A38"/>
    <w:rsid w:val="00785C2A"/>
    <w:rsid w:val="007863C5"/>
    <w:rsid w:val="0078668F"/>
    <w:rsid w:val="00786C45"/>
    <w:rsid w:val="00786F6A"/>
    <w:rsid w:val="0078700E"/>
    <w:rsid w:val="00787339"/>
    <w:rsid w:val="00787B34"/>
    <w:rsid w:val="00787B59"/>
    <w:rsid w:val="00787C9C"/>
    <w:rsid w:val="00787FC0"/>
    <w:rsid w:val="007900A9"/>
    <w:rsid w:val="00790B76"/>
    <w:rsid w:val="007910C3"/>
    <w:rsid w:val="00791110"/>
    <w:rsid w:val="00791250"/>
    <w:rsid w:val="0079150D"/>
    <w:rsid w:val="00791800"/>
    <w:rsid w:val="00791DE1"/>
    <w:rsid w:val="0079219F"/>
    <w:rsid w:val="0079276B"/>
    <w:rsid w:val="00793181"/>
    <w:rsid w:val="007931A6"/>
    <w:rsid w:val="007936BD"/>
    <w:rsid w:val="007936C1"/>
    <w:rsid w:val="00793D45"/>
    <w:rsid w:val="00793E10"/>
    <w:rsid w:val="00793E6D"/>
    <w:rsid w:val="00795130"/>
    <w:rsid w:val="00795E20"/>
    <w:rsid w:val="00796787"/>
    <w:rsid w:val="007975BD"/>
    <w:rsid w:val="00797813"/>
    <w:rsid w:val="00797B7E"/>
    <w:rsid w:val="007A035B"/>
    <w:rsid w:val="007A05A2"/>
    <w:rsid w:val="007A10D6"/>
    <w:rsid w:val="007A12EE"/>
    <w:rsid w:val="007A138C"/>
    <w:rsid w:val="007A1834"/>
    <w:rsid w:val="007A1856"/>
    <w:rsid w:val="007A1E52"/>
    <w:rsid w:val="007A2A4D"/>
    <w:rsid w:val="007A31B2"/>
    <w:rsid w:val="007A35BF"/>
    <w:rsid w:val="007A3629"/>
    <w:rsid w:val="007A385C"/>
    <w:rsid w:val="007A38F5"/>
    <w:rsid w:val="007A3D24"/>
    <w:rsid w:val="007A4860"/>
    <w:rsid w:val="007A4CAF"/>
    <w:rsid w:val="007A4F7B"/>
    <w:rsid w:val="007A5D1D"/>
    <w:rsid w:val="007A613C"/>
    <w:rsid w:val="007A61E4"/>
    <w:rsid w:val="007A704A"/>
    <w:rsid w:val="007A7242"/>
    <w:rsid w:val="007B007F"/>
    <w:rsid w:val="007B0D0F"/>
    <w:rsid w:val="007B12B0"/>
    <w:rsid w:val="007B1392"/>
    <w:rsid w:val="007B1785"/>
    <w:rsid w:val="007B215A"/>
    <w:rsid w:val="007B22DC"/>
    <w:rsid w:val="007B24F0"/>
    <w:rsid w:val="007B29DF"/>
    <w:rsid w:val="007B34DC"/>
    <w:rsid w:val="007B369C"/>
    <w:rsid w:val="007B3A98"/>
    <w:rsid w:val="007B3D7A"/>
    <w:rsid w:val="007B4008"/>
    <w:rsid w:val="007B49C4"/>
    <w:rsid w:val="007B4D74"/>
    <w:rsid w:val="007B4DC6"/>
    <w:rsid w:val="007B5132"/>
    <w:rsid w:val="007B69E8"/>
    <w:rsid w:val="007B6C17"/>
    <w:rsid w:val="007B6F85"/>
    <w:rsid w:val="007B743C"/>
    <w:rsid w:val="007B7B31"/>
    <w:rsid w:val="007C0165"/>
    <w:rsid w:val="007C033F"/>
    <w:rsid w:val="007C03F9"/>
    <w:rsid w:val="007C048B"/>
    <w:rsid w:val="007C0508"/>
    <w:rsid w:val="007C057E"/>
    <w:rsid w:val="007C06A4"/>
    <w:rsid w:val="007C0CA1"/>
    <w:rsid w:val="007C1227"/>
    <w:rsid w:val="007C1541"/>
    <w:rsid w:val="007C19DF"/>
    <w:rsid w:val="007C1BAF"/>
    <w:rsid w:val="007C2097"/>
    <w:rsid w:val="007C25F8"/>
    <w:rsid w:val="007C2C3E"/>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58"/>
    <w:rsid w:val="007D2BE8"/>
    <w:rsid w:val="007D2D0C"/>
    <w:rsid w:val="007D3066"/>
    <w:rsid w:val="007D34B8"/>
    <w:rsid w:val="007D37FD"/>
    <w:rsid w:val="007D3E49"/>
    <w:rsid w:val="007D421B"/>
    <w:rsid w:val="007D4490"/>
    <w:rsid w:val="007D4579"/>
    <w:rsid w:val="007D4B28"/>
    <w:rsid w:val="007D51EB"/>
    <w:rsid w:val="007D58BB"/>
    <w:rsid w:val="007D6835"/>
    <w:rsid w:val="007D696D"/>
    <w:rsid w:val="007D6A93"/>
    <w:rsid w:val="007D6DAA"/>
    <w:rsid w:val="007D7635"/>
    <w:rsid w:val="007D76BB"/>
    <w:rsid w:val="007D7C78"/>
    <w:rsid w:val="007D7CDE"/>
    <w:rsid w:val="007D7DC7"/>
    <w:rsid w:val="007E01AF"/>
    <w:rsid w:val="007E0772"/>
    <w:rsid w:val="007E0D31"/>
    <w:rsid w:val="007E0E04"/>
    <w:rsid w:val="007E0EF9"/>
    <w:rsid w:val="007E18BC"/>
    <w:rsid w:val="007E1B5F"/>
    <w:rsid w:val="007E21D9"/>
    <w:rsid w:val="007E23E5"/>
    <w:rsid w:val="007E2BDD"/>
    <w:rsid w:val="007E3569"/>
    <w:rsid w:val="007E45CA"/>
    <w:rsid w:val="007E48C0"/>
    <w:rsid w:val="007E4AC2"/>
    <w:rsid w:val="007E4FBE"/>
    <w:rsid w:val="007E5885"/>
    <w:rsid w:val="007E61B7"/>
    <w:rsid w:val="007E6481"/>
    <w:rsid w:val="007E64FF"/>
    <w:rsid w:val="007E697F"/>
    <w:rsid w:val="007E6BD5"/>
    <w:rsid w:val="007E6F62"/>
    <w:rsid w:val="007E6FEA"/>
    <w:rsid w:val="007E7C7B"/>
    <w:rsid w:val="007E7E0F"/>
    <w:rsid w:val="007E7F8F"/>
    <w:rsid w:val="007F015E"/>
    <w:rsid w:val="007F1063"/>
    <w:rsid w:val="007F1160"/>
    <w:rsid w:val="007F1910"/>
    <w:rsid w:val="007F1B05"/>
    <w:rsid w:val="007F21B0"/>
    <w:rsid w:val="007F2717"/>
    <w:rsid w:val="007F2DE9"/>
    <w:rsid w:val="007F3119"/>
    <w:rsid w:val="007F341B"/>
    <w:rsid w:val="007F3682"/>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3D5"/>
    <w:rsid w:val="007F7865"/>
    <w:rsid w:val="007F7C57"/>
    <w:rsid w:val="007F7FB3"/>
    <w:rsid w:val="0080026A"/>
    <w:rsid w:val="00800340"/>
    <w:rsid w:val="00800953"/>
    <w:rsid w:val="0080116C"/>
    <w:rsid w:val="00801255"/>
    <w:rsid w:val="008012A2"/>
    <w:rsid w:val="0080197B"/>
    <w:rsid w:val="00801C1F"/>
    <w:rsid w:val="008021D3"/>
    <w:rsid w:val="00802849"/>
    <w:rsid w:val="00802971"/>
    <w:rsid w:val="008034C0"/>
    <w:rsid w:val="008038E3"/>
    <w:rsid w:val="008038F6"/>
    <w:rsid w:val="00803FF8"/>
    <w:rsid w:val="00804157"/>
    <w:rsid w:val="00804558"/>
    <w:rsid w:val="008047AE"/>
    <w:rsid w:val="00804B21"/>
    <w:rsid w:val="00805483"/>
    <w:rsid w:val="00805788"/>
    <w:rsid w:val="0080585D"/>
    <w:rsid w:val="00806273"/>
    <w:rsid w:val="0080661F"/>
    <w:rsid w:val="00806EFD"/>
    <w:rsid w:val="00806F3C"/>
    <w:rsid w:val="00807074"/>
    <w:rsid w:val="00807263"/>
    <w:rsid w:val="00807516"/>
    <w:rsid w:val="008076EB"/>
    <w:rsid w:val="00807E43"/>
    <w:rsid w:val="00807F69"/>
    <w:rsid w:val="0081002B"/>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50B"/>
    <w:rsid w:val="0081467F"/>
    <w:rsid w:val="008150EA"/>
    <w:rsid w:val="00815339"/>
    <w:rsid w:val="0081591F"/>
    <w:rsid w:val="00815A99"/>
    <w:rsid w:val="00815E5B"/>
    <w:rsid w:val="008160D1"/>
    <w:rsid w:val="008162B3"/>
    <w:rsid w:val="0081640D"/>
    <w:rsid w:val="0081687A"/>
    <w:rsid w:val="008169A1"/>
    <w:rsid w:val="00817607"/>
    <w:rsid w:val="00820160"/>
    <w:rsid w:val="0082022B"/>
    <w:rsid w:val="008208BB"/>
    <w:rsid w:val="00820E0E"/>
    <w:rsid w:val="00821237"/>
    <w:rsid w:val="008215F5"/>
    <w:rsid w:val="008216DA"/>
    <w:rsid w:val="008217C3"/>
    <w:rsid w:val="00821868"/>
    <w:rsid w:val="008219B8"/>
    <w:rsid w:val="00821A88"/>
    <w:rsid w:val="00821ECA"/>
    <w:rsid w:val="00822414"/>
    <w:rsid w:val="00822CB9"/>
    <w:rsid w:val="00822D76"/>
    <w:rsid w:val="00822E2C"/>
    <w:rsid w:val="00823116"/>
    <w:rsid w:val="0082350E"/>
    <w:rsid w:val="00823658"/>
    <w:rsid w:val="008239BF"/>
    <w:rsid w:val="00823B36"/>
    <w:rsid w:val="0082425F"/>
    <w:rsid w:val="0082480A"/>
    <w:rsid w:val="0082488C"/>
    <w:rsid w:val="008251E7"/>
    <w:rsid w:val="00825417"/>
    <w:rsid w:val="008262BC"/>
    <w:rsid w:val="008266A2"/>
    <w:rsid w:val="008267AE"/>
    <w:rsid w:val="00830B33"/>
    <w:rsid w:val="0083118A"/>
    <w:rsid w:val="008311FD"/>
    <w:rsid w:val="00831784"/>
    <w:rsid w:val="008324E8"/>
    <w:rsid w:val="00832727"/>
    <w:rsid w:val="008337C1"/>
    <w:rsid w:val="008344E7"/>
    <w:rsid w:val="00834F23"/>
    <w:rsid w:val="00835350"/>
    <w:rsid w:val="008353B6"/>
    <w:rsid w:val="00836A67"/>
    <w:rsid w:val="00836CEB"/>
    <w:rsid w:val="00836D07"/>
    <w:rsid w:val="00836F79"/>
    <w:rsid w:val="00837766"/>
    <w:rsid w:val="008409C6"/>
    <w:rsid w:val="00840EAF"/>
    <w:rsid w:val="008416BF"/>
    <w:rsid w:val="008416FD"/>
    <w:rsid w:val="0084188F"/>
    <w:rsid w:val="00842659"/>
    <w:rsid w:val="0084293A"/>
    <w:rsid w:val="00843445"/>
    <w:rsid w:val="0084354C"/>
    <w:rsid w:val="0084375D"/>
    <w:rsid w:val="00844119"/>
    <w:rsid w:val="0084416F"/>
    <w:rsid w:val="00844462"/>
    <w:rsid w:val="008449FE"/>
    <w:rsid w:val="00844E61"/>
    <w:rsid w:val="00845310"/>
    <w:rsid w:val="00845515"/>
    <w:rsid w:val="00845520"/>
    <w:rsid w:val="00845CE4"/>
    <w:rsid w:val="00845E57"/>
    <w:rsid w:val="00845FC4"/>
    <w:rsid w:val="008461B0"/>
    <w:rsid w:val="00846B8B"/>
    <w:rsid w:val="00846C9F"/>
    <w:rsid w:val="00846D16"/>
    <w:rsid w:val="00846F4C"/>
    <w:rsid w:val="0085027F"/>
    <w:rsid w:val="0085044B"/>
    <w:rsid w:val="008504C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1DB"/>
    <w:rsid w:val="008558ED"/>
    <w:rsid w:val="00855CFC"/>
    <w:rsid w:val="00855FD5"/>
    <w:rsid w:val="00856049"/>
    <w:rsid w:val="0085632A"/>
    <w:rsid w:val="008568BB"/>
    <w:rsid w:val="00856D84"/>
    <w:rsid w:val="00856E96"/>
    <w:rsid w:val="00857822"/>
    <w:rsid w:val="00857B68"/>
    <w:rsid w:val="00857C93"/>
    <w:rsid w:val="00857F5D"/>
    <w:rsid w:val="00857FEB"/>
    <w:rsid w:val="00860D51"/>
    <w:rsid w:val="008611C1"/>
    <w:rsid w:val="0086132E"/>
    <w:rsid w:val="0086151A"/>
    <w:rsid w:val="0086173C"/>
    <w:rsid w:val="00861DA4"/>
    <w:rsid w:val="00862330"/>
    <w:rsid w:val="0086264B"/>
    <w:rsid w:val="0086266B"/>
    <w:rsid w:val="008626E9"/>
    <w:rsid w:val="008626EB"/>
    <w:rsid w:val="00862EFD"/>
    <w:rsid w:val="008638FB"/>
    <w:rsid w:val="00863AF4"/>
    <w:rsid w:val="008643F1"/>
    <w:rsid w:val="0086444C"/>
    <w:rsid w:val="008644B1"/>
    <w:rsid w:val="00864768"/>
    <w:rsid w:val="008658AB"/>
    <w:rsid w:val="00865B18"/>
    <w:rsid w:val="0086672E"/>
    <w:rsid w:val="00866792"/>
    <w:rsid w:val="00866CF2"/>
    <w:rsid w:val="008675EC"/>
    <w:rsid w:val="008679CE"/>
    <w:rsid w:val="00867DA7"/>
    <w:rsid w:val="008705A8"/>
    <w:rsid w:val="00870BC3"/>
    <w:rsid w:val="00871470"/>
    <w:rsid w:val="008718FC"/>
    <w:rsid w:val="00871CC2"/>
    <w:rsid w:val="00871F4F"/>
    <w:rsid w:val="0087200D"/>
    <w:rsid w:val="008720CF"/>
    <w:rsid w:val="00872131"/>
    <w:rsid w:val="008723B8"/>
    <w:rsid w:val="008725F5"/>
    <w:rsid w:val="00873147"/>
    <w:rsid w:val="00873664"/>
    <w:rsid w:val="00873C1E"/>
    <w:rsid w:val="00873CD6"/>
    <w:rsid w:val="00873DE6"/>
    <w:rsid w:val="00873FBF"/>
    <w:rsid w:val="00874178"/>
    <w:rsid w:val="00874272"/>
    <w:rsid w:val="008743DF"/>
    <w:rsid w:val="0087455B"/>
    <w:rsid w:val="00874C66"/>
    <w:rsid w:val="00874F67"/>
    <w:rsid w:val="00874FBA"/>
    <w:rsid w:val="00875F4F"/>
    <w:rsid w:val="008762D8"/>
    <w:rsid w:val="008772AE"/>
    <w:rsid w:val="008772D9"/>
    <w:rsid w:val="00877345"/>
    <w:rsid w:val="00877456"/>
    <w:rsid w:val="00877B29"/>
    <w:rsid w:val="00877C69"/>
    <w:rsid w:val="00880298"/>
    <w:rsid w:val="008808B9"/>
    <w:rsid w:val="00880994"/>
    <w:rsid w:val="00880B30"/>
    <w:rsid w:val="00880D5B"/>
    <w:rsid w:val="00880F1D"/>
    <w:rsid w:val="0088172A"/>
    <w:rsid w:val="00881F90"/>
    <w:rsid w:val="00883600"/>
    <w:rsid w:val="00883624"/>
    <w:rsid w:val="00883A6A"/>
    <w:rsid w:val="008851C4"/>
    <w:rsid w:val="00885696"/>
    <w:rsid w:val="0088570A"/>
    <w:rsid w:val="008858F3"/>
    <w:rsid w:val="00885DB7"/>
    <w:rsid w:val="00885E9D"/>
    <w:rsid w:val="00885F23"/>
    <w:rsid w:val="0088636E"/>
    <w:rsid w:val="008864A7"/>
    <w:rsid w:val="0088666A"/>
    <w:rsid w:val="0088688A"/>
    <w:rsid w:val="00886890"/>
    <w:rsid w:val="00886A9E"/>
    <w:rsid w:val="00886DC9"/>
    <w:rsid w:val="00886EC7"/>
    <w:rsid w:val="00887184"/>
    <w:rsid w:val="00887681"/>
    <w:rsid w:val="008879EA"/>
    <w:rsid w:val="00890139"/>
    <w:rsid w:val="00890CD4"/>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6474"/>
    <w:rsid w:val="00896B97"/>
    <w:rsid w:val="00896DBC"/>
    <w:rsid w:val="00897474"/>
    <w:rsid w:val="00897B59"/>
    <w:rsid w:val="00897C6C"/>
    <w:rsid w:val="00897D1A"/>
    <w:rsid w:val="008A0905"/>
    <w:rsid w:val="008A0B02"/>
    <w:rsid w:val="008A0E0D"/>
    <w:rsid w:val="008A1034"/>
    <w:rsid w:val="008A155C"/>
    <w:rsid w:val="008A180E"/>
    <w:rsid w:val="008A197C"/>
    <w:rsid w:val="008A1A44"/>
    <w:rsid w:val="008A2238"/>
    <w:rsid w:val="008A2545"/>
    <w:rsid w:val="008A2636"/>
    <w:rsid w:val="008A35DB"/>
    <w:rsid w:val="008A3AF9"/>
    <w:rsid w:val="008A3FBE"/>
    <w:rsid w:val="008A4013"/>
    <w:rsid w:val="008A4320"/>
    <w:rsid w:val="008A46F0"/>
    <w:rsid w:val="008A4BB2"/>
    <w:rsid w:val="008A4C9C"/>
    <w:rsid w:val="008A503C"/>
    <w:rsid w:val="008A6041"/>
    <w:rsid w:val="008A60F8"/>
    <w:rsid w:val="008A66C8"/>
    <w:rsid w:val="008A69FE"/>
    <w:rsid w:val="008A6E1D"/>
    <w:rsid w:val="008A6EC7"/>
    <w:rsid w:val="008A6F36"/>
    <w:rsid w:val="008A7286"/>
    <w:rsid w:val="008A737A"/>
    <w:rsid w:val="008A7B50"/>
    <w:rsid w:val="008B0028"/>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EE"/>
    <w:rsid w:val="008B715C"/>
    <w:rsid w:val="008B743E"/>
    <w:rsid w:val="008B75B8"/>
    <w:rsid w:val="008B7AAE"/>
    <w:rsid w:val="008B7BC6"/>
    <w:rsid w:val="008C0EAD"/>
    <w:rsid w:val="008C1442"/>
    <w:rsid w:val="008C1693"/>
    <w:rsid w:val="008C19D9"/>
    <w:rsid w:val="008C1A5E"/>
    <w:rsid w:val="008C1A81"/>
    <w:rsid w:val="008C1EA9"/>
    <w:rsid w:val="008C29FE"/>
    <w:rsid w:val="008C30DF"/>
    <w:rsid w:val="008C32CA"/>
    <w:rsid w:val="008C37B7"/>
    <w:rsid w:val="008C3967"/>
    <w:rsid w:val="008C431E"/>
    <w:rsid w:val="008C4432"/>
    <w:rsid w:val="008C4AE1"/>
    <w:rsid w:val="008C54BD"/>
    <w:rsid w:val="008C54C4"/>
    <w:rsid w:val="008C5933"/>
    <w:rsid w:val="008C6056"/>
    <w:rsid w:val="008C6628"/>
    <w:rsid w:val="008C69C9"/>
    <w:rsid w:val="008C6E38"/>
    <w:rsid w:val="008C6F75"/>
    <w:rsid w:val="008C70D5"/>
    <w:rsid w:val="008C7C18"/>
    <w:rsid w:val="008C7CC4"/>
    <w:rsid w:val="008D047D"/>
    <w:rsid w:val="008D08B0"/>
    <w:rsid w:val="008D0B4C"/>
    <w:rsid w:val="008D0E91"/>
    <w:rsid w:val="008D14C4"/>
    <w:rsid w:val="008D1964"/>
    <w:rsid w:val="008D221A"/>
    <w:rsid w:val="008D241C"/>
    <w:rsid w:val="008D24D6"/>
    <w:rsid w:val="008D24E1"/>
    <w:rsid w:val="008D26A5"/>
    <w:rsid w:val="008D3E6A"/>
    <w:rsid w:val="008D4A8F"/>
    <w:rsid w:val="008D4F71"/>
    <w:rsid w:val="008D53E2"/>
    <w:rsid w:val="008D5908"/>
    <w:rsid w:val="008D5AF1"/>
    <w:rsid w:val="008D6291"/>
    <w:rsid w:val="008D67A5"/>
    <w:rsid w:val="008D6833"/>
    <w:rsid w:val="008D6A6E"/>
    <w:rsid w:val="008D72B3"/>
    <w:rsid w:val="008D781F"/>
    <w:rsid w:val="008D7DBE"/>
    <w:rsid w:val="008E02B7"/>
    <w:rsid w:val="008E0950"/>
    <w:rsid w:val="008E12E8"/>
    <w:rsid w:val="008E20BE"/>
    <w:rsid w:val="008E241B"/>
    <w:rsid w:val="008E2BBC"/>
    <w:rsid w:val="008E3096"/>
    <w:rsid w:val="008E330C"/>
    <w:rsid w:val="008E332F"/>
    <w:rsid w:val="008E4114"/>
    <w:rsid w:val="008E4317"/>
    <w:rsid w:val="008E45EA"/>
    <w:rsid w:val="008E4A1A"/>
    <w:rsid w:val="008E5E01"/>
    <w:rsid w:val="008E69A3"/>
    <w:rsid w:val="008E7339"/>
    <w:rsid w:val="008E7CC9"/>
    <w:rsid w:val="008F016E"/>
    <w:rsid w:val="008F02A1"/>
    <w:rsid w:val="008F0E69"/>
    <w:rsid w:val="008F12FF"/>
    <w:rsid w:val="008F13AA"/>
    <w:rsid w:val="008F1F94"/>
    <w:rsid w:val="008F3D3E"/>
    <w:rsid w:val="008F3F31"/>
    <w:rsid w:val="008F42C4"/>
    <w:rsid w:val="008F4655"/>
    <w:rsid w:val="008F4779"/>
    <w:rsid w:val="008F523B"/>
    <w:rsid w:val="008F542B"/>
    <w:rsid w:val="008F5670"/>
    <w:rsid w:val="008F599F"/>
    <w:rsid w:val="008F5EDB"/>
    <w:rsid w:val="008F63DF"/>
    <w:rsid w:val="008F64E5"/>
    <w:rsid w:val="008F677E"/>
    <w:rsid w:val="008F7307"/>
    <w:rsid w:val="008F76EE"/>
    <w:rsid w:val="008F7B94"/>
    <w:rsid w:val="008F7C28"/>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B1E"/>
    <w:rsid w:val="009046C9"/>
    <w:rsid w:val="009046F1"/>
    <w:rsid w:val="00904883"/>
    <w:rsid w:val="00904B0A"/>
    <w:rsid w:val="00904F84"/>
    <w:rsid w:val="009052CE"/>
    <w:rsid w:val="009055DD"/>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BD"/>
    <w:rsid w:val="00913B74"/>
    <w:rsid w:val="00913EBB"/>
    <w:rsid w:val="00913ED6"/>
    <w:rsid w:val="009141BB"/>
    <w:rsid w:val="00914ADA"/>
    <w:rsid w:val="00914B55"/>
    <w:rsid w:val="00914D9B"/>
    <w:rsid w:val="00914DC4"/>
    <w:rsid w:val="00915329"/>
    <w:rsid w:val="0091588C"/>
    <w:rsid w:val="00915C7E"/>
    <w:rsid w:val="00915DB5"/>
    <w:rsid w:val="00915DF4"/>
    <w:rsid w:val="00916012"/>
    <w:rsid w:val="00916068"/>
    <w:rsid w:val="009167D2"/>
    <w:rsid w:val="00916BF5"/>
    <w:rsid w:val="00916CCB"/>
    <w:rsid w:val="00917DB8"/>
    <w:rsid w:val="00917EEB"/>
    <w:rsid w:val="009200B0"/>
    <w:rsid w:val="00920EC8"/>
    <w:rsid w:val="00920EE1"/>
    <w:rsid w:val="00921102"/>
    <w:rsid w:val="00921305"/>
    <w:rsid w:val="00921783"/>
    <w:rsid w:val="009217D9"/>
    <w:rsid w:val="00921AC8"/>
    <w:rsid w:val="0092206F"/>
    <w:rsid w:val="00922482"/>
    <w:rsid w:val="0092287A"/>
    <w:rsid w:val="00922A2B"/>
    <w:rsid w:val="009239B9"/>
    <w:rsid w:val="00924A6C"/>
    <w:rsid w:val="00924ED4"/>
    <w:rsid w:val="00924F63"/>
    <w:rsid w:val="00925591"/>
    <w:rsid w:val="00925DB9"/>
    <w:rsid w:val="009271AB"/>
    <w:rsid w:val="00927281"/>
    <w:rsid w:val="009273B8"/>
    <w:rsid w:val="00927A20"/>
    <w:rsid w:val="00930298"/>
    <w:rsid w:val="009302A6"/>
    <w:rsid w:val="00930EFC"/>
    <w:rsid w:val="00931325"/>
    <w:rsid w:val="009317C4"/>
    <w:rsid w:val="009319DC"/>
    <w:rsid w:val="00931AAD"/>
    <w:rsid w:val="00931E6D"/>
    <w:rsid w:val="0093236B"/>
    <w:rsid w:val="00932D04"/>
    <w:rsid w:val="00932E9E"/>
    <w:rsid w:val="00933308"/>
    <w:rsid w:val="00933B8A"/>
    <w:rsid w:val="00934141"/>
    <w:rsid w:val="009341AA"/>
    <w:rsid w:val="0093429A"/>
    <w:rsid w:val="00934FE5"/>
    <w:rsid w:val="009352D3"/>
    <w:rsid w:val="00935418"/>
    <w:rsid w:val="009355BB"/>
    <w:rsid w:val="00935789"/>
    <w:rsid w:val="009359C5"/>
    <w:rsid w:val="00935CFA"/>
    <w:rsid w:val="009361E8"/>
    <w:rsid w:val="00936247"/>
    <w:rsid w:val="00936501"/>
    <w:rsid w:val="009366AD"/>
    <w:rsid w:val="00936D8A"/>
    <w:rsid w:val="009377A1"/>
    <w:rsid w:val="00937F93"/>
    <w:rsid w:val="00940360"/>
    <w:rsid w:val="00940850"/>
    <w:rsid w:val="00940B1D"/>
    <w:rsid w:val="00941A39"/>
    <w:rsid w:val="00941D9B"/>
    <w:rsid w:val="0094236F"/>
    <w:rsid w:val="0094243B"/>
    <w:rsid w:val="009425EB"/>
    <w:rsid w:val="009428A4"/>
    <w:rsid w:val="00943157"/>
    <w:rsid w:val="0094368C"/>
    <w:rsid w:val="00943893"/>
    <w:rsid w:val="00944312"/>
    <w:rsid w:val="009443DC"/>
    <w:rsid w:val="00944AE2"/>
    <w:rsid w:val="0094526B"/>
    <w:rsid w:val="009456EB"/>
    <w:rsid w:val="00945E7E"/>
    <w:rsid w:val="00945E8F"/>
    <w:rsid w:val="009461F6"/>
    <w:rsid w:val="009463FD"/>
    <w:rsid w:val="009467FD"/>
    <w:rsid w:val="00946D2E"/>
    <w:rsid w:val="00946E64"/>
    <w:rsid w:val="009472F6"/>
    <w:rsid w:val="009474C8"/>
    <w:rsid w:val="0094783F"/>
    <w:rsid w:val="00950B18"/>
    <w:rsid w:val="00950C55"/>
    <w:rsid w:val="00950CB3"/>
    <w:rsid w:val="00951D01"/>
    <w:rsid w:val="0095232D"/>
    <w:rsid w:val="0095267E"/>
    <w:rsid w:val="00952DD4"/>
    <w:rsid w:val="00952EBB"/>
    <w:rsid w:val="00952F24"/>
    <w:rsid w:val="0095370E"/>
    <w:rsid w:val="00953B5D"/>
    <w:rsid w:val="00953D3D"/>
    <w:rsid w:val="00953F68"/>
    <w:rsid w:val="009543D8"/>
    <w:rsid w:val="009545D6"/>
    <w:rsid w:val="00954DA6"/>
    <w:rsid w:val="00954F0D"/>
    <w:rsid w:val="00954F67"/>
    <w:rsid w:val="00955047"/>
    <w:rsid w:val="0095544E"/>
    <w:rsid w:val="009559E7"/>
    <w:rsid w:val="00955A8A"/>
    <w:rsid w:val="00955AA9"/>
    <w:rsid w:val="00955AB2"/>
    <w:rsid w:val="00955E60"/>
    <w:rsid w:val="00955EC8"/>
    <w:rsid w:val="0095699A"/>
    <w:rsid w:val="00956B34"/>
    <w:rsid w:val="00956CCE"/>
    <w:rsid w:val="0095702D"/>
    <w:rsid w:val="00957174"/>
    <w:rsid w:val="009571A6"/>
    <w:rsid w:val="00957252"/>
    <w:rsid w:val="009572FF"/>
    <w:rsid w:val="0095752A"/>
    <w:rsid w:val="009577C1"/>
    <w:rsid w:val="00957CF7"/>
    <w:rsid w:val="009602BA"/>
    <w:rsid w:val="0096109F"/>
    <w:rsid w:val="009615D7"/>
    <w:rsid w:val="00962D17"/>
    <w:rsid w:val="00963953"/>
    <w:rsid w:val="00963BD5"/>
    <w:rsid w:val="00963D17"/>
    <w:rsid w:val="00963D45"/>
    <w:rsid w:val="00963F13"/>
    <w:rsid w:val="009640B5"/>
    <w:rsid w:val="00964459"/>
    <w:rsid w:val="009655D7"/>
    <w:rsid w:val="009657D5"/>
    <w:rsid w:val="00965F9F"/>
    <w:rsid w:val="00966141"/>
    <w:rsid w:val="009662EC"/>
    <w:rsid w:val="00966590"/>
    <w:rsid w:val="00966611"/>
    <w:rsid w:val="009669CC"/>
    <w:rsid w:val="00966B7F"/>
    <w:rsid w:val="009672C2"/>
    <w:rsid w:val="00967655"/>
    <w:rsid w:val="00967D86"/>
    <w:rsid w:val="0097009F"/>
    <w:rsid w:val="009702B4"/>
    <w:rsid w:val="00970F12"/>
    <w:rsid w:val="009710BF"/>
    <w:rsid w:val="0097132A"/>
    <w:rsid w:val="00971874"/>
    <w:rsid w:val="00971F83"/>
    <w:rsid w:val="00972061"/>
    <w:rsid w:val="00972417"/>
    <w:rsid w:val="0097245C"/>
    <w:rsid w:val="009725FE"/>
    <w:rsid w:val="0097282B"/>
    <w:rsid w:val="00972DAC"/>
    <w:rsid w:val="00972E65"/>
    <w:rsid w:val="00973411"/>
    <w:rsid w:val="00973842"/>
    <w:rsid w:val="00973A35"/>
    <w:rsid w:val="00974061"/>
    <w:rsid w:val="009741E5"/>
    <w:rsid w:val="00974A1E"/>
    <w:rsid w:val="0097559A"/>
    <w:rsid w:val="00975D48"/>
    <w:rsid w:val="00976546"/>
    <w:rsid w:val="0097657D"/>
    <w:rsid w:val="00976FCF"/>
    <w:rsid w:val="009775D5"/>
    <w:rsid w:val="00977FE1"/>
    <w:rsid w:val="00980BAC"/>
    <w:rsid w:val="00980DF0"/>
    <w:rsid w:val="00980F3F"/>
    <w:rsid w:val="009813FF"/>
    <w:rsid w:val="00981D1C"/>
    <w:rsid w:val="00982032"/>
    <w:rsid w:val="00982214"/>
    <w:rsid w:val="009823D4"/>
    <w:rsid w:val="00982474"/>
    <w:rsid w:val="00982575"/>
    <w:rsid w:val="009825C0"/>
    <w:rsid w:val="00983285"/>
    <w:rsid w:val="00983C1E"/>
    <w:rsid w:val="00984672"/>
    <w:rsid w:val="009846BA"/>
    <w:rsid w:val="00984F97"/>
    <w:rsid w:val="0098545B"/>
    <w:rsid w:val="0098569D"/>
    <w:rsid w:val="00985A09"/>
    <w:rsid w:val="00986277"/>
    <w:rsid w:val="009866A3"/>
    <w:rsid w:val="0098693D"/>
    <w:rsid w:val="00986E60"/>
    <w:rsid w:val="00987176"/>
    <w:rsid w:val="00990343"/>
    <w:rsid w:val="009905E1"/>
    <w:rsid w:val="0099064C"/>
    <w:rsid w:val="0099078A"/>
    <w:rsid w:val="0099097F"/>
    <w:rsid w:val="00992097"/>
    <w:rsid w:val="009925E9"/>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EBD"/>
    <w:rsid w:val="0099625A"/>
    <w:rsid w:val="009965BC"/>
    <w:rsid w:val="0099662E"/>
    <w:rsid w:val="00997258"/>
    <w:rsid w:val="009973BE"/>
    <w:rsid w:val="00997585"/>
    <w:rsid w:val="00997C19"/>
    <w:rsid w:val="009A0217"/>
    <w:rsid w:val="009A0415"/>
    <w:rsid w:val="009A04CD"/>
    <w:rsid w:val="009A177E"/>
    <w:rsid w:val="009A1AE9"/>
    <w:rsid w:val="009A22E6"/>
    <w:rsid w:val="009A2486"/>
    <w:rsid w:val="009A2690"/>
    <w:rsid w:val="009A3307"/>
    <w:rsid w:val="009A3520"/>
    <w:rsid w:val="009A3547"/>
    <w:rsid w:val="009A35C6"/>
    <w:rsid w:val="009A37DE"/>
    <w:rsid w:val="009A39FF"/>
    <w:rsid w:val="009A3CB5"/>
    <w:rsid w:val="009A3EAF"/>
    <w:rsid w:val="009A3F33"/>
    <w:rsid w:val="009A42EC"/>
    <w:rsid w:val="009A54A5"/>
    <w:rsid w:val="009A5501"/>
    <w:rsid w:val="009A5984"/>
    <w:rsid w:val="009A5AE0"/>
    <w:rsid w:val="009A5F64"/>
    <w:rsid w:val="009A5FE2"/>
    <w:rsid w:val="009A6129"/>
    <w:rsid w:val="009A6621"/>
    <w:rsid w:val="009A6AEA"/>
    <w:rsid w:val="009A6CC5"/>
    <w:rsid w:val="009A7597"/>
    <w:rsid w:val="009B052F"/>
    <w:rsid w:val="009B1DAF"/>
    <w:rsid w:val="009B1F3A"/>
    <w:rsid w:val="009B1F90"/>
    <w:rsid w:val="009B2766"/>
    <w:rsid w:val="009B2852"/>
    <w:rsid w:val="009B29EA"/>
    <w:rsid w:val="009B2B90"/>
    <w:rsid w:val="009B2DA5"/>
    <w:rsid w:val="009B32F0"/>
    <w:rsid w:val="009B3996"/>
    <w:rsid w:val="009B3EB4"/>
    <w:rsid w:val="009B3F21"/>
    <w:rsid w:val="009B42BE"/>
    <w:rsid w:val="009B5400"/>
    <w:rsid w:val="009B5973"/>
    <w:rsid w:val="009B5B48"/>
    <w:rsid w:val="009B62E6"/>
    <w:rsid w:val="009B6580"/>
    <w:rsid w:val="009B67C4"/>
    <w:rsid w:val="009B6A3F"/>
    <w:rsid w:val="009B6C5A"/>
    <w:rsid w:val="009B6D42"/>
    <w:rsid w:val="009B6D96"/>
    <w:rsid w:val="009B71E1"/>
    <w:rsid w:val="009B73E9"/>
    <w:rsid w:val="009C0448"/>
    <w:rsid w:val="009C0615"/>
    <w:rsid w:val="009C0CF8"/>
    <w:rsid w:val="009C125A"/>
    <w:rsid w:val="009C1EB2"/>
    <w:rsid w:val="009C2675"/>
    <w:rsid w:val="009C2839"/>
    <w:rsid w:val="009C2DC4"/>
    <w:rsid w:val="009C2F03"/>
    <w:rsid w:val="009C3042"/>
    <w:rsid w:val="009C386A"/>
    <w:rsid w:val="009C3E9C"/>
    <w:rsid w:val="009C4A32"/>
    <w:rsid w:val="009C63AB"/>
    <w:rsid w:val="009C69D0"/>
    <w:rsid w:val="009C69F4"/>
    <w:rsid w:val="009C6F83"/>
    <w:rsid w:val="009C7041"/>
    <w:rsid w:val="009C7163"/>
    <w:rsid w:val="009C77A3"/>
    <w:rsid w:val="009C7A73"/>
    <w:rsid w:val="009D1082"/>
    <w:rsid w:val="009D1394"/>
    <w:rsid w:val="009D203A"/>
    <w:rsid w:val="009D20AC"/>
    <w:rsid w:val="009D20C9"/>
    <w:rsid w:val="009D21C8"/>
    <w:rsid w:val="009D26D8"/>
    <w:rsid w:val="009D30F9"/>
    <w:rsid w:val="009D3192"/>
    <w:rsid w:val="009D31C0"/>
    <w:rsid w:val="009D322C"/>
    <w:rsid w:val="009D334F"/>
    <w:rsid w:val="009D33C0"/>
    <w:rsid w:val="009D372A"/>
    <w:rsid w:val="009D3A26"/>
    <w:rsid w:val="009D3BAC"/>
    <w:rsid w:val="009D3EDD"/>
    <w:rsid w:val="009D43D2"/>
    <w:rsid w:val="009D48BA"/>
    <w:rsid w:val="009D4B7E"/>
    <w:rsid w:val="009D4D48"/>
    <w:rsid w:val="009D4DC6"/>
    <w:rsid w:val="009D5106"/>
    <w:rsid w:val="009D5E95"/>
    <w:rsid w:val="009D5E99"/>
    <w:rsid w:val="009D66B9"/>
    <w:rsid w:val="009D6B77"/>
    <w:rsid w:val="009D6C4C"/>
    <w:rsid w:val="009D6CE1"/>
    <w:rsid w:val="009D74C2"/>
    <w:rsid w:val="009D7F6B"/>
    <w:rsid w:val="009E076D"/>
    <w:rsid w:val="009E1449"/>
    <w:rsid w:val="009E14B2"/>
    <w:rsid w:val="009E1AE3"/>
    <w:rsid w:val="009E1D15"/>
    <w:rsid w:val="009E1DFA"/>
    <w:rsid w:val="009E23ED"/>
    <w:rsid w:val="009E26BC"/>
    <w:rsid w:val="009E322C"/>
    <w:rsid w:val="009E3352"/>
    <w:rsid w:val="009E3479"/>
    <w:rsid w:val="009E387D"/>
    <w:rsid w:val="009E3E89"/>
    <w:rsid w:val="009E453D"/>
    <w:rsid w:val="009E45E7"/>
    <w:rsid w:val="009E4690"/>
    <w:rsid w:val="009E4F27"/>
    <w:rsid w:val="009E5013"/>
    <w:rsid w:val="009E56B0"/>
    <w:rsid w:val="009E5917"/>
    <w:rsid w:val="009E6223"/>
    <w:rsid w:val="009E6C58"/>
    <w:rsid w:val="009E725F"/>
    <w:rsid w:val="009E79CF"/>
    <w:rsid w:val="009E7F2E"/>
    <w:rsid w:val="009F009C"/>
    <w:rsid w:val="009F0345"/>
    <w:rsid w:val="009F04F2"/>
    <w:rsid w:val="009F0A8F"/>
    <w:rsid w:val="009F0E0B"/>
    <w:rsid w:val="009F231C"/>
    <w:rsid w:val="009F2512"/>
    <w:rsid w:val="009F2800"/>
    <w:rsid w:val="009F2C7D"/>
    <w:rsid w:val="009F40CE"/>
    <w:rsid w:val="009F47DF"/>
    <w:rsid w:val="009F4CDA"/>
    <w:rsid w:val="009F4DCF"/>
    <w:rsid w:val="009F59BF"/>
    <w:rsid w:val="009F5F68"/>
    <w:rsid w:val="009F6BC3"/>
    <w:rsid w:val="009F749A"/>
    <w:rsid w:val="009F776E"/>
    <w:rsid w:val="009F7973"/>
    <w:rsid w:val="00A00F42"/>
    <w:rsid w:val="00A0117B"/>
    <w:rsid w:val="00A01519"/>
    <w:rsid w:val="00A0195A"/>
    <w:rsid w:val="00A01F31"/>
    <w:rsid w:val="00A02D3C"/>
    <w:rsid w:val="00A031AD"/>
    <w:rsid w:val="00A032EA"/>
    <w:rsid w:val="00A0408F"/>
    <w:rsid w:val="00A04E68"/>
    <w:rsid w:val="00A05174"/>
    <w:rsid w:val="00A05442"/>
    <w:rsid w:val="00A055FE"/>
    <w:rsid w:val="00A05975"/>
    <w:rsid w:val="00A05EAA"/>
    <w:rsid w:val="00A0608D"/>
    <w:rsid w:val="00A060BE"/>
    <w:rsid w:val="00A0695E"/>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739"/>
    <w:rsid w:val="00A14BFD"/>
    <w:rsid w:val="00A15566"/>
    <w:rsid w:val="00A15B2D"/>
    <w:rsid w:val="00A163CD"/>
    <w:rsid w:val="00A16778"/>
    <w:rsid w:val="00A16863"/>
    <w:rsid w:val="00A16B57"/>
    <w:rsid w:val="00A16CDE"/>
    <w:rsid w:val="00A16F55"/>
    <w:rsid w:val="00A172C9"/>
    <w:rsid w:val="00A17B66"/>
    <w:rsid w:val="00A17F66"/>
    <w:rsid w:val="00A20224"/>
    <w:rsid w:val="00A21424"/>
    <w:rsid w:val="00A21997"/>
    <w:rsid w:val="00A21C53"/>
    <w:rsid w:val="00A22FBF"/>
    <w:rsid w:val="00A2366C"/>
    <w:rsid w:val="00A2390C"/>
    <w:rsid w:val="00A23A98"/>
    <w:rsid w:val="00A23E1D"/>
    <w:rsid w:val="00A23EF1"/>
    <w:rsid w:val="00A24217"/>
    <w:rsid w:val="00A2424E"/>
    <w:rsid w:val="00A244E9"/>
    <w:rsid w:val="00A24622"/>
    <w:rsid w:val="00A246A3"/>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0B1C"/>
    <w:rsid w:val="00A313B3"/>
    <w:rsid w:val="00A31D00"/>
    <w:rsid w:val="00A32051"/>
    <w:rsid w:val="00A323A5"/>
    <w:rsid w:val="00A32AE0"/>
    <w:rsid w:val="00A32B77"/>
    <w:rsid w:val="00A32BB4"/>
    <w:rsid w:val="00A32D56"/>
    <w:rsid w:val="00A33037"/>
    <w:rsid w:val="00A33CCF"/>
    <w:rsid w:val="00A35316"/>
    <w:rsid w:val="00A35813"/>
    <w:rsid w:val="00A35D65"/>
    <w:rsid w:val="00A36CF6"/>
    <w:rsid w:val="00A36EC5"/>
    <w:rsid w:val="00A371D7"/>
    <w:rsid w:val="00A37EDA"/>
    <w:rsid w:val="00A4035D"/>
    <w:rsid w:val="00A406A8"/>
    <w:rsid w:val="00A413A3"/>
    <w:rsid w:val="00A41619"/>
    <w:rsid w:val="00A41F7F"/>
    <w:rsid w:val="00A42286"/>
    <w:rsid w:val="00A4317F"/>
    <w:rsid w:val="00A43270"/>
    <w:rsid w:val="00A433D9"/>
    <w:rsid w:val="00A4539E"/>
    <w:rsid w:val="00A459C0"/>
    <w:rsid w:val="00A45F7E"/>
    <w:rsid w:val="00A46080"/>
    <w:rsid w:val="00A460A7"/>
    <w:rsid w:val="00A461CB"/>
    <w:rsid w:val="00A46600"/>
    <w:rsid w:val="00A4666A"/>
    <w:rsid w:val="00A46C6C"/>
    <w:rsid w:val="00A46EB1"/>
    <w:rsid w:val="00A47A54"/>
    <w:rsid w:val="00A47C2F"/>
    <w:rsid w:val="00A47C59"/>
    <w:rsid w:val="00A5052A"/>
    <w:rsid w:val="00A50FEC"/>
    <w:rsid w:val="00A512C7"/>
    <w:rsid w:val="00A51FC3"/>
    <w:rsid w:val="00A52F63"/>
    <w:rsid w:val="00A53152"/>
    <w:rsid w:val="00A532FC"/>
    <w:rsid w:val="00A53624"/>
    <w:rsid w:val="00A53792"/>
    <w:rsid w:val="00A537F8"/>
    <w:rsid w:val="00A539AA"/>
    <w:rsid w:val="00A54BBD"/>
    <w:rsid w:val="00A54F72"/>
    <w:rsid w:val="00A565B6"/>
    <w:rsid w:val="00A567E2"/>
    <w:rsid w:val="00A56806"/>
    <w:rsid w:val="00A57F15"/>
    <w:rsid w:val="00A57F41"/>
    <w:rsid w:val="00A60066"/>
    <w:rsid w:val="00A60179"/>
    <w:rsid w:val="00A601D9"/>
    <w:rsid w:val="00A6027E"/>
    <w:rsid w:val="00A61399"/>
    <w:rsid w:val="00A61782"/>
    <w:rsid w:val="00A61FDA"/>
    <w:rsid w:val="00A6279F"/>
    <w:rsid w:val="00A63850"/>
    <w:rsid w:val="00A63E3E"/>
    <w:rsid w:val="00A64787"/>
    <w:rsid w:val="00A648E9"/>
    <w:rsid w:val="00A65177"/>
    <w:rsid w:val="00A65DDA"/>
    <w:rsid w:val="00A6654A"/>
    <w:rsid w:val="00A667EF"/>
    <w:rsid w:val="00A66B03"/>
    <w:rsid w:val="00A66C0D"/>
    <w:rsid w:val="00A6764D"/>
    <w:rsid w:val="00A67934"/>
    <w:rsid w:val="00A67D4A"/>
    <w:rsid w:val="00A7022A"/>
    <w:rsid w:val="00A703AE"/>
    <w:rsid w:val="00A70415"/>
    <w:rsid w:val="00A709AE"/>
    <w:rsid w:val="00A70DCB"/>
    <w:rsid w:val="00A70E5B"/>
    <w:rsid w:val="00A71120"/>
    <w:rsid w:val="00A71D6E"/>
    <w:rsid w:val="00A71FD1"/>
    <w:rsid w:val="00A720C2"/>
    <w:rsid w:val="00A722DC"/>
    <w:rsid w:val="00A7248F"/>
    <w:rsid w:val="00A72733"/>
    <w:rsid w:val="00A72BC8"/>
    <w:rsid w:val="00A72C04"/>
    <w:rsid w:val="00A72E13"/>
    <w:rsid w:val="00A72FE2"/>
    <w:rsid w:val="00A73341"/>
    <w:rsid w:val="00A748ED"/>
    <w:rsid w:val="00A74BC3"/>
    <w:rsid w:val="00A74E4C"/>
    <w:rsid w:val="00A74E90"/>
    <w:rsid w:val="00A74FBE"/>
    <w:rsid w:val="00A7504B"/>
    <w:rsid w:val="00A75386"/>
    <w:rsid w:val="00A7593A"/>
    <w:rsid w:val="00A7597F"/>
    <w:rsid w:val="00A75D3F"/>
    <w:rsid w:val="00A75E69"/>
    <w:rsid w:val="00A7678C"/>
    <w:rsid w:val="00A768C8"/>
    <w:rsid w:val="00A76C21"/>
    <w:rsid w:val="00A77134"/>
    <w:rsid w:val="00A77727"/>
    <w:rsid w:val="00A77A4F"/>
    <w:rsid w:val="00A800E8"/>
    <w:rsid w:val="00A81122"/>
    <w:rsid w:val="00A817C8"/>
    <w:rsid w:val="00A818D7"/>
    <w:rsid w:val="00A820F1"/>
    <w:rsid w:val="00A8226A"/>
    <w:rsid w:val="00A8244C"/>
    <w:rsid w:val="00A82941"/>
    <w:rsid w:val="00A831CD"/>
    <w:rsid w:val="00A834D6"/>
    <w:rsid w:val="00A83BBE"/>
    <w:rsid w:val="00A83DBC"/>
    <w:rsid w:val="00A84738"/>
    <w:rsid w:val="00A84746"/>
    <w:rsid w:val="00A847AE"/>
    <w:rsid w:val="00A84D2C"/>
    <w:rsid w:val="00A85084"/>
    <w:rsid w:val="00A855FE"/>
    <w:rsid w:val="00A857A6"/>
    <w:rsid w:val="00A85836"/>
    <w:rsid w:val="00A85DD6"/>
    <w:rsid w:val="00A85E79"/>
    <w:rsid w:val="00A85F29"/>
    <w:rsid w:val="00A8613B"/>
    <w:rsid w:val="00A86203"/>
    <w:rsid w:val="00A86D62"/>
    <w:rsid w:val="00A8778D"/>
    <w:rsid w:val="00A87982"/>
    <w:rsid w:val="00A87C2F"/>
    <w:rsid w:val="00A904F2"/>
    <w:rsid w:val="00A90A9D"/>
    <w:rsid w:val="00A911A0"/>
    <w:rsid w:val="00A91363"/>
    <w:rsid w:val="00A9136A"/>
    <w:rsid w:val="00A91450"/>
    <w:rsid w:val="00A91B63"/>
    <w:rsid w:val="00A91DB4"/>
    <w:rsid w:val="00A920B1"/>
    <w:rsid w:val="00A92564"/>
    <w:rsid w:val="00A92DB9"/>
    <w:rsid w:val="00A93738"/>
    <w:rsid w:val="00A93A74"/>
    <w:rsid w:val="00A94084"/>
    <w:rsid w:val="00A9446E"/>
    <w:rsid w:val="00A94F9F"/>
    <w:rsid w:val="00A953D8"/>
    <w:rsid w:val="00A96125"/>
    <w:rsid w:val="00A9621D"/>
    <w:rsid w:val="00A96852"/>
    <w:rsid w:val="00A96C21"/>
    <w:rsid w:val="00A9775E"/>
    <w:rsid w:val="00A9791D"/>
    <w:rsid w:val="00A97D4A"/>
    <w:rsid w:val="00A97DB8"/>
    <w:rsid w:val="00AA0209"/>
    <w:rsid w:val="00AA03A6"/>
    <w:rsid w:val="00AA1128"/>
    <w:rsid w:val="00AA125C"/>
    <w:rsid w:val="00AA1A7C"/>
    <w:rsid w:val="00AA1ADA"/>
    <w:rsid w:val="00AA20B3"/>
    <w:rsid w:val="00AA2854"/>
    <w:rsid w:val="00AA2A7D"/>
    <w:rsid w:val="00AA2A95"/>
    <w:rsid w:val="00AA2ECC"/>
    <w:rsid w:val="00AA3A3E"/>
    <w:rsid w:val="00AA3B94"/>
    <w:rsid w:val="00AA3C94"/>
    <w:rsid w:val="00AA40D9"/>
    <w:rsid w:val="00AA41D4"/>
    <w:rsid w:val="00AA4203"/>
    <w:rsid w:val="00AA4775"/>
    <w:rsid w:val="00AA488F"/>
    <w:rsid w:val="00AA5515"/>
    <w:rsid w:val="00AA55B8"/>
    <w:rsid w:val="00AA567F"/>
    <w:rsid w:val="00AA5789"/>
    <w:rsid w:val="00AA583C"/>
    <w:rsid w:val="00AA6012"/>
    <w:rsid w:val="00AA65CF"/>
    <w:rsid w:val="00AA6760"/>
    <w:rsid w:val="00AA6A88"/>
    <w:rsid w:val="00AA7457"/>
    <w:rsid w:val="00AB02DD"/>
    <w:rsid w:val="00AB045C"/>
    <w:rsid w:val="00AB05BB"/>
    <w:rsid w:val="00AB090C"/>
    <w:rsid w:val="00AB0E69"/>
    <w:rsid w:val="00AB0F9A"/>
    <w:rsid w:val="00AB1160"/>
    <w:rsid w:val="00AB1411"/>
    <w:rsid w:val="00AB142E"/>
    <w:rsid w:val="00AB1739"/>
    <w:rsid w:val="00AB1C10"/>
    <w:rsid w:val="00AB212D"/>
    <w:rsid w:val="00AB2837"/>
    <w:rsid w:val="00AB32C1"/>
    <w:rsid w:val="00AB3552"/>
    <w:rsid w:val="00AB49C3"/>
    <w:rsid w:val="00AB55F8"/>
    <w:rsid w:val="00AB5DF2"/>
    <w:rsid w:val="00AB6C4D"/>
    <w:rsid w:val="00AB7866"/>
    <w:rsid w:val="00AC0531"/>
    <w:rsid w:val="00AC0843"/>
    <w:rsid w:val="00AC0F49"/>
    <w:rsid w:val="00AC13AC"/>
    <w:rsid w:val="00AC19D1"/>
    <w:rsid w:val="00AC1C78"/>
    <w:rsid w:val="00AC1D3B"/>
    <w:rsid w:val="00AC226A"/>
    <w:rsid w:val="00AC246C"/>
    <w:rsid w:val="00AC2526"/>
    <w:rsid w:val="00AC2FB2"/>
    <w:rsid w:val="00AC32FB"/>
    <w:rsid w:val="00AC3ADE"/>
    <w:rsid w:val="00AC3BC7"/>
    <w:rsid w:val="00AC3EC8"/>
    <w:rsid w:val="00AC3F17"/>
    <w:rsid w:val="00AC3F58"/>
    <w:rsid w:val="00AC45B8"/>
    <w:rsid w:val="00AC4C92"/>
    <w:rsid w:val="00AC4E28"/>
    <w:rsid w:val="00AC4E71"/>
    <w:rsid w:val="00AC4F7E"/>
    <w:rsid w:val="00AC539B"/>
    <w:rsid w:val="00AC5700"/>
    <w:rsid w:val="00AC5A64"/>
    <w:rsid w:val="00AC699C"/>
    <w:rsid w:val="00AC7042"/>
    <w:rsid w:val="00AC752F"/>
    <w:rsid w:val="00AC7B8D"/>
    <w:rsid w:val="00AC7E49"/>
    <w:rsid w:val="00AD0190"/>
    <w:rsid w:val="00AD0271"/>
    <w:rsid w:val="00AD08CB"/>
    <w:rsid w:val="00AD099F"/>
    <w:rsid w:val="00AD1C10"/>
    <w:rsid w:val="00AD1DEC"/>
    <w:rsid w:val="00AD22C9"/>
    <w:rsid w:val="00AD2835"/>
    <w:rsid w:val="00AD2E7B"/>
    <w:rsid w:val="00AD2F52"/>
    <w:rsid w:val="00AD2F8F"/>
    <w:rsid w:val="00AD3685"/>
    <w:rsid w:val="00AD3F4F"/>
    <w:rsid w:val="00AD403C"/>
    <w:rsid w:val="00AD4143"/>
    <w:rsid w:val="00AD4153"/>
    <w:rsid w:val="00AD46A7"/>
    <w:rsid w:val="00AD4734"/>
    <w:rsid w:val="00AD4838"/>
    <w:rsid w:val="00AD5420"/>
    <w:rsid w:val="00AD56CF"/>
    <w:rsid w:val="00AD5B47"/>
    <w:rsid w:val="00AD5DDB"/>
    <w:rsid w:val="00AD5E3E"/>
    <w:rsid w:val="00AD60B8"/>
    <w:rsid w:val="00AD60EF"/>
    <w:rsid w:val="00AD612C"/>
    <w:rsid w:val="00AD62C2"/>
    <w:rsid w:val="00AD719E"/>
    <w:rsid w:val="00AD7235"/>
    <w:rsid w:val="00AD734C"/>
    <w:rsid w:val="00AD7922"/>
    <w:rsid w:val="00AE0289"/>
    <w:rsid w:val="00AE0413"/>
    <w:rsid w:val="00AE05BF"/>
    <w:rsid w:val="00AE099B"/>
    <w:rsid w:val="00AE09E9"/>
    <w:rsid w:val="00AE0D8D"/>
    <w:rsid w:val="00AE2354"/>
    <w:rsid w:val="00AE23C8"/>
    <w:rsid w:val="00AE265A"/>
    <w:rsid w:val="00AE308D"/>
    <w:rsid w:val="00AE36D1"/>
    <w:rsid w:val="00AE3DDB"/>
    <w:rsid w:val="00AE44DB"/>
    <w:rsid w:val="00AE46C8"/>
    <w:rsid w:val="00AE48EE"/>
    <w:rsid w:val="00AE4A64"/>
    <w:rsid w:val="00AE53DE"/>
    <w:rsid w:val="00AE5771"/>
    <w:rsid w:val="00AE59FC"/>
    <w:rsid w:val="00AE5EBB"/>
    <w:rsid w:val="00AE6362"/>
    <w:rsid w:val="00AE6749"/>
    <w:rsid w:val="00AE6AAF"/>
    <w:rsid w:val="00AE6E97"/>
    <w:rsid w:val="00AE710B"/>
    <w:rsid w:val="00AE758E"/>
    <w:rsid w:val="00AF00A4"/>
    <w:rsid w:val="00AF059D"/>
    <w:rsid w:val="00AF077D"/>
    <w:rsid w:val="00AF089F"/>
    <w:rsid w:val="00AF0992"/>
    <w:rsid w:val="00AF0C7C"/>
    <w:rsid w:val="00AF0D62"/>
    <w:rsid w:val="00AF0EB3"/>
    <w:rsid w:val="00AF1281"/>
    <w:rsid w:val="00AF14C8"/>
    <w:rsid w:val="00AF1B67"/>
    <w:rsid w:val="00AF1FFD"/>
    <w:rsid w:val="00AF23D9"/>
    <w:rsid w:val="00AF23F0"/>
    <w:rsid w:val="00AF290E"/>
    <w:rsid w:val="00AF29FA"/>
    <w:rsid w:val="00AF2A09"/>
    <w:rsid w:val="00AF2A5F"/>
    <w:rsid w:val="00AF2FA9"/>
    <w:rsid w:val="00AF34B3"/>
    <w:rsid w:val="00AF37D5"/>
    <w:rsid w:val="00AF381B"/>
    <w:rsid w:val="00AF391B"/>
    <w:rsid w:val="00AF3D92"/>
    <w:rsid w:val="00AF3F63"/>
    <w:rsid w:val="00AF40FC"/>
    <w:rsid w:val="00AF4345"/>
    <w:rsid w:val="00AF463B"/>
    <w:rsid w:val="00AF4A34"/>
    <w:rsid w:val="00AF4BEE"/>
    <w:rsid w:val="00AF4C88"/>
    <w:rsid w:val="00AF4CC5"/>
    <w:rsid w:val="00AF5319"/>
    <w:rsid w:val="00AF5B60"/>
    <w:rsid w:val="00AF5D5B"/>
    <w:rsid w:val="00AF608B"/>
    <w:rsid w:val="00AF6414"/>
    <w:rsid w:val="00AF6A59"/>
    <w:rsid w:val="00AF7BDD"/>
    <w:rsid w:val="00B00F8C"/>
    <w:rsid w:val="00B00FEC"/>
    <w:rsid w:val="00B01927"/>
    <w:rsid w:val="00B02145"/>
    <w:rsid w:val="00B02C56"/>
    <w:rsid w:val="00B02F0C"/>
    <w:rsid w:val="00B0330B"/>
    <w:rsid w:val="00B035F9"/>
    <w:rsid w:val="00B03776"/>
    <w:rsid w:val="00B03ED8"/>
    <w:rsid w:val="00B0401D"/>
    <w:rsid w:val="00B042D2"/>
    <w:rsid w:val="00B04E8D"/>
    <w:rsid w:val="00B04F50"/>
    <w:rsid w:val="00B0542F"/>
    <w:rsid w:val="00B05443"/>
    <w:rsid w:val="00B05A05"/>
    <w:rsid w:val="00B05C9C"/>
    <w:rsid w:val="00B06495"/>
    <w:rsid w:val="00B064F1"/>
    <w:rsid w:val="00B0681C"/>
    <w:rsid w:val="00B06DA3"/>
    <w:rsid w:val="00B06EF8"/>
    <w:rsid w:val="00B077D1"/>
    <w:rsid w:val="00B07BDA"/>
    <w:rsid w:val="00B07DDC"/>
    <w:rsid w:val="00B109DF"/>
    <w:rsid w:val="00B118E1"/>
    <w:rsid w:val="00B11A39"/>
    <w:rsid w:val="00B11A5F"/>
    <w:rsid w:val="00B11A9A"/>
    <w:rsid w:val="00B11F37"/>
    <w:rsid w:val="00B120CF"/>
    <w:rsid w:val="00B1210E"/>
    <w:rsid w:val="00B1243E"/>
    <w:rsid w:val="00B129BD"/>
    <w:rsid w:val="00B12BDA"/>
    <w:rsid w:val="00B132D0"/>
    <w:rsid w:val="00B13D2B"/>
    <w:rsid w:val="00B13F2E"/>
    <w:rsid w:val="00B14011"/>
    <w:rsid w:val="00B146F7"/>
    <w:rsid w:val="00B14793"/>
    <w:rsid w:val="00B149C1"/>
    <w:rsid w:val="00B15075"/>
    <w:rsid w:val="00B15774"/>
    <w:rsid w:val="00B15D17"/>
    <w:rsid w:val="00B15DB9"/>
    <w:rsid w:val="00B16245"/>
    <w:rsid w:val="00B17694"/>
    <w:rsid w:val="00B1780E"/>
    <w:rsid w:val="00B17C0F"/>
    <w:rsid w:val="00B17EE1"/>
    <w:rsid w:val="00B200D3"/>
    <w:rsid w:val="00B204CA"/>
    <w:rsid w:val="00B2060E"/>
    <w:rsid w:val="00B2086A"/>
    <w:rsid w:val="00B20DCF"/>
    <w:rsid w:val="00B20F8A"/>
    <w:rsid w:val="00B215EB"/>
    <w:rsid w:val="00B22522"/>
    <w:rsid w:val="00B2288A"/>
    <w:rsid w:val="00B244D9"/>
    <w:rsid w:val="00B24D66"/>
    <w:rsid w:val="00B258AF"/>
    <w:rsid w:val="00B2649C"/>
    <w:rsid w:val="00B264B0"/>
    <w:rsid w:val="00B26CDB"/>
    <w:rsid w:val="00B26ECF"/>
    <w:rsid w:val="00B27444"/>
    <w:rsid w:val="00B27734"/>
    <w:rsid w:val="00B27771"/>
    <w:rsid w:val="00B27787"/>
    <w:rsid w:val="00B278D7"/>
    <w:rsid w:val="00B3091E"/>
    <w:rsid w:val="00B30932"/>
    <w:rsid w:val="00B31602"/>
    <w:rsid w:val="00B319FE"/>
    <w:rsid w:val="00B32072"/>
    <w:rsid w:val="00B3232C"/>
    <w:rsid w:val="00B32565"/>
    <w:rsid w:val="00B331B8"/>
    <w:rsid w:val="00B33786"/>
    <w:rsid w:val="00B337A4"/>
    <w:rsid w:val="00B3388C"/>
    <w:rsid w:val="00B33AAC"/>
    <w:rsid w:val="00B34725"/>
    <w:rsid w:val="00B3558D"/>
    <w:rsid w:val="00B355F0"/>
    <w:rsid w:val="00B3578C"/>
    <w:rsid w:val="00B36730"/>
    <w:rsid w:val="00B36762"/>
    <w:rsid w:val="00B36D9E"/>
    <w:rsid w:val="00B37311"/>
    <w:rsid w:val="00B373FB"/>
    <w:rsid w:val="00B37975"/>
    <w:rsid w:val="00B37E18"/>
    <w:rsid w:val="00B4106F"/>
    <w:rsid w:val="00B4196C"/>
    <w:rsid w:val="00B41A1B"/>
    <w:rsid w:val="00B41BE7"/>
    <w:rsid w:val="00B41F5E"/>
    <w:rsid w:val="00B424F7"/>
    <w:rsid w:val="00B42568"/>
    <w:rsid w:val="00B426DC"/>
    <w:rsid w:val="00B4316E"/>
    <w:rsid w:val="00B4339F"/>
    <w:rsid w:val="00B433C1"/>
    <w:rsid w:val="00B4381B"/>
    <w:rsid w:val="00B4383C"/>
    <w:rsid w:val="00B43A80"/>
    <w:rsid w:val="00B43E26"/>
    <w:rsid w:val="00B4403D"/>
    <w:rsid w:val="00B444C8"/>
    <w:rsid w:val="00B4457A"/>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24E7"/>
    <w:rsid w:val="00B5350F"/>
    <w:rsid w:val="00B53B4E"/>
    <w:rsid w:val="00B53C5F"/>
    <w:rsid w:val="00B542CC"/>
    <w:rsid w:val="00B54462"/>
    <w:rsid w:val="00B54B6F"/>
    <w:rsid w:val="00B54BD8"/>
    <w:rsid w:val="00B5596C"/>
    <w:rsid w:val="00B569B2"/>
    <w:rsid w:val="00B56FBD"/>
    <w:rsid w:val="00B5715A"/>
    <w:rsid w:val="00B57327"/>
    <w:rsid w:val="00B57859"/>
    <w:rsid w:val="00B57BD2"/>
    <w:rsid w:val="00B6002D"/>
    <w:rsid w:val="00B60035"/>
    <w:rsid w:val="00B6010B"/>
    <w:rsid w:val="00B61262"/>
    <w:rsid w:val="00B61C96"/>
    <w:rsid w:val="00B6210A"/>
    <w:rsid w:val="00B6220A"/>
    <w:rsid w:val="00B6282A"/>
    <w:rsid w:val="00B629F3"/>
    <w:rsid w:val="00B62BBA"/>
    <w:rsid w:val="00B640CF"/>
    <w:rsid w:val="00B655BB"/>
    <w:rsid w:val="00B65828"/>
    <w:rsid w:val="00B65DE3"/>
    <w:rsid w:val="00B65E01"/>
    <w:rsid w:val="00B66011"/>
    <w:rsid w:val="00B66224"/>
    <w:rsid w:val="00B665BB"/>
    <w:rsid w:val="00B66800"/>
    <w:rsid w:val="00B6680A"/>
    <w:rsid w:val="00B668CA"/>
    <w:rsid w:val="00B66AB0"/>
    <w:rsid w:val="00B677D7"/>
    <w:rsid w:val="00B6790E"/>
    <w:rsid w:val="00B7093C"/>
    <w:rsid w:val="00B7095E"/>
    <w:rsid w:val="00B70C27"/>
    <w:rsid w:val="00B70ED8"/>
    <w:rsid w:val="00B71089"/>
    <w:rsid w:val="00B710E0"/>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3F"/>
    <w:rsid w:val="00B76A7D"/>
    <w:rsid w:val="00B76CE1"/>
    <w:rsid w:val="00B77241"/>
    <w:rsid w:val="00B772EF"/>
    <w:rsid w:val="00B776D5"/>
    <w:rsid w:val="00B77B7E"/>
    <w:rsid w:val="00B80744"/>
    <w:rsid w:val="00B80979"/>
    <w:rsid w:val="00B813FD"/>
    <w:rsid w:val="00B818AA"/>
    <w:rsid w:val="00B81B66"/>
    <w:rsid w:val="00B81BC2"/>
    <w:rsid w:val="00B81C75"/>
    <w:rsid w:val="00B81D30"/>
    <w:rsid w:val="00B81D8F"/>
    <w:rsid w:val="00B81EEF"/>
    <w:rsid w:val="00B81F26"/>
    <w:rsid w:val="00B840BB"/>
    <w:rsid w:val="00B84AB9"/>
    <w:rsid w:val="00B84C9F"/>
    <w:rsid w:val="00B84E83"/>
    <w:rsid w:val="00B8525F"/>
    <w:rsid w:val="00B85552"/>
    <w:rsid w:val="00B856E9"/>
    <w:rsid w:val="00B85774"/>
    <w:rsid w:val="00B860A1"/>
    <w:rsid w:val="00B86429"/>
    <w:rsid w:val="00B8648F"/>
    <w:rsid w:val="00B86589"/>
    <w:rsid w:val="00B866C7"/>
    <w:rsid w:val="00B86EFB"/>
    <w:rsid w:val="00B872F1"/>
    <w:rsid w:val="00B87563"/>
    <w:rsid w:val="00B87726"/>
    <w:rsid w:val="00B87EBC"/>
    <w:rsid w:val="00B87FF0"/>
    <w:rsid w:val="00B90645"/>
    <w:rsid w:val="00B90657"/>
    <w:rsid w:val="00B90825"/>
    <w:rsid w:val="00B9084F"/>
    <w:rsid w:val="00B90862"/>
    <w:rsid w:val="00B90DD5"/>
    <w:rsid w:val="00B91103"/>
    <w:rsid w:val="00B912EC"/>
    <w:rsid w:val="00B917AC"/>
    <w:rsid w:val="00B91A47"/>
    <w:rsid w:val="00B91F77"/>
    <w:rsid w:val="00B926AC"/>
    <w:rsid w:val="00B926F1"/>
    <w:rsid w:val="00B92C63"/>
    <w:rsid w:val="00B92C6A"/>
    <w:rsid w:val="00B92E6B"/>
    <w:rsid w:val="00B93043"/>
    <w:rsid w:val="00B93431"/>
    <w:rsid w:val="00B93500"/>
    <w:rsid w:val="00B93CC4"/>
    <w:rsid w:val="00B93D97"/>
    <w:rsid w:val="00B94392"/>
    <w:rsid w:val="00B951C8"/>
    <w:rsid w:val="00B955F5"/>
    <w:rsid w:val="00B95663"/>
    <w:rsid w:val="00B95A36"/>
    <w:rsid w:val="00B95CCC"/>
    <w:rsid w:val="00B95D58"/>
    <w:rsid w:val="00B95F44"/>
    <w:rsid w:val="00B9615D"/>
    <w:rsid w:val="00B96D3C"/>
    <w:rsid w:val="00B9732C"/>
    <w:rsid w:val="00B97577"/>
    <w:rsid w:val="00BA0FE9"/>
    <w:rsid w:val="00BA139F"/>
    <w:rsid w:val="00BA1839"/>
    <w:rsid w:val="00BA1A0B"/>
    <w:rsid w:val="00BA1E85"/>
    <w:rsid w:val="00BA24BB"/>
    <w:rsid w:val="00BA2A0D"/>
    <w:rsid w:val="00BA359B"/>
    <w:rsid w:val="00BA3A93"/>
    <w:rsid w:val="00BA44BC"/>
    <w:rsid w:val="00BA4D05"/>
    <w:rsid w:val="00BA5165"/>
    <w:rsid w:val="00BA5599"/>
    <w:rsid w:val="00BA561A"/>
    <w:rsid w:val="00BA5886"/>
    <w:rsid w:val="00BA5A40"/>
    <w:rsid w:val="00BA5E8B"/>
    <w:rsid w:val="00BA5FD5"/>
    <w:rsid w:val="00BA60D1"/>
    <w:rsid w:val="00BA62AB"/>
    <w:rsid w:val="00BA6B97"/>
    <w:rsid w:val="00BA7E0B"/>
    <w:rsid w:val="00BB0DE3"/>
    <w:rsid w:val="00BB0EA0"/>
    <w:rsid w:val="00BB10CD"/>
    <w:rsid w:val="00BB10F0"/>
    <w:rsid w:val="00BB122E"/>
    <w:rsid w:val="00BB13BE"/>
    <w:rsid w:val="00BB15E2"/>
    <w:rsid w:val="00BB25BB"/>
    <w:rsid w:val="00BB4735"/>
    <w:rsid w:val="00BB4A6F"/>
    <w:rsid w:val="00BB56B1"/>
    <w:rsid w:val="00BB5759"/>
    <w:rsid w:val="00BB59B3"/>
    <w:rsid w:val="00BB5A30"/>
    <w:rsid w:val="00BB5B98"/>
    <w:rsid w:val="00BB5EA1"/>
    <w:rsid w:val="00BB7BAC"/>
    <w:rsid w:val="00BB7F12"/>
    <w:rsid w:val="00BC08D8"/>
    <w:rsid w:val="00BC08FC"/>
    <w:rsid w:val="00BC09B4"/>
    <w:rsid w:val="00BC0A2E"/>
    <w:rsid w:val="00BC0BC5"/>
    <w:rsid w:val="00BC202D"/>
    <w:rsid w:val="00BC213B"/>
    <w:rsid w:val="00BC22BC"/>
    <w:rsid w:val="00BC28BA"/>
    <w:rsid w:val="00BC2964"/>
    <w:rsid w:val="00BC3112"/>
    <w:rsid w:val="00BC3776"/>
    <w:rsid w:val="00BC3D8E"/>
    <w:rsid w:val="00BC3E7F"/>
    <w:rsid w:val="00BC4004"/>
    <w:rsid w:val="00BC41B5"/>
    <w:rsid w:val="00BC4C63"/>
    <w:rsid w:val="00BC54D1"/>
    <w:rsid w:val="00BC5F78"/>
    <w:rsid w:val="00BC6308"/>
    <w:rsid w:val="00BC634B"/>
    <w:rsid w:val="00BC63FE"/>
    <w:rsid w:val="00BC666D"/>
    <w:rsid w:val="00BC67A4"/>
    <w:rsid w:val="00BC6B4D"/>
    <w:rsid w:val="00BC6C4F"/>
    <w:rsid w:val="00BC6DF0"/>
    <w:rsid w:val="00BC76AA"/>
    <w:rsid w:val="00BD1290"/>
    <w:rsid w:val="00BD1CFB"/>
    <w:rsid w:val="00BD2B8F"/>
    <w:rsid w:val="00BD3201"/>
    <w:rsid w:val="00BD33CC"/>
    <w:rsid w:val="00BD35B9"/>
    <w:rsid w:val="00BD36EC"/>
    <w:rsid w:val="00BD419E"/>
    <w:rsid w:val="00BD4A52"/>
    <w:rsid w:val="00BD4D8D"/>
    <w:rsid w:val="00BD51CA"/>
    <w:rsid w:val="00BD5CD2"/>
    <w:rsid w:val="00BD6352"/>
    <w:rsid w:val="00BD64E7"/>
    <w:rsid w:val="00BD6BFF"/>
    <w:rsid w:val="00BD6CE9"/>
    <w:rsid w:val="00BD77DE"/>
    <w:rsid w:val="00BD79C2"/>
    <w:rsid w:val="00BE1CA3"/>
    <w:rsid w:val="00BE1F2E"/>
    <w:rsid w:val="00BE1FA7"/>
    <w:rsid w:val="00BE2891"/>
    <w:rsid w:val="00BE2AD7"/>
    <w:rsid w:val="00BE2BAA"/>
    <w:rsid w:val="00BE39D5"/>
    <w:rsid w:val="00BE4F8D"/>
    <w:rsid w:val="00BE590A"/>
    <w:rsid w:val="00BE5B76"/>
    <w:rsid w:val="00BE7348"/>
    <w:rsid w:val="00BE770F"/>
    <w:rsid w:val="00BE778C"/>
    <w:rsid w:val="00BE7E4D"/>
    <w:rsid w:val="00BE7F15"/>
    <w:rsid w:val="00BF0028"/>
    <w:rsid w:val="00BF01D4"/>
    <w:rsid w:val="00BF03B4"/>
    <w:rsid w:val="00BF0409"/>
    <w:rsid w:val="00BF1E87"/>
    <w:rsid w:val="00BF20FB"/>
    <w:rsid w:val="00BF2554"/>
    <w:rsid w:val="00BF2997"/>
    <w:rsid w:val="00BF2CAE"/>
    <w:rsid w:val="00BF318D"/>
    <w:rsid w:val="00BF3535"/>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1250"/>
    <w:rsid w:val="00C01619"/>
    <w:rsid w:val="00C025FC"/>
    <w:rsid w:val="00C02B84"/>
    <w:rsid w:val="00C03041"/>
    <w:rsid w:val="00C03815"/>
    <w:rsid w:val="00C03F13"/>
    <w:rsid w:val="00C041F4"/>
    <w:rsid w:val="00C04926"/>
    <w:rsid w:val="00C04C59"/>
    <w:rsid w:val="00C04EEA"/>
    <w:rsid w:val="00C0503D"/>
    <w:rsid w:val="00C0524E"/>
    <w:rsid w:val="00C05428"/>
    <w:rsid w:val="00C0552E"/>
    <w:rsid w:val="00C058A3"/>
    <w:rsid w:val="00C05E05"/>
    <w:rsid w:val="00C06CBE"/>
    <w:rsid w:val="00C06FEC"/>
    <w:rsid w:val="00C0711F"/>
    <w:rsid w:val="00C073D8"/>
    <w:rsid w:val="00C077E1"/>
    <w:rsid w:val="00C07F67"/>
    <w:rsid w:val="00C101B5"/>
    <w:rsid w:val="00C107BE"/>
    <w:rsid w:val="00C10BD0"/>
    <w:rsid w:val="00C10C03"/>
    <w:rsid w:val="00C10F4C"/>
    <w:rsid w:val="00C112F7"/>
    <w:rsid w:val="00C1161D"/>
    <w:rsid w:val="00C12CC4"/>
    <w:rsid w:val="00C12CE6"/>
    <w:rsid w:val="00C12D9C"/>
    <w:rsid w:val="00C12FBF"/>
    <w:rsid w:val="00C13208"/>
    <w:rsid w:val="00C13313"/>
    <w:rsid w:val="00C133F5"/>
    <w:rsid w:val="00C1360E"/>
    <w:rsid w:val="00C13819"/>
    <w:rsid w:val="00C13CCA"/>
    <w:rsid w:val="00C13FFF"/>
    <w:rsid w:val="00C142EA"/>
    <w:rsid w:val="00C14AD2"/>
    <w:rsid w:val="00C14CA5"/>
    <w:rsid w:val="00C15764"/>
    <w:rsid w:val="00C15BE1"/>
    <w:rsid w:val="00C15CAE"/>
    <w:rsid w:val="00C160D9"/>
    <w:rsid w:val="00C16B32"/>
    <w:rsid w:val="00C16FF1"/>
    <w:rsid w:val="00C17089"/>
    <w:rsid w:val="00C1715B"/>
    <w:rsid w:val="00C1757F"/>
    <w:rsid w:val="00C179C2"/>
    <w:rsid w:val="00C17A66"/>
    <w:rsid w:val="00C17A78"/>
    <w:rsid w:val="00C17B74"/>
    <w:rsid w:val="00C17BCC"/>
    <w:rsid w:val="00C20358"/>
    <w:rsid w:val="00C20A09"/>
    <w:rsid w:val="00C20AEB"/>
    <w:rsid w:val="00C20F22"/>
    <w:rsid w:val="00C21FF8"/>
    <w:rsid w:val="00C220F2"/>
    <w:rsid w:val="00C22286"/>
    <w:rsid w:val="00C223A0"/>
    <w:rsid w:val="00C23398"/>
    <w:rsid w:val="00C2398F"/>
    <w:rsid w:val="00C23BBD"/>
    <w:rsid w:val="00C2414B"/>
    <w:rsid w:val="00C2455C"/>
    <w:rsid w:val="00C24638"/>
    <w:rsid w:val="00C26495"/>
    <w:rsid w:val="00C265C3"/>
    <w:rsid w:val="00C26A62"/>
    <w:rsid w:val="00C27194"/>
    <w:rsid w:val="00C2725D"/>
    <w:rsid w:val="00C273ED"/>
    <w:rsid w:val="00C27447"/>
    <w:rsid w:val="00C27645"/>
    <w:rsid w:val="00C27891"/>
    <w:rsid w:val="00C27CBD"/>
    <w:rsid w:val="00C27D45"/>
    <w:rsid w:val="00C300F5"/>
    <w:rsid w:val="00C30AED"/>
    <w:rsid w:val="00C30BB0"/>
    <w:rsid w:val="00C31073"/>
    <w:rsid w:val="00C314B5"/>
    <w:rsid w:val="00C3154A"/>
    <w:rsid w:val="00C32570"/>
    <w:rsid w:val="00C32C1E"/>
    <w:rsid w:val="00C32D53"/>
    <w:rsid w:val="00C32F69"/>
    <w:rsid w:val="00C3312E"/>
    <w:rsid w:val="00C3327B"/>
    <w:rsid w:val="00C335B1"/>
    <w:rsid w:val="00C33CD5"/>
    <w:rsid w:val="00C340CF"/>
    <w:rsid w:val="00C34101"/>
    <w:rsid w:val="00C34760"/>
    <w:rsid w:val="00C34868"/>
    <w:rsid w:val="00C348FE"/>
    <w:rsid w:val="00C34FBC"/>
    <w:rsid w:val="00C35087"/>
    <w:rsid w:val="00C3523B"/>
    <w:rsid w:val="00C35947"/>
    <w:rsid w:val="00C36FFE"/>
    <w:rsid w:val="00C3769B"/>
    <w:rsid w:val="00C37815"/>
    <w:rsid w:val="00C40000"/>
    <w:rsid w:val="00C4013D"/>
    <w:rsid w:val="00C40A83"/>
    <w:rsid w:val="00C40D37"/>
    <w:rsid w:val="00C40DA1"/>
    <w:rsid w:val="00C411CD"/>
    <w:rsid w:val="00C412E1"/>
    <w:rsid w:val="00C416FD"/>
    <w:rsid w:val="00C41E73"/>
    <w:rsid w:val="00C41FA0"/>
    <w:rsid w:val="00C4202A"/>
    <w:rsid w:val="00C4271F"/>
    <w:rsid w:val="00C42A6C"/>
    <w:rsid w:val="00C42B60"/>
    <w:rsid w:val="00C43052"/>
    <w:rsid w:val="00C43E4A"/>
    <w:rsid w:val="00C43FD4"/>
    <w:rsid w:val="00C4445E"/>
    <w:rsid w:val="00C44846"/>
    <w:rsid w:val="00C451E7"/>
    <w:rsid w:val="00C4569D"/>
    <w:rsid w:val="00C45A51"/>
    <w:rsid w:val="00C464C0"/>
    <w:rsid w:val="00C469E3"/>
    <w:rsid w:val="00C46D75"/>
    <w:rsid w:val="00C47155"/>
    <w:rsid w:val="00C47987"/>
    <w:rsid w:val="00C47CD2"/>
    <w:rsid w:val="00C47D56"/>
    <w:rsid w:val="00C510DE"/>
    <w:rsid w:val="00C52447"/>
    <w:rsid w:val="00C536E4"/>
    <w:rsid w:val="00C538AE"/>
    <w:rsid w:val="00C53C32"/>
    <w:rsid w:val="00C53E7A"/>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B38"/>
    <w:rsid w:val="00C70B43"/>
    <w:rsid w:val="00C70CAA"/>
    <w:rsid w:val="00C711E1"/>
    <w:rsid w:val="00C71A56"/>
    <w:rsid w:val="00C730CC"/>
    <w:rsid w:val="00C737BC"/>
    <w:rsid w:val="00C747FA"/>
    <w:rsid w:val="00C7532A"/>
    <w:rsid w:val="00C75721"/>
    <w:rsid w:val="00C760A6"/>
    <w:rsid w:val="00C762B7"/>
    <w:rsid w:val="00C76668"/>
    <w:rsid w:val="00C76825"/>
    <w:rsid w:val="00C77859"/>
    <w:rsid w:val="00C77C4B"/>
    <w:rsid w:val="00C77D50"/>
    <w:rsid w:val="00C80651"/>
    <w:rsid w:val="00C80DC6"/>
    <w:rsid w:val="00C815E4"/>
    <w:rsid w:val="00C8282D"/>
    <w:rsid w:val="00C8290C"/>
    <w:rsid w:val="00C833A9"/>
    <w:rsid w:val="00C83E1B"/>
    <w:rsid w:val="00C84DCF"/>
    <w:rsid w:val="00C8512B"/>
    <w:rsid w:val="00C858C8"/>
    <w:rsid w:val="00C85A79"/>
    <w:rsid w:val="00C85B02"/>
    <w:rsid w:val="00C86242"/>
    <w:rsid w:val="00C86550"/>
    <w:rsid w:val="00C86B76"/>
    <w:rsid w:val="00C86D64"/>
    <w:rsid w:val="00C86D89"/>
    <w:rsid w:val="00C87827"/>
    <w:rsid w:val="00C87A20"/>
    <w:rsid w:val="00C87CDD"/>
    <w:rsid w:val="00C909EE"/>
    <w:rsid w:val="00C90E27"/>
    <w:rsid w:val="00C910ED"/>
    <w:rsid w:val="00C914C9"/>
    <w:rsid w:val="00C9156F"/>
    <w:rsid w:val="00C91AB2"/>
    <w:rsid w:val="00C91E57"/>
    <w:rsid w:val="00C922E8"/>
    <w:rsid w:val="00C92E4B"/>
    <w:rsid w:val="00C93188"/>
    <w:rsid w:val="00C93C96"/>
    <w:rsid w:val="00C94540"/>
    <w:rsid w:val="00C945D9"/>
    <w:rsid w:val="00C947A8"/>
    <w:rsid w:val="00C94EF3"/>
    <w:rsid w:val="00C952A9"/>
    <w:rsid w:val="00C9534F"/>
    <w:rsid w:val="00C953C6"/>
    <w:rsid w:val="00C9592C"/>
    <w:rsid w:val="00C95E98"/>
    <w:rsid w:val="00C95F67"/>
    <w:rsid w:val="00C960E9"/>
    <w:rsid w:val="00C961C0"/>
    <w:rsid w:val="00C965E4"/>
    <w:rsid w:val="00C966DD"/>
    <w:rsid w:val="00C96A33"/>
    <w:rsid w:val="00C9739A"/>
    <w:rsid w:val="00C97528"/>
    <w:rsid w:val="00C9789C"/>
    <w:rsid w:val="00CA0A27"/>
    <w:rsid w:val="00CA13BF"/>
    <w:rsid w:val="00CA13F7"/>
    <w:rsid w:val="00CA145B"/>
    <w:rsid w:val="00CA1463"/>
    <w:rsid w:val="00CA14DE"/>
    <w:rsid w:val="00CA17E2"/>
    <w:rsid w:val="00CA1D0C"/>
    <w:rsid w:val="00CA25F5"/>
    <w:rsid w:val="00CA2A57"/>
    <w:rsid w:val="00CA2C4B"/>
    <w:rsid w:val="00CA30A9"/>
    <w:rsid w:val="00CA35EC"/>
    <w:rsid w:val="00CA3D36"/>
    <w:rsid w:val="00CA3EC4"/>
    <w:rsid w:val="00CA4249"/>
    <w:rsid w:val="00CA47B4"/>
    <w:rsid w:val="00CA4D37"/>
    <w:rsid w:val="00CA4EF3"/>
    <w:rsid w:val="00CA575F"/>
    <w:rsid w:val="00CA6F7C"/>
    <w:rsid w:val="00CA702A"/>
    <w:rsid w:val="00CA703D"/>
    <w:rsid w:val="00CA7AA1"/>
    <w:rsid w:val="00CB0652"/>
    <w:rsid w:val="00CB0A8A"/>
    <w:rsid w:val="00CB138C"/>
    <w:rsid w:val="00CB1BD3"/>
    <w:rsid w:val="00CB21EF"/>
    <w:rsid w:val="00CB222B"/>
    <w:rsid w:val="00CB26B1"/>
    <w:rsid w:val="00CB2714"/>
    <w:rsid w:val="00CB2824"/>
    <w:rsid w:val="00CB2C75"/>
    <w:rsid w:val="00CB2F95"/>
    <w:rsid w:val="00CB30E7"/>
    <w:rsid w:val="00CB3270"/>
    <w:rsid w:val="00CB332C"/>
    <w:rsid w:val="00CB441D"/>
    <w:rsid w:val="00CB44FC"/>
    <w:rsid w:val="00CB492B"/>
    <w:rsid w:val="00CB4DA4"/>
    <w:rsid w:val="00CB557A"/>
    <w:rsid w:val="00CB5A32"/>
    <w:rsid w:val="00CB5AF0"/>
    <w:rsid w:val="00CB6108"/>
    <w:rsid w:val="00CB644A"/>
    <w:rsid w:val="00CB6FDB"/>
    <w:rsid w:val="00CB7071"/>
    <w:rsid w:val="00CB75F9"/>
    <w:rsid w:val="00CB7D14"/>
    <w:rsid w:val="00CB7D9F"/>
    <w:rsid w:val="00CB7FFC"/>
    <w:rsid w:val="00CC07A1"/>
    <w:rsid w:val="00CC0824"/>
    <w:rsid w:val="00CC08D7"/>
    <w:rsid w:val="00CC0A9A"/>
    <w:rsid w:val="00CC0EA3"/>
    <w:rsid w:val="00CC156F"/>
    <w:rsid w:val="00CC2964"/>
    <w:rsid w:val="00CC2B9C"/>
    <w:rsid w:val="00CC326E"/>
    <w:rsid w:val="00CC346D"/>
    <w:rsid w:val="00CC38EE"/>
    <w:rsid w:val="00CC46B8"/>
    <w:rsid w:val="00CC500C"/>
    <w:rsid w:val="00CC566D"/>
    <w:rsid w:val="00CC6071"/>
    <w:rsid w:val="00CC6AA6"/>
    <w:rsid w:val="00CC6ACF"/>
    <w:rsid w:val="00CC722F"/>
    <w:rsid w:val="00CC726E"/>
    <w:rsid w:val="00CC7476"/>
    <w:rsid w:val="00CC75EE"/>
    <w:rsid w:val="00CC78B5"/>
    <w:rsid w:val="00CD0BAE"/>
    <w:rsid w:val="00CD1017"/>
    <w:rsid w:val="00CD1264"/>
    <w:rsid w:val="00CD129C"/>
    <w:rsid w:val="00CD12BA"/>
    <w:rsid w:val="00CD181E"/>
    <w:rsid w:val="00CD1ABF"/>
    <w:rsid w:val="00CD2C45"/>
    <w:rsid w:val="00CD387C"/>
    <w:rsid w:val="00CD45E4"/>
    <w:rsid w:val="00CD474C"/>
    <w:rsid w:val="00CD5589"/>
    <w:rsid w:val="00CD55E5"/>
    <w:rsid w:val="00CD5CCC"/>
    <w:rsid w:val="00CD5D70"/>
    <w:rsid w:val="00CD6B16"/>
    <w:rsid w:val="00CD6B5E"/>
    <w:rsid w:val="00CD7092"/>
    <w:rsid w:val="00CD7422"/>
    <w:rsid w:val="00CD764C"/>
    <w:rsid w:val="00CD7CC1"/>
    <w:rsid w:val="00CE078F"/>
    <w:rsid w:val="00CE0950"/>
    <w:rsid w:val="00CE0FC5"/>
    <w:rsid w:val="00CE11D8"/>
    <w:rsid w:val="00CE1251"/>
    <w:rsid w:val="00CE1648"/>
    <w:rsid w:val="00CE1A90"/>
    <w:rsid w:val="00CE1C5C"/>
    <w:rsid w:val="00CE1CA9"/>
    <w:rsid w:val="00CE1E07"/>
    <w:rsid w:val="00CE2567"/>
    <w:rsid w:val="00CE2A65"/>
    <w:rsid w:val="00CE2AFC"/>
    <w:rsid w:val="00CE3037"/>
    <w:rsid w:val="00CE32AD"/>
    <w:rsid w:val="00CE3361"/>
    <w:rsid w:val="00CE3958"/>
    <w:rsid w:val="00CE3A6B"/>
    <w:rsid w:val="00CE3F49"/>
    <w:rsid w:val="00CE49B0"/>
    <w:rsid w:val="00CE4EA8"/>
    <w:rsid w:val="00CE5261"/>
    <w:rsid w:val="00CE52F6"/>
    <w:rsid w:val="00CE584B"/>
    <w:rsid w:val="00CE5A0A"/>
    <w:rsid w:val="00CE5C82"/>
    <w:rsid w:val="00CE61C9"/>
    <w:rsid w:val="00CE64F3"/>
    <w:rsid w:val="00CE6C5C"/>
    <w:rsid w:val="00CE72F6"/>
    <w:rsid w:val="00CE7FF2"/>
    <w:rsid w:val="00CF0A5E"/>
    <w:rsid w:val="00CF0E8B"/>
    <w:rsid w:val="00CF0EE3"/>
    <w:rsid w:val="00CF1090"/>
    <w:rsid w:val="00CF1228"/>
    <w:rsid w:val="00CF12DA"/>
    <w:rsid w:val="00CF140F"/>
    <w:rsid w:val="00CF1AB9"/>
    <w:rsid w:val="00CF1B03"/>
    <w:rsid w:val="00CF1B1E"/>
    <w:rsid w:val="00CF1CA6"/>
    <w:rsid w:val="00CF1E58"/>
    <w:rsid w:val="00CF1F79"/>
    <w:rsid w:val="00CF26C9"/>
    <w:rsid w:val="00CF2728"/>
    <w:rsid w:val="00CF2B1C"/>
    <w:rsid w:val="00CF2B81"/>
    <w:rsid w:val="00CF2B8E"/>
    <w:rsid w:val="00CF3739"/>
    <w:rsid w:val="00CF39B2"/>
    <w:rsid w:val="00CF3E3D"/>
    <w:rsid w:val="00CF4060"/>
    <w:rsid w:val="00CF52EB"/>
    <w:rsid w:val="00CF585D"/>
    <w:rsid w:val="00CF587D"/>
    <w:rsid w:val="00CF59FF"/>
    <w:rsid w:val="00CF5CA8"/>
    <w:rsid w:val="00CF63E0"/>
    <w:rsid w:val="00CF72BD"/>
    <w:rsid w:val="00CF747E"/>
    <w:rsid w:val="00CF757A"/>
    <w:rsid w:val="00CF767E"/>
    <w:rsid w:val="00CF78C0"/>
    <w:rsid w:val="00CF78E3"/>
    <w:rsid w:val="00D01011"/>
    <w:rsid w:val="00D015A8"/>
    <w:rsid w:val="00D01BA7"/>
    <w:rsid w:val="00D024F9"/>
    <w:rsid w:val="00D027F9"/>
    <w:rsid w:val="00D02E81"/>
    <w:rsid w:val="00D03109"/>
    <w:rsid w:val="00D032AA"/>
    <w:rsid w:val="00D0355C"/>
    <w:rsid w:val="00D03A3E"/>
    <w:rsid w:val="00D03B1A"/>
    <w:rsid w:val="00D03E97"/>
    <w:rsid w:val="00D040BB"/>
    <w:rsid w:val="00D04742"/>
    <w:rsid w:val="00D056E9"/>
    <w:rsid w:val="00D05CB6"/>
    <w:rsid w:val="00D06325"/>
    <w:rsid w:val="00D06C16"/>
    <w:rsid w:val="00D07684"/>
    <w:rsid w:val="00D076A6"/>
    <w:rsid w:val="00D07F59"/>
    <w:rsid w:val="00D102EA"/>
    <w:rsid w:val="00D104B0"/>
    <w:rsid w:val="00D104B2"/>
    <w:rsid w:val="00D10986"/>
    <w:rsid w:val="00D11BB2"/>
    <w:rsid w:val="00D12C7B"/>
    <w:rsid w:val="00D12F1F"/>
    <w:rsid w:val="00D13207"/>
    <w:rsid w:val="00D13358"/>
    <w:rsid w:val="00D1342C"/>
    <w:rsid w:val="00D1345E"/>
    <w:rsid w:val="00D142FA"/>
    <w:rsid w:val="00D14873"/>
    <w:rsid w:val="00D14C06"/>
    <w:rsid w:val="00D14DAF"/>
    <w:rsid w:val="00D15455"/>
    <w:rsid w:val="00D1564A"/>
    <w:rsid w:val="00D156E5"/>
    <w:rsid w:val="00D15AF0"/>
    <w:rsid w:val="00D161CF"/>
    <w:rsid w:val="00D16747"/>
    <w:rsid w:val="00D17088"/>
    <w:rsid w:val="00D174BD"/>
    <w:rsid w:val="00D175C7"/>
    <w:rsid w:val="00D17E09"/>
    <w:rsid w:val="00D200D2"/>
    <w:rsid w:val="00D20886"/>
    <w:rsid w:val="00D20AD4"/>
    <w:rsid w:val="00D22106"/>
    <w:rsid w:val="00D22E00"/>
    <w:rsid w:val="00D2366E"/>
    <w:rsid w:val="00D24218"/>
    <w:rsid w:val="00D24286"/>
    <w:rsid w:val="00D2437C"/>
    <w:rsid w:val="00D25126"/>
    <w:rsid w:val="00D251E6"/>
    <w:rsid w:val="00D25830"/>
    <w:rsid w:val="00D259B0"/>
    <w:rsid w:val="00D26097"/>
    <w:rsid w:val="00D261C5"/>
    <w:rsid w:val="00D26391"/>
    <w:rsid w:val="00D2699D"/>
    <w:rsid w:val="00D27255"/>
    <w:rsid w:val="00D27747"/>
    <w:rsid w:val="00D27A59"/>
    <w:rsid w:val="00D27BF7"/>
    <w:rsid w:val="00D30729"/>
    <w:rsid w:val="00D30EAF"/>
    <w:rsid w:val="00D31495"/>
    <w:rsid w:val="00D314F6"/>
    <w:rsid w:val="00D31A4F"/>
    <w:rsid w:val="00D31D6C"/>
    <w:rsid w:val="00D31D99"/>
    <w:rsid w:val="00D322C6"/>
    <w:rsid w:val="00D32309"/>
    <w:rsid w:val="00D32CDD"/>
    <w:rsid w:val="00D32E0D"/>
    <w:rsid w:val="00D3326D"/>
    <w:rsid w:val="00D33977"/>
    <w:rsid w:val="00D33C40"/>
    <w:rsid w:val="00D33E2B"/>
    <w:rsid w:val="00D34097"/>
    <w:rsid w:val="00D3544C"/>
    <w:rsid w:val="00D35797"/>
    <w:rsid w:val="00D36DC1"/>
    <w:rsid w:val="00D3719F"/>
    <w:rsid w:val="00D371C8"/>
    <w:rsid w:val="00D37FC8"/>
    <w:rsid w:val="00D4061B"/>
    <w:rsid w:val="00D4091E"/>
    <w:rsid w:val="00D40BD8"/>
    <w:rsid w:val="00D417E2"/>
    <w:rsid w:val="00D422BF"/>
    <w:rsid w:val="00D431DA"/>
    <w:rsid w:val="00D43450"/>
    <w:rsid w:val="00D43463"/>
    <w:rsid w:val="00D43D75"/>
    <w:rsid w:val="00D43F48"/>
    <w:rsid w:val="00D43F90"/>
    <w:rsid w:val="00D44156"/>
    <w:rsid w:val="00D44198"/>
    <w:rsid w:val="00D441FB"/>
    <w:rsid w:val="00D445B3"/>
    <w:rsid w:val="00D44AA0"/>
    <w:rsid w:val="00D453B5"/>
    <w:rsid w:val="00D45529"/>
    <w:rsid w:val="00D45977"/>
    <w:rsid w:val="00D45B74"/>
    <w:rsid w:val="00D46DBF"/>
    <w:rsid w:val="00D46F26"/>
    <w:rsid w:val="00D47186"/>
    <w:rsid w:val="00D47568"/>
    <w:rsid w:val="00D47591"/>
    <w:rsid w:val="00D4798C"/>
    <w:rsid w:val="00D50F4A"/>
    <w:rsid w:val="00D51089"/>
    <w:rsid w:val="00D516E3"/>
    <w:rsid w:val="00D5228C"/>
    <w:rsid w:val="00D52E06"/>
    <w:rsid w:val="00D5354C"/>
    <w:rsid w:val="00D53650"/>
    <w:rsid w:val="00D53E59"/>
    <w:rsid w:val="00D543AB"/>
    <w:rsid w:val="00D54655"/>
    <w:rsid w:val="00D553C7"/>
    <w:rsid w:val="00D55B88"/>
    <w:rsid w:val="00D5648F"/>
    <w:rsid w:val="00D5651D"/>
    <w:rsid w:val="00D56C12"/>
    <w:rsid w:val="00D56E61"/>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A24"/>
    <w:rsid w:val="00D62FAC"/>
    <w:rsid w:val="00D635B0"/>
    <w:rsid w:val="00D636FB"/>
    <w:rsid w:val="00D637A9"/>
    <w:rsid w:val="00D63BE1"/>
    <w:rsid w:val="00D64545"/>
    <w:rsid w:val="00D65280"/>
    <w:rsid w:val="00D658AA"/>
    <w:rsid w:val="00D6616F"/>
    <w:rsid w:val="00D663A4"/>
    <w:rsid w:val="00D666DA"/>
    <w:rsid w:val="00D6699B"/>
    <w:rsid w:val="00D7009E"/>
    <w:rsid w:val="00D70B5B"/>
    <w:rsid w:val="00D70BDA"/>
    <w:rsid w:val="00D70C63"/>
    <w:rsid w:val="00D710C5"/>
    <w:rsid w:val="00D71705"/>
    <w:rsid w:val="00D71888"/>
    <w:rsid w:val="00D71B45"/>
    <w:rsid w:val="00D7222C"/>
    <w:rsid w:val="00D722C1"/>
    <w:rsid w:val="00D72437"/>
    <w:rsid w:val="00D726A5"/>
    <w:rsid w:val="00D727AC"/>
    <w:rsid w:val="00D72AC2"/>
    <w:rsid w:val="00D72CAE"/>
    <w:rsid w:val="00D7409D"/>
    <w:rsid w:val="00D74503"/>
    <w:rsid w:val="00D74660"/>
    <w:rsid w:val="00D74797"/>
    <w:rsid w:val="00D74968"/>
    <w:rsid w:val="00D749D2"/>
    <w:rsid w:val="00D74D9B"/>
    <w:rsid w:val="00D750A2"/>
    <w:rsid w:val="00D75650"/>
    <w:rsid w:val="00D75693"/>
    <w:rsid w:val="00D756E8"/>
    <w:rsid w:val="00D7595D"/>
    <w:rsid w:val="00D762F9"/>
    <w:rsid w:val="00D77C4A"/>
    <w:rsid w:val="00D801E1"/>
    <w:rsid w:val="00D801EB"/>
    <w:rsid w:val="00D80747"/>
    <w:rsid w:val="00D8099F"/>
    <w:rsid w:val="00D809FF"/>
    <w:rsid w:val="00D80E48"/>
    <w:rsid w:val="00D810F2"/>
    <w:rsid w:val="00D81181"/>
    <w:rsid w:val="00D81285"/>
    <w:rsid w:val="00D81B9A"/>
    <w:rsid w:val="00D822C6"/>
    <w:rsid w:val="00D82713"/>
    <w:rsid w:val="00D82890"/>
    <w:rsid w:val="00D839BB"/>
    <w:rsid w:val="00D83A9A"/>
    <w:rsid w:val="00D843D6"/>
    <w:rsid w:val="00D84C13"/>
    <w:rsid w:val="00D85237"/>
    <w:rsid w:val="00D85475"/>
    <w:rsid w:val="00D85A2F"/>
    <w:rsid w:val="00D86605"/>
    <w:rsid w:val="00D86D0D"/>
    <w:rsid w:val="00D87BDC"/>
    <w:rsid w:val="00D87FDA"/>
    <w:rsid w:val="00D9096B"/>
    <w:rsid w:val="00D90D1C"/>
    <w:rsid w:val="00D90D5C"/>
    <w:rsid w:val="00D90DEF"/>
    <w:rsid w:val="00D90ED4"/>
    <w:rsid w:val="00D90FF0"/>
    <w:rsid w:val="00D9105E"/>
    <w:rsid w:val="00D91838"/>
    <w:rsid w:val="00D920E8"/>
    <w:rsid w:val="00D92722"/>
    <w:rsid w:val="00D9277E"/>
    <w:rsid w:val="00D92A2B"/>
    <w:rsid w:val="00D92BF2"/>
    <w:rsid w:val="00D93295"/>
    <w:rsid w:val="00D9335B"/>
    <w:rsid w:val="00D93DAF"/>
    <w:rsid w:val="00D941AE"/>
    <w:rsid w:val="00D94370"/>
    <w:rsid w:val="00D948DE"/>
    <w:rsid w:val="00D94E5E"/>
    <w:rsid w:val="00D94F2C"/>
    <w:rsid w:val="00D9574A"/>
    <w:rsid w:val="00D958D8"/>
    <w:rsid w:val="00D95EE0"/>
    <w:rsid w:val="00D95F59"/>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DA8"/>
    <w:rsid w:val="00DA22C1"/>
    <w:rsid w:val="00DA24B0"/>
    <w:rsid w:val="00DA2582"/>
    <w:rsid w:val="00DA2694"/>
    <w:rsid w:val="00DA3CDB"/>
    <w:rsid w:val="00DA3CF1"/>
    <w:rsid w:val="00DA4B0E"/>
    <w:rsid w:val="00DA50E4"/>
    <w:rsid w:val="00DA5BEB"/>
    <w:rsid w:val="00DA5F20"/>
    <w:rsid w:val="00DA6199"/>
    <w:rsid w:val="00DA6758"/>
    <w:rsid w:val="00DA6BFD"/>
    <w:rsid w:val="00DA7645"/>
    <w:rsid w:val="00DA7E15"/>
    <w:rsid w:val="00DA7FC8"/>
    <w:rsid w:val="00DB02FF"/>
    <w:rsid w:val="00DB10BD"/>
    <w:rsid w:val="00DB1364"/>
    <w:rsid w:val="00DB1433"/>
    <w:rsid w:val="00DB147B"/>
    <w:rsid w:val="00DB197C"/>
    <w:rsid w:val="00DB1AAF"/>
    <w:rsid w:val="00DB26B5"/>
    <w:rsid w:val="00DB289D"/>
    <w:rsid w:val="00DB30B9"/>
    <w:rsid w:val="00DB3AA0"/>
    <w:rsid w:val="00DB3C49"/>
    <w:rsid w:val="00DB41B9"/>
    <w:rsid w:val="00DB42C2"/>
    <w:rsid w:val="00DB444B"/>
    <w:rsid w:val="00DB4628"/>
    <w:rsid w:val="00DB4714"/>
    <w:rsid w:val="00DB4788"/>
    <w:rsid w:val="00DB4D04"/>
    <w:rsid w:val="00DB510A"/>
    <w:rsid w:val="00DB5178"/>
    <w:rsid w:val="00DB52E9"/>
    <w:rsid w:val="00DB5386"/>
    <w:rsid w:val="00DB53D5"/>
    <w:rsid w:val="00DB5ABE"/>
    <w:rsid w:val="00DB5B8E"/>
    <w:rsid w:val="00DB6292"/>
    <w:rsid w:val="00DB67E7"/>
    <w:rsid w:val="00DB68BB"/>
    <w:rsid w:val="00DB68E2"/>
    <w:rsid w:val="00DB6A53"/>
    <w:rsid w:val="00DB6EFF"/>
    <w:rsid w:val="00DB6F4C"/>
    <w:rsid w:val="00DB7F10"/>
    <w:rsid w:val="00DC025E"/>
    <w:rsid w:val="00DC0AF9"/>
    <w:rsid w:val="00DC1524"/>
    <w:rsid w:val="00DC1889"/>
    <w:rsid w:val="00DC1CA3"/>
    <w:rsid w:val="00DC2A33"/>
    <w:rsid w:val="00DC2D60"/>
    <w:rsid w:val="00DC3214"/>
    <w:rsid w:val="00DC3579"/>
    <w:rsid w:val="00DC3E0F"/>
    <w:rsid w:val="00DC41FA"/>
    <w:rsid w:val="00DC43AE"/>
    <w:rsid w:val="00DC466F"/>
    <w:rsid w:val="00DC4790"/>
    <w:rsid w:val="00DC4841"/>
    <w:rsid w:val="00DC5132"/>
    <w:rsid w:val="00DC51EE"/>
    <w:rsid w:val="00DC5533"/>
    <w:rsid w:val="00DC5770"/>
    <w:rsid w:val="00DC59D7"/>
    <w:rsid w:val="00DC6E13"/>
    <w:rsid w:val="00DC6E1B"/>
    <w:rsid w:val="00DC6E7B"/>
    <w:rsid w:val="00DC724A"/>
    <w:rsid w:val="00DC728F"/>
    <w:rsid w:val="00DC7EBE"/>
    <w:rsid w:val="00DD0345"/>
    <w:rsid w:val="00DD083E"/>
    <w:rsid w:val="00DD12EF"/>
    <w:rsid w:val="00DD158F"/>
    <w:rsid w:val="00DD16FB"/>
    <w:rsid w:val="00DD17EE"/>
    <w:rsid w:val="00DD1DBA"/>
    <w:rsid w:val="00DD235A"/>
    <w:rsid w:val="00DD2381"/>
    <w:rsid w:val="00DD2B1D"/>
    <w:rsid w:val="00DD2E64"/>
    <w:rsid w:val="00DD34D5"/>
    <w:rsid w:val="00DD3821"/>
    <w:rsid w:val="00DD391B"/>
    <w:rsid w:val="00DD45D3"/>
    <w:rsid w:val="00DD46BB"/>
    <w:rsid w:val="00DD48F3"/>
    <w:rsid w:val="00DD49B2"/>
    <w:rsid w:val="00DD4E0C"/>
    <w:rsid w:val="00DD5349"/>
    <w:rsid w:val="00DD541E"/>
    <w:rsid w:val="00DD5789"/>
    <w:rsid w:val="00DD5A2A"/>
    <w:rsid w:val="00DD6027"/>
    <w:rsid w:val="00DD662B"/>
    <w:rsid w:val="00DD694A"/>
    <w:rsid w:val="00DD6C92"/>
    <w:rsid w:val="00DD71F9"/>
    <w:rsid w:val="00DE01AB"/>
    <w:rsid w:val="00DE0B85"/>
    <w:rsid w:val="00DE12BD"/>
    <w:rsid w:val="00DE1532"/>
    <w:rsid w:val="00DE15B5"/>
    <w:rsid w:val="00DE179B"/>
    <w:rsid w:val="00DE19A4"/>
    <w:rsid w:val="00DE1E23"/>
    <w:rsid w:val="00DE1FC2"/>
    <w:rsid w:val="00DE2927"/>
    <w:rsid w:val="00DE292D"/>
    <w:rsid w:val="00DE2AA3"/>
    <w:rsid w:val="00DE30D1"/>
    <w:rsid w:val="00DE3162"/>
    <w:rsid w:val="00DE3B74"/>
    <w:rsid w:val="00DE40F7"/>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F0A8D"/>
    <w:rsid w:val="00DF0DC8"/>
    <w:rsid w:val="00DF0E97"/>
    <w:rsid w:val="00DF11F0"/>
    <w:rsid w:val="00DF1956"/>
    <w:rsid w:val="00DF1AD2"/>
    <w:rsid w:val="00DF1D62"/>
    <w:rsid w:val="00DF2170"/>
    <w:rsid w:val="00DF2F00"/>
    <w:rsid w:val="00DF2FC2"/>
    <w:rsid w:val="00DF3193"/>
    <w:rsid w:val="00DF3D62"/>
    <w:rsid w:val="00DF50ED"/>
    <w:rsid w:val="00DF572E"/>
    <w:rsid w:val="00DF596A"/>
    <w:rsid w:val="00DF6433"/>
    <w:rsid w:val="00DF66C5"/>
    <w:rsid w:val="00DF6DA6"/>
    <w:rsid w:val="00DF708D"/>
    <w:rsid w:val="00DF7EB8"/>
    <w:rsid w:val="00E0031E"/>
    <w:rsid w:val="00E00B10"/>
    <w:rsid w:val="00E00FD5"/>
    <w:rsid w:val="00E011CA"/>
    <w:rsid w:val="00E01956"/>
    <w:rsid w:val="00E01B27"/>
    <w:rsid w:val="00E01D7A"/>
    <w:rsid w:val="00E01F0A"/>
    <w:rsid w:val="00E02047"/>
    <w:rsid w:val="00E023E5"/>
    <w:rsid w:val="00E0280B"/>
    <w:rsid w:val="00E02837"/>
    <w:rsid w:val="00E0287C"/>
    <w:rsid w:val="00E0297F"/>
    <w:rsid w:val="00E02FC0"/>
    <w:rsid w:val="00E03532"/>
    <w:rsid w:val="00E03CB3"/>
    <w:rsid w:val="00E0443C"/>
    <w:rsid w:val="00E04B4F"/>
    <w:rsid w:val="00E05F38"/>
    <w:rsid w:val="00E06B6A"/>
    <w:rsid w:val="00E06FD6"/>
    <w:rsid w:val="00E074C1"/>
    <w:rsid w:val="00E079C6"/>
    <w:rsid w:val="00E07B79"/>
    <w:rsid w:val="00E07CDC"/>
    <w:rsid w:val="00E1006A"/>
    <w:rsid w:val="00E105B9"/>
    <w:rsid w:val="00E1069C"/>
    <w:rsid w:val="00E1079E"/>
    <w:rsid w:val="00E10BB0"/>
    <w:rsid w:val="00E10F6A"/>
    <w:rsid w:val="00E112FA"/>
    <w:rsid w:val="00E11820"/>
    <w:rsid w:val="00E11BF7"/>
    <w:rsid w:val="00E12CED"/>
    <w:rsid w:val="00E138A7"/>
    <w:rsid w:val="00E13D2C"/>
    <w:rsid w:val="00E13EE3"/>
    <w:rsid w:val="00E14058"/>
    <w:rsid w:val="00E146D4"/>
    <w:rsid w:val="00E1481D"/>
    <w:rsid w:val="00E14824"/>
    <w:rsid w:val="00E148CD"/>
    <w:rsid w:val="00E14E22"/>
    <w:rsid w:val="00E14FF5"/>
    <w:rsid w:val="00E15713"/>
    <w:rsid w:val="00E15DBF"/>
    <w:rsid w:val="00E16682"/>
    <w:rsid w:val="00E1678A"/>
    <w:rsid w:val="00E17549"/>
    <w:rsid w:val="00E17BAE"/>
    <w:rsid w:val="00E17E85"/>
    <w:rsid w:val="00E17E99"/>
    <w:rsid w:val="00E2002A"/>
    <w:rsid w:val="00E2055A"/>
    <w:rsid w:val="00E20655"/>
    <w:rsid w:val="00E20A30"/>
    <w:rsid w:val="00E21F2D"/>
    <w:rsid w:val="00E22A26"/>
    <w:rsid w:val="00E22DD9"/>
    <w:rsid w:val="00E22F54"/>
    <w:rsid w:val="00E2336E"/>
    <w:rsid w:val="00E23655"/>
    <w:rsid w:val="00E23A40"/>
    <w:rsid w:val="00E23AB9"/>
    <w:rsid w:val="00E23AC4"/>
    <w:rsid w:val="00E23B6E"/>
    <w:rsid w:val="00E23ED2"/>
    <w:rsid w:val="00E2446C"/>
    <w:rsid w:val="00E24C6F"/>
    <w:rsid w:val="00E24EFC"/>
    <w:rsid w:val="00E251F2"/>
    <w:rsid w:val="00E256F7"/>
    <w:rsid w:val="00E25957"/>
    <w:rsid w:val="00E25995"/>
    <w:rsid w:val="00E25D57"/>
    <w:rsid w:val="00E261F6"/>
    <w:rsid w:val="00E26257"/>
    <w:rsid w:val="00E264AD"/>
    <w:rsid w:val="00E26D61"/>
    <w:rsid w:val="00E27074"/>
    <w:rsid w:val="00E27E1C"/>
    <w:rsid w:val="00E30097"/>
    <w:rsid w:val="00E300F2"/>
    <w:rsid w:val="00E300F9"/>
    <w:rsid w:val="00E30BA6"/>
    <w:rsid w:val="00E31966"/>
    <w:rsid w:val="00E3203D"/>
    <w:rsid w:val="00E32AE4"/>
    <w:rsid w:val="00E32D6A"/>
    <w:rsid w:val="00E33396"/>
    <w:rsid w:val="00E335C5"/>
    <w:rsid w:val="00E33D24"/>
    <w:rsid w:val="00E33E8E"/>
    <w:rsid w:val="00E33EFC"/>
    <w:rsid w:val="00E34706"/>
    <w:rsid w:val="00E34ED4"/>
    <w:rsid w:val="00E35580"/>
    <w:rsid w:val="00E36DD5"/>
    <w:rsid w:val="00E373C6"/>
    <w:rsid w:val="00E3751A"/>
    <w:rsid w:val="00E377A6"/>
    <w:rsid w:val="00E4005E"/>
    <w:rsid w:val="00E40A1E"/>
    <w:rsid w:val="00E40A57"/>
    <w:rsid w:val="00E411CA"/>
    <w:rsid w:val="00E41804"/>
    <w:rsid w:val="00E41CF2"/>
    <w:rsid w:val="00E41D23"/>
    <w:rsid w:val="00E4297F"/>
    <w:rsid w:val="00E438F7"/>
    <w:rsid w:val="00E43E29"/>
    <w:rsid w:val="00E43EE5"/>
    <w:rsid w:val="00E44ACD"/>
    <w:rsid w:val="00E44CB9"/>
    <w:rsid w:val="00E44F65"/>
    <w:rsid w:val="00E45200"/>
    <w:rsid w:val="00E45343"/>
    <w:rsid w:val="00E45B97"/>
    <w:rsid w:val="00E46852"/>
    <w:rsid w:val="00E46A71"/>
    <w:rsid w:val="00E46AB1"/>
    <w:rsid w:val="00E479FF"/>
    <w:rsid w:val="00E51353"/>
    <w:rsid w:val="00E51392"/>
    <w:rsid w:val="00E515B1"/>
    <w:rsid w:val="00E51662"/>
    <w:rsid w:val="00E5269A"/>
    <w:rsid w:val="00E535D1"/>
    <w:rsid w:val="00E536FC"/>
    <w:rsid w:val="00E53AA6"/>
    <w:rsid w:val="00E53C1D"/>
    <w:rsid w:val="00E53C6C"/>
    <w:rsid w:val="00E53CB2"/>
    <w:rsid w:val="00E53D6A"/>
    <w:rsid w:val="00E540EA"/>
    <w:rsid w:val="00E54898"/>
    <w:rsid w:val="00E54BB0"/>
    <w:rsid w:val="00E5540A"/>
    <w:rsid w:val="00E55558"/>
    <w:rsid w:val="00E55BB8"/>
    <w:rsid w:val="00E56344"/>
    <w:rsid w:val="00E57E87"/>
    <w:rsid w:val="00E60DE1"/>
    <w:rsid w:val="00E6106B"/>
    <w:rsid w:val="00E61076"/>
    <w:rsid w:val="00E61812"/>
    <w:rsid w:val="00E62446"/>
    <w:rsid w:val="00E62CF0"/>
    <w:rsid w:val="00E62E5D"/>
    <w:rsid w:val="00E62EB8"/>
    <w:rsid w:val="00E635BC"/>
    <w:rsid w:val="00E63A9F"/>
    <w:rsid w:val="00E6441B"/>
    <w:rsid w:val="00E64A4D"/>
    <w:rsid w:val="00E65073"/>
    <w:rsid w:val="00E65E8C"/>
    <w:rsid w:val="00E66766"/>
    <w:rsid w:val="00E66800"/>
    <w:rsid w:val="00E668F9"/>
    <w:rsid w:val="00E66C08"/>
    <w:rsid w:val="00E66D78"/>
    <w:rsid w:val="00E66D94"/>
    <w:rsid w:val="00E66FCA"/>
    <w:rsid w:val="00E67132"/>
    <w:rsid w:val="00E673C1"/>
    <w:rsid w:val="00E67ACF"/>
    <w:rsid w:val="00E67C5C"/>
    <w:rsid w:val="00E67E55"/>
    <w:rsid w:val="00E70504"/>
    <w:rsid w:val="00E709F4"/>
    <w:rsid w:val="00E71198"/>
    <w:rsid w:val="00E7146F"/>
    <w:rsid w:val="00E71591"/>
    <w:rsid w:val="00E717B9"/>
    <w:rsid w:val="00E71E4F"/>
    <w:rsid w:val="00E72486"/>
    <w:rsid w:val="00E724EF"/>
    <w:rsid w:val="00E7264E"/>
    <w:rsid w:val="00E72651"/>
    <w:rsid w:val="00E72694"/>
    <w:rsid w:val="00E72DE2"/>
    <w:rsid w:val="00E73957"/>
    <w:rsid w:val="00E73C90"/>
    <w:rsid w:val="00E73D3A"/>
    <w:rsid w:val="00E7412C"/>
    <w:rsid w:val="00E743A1"/>
    <w:rsid w:val="00E74BC5"/>
    <w:rsid w:val="00E74F05"/>
    <w:rsid w:val="00E7518B"/>
    <w:rsid w:val="00E7533D"/>
    <w:rsid w:val="00E756EA"/>
    <w:rsid w:val="00E7593F"/>
    <w:rsid w:val="00E76497"/>
    <w:rsid w:val="00E76C33"/>
    <w:rsid w:val="00E77773"/>
    <w:rsid w:val="00E8011B"/>
    <w:rsid w:val="00E801FE"/>
    <w:rsid w:val="00E805DF"/>
    <w:rsid w:val="00E80768"/>
    <w:rsid w:val="00E80E1E"/>
    <w:rsid w:val="00E81171"/>
    <w:rsid w:val="00E815B2"/>
    <w:rsid w:val="00E81735"/>
    <w:rsid w:val="00E82135"/>
    <w:rsid w:val="00E823C3"/>
    <w:rsid w:val="00E82862"/>
    <w:rsid w:val="00E82CA0"/>
    <w:rsid w:val="00E82E17"/>
    <w:rsid w:val="00E849FF"/>
    <w:rsid w:val="00E84AD4"/>
    <w:rsid w:val="00E8534F"/>
    <w:rsid w:val="00E854EA"/>
    <w:rsid w:val="00E85EC9"/>
    <w:rsid w:val="00E85EE8"/>
    <w:rsid w:val="00E86213"/>
    <w:rsid w:val="00E86BAE"/>
    <w:rsid w:val="00E87452"/>
    <w:rsid w:val="00E876A3"/>
    <w:rsid w:val="00E87DC5"/>
    <w:rsid w:val="00E87E99"/>
    <w:rsid w:val="00E87F24"/>
    <w:rsid w:val="00E903A5"/>
    <w:rsid w:val="00E90A19"/>
    <w:rsid w:val="00E91364"/>
    <w:rsid w:val="00E91460"/>
    <w:rsid w:val="00E915F1"/>
    <w:rsid w:val="00E91C42"/>
    <w:rsid w:val="00E92341"/>
    <w:rsid w:val="00E93635"/>
    <w:rsid w:val="00E94F06"/>
    <w:rsid w:val="00E95243"/>
    <w:rsid w:val="00E9568A"/>
    <w:rsid w:val="00E956CB"/>
    <w:rsid w:val="00E95E51"/>
    <w:rsid w:val="00E960B8"/>
    <w:rsid w:val="00E96AEE"/>
    <w:rsid w:val="00E96D1C"/>
    <w:rsid w:val="00E977CB"/>
    <w:rsid w:val="00E977CE"/>
    <w:rsid w:val="00E97990"/>
    <w:rsid w:val="00E97D2F"/>
    <w:rsid w:val="00E97E19"/>
    <w:rsid w:val="00E97EA7"/>
    <w:rsid w:val="00E97FB1"/>
    <w:rsid w:val="00EA0463"/>
    <w:rsid w:val="00EA096F"/>
    <w:rsid w:val="00EA0BEE"/>
    <w:rsid w:val="00EA1514"/>
    <w:rsid w:val="00EA16E1"/>
    <w:rsid w:val="00EA1767"/>
    <w:rsid w:val="00EA1AA6"/>
    <w:rsid w:val="00EA1F8E"/>
    <w:rsid w:val="00EA2360"/>
    <w:rsid w:val="00EA272B"/>
    <w:rsid w:val="00EA2F5D"/>
    <w:rsid w:val="00EA301E"/>
    <w:rsid w:val="00EA35F1"/>
    <w:rsid w:val="00EA3BA1"/>
    <w:rsid w:val="00EA449C"/>
    <w:rsid w:val="00EA4953"/>
    <w:rsid w:val="00EA4F1E"/>
    <w:rsid w:val="00EA4F7D"/>
    <w:rsid w:val="00EA5931"/>
    <w:rsid w:val="00EA5F9C"/>
    <w:rsid w:val="00EA633B"/>
    <w:rsid w:val="00EA659C"/>
    <w:rsid w:val="00EA7206"/>
    <w:rsid w:val="00EA7B31"/>
    <w:rsid w:val="00EB01C6"/>
    <w:rsid w:val="00EB02C9"/>
    <w:rsid w:val="00EB079F"/>
    <w:rsid w:val="00EB0A68"/>
    <w:rsid w:val="00EB0E6A"/>
    <w:rsid w:val="00EB0FE6"/>
    <w:rsid w:val="00EB16EB"/>
    <w:rsid w:val="00EB182C"/>
    <w:rsid w:val="00EB19D9"/>
    <w:rsid w:val="00EB2287"/>
    <w:rsid w:val="00EB269D"/>
    <w:rsid w:val="00EB2FCF"/>
    <w:rsid w:val="00EB30E8"/>
    <w:rsid w:val="00EB31C3"/>
    <w:rsid w:val="00EB344E"/>
    <w:rsid w:val="00EB374D"/>
    <w:rsid w:val="00EB425C"/>
    <w:rsid w:val="00EB45D7"/>
    <w:rsid w:val="00EB47B3"/>
    <w:rsid w:val="00EB4926"/>
    <w:rsid w:val="00EB4B58"/>
    <w:rsid w:val="00EB4E5F"/>
    <w:rsid w:val="00EB5197"/>
    <w:rsid w:val="00EB52B7"/>
    <w:rsid w:val="00EB5629"/>
    <w:rsid w:val="00EB5734"/>
    <w:rsid w:val="00EB5A33"/>
    <w:rsid w:val="00EB6C0E"/>
    <w:rsid w:val="00EB701C"/>
    <w:rsid w:val="00EB745D"/>
    <w:rsid w:val="00EB75EB"/>
    <w:rsid w:val="00EB7605"/>
    <w:rsid w:val="00EB7658"/>
    <w:rsid w:val="00EB76CB"/>
    <w:rsid w:val="00EB7D1E"/>
    <w:rsid w:val="00EC089D"/>
    <w:rsid w:val="00EC0DD3"/>
    <w:rsid w:val="00EC101A"/>
    <w:rsid w:val="00EC1243"/>
    <w:rsid w:val="00EC1394"/>
    <w:rsid w:val="00EC20D7"/>
    <w:rsid w:val="00EC2161"/>
    <w:rsid w:val="00EC226A"/>
    <w:rsid w:val="00EC229B"/>
    <w:rsid w:val="00EC237C"/>
    <w:rsid w:val="00EC28DD"/>
    <w:rsid w:val="00EC2EE6"/>
    <w:rsid w:val="00EC3012"/>
    <w:rsid w:val="00EC3713"/>
    <w:rsid w:val="00EC37A0"/>
    <w:rsid w:val="00EC3FA5"/>
    <w:rsid w:val="00EC484F"/>
    <w:rsid w:val="00EC552D"/>
    <w:rsid w:val="00EC5B93"/>
    <w:rsid w:val="00EC5E86"/>
    <w:rsid w:val="00EC5ED3"/>
    <w:rsid w:val="00EC6F7C"/>
    <w:rsid w:val="00EC7275"/>
    <w:rsid w:val="00EC774B"/>
    <w:rsid w:val="00EC782F"/>
    <w:rsid w:val="00EC7D0C"/>
    <w:rsid w:val="00ED12C2"/>
    <w:rsid w:val="00ED13EB"/>
    <w:rsid w:val="00ED1462"/>
    <w:rsid w:val="00ED14A1"/>
    <w:rsid w:val="00ED17FA"/>
    <w:rsid w:val="00ED1856"/>
    <w:rsid w:val="00ED1BDF"/>
    <w:rsid w:val="00ED24B6"/>
    <w:rsid w:val="00ED25D2"/>
    <w:rsid w:val="00ED2DA3"/>
    <w:rsid w:val="00ED35C0"/>
    <w:rsid w:val="00ED3F38"/>
    <w:rsid w:val="00ED3F87"/>
    <w:rsid w:val="00ED3FCA"/>
    <w:rsid w:val="00ED4124"/>
    <w:rsid w:val="00ED5030"/>
    <w:rsid w:val="00ED547D"/>
    <w:rsid w:val="00ED596C"/>
    <w:rsid w:val="00ED5ACF"/>
    <w:rsid w:val="00ED65F9"/>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BF4"/>
    <w:rsid w:val="00EF1D2F"/>
    <w:rsid w:val="00EF20C3"/>
    <w:rsid w:val="00EF231B"/>
    <w:rsid w:val="00EF2449"/>
    <w:rsid w:val="00EF2467"/>
    <w:rsid w:val="00EF256C"/>
    <w:rsid w:val="00EF2736"/>
    <w:rsid w:val="00EF3393"/>
    <w:rsid w:val="00EF3A43"/>
    <w:rsid w:val="00EF3C6A"/>
    <w:rsid w:val="00EF3F0C"/>
    <w:rsid w:val="00EF3F1A"/>
    <w:rsid w:val="00EF3F5E"/>
    <w:rsid w:val="00EF4186"/>
    <w:rsid w:val="00EF463E"/>
    <w:rsid w:val="00EF541D"/>
    <w:rsid w:val="00EF5712"/>
    <w:rsid w:val="00EF571F"/>
    <w:rsid w:val="00EF579C"/>
    <w:rsid w:val="00EF57BB"/>
    <w:rsid w:val="00EF585C"/>
    <w:rsid w:val="00EF5B95"/>
    <w:rsid w:val="00EF5D00"/>
    <w:rsid w:val="00EF5E2E"/>
    <w:rsid w:val="00EF60B7"/>
    <w:rsid w:val="00EF613D"/>
    <w:rsid w:val="00EF76F3"/>
    <w:rsid w:val="00F00809"/>
    <w:rsid w:val="00F00922"/>
    <w:rsid w:val="00F009EE"/>
    <w:rsid w:val="00F00BEE"/>
    <w:rsid w:val="00F0102C"/>
    <w:rsid w:val="00F0106B"/>
    <w:rsid w:val="00F01260"/>
    <w:rsid w:val="00F0137B"/>
    <w:rsid w:val="00F0139C"/>
    <w:rsid w:val="00F020E1"/>
    <w:rsid w:val="00F0221D"/>
    <w:rsid w:val="00F02A43"/>
    <w:rsid w:val="00F02DE5"/>
    <w:rsid w:val="00F0324F"/>
    <w:rsid w:val="00F03408"/>
    <w:rsid w:val="00F039A0"/>
    <w:rsid w:val="00F03AA2"/>
    <w:rsid w:val="00F0424C"/>
    <w:rsid w:val="00F043F9"/>
    <w:rsid w:val="00F04503"/>
    <w:rsid w:val="00F0481E"/>
    <w:rsid w:val="00F04E02"/>
    <w:rsid w:val="00F05558"/>
    <w:rsid w:val="00F0595E"/>
    <w:rsid w:val="00F05A7B"/>
    <w:rsid w:val="00F05C14"/>
    <w:rsid w:val="00F05DCD"/>
    <w:rsid w:val="00F06454"/>
    <w:rsid w:val="00F064FE"/>
    <w:rsid w:val="00F06CB2"/>
    <w:rsid w:val="00F06E6D"/>
    <w:rsid w:val="00F06E72"/>
    <w:rsid w:val="00F07C8A"/>
    <w:rsid w:val="00F07D8B"/>
    <w:rsid w:val="00F07FAE"/>
    <w:rsid w:val="00F104D0"/>
    <w:rsid w:val="00F10840"/>
    <w:rsid w:val="00F116E1"/>
    <w:rsid w:val="00F11B5E"/>
    <w:rsid w:val="00F11E4F"/>
    <w:rsid w:val="00F1272B"/>
    <w:rsid w:val="00F13033"/>
    <w:rsid w:val="00F13232"/>
    <w:rsid w:val="00F132E7"/>
    <w:rsid w:val="00F13357"/>
    <w:rsid w:val="00F13A85"/>
    <w:rsid w:val="00F13C6A"/>
    <w:rsid w:val="00F13C93"/>
    <w:rsid w:val="00F14145"/>
    <w:rsid w:val="00F14212"/>
    <w:rsid w:val="00F14A1F"/>
    <w:rsid w:val="00F14C85"/>
    <w:rsid w:val="00F14D95"/>
    <w:rsid w:val="00F150C2"/>
    <w:rsid w:val="00F15B8F"/>
    <w:rsid w:val="00F15D2C"/>
    <w:rsid w:val="00F15EBF"/>
    <w:rsid w:val="00F16582"/>
    <w:rsid w:val="00F16B9D"/>
    <w:rsid w:val="00F16CE1"/>
    <w:rsid w:val="00F16F1D"/>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D6D"/>
    <w:rsid w:val="00F3000C"/>
    <w:rsid w:val="00F30616"/>
    <w:rsid w:val="00F319F9"/>
    <w:rsid w:val="00F32AF9"/>
    <w:rsid w:val="00F33B96"/>
    <w:rsid w:val="00F346B1"/>
    <w:rsid w:val="00F347FD"/>
    <w:rsid w:val="00F3484E"/>
    <w:rsid w:val="00F34C58"/>
    <w:rsid w:val="00F34E84"/>
    <w:rsid w:val="00F34FB3"/>
    <w:rsid w:val="00F3559E"/>
    <w:rsid w:val="00F35A6D"/>
    <w:rsid w:val="00F362E4"/>
    <w:rsid w:val="00F36323"/>
    <w:rsid w:val="00F36869"/>
    <w:rsid w:val="00F36F16"/>
    <w:rsid w:val="00F37507"/>
    <w:rsid w:val="00F40042"/>
    <w:rsid w:val="00F4024E"/>
    <w:rsid w:val="00F407D5"/>
    <w:rsid w:val="00F415F2"/>
    <w:rsid w:val="00F42037"/>
    <w:rsid w:val="00F4208C"/>
    <w:rsid w:val="00F423F6"/>
    <w:rsid w:val="00F42415"/>
    <w:rsid w:val="00F424D3"/>
    <w:rsid w:val="00F4284C"/>
    <w:rsid w:val="00F43628"/>
    <w:rsid w:val="00F436F0"/>
    <w:rsid w:val="00F443B0"/>
    <w:rsid w:val="00F444E7"/>
    <w:rsid w:val="00F447EA"/>
    <w:rsid w:val="00F44943"/>
    <w:rsid w:val="00F44D2D"/>
    <w:rsid w:val="00F44E5A"/>
    <w:rsid w:val="00F453DF"/>
    <w:rsid w:val="00F45632"/>
    <w:rsid w:val="00F46D66"/>
    <w:rsid w:val="00F4737E"/>
    <w:rsid w:val="00F47D5F"/>
    <w:rsid w:val="00F47E5F"/>
    <w:rsid w:val="00F50623"/>
    <w:rsid w:val="00F506AE"/>
    <w:rsid w:val="00F5087C"/>
    <w:rsid w:val="00F50BAD"/>
    <w:rsid w:val="00F50E4E"/>
    <w:rsid w:val="00F511EE"/>
    <w:rsid w:val="00F51D28"/>
    <w:rsid w:val="00F51E10"/>
    <w:rsid w:val="00F51E4D"/>
    <w:rsid w:val="00F52DDD"/>
    <w:rsid w:val="00F53312"/>
    <w:rsid w:val="00F53398"/>
    <w:rsid w:val="00F533F9"/>
    <w:rsid w:val="00F539AC"/>
    <w:rsid w:val="00F53B8D"/>
    <w:rsid w:val="00F53D94"/>
    <w:rsid w:val="00F5420D"/>
    <w:rsid w:val="00F54768"/>
    <w:rsid w:val="00F54AB9"/>
    <w:rsid w:val="00F54ADC"/>
    <w:rsid w:val="00F54AE2"/>
    <w:rsid w:val="00F553E8"/>
    <w:rsid w:val="00F55455"/>
    <w:rsid w:val="00F55AA3"/>
    <w:rsid w:val="00F55C08"/>
    <w:rsid w:val="00F55DFC"/>
    <w:rsid w:val="00F567D1"/>
    <w:rsid w:val="00F568AE"/>
    <w:rsid w:val="00F56C88"/>
    <w:rsid w:val="00F57256"/>
    <w:rsid w:val="00F5738E"/>
    <w:rsid w:val="00F577B3"/>
    <w:rsid w:val="00F57BDA"/>
    <w:rsid w:val="00F57F43"/>
    <w:rsid w:val="00F60058"/>
    <w:rsid w:val="00F6066A"/>
    <w:rsid w:val="00F60688"/>
    <w:rsid w:val="00F6088F"/>
    <w:rsid w:val="00F60D88"/>
    <w:rsid w:val="00F60DC0"/>
    <w:rsid w:val="00F61248"/>
    <w:rsid w:val="00F61281"/>
    <w:rsid w:val="00F613C3"/>
    <w:rsid w:val="00F6145D"/>
    <w:rsid w:val="00F617DF"/>
    <w:rsid w:val="00F62450"/>
    <w:rsid w:val="00F626F5"/>
    <w:rsid w:val="00F629DE"/>
    <w:rsid w:val="00F638B4"/>
    <w:rsid w:val="00F6394E"/>
    <w:rsid w:val="00F643C2"/>
    <w:rsid w:val="00F64A0B"/>
    <w:rsid w:val="00F64B59"/>
    <w:rsid w:val="00F6557B"/>
    <w:rsid w:val="00F6667A"/>
    <w:rsid w:val="00F666B5"/>
    <w:rsid w:val="00F666D0"/>
    <w:rsid w:val="00F67275"/>
    <w:rsid w:val="00F67EF9"/>
    <w:rsid w:val="00F7130B"/>
    <w:rsid w:val="00F713D0"/>
    <w:rsid w:val="00F713E2"/>
    <w:rsid w:val="00F71588"/>
    <w:rsid w:val="00F7187B"/>
    <w:rsid w:val="00F718A4"/>
    <w:rsid w:val="00F71E37"/>
    <w:rsid w:val="00F71F96"/>
    <w:rsid w:val="00F71FB5"/>
    <w:rsid w:val="00F72698"/>
    <w:rsid w:val="00F728AA"/>
    <w:rsid w:val="00F72A84"/>
    <w:rsid w:val="00F72AD3"/>
    <w:rsid w:val="00F72C8A"/>
    <w:rsid w:val="00F72CA8"/>
    <w:rsid w:val="00F72D90"/>
    <w:rsid w:val="00F72F26"/>
    <w:rsid w:val="00F73F49"/>
    <w:rsid w:val="00F741FA"/>
    <w:rsid w:val="00F7430B"/>
    <w:rsid w:val="00F745D9"/>
    <w:rsid w:val="00F7523E"/>
    <w:rsid w:val="00F75284"/>
    <w:rsid w:val="00F7564E"/>
    <w:rsid w:val="00F759D7"/>
    <w:rsid w:val="00F75FC9"/>
    <w:rsid w:val="00F7609A"/>
    <w:rsid w:val="00F7643C"/>
    <w:rsid w:val="00F764B7"/>
    <w:rsid w:val="00F76924"/>
    <w:rsid w:val="00F76FD6"/>
    <w:rsid w:val="00F770FE"/>
    <w:rsid w:val="00F77293"/>
    <w:rsid w:val="00F77477"/>
    <w:rsid w:val="00F77C33"/>
    <w:rsid w:val="00F77D71"/>
    <w:rsid w:val="00F808F0"/>
    <w:rsid w:val="00F80927"/>
    <w:rsid w:val="00F8190B"/>
    <w:rsid w:val="00F819E1"/>
    <w:rsid w:val="00F81CF7"/>
    <w:rsid w:val="00F822A0"/>
    <w:rsid w:val="00F82D60"/>
    <w:rsid w:val="00F836D2"/>
    <w:rsid w:val="00F83A8B"/>
    <w:rsid w:val="00F83B2E"/>
    <w:rsid w:val="00F84099"/>
    <w:rsid w:val="00F8412E"/>
    <w:rsid w:val="00F843F7"/>
    <w:rsid w:val="00F845CE"/>
    <w:rsid w:val="00F8476D"/>
    <w:rsid w:val="00F84FCE"/>
    <w:rsid w:val="00F8538A"/>
    <w:rsid w:val="00F85501"/>
    <w:rsid w:val="00F856DE"/>
    <w:rsid w:val="00F85851"/>
    <w:rsid w:val="00F86769"/>
    <w:rsid w:val="00F8676D"/>
    <w:rsid w:val="00F86823"/>
    <w:rsid w:val="00F86C16"/>
    <w:rsid w:val="00F8725C"/>
    <w:rsid w:val="00F8798B"/>
    <w:rsid w:val="00F9034D"/>
    <w:rsid w:val="00F90624"/>
    <w:rsid w:val="00F907AF"/>
    <w:rsid w:val="00F90E09"/>
    <w:rsid w:val="00F91CBC"/>
    <w:rsid w:val="00F91E36"/>
    <w:rsid w:val="00F922ED"/>
    <w:rsid w:val="00F92998"/>
    <w:rsid w:val="00F92DC6"/>
    <w:rsid w:val="00F92E83"/>
    <w:rsid w:val="00F9348E"/>
    <w:rsid w:val="00F93667"/>
    <w:rsid w:val="00F93A0A"/>
    <w:rsid w:val="00F93D46"/>
    <w:rsid w:val="00F94A71"/>
    <w:rsid w:val="00F94CCA"/>
    <w:rsid w:val="00F9535C"/>
    <w:rsid w:val="00F95780"/>
    <w:rsid w:val="00F95A03"/>
    <w:rsid w:val="00F95EFB"/>
    <w:rsid w:val="00F9624E"/>
    <w:rsid w:val="00F96923"/>
    <w:rsid w:val="00F96B96"/>
    <w:rsid w:val="00F96E26"/>
    <w:rsid w:val="00F96ECB"/>
    <w:rsid w:val="00F970DB"/>
    <w:rsid w:val="00F97441"/>
    <w:rsid w:val="00F9766C"/>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AEC"/>
    <w:rsid w:val="00FA5C1A"/>
    <w:rsid w:val="00FA62C1"/>
    <w:rsid w:val="00FA6B17"/>
    <w:rsid w:val="00FA7860"/>
    <w:rsid w:val="00FB001C"/>
    <w:rsid w:val="00FB0060"/>
    <w:rsid w:val="00FB012F"/>
    <w:rsid w:val="00FB0A08"/>
    <w:rsid w:val="00FB0AD3"/>
    <w:rsid w:val="00FB0B2B"/>
    <w:rsid w:val="00FB0D58"/>
    <w:rsid w:val="00FB0F16"/>
    <w:rsid w:val="00FB185F"/>
    <w:rsid w:val="00FB21EE"/>
    <w:rsid w:val="00FB2506"/>
    <w:rsid w:val="00FB294D"/>
    <w:rsid w:val="00FB306B"/>
    <w:rsid w:val="00FB3784"/>
    <w:rsid w:val="00FB39B3"/>
    <w:rsid w:val="00FB3E0F"/>
    <w:rsid w:val="00FB466E"/>
    <w:rsid w:val="00FB4D3B"/>
    <w:rsid w:val="00FB4F6A"/>
    <w:rsid w:val="00FB50C2"/>
    <w:rsid w:val="00FB529D"/>
    <w:rsid w:val="00FB56C5"/>
    <w:rsid w:val="00FB57EF"/>
    <w:rsid w:val="00FB59E5"/>
    <w:rsid w:val="00FB5C5F"/>
    <w:rsid w:val="00FB5FB0"/>
    <w:rsid w:val="00FB614E"/>
    <w:rsid w:val="00FB6501"/>
    <w:rsid w:val="00FB6F0E"/>
    <w:rsid w:val="00FB7C8D"/>
    <w:rsid w:val="00FB7F71"/>
    <w:rsid w:val="00FC06BF"/>
    <w:rsid w:val="00FC07D1"/>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6B8"/>
    <w:rsid w:val="00FC6947"/>
    <w:rsid w:val="00FC69DF"/>
    <w:rsid w:val="00FC6E6C"/>
    <w:rsid w:val="00FC6E74"/>
    <w:rsid w:val="00FC7186"/>
    <w:rsid w:val="00FC742F"/>
    <w:rsid w:val="00FC75ED"/>
    <w:rsid w:val="00FC7C6E"/>
    <w:rsid w:val="00FC7C89"/>
    <w:rsid w:val="00FD0E51"/>
    <w:rsid w:val="00FD0F61"/>
    <w:rsid w:val="00FD11CA"/>
    <w:rsid w:val="00FD1280"/>
    <w:rsid w:val="00FD143C"/>
    <w:rsid w:val="00FD1946"/>
    <w:rsid w:val="00FD1D91"/>
    <w:rsid w:val="00FD2965"/>
    <w:rsid w:val="00FD2A64"/>
    <w:rsid w:val="00FD2CC3"/>
    <w:rsid w:val="00FD2F74"/>
    <w:rsid w:val="00FD3162"/>
    <w:rsid w:val="00FD3487"/>
    <w:rsid w:val="00FD3520"/>
    <w:rsid w:val="00FD3D58"/>
    <w:rsid w:val="00FD3D61"/>
    <w:rsid w:val="00FD3EC6"/>
    <w:rsid w:val="00FD40CD"/>
    <w:rsid w:val="00FD41C7"/>
    <w:rsid w:val="00FD436D"/>
    <w:rsid w:val="00FD491D"/>
    <w:rsid w:val="00FD49DB"/>
    <w:rsid w:val="00FD5062"/>
    <w:rsid w:val="00FD595E"/>
    <w:rsid w:val="00FD715A"/>
    <w:rsid w:val="00FD7446"/>
    <w:rsid w:val="00FD764D"/>
    <w:rsid w:val="00FD7B35"/>
    <w:rsid w:val="00FD7C6C"/>
    <w:rsid w:val="00FD7CDC"/>
    <w:rsid w:val="00FD7F20"/>
    <w:rsid w:val="00FE01A6"/>
    <w:rsid w:val="00FE0206"/>
    <w:rsid w:val="00FE02F8"/>
    <w:rsid w:val="00FE0BA6"/>
    <w:rsid w:val="00FE1445"/>
    <w:rsid w:val="00FE153E"/>
    <w:rsid w:val="00FE1710"/>
    <w:rsid w:val="00FE18EF"/>
    <w:rsid w:val="00FE1CE2"/>
    <w:rsid w:val="00FE1DFC"/>
    <w:rsid w:val="00FE235B"/>
    <w:rsid w:val="00FE27FE"/>
    <w:rsid w:val="00FE2852"/>
    <w:rsid w:val="00FE2B93"/>
    <w:rsid w:val="00FE2EAE"/>
    <w:rsid w:val="00FE2F5F"/>
    <w:rsid w:val="00FE3406"/>
    <w:rsid w:val="00FE393B"/>
    <w:rsid w:val="00FE3F71"/>
    <w:rsid w:val="00FE42DA"/>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1744"/>
    <w:rsid w:val="00FF1A0D"/>
    <w:rsid w:val="00FF1AB4"/>
    <w:rsid w:val="00FF1BFD"/>
    <w:rsid w:val="00FF1E2A"/>
    <w:rsid w:val="00FF2265"/>
    <w:rsid w:val="00FF2A52"/>
    <w:rsid w:val="00FF2D52"/>
    <w:rsid w:val="00FF2F34"/>
    <w:rsid w:val="00FF3496"/>
    <w:rsid w:val="00FF3CA1"/>
    <w:rsid w:val="00FF4177"/>
    <w:rsid w:val="00FF4675"/>
    <w:rsid w:val="00FF48C8"/>
    <w:rsid w:val="00FF4E8E"/>
    <w:rsid w:val="00FF4FB4"/>
    <w:rsid w:val="00FF6584"/>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D08FC"/>
  <w15:docId w15:val="{9FB3B73C-519F-412A-A4CF-7D5769FE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6A68"/>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9813FF"/>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9813FF"/>
    <w:rPr>
      <w:rFonts w:ascii="Arial" w:hAnsi="Arial" w:cs="Arial"/>
      <w:sz w:val="24"/>
      <w:szCs w:val="24"/>
      <w:lang w:val="es-ES_tradnl" w:eastAsia="es-ES"/>
    </w:rPr>
  </w:style>
  <w:style w:type="paragraph" w:styleId="Revisin">
    <w:name w:val="Revision"/>
    <w:hidden/>
    <w:uiPriority w:val="99"/>
    <w:semiHidden/>
    <w:rsid w:val="00D17088"/>
    <w:rPr>
      <w:rFonts w:ascii="Arial" w:hAnsi="Arial" w:cs="Arial"/>
      <w:sz w:val="24"/>
      <w:szCs w:val="24"/>
      <w:lang w:val="es-ES_tradnl" w:eastAsia="es-ES"/>
    </w:rPr>
  </w:style>
  <w:style w:type="paragraph" w:customStyle="1" w:styleId="Pa27">
    <w:name w:val="Pa27"/>
    <w:basedOn w:val="Default"/>
    <w:next w:val="Default"/>
    <w:uiPriority w:val="99"/>
    <w:rsid w:val="00185115"/>
    <w:pPr>
      <w:spacing w:line="221" w:lineRule="atLeast"/>
    </w:pPr>
    <w:rPr>
      <w:rFonts w:eastAsiaTheme="minorHAnsi"/>
      <w:color w:val="auto"/>
      <w:lang w:val="en-US" w:eastAsia="en-US"/>
    </w:rPr>
  </w:style>
  <w:style w:type="character" w:customStyle="1" w:styleId="A1">
    <w:name w:val="A1"/>
    <w:uiPriority w:val="99"/>
    <w:rsid w:val="0078042F"/>
    <w:rPr>
      <w:color w:val="000000"/>
      <w:sz w:val="20"/>
      <w:szCs w:val="20"/>
    </w:rPr>
  </w:style>
  <w:style w:type="character" w:styleId="Mencinsinresolver">
    <w:name w:val="Unresolved Mention"/>
    <w:basedOn w:val="Fuentedeprrafopredeter"/>
    <w:uiPriority w:val="99"/>
    <w:semiHidden/>
    <w:unhideWhenUsed/>
    <w:rsid w:val="003055D2"/>
    <w:rPr>
      <w:color w:val="605E5C"/>
      <w:shd w:val="clear" w:color="auto" w:fill="E1DFDD"/>
    </w:rPr>
  </w:style>
  <w:style w:type="table" w:styleId="Tablanormal3">
    <w:name w:val="Plain Table 3"/>
    <w:basedOn w:val="Tablanormal"/>
    <w:uiPriority w:val="43"/>
    <w:rsid w:val="00EB31C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EB31C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EB31C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semiHidden/>
    <w:unhideWhenUsed/>
    <w:rsid w:val="007661CB"/>
    <w:rPr>
      <w:sz w:val="16"/>
      <w:szCs w:val="16"/>
    </w:rPr>
  </w:style>
  <w:style w:type="paragraph" w:styleId="Asuntodelcomentario">
    <w:name w:val="annotation subject"/>
    <w:basedOn w:val="Textocomentario"/>
    <w:next w:val="Textocomentario"/>
    <w:link w:val="AsuntodelcomentarioCar"/>
    <w:semiHidden/>
    <w:unhideWhenUsed/>
    <w:rsid w:val="007661CB"/>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7661CB"/>
    <w:rPr>
      <w:rFonts w:ascii="Arial" w:hAnsi="Arial" w:cs="Arial"/>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7479">
      <w:bodyDiv w:val="1"/>
      <w:marLeft w:val="0"/>
      <w:marRight w:val="0"/>
      <w:marTop w:val="0"/>
      <w:marBottom w:val="0"/>
      <w:divBdr>
        <w:top w:val="none" w:sz="0" w:space="0" w:color="auto"/>
        <w:left w:val="none" w:sz="0" w:space="0" w:color="auto"/>
        <w:bottom w:val="none" w:sz="0" w:space="0" w:color="auto"/>
        <w:right w:val="none" w:sz="0" w:space="0" w:color="auto"/>
      </w:divBdr>
    </w:div>
    <w:div w:id="85420654">
      <w:bodyDiv w:val="1"/>
      <w:marLeft w:val="0"/>
      <w:marRight w:val="0"/>
      <w:marTop w:val="0"/>
      <w:marBottom w:val="0"/>
      <w:divBdr>
        <w:top w:val="none" w:sz="0" w:space="0" w:color="auto"/>
        <w:left w:val="none" w:sz="0" w:space="0" w:color="auto"/>
        <w:bottom w:val="none" w:sz="0" w:space="0" w:color="auto"/>
        <w:right w:val="none" w:sz="0" w:space="0" w:color="auto"/>
      </w:divBdr>
    </w:div>
    <w:div w:id="89274393">
      <w:bodyDiv w:val="1"/>
      <w:marLeft w:val="0"/>
      <w:marRight w:val="0"/>
      <w:marTop w:val="0"/>
      <w:marBottom w:val="0"/>
      <w:divBdr>
        <w:top w:val="none" w:sz="0" w:space="0" w:color="auto"/>
        <w:left w:val="none" w:sz="0" w:space="0" w:color="auto"/>
        <w:bottom w:val="none" w:sz="0" w:space="0" w:color="auto"/>
        <w:right w:val="none" w:sz="0" w:space="0" w:color="auto"/>
      </w:divBdr>
    </w:div>
    <w:div w:id="140510825">
      <w:bodyDiv w:val="1"/>
      <w:marLeft w:val="0"/>
      <w:marRight w:val="0"/>
      <w:marTop w:val="0"/>
      <w:marBottom w:val="0"/>
      <w:divBdr>
        <w:top w:val="none" w:sz="0" w:space="0" w:color="auto"/>
        <w:left w:val="none" w:sz="0" w:space="0" w:color="auto"/>
        <w:bottom w:val="none" w:sz="0" w:space="0" w:color="auto"/>
        <w:right w:val="none" w:sz="0" w:space="0" w:color="auto"/>
      </w:divBdr>
    </w:div>
    <w:div w:id="146483270">
      <w:bodyDiv w:val="1"/>
      <w:marLeft w:val="0"/>
      <w:marRight w:val="0"/>
      <w:marTop w:val="0"/>
      <w:marBottom w:val="0"/>
      <w:divBdr>
        <w:top w:val="none" w:sz="0" w:space="0" w:color="auto"/>
        <w:left w:val="none" w:sz="0" w:space="0" w:color="auto"/>
        <w:bottom w:val="none" w:sz="0" w:space="0" w:color="auto"/>
        <w:right w:val="none" w:sz="0" w:space="0" w:color="auto"/>
      </w:divBdr>
    </w:div>
    <w:div w:id="147671487">
      <w:bodyDiv w:val="1"/>
      <w:marLeft w:val="0"/>
      <w:marRight w:val="0"/>
      <w:marTop w:val="0"/>
      <w:marBottom w:val="0"/>
      <w:divBdr>
        <w:top w:val="none" w:sz="0" w:space="0" w:color="auto"/>
        <w:left w:val="none" w:sz="0" w:space="0" w:color="auto"/>
        <w:bottom w:val="none" w:sz="0" w:space="0" w:color="auto"/>
        <w:right w:val="none" w:sz="0" w:space="0" w:color="auto"/>
      </w:divBdr>
    </w:div>
    <w:div w:id="151719710">
      <w:bodyDiv w:val="1"/>
      <w:marLeft w:val="0"/>
      <w:marRight w:val="0"/>
      <w:marTop w:val="0"/>
      <w:marBottom w:val="0"/>
      <w:divBdr>
        <w:top w:val="none" w:sz="0" w:space="0" w:color="auto"/>
        <w:left w:val="none" w:sz="0" w:space="0" w:color="auto"/>
        <w:bottom w:val="none" w:sz="0" w:space="0" w:color="auto"/>
        <w:right w:val="none" w:sz="0" w:space="0" w:color="auto"/>
      </w:divBdr>
    </w:div>
    <w:div w:id="167717520">
      <w:bodyDiv w:val="1"/>
      <w:marLeft w:val="0"/>
      <w:marRight w:val="0"/>
      <w:marTop w:val="0"/>
      <w:marBottom w:val="0"/>
      <w:divBdr>
        <w:top w:val="none" w:sz="0" w:space="0" w:color="auto"/>
        <w:left w:val="none" w:sz="0" w:space="0" w:color="auto"/>
        <w:bottom w:val="none" w:sz="0" w:space="0" w:color="auto"/>
        <w:right w:val="none" w:sz="0" w:space="0" w:color="auto"/>
      </w:divBdr>
    </w:div>
    <w:div w:id="234514022">
      <w:bodyDiv w:val="1"/>
      <w:marLeft w:val="0"/>
      <w:marRight w:val="0"/>
      <w:marTop w:val="0"/>
      <w:marBottom w:val="0"/>
      <w:divBdr>
        <w:top w:val="none" w:sz="0" w:space="0" w:color="auto"/>
        <w:left w:val="none" w:sz="0" w:space="0" w:color="auto"/>
        <w:bottom w:val="none" w:sz="0" w:space="0" w:color="auto"/>
        <w:right w:val="none" w:sz="0" w:space="0" w:color="auto"/>
      </w:divBdr>
    </w:div>
    <w:div w:id="252131231">
      <w:bodyDiv w:val="1"/>
      <w:marLeft w:val="0"/>
      <w:marRight w:val="0"/>
      <w:marTop w:val="0"/>
      <w:marBottom w:val="0"/>
      <w:divBdr>
        <w:top w:val="none" w:sz="0" w:space="0" w:color="auto"/>
        <w:left w:val="none" w:sz="0" w:space="0" w:color="auto"/>
        <w:bottom w:val="none" w:sz="0" w:space="0" w:color="auto"/>
        <w:right w:val="none" w:sz="0" w:space="0" w:color="auto"/>
      </w:divBdr>
    </w:div>
    <w:div w:id="369378576">
      <w:bodyDiv w:val="1"/>
      <w:marLeft w:val="0"/>
      <w:marRight w:val="0"/>
      <w:marTop w:val="0"/>
      <w:marBottom w:val="0"/>
      <w:divBdr>
        <w:top w:val="none" w:sz="0" w:space="0" w:color="auto"/>
        <w:left w:val="none" w:sz="0" w:space="0" w:color="auto"/>
        <w:bottom w:val="none" w:sz="0" w:space="0" w:color="auto"/>
        <w:right w:val="none" w:sz="0" w:space="0" w:color="auto"/>
      </w:divBdr>
    </w:div>
    <w:div w:id="424157714">
      <w:bodyDiv w:val="1"/>
      <w:marLeft w:val="0"/>
      <w:marRight w:val="0"/>
      <w:marTop w:val="0"/>
      <w:marBottom w:val="0"/>
      <w:divBdr>
        <w:top w:val="none" w:sz="0" w:space="0" w:color="auto"/>
        <w:left w:val="none" w:sz="0" w:space="0" w:color="auto"/>
        <w:bottom w:val="none" w:sz="0" w:space="0" w:color="auto"/>
        <w:right w:val="none" w:sz="0" w:space="0" w:color="auto"/>
      </w:divBdr>
    </w:div>
    <w:div w:id="425538600">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4516830">
      <w:bodyDiv w:val="1"/>
      <w:marLeft w:val="0"/>
      <w:marRight w:val="0"/>
      <w:marTop w:val="0"/>
      <w:marBottom w:val="0"/>
      <w:divBdr>
        <w:top w:val="none" w:sz="0" w:space="0" w:color="auto"/>
        <w:left w:val="none" w:sz="0" w:space="0" w:color="auto"/>
        <w:bottom w:val="none" w:sz="0" w:space="0" w:color="auto"/>
        <w:right w:val="none" w:sz="0" w:space="0" w:color="auto"/>
      </w:divBdr>
    </w:div>
    <w:div w:id="507527364">
      <w:bodyDiv w:val="1"/>
      <w:marLeft w:val="0"/>
      <w:marRight w:val="0"/>
      <w:marTop w:val="0"/>
      <w:marBottom w:val="0"/>
      <w:divBdr>
        <w:top w:val="none" w:sz="0" w:space="0" w:color="auto"/>
        <w:left w:val="none" w:sz="0" w:space="0" w:color="auto"/>
        <w:bottom w:val="none" w:sz="0" w:space="0" w:color="auto"/>
        <w:right w:val="none" w:sz="0" w:space="0" w:color="auto"/>
      </w:divBdr>
    </w:div>
    <w:div w:id="535047730">
      <w:bodyDiv w:val="1"/>
      <w:marLeft w:val="0"/>
      <w:marRight w:val="0"/>
      <w:marTop w:val="0"/>
      <w:marBottom w:val="0"/>
      <w:divBdr>
        <w:top w:val="none" w:sz="0" w:space="0" w:color="auto"/>
        <w:left w:val="none" w:sz="0" w:space="0" w:color="auto"/>
        <w:bottom w:val="none" w:sz="0" w:space="0" w:color="auto"/>
        <w:right w:val="none" w:sz="0" w:space="0" w:color="auto"/>
      </w:divBdr>
    </w:div>
    <w:div w:id="553858216">
      <w:bodyDiv w:val="1"/>
      <w:marLeft w:val="0"/>
      <w:marRight w:val="0"/>
      <w:marTop w:val="0"/>
      <w:marBottom w:val="0"/>
      <w:divBdr>
        <w:top w:val="none" w:sz="0" w:space="0" w:color="auto"/>
        <w:left w:val="none" w:sz="0" w:space="0" w:color="auto"/>
        <w:bottom w:val="none" w:sz="0" w:space="0" w:color="auto"/>
        <w:right w:val="none" w:sz="0" w:space="0" w:color="auto"/>
      </w:divBdr>
    </w:div>
    <w:div w:id="554859047">
      <w:bodyDiv w:val="1"/>
      <w:marLeft w:val="0"/>
      <w:marRight w:val="0"/>
      <w:marTop w:val="0"/>
      <w:marBottom w:val="0"/>
      <w:divBdr>
        <w:top w:val="none" w:sz="0" w:space="0" w:color="auto"/>
        <w:left w:val="none" w:sz="0" w:space="0" w:color="auto"/>
        <w:bottom w:val="none" w:sz="0" w:space="0" w:color="auto"/>
        <w:right w:val="none" w:sz="0" w:space="0" w:color="auto"/>
      </w:divBdr>
    </w:div>
    <w:div w:id="59945967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373301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093975">
      <w:bodyDiv w:val="1"/>
      <w:marLeft w:val="0"/>
      <w:marRight w:val="0"/>
      <w:marTop w:val="0"/>
      <w:marBottom w:val="0"/>
      <w:divBdr>
        <w:top w:val="none" w:sz="0" w:space="0" w:color="auto"/>
        <w:left w:val="none" w:sz="0" w:space="0" w:color="auto"/>
        <w:bottom w:val="none" w:sz="0" w:space="0" w:color="auto"/>
        <w:right w:val="none" w:sz="0" w:space="0" w:color="auto"/>
      </w:divBdr>
    </w:div>
    <w:div w:id="68428587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70780773">
      <w:bodyDiv w:val="1"/>
      <w:marLeft w:val="0"/>
      <w:marRight w:val="0"/>
      <w:marTop w:val="0"/>
      <w:marBottom w:val="0"/>
      <w:divBdr>
        <w:top w:val="none" w:sz="0" w:space="0" w:color="auto"/>
        <w:left w:val="none" w:sz="0" w:space="0" w:color="auto"/>
        <w:bottom w:val="none" w:sz="0" w:space="0" w:color="auto"/>
        <w:right w:val="none" w:sz="0" w:space="0" w:color="auto"/>
      </w:divBdr>
    </w:div>
    <w:div w:id="789591888">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9073782">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95546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618385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8067850">
      <w:bodyDiv w:val="1"/>
      <w:marLeft w:val="0"/>
      <w:marRight w:val="0"/>
      <w:marTop w:val="0"/>
      <w:marBottom w:val="0"/>
      <w:divBdr>
        <w:top w:val="none" w:sz="0" w:space="0" w:color="auto"/>
        <w:left w:val="none" w:sz="0" w:space="0" w:color="auto"/>
        <w:bottom w:val="none" w:sz="0" w:space="0" w:color="auto"/>
        <w:right w:val="none" w:sz="0" w:space="0" w:color="auto"/>
      </w:divBdr>
    </w:div>
    <w:div w:id="1062945644">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965937">
      <w:bodyDiv w:val="1"/>
      <w:marLeft w:val="0"/>
      <w:marRight w:val="0"/>
      <w:marTop w:val="0"/>
      <w:marBottom w:val="0"/>
      <w:divBdr>
        <w:top w:val="none" w:sz="0" w:space="0" w:color="auto"/>
        <w:left w:val="none" w:sz="0" w:space="0" w:color="auto"/>
        <w:bottom w:val="none" w:sz="0" w:space="0" w:color="auto"/>
        <w:right w:val="none" w:sz="0" w:space="0" w:color="auto"/>
      </w:divBdr>
    </w:div>
    <w:div w:id="1202128470">
      <w:bodyDiv w:val="1"/>
      <w:marLeft w:val="0"/>
      <w:marRight w:val="0"/>
      <w:marTop w:val="0"/>
      <w:marBottom w:val="0"/>
      <w:divBdr>
        <w:top w:val="none" w:sz="0" w:space="0" w:color="auto"/>
        <w:left w:val="none" w:sz="0" w:space="0" w:color="auto"/>
        <w:bottom w:val="none" w:sz="0" w:space="0" w:color="auto"/>
        <w:right w:val="none" w:sz="0" w:space="0" w:color="auto"/>
      </w:divBdr>
    </w:div>
    <w:div w:id="1209222830">
      <w:bodyDiv w:val="1"/>
      <w:marLeft w:val="0"/>
      <w:marRight w:val="0"/>
      <w:marTop w:val="0"/>
      <w:marBottom w:val="0"/>
      <w:divBdr>
        <w:top w:val="none" w:sz="0" w:space="0" w:color="auto"/>
        <w:left w:val="none" w:sz="0" w:space="0" w:color="auto"/>
        <w:bottom w:val="none" w:sz="0" w:space="0" w:color="auto"/>
        <w:right w:val="none" w:sz="0" w:space="0" w:color="auto"/>
      </w:divBdr>
    </w:div>
    <w:div w:id="1223180379">
      <w:bodyDiv w:val="1"/>
      <w:marLeft w:val="0"/>
      <w:marRight w:val="0"/>
      <w:marTop w:val="0"/>
      <w:marBottom w:val="0"/>
      <w:divBdr>
        <w:top w:val="none" w:sz="0" w:space="0" w:color="auto"/>
        <w:left w:val="none" w:sz="0" w:space="0" w:color="auto"/>
        <w:bottom w:val="none" w:sz="0" w:space="0" w:color="auto"/>
        <w:right w:val="none" w:sz="0" w:space="0" w:color="auto"/>
      </w:divBdr>
    </w:div>
    <w:div w:id="1232693601">
      <w:bodyDiv w:val="1"/>
      <w:marLeft w:val="0"/>
      <w:marRight w:val="0"/>
      <w:marTop w:val="0"/>
      <w:marBottom w:val="0"/>
      <w:divBdr>
        <w:top w:val="none" w:sz="0" w:space="0" w:color="auto"/>
        <w:left w:val="none" w:sz="0" w:space="0" w:color="auto"/>
        <w:bottom w:val="none" w:sz="0" w:space="0" w:color="auto"/>
        <w:right w:val="none" w:sz="0" w:space="0" w:color="auto"/>
      </w:divBdr>
    </w:div>
    <w:div w:id="1233080250">
      <w:bodyDiv w:val="1"/>
      <w:marLeft w:val="0"/>
      <w:marRight w:val="0"/>
      <w:marTop w:val="0"/>
      <w:marBottom w:val="0"/>
      <w:divBdr>
        <w:top w:val="none" w:sz="0" w:space="0" w:color="auto"/>
        <w:left w:val="none" w:sz="0" w:space="0" w:color="auto"/>
        <w:bottom w:val="none" w:sz="0" w:space="0" w:color="auto"/>
        <w:right w:val="none" w:sz="0" w:space="0" w:color="auto"/>
      </w:divBdr>
    </w:div>
    <w:div w:id="1236627305">
      <w:bodyDiv w:val="1"/>
      <w:marLeft w:val="0"/>
      <w:marRight w:val="0"/>
      <w:marTop w:val="0"/>
      <w:marBottom w:val="0"/>
      <w:divBdr>
        <w:top w:val="none" w:sz="0" w:space="0" w:color="auto"/>
        <w:left w:val="none" w:sz="0" w:space="0" w:color="auto"/>
        <w:bottom w:val="none" w:sz="0" w:space="0" w:color="auto"/>
        <w:right w:val="none" w:sz="0" w:space="0" w:color="auto"/>
      </w:divBdr>
    </w:div>
    <w:div w:id="1247110263">
      <w:bodyDiv w:val="1"/>
      <w:marLeft w:val="0"/>
      <w:marRight w:val="0"/>
      <w:marTop w:val="0"/>
      <w:marBottom w:val="0"/>
      <w:divBdr>
        <w:top w:val="none" w:sz="0" w:space="0" w:color="auto"/>
        <w:left w:val="none" w:sz="0" w:space="0" w:color="auto"/>
        <w:bottom w:val="none" w:sz="0" w:space="0" w:color="auto"/>
        <w:right w:val="none" w:sz="0" w:space="0" w:color="auto"/>
      </w:divBdr>
    </w:div>
    <w:div w:id="1306466846">
      <w:bodyDiv w:val="1"/>
      <w:marLeft w:val="0"/>
      <w:marRight w:val="0"/>
      <w:marTop w:val="0"/>
      <w:marBottom w:val="0"/>
      <w:divBdr>
        <w:top w:val="none" w:sz="0" w:space="0" w:color="auto"/>
        <w:left w:val="none" w:sz="0" w:space="0" w:color="auto"/>
        <w:bottom w:val="none" w:sz="0" w:space="0" w:color="auto"/>
        <w:right w:val="none" w:sz="0" w:space="0" w:color="auto"/>
      </w:divBdr>
    </w:div>
    <w:div w:id="1337807846">
      <w:bodyDiv w:val="1"/>
      <w:marLeft w:val="0"/>
      <w:marRight w:val="0"/>
      <w:marTop w:val="0"/>
      <w:marBottom w:val="0"/>
      <w:divBdr>
        <w:top w:val="none" w:sz="0" w:space="0" w:color="auto"/>
        <w:left w:val="none" w:sz="0" w:space="0" w:color="auto"/>
        <w:bottom w:val="none" w:sz="0" w:space="0" w:color="auto"/>
        <w:right w:val="none" w:sz="0" w:space="0" w:color="auto"/>
      </w:divBdr>
    </w:div>
    <w:div w:id="1357002061">
      <w:bodyDiv w:val="1"/>
      <w:marLeft w:val="0"/>
      <w:marRight w:val="0"/>
      <w:marTop w:val="0"/>
      <w:marBottom w:val="0"/>
      <w:divBdr>
        <w:top w:val="none" w:sz="0" w:space="0" w:color="auto"/>
        <w:left w:val="none" w:sz="0" w:space="0" w:color="auto"/>
        <w:bottom w:val="none" w:sz="0" w:space="0" w:color="auto"/>
        <w:right w:val="none" w:sz="0" w:space="0" w:color="auto"/>
      </w:divBdr>
    </w:div>
    <w:div w:id="1367178870">
      <w:bodyDiv w:val="1"/>
      <w:marLeft w:val="0"/>
      <w:marRight w:val="0"/>
      <w:marTop w:val="0"/>
      <w:marBottom w:val="0"/>
      <w:divBdr>
        <w:top w:val="none" w:sz="0" w:space="0" w:color="auto"/>
        <w:left w:val="none" w:sz="0" w:space="0" w:color="auto"/>
        <w:bottom w:val="none" w:sz="0" w:space="0" w:color="auto"/>
        <w:right w:val="none" w:sz="0" w:space="0" w:color="auto"/>
      </w:divBdr>
    </w:div>
    <w:div w:id="141134733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0129850">
      <w:bodyDiv w:val="1"/>
      <w:marLeft w:val="0"/>
      <w:marRight w:val="0"/>
      <w:marTop w:val="0"/>
      <w:marBottom w:val="0"/>
      <w:divBdr>
        <w:top w:val="none" w:sz="0" w:space="0" w:color="auto"/>
        <w:left w:val="none" w:sz="0" w:space="0" w:color="auto"/>
        <w:bottom w:val="none" w:sz="0" w:space="0" w:color="auto"/>
        <w:right w:val="none" w:sz="0" w:space="0" w:color="auto"/>
      </w:divBdr>
    </w:div>
    <w:div w:id="1451363799">
      <w:bodyDiv w:val="1"/>
      <w:marLeft w:val="0"/>
      <w:marRight w:val="0"/>
      <w:marTop w:val="0"/>
      <w:marBottom w:val="0"/>
      <w:divBdr>
        <w:top w:val="none" w:sz="0" w:space="0" w:color="auto"/>
        <w:left w:val="none" w:sz="0" w:space="0" w:color="auto"/>
        <w:bottom w:val="none" w:sz="0" w:space="0" w:color="auto"/>
        <w:right w:val="none" w:sz="0" w:space="0" w:color="auto"/>
      </w:divBdr>
    </w:div>
    <w:div w:id="1457796126">
      <w:bodyDiv w:val="1"/>
      <w:marLeft w:val="0"/>
      <w:marRight w:val="0"/>
      <w:marTop w:val="0"/>
      <w:marBottom w:val="0"/>
      <w:divBdr>
        <w:top w:val="none" w:sz="0" w:space="0" w:color="auto"/>
        <w:left w:val="none" w:sz="0" w:space="0" w:color="auto"/>
        <w:bottom w:val="none" w:sz="0" w:space="0" w:color="auto"/>
        <w:right w:val="none" w:sz="0" w:space="0" w:color="auto"/>
      </w:divBdr>
    </w:div>
    <w:div w:id="1470854157">
      <w:bodyDiv w:val="1"/>
      <w:marLeft w:val="0"/>
      <w:marRight w:val="0"/>
      <w:marTop w:val="0"/>
      <w:marBottom w:val="0"/>
      <w:divBdr>
        <w:top w:val="none" w:sz="0" w:space="0" w:color="auto"/>
        <w:left w:val="none" w:sz="0" w:space="0" w:color="auto"/>
        <w:bottom w:val="none" w:sz="0" w:space="0" w:color="auto"/>
        <w:right w:val="none" w:sz="0" w:space="0" w:color="auto"/>
      </w:divBdr>
    </w:div>
    <w:div w:id="147772455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0870780">
      <w:bodyDiv w:val="1"/>
      <w:marLeft w:val="0"/>
      <w:marRight w:val="0"/>
      <w:marTop w:val="0"/>
      <w:marBottom w:val="0"/>
      <w:divBdr>
        <w:top w:val="none" w:sz="0" w:space="0" w:color="auto"/>
        <w:left w:val="none" w:sz="0" w:space="0" w:color="auto"/>
        <w:bottom w:val="none" w:sz="0" w:space="0" w:color="auto"/>
        <w:right w:val="none" w:sz="0" w:space="0" w:color="auto"/>
      </w:divBdr>
    </w:div>
    <w:div w:id="1547989333">
      <w:bodyDiv w:val="1"/>
      <w:marLeft w:val="0"/>
      <w:marRight w:val="0"/>
      <w:marTop w:val="0"/>
      <w:marBottom w:val="0"/>
      <w:divBdr>
        <w:top w:val="none" w:sz="0" w:space="0" w:color="auto"/>
        <w:left w:val="none" w:sz="0" w:space="0" w:color="auto"/>
        <w:bottom w:val="none" w:sz="0" w:space="0" w:color="auto"/>
        <w:right w:val="none" w:sz="0" w:space="0" w:color="auto"/>
      </w:divBdr>
    </w:div>
    <w:div w:id="1558779362">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06419458">
      <w:bodyDiv w:val="1"/>
      <w:marLeft w:val="0"/>
      <w:marRight w:val="0"/>
      <w:marTop w:val="0"/>
      <w:marBottom w:val="0"/>
      <w:divBdr>
        <w:top w:val="none" w:sz="0" w:space="0" w:color="auto"/>
        <w:left w:val="none" w:sz="0" w:space="0" w:color="auto"/>
        <w:bottom w:val="none" w:sz="0" w:space="0" w:color="auto"/>
        <w:right w:val="none" w:sz="0" w:space="0" w:color="auto"/>
      </w:divBdr>
    </w:div>
    <w:div w:id="160742605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56396331">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82139419">
      <w:bodyDiv w:val="1"/>
      <w:marLeft w:val="0"/>
      <w:marRight w:val="0"/>
      <w:marTop w:val="0"/>
      <w:marBottom w:val="0"/>
      <w:divBdr>
        <w:top w:val="none" w:sz="0" w:space="0" w:color="auto"/>
        <w:left w:val="none" w:sz="0" w:space="0" w:color="auto"/>
        <w:bottom w:val="none" w:sz="0" w:space="0" w:color="auto"/>
        <w:right w:val="none" w:sz="0" w:space="0" w:color="auto"/>
      </w:divBdr>
    </w:div>
    <w:div w:id="1845431503">
      <w:bodyDiv w:val="1"/>
      <w:marLeft w:val="0"/>
      <w:marRight w:val="0"/>
      <w:marTop w:val="0"/>
      <w:marBottom w:val="0"/>
      <w:divBdr>
        <w:top w:val="none" w:sz="0" w:space="0" w:color="auto"/>
        <w:left w:val="none" w:sz="0" w:space="0" w:color="auto"/>
        <w:bottom w:val="none" w:sz="0" w:space="0" w:color="auto"/>
        <w:right w:val="none" w:sz="0" w:space="0" w:color="auto"/>
      </w:divBdr>
    </w:div>
    <w:div w:id="186597373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02399320">
      <w:bodyDiv w:val="1"/>
      <w:marLeft w:val="0"/>
      <w:marRight w:val="0"/>
      <w:marTop w:val="0"/>
      <w:marBottom w:val="0"/>
      <w:divBdr>
        <w:top w:val="none" w:sz="0" w:space="0" w:color="auto"/>
        <w:left w:val="none" w:sz="0" w:space="0" w:color="auto"/>
        <w:bottom w:val="none" w:sz="0" w:space="0" w:color="auto"/>
        <w:right w:val="none" w:sz="0" w:space="0" w:color="auto"/>
      </w:divBdr>
    </w:div>
    <w:div w:id="1904439096">
      <w:bodyDiv w:val="1"/>
      <w:marLeft w:val="0"/>
      <w:marRight w:val="0"/>
      <w:marTop w:val="0"/>
      <w:marBottom w:val="0"/>
      <w:divBdr>
        <w:top w:val="none" w:sz="0" w:space="0" w:color="auto"/>
        <w:left w:val="none" w:sz="0" w:space="0" w:color="auto"/>
        <w:bottom w:val="none" w:sz="0" w:space="0" w:color="auto"/>
        <w:right w:val="none" w:sz="0" w:space="0" w:color="auto"/>
      </w:divBdr>
    </w:div>
    <w:div w:id="1945963093">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54828292">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1971200657">
      <w:bodyDiv w:val="1"/>
      <w:marLeft w:val="0"/>
      <w:marRight w:val="0"/>
      <w:marTop w:val="0"/>
      <w:marBottom w:val="0"/>
      <w:divBdr>
        <w:top w:val="none" w:sz="0" w:space="0" w:color="auto"/>
        <w:left w:val="none" w:sz="0" w:space="0" w:color="auto"/>
        <w:bottom w:val="none" w:sz="0" w:space="0" w:color="auto"/>
        <w:right w:val="none" w:sz="0" w:space="0" w:color="auto"/>
      </w:divBdr>
    </w:div>
    <w:div w:id="200824725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0711492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804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yperlink" Target="https://www.facebook.com/INEGIInforma/" TargetMode="External"/><Relationship Id="rId26" Type="http://schemas.openxmlformats.org/officeDocument/2006/relationships/hyperlink" Target="http://www.inegi.org.mx/"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1.xm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instagram.com/inegi_informa/" TargetMode="External"/><Relationship Id="rId29" Type="http://schemas.openxmlformats.org/officeDocument/2006/relationships/hyperlink" Target="https://www.inegi.org.mx/app/saladeprensa/calendario/defaul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www.youtube.com/user/INEGIInform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municacionsocial@inegi.org.mx" TargetMode="External"/><Relationship Id="rId23" Type="http://schemas.openxmlformats.org/officeDocument/2006/relationships/image" Target="media/image4.jpeg"/><Relationship Id="rId28" Type="http://schemas.openxmlformats.org/officeDocument/2006/relationships/hyperlink" Target="https://www.inegi.org.mx/rnm/index.php/catalog/628"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egi.org.mx/programas/eat/2013/" TargetMode="External"/><Relationship Id="rId22" Type="http://schemas.openxmlformats.org/officeDocument/2006/relationships/hyperlink" Target="https://twitter.com/INEGI_INFORMA" TargetMode="External"/><Relationship Id="rId27" Type="http://schemas.openxmlformats.org/officeDocument/2006/relationships/image" Target="media/image6.png"/><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roberto.tovar\Documents\EAT\2022\Resultados\28112022\Tabulados_EAT_2022_Pres_Nota_T.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roberto.tovar\Documents\EAT\2022\Resultados\28112022\datos%20presentacion%20enc_anuales%2028_11_2022.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D:\roberto.tovar\Documents\EAT\2022\Resultados\28112022\datos%20presentacion%20enc_anuales%2028_11_20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9558409629176101E-2"/>
          <c:y val="5.3071720522876113E-2"/>
          <c:w val="0.46635959829089579"/>
          <c:h val="0.83252624048973378"/>
        </c:manualLayout>
      </c:layout>
      <c:barChart>
        <c:barDir val="bar"/>
        <c:grouping val="clustered"/>
        <c:varyColors val="0"/>
        <c:ser>
          <c:idx val="0"/>
          <c:order val="0"/>
          <c:spPr>
            <a:solidFill>
              <a:srgbClr val="4472C4"/>
            </a:solidFill>
            <a:ln w="25400">
              <a:noFill/>
            </a:ln>
          </c:spPr>
          <c:invertIfNegative val="0"/>
          <c:dLbls>
            <c:dLbl>
              <c:idx val="2"/>
              <c:layout>
                <c:manualLayout>
                  <c:x val="-6.1065487471046537E-2"/>
                  <c:y val="-7.41739716790289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0F-491A-A715-13ED8FB7B954}"/>
                </c:ext>
              </c:extLst>
            </c:dLbl>
            <c:numFmt formatCode="0.0\ %" sourceLinked="0"/>
            <c:spPr>
              <a:noFill/>
              <a:ln w="25400">
                <a:noFill/>
              </a:ln>
            </c:spPr>
            <c:txPr>
              <a:bodyPr rot="0" vert="horz"/>
              <a:lstStyle/>
              <a:p>
                <a:pPr>
                  <a:defRPr sz="8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Cuadro1!$C$35:$C$41</c:f>
              <c:strCache>
                <c:ptCount val="7"/>
                <c:pt idx="0">
                  <c:v>Transporte aéreo regular en líneas aéreas nacionales</c:v>
                </c:pt>
                <c:pt idx="1">
                  <c:v>Transporte por ferrocarril</c:v>
                </c:pt>
                <c:pt idx="2">
                  <c:v>Transporte marítimo de altura, excepto de petróleo y gas natural</c:v>
                </c:pt>
                <c:pt idx="3">
                  <c:v>Transporte marítimo de cabotaje, excepto de petróleo y gas natural</c:v>
                </c:pt>
                <c:pt idx="4">
                  <c:v>Autotransporte de carga</c:v>
                </c:pt>
                <c:pt idx="5">
                  <c:v>Transporte colectivo urbano y suburbano de pasajeros en autobuses de ruta fija</c:v>
                </c:pt>
                <c:pt idx="6">
                  <c:v>Transporte colectivo foráneo de pasajeros de ruta fija</c:v>
                </c:pt>
              </c:strCache>
            </c:strRef>
          </c:cat>
          <c:val>
            <c:numRef>
              <c:f>Cuadro1!$D$35:$D$41</c:f>
              <c:numCache>
                <c:formatCode>0.0</c:formatCode>
                <c:ptCount val="7"/>
                <c:pt idx="0">
                  <c:v>-9.261555565057511E-2</c:v>
                </c:pt>
                <c:pt idx="1">
                  <c:v>-5.7335237706590547E-2</c:v>
                </c:pt>
                <c:pt idx="2">
                  <c:v>0.31186440677966099</c:v>
                </c:pt>
                <c:pt idx="3">
                  <c:v>9.954375777685609E-2</c:v>
                </c:pt>
                <c:pt idx="4">
                  <c:v>1.7870331484511892E-2</c:v>
                </c:pt>
                <c:pt idx="5">
                  <c:v>-5.1737548265229583E-2</c:v>
                </c:pt>
                <c:pt idx="6">
                  <c:v>8.6606613967359358E-3</c:v>
                </c:pt>
              </c:numCache>
            </c:numRef>
          </c:val>
          <c:extLst>
            <c:ext xmlns:c16="http://schemas.microsoft.com/office/drawing/2014/chart" uri="{C3380CC4-5D6E-409C-BE32-E72D297353CC}">
              <c16:uniqueId val="{00000001-A20F-491A-A715-13ED8FB7B954}"/>
            </c:ext>
          </c:extLst>
        </c:ser>
        <c:dLbls>
          <c:showLegendKey val="0"/>
          <c:showVal val="0"/>
          <c:showCatName val="0"/>
          <c:showSerName val="0"/>
          <c:showPercent val="0"/>
          <c:showBubbleSize val="0"/>
        </c:dLbls>
        <c:gapWidth val="182"/>
        <c:axId val="318664207"/>
        <c:axId val="1"/>
      </c:barChart>
      <c:catAx>
        <c:axId val="318664207"/>
        <c:scaling>
          <c:orientation val="minMax"/>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vert="horz"/>
          <a:lstStyle/>
          <a:p>
            <a:pPr>
              <a:defRPr sz="800"/>
            </a:pPr>
            <a:endParaRPr lang="es-MX"/>
          </a:p>
        </c:txPr>
        <c:crossAx val="1"/>
        <c:crossesAt val="0"/>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6350">
            <a:noFill/>
          </a:ln>
        </c:spPr>
        <c:txPr>
          <a:bodyPr rot="-60000000" vert="horz"/>
          <a:lstStyle/>
          <a:p>
            <a:pPr>
              <a:defRPr sz="800"/>
            </a:pPr>
            <a:endParaRPr lang="es-MX"/>
          </a:p>
        </c:txPr>
        <c:crossAx val="318664207"/>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'Diapositiva 6'!$B$29</c:f>
              <c:strCache>
                <c:ptCount val="1"/>
                <c:pt idx="0">
                  <c:v>Hombres </c:v>
                </c:pt>
              </c:strCache>
            </c:strRef>
          </c:tx>
          <c:spPr>
            <a:solidFill>
              <a:schemeClr val="accent1"/>
            </a:solidFill>
            <a:ln>
              <a:noFill/>
            </a:ln>
            <a:effectLst/>
          </c:spPr>
          <c:invertIfNegative val="0"/>
          <c:dLbls>
            <c:numFmt formatCode="0.0\ %" sourceLinked="0"/>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'Diapositiva 6'!$C$28:$K$28</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'Diapositiva 6'!$C$29:$K$29</c:f>
              <c:numCache>
                <c:formatCode>0.0%</c:formatCode>
                <c:ptCount val="9"/>
                <c:pt idx="0">
                  <c:v>0.90831402085747392</c:v>
                </c:pt>
                <c:pt idx="1">
                  <c:v>0.91028018871322069</c:v>
                </c:pt>
                <c:pt idx="2">
                  <c:v>0.91097513344616587</c:v>
                </c:pt>
                <c:pt idx="3">
                  <c:v>0.89956096433798038</c:v>
                </c:pt>
                <c:pt idx="4">
                  <c:v>0.88240709838537046</c:v>
                </c:pt>
                <c:pt idx="5">
                  <c:v>0.89305794524394022</c:v>
                </c:pt>
                <c:pt idx="6">
                  <c:v>0.86461663628282581</c:v>
                </c:pt>
                <c:pt idx="7">
                  <c:v>0.84881299007326549</c:v>
                </c:pt>
                <c:pt idx="8">
                  <c:v>0.85750679116453832</c:v>
                </c:pt>
              </c:numCache>
            </c:numRef>
          </c:val>
          <c:extLst>
            <c:ext xmlns:c16="http://schemas.microsoft.com/office/drawing/2014/chart" uri="{C3380CC4-5D6E-409C-BE32-E72D297353CC}">
              <c16:uniqueId val="{00000000-1EA6-479A-8D66-7ABA67ACF14C}"/>
            </c:ext>
          </c:extLst>
        </c:ser>
        <c:ser>
          <c:idx val="1"/>
          <c:order val="1"/>
          <c:tx>
            <c:strRef>
              <c:f>'Diapositiva 6'!$B$30</c:f>
              <c:strCache>
                <c:ptCount val="1"/>
                <c:pt idx="0">
                  <c:v>Mujeres</c:v>
                </c:pt>
              </c:strCache>
            </c:strRef>
          </c:tx>
          <c:spPr>
            <a:solidFill>
              <a:schemeClr val="accent1">
                <a:lumMod val="60000"/>
                <a:lumOff val="40000"/>
              </a:schemeClr>
            </a:solidFill>
            <a:ln>
              <a:noFill/>
            </a:ln>
            <a:effectLst/>
          </c:spPr>
          <c:invertIfNegative val="0"/>
          <c:dLbls>
            <c:numFmt formatCode="0.0\ %" sourceLinked="0"/>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'Diapositiva 6'!$C$28:$K$28</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'Diapositiva 6'!$C$30:$K$30</c:f>
              <c:numCache>
                <c:formatCode>0.0%</c:formatCode>
                <c:ptCount val="9"/>
                <c:pt idx="0">
                  <c:v>9.1685979142526075E-2</c:v>
                </c:pt>
                <c:pt idx="1">
                  <c:v>8.9719811286779264E-2</c:v>
                </c:pt>
                <c:pt idx="2">
                  <c:v>8.9024866553834139E-2</c:v>
                </c:pt>
                <c:pt idx="3">
                  <c:v>0.10043903566201956</c:v>
                </c:pt>
                <c:pt idx="4">
                  <c:v>0.11759290161462949</c:v>
                </c:pt>
                <c:pt idx="5">
                  <c:v>0.10694205475605981</c:v>
                </c:pt>
                <c:pt idx="6">
                  <c:v>0.13538336371717416</c:v>
                </c:pt>
                <c:pt idx="7">
                  <c:v>0.15118700992673448</c:v>
                </c:pt>
                <c:pt idx="8">
                  <c:v>0.14249320883546174</c:v>
                </c:pt>
              </c:numCache>
            </c:numRef>
          </c:val>
          <c:extLst>
            <c:ext xmlns:c16="http://schemas.microsoft.com/office/drawing/2014/chart" uri="{C3380CC4-5D6E-409C-BE32-E72D297353CC}">
              <c16:uniqueId val="{00000001-1EA6-479A-8D66-7ABA67ACF14C}"/>
            </c:ext>
          </c:extLst>
        </c:ser>
        <c:dLbls>
          <c:showLegendKey val="0"/>
          <c:showVal val="0"/>
          <c:showCatName val="0"/>
          <c:showSerName val="0"/>
          <c:showPercent val="0"/>
          <c:showBubbleSize val="0"/>
        </c:dLbls>
        <c:gapWidth val="150"/>
        <c:overlap val="100"/>
        <c:axId val="1012303983"/>
        <c:axId val="1012294415"/>
      </c:barChart>
      <c:catAx>
        <c:axId val="1012303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012294415"/>
        <c:crosses val="autoZero"/>
        <c:auto val="1"/>
        <c:lblAlgn val="ctr"/>
        <c:lblOffset val="100"/>
        <c:noMultiLvlLbl val="0"/>
      </c:catAx>
      <c:valAx>
        <c:axId val="1012294415"/>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012303983"/>
        <c:crosses val="autoZero"/>
        <c:crossBetween val="between"/>
        <c:majorUnit val="0.1"/>
      </c:valAx>
      <c:spPr>
        <a:solidFill>
          <a:schemeClr val="bg2"/>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'Diapositiva 8'!$C$2</c:f>
              <c:strCache>
                <c:ptCount val="1"/>
                <c:pt idx="0">
                  <c:v>No</c:v>
                </c:pt>
              </c:strCache>
            </c:strRef>
          </c:tx>
          <c:spPr>
            <a:solidFill>
              <a:schemeClr val="accent1"/>
            </a:solidFill>
            <a:ln>
              <a:noFill/>
            </a:ln>
            <a:effectLst/>
          </c:spPr>
          <c:invertIfNegative val="0"/>
          <c:dLbls>
            <c:numFmt formatCode="General\ \%" sourceLinked="0"/>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'Diapositiva 8'!$B$3:$B$9</c:f>
              <c:strCache>
                <c:ptCount val="7"/>
                <c:pt idx="0">
                  <c:v>Transporte por ferrocarril</c:v>
                </c:pt>
                <c:pt idx="1">
                  <c:v>Transporte colectivo foráneo
de pasajeros de ruta fija</c:v>
                </c:pt>
                <c:pt idx="2">
                  <c:v>Transporte aéreo regular en
líneas aéreas nacionales</c:v>
                </c:pt>
                <c:pt idx="3">
                  <c:v>Transporte marítimo de cabotaje,
excepto de petróleo y gas natural</c:v>
                </c:pt>
                <c:pt idx="4">
                  <c:v>Transporte colectivo urbano y suburbano
de pasajeros en autobuses de ruta fija</c:v>
                </c:pt>
                <c:pt idx="5">
                  <c:v>Autotransporte de carga</c:v>
                </c:pt>
                <c:pt idx="6">
                  <c:v>Transporte marítimo de altura,
excepto de petróleo y gas natural</c:v>
                </c:pt>
              </c:strCache>
            </c:strRef>
          </c:cat>
          <c:val>
            <c:numRef>
              <c:f>'Diapositiva 8'!$C$3:$C$9</c:f>
              <c:numCache>
                <c:formatCode>0.0</c:formatCode>
                <c:ptCount val="7"/>
                <c:pt idx="0">
                  <c:v>16.7</c:v>
                </c:pt>
                <c:pt idx="1">
                  <c:v>53.2</c:v>
                </c:pt>
                <c:pt idx="2">
                  <c:v>53.8</c:v>
                </c:pt>
                <c:pt idx="3">
                  <c:v>58.3</c:v>
                </c:pt>
                <c:pt idx="4">
                  <c:v>78.599999999999994</c:v>
                </c:pt>
                <c:pt idx="5">
                  <c:v>85.6</c:v>
                </c:pt>
                <c:pt idx="6">
                  <c:v>90.9</c:v>
                </c:pt>
              </c:numCache>
            </c:numRef>
          </c:val>
          <c:extLst>
            <c:ext xmlns:c16="http://schemas.microsoft.com/office/drawing/2014/chart" uri="{C3380CC4-5D6E-409C-BE32-E72D297353CC}">
              <c16:uniqueId val="{00000000-1433-4757-BBDF-5402C6BF4171}"/>
            </c:ext>
          </c:extLst>
        </c:ser>
        <c:ser>
          <c:idx val="1"/>
          <c:order val="1"/>
          <c:tx>
            <c:strRef>
              <c:f>'Diapositiva 8'!$D$2</c:f>
              <c:strCache>
                <c:ptCount val="1"/>
                <c:pt idx="0">
                  <c:v>Si</c:v>
                </c:pt>
              </c:strCache>
            </c:strRef>
          </c:tx>
          <c:spPr>
            <a:solidFill>
              <a:schemeClr val="accent1">
                <a:lumMod val="60000"/>
                <a:lumOff val="40000"/>
              </a:schemeClr>
            </a:solidFill>
            <a:ln>
              <a:noFill/>
            </a:ln>
            <a:effectLst/>
          </c:spPr>
          <c:invertIfNegative val="0"/>
          <c:dLbls>
            <c:numFmt formatCode="General\ \%" sourceLinked="0"/>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'Diapositiva 8'!$B$3:$B$9</c:f>
              <c:strCache>
                <c:ptCount val="7"/>
                <c:pt idx="0">
                  <c:v>Transporte por ferrocarril</c:v>
                </c:pt>
                <c:pt idx="1">
                  <c:v>Transporte colectivo foráneo
de pasajeros de ruta fija</c:v>
                </c:pt>
                <c:pt idx="2">
                  <c:v>Transporte aéreo regular en
líneas aéreas nacionales</c:v>
                </c:pt>
                <c:pt idx="3">
                  <c:v>Transporte marítimo de cabotaje,
excepto de petróleo y gas natural</c:v>
                </c:pt>
                <c:pt idx="4">
                  <c:v>Transporte colectivo urbano y suburbano
de pasajeros en autobuses de ruta fija</c:v>
                </c:pt>
                <c:pt idx="5">
                  <c:v>Autotransporte de carga</c:v>
                </c:pt>
                <c:pt idx="6">
                  <c:v>Transporte marítimo de altura,
excepto de petróleo y gas natural</c:v>
                </c:pt>
              </c:strCache>
            </c:strRef>
          </c:cat>
          <c:val>
            <c:numRef>
              <c:f>'Diapositiva 8'!$D$3:$D$9</c:f>
              <c:numCache>
                <c:formatCode>0.0</c:formatCode>
                <c:ptCount val="7"/>
                <c:pt idx="0">
                  <c:v>83.3</c:v>
                </c:pt>
                <c:pt idx="1">
                  <c:v>46.8</c:v>
                </c:pt>
                <c:pt idx="2">
                  <c:v>46.2</c:v>
                </c:pt>
                <c:pt idx="3">
                  <c:v>41.7</c:v>
                </c:pt>
                <c:pt idx="4">
                  <c:v>21.4</c:v>
                </c:pt>
                <c:pt idx="5">
                  <c:v>14.4</c:v>
                </c:pt>
                <c:pt idx="6">
                  <c:v>9.1</c:v>
                </c:pt>
              </c:numCache>
            </c:numRef>
          </c:val>
          <c:extLst>
            <c:ext xmlns:c16="http://schemas.microsoft.com/office/drawing/2014/chart" uri="{C3380CC4-5D6E-409C-BE32-E72D297353CC}">
              <c16:uniqueId val="{00000001-1433-4757-BBDF-5402C6BF4171}"/>
            </c:ext>
          </c:extLst>
        </c:ser>
        <c:dLbls>
          <c:showLegendKey val="0"/>
          <c:showVal val="0"/>
          <c:showCatName val="0"/>
          <c:showSerName val="0"/>
          <c:showPercent val="0"/>
          <c:showBubbleSize val="0"/>
        </c:dLbls>
        <c:gapWidth val="75"/>
        <c:overlap val="100"/>
        <c:axId val="1081590207"/>
        <c:axId val="1081607679"/>
      </c:barChart>
      <c:catAx>
        <c:axId val="1081590207"/>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081607679"/>
        <c:crosses val="autoZero"/>
        <c:auto val="1"/>
        <c:lblAlgn val="ctr"/>
        <c:lblOffset val="100"/>
        <c:noMultiLvlLbl val="0"/>
      </c:catAx>
      <c:valAx>
        <c:axId val="1081607679"/>
        <c:scaling>
          <c:orientation val="minMax"/>
          <c:max val="100"/>
        </c:scaling>
        <c:delete val="1"/>
        <c:axPos val="t"/>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1081590207"/>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1B9462F67A814B9ADABC6CCD64BD43" ma:contentTypeVersion="12" ma:contentTypeDescription="Create a new document." ma:contentTypeScope="" ma:versionID="609602cb33c240380aa422a04155cf5d">
  <xsd:schema xmlns:xsd="http://www.w3.org/2001/XMLSchema" xmlns:xs="http://www.w3.org/2001/XMLSchema" xmlns:p="http://schemas.microsoft.com/office/2006/metadata/properties" xmlns:ns3="051ffe8d-5ae6-47c8-9858-c90055853a52" xmlns:ns4="25f61794-254a-45d1-a7ee-97ac59663708" targetNamespace="http://schemas.microsoft.com/office/2006/metadata/properties" ma:root="true" ma:fieldsID="6a1b05bdbc0f517ee4396bf4f339855e" ns3:_="" ns4:_="">
    <xsd:import namespace="051ffe8d-5ae6-47c8-9858-c90055853a52"/>
    <xsd:import namespace="25f61794-254a-45d1-a7ee-97ac596637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ffe8d-5ae6-47c8-9858-c90055853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61794-254a-45d1-a7ee-97ac596637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73F48-6E8A-45CF-AAAF-1E0C9DE47882}">
  <ds:schemaRefs>
    <ds:schemaRef ds:uri="http://schemas.microsoft.com/sharepoint/v3/contenttype/forms"/>
  </ds:schemaRefs>
</ds:datastoreItem>
</file>

<file path=customXml/itemProps2.xml><?xml version="1.0" encoding="utf-8"?>
<ds:datastoreItem xmlns:ds="http://schemas.openxmlformats.org/officeDocument/2006/customXml" ds:itemID="{C5A8D44D-3475-4A05-8994-E1FF3D37D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ffe8d-5ae6-47c8-9858-c90055853a52"/>
    <ds:schemaRef ds:uri="25f61794-254a-45d1-a7ee-97ac59663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7C5A3-D620-4D8B-84E2-E849B17AF2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FBBDC3-B7E7-4044-BEA4-EDB96EAE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3204</Words>
  <Characters>17622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Comunicado de Prensa. Encuesta Anual de Transportes (EAT) 2021</vt:lpstr>
    </vt:vector>
  </TitlesOfParts>
  <Company>INEGI</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Encuesta Anual de Transportes (EAT) 2021</dc:title>
  <dc:subject/>
  <dc:creator>INEGI</dc:creator>
  <cp:keywords>PEA Ocupación Desocupación Subocupación</cp:keywords>
  <dc:description/>
  <cp:lastModifiedBy>GUILLEN MEDINA MOISES</cp:lastModifiedBy>
  <cp:revision>8</cp:revision>
  <cp:lastPrinted>2022-12-09T03:25:00Z</cp:lastPrinted>
  <dcterms:created xsi:type="dcterms:W3CDTF">2022-12-09T03:25:00Z</dcterms:created>
  <dcterms:modified xsi:type="dcterms:W3CDTF">2022-12-09T05:09:00Z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0x0101003C1B9462F67A814B9ADABC6CCD64BD43</vt:lpwstr>
  </property>
</Properties>
</file>