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6646C" w14:textId="77777777" w:rsidR="00972B98" w:rsidRDefault="00972B98" w:rsidP="0061358E">
      <w:pPr>
        <w:pStyle w:val="Profesin"/>
        <w:ind w:left="-567" w:right="-518"/>
        <w:outlineLvl w:val="0"/>
        <w:rPr>
          <w:rFonts w:ascii="Arial" w:hAnsi="Arial" w:cs="Arial"/>
          <w:sz w:val="24"/>
          <w:szCs w:val="24"/>
          <w:lang w:val="es-MX"/>
        </w:rPr>
      </w:pPr>
    </w:p>
    <w:p w14:paraId="7FEC0CB1" w14:textId="5EFF8035" w:rsidR="00CF4C57" w:rsidRDefault="0017241E" w:rsidP="0061358E">
      <w:pPr>
        <w:pStyle w:val="Profesin"/>
        <w:ind w:left="-567" w:right="-518"/>
        <w:outlineLvl w:val="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ESTUDIO DE CASO SOBRE LA ECONOMÍA SOCIAL</w:t>
      </w:r>
      <w:r w:rsidR="00CF4C57" w:rsidRPr="0085042C">
        <w:rPr>
          <w:rFonts w:ascii="Arial" w:hAnsi="Arial" w:cs="Arial"/>
          <w:sz w:val="24"/>
          <w:szCs w:val="24"/>
          <w:lang w:val="es-MX"/>
        </w:rPr>
        <w:t xml:space="preserve"> DE </w:t>
      </w:r>
      <w:r w:rsidR="00CF4C57">
        <w:rPr>
          <w:rFonts w:ascii="Arial" w:hAnsi="Arial" w:cs="Arial"/>
          <w:sz w:val="24"/>
          <w:szCs w:val="24"/>
          <w:lang w:val="es-MX"/>
        </w:rPr>
        <w:t xml:space="preserve">MÉXICO, </w:t>
      </w:r>
      <w:r w:rsidR="00CF4C57" w:rsidRPr="0085042C">
        <w:rPr>
          <w:rFonts w:ascii="Arial" w:hAnsi="Arial" w:cs="Arial"/>
          <w:sz w:val="24"/>
          <w:szCs w:val="24"/>
          <w:lang w:val="es-MX"/>
        </w:rPr>
        <w:t>20</w:t>
      </w:r>
      <w:r>
        <w:rPr>
          <w:rFonts w:ascii="Arial" w:hAnsi="Arial" w:cs="Arial"/>
          <w:sz w:val="24"/>
          <w:szCs w:val="24"/>
          <w:lang w:val="es-MX"/>
        </w:rPr>
        <w:t>13 Y 2018</w:t>
      </w:r>
    </w:p>
    <w:p w14:paraId="1B64ACBE" w14:textId="77777777" w:rsidR="00CF4C57" w:rsidRDefault="00CF4C57" w:rsidP="003B6674">
      <w:pPr>
        <w:pStyle w:val="Ttulo2"/>
        <w:tabs>
          <w:tab w:val="left" w:pos="1276"/>
        </w:tabs>
        <w:spacing w:before="0"/>
        <w:jc w:val="center"/>
        <w:rPr>
          <w:rFonts w:ascii="Arial" w:hAnsi="Arial" w:cs="Arial"/>
          <w:i w:val="0"/>
          <w:color w:val="000000"/>
        </w:rPr>
      </w:pPr>
    </w:p>
    <w:p w14:paraId="74AC7B53" w14:textId="37748313" w:rsidR="00CB5755" w:rsidRPr="00764778" w:rsidRDefault="000B2026" w:rsidP="001731C8">
      <w:pPr>
        <w:pStyle w:val="Textoindependiente"/>
        <w:numPr>
          <w:ilvl w:val="0"/>
          <w:numId w:val="4"/>
        </w:numPr>
        <w:ind w:left="142" w:right="-93" w:hanging="426"/>
        <w:rPr>
          <w:rFonts w:ascii="Arial" w:hAnsi="Arial" w:cs="Arial"/>
        </w:rPr>
      </w:pPr>
      <w:r>
        <w:rPr>
          <w:rFonts w:ascii="Arial" w:hAnsi="Arial" w:cs="Arial"/>
          <w:lang w:val="es-MX"/>
        </w:rPr>
        <w:t xml:space="preserve">El </w:t>
      </w:r>
      <w:r w:rsidR="00EB0FA6" w:rsidRPr="00AC52CC">
        <w:rPr>
          <w:rFonts w:ascii="Arial" w:hAnsi="Arial" w:cs="Arial"/>
          <w:lang w:val="es-MX"/>
        </w:rPr>
        <w:t>Instituto Nacional de Estadística y Geografía (INEGI) y el Instituto Nacional de la Economía Social (INAES)</w:t>
      </w:r>
      <w:r>
        <w:rPr>
          <w:rFonts w:ascii="Arial" w:hAnsi="Arial" w:cs="Arial"/>
          <w:lang w:val="es-MX"/>
        </w:rPr>
        <w:t xml:space="preserve"> desarrollaron el </w:t>
      </w:r>
      <w:r w:rsidRPr="000C0206">
        <w:rPr>
          <w:rFonts w:ascii="Arial" w:hAnsi="Arial" w:cs="Arial"/>
        </w:rPr>
        <w:t>«</w:t>
      </w:r>
      <w:r>
        <w:rPr>
          <w:rFonts w:ascii="Arial" w:hAnsi="Arial" w:cs="Arial"/>
          <w:lang w:val="es-MX"/>
        </w:rPr>
        <w:t xml:space="preserve">Estudio </w:t>
      </w:r>
      <w:r w:rsidR="00E770B7">
        <w:rPr>
          <w:rFonts w:ascii="Arial" w:hAnsi="Arial" w:cs="Arial"/>
          <w:lang w:val="es-MX"/>
        </w:rPr>
        <w:t xml:space="preserve">de </w:t>
      </w:r>
      <w:r>
        <w:rPr>
          <w:rFonts w:ascii="Arial" w:hAnsi="Arial" w:cs="Arial"/>
          <w:lang w:val="es-MX"/>
        </w:rPr>
        <w:t>caso sobre la economía social en México, 2013 y 2018</w:t>
      </w:r>
      <w:r w:rsidRPr="000C0206">
        <w:rPr>
          <w:rFonts w:ascii="Arial" w:hAnsi="Arial" w:cs="Arial"/>
        </w:rPr>
        <w:t>»</w:t>
      </w:r>
      <w:r w:rsidR="00CB5755" w:rsidRPr="00AC52CC">
        <w:rPr>
          <w:rFonts w:ascii="Arial" w:hAnsi="Arial" w:cs="Arial"/>
          <w:lang w:val="es-MX"/>
        </w:rPr>
        <w:t>.</w:t>
      </w:r>
    </w:p>
    <w:p w14:paraId="548E7CA4" w14:textId="3BB734B2" w:rsidR="003B6674" w:rsidRPr="00AC52CC" w:rsidRDefault="00F261E2">
      <w:pPr>
        <w:pStyle w:val="Textoindependiente"/>
        <w:numPr>
          <w:ilvl w:val="0"/>
          <w:numId w:val="4"/>
        </w:numPr>
        <w:ind w:left="142" w:right="-93" w:hanging="426"/>
        <w:rPr>
          <w:rFonts w:ascii="Arial" w:hAnsi="Arial" w:cs="Arial"/>
        </w:rPr>
      </w:pPr>
      <w:r w:rsidRPr="00AC52CC">
        <w:rPr>
          <w:rFonts w:ascii="Arial" w:hAnsi="Arial" w:cs="Arial"/>
        </w:rPr>
        <w:t>E</w:t>
      </w:r>
      <w:r w:rsidR="00CB5755" w:rsidRPr="00AC52CC">
        <w:rPr>
          <w:rFonts w:ascii="Arial" w:hAnsi="Arial" w:cs="Arial"/>
          <w:lang w:val="es-MX"/>
        </w:rPr>
        <w:t>n 2018, e</w:t>
      </w:r>
      <w:r w:rsidRPr="00AC52CC">
        <w:rPr>
          <w:rFonts w:ascii="Arial" w:hAnsi="Arial" w:cs="Arial"/>
        </w:rPr>
        <w:t xml:space="preserve">l PIB de la economía social </w:t>
      </w:r>
      <w:r w:rsidR="000A3F03" w:rsidRPr="00AC52CC">
        <w:rPr>
          <w:rFonts w:ascii="Arial" w:hAnsi="Arial" w:cs="Arial"/>
        </w:rPr>
        <w:t xml:space="preserve">alcanzó </w:t>
      </w:r>
      <w:r w:rsidR="00914BB4">
        <w:rPr>
          <w:rFonts w:ascii="Arial" w:hAnsi="Arial" w:cs="Arial"/>
          <w:lang w:val="es-MX"/>
        </w:rPr>
        <w:t xml:space="preserve">los </w:t>
      </w:r>
      <w:r w:rsidR="000A3F03" w:rsidRPr="00AC52CC">
        <w:rPr>
          <w:rFonts w:ascii="Arial" w:hAnsi="Arial" w:cs="Arial"/>
        </w:rPr>
        <w:t>354 706 millones de pesos</w:t>
      </w:r>
      <w:r w:rsidR="00914BB4">
        <w:rPr>
          <w:rFonts w:ascii="Arial" w:hAnsi="Arial" w:cs="Arial"/>
          <w:lang w:val="es-MX"/>
        </w:rPr>
        <w:t xml:space="preserve">. El monto </w:t>
      </w:r>
      <w:r w:rsidR="000A3F03" w:rsidRPr="00AC52CC">
        <w:rPr>
          <w:rFonts w:ascii="Arial" w:hAnsi="Arial" w:cs="Arial"/>
        </w:rPr>
        <w:t>equivale a 1.6</w:t>
      </w:r>
      <w:r w:rsidR="00CB5755" w:rsidRPr="00AC52CC">
        <w:rPr>
          <w:rFonts w:ascii="Arial" w:hAnsi="Arial" w:cs="Arial"/>
          <w:lang w:val="es-MX"/>
        </w:rPr>
        <w:t xml:space="preserve"> </w:t>
      </w:r>
      <w:r w:rsidR="000A3F03" w:rsidRPr="00AC52CC">
        <w:rPr>
          <w:rFonts w:ascii="Arial" w:hAnsi="Arial" w:cs="Arial"/>
        </w:rPr>
        <w:t xml:space="preserve">% del PIB </w:t>
      </w:r>
      <w:r w:rsidR="004B2923" w:rsidRPr="00AC52CC">
        <w:rPr>
          <w:rFonts w:ascii="Arial" w:hAnsi="Arial" w:cs="Arial"/>
        </w:rPr>
        <w:t>nacional</w:t>
      </w:r>
      <w:r w:rsidR="000A3F03" w:rsidRPr="00AC52CC">
        <w:rPr>
          <w:rFonts w:ascii="Arial" w:hAnsi="Arial" w:cs="Arial"/>
        </w:rPr>
        <w:t>.</w:t>
      </w:r>
    </w:p>
    <w:p w14:paraId="173BAE35" w14:textId="384EC1C2" w:rsidR="0069226B" w:rsidRDefault="00CB5755">
      <w:pPr>
        <w:pStyle w:val="Textoindependiente"/>
        <w:numPr>
          <w:ilvl w:val="0"/>
          <w:numId w:val="4"/>
        </w:numPr>
        <w:ind w:left="142" w:right="-93" w:hanging="426"/>
        <w:rPr>
          <w:rFonts w:ascii="Arial" w:hAnsi="Arial" w:cs="Arial"/>
          <w:lang w:val="es-MX"/>
        </w:rPr>
      </w:pPr>
      <w:bookmarkStart w:id="0" w:name="_Hlk117670313"/>
      <w:r w:rsidRPr="00AC52CC">
        <w:rPr>
          <w:rFonts w:ascii="Arial" w:hAnsi="Arial" w:cs="Arial"/>
          <w:lang w:val="es-MX"/>
        </w:rPr>
        <w:t>L</w:t>
      </w:r>
      <w:r w:rsidR="0069226B" w:rsidRPr="00AC52CC">
        <w:rPr>
          <w:rFonts w:ascii="Arial" w:hAnsi="Arial" w:cs="Arial"/>
        </w:rPr>
        <w:t xml:space="preserve">os </w:t>
      </w:r>
      <w:bookmarkStart w:id="1" w:name="_Hlk117675568"/>
      <w:r w:rsidR="0069226B" w:rsidRPr="00AC52CC">
        <w:rPr>
          <w:rFonts w:ascii="Arial" w:hAnsi="Arial" w:cs="Arial"/>
        </w:rPr>
        <w:t xml:space="preserve">puestos de trabajo </w:t>
      </w:r>
      <w:r w:rsidR="00327CBC" w:rsidRPr="00AC52CC">
        <w:rPr>
          <w:rFonts w:ascii="Arial" w:hAnsi="Arial" w:cs="Arial"/>
          <w:lang w:val="es-MX"/>
        </w:rPr>
        <w:t xml:space="preserve">ocupados </w:t>
      </w:r>
      <w:r w:rsidR="0069226B" w:rsidRPr="00AC52CC">
        <w:rPr>
          <w:rFonts w:ascii="Arial" w:hAnsi="Arial" w:cs="Arial"/>
        </w:rPr>
        <w:t xml:space="preserve">remunerados en la economía social </w:t>
      </w:r>
      <w:bookmarkEnd w:id="1"/>
      <w:r w:rsidR="00041EAE" w:rsidRPr="00AC52CC">
        <w:rPr>
          <w:rFonts w:ascii="Arial" w:hAnsi="Arial" w:cs="Arial"/>
          <w:lang w:val="es-MX"/>
        </w:rPr>
        <w:t>sumaron</w:t>
      </w:r>
      <w:r w:rsidR="001731C8">
        <w:rPr>
          <w:rFonts w:ascii="Arial" w:hAnsi="Arial" w:cs="Arial"/>
          <w:lang w:val="es-MX"/>
        </w:rPr>
        <w:t xml:space="preserve">          </w:t>
      </w:r>
      <w:r w:rsidR="005F4441" w:rsidRPr="00AC52CC">
        <w:rPr>
          <w:rFonts w:ascii="Arial" w:hAnsi="Arial" w:cs="Arial"/>
        </w:rPr>
        <w:t>1 7</w:t>
      </w:r>
      <w:r w:rsidR="00301A0F" w:rsidRPr="00AC52CC">
        <w:rPr>
          <w:rFonts w:ascii="Arial" w:hAnsi="Arial" w:cs="Arial"/>
          <w:lang w:val="es-MX"/>
        </w:rPr>
        <w:t>51</w:t>
      </w:r>
      <w:r w:rsidR="005F4441" w:rsidRPr="00AC52CC">
        <w:rPr>
          <w:rFonts w:ascii="Arial" w:hAnsi="Arial" w:cs="Arial"/>
        </w:rPr>
        <w:t xml:space="preserve"> </w:t>
      </w:r>
      <w:r w:rsidR="00301A0F" w:rsidRPr="00AC52CC">
        <w:rPr>
          <w:rFonts w:ascii="Arial" w:hAnsi="Arial" w:cs="Arial"/>
          <w:lang w:val="es-MX"/>
        </w:rPr>
        <w:t>69</w:t>
      </w:r>
      <w:r w:rsidR="00C523E4" w:rsidRPr="00AC52CC">
        <w:rPr>
          <w:rFonts w:ascii="Arial" w:hAnsi="Arial" w:cs="Arial"/>
          <w:lang w:val="es-MX"/>
        </w:rPr>
        <w:t>5</w:t>
      </w:r>
      <w:r w:rsidRPr="00AC52CC">
        <w:rPr>
          <w:rFonts w:ascii="Arial" w:hAnsi="Arial" w:cs="Arial"/>
          <w:lang w:val="es-MX"/>
        </w:rPr>
        <w:t xml:space="preserve">, </w:t>
      </w:r>
      <w:r w:rsidR="00A830A8">
        <w:rPr>
          <w:rFonts w:ascii="Arial" w:hAnsi="Arial" w:cs="Arial"/>
          <w:lang w:val="es-MX"/>
        </w:rPr>
        <w:t xml:space="preserve">lo que equivale </w:t>
      </w:r>
      <w:r w:rsidRPr="00AC52CC">
        <w:rPr>
          <w:rFonts w:ascii="Arial" w:hAnsi="Arial" w:cs="Arial"/>
          <w:lang w:val="es-MX"/>
        </w:rPr>
        <w:t xml:space="preserve">a 4.5 % del total en </w:t>
      </w:r>
      <w:r w:rsidR="0069226B" w:rsidRPr="00AC52CC">
        <w:rPr>
          <w:rFonts w:ascii="Arial" w:hAnsi="Arial" w:cs="Arial"/>
        </w:rPr>
        <w:t xml:space="preserve">la </w:t>
      </w:r>
      <w:r w:rsidR="0069226B" w:rsidRPr="00AC52CC">
        <w:rPr>
          <w:rFonts w:ascii="Arial" w:hAnsi="Arial" w:cs="Arial"/>
          <w:lang w:val="es-MX"/>
        </w:rPr>
        <w:t xml:space="preserve">economía </w:t>
      </w:r>
      <w:r w:rsidR="00041EAE" w:rsidRPr="00AC52CC">
        <w:rPr>
          <w:rFonts w:ascii="Arial" w:hAnsi="Arial" w:cs="Arial"/>
        </w:rPr>
        <w:t>nacional</w:t>
      </w:r>
      <w:r w:rsidRPr="00AC52CC">
        <w:rPr>
          <w:rFonts w:ascii="Arial" w:hAnsi="Arial" w:cs="Arial"/>
          <w:lang w:val="es-MX"/>
        </w:rPr>
        <w:t>.</w:t>
      </w:r>
    </w:p>
    <w:p w14:paraId="7FB07523" w14:textId="6EF407BF" w:rsidR="00B45E95" w:rsidRPr="00972B98" w:rsidRDefault="00B45E95">
      <w:pPr>
        <w:pStyle w:val="Textoindependiente"/>
        <w:numPr>
          <w:ilvl w:val="0"/>
          <w:numId w:val="4"/>
        </w:numPr>
        <w:ind w:left="142" w:right="-93" w:hanging="426"/>
        <w:rPr>
          <w:rFonts w:ascii="Arial" w:hAnsi="Arial" w:cs="Arial"/>
          <w:lang w:val="es-MX"/>
        </w:rPr>
      </w:pPr>
      <w:r w:rsidRPr="00972B98">
        <w:rPr>
          <w:rFonts w:ascii="Arial" w:hAnsi="Arial" w:cs="Arial"/>
          <w:lang w:val="es-MX"/>
        </w:rPr>
        <w:t xml:space="preserve">En 2018, por clasificación funcional, </w:t>
      </w:r>
      <w:r w:rsidR="008362F9" w:rsidRPr="00972B98">
        <w:rPr>
          <w:rFonts w:ascii="Arial" w:hAnsi="Arial" w:cs="Arial"/>
          <w:lang w:val="es-MX"/>
        </w:rPr>
        <w:t xml:space="preserve">los ejidos </w:t>
      </w:r>
      <w:r w:rsidR="008362F9">
        <w:rPr>
          <w:rFonts w:ascii="Arial" w:hAnsi="Arial" w:cs="Arial"/>
          <w:lang w:val="es-MX"/>
        </w:rPr>
        <w:t xml:space="preserve">aportaron </w:t>
      </w:r>
      <w:r w:rsidRPr="00972B98">
        <w:rPr>
          <w:rFonts w:ascii="Arial" w:hAnsi="Arial" w:cs="Arial"/>
          <w:lang w:val="es-MX"/>
        </w:rPr>
        <w:t xml:space="preserve">70.7 % del PIB </w:t>
      </w:r>
      <w:r w:rsidR="006F7321" w:rsidRPr="00972B98">
        <w:rPr>
          <w:rFonts w:ascii="Arial" w:hAnsi="Arial" w:cs="Arial"/>
          <w:lang w:val="es-MX"/>
        </w:rPr>
        <w:t>de la economía social</w:t>
      </w:r>
      <w:r w:rsidRPr="00972B98">
        <w:rPr>
          <w:rFonts w:ascii="Arial" w:hAnsi="Arial" w:cs="Arial"/>
          <w:lang w:val="es-MX"/>
        </w:rPr>
        <w:t>.</w:t>
      </w:r>
    </w:p>
    <w:bookmarkEnd w:id="0"/>
    <w:p w14:paraId="4141B784" w14:textId="77777777" w:rsidR="000A3F03" w:rsidRPr="00AC52CC" w:rsidRDefault="000A3F03">
      <w:pPr>
        <w:pStyle w:val="Textoindependiente"/>
        <w:ind w:right="191"/>
        <w:rPr>
          <w:rFonts w:ascii="Arial" w:hAnsi="Arial" w:cs="Arial"/>
          <w:lang w:val="es-MX"/>
        </w:rPr>
      </w:pPr>
    </w:p>
    <w:p w14:paraId="1BA2FAD4" w14:textId="1FF4BDDD" w:rsidR="00B23A30" w:rsidRDefault="00162B17">
      <w:pPr>
        <w:pStyle w:val="Textoindependiente"/>
        <w:ind w:left="-567" w:right="-518"/>
        <w:rPr>
          <w:rFonts w:ascii="Arial" w:hAnsi="Arial" w:cs="Arial"/>
          <w:lang w:val="es-MX"/>
        </w:rPr>
      </w:pPr>
      <w:r w:rsidRPr="00AC52CC">
        <w:rPr>
          <w:rFonts w:ascii="Arial" w:hAnsi="Arial" w:cs="Arial"/>
          <w:lang w:val="es-MX"/>
        </w:rPr>
        <w:t>El Instituto Nacional de Estadística y Geografía (INEGI)</w:t>
      </w:r>
      <w:r w:rsidR="000B2026">
        <w:rPr>
          <w:rFonts w:ascii="Arial" w:hAnsi="Arial" w:cs="Arial"/>
          <w:lang w:val="es-MX"/>
        </w:rPr>
        <w:t>,</w:t>
      </w:r>
      <w:r w:rsidRPr="00AC52CC">
        <w:rPr>
          <w:rFonts w:ascii="Arial" w:hAnsi="Arial" w:cs="Arial"/>
          <w:lang w:val="es-MX"/>
        </w:rPr>
        <w:t xml:space="preserve"> en colaboración con el Instituto Nacional de la Economía Social (INAES)</w:t>
      </w:r>
      <w:r w:rsidR="000B2026">
        <w:rPr>
          <w:rFonts w:ascii="Arial" w:hAnsi="Arial" w:cs="Arial"/>
          <w:lang w:val="es-MX"/>
        </w:rPr>
        <w:t>,</w:t>
      </w:r>
      <w:r w:rsidR="001731C8">
        <w:rPr>
          <w:rFonts w:ascii="Arial" w:hAnsi="Arial" w:cs="Arial"/>
          <w:lang w:val="es-MX"/>
        </w:rPr>
        <w:t xml:space="preserve"> da a conocer los resultados </w:t>
      </w:r>
      <w:r w:rsidR="00504A05">
        <w:rPr>
          <w:rFonts w:ascii="Arial" w:hAnsi="Arial" w:cs="Arial"/>
          <w:lang w:val="es-MX"/>
        </w:rPr>
        <w:t>del</w:t>
      </w:r>
      <w:r w:rsidR="00EB0FA6" w:rsidRPr="00AC52CC">
        <w:rPr>
          <w:rFonts w:ascii="Arial" w:hAnsi="Arial" w:cs="Arial"/>
        </w:rPr>
        <w:t xml:space="preserve"> </w:t>
      </w:r>
      <w:r w:rsidRPr="000C0206">
        <w:rPr>
          <w:rFonts w:ascii="Arial" w:hAnsi="Arial" w:cs="Arial"/>
        </w:rPr>
        <w:t>«</w:t>
      </w:r>
      <w:r w:rsidR="00EB0FA6" w:rsidRPr="00AC52CC">
        <w:rPr>
          <w:rFonts w:ascii="Arial" w:hAnsi="Arial" w:cs="Arial"/>
          <w:lang w:val="es-MX"/>
        </w:rPr>
        <w:t xml:space="preserve">Estudio </w:t>
      </w:r>
      <w:r w:rsidR="00EB0FA6" w:rsidRPr="00AC52CC">
        <w:rPr>
          <w:rFonts w:ascii="Arial" w:hAnsi="Arial" w:cs="Arial"/>
        </w:rPr>
        <w:t>de caso sobre la econom</w:t>
      </w:r>
      <w:r w:rsidR="00EB0FA6" w:rsidRPr="00AC52CC">
        <w:rPr>
          <w:rFonts w:ascii="Arial" w:hAnsi="Arial" w:cs="Arial"/>
          <w:lang w:val="es-MX"/>
        </w:rPr>
        <w:t>ía social de México, 2013 y 2018</w:t>
      </w:r>
      <w:r w:rsidRPr="007B2188">
        <w:rPr>
          <w:rFonts w:ascii="Arial" w:hAnsi="Arial" w:cs="Arial"/>
        </w:rPr>
        <w:t>»</w:t>
      </w:r>
      <w:r w:rsidR="00E47148" w:rsidRPr="007B2188">
        <w:rPr>
          <w:rFonts w:ascii="Arial" w:hAnsi="Arial" w:cs="Arial"/>
          <w:lang w:val="es-MX"/>
        </w:rPr>
        <w:t xml:space="preserve">, que forma parte del proyecto </w:t>
      </w:r>
      <w:r w:rsidR="008362F9">
        <w:rPr>
          <w:rFonts w:ascii="Arial" w:hAnsi="Arial" w:cs="Arial"/>
          <w:lang w:val="es-MX"/>
        </w:rPr>
        <w:t>«</w:t>
      </w:r>
      <w:r w:rsidR="00E47148" w:rsidRPr="007B2188">
        <w:rPr>
          <w:rFonts w:ascii="Arial" w:hAnsi="Arial" w:cs="Arial"/>
          <w:lang w:val="es-MX"/>
        </w:rPr>
        <w:t>Estudio de caso para la generación de la Cuenta Satélite de la Economía Social de México (CSESM)</w:t>
      </w:r>
      <w:r w:rsidR="008362F9">
        <w:rPr>
          <w:rFonts w:ascii="Arial" w:hAnsi="Arial" w:cs="Arial"/>
          <w:lang w:val="es-MX"/>
        </w:rPr>
        <w:t>»</w:t>
      </w:r>
      <w:r w:rsidR="006606A0" w:rsidRPr="007B2188">
        <w:rPr>
          <w:rFonts w:ascii="Arial" w:hAnsi="Arial" w:cs="Arial"/>
          <w:lang w:val="es-MX"/>
        </w:rPr>
        <w:t>.</w:t>
      </w:r>
      <w:r w:rsidR="00EB0FA6" w:rsidRPr="00AC52CC">
        <w:rPr>
          <w:rFonts w:ascii="Arial" w:hAnsi="Arial" w:cs="Arial"/>
          <w:lang w:val="es-MX"/>
        </w:rPr>
        <w:t xml:space="preserve"> </w:t>
      </w:r>
      <w:r w:rsidR="000B2026">
        <w:rPr>
          <w:rFonts w:ascii="Arial" w:hAnsi="Arial" w:cs="Arial"/>
          <w:lang w:val="es-MX"/>
        </w:rPr>
        <w:t xml:space="preserve">El objetivo de este programa experimental es </w:t>
      </w:r>
      <w:r w:rsidR="00B23A30" w:rsidRPr="00AC52CC">
        <w:rPr>
          <w:rFonts w:ascii="Arial" w:hAnsi="Arial" w:cs="Arial"/>
          <w:lang w:val="es-MX"/>
        </w:rPr>
        <w:t>proporcionar</w:t>
      </w:r>
      <w:r w:rsidR="000B2026">
        <w:rPr>
          <w:rFonts w:ascii="Arial" w:hAnsi="Arial" w:cs="Arial"/>
          <w:lang w:val="es-MX"/>
        </w:rPr>
        <w:t xml:space="preserve"> el</w:t>
      </w:r>
      <w:r w:rsidR="00B23A30" w:rsidRPr="00AC52CC">
        <w:rPr>
          <w:rFonts w:ascii="Arial" w:hAnsi="Arial" w:cs="Arial"/>
        </w:rPr>
        <w:t xml:space="preserve"> panorama de la participación </w:t>
      </w:r>
      <w:r w:rsidR="006F7321">
        <w:rPr>
          <w:rFonts w:ascii="Arial" w:hAnsi="Arial" w:cs="Arial"/>
          <w:lang w:val="es-MX"/>
        </w:rPr>
        <w:t>de la economía</w:t>
      </w:r>
      <w:r w:rsidR="007038CA">
        <w:rPr>
          <w:rFonts w:ascii="Arial" w:hAnsi="Arial" w:cs="Arial"/>
          <w:lang w:val="es-MX"/>
        </w:rPr>
        <w:t xml:space="preserve"> social</w:t>
      </w:r>
      <w:r w:rsidR="00B23A30" w:rsidRPr="00AC52CC">
        <w:rPr>
          <w:rFonts w:ascii="Arial" w:hAnsi="Arial" w:cs="Arial"/>
        </w:rPr>
        <w:t xml:space="preserve"> en el Producto </w:t>
      </w:r>
      <w:r w:rsidR="001731C8">
        <w:rPr>
          <w:rFonts w:ascii="Arial" w:hAnsi="Arial" w:cs="Arial"/>
          <w:lang w:val="es-MX"/>
        </w:rPr>
        <w:t>I</w:t>
      </w:r>
      <w:r w:rsidR="00B23A30" w:rsidRPr="00AC52CC">
        <w:rPr>
          <w:rFonts w:ascii="Arial" w:hAnsi="Arial" w:cs="Arial"/>
        </w:rPr>
        <w:t xml:space="preserve">nterno </w:t>
      </w:r>
      <w:r w:rsidR="001731C8">
        <w:rPr>
          <w:rFonts w:ascii="Arial" w:hAnsi="Arial" w:cs="Arial"/>
          <w:lang w:val="es-MX"/>
        </w:rPr>
        <w:t>B</w:t>
      </w:r>
      <w:r w:rsidR="00B23A30" w:rsidRPr="00AC52CC">
        <w:rPr>
          <w:rFonts w:ascii="Arial" w:hAnsi="Arial" w:cs="Arial"/>
        </w:rPr>
        <w:t xml:space="preserve">ruto </w:t>
      </w:r>
      <w:r w:rsidR="000B2026">
        <w:rPr>
          <w:rFonts w:ascii="Arial" w:hAnsi="Arial" w:cs="Arial"/>
          <w:lang w:val="es-MX"/>
        </w:rPr>
        <w:t xml:space="preserve">(PIB) </w:t>
      </w:r>
      <w:r w:rsidR="00B23A30" w:rsidRPr="00AC52CC">
        <w:rPr>
          <w:rFonts w:ascii="Arial" w:hAnsi="Arial" w:cs="Arial"/>
        </w:rPr>
        <w:t>del país</w:t>
      </w:r>
      <w:r w:rsidR="00A830A8">
        <w:rPr>
          <w:rFonts w:ascii="Arial" w:hAnsi="Arial" w:cs="Arial"/>
          <w:lang w:val="es-MX"/>
        </w:rPr>
        <w:t>,</w:t>
      </w:r>
      <w:r w:rsidR="008D580F">
        <w:rPr>
          <w:rFonts w:ascii="Arial" w:hAnsi="Arial" w:cs="Arial"/>
          <w:lang w:val="es-MX"/>
        </w:rPr>
        <w:t xml:space="preserve"> tanto </w:t>
      </w:r>
      <w:r w:rsidR="00B23A30" w:rsidRPr="00AC52CC">
        <w:rPr>
          <w:rFonts w:ascii="Arial" w:hAnsi="Arial" w:cs="Arial"/>
          <w:lang w:val="es-MX"/>
        </w:rPr>
        <w:t xml:space="preserve">en el </w:t>
      </w:r>
      <w:r w:rsidR="00B23A30" w:rsidRPr="00AC52CC">
        <w:rPr>
          <w:rFonts w:ascii="Arial" w:hAnsi="Arial" w:cs="Arial"/>
        </w:rPr>
        <w:t>empleo</w:t>
      </w:r>
      <w:r w:rsidR="006606A0">
        <w:rPr>
          <w:rFonts w:ascii="Arial" w:hAnsi="Arial" w:cs="Arial"/>
          <w:lang w:val="es-MX"/>
        </w:rPr>
        <w:t xml:space="preserve"> </w:t>
      </w:r>
      <w:r w:rsidR="008D580F">
        <w:rPr>
          <w:rFonts w:ascii="Arial" w:hAnsi="Arial" w:cs="Arial"/>
          <w:lang w:val="es-MX"/>
        </w:rPr>
        <w:t>como</w:t>
      </w:r>
      <w:r w:rsidR="006606A0">
        <w:rPr>
          <w:rFonts w:ascii="Arial" w:hAnsi="Arial" w:cs="Arial"/>
          <w:lang w:val="es-MX"/>
        </w:rPr>
        <w:t xml:space="preserve"> en</w:t>
      </w:r>
      <w:r w:rsidR="00B23A30" w:rsidRPr="00AC52CC">
        <w:rPr>
          <w:rFonts w:ascii="Arial" w:hAnsi="Arial" w:cs="Arial"/>
        </w:rPr>
        <w:t xml:space="preserve"> las relaciones de producción</w:t>
      </w:r>
      <w:r w:rsidR="00B23A30" w:rsidRPr="00AC52CC">
        <w:rPr>
          <w:rFonts w:ascii="Arial" w:hAnsi="Arial" w:cs="Arial"/>
          <w:lang w:val="es-MX"/>
        </w:rPr>
        <w:t>.</w:t>
      </w:r>
    </w:p>
    <w:p w14:paraId="76545A48" w14:textId="1D186EF3" w:rsidR="004B2923" w:rsidRDefault="004B2923">
      <w:pPr>
        <w:pStyle w:val="Textoindependiente"/>
        <w:ind w:left="-567" w:right="-518"/>
        <w:rPr>
          <w:rFonts w:ascii="Arial" w:hAnsi="Arial" w:cs="Arial"/>
        </w:rPr>
      </w:pPr>
    </w:p>
    <w:p w14:paraId="59F4F76B" w14:textId="7008E2E1" w:rsidR="002726FD" w:rsidRDefault="004B2923" w:rsidP="003A2799">
      <w:pPr>
        <w:pStyle w:val="Textoindependiente"/>
        <w:ind w:left="-567" w:right="-518"/>
        <w:rPr>
          <w:rFonts w:ascii="Arial" w:hAnsi="Arial" w:cs="Arial"/>
        </w:rPr>
      </w:pPr>
      <w:r w:rsidRPr="003A2799">
        <w:rPr>
          <w:rFonts w:ascii="Arial" w:hAnsi="Arial" w:cs="Arial"/>
        </w:rPr>
        <w:t>Las entidades de la economía social son organizaciones con autonomía</w:t>
      </w:r>
      <w:r w:rsidR="003A2799">
        <w:rPr>
          <w:rFonts w:ascii="Arial" w:hAnsi="Arial" w:cs="Arial"/>
          <w:lang w:val="es-MX"/>
        </w:rPr>
        <w:t xml:space="preserve">. En estas, sus integrantes </w:t>
      </w:r>
      <w:r w:rsidRPr="003A2799">
        <w:rPr>
          <w:rFonts w:ascii="Arial" w:hAnsi="Arial" w:cs="Arial"/>
        </w:rPr>
        <w:t>reúnen una doble condición de trabajadores y socios</w:t>
      </w:r>
      <w:r w:rsidR="003A2799">
        <w:rPr>
          <w:rFonts w:ascii="Arial" w:hAnsi="Arial" w:cs="Arial"/>
          <w:lang w:val="es-MX"/>
        </w:rPr>
        <w:t xml:space="preserve">. Su objetivo es </w:t>
      </w:r>
      <w:r w:rsidR="003A2799" w:rsidRPr="003A2799">
        <w:rPr>
          <w:rFonts w:ascii="Arial" w:hAnsi="Arial" w:cs="Arial"/>
        </w:rPr>
        <w:t>satisfacer</w:t>
      </w:r>
      <w:r w:rsidRPr="003A2799">
        <w:rPr>
          <w:rFonts w:ascii="Arial" w:hAnsi="Arial" w:cs="Arial"/>
        </w:rPr>
        <w:t xml:space="preserve"> las necesidades </w:t>
      </w:r>
      <w:r w:rsidR="00D40956">
        <w:rPr>
          <w:rFonts w:ascii="Arial" w:hAnsi="Arial" w:cs="Arial"/>
          <w:lang w:val="es-MX"/>
        </w:rPr>
        <w:t xml:space="preserve">de </w:t>
      </w:r>
      <w:r w:rsidR="008362F9">
        <w:rPr>
          <w:rFonts w:ascii="Arial" w:hAnsi="Arial" w:cs="Arial"/>
          <w:lang w:val="es-MX"/>
        </w:rPr>
        <w:t xml:space="preserve">esas y esos </w:t>
      </w:r>
      <w:r w:rsidRPr="003A2799">
        <w:rPr>
          <w:rFonts w:ascii="Arial" w:hAnsi="Arial" w:cs="Arial"/>
        </w:rPr>
        <w:t xml:space="preserve">integrantes y </w:t>
      </w:r>
      <w:r w:rsidR="008362F9">
        <w:rPr>
          <w:rFonts w:ascii="Arial" w:hAnsi="Arial" w:cs="Arial"/>
          <w:lang w:val="es-MX"/>
        </w:rPr>
        <w:t xml:space="preserve">de las </w:t>
      </w:r>
      <w:r w:rsidRPr="003A2799">
        <w:rPr>
          <w:rFonts w:ascii="Arial" w:hAnsi="Arial" w:cs="Arial"/>
        </w:rPr>
        <w:t>comunidades donde se desenvuelven.</w:t>
      </w:r>
    </w:p>
    <w:p w14:paraId="65C80F99" w14:textId="7F5A3B59" w:rsidR="000328E2" w:rsidRDefault="000328E2" w:rsidP="003A2799">
      <w:pPr>
        <w:pStyle w:val="Textoindependiente"/>
        <w:ind w:left="-567" w:right="-518"/>
        <w:rPr>
          <w:rFonts w:ascii="Arial" w:hAnsi="Arial" w:cs="Arial"/>
          <w:lang w:val="es-MX"/>
        </w:rPr>
      </w:pPr>
    </w:p>
    <w:p w14:paraId="54C6FC4A" w14:textId="77777777" w:rsidR="00FC4325" w:rsidRPr="00B362BC" w:rsidRDefault="00FC4325" w:rsidP="00FC4325">
      <w:pPr>
        <w:pStyle w:val="Textoindependiente"/>
        <w:ind w:left="-567" w:right="-518"/>
        <w:rPr>
          <w:rFonts w:ascii="Arial" w:hAnsi="Arial" w:cs="Arial"/>
          <w:lang w:val="es-MX"/>
        </w:rPr>
      </w:pPr>
      <w:r w:rsidRPr="00B362BC">
        <w:rPr>
          <w:rFonts w:ascii="Arial" w:hAnsi="Arial" w:cs="Arial"/>
          <w:lang w:val="es-MX"/>
        </w:rPr>
        <w:t>Para</w:t>
      </w:r>
      <w:r w:rsidRPr="00B362BC">
        <w:rPr>
          <w:rFonts w:ascii="Arial" w:hAnsi="Arial" w:cs="Arial"/>
        </w:rPr>
        <w:t xml:space="preserve"> realiza</w:t>
      </w:r>
      <w:r>
        <w:rPr>
          <w:rFonts w:ascii="Arial" w:hAnsi="Arial" w:cs="Arial"/>
          <w:lang w:val="es-MX"/>
        </w:rPr>
        <w:t>r</w:t>
      </w:r>
      <w:r w:rsidRPr="00B362BC">
        <w:rPr>
          <w:rFonts w:ascii="Arial" w:hAnsi="Arial" w:cs="Arial"/>
        </w:rPr>
        <w:t xml:space="preserve"> este estudio se contó con </w:t>
      </w:r>
      <w:r w:rsidRPr="00B362BC">
        <w:rPr>
          <w:rFonts w:ascii="Arial" w:hAnsi="Arial" w:cs="Arial"/>
          <w:lang w:val="es-MX"/>
        </w:rPr>
        <w:t xml:space="preserve">el apoyo económico adicional del </w:t>
      </w:r>
      <w:r w:rsidRPr="00B362BC">
        <w:rPr>
          <w:rFonts w:ascii="Arial" w:hAnsi="Arial" w:cs="Arial"/>
        </w:rPr>
        <w:t>Fondo Internacional de Desarrollo Agrícola</w:t>
      </w:r>
      <w:r>
        <w:rPr>
          <w:rFonts w:ascii="Arial" w:hAnsi="Arial" w:cs="Arial"/>
          <w:lang w:val="es-MX"/>
        </w:rPr>
        <w:t xml:space="preserve"> (FIDA)</w:t>
      </w:r>
      <w:r w:rsidRPr="00B362BC">
        <w:rPr>
          <w:rFonts w:ascii="Arial" w:hAnsi="Arial" w:cs="Arial"/>
          <w:lang w:val="es-MX"/>
        </w:rPr>
        <w:t xml:space="preserve">, a través </w:t>
      </w:r>
      <w:r w:rsidRPr="00B362BC">
        <w:rPr>
          <w:rFonts w:ascii="Arial" w:hAnsi="Arial" w:cs="Arial"/>
        </w:rPr>
        <w:t>de la Comisión Económica para América Latina y el Caribe</w:t>
      </w:r>
      <w:r>
        <w:rPr>
          <w:rFonts w:ascii="Arial" w:hAnsi="Arial" w:cs="Arial"/>
          <w:lang w:val="es-MX"/>
        </w:rPr>
        <w:t xml:space="preserve"> (CEPAL)</w:t>
      </w:r>
      <w:r w:rsidRPr="00B362BC">
        <w:rPr>
          <w:rFonts w:ascii="Arial" w:hAnsi="Arial" w:cs="Arial"/>
        </w:rPr>
        <w:t>.</w:t>
      </w:r>
      <w:r w:rsidRPr="00B362BC">
        <w:rPr>
          <w:rFonts w:ascii="Arial" w:hAnsi="Arial" w:cs="Arial"/>
          <w:lang w:val="es-MX"/>
        </w:rPr>
        <w:t xml:space="preserve"> </w:t>
      </w:r>
    </w:p>
    <w:p w14:paraId="03BC9953" w14:textId="4C3E3416" w:rsidR="000328E2" w:rsidRPr="000328E2" w:rsidRDefault="000328E2" w:rsidP="00FC4325">
      <w:pPr>
        <w:pStyle w:val="Textoindependiente"/>
        <w:ind w:left="-567" w:right="-518"/>
        <w:rPr>
          <w:rFonts w:ascii="Arial" w:hAnsi="Arial" w:cs="Arial"/>
          <w:lang w:val="es-MX"/>
        </w:rPr>
      </w:pPr>
    </w:p>
    <w:p w14:paraId="095721DC" w14:textId="77777777" w:rsidR="00092D94" w:rsidRDefault="00092D94" w:rsidP="001731C8">
      <w:pPr>
        <w:pStyle w:val="Textoindependiente"/>
        <w:ind w:left="-567" w:right="-518"/>
        <w:rPr>
          <w:rFonts w:ascii="Arial Negrita" w:hAnsi="Arial Negrita" w:cs="Arial"/>
          <w:b/>
          <w:smallCaps/>
          <w:lang w:val="es-MX"/>
        </w:rPr>
      </w:pPr>
    </w:p>
    <w:p w14:paraId="1E645C23" w14:textId="22F76E81" w:rsidR="00904586" w:rsidRPr="00AC52CC" w:rsidRDefault="00CB46E4" w:rsidP="001731C8">
      <w:pPr>
        <w:pStyle w:val="Textoindependiente"/>
        <w:ind w:left="-567" w:right="-518"/>
        <w:rPr>
          <w:rFonts w:ascii="Arial Negrita" w:hAnsi="Arial Negrita" w:cs="Arial"/>
          <w:b/>
          <w:smallCaps/>
          <w:lang w:val="es-MX"/>
        </w:rPr>
      </w:pPr>
      <w:r>
        <w:rPr>
          <w:rFonts w:ascii="Arial Negrita" w:hAnsi="Arial Negrita" w:cs="Arial"/>
          <w:b/>
          <w:smallCaps/>
          <w:lang w:val="es-MX"/>
        </w:rPr>
        <w:t>P</w:t>
      </w:r>
      <w:r w:rsidRPr="000C0206">
        <w:rPr>
          <w:rFonts w:ascii="Arial Negrita" w:hAnsi="Arial Negrita" w:cs="Arial"/>
          <w:b/>
          <w:smallCaps/>
          <w:lang w:val="es-MX"/>
        </w:rPr>
        <w:t>rincipales resultados</w:t>
      </w:r>
    </w:p>
    <w:p w14:paraId="3126170D" w14:textId="77777777" w:rsidR="0069226B" w:rsidRPr="000C0206" w:rsidRDefault="0069226B" w:rsidP="000C0206">
      <w:pPr>
        <w:pStyle w:val="Textoindependiente"/>
        <w:ind w:left="-567" w:right="-518"/>
        <w:rPr>
          <w:rFonts w:ascii="Arial" w:hAnsi="Arial" w:cs="Arial"/>
        </w:rPr>
      </w:pPr>
    </w:p>
    <w:p w14:paraId="13E303B4" w14:textId="39285EC5" w:rsidR="00AF25D7" w:rsidRPr="000C0206" w:rsidRDefault="00AF25D7" w:rsidP="000C0206">
      <w:pPr>
        <w:pStyle w:val="Textoindependiente"/>
        <w:ind w:left="-567" w:right="-518"/>
        <w:rPr>
          <w:rFonts w:ascii="Arial" w:hAnsi="Arial" w:cs="Arial"/>
        </w:rPr>
      </w:pPr>
      <w:r w:rsidRPr="000C0206">
        <w:rPr>
          <w:rFonts w:ascii="Arial" w:hAnsi="Arial" w:cs="Arial"/>
        </w:rPr>
        <w:t>E</w:t>
      </w:r>
      <w:r w:rsidR="00CB46E4">
        <w:rPr>
          <w:rFonts w:ascii="Arial" w:hAnsi="Arial" w:cs="Arial"/>
          <w:lang w:val="es-MX"/>
        </w:rPr>
        <w:t>n 2018, e</w:t>
      </w:r>
      <w:r w:rsidRPr="000C0206">
        <w:rPr>
          <w:rFonts w:ascii="Arial" w:hAnsi="Arial" w:cs="Arial"/>
        </w:rPr>
        <w:t>l PIB</w:t>
      </w:r>
      <w:r w:rsidR="00561133" w:rsidRPr="000C0206">
        <w:rPr>
          <w:rStyle w:val="Refdenotaalpie"/>
          <w:rFonts w:ascii="Arial" w:hAnsi="Arial" w:cs="Arial"/>
        </w:rPr>
        <w:footnoteReference w:id="2"/>
      </w:r>
      <w:r w:rsidRPr="000C0206">
        <w:rPr>
          <w:rFonts w:ascii="Arial" w:hAnsi="Arial" w:cs="Arial"/>
        </w:rPr>
        <w:t xml:space="preserve"> de la economía social</w:t>
      </w:r>
      <w:r w:rsidR="00CB46E4">
        <w:rPr>
          <w:rFonts w:ascii="Arial" w:hAnsi="Arial" w:cs="Arial"/>
          <w:lang w:val="es-MX"/>
        </w:rPr>
        <w:t xml:space="preserve"> </w:t>
      </w:r>
      <w:r w:rsidRPr="001731C8">
        <w:rPr>
          <w:rFonts w:ascii="Arial" w:hAnsi="Arial" w:cs="Arial"/>
        </w:rPr>
        <w:t xml:space="preserve">alcanzó un monto de 354 706 millones de pesos en valores corrientes, </w:t>
      </w:r>
      <w:r w:rsidR="008D580F">
        <w:rPr>
          <w:rFonts w:ascii="Arial" w:hAnsi="Arial" w:cs="Arial"/>
          <w:lang w:val="es-MX"/>
        </w:rPr>
        <w:t xml:space="preserve">lo </w:t>
      </w:r>
      <w:r w:rsidRPr="001731C8">
        <w:rPr>
          <w:rFonts w:ascii="Arial" w:hAnsi="Arial" w:cs="Arial"/>
        </w:rPr>
        <w:t>que equivale a 1.6</w:t>
      </w:r>
      <w:r w:rsidR="00CB46E4">
        <w:rPr>
          <w:rFonts w:ascii="Arial" w:hAnsi="Arial" w:cs="Arial"/>
          <w:lang w:val="es-MX"/>
        </w:rPr>
        <w:t xml:space="preserve"> </w:t>
      </w:r>
      <w:r w:rsidRPr="000C0206">
        <w:rPr>
          <w:rFonts w:ascii="Arial" w:hAnsi="Arial" w:cs="Arial"/>
        </w:rPr>
        <w:t xml:space="preserve">% del PIB </w:t>
      </w:r>
      <w:r w:rsidR="004B2923" w:rsidRPr="000C0206">
        <w:rPr>
          <w:rFonts w:ascii="Arial" w:hAnsi="Arial" w:cs="Arial"/>
        </w:rPr>
        <w:t>nacional</w:t>
      </w:r>
      <w:r w:rsidR="008D580F">
        <w:rPr>
          <w:rFonts w:ascii="Arial" w:hAnsi="Arial" w:cs="Arial"/>
          <w:lang w:val="es-MX"/>
        </w:rPr>
        <w:t>.</w:t>
      </w:r>
      <w:r w:rsidRPr="000C0206">
        <w:rPr>
          <w:rFonts w:ascii="Arial" w:hAnsi="Arial" w:cs="Arial"/>
        </w:rPr>
        <w:t xml:space="preserve"> </w:t>
      </w:r>
      <w:r w:rsidR="00CB46E4">
        <w:rPr>
          <w:rFonts w:ascii="Arial" w:hAnsi="Arial" w:cs="Arial"/>
          <w:lang w:val="es-MX"/>
        </w:rPr>
        <w:t>Al desagregar</w:t>
      </w:r>
      <w:r w:rsidR="00CB46E4" w:rsidRPr="000C0206">
        <w:rPr>
          <w:rFonts w:ascii="Arial" w:hAnsi="Arial" w:cs="Arial"/>
        </w:rPr>
        <w:t xml:space="preserve"> </w:t>
      </w:r>
      <w:r w:rsidRPr="000C0206">
        <w:rPr>
          <w:rFonts w:ascii="Arial" w:hAnsi="Arial" w:cs="Arial"/>
        </w:rPr>
        <w:t xml:space="preserve">por </w:t>
      </w:r>
      <w:r w:rsidR="00554F5B">
        <w:rPr>
          <w:rFonts w:ascii="Arial" w:hAnsi="Arial" w:cs="Arial"/>
          <w:lang w:val="es-MX"/>
        </w:rPr>
        <w:t xml:space="preserve">los </w:t>
      </w:r>
      <w:r w:rsidRPr="000C0206">
        <w:rPr>
          <w:rFonts w:ascii="Arial" w:hAnsi="Arial" w:cs="Arial"/>
        </w:rPr>
        <w:t xml:space="preserve">sectores </w:t>
      </w:r>
      <w:r w:rsidR="00554F5B">
        <w:rPr>
          <w:rFonts w:ascii="Arial" w:hAnsi="Arial" w:cs="Arial"/>
          <w:lang w:val="es-MX"/>
        </w:rPr>
        <w:t xml:space="preserve">que </w:t>
      </w:r>
      <w:r w:rsidR="00CB46E4">
        <w:rPr>
          <w:rFonts w:ascii="Arial" w:hAnsi="Arial" w:cs="Arial"/>
          <w:lang w:val="es-MX"/>
        </w:rPr>
        <w:t xml:space="preserve">considera </w:t>
      </w:r>
      <w:r w:rsidRPr="000C0206">
        <w:rPr>
          <w:rFonts w:ascii="Arial" w:hAnsi="Arial" w:cs="Arial"/>
        </w:rPr>
        <w:t>el S</w:t>
      </w:r>
      <w:r w:rsidR="00CB46E4">
        <w:rPr>
          <w:rFonts w:ascii="Arial" w:hAnsi="Arial" w:cs="Arial"/>
          <w:lang w:val="es-MX"/>
        </w:rPr>
        <w:t>istema de Clasificación Industrial de América del Norte (S</w:t>
      </w:r>
      <w:r w:rsidRPr="000C0206">
        <w:rPr>
          <w:rFonts w:ascii="Arial" w:hAnsi="Arial" w:cs="Arial"/>
        </w:rPr>
        <w:t>CIAN</w:t>
      </w:r>
      <w:r w:rsidR="00CB46E4">
        <w:rPr>
          <w:rFonts w:ascii="Arial" w:hAnsi="Arial" w:cs="Arial"/>
          <w:lang w:val="es-MX"/>
        </w:rPr>
        <w:t>)</w:t>
      </w:r>
      <w:r w:rsidRPr="000C0206">
        <w:rPr>
          <w:rFonts w:ascii="Arial" w:hAnsi="Arial" w:cs="Arial"/>
        </w:rPr>
        <w:t xml:space="preserve">, </w:t>
      </w:r>
      <w:r w:rsidR="00554F5B">
        <w:rPr>
          <w:rFonts w:ascii="Arial" w:hAnsi="Arial" w:cs="Arial"/>
          <w:lang w:val="es-MX"/>
        </w:rPr>
        <w:t xml:space="preserve">las actividades primarias </w:t>
      </w:r>
      <w:r w:rsidRPr="000C0206">
        <w:rPr>
          <w:rFonts w:ascii="Arial" w:hAnsi="Arial" w:cs="Arial"/>
        </w:rPr>
        <w:t>contribuy</w:t>
      </w:r>
      <w:r w:rsidR="00554F5B">
        <w:rPr>
          <w:rFonts w:ascii="Arial" w:hAnsi="Arial" w:cs="Arial"/>
          <w:lang w:val="es-MX"/>
        </w:rPr>
        <w:t>eron</w:t>
      </w:r>
      <w:r w:rsidRPr="000C0206">
        <w:rPr>
          <w:rFonts w:ascii="Arial" w:hAnsi="Arial" w:cs="Arial"/>
        </w:rPr>
        <w:t xml:space="preserve"> con</w:t>
      </w:r>
      <w:r w:rsidR="00CB46E4">
        <w:rPr>
          <w:rFonts w:ascii="Arial" w:hAnsi="Arial" w:cs="Arial"/>
          <w:lang w:val="es-MX"/>
        </w:rPr>
        <w:t xml:space="preserve"> </w:t>
      </w:r>
      <w:r w:rsidRPr="000C0206">
        <w:rPr>
          <w:rFonts w:ascii="Arial" w:hAnsi="Arial" w:cs="Arial"/>
        </w:rPr>
        <w:t>1.2</w:t>
      </w:r>
      <w:r w:rsidR="00CF2A66" w:rsidRPr="001731C8">
        <w:rPr>
          <w:rFonts w:ascii="Arial" w:hAnsi="Arial" w:cs="Arial"/>
          <w:lang w:val="es-MX"/>
        </w:rPr>
        <w:t>3</w:t>
      </w:r>
      <w:r w:rsidR="00CB46E4">
        <w:rPr>
          <w:rFonts w:ascii="Arial" w:hAnsi="Arial" w:cs="Arial"/>
          <w:lang w:val="es-MX"/>
        </w:rPr>
        <w:t xml:space="preserve"> </w:t>
      </w:r>
      <w:r w:rsidRPr="000C0206">
        <w:rPr>
          <w:rFonts w:ascii="Arial" w:hAnsi="Arial" w:cs="Arial"/>
        </w:rPr>
        <w:t>%</w:t>
      </w:r>
      <w:r w:rsidR="008D580F">
        <w:rPr>
          <w:rFonts w:ascii="Arial" w:hAnsi="Arial" w:cs="Arial"/>
          <w:lang w:val="es-MX"/>
        </w:rPr>
        <w:t>;</w:t>
      </w:r>
      <w:r w:rsidRPr="000C0206">
        <w:rPr>
          <w:rFonts w:ascii="Arial" w:hAnsi="Arial" w:cs="Arial"/>
        </w:rPr>
        <w:t xml:space="preserve"> los servicios financieros</w:t>
      </w:r>
      <w:r w:rsidR="008D580F">
        <w:rPr>
          <w:rFonts w:ascii="Arial" w:hAnsi="Arial" w:cs="Arial"/>
          <w:lang w:val="es-MX"/>
        </w:rPr>
        <w:t>,</w:t>
      </w:r>
      <w:r w:rsidRPr="000C0206">
        <w:rPr>
          <w:rFonts w:ascii="Arial" w:hAnsi="Arial" w:cs="Arial"/>
        </w:rPr>
        <w:t xml:space="preserve"> </w:t>
      </w:r>
      <w:r w:rsidR="00CB46E4">
        <w:rPr>
          <w:rFonts w:ascii="Arial" w:hAnsi="Arial" w:cs="Arial"/>
          <w:lang w:val="es-MX"/>
        </w:rPr>
        <w:t xml:space="preserve">con </w:t>
      </w:r>
      <w:r w:rsidRPr="000C0206">
        <w:rPr>
          <w:rFonts w:ascii="Arial" w:hAnsi="Arial" w:cs="Arial"/>
        </w:rPr>
        <w:t>0.26</w:t>
      </w:r>
      <w:r w:rsidR="00CB46E4">
        <w:rPr>
          <w:rFonts w:ascii="Arial" w:hAnsi="Arial" w:cs="Arial"/>
          <w:lang w:val="es-MX"/>
        </w:rPr>
        <w:t xml:space="preserve"> </w:t>
      </w:r>
      <w:r w:rsidRPr="000C0206">
        <w:rPr>
          <w:rFonts w:ascii="Arial" w:hAnsi="Arial" w:cs="Arial"/>
        </w:rPr>
        <w:t>%</w:t>
      </w:r>
      <w:r w:rsidR="008D580F">
        <w:rPr>
          <w:rFonts w:ascii="Arial" w:hAnsi="Arial" w:cs="Arial"/>
          <w:lang w:val="es-MX"/>
        </w:rPr>
        <w:t>;</w:t>
      </w:r>
      <w:r w:rsidRPr="000C0206">
        <w:rPr>
          <w:rFonts w:ascii="Arial" w:hAnsi="Arial" w:cs="Arial"/>
        </w:rPr>
        <w:t xml:space="preserve"> la industria </w:t>
      </w:r>
      <w:r w:rsidRPr="001731C8">
        <w:rPr>
          <w:rFonts w:ascii="Arial" w:hAnsi="Arial" w:cs="Arial"/>
        </w:rPr>
        <w:t>manufacturera participó con 0.04</w:t>
      </w:r>
      <w:r w:rsidR="00CB46E4">
        <w:rPr>
          <w:rFonts w:ascii="Arial" w:hAnsi="Arial" w:cs="Arial"/>
          <w:lang w:val="es-MX"/>
        </w:rPr>
        <w:t xml:space="preserve"> </w:t>
      </w:r>
      <w:r w:rsidRPr="000C0206">
        <w:rPr>
          <w:rFonts w:ascii="Arial" w:hAnsi="Arial" w:cs="Arial"/>
        </w:rPr>
        <w:t>%</w:t>
      </w:r>
      <w:r w:rsidR="008D580F">
        <w:rPr>
          <w:rFonts w:ascii="Arial" w:hAnsi="Arial" w:cs="Arial"/>
          <w:lang w:val="es-MX"/>
        </w:rPr>
        <w:t>;</w:t>
      </w:r>
      <w:r w:rsidRPr="000C0206">
        <w:rPr>
          <w:rFonts w:ascii="Arial" w:hAnsi="Arial" w:cs="Arial"/>
        </w:rPr>
        <w:t xml:space="preserve"> el comercio</w:t>
      </w:r>
      <w:r w:rsidR="008D580F">
        <w:rPr>
          <w:rFonts w:ascii="Arial" w:hAnsi="Arial" w:cs="Arial"/>
          <w:lang w:val="es-MX"/>
        </w:rPr>
        <w:t>,</w:t>
      </w:r>
      <w:r w:rsidR="00CB46E4">
        <w:rPr>
          <w:rFonts w:ascii="Arial" w:hAnsi="Arial" w:cs="Arial"/>
          <w:lang w:val="es-MX"/>
        </w:rPr>
        <w:t xml:space="preserve"> con 0.02 %</w:t>
      </w:r>
      <w:r w:rsidR="008D580F">
        <w:rPr>
          <w:rFonts w:ascii="Arial" w:hAnsi="Arial" w:cs="Arial"/>
          <w:lang w:val="es-MX"/>
        </w:rPr>
        <w:t>;</w:t>
      </w:r>
      <w:r w:rsidRPr="000C0206">
        <w:rPr>
          <w:rFonts w:ascii="Arial" w:hAnsi="Arial" w:cs="Arial"/>
        </w:rPr>
        <w:t xml:space="preserve"> </w:t>
      </w:r>
      <w:r w:rsidR="000432D7" w:rsidRPr="000C0206">
        <w:rPr>
          <w:rFonts w:ascii="Arial" w:hAnsi="Arial" w:cs="Arial"/>
          <w:lang w:val="es-MX"/>
        </w:rPr>
        <w:t xml:space="preserve">el </w:t>
      </w:r>
      <w:r w:rsidRPr="000C0206">
        <w:rPr>
          <w:rFonts w:ascii="Arial" w:hAnsi="Arial" w:cs="Arial"/>
        </w:rPr>
        <w:t>transporte</w:t>
      </w:r>
      <w:r w:rsidR="008D580F">
        <w:rPr>
          <w:rFonts w:ascii="Arial" w:hAnsi="Arial" w:cs="Arial"/>
          <w:lang w:val="es-MX"/>
        </w:rPr>
        <w:t>,</w:t>
      </w:r>
      <w:r w:rsidR="00CB46E4">
        <w:rPr>
          <w:rFonts w:ascii="Arial" w:hAnsi="Arial" w:cs="Arial"/>
          <w:lang w:val="es-MX"/>
        </w:rPr>
        <w:t xml:space="preserve"> con</w:t>
      </w:r>
      <w:r w:rsidR="008D580F">
        <w:rPr>
          <w:rFonts w:ascii="Arial" w:hAnsi="Arial" w:cs="Arial"/>
          <w:lang w:val="es-MX"/>
        </w:rPr>
        <w:t xml:space="preserve">    </w:t>
      </w:r>
      <w:r w:rsidRPr="001731C8">
        <w:rPr>
          <w:rFonts w:ascii="Arial" w:hAnsi="Arial" w:cs="Arial"/>
        </w:rPr>
        <w:t xml:space="preserve"> 0.0</w:t>
      </w:r>
      <w:r w:rsidRPr="001731C8">
        <w:rPr>
          <w:rFonts w:ascii="Arial" w:hAnsi="Arial" w:cs="Arial"/>
          <w:lang w:val="es-MX"/>
        </w:rPr>
        <w:t>2</w:t>
      </w:r>
      <w:r w:rsidR="00CB46E4">
        <w:rPr>
          <w:rFonts w:ascii="Arial" w:hAnsi="Arial" w:cs="Arial"/>
          <w:lang w:val="es-MX"/>
        </w:rPr>
        <w:t xml:space="preserve"> </w:t>
      </w:r>
      <w:r w:rsidRPr="000C0206">
        <w:rPr>
          <w:rFonts w:ascii="Arial" w:hAnsi="Arial" w:cs="Arial"/>
        </w:rPr>
        <w:t>%</w:t>
      </w:r>
      <w:r w:rsidR="00CB46E4">
        <w:rPr>
          <w:rFonts w:ascii="Arial" w:hAnsi="Arial" w:cs="Arial"/>
          <w:lang w:val="es-MX"/>
        </w:rPr>
        <w:t xml:space="preserve"> </w:t>
      </w:r>
      <w:r w:rsidRPr="001731C8">
        <w:rPr>
          <w:rFonts w:ascii="Arial" w:hAnsi="Arial" w:cs="Arial"/>
        </w:rPr>
        <w:t>y</w:t>
      </w:r>
      <w:r w:rsidRPr="001731C8">
        <w:rPr>
          <w:rFonts w:ascii="Arial" w:hAnsi="Arial" w:cs="Arial"/>
          <w:spacing w:val="-2"/>
        </w:rPr>
        <w:t xml:space="preserve"> el restante 0.0</w:t>
      </w:r>
      <w:r w:rsidRPr="001731C8">
        <w:rPr>
          <w:rFonts w:ascii="Arial" w:hAnsi="Arial" w:cs="Arial"/>
          <w:spacing w:val="-2"/>
          <w:lang w:val="es-MX"/>
        </w:rPr>
        <w:t>3</w:t>
      </w:r>
      <w:r w:rsidR="00CB46E4">
        <w:rPr>
          <w:rFonts w:ascii="Arial" w:hAnsi="Arial" w:cs="Arial"/>
          <w:spacing w:val="-2"/>
          <w:lang w:val="es-MX"/>
        </w:rPr>
        <w:t xml:space="preserve"> </w:t>
      </w:r>
      <w:r w:rsidRPr="000C0206">
        <w:rPr>
          <w:rFonts w:ascii="Arial" w:hAnsi="Arial" w:cs="Arial"/>
          <w:spacing w:val="-2"/>
        </w:rPr>
        <w:t xml:space="preserve">% correspondió </w:t>
      </w:r>
      <w:r w:rsidRPr="001731C8">
        <w:rPr>
          <w:rFonts w:ascii="Arial" w:hAnsi="Arial" w:cs="Arial"/>
          <w:spacing w:val="-2"/>
        </w:rPr>
        <w:t>a otros sectores</w:t>
      </w:r>
      <w:r w:rsidR="003A2799">
        <w:rPr>
          <w:rFonts w:ascii="Arial" w:hAnsi="Arial" w:cs="Arial"/>
          <w:spacing w:val="-2"/>
          <w:lang w:val="es-MX"/>
        </w:rPr>
        <w:t>,</w:t>
      </w:r>
      <w:r w:rsidR="000432D7" w:rsidRPr="001731C8">
        <w:rPr>
          <w:rFonts w:ascii="Arial" w:hAnsi="Arial" w:cs="Arial"/>
          <w:spacing w:val="-2"/>
          <w:lang w:val="es-MX"/>
        </w:rPr>
        <w:t xml:space="preserve"> tales como </w:t>
      </w:r>
      <w:r w:rsidR="008D580F">
        <w:rPr>
          <w:rFonts w:ascii="Arial" w:hAnsi="Arial" w:cs="Arial"/>
          <w:spacing w:val="-2"/>
          <w:lang w:val="es-MX"/>
        </w:rPr>
        <w:t xml:space="preserve">el de </w:t>
      </w:r>
      <w:r w:rsidR="00CB46E4">
        <w:rPr>
          <w:rFonts w:ascii="Arial" w:hAnsi="Arial" w:cs="Arial"/>
          <w:spacing w:val="-2"/>
          <w:lang w:val="es-MX"/>
        </w:rPr>
        <w:t>m</w:t>
      </w:r>
      <w:r w:rsidR="000432D7" w:rsidRPr="000C0206">
        <w:rPr>
          <w:rFonts w:ascii="Arial" w:hAnsi="Arial" w:cs="Arial"/>
          <w:spacing w:val="-2"/>
          <w:lang w:val="es-MX"/>
        </w:rPr>
        <w:t>inería</w:t>
      </w:r>
      <w:r w:rsidR="00CB46E4">
        <w:rPr>
          <w:rFonts w:ascii="Arial" w:hAnsi="Arial" w:cs="Arial"/>
          <w:spacing w:val="-2"/>
          <w:lang w:val="es-MX"/>
        </w:rPr>
        <w:t xml:space="preserve"> y</w:t>
      </w:r>
      <w:r w:rsidR="008D580F">
        <w:rPr>
          <w:rFonts w:ascii="Arial" w:hAnsi="Arial" w:cs="Arial"/>
          <w:spacing w:val="-2"/>
          <w:lang w:val="es-MX"/>
        </w:rPr>
        <w:t xml:space="preserve"> la</w:t>
      </w:r>
      <w:r w:rsidR="000432D7" w:rsidRPr="000C0206">
        <w:rPr>
          <w:rFonts w:ascii="Arial" w:hAnsi="Arial" w:cs="Arial"/>
          <w:spacing w:val="-2"/>
          <w:lang w:val="es-MX"/>
        </w:rPr>
        <w:t xml:space="preserve"> </w:t>
      </w:r>
      <w:r w:rsidR="00CB46E4">
        <w:rPr>
          <w:rFonts w:ascii="Arial" w:hAnsi="Arial" w:cs="Arial"/>
          <w:spacing w:val="-2"/>
          <w:lang w:val="es-MX"/>
        </w:rPr>
        <w:t>c</w:t>
      </w:r>
      <w:r w:rsidR="000432D7" w:rsidRPr="000C0206">
        <w:rPr>
          <w:rFonts w:ascii="Arial" w:hAnsi="Arial" w:cs="Arial"/>
          <w:spacing w:val="-2"/>
          <w:lang w:val="es-MX"/>
        </w:rPr>
        <w:t>onstrucción</w:t>
      </w:r>
      <w:r w:rsidR="008D580F">
        <w:rPr>
          <w:rFonts w:ascii="Arial" w:hAnsi="Arial" w:cs="Arial"/>
          <w:spacing w:val="-2"/>
          <w:lang w:val="es-MX"/>
        </w:rPr>
        <w:t>.</w:t>
      </w:r>
      <w:r w:rsidR="007E6BB2" w:rsidRPr="000C0206">
        <w:rPr>
          <w:rStyle w:val="Refdenotaalpie"/>
          <w:rFonts w:ascii="Arial" w:hAnsi="Arial" w:cs="Arial"/>
          <w:spacing w:val="-2"/>
        </w:rPr>
        <w:footnoteReference w:id="3"/>
      </w:r>
    </w:p>
    <w:p w14:paraId="51358633" w14:textId="1E5D0A42" w:rsidR="0069226B" w:rsidRPr="001731C8" w:rsidRDefault="0069226B">
      <w:pPr>
        <w:pStyle w:val="Textoindependiente"/>
        <w:ind w:left="-567" w:right="-518"/>
        <w:rPr>
          <w:rFonts w:ascii="Arial" w:hAnsi="Arial" w:cs="Arial"/>
        </w:rPr>
      </w:pPr>
    </w:p>
    <w:p w14:paraId="683A01EE" w14:textId="27645BBE" w:rsidR="00AF25D7" w:rsidRPr="001731C8" w:rsidRDefault="0026610D" w:rsidP="00554F5B">
      <w:pPr>
        <w:pStyle w:val="Textoindependiente"/>
        <w:ind w:left="-567" w:right="-518"/>
        <w:rPr>
          <w:rFonts w:ascii="Arial" w:hAnsi="Arial" w:cs="Arial"/>
          <w:lang w:val="es-MX"/>
        </w:rPr>
      </w:pPr>
      <w:bookmarkStart w:id="2" w:name="_Hlk119312183"/>
      <w:r w:rsidRPr="001731C8">
        <w:rPr>
          <w:rFonts w:ascii="Arial" w:hAnsi="Arial" w:cs="Arial"/>
        </w:rPr>
        <w:lastRenderedPageBreak/>
        <w:t xml:space="preserve">En </w:t>
      </w:r>
      <w:r w:rsidR="00CB46E4">
        <w:rPr>
          <w:rFonts w:ascii="Arial" w:hAnsi="Arial" w:cs="Arial"/>
          <w:lang w:val="es-MX"/>
        </w:rPr>
        <w:t>2018</w:t>
      </w:r>
      <w:r w:rsidR="00554F5B">
        <w:rPr>
          <w:rFonts w:ascii="Arial" w:hAnsi="Arial" w:cs="Arial"/>
          <w:lang w:val="es-MX"/>
        </w:rPr>
        <w:t xml:space="preserve"> y a precios corrientes</w:t>
      </w:r>
      <w:r w:rsidR="00CB46E4">
        <w:rPr>
          <w:rFonts w:ascii="Arial" w:hAnsi="Arial" w:cs="Arial"/>
          <w:lang w:val="es-MX"/>
        </w:rPr>
        <w:t xml:space="preserve">, </w:t>
      </w:r>
      <w:r w:rsidR="00554F5B">
        <w:rPr>
          <w:rFonts w:ascii="Arial" w:hAnsi="Arial" w:cs="Arial"/>
          <w:lang w:val="es-MX"/>
        </w:rPr>
        <w:t xml:space="preserve">76.5 % del </w:t>
      </w:r>
      <w:r w:rsidR="00AF25D7" w:rsidRPr="000C0206">
        <w:rPr>
          <w:rFonts w:ascii="Arial" w:hAnsi="Arial" w:cs="Arial"/>
        </w:rPr>
        <w:t xml:space="preserve">PIB </w:t>
      </w:r>
      <w:r w:rsidR="00991F87">
        <w:rPr>
          <w:rFonts w:ascii="Arial" w:hAnsi="Arial" w:cs="Arial"/>
          <w:lang w:val="es-MX"/>
        </w:rPr>
        <w:t>de la economía social</w:t>
      </w:r>
      <w:r w:rsidR="00554F5B">
        <w:rPr>
          <w:rFonts w:ascii="Arial" w:hAnsi="Arial" w:cs="Arial"/>
          <w:lang w:val="es-MX"/>
        </w:rPr>
        <w:t xml:space="preserve"> </w:t>
      </w:r>
      <w:r w:rsidR="00AF25D7" w:rsidRPr="001731C8">
        <w:rPr>
          <w:rFonts w:ascii="Arial" w:hAnsi="Arial" w:cs="Arial"/>
        </w:rPr>
        <w:t>se distribuyó en actividades primarias</w:t>
      </w:r>
      <w:r w:rsidR="008D580F">
        <w:rPr>
          <w:rFonts w:ascii="Arial" w:hAnsi="Arial" w:cs="Arial"/>
          <w:lang w:val="es-MX"/>
        </w:rPr>
        <w:t>;</w:t>
      </w:r>
      <w:r w:rsidR="00554F5B">
        <w:rPr>
          <w:rFonts w:ascii="Arial" w:hAnsi="Arial" w:cs="Arial"/>
          <w:lang w:val="es-MX"/>
        </w:rPr>
        <w:t xml:space="preserve"> 16.4 %</w:t>
      </w:r>
      <w:r w:rsidR="008D580F">
        <w:rPr>
          <w:rFonts w:ascii="Arial" w:hAnsi="Arial" w:cs="Arial"/>
          <w:lang w:val="es-MX"/>
        </w:rPr>
        <w:t>,</w:t>
      </w:r>
      <w:r w:rsidR="00554F5B">
        <w:rPr>
          <w:rFonts w:ascii="Arial" w:hAnsi="Arial" w:cs="Arial"/>
          <w:lang w:val="es-MX"/>
        </w:rPr>
        <w:t xml:space="preserve"> en </w:t>
      </w:r>
      <w:r w:rsidR="00AF25D7" w:rsidRPr="000C0206">
        <w:rPr>
          <w:rFonts w:ascii="Arial" w:hAnsi="Arial" w:cs="Arial"/>
        </w:rPr>
        <w:t>servicios financieros</w:t>
      </w:r>
      <w:r w:rsidR="008D580F">
        <w:rPr>
          <w:rFonts w:ascii="Arial" w:hAnsi="Arial" w:cs="Arial"/>
          <w:lang w:val="es-MX"/>
        </w:rPr>
        <w:t>;</w:t>
      </w:r>
      <w:r w:rsidR="00554F5B">
        <w:rPr>
          <w:rFonts w:ascii="Arial" w:hAnsi="Arial" w:cs="Arial"/>
          <w:lang w:val="es-MX"/>
        </w:rPr>
        <w:t xml:space="preserve"> 2.8 %</w:t>
      </w:r>
      <w:r w:rsidR="008D580F">
        <w:rPr>
          <w:rFonts w:ascii="Arial" w:hAnsi="Arial" w:cs="Arial"/>
          <w:lang w:val="es-MX"/>
        </w:rPr>
        <w:t>,</w:t>
      </w:r>
      <w:r w:rsidR="00AF25D7" w:rsidRPr="000C0206">
        <w:rPr>
          <w:rFonts w:ascii="Arial" w:hAnsi="Arial" w:cs="Arial"/>
        </w:rPr>
        <w:t xml:space="preserve"> </w:t>
      </w:r>
      <w:r w:rsidR="00554F5B">
        <w:rPr>
          <w:rFonts w:ascii="Arial" w:hAnsi="Arial" w:cs="Arial"/>
          <w:lang w:val="es-MX"/>
        </w:rPr>
        <w:t xml:space="preserve">en </w:t>
      </w:r>
      <w:r w:rsidR="00AF25D7" w:rsidRPr="000C0206">
        <w:rPr>
          <w:rFonts w:ascii="Arial" w:hAnsi="Arial" w:cs="Arial"/>
        </w:rPr>
        <w:t>manufacturas</w:t>
      </w:r>
      <w:r w:rsidR="008D580F">
        <w:rPr>
          <w:rFonts w:ascii="Arial" w:hAnsi="Arial" w:cs="Arial"/>
          <w:lang w:val="es-MX"/>
        </w:rPr>
        <w:t>;</w:t>
      </w:r>
      <w:r w:rsidR="00554F5B">
        <w:rPr>
          <w:rFonts w:ascii="Arial" w:hAnsi="Arial" w:cs="Arial"/>
          <w:lang w:val="es-MX"/>
        </w:rPr>
        <w:t xml:space="preserve"> 1.5 %</w:t>
      </w:r>
      <w:r w:rsidR="008D580F">
        <w:rPr>
          <w:rFonts w:ascii="Arial" w:hAnsi="Arial" w:cs="Arial"/>
          <w:lang w:val="es-MX"/>
        </w:rPr>
        <w:t>,</w:t>
      </w:r>
      <w:r w:rsidR="00554F5B">
        <w:rPr>
          <w:rFonts w:ascii="Arial" w:hAnsi="Arial" w:cs="Arial"/>
          <w:lang w:val="es-MX"/>
        </w:rPr>
        <w:t xml:space="preserve"> en</w:t>
      </w:r>
      <w:r w:rsidR="00AF25D7" w:rsidRPr="000C0206">
        <w:rPr>
          <w:rFonts w:ascii="Arial" w:hAnsi="Arial" w:cs="Arial"/>
          <w:lang w:val="es-MX"/>
        </w:rPr>
        <w:t xml:space="preserve"> </w:t>
      </w:r>
      <w:r w:rsidR="005F4441" w:rsidRPr="001731C8">
        <w:rPr>
          <w:rFonts w:ascii="Arial" w:hAnsi="Arial" w:cs="Arial"/>
          <w:lang w:val="es-MX"/>
        </w:rPr>
        <w:t>comercio</w:t>
      </w:r>
      <w:r w:rsidR="008D580F">
        <w:rPr>
          <w:rFonts w:ascii="Arial" w:hAnsi="Arial" w:cs="Arial"/>
          <w:lang w:val="es-MX"/>
        </w:rPr>
        <w:t>;</w:t>
      </w:r>
      <w:r w:rsidR="005F4441" w:rsidRPr="001731C8">
        <w:rPr>
          <w:rFonts w:ascii="Arial" w:hAnsi="Arial" w:cs="Arial"/>
          <w:lang w:val="es-MX"/>
        </w:rPr>
        <w:t xml:space="preserve"> </w:t>
      </w:r>
      <w:r w:rsidR="00554F5B">
        <w:rPr>
          <w:rFonts w:ascii="Arial" w:hAnsi="Arial" w:cs="Arial"/>
          <w:lang w:val="es-MX"/>
        </w:rPr>
        <w:t>1.5 %</w:t>
      </w:r>
      <w:r w:rsidR="008D580F">
        <w:rPr>
          <w:rFonts w:ascii="Arial" w:hAnsi="Arial" w:cs="Arial"/>
          <w:lang w:val="es-MX"/>
        </w:rPr>
        <w:t>,</w:t>
      </w:r>
      <w:r w:rsidR="00554F5B">
        <w:rPr>
          <w:rFonts w:ascii="Arial" w:hAnsi="Arial" w:cs="Arial"/>
          <w:lang w:val="es-MX"/>
        </w:rPr>
        <w:t xml:space="preserve"> en </w:t>
      </w:r>
      <w:r w:rsidR="005F4441" w:rsidRPr="000C0206">
        <w:rPr>
          <w:rFonts w:ascii="Arial" w:hAnsi="Arial" w:cs="Arial"/>
          <w:lang w:val="es-MX"/>
        </w:rPr>
        <w:t>transporte</w:t>
      </w:r>
      <w:r w:rsidR="00554F5B">
        <w:rPr>
          <w:rFonts w:ascii="Arial" w:hAnsi="Arial" w:cs="Arial"/>
          <w:lang w:val="es-MX"/>
        </w:rPr>
        <w:t xml:space="preserve"> y</w:t>
      </w:r>
      <w:r w:rsidR="00AF25D7" w:rsidRPr="000C0206">
        <w:rPr>
          <w:rFonts w:ascii="Arial" w:hAnsi="Arial" w:cs="Arial"/>
        </w:rPr>
        <w:t xml:space="preserve"> </w:t>
      </w:r>
      <w:r w:rsidR="00554F5B">
        <w:rPr>
          <w:rFonts w:ascii="Arial" w:hAnsi="Arial" w:cs="Arial"/>
          <w:lang w:val="es-MX"/>
        </w:rPr>
        <w:t>1.3 %</w:t>
      </w:r>
      <w:r w:rsidR="008D580F">
        <w:rPr>
          <w:rFonts w:ascii="Arial" w:hAnsi="Arial" w:cs="Arial"/>
          <w:lang w:val="es-MX"/>
        </w:rPr>
        <w:t>,</w:t>
      </w:r>
      <w:r w:rsidR="00554F5B">
        <w:rPr>
          <w:rFonts w:ascii="Arial" w:hAnsi="Arial" w:cs="Arial"/>
          <w:lang w:val="es-MX"/>
        </w:rPr>
        <w:t xml:space="preserve"> en </w:t>
      </w:r>
      <w:r w:rsidR="00AF25D7" w:rsidRPr="00554F5B">
        <w:rPr>
          <w:rFonts w:ascii="Arial" w:hAnsi="Arial" w:cs="Arial"/>
        </w:rPr>
        <w:t>s</w:t>
      </w:r>
      <w:r w:rsidR="00AF25D7" w:rsidRPr="000C0206">
        <w:rPr>
          <w:rFonts w:ascii="Arial" w:hAnsi="Arial" w:cs="Arial"/>
        </w:rPr>
        <w:t>ectores</w:t>
      </w:r>
      <w:r w:rsidR="00554F5B">
        <w:rPr>
          <w:rFonts w:ascii="Arial" w:hAnsi="Arial" w:cs="Arial"/>
          <w:lang w:val="es-MX"/>
        </w:rPr>
        <w:t xml:space="preserve"> como </w:t>
      </w:r>
      <w:r w:rsidR="008D580F">
        <w:rPr>
          <w:rFonts w:ascii="Arial" w:hAnsi="Arial" w:cs="Arial"/>
          <w:lang w:val="es-MX"/>
        </w:rPr>
        <w:t xml:space="preserve">el de la </w:t>
      </w:r>
      <w:r w:rsidR="00554F5B">
        <w:rPr>
          <w:rFonts w:ascii="Arial" w:hAnsi="Arial" w:cs="Arial"/>
          <w:lang w:val="es-MX"/>
        </w:rPr>
        <w:t xml:space="preserve">minería y </w:t>
      </w:r>
      <w:r w:rsidR="008D580F">
        <w:rPr>
          <w:rFonts w:ascii="Arial" w:hAnsi="Arial" w:cs="Arial"/>
          <w:lang w:val="es-MX"/>
        </w:rPr>
        <w:t xml:space="preserve">la </w:t>
      </w:r>
      <w:r w:rsidR="00554F5B">
        <w:rPr>
          <w:rFonts w:ascii="Arial" w:hAnsi="Arial" w:cs="Arial"/>
          <w:lang w:val="es-MX"/>
        </w:rPr>
        <w:t>construcción</w:t>
      </w:r>
      <w:r w:rsidR="00AF25D7" w:rsidRPr="001731C8">
        <w:rPr>
          <w:rFonts w:ascii="Arial" w:hAnsi="Arial" w:cs="Arial"/>
        </w:rPr>
        <w:t>.</w:t>
      </w:r>
    </w:p>
    <w:bookmarkEnd w:id="2"/>
    <w:p w14:paraId="231DAD70" w14:textId="65E66454" w:rsidR="00435F4D" w:rsidRDefault="00435F4D" w:rsidP="001731C8">
      <w:pPr>
        <w:pStyle w:val="Textoindependiente"/>
        <w:ind w:left="-567" w:right="-518"/>
        <w:rPr>
          <w:rFonts w:ascii="Arial" w:hAnsi="Arial" w:cs="Arial"/>
        </w:rPr>
      </w:pPr>
    </w:p>
    <w:p w14:paraId="52A3C687" w14:textId="5268169B" w:rsidR="00CB46E4" w:rsidRDefault="00CB46E4" w:rsidP="001731C8">
      <w:pPr>
        <w:pStyle w:val="Textoindependiente"/>
        <w:ind w:left="-567" w:right="-518"/>
        <w:rPr>
          <w:rFonts w:ascii="Arial" w:hAnsi="Arial" w:cs="Arial"/>
        </w:rPr>
      </w:pPr>
    </w:p>
    <w:p w14:paraId="2831BFA1" w14:textId="0473C9DC" w:rsidR="00554F5B" w:rsidRDefault="00554F5B" w:rsidP="00AC52CC">
      <w:pPr>
        <w:pStyle w:val="Textoindependiente"/>
        <w:ind w:left="-567" w:right="-518"/>
        <w:jc w:val="center"/>
        <w:rPr>
          <w:rFonts w:ascii="Arial" w:hAnsi="Arial" w:cs="Arial"/>
        </w:rPr>
      </w:pPr>
      <w:r w:rsidRPr="00AC52CC">
        <w:rPr>
          <w:rFonts w:ascii="Arial" w:hAnsi="Arial" w:cs="Arial"/>
          <w:sz w:val="20"/>
          <w:szCs w:val="20"/>
        </w:rPr>
        <w:t>Gráfica 1</w:t>
      </w:r>
    </w:p>
    <w:p w14:paraId="63D1D5F5" w14:textId="4EAFBB98" w:rsidR="00CF4C57" w:rsidRPr="00AC52CC" w:rsidRDefault="00CF4C57" w:rsidP="000C0206">
      <w:pPr>
        <w:pStyle w:val="Textoindependiente"/>
        <w:jc w:val="center"/>
        <w:rPr>
          <w:rFonts w:ascii="Arial Negrita" w:hAnsi="Arial Negrita" w:cs="Arial"/>
          <w:b/>
          <w:iCs/>
          <w:smallCaps/>
          <w:sz w:val="22"/>
          <w:szCs w:val="22"/>
          <w:lang w:val="es-MX"/>
        </w:rPr>
      </w:pPr>
      <w:r w:rsidRPr="00AC52CC">
        <w:rPr>
          <w:rFonts w:ascii="Arial Negrita" w:hAnsi="Arial Negrita" w:cs="Arial"/>
          <w:b/>
          <w:iCs/>
          <w:smallCaps/>
          <w:sz w:val="22"/>
          <w:szCs w:val="22"/>
          <w:lang w:val="es-MX"/>
        </w:rPr>
        <w:t>Distribución del P</w:t>
      </w:r>
      <w:r w:rsidR="00554F5B">
        <w:rPr>
          <w:rFonts w:ascii="Arial Negrita" w:hAnsi="Arial Negrita" w:cs="Arial"/>
          <w:b/>
          <w:iCs/>
          <w:smallCaps/>
          <w:sz w:val="22"/>
          <w:szCs w:val="22"/>
          <w:lang w:val="es-MX"/>
        </w:rPr>
        <w:t xml:space="preserve">roducto Interno Bruto </w:t>
      </w:r>
      <w:r w:rsidR="00AF25D7" w:rsidRPr="00AC52CC">
        <w:rPr>
          <w:rFonts w:ascii="Arial Negrita" w:hAnsi="Arial Negrita" w:cs="Arial"/>
          <w:b/>
          <w:iCs/>
          <w:smallCaps/>
          <w:sz w:val="22"/>
          <w:szCs w:val="22"/>
          <w:lang w:val="es-MX"/>
        </w:rPr>
        <w:t>de la economía social</w:t>
      </w:r>
      <w:r w:rsidRPr="00AC52CC">
        <w:rPr>
          <w:rFonts w:ascii="Arial Negrita" w:hAnsi="Arial Negrita" w:cs="Arial"/>
          <w:b/>
          <w:iCs/>
          <w:smallCaps/>
          <w:sz w:val="22"/>
          <w:szCs w:val="22"/>
          <w:lang w:val="es-MX"/>
        </w:rPr>
        <w:t xml:space="preserve">, </w:t>
      </w:r>
      <w:r w:rsidR="00AF25D7" w:rsidRPr="00AC52CC">
        <w:rPr>
          <w:rFonts w:ascii="Arial Negrita" w:hAnsi="Arial Negrita" w:cs="Arial"/>
          <w:b/>
          <w:iCs/>
          <w:smallCaps/>
          <w:sz w:val="22"/>
          <w:szCs w:val="22"/>
          <w:lang w:val="es-MX"/>
        </w:rPr>
        <w:t>2018</w:t>
      </w:r>
    </w:p>
    <w:p w14:paraId="040A16C9" w14:textId="33472285" w:rsidR="00CF4C57" w:rsidRDefault="00CF4C57" w:rsidP="000C0206">
      <w:pPr>
        <w:pStyle w:val="Textoindependiente"/>
        <w:jc w:val="center"/>
        <w:rPr>
          <w:noProof/>
          <w:lang w:val="es-MX" w:eastAsia="es-MX"/>
        </w:rPr>
      </w:pPr>
      <w:r w:rsidRPr="0080258B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  <w:lang w:val="es-MX"/>
        </w:rPr>
        <w:t>Estructura</w:t>
      </w:r>
      <w:r w:rsidRPr="0080258B">
        <w:rPr>
          <w:rFonts w:ascii="Arial" w:hAnsi="Arial" w:cs="Arial"/>
          <w:sz w:val="18"/>
          <w:szCs w:val="18"/>
          <w:lang w:val="es-MX"/>
        </w:rPr>
        <w:t xml:space="preserve"> porcentual</w:t>
      </w:r>
      <w:r w:rsidRPr="0080258B">
        <w:rPr>
          <w:rFonts w:ascii="Arial" w:hAnsi="Arial" w:cs="Arial"/>
          <w:sz w:val="18"/>
          <w:szCs w:val="18"/>
        </w:rPr>
        <w:t>)</w:t>
      </w:r>
      <w:r w:rsidRPr="00514B7D">
        <w:rPr>
          <w:rFonts w:ascii="Arial" w:hAnsi="Arial" w:cs="Arial"/>
          <w:sz w:val="18"/>
          <w:szCs w:val="18"/>
        </w:rPr>
        <w:t xml:space="preserve"> </w:t>
      </w:r>
    </w:p>
    <w:p w14:paraId="1218DD63" w14:textId="68E06F46" w:rsidR="00CF4C57" w:rsidRDefault="005A3E51" w:rsidP="00C566B7">
      <w:pPr>
        <w:pStyle w:val="Textoindependiente"/>
        <w:ind w:left="-567" w:right="-518"/>
        <w:jc w:val="center"/>
        <w:rPr>
          <w:rFonts w:ascii="Arial" w:hAnsi="Arial" w:cs="Arial"/>
          <w:sz w:val="16"/>
          <w:szCs w:val="16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439ADB84" wp14:editId="21BDA412">
            <wp:extent cx="6629400" cy="3314700"/>
            <wp:effectExtent l="0" t="0" r="0" b="0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1978488B-4A7B-44E1-B334-B3407CC97D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5A70C38" w14:textId="46BC839F" w:rsidR="006F5A60" w:rsidRDefault="006F5A60" w:rsidP="006F5A60">
      <w:pPr>
        <w:pStyle w:val="Textoindependiente"/>
        <w:ind w:right="49" w:hanging="142"/>
        <w:jc w:val="left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Nota: Se utiliza la clasificación de los sectores del Sistema de Clasificación Industrial de América del Norte (SCIAN). </w:t>
      </w:r>
    </w:p>
    <w:p w14:paraId="7E4E28C7" w14:textId="49123697" w:rsidR="00CF4C57" w:rsidRPr="0080258B" w:rsidRDefault="00CF4C57" w:rsidP="00AC52CC">
      <w:pPr>
        <w:pStyle w:val="Textoindependiente"/>
        <w:ind w:right="49" w:hanging="142"/>
        <w:jc w:val="left"/>
        <w:rPr>
          <w:rFonts w:ascii="Arial" w:hAnsi="Arial" w:cs="Arial"/>
          <w:sz w:val="16"/>
          <w:szCs w:val="16"/>
        </w:rPr>
      </w:pPr>
      <w:r w:rsidRPr="0080258B">
        <w:rPr>
          <w:rFonts w:ascii="Arial" w:hAnsi="Arial" w:cs="Arial"/>
          <w:sz w:val="16"/>
          <w:szCs w:val="16"/>
        </w:rPr>
        <w:t>Fuente: INEGI</w:t>
      </w:r>
    </w:p>
    <w:p w14:paraId="3C94BE9D" w14:textId="560D5760" w:rsidR="0061358E" w:rsidRDefault="0061358E" w:rsidP="003B6674">
      <w:pPr>
        <w:ind w:left="-567" w:right="-516"/>
        <w:jc w:val="both"/>
        <w:rPr>
          <w:rFonts w:ascii="Arial" w:hAnsi="Arial" w:cs="Arial"/>
        </w:rPr>
      </w:pPr>
    </w:p>
    <w:p w14:paraId="12B6E877" w14:textId="77777777" w:rsidR="00092D94" w:rsidRDefault="00092D94" w:rsidP="00C566B7">
      <w:pPr>
        <w:ind w:left="-567" w:right="-516"/>
        <w:jc w:val="both"/>
        <w:rPr>
          <w:rFonts w:ascii="Arial" w:hAnsi="Arial" w:cs="Arial"/>
        </w:rPr>
      </w:pPr>
    </w:p>
    <w:p w14:paraId="15FC2487" w14:textId="553F6E12" w:rsidR="00CF4C57" w:rsidRPr="00AC52CC" w:rsidRDefault="0061358E" w:rsidP="00C566B7">
      <w:pPr>
        <w:ind w:left="-567" w:right="-516"/>
        <w:jc w:val="both"/>
        <w:rPr>
          <w:rFonts w:ascii="Arial" w:hAnsi="Arial" w:cs="Arial"/>
        </w:rPr>
      </w:pPr>
      <w:r w:rsidRPr="00AC52CC">
        <w:rPr>
          <w:rFonts w:ascii="Arial" w:hAnsi="Arial" w:cs="Arial"/>
        </w:rPr>
        <w:t>En 20</w:t>
      </w:r>
      <w:r w:rsidR="00AF25D7" w:rsidRPr="00AC52CC">
        <w:rPr>
          <w:rFonts w:ascii="Arial" w:hAnsi="Arial" w:cs="Arial"/>
        </w:rPr>
        <w:t>18</w:t>
      </w:r>
      <w:r w:rsidR="00CF4C57" w:rsidRPr="00AC52CC">
        <w:rPr>
          <w:rFonts w:ascii="Arial" w:hAnsi="Arial" w:cs="Arial"/>
        </w:rPr>
        <w:t>, medid</w:t>
      </w:r>
      <w:r w:rsidR="00504A05">
        <w:rPr>
          <w:rFonts w:ascii="Arial" w:hAnsi="Arial" w:cs="Arial"/>
        </w:rPr>
        <w:t>a</w:t>
      </w:r>
      <w:r w:rsidR="00CF4C57" w:rsidRPr="00AC52CC">
        <w:rPr>
          <w:rFonts w:ascii="Arial" w:hAnsi="Arial" w:cs="Arial"/>
        </w:rPr>
        <w:t xml:space="preserve"> a precios de 2013, la </w:t>
      </w:r>
      <w:r w:rsidR="00AF25D7" w:rsidRPr="00AC52CC">
        <w:rPr>
          <w:rFonts w:ascii="Arial" w:hAnsi="Arial" w:cs="Arial"/>
        </w:rPr>
        <w:t>economía social presentó</w:t>
      </w:r>
      <w:r w:rsidR="00CF4C57" w:rsidRPr="00AC52CC">
        <w:rPr>
          <w:rFonts w:ascii="Arial" w:hAnsi="Arial" w:cs="Arial"/>
        </w:rPr>
        <w:t xml:space="preserve"> un </w:t>
      </w:r>
      <w:r w:rsidR="00AF25D7" w:rsidRPr="00AC52CC">
        <w:rPr>
          <w:rFonts w:ascii="Arial" w:hAnsi="Arial" w:cs="Arial"/>
        </w:rPr>
        <w:t>incremento de 30.</w:t>
      </w:r>
      <w:r w:rsidR="00A16489" w:rsidRPr="00AC52CC">
        <w:rPr>
          <w:rFonts w:ascii="Arial" w:hAnsi="Arial" w:cs="Arial"/>
        </w:rPr>
        <w:t>3</w:t>
      </w:r>
      <w:r w:rsidR="00554F5B">
        <w:rPr>
          <w:rFonts w:ascii="Arial" w:hAnsi="Arial" w:cs="Arial"/>
        </w:rPr>
        <w:t xml:space="preserve"> </w:t>
      </w:r>
      <w:r w:rsidR="00CF4C57" w:rsidRPr="00AC52CC">
        <w:rPr>
          <w:rFonts w:ascii="Arial" w:hAnsi="Arial" w:cs="Arial"/>
        </w:rPr>
        <w:t>%</w:t>
      </w:r>
      <w:r w:rsidR="00AF25D7" w:rsidRPr="00AC52CC">
        <w:rPr>
          <w:rFonts w:ascii="Arial" w:hAnsi="Arial" w:cs="Arial"/>
        </w:rPr>
        <w:t xml:space="preserve"> </w:t>
      </w:r>
      <w:r w:rsidR="00AF25D7" w:rsidRPr="000C0206">
        <w:rPr>
          <w:rFonts w:ascii="Arial" w:hAnsi="Arial" w:cs="Arial"/>
        </w:rPr>
        <w:t>con respecto a 2013</w:t>
      </w:r>
      <w:r w:rsidR="00554F5B">
        <w:rPr>
          <w:rFonts w:ascii="Arial" w:hAnsi="Arial" w:cs="Arial"/>
        </w:rPr>
        <w:t>. En el mismo periodo</w:t>
      </w:r>
      <w:r w:rsidR="00056251">
        <w:rPr>
          <w:rFonts w:ascii="Arial" w:hAnsi="Arial" w:cs="Arial"/>
        </w:rPr>
        <w:t>,</w:t>
      </w:r>
      <w:r w:rsidR="00554F5B">
        <w:rPr>
          <w:rFonts w:ascii="Arial" w:hAnsi="Arial" w:cs="Arial"/>
        </w:rPr>
        <w:t xml:space="preserve"> </w:t>
      </w:r>
      <w:r w:rsidR="00CF4C57" w:rsidRPr="00AC52CC">
        <w:rPr>
          <w:rFonts w:ascii="Arial" w:hAnsi="Arial" w:cs="Arial"/>
        </w:rPr>
        <w:t xml:space="preserve">el total de la economía </w:t>
      </w:r>
      <w:r w:rsidR="00554F5B">
        <w:rPr>
          <w:rFonts w:ascii="Arial" w:hAnsi="Arial" w:cs="Arial"/>
        </w:rPr>
        <w:t>creció</w:t>
      </w:r>
      <w:r w:rsidR="00CF4C57" w:rsidRPr="00AC52CC">
        <w:rPr>
          <w:rFonts w:ascii="Arial" w:hAnsi="Arial" w:cs="Arial"/>
        </w:rPr>
        <w:t xml:space="preserve"> </w:t>
      </w:r>
      <w:r w:rsidR="00AF25D7" w:rsidRPr="00AC52CC">
        <w:rPr>
          <w:rFonts w:ascii="Arial" w:hAnsi="Arial" w:cs="Arial"/>
        </w:rPr>
        <w:t>13.2</w:t>
      </w:r>
      <w:r w:rsidR="00554F5B">
        <w:rPr>
          <w:rFonts w:ascii="Arial" w:hAnsi="Arial" w:cs="Arial"/>
        </w:rPr>
        <w:t xml:space="preserve"> por ciento.</w:t>
      </w:r>
      <w:r w:rsidR="00CF4C57" w:rsidRPr="00AC52CC">
        <w:rPr>
          <w:rFonts w:ascii="Arial" w:hAnsi="Arial" w:cs="Arial"/>
        </w:rPr>
        <w:t xml:space="preserve"> </w:t>
      </w:r>
    </w:p>
    <w:p w14:paraId="6EE9E548" w14:textId="4A64D8A2" w:rsidR="00C566B7" w:rsidRPr="00AC52CC" w:rsidRDefault="00C566B7" w:rsidP="00C566B7">
      <w:pPr>
        <w:ind w:left="-567" w:right="-516"/>
        <w:jc w:val="both"/>
        <w:rPr>
          <w:rFonts w:ascii="Arial" w:hAnsi="Arial" w:cs="Arial"/>
        </w:rPr>
      </w:pPr>
    </w:p>
    <w:p w14:paraId="0CCF23C1" w14:textId="65F80F1A" w:rsidR="00092D94" w:rsidRPr="00E45EE6" w:rsidRDefault="00092D94" w:rsidP="00092D94">
      <w:pPr>
        <w:pStyle w:val="Textoindependiente"/>
        <w:ind w:left="-567" w:right="-518"/>
        <w:rPr>
          <w:rFonts w:ascii="Arial" w:hAnsi="Arial" w:cs="Arial"/>
        </w:rPr>
      </w:pPr>
      <w:r w:rsidRPr="00E45EE6">
        <w:rPr>
          <w:rFonts w:ascii="Arial" w:hAnsi="Arial" w:cs="Arial"/>
          <w:lang w:val="es-MX"/>
        </w:rPr>
        <w:t>Por clasificación funcional, para</w:t>
      </w:r>
      <w:r w:rsidRPr="00E45EE6">
        <w:rPr>
          <w:rFonts w:ascii="Arial" w:hAnsi="Arial" w:cs="Arial"/>
        </w:rPr>
        <w:t xml:space="preserve"> 2018, el PIB </w:t>
      </w:r>
      <w:r w:rsidR="006F7321">
        <w:rPr>
          <w:rFonts w:ascii="Arial" w:hAnsi="Arial" w:cs="Arial"/>
          <w:lang w:val="es-MX"/>
        </w:rPr>
        <w:t>de la economía social</w:t>
      </w:r>
      <w:r w:rsidRPr="00E45EE6">
        <w:rPr>
          <w:rFonts w:ascii="Arial" w:hAnsi="Arial" w:cs="Arial"/>
        </w:rPr>
        <w:t xml:space="preserve"> se </w:t>
      </w:r>
      <w:r w:rsidRPr="00E45EE6">
        <w:rPr>
          <w:rFonts w:ascii="Arial" w:hAnsi="Arial" w:cs="Arial"/>
          <w:lang w:val="es-MX"/>
        </w:rPr>
        <w:t>conformó por el aporte de los ejidos,</w:t>
      </w:r>
      <w:r w:rsidRPr="00E45EE6">
        <w:rPr>
          <w:rFonts w:ascii="Arial" w:hAnsi="Arial" w:cs="Arial"/>
        </w:rPr>
        <w:t xml:space="preserve"> con 7</w:t>
      </w:r>
      <w:r w:rsidRPr="00E45EE6">
        <w:rPr>
          <w:rFonts w:ascii="Arial" w:hAnsi="Arial" w:cs="Arial"/>
          <w:lang w:val="es-MX"/>
        </w:rPr>
        <w:t>0.7</w:t>
      </w:r>
      <w:r>
        <w:rPr>
          <w:rFonts w:ascii="Arial" w:hAnsi="Arial" w:cs="Arial"/>
          <w:lang w:val="es-MX"/>
        </w:rPr>
        <w:t xml:space="preserve"> </w:t>
      </w:r>
      <w:r w:rsidRPr="00E45EE6">
        <w:rPr>
          <w:rFonts w:ascii="Arial" w:hAnsi="Arial" w:cs="Arial"/>
        </w:rPr>
        <w:t xml:space="preserve">%; </w:t>
      </w:r>
      <w:r w:rsidR="00504A05">
        <w:rPr>
          <w:rFonts w:ascii="Arial" w:hAnsi="Arial" w:cs="Arial"/>
          <w:lang w:val="es-MX"/>
        </w:rPr>
        <w:t xml:space="preserve">de </w:t>
      </w:r>
      <w:r w:rsidRPr="00E45EE6">
        <w:rPr>
          <w:rFonts w:ascii="Arial" w:hAnsi="Arial" w:cs="Arial"/>
          <w:lang w:val="es-MX"/>
        </w:rPr>
        <w:t xml:space="preserve">las sociedades cooperativas de </w:t>
      </w:r>
      <w:r>
        <w:rPr>
          <w:rFonts w:ascii="Arial" w:hAnsi="Arial" w:cs="Arial"/>
          <w:lang w:val="es-MX"/>
        </w:rPr>
        <w:t>a</w:t>
      </w:r>
      <w:r w:rsidRPr="00E45EE6">
        <w:rPr>
          <w:rFonts w:ascii="Arial" w:hAnsi="Arial" w:cs="Arial"/>
          <w:lang w:val="es-MX"/>
        </w:rPr>
        <w:t xml:space="preserve">horro y </w:t>
      </w:r>
      <w:r>
        <w:rPr>
          <w:rFonts w:ascii="Arial" w:hAnsi="Arial" w:cs="Arial"/>
          <w:lang w:val="es-MX"/>
        </w:rPr>
        <w:t>p</w:t>
      </w:r>
      <w:r w:rsidRPr="00E45EE6">
        <w:rPr>
          <w:rFonts w:ascii="Arial" w:hAnsi="Arial" w:cs="Arial"/>
          <w:lang w:val="es-MX"/>
        </w:rPr>
        <w:t>réstamo,</w:t>
      </w:r>
      <w:r w:rsidRPr="00E45EE6">
        <w:rPr>
          <w:rFonts w:ascii="Arial" w:hAnsi="Arial" w:cs="Arial"/>
        </w:rPr>
        <w:t xml:space="preserve"> con 15.</w:t>
      </w:r>
      <w:r w:rsidRPr="00E45EE6">
        <w:rPr>
          <w:rFonts w:ascii="Arial" w:hAnsi="Arial" w:cs="Arial"/>
          <w:lang w:val="es-MX"/>
        </w:rPr>
        <w:t>1</w:t>
      </w:r>
      <w:r>
        <w:rPr>
          <w:rFonts w:ascii="Arial" w:hAnsi="Arial" w:cs="Arial"/>
          <w:lang w:val="es-MX"/>
        </w:rPr>
        <w:t xml:space="preserve"> </w:t>
      </w:r>
      <w:r w:rsidRPr="00E45EE6">
        <w:rPr>
          <w:rFonts w:ascii="Arial" w:hAnsi="Arial" w:cs="Arial"/>
        </w:rPr>
        <w:t xml:space="preserve">%; </w:t>
      </w:r>
      <w:r w:rsidR="00504A05">
        <w:rPr>
          <w:rFonts w:ascii="Arial" w:hAnsi="Arial" w:cs="Arial"/>
          <w:lang w:val="es-MX"/>
        </w:rPr>
        <w:t xml:space="preserve">de </w:t>
      </w:r>
      <w:r w:rsidRPr="00E45EE6">
        <w:rPr>
          <w:rFonts w:ascii="Arial" w:hAnsi="Arial" w:cs="Arial"/>
          <w:lang w:val="es-MX"/>
        </w:rPr>
        <w:t>las comunidades, con 4.4</w:t>
      </w:r>
      <w:r>
        <w:rPr>
          <w:rFonts w:ascii="Arial" w:hAnsi="Arial" w:cs="Arial"/>
          <w:lang w:val="es-MX"/>
        </w:rPr>
        <w:t xml:space="preserve"> </w:t>
      </w:r>
      <w:r w:rsidRPr="00E45EE6">
        <w:rPr>
          <w:rFonts w:ascii="Arial" w:hAnsi="Arial" w:cs="Arial"/>
          <w:lang w:val="es-MX"/>
        </w:rPr>
        <w:t xml:space="preserve">%; </w:t>
      </w:r>
      <w:r w:rsidR="00504A05">
        <w:rPr>
          <w:rFonts w:ascii="Arial" w:hAnsi="Arial" w:cs="Arial"/>
          <w:lang w:val="es-MX"/>
        </w:rPr>
        <w:t xml:space="preserve">de </w:t>
      </w:r>
      <w:r w:rsidRPr="00E45EE6">
        <w:rPr>
          <w:rFonts w:ascii="Arial" w:hAnsi="Arial" w:cs="Arial"/>
        </w:rPr>
        <w:t xml:space="preserve">las </w:t>
      </w:r>
      <w:r w:rsidRPr="00E45EE6">
        <w:rPr>
          <w:rFonts w:ascii="Arial" w:hAnsi="Arial" w:cs="Arial"/>
          <w:lang w:val="es-MX"/>
        </w:rPr>
        <w:t>sociedades cooperativas</w:t>
      </w:r>
      <w:r w:rsidR="003A2799">
        <w:rPr>
          <w:rFonts w:ascii="Arial" w:hAnsi="Arial" w:cs="Arial"/>
          <w:lang w:val="es-MX"/>
        </w:rPr>
        <w:t>,</w:t>
      </w:r>
      <w:r w:rsidRPr="00E45EE6">
        <w:rPr>
          <w:rFonts w:ascii="Arial" w:hAnsi="Arial" w:cs="Arial"/>
        </w:rPr>
        <w:t xml:space="preserve"> </w:t>
      </w:r>
      <w:r w:rsidRPr="00E45EE6">
        <w:rPr>
          <w:rFonts w:ascii="Arial" w:hAnsi="Arial" w:cs="Arial"/>
          <w:lang w:val="es-MX"/>
        </w:rPr>
        <w:t xml:space="preserve">con </w:t>
      </w:r>
      <w:r w:rsidRPr="00E45EE6">
        <w:rPr>
          <w:rFonts w:ascii="Arial" w:hAnsi="Arial" w:cs="Arial"/>
        </w:rPr>
        <w:t>4.</w:t>
      </w:r>
      <w:r w:rsidRPr="00E45EE6">
        <w:rPr>
          <w:rFonts w:ascii="Arial" w:hAnsi="Arial" w:cs="Arial"/>
          <w:lang w:val="es-MX"/>
        </w:rPr>
        <w:t>0</w:t>
      </w:r>
      <w:r>
        <w:rPr>
          <w:rFonts w:ascii="Arial" w:hAnsi="Arial" w:cs="Arial"/>
          <w:lang w:val="es-MX"/>
        </w:rPr>
        <w:t xml:space="preserve"> </w:t>
      </w:r>
      <w:r w:rsidRPr="00E45EE6">
        <w:rPr>
          <w:rFonts w:ascii="Arial" w:hAnsi="Arial" w:cs="Arial"/>
        </w:rPr>
        <w:t xml:space="preserve">%; </w:t>
      </w:r>
      <w:r w:rsidR="00504A05">
        <w:rPr>
          <w:rFonts w:ascii="Arial" w:hAnsi="Arial" w:cs="Arial"/>
          <w:lang w:val="es-MX"/>
        </w:rPr>
        <w:t xml:space="preserve">de </w:t>
      </w:r>
      <w:r w:rsidRPr="00E45EE6">
        <w:rPr>
          <w:rFonts w:ascii="Arial" w:hAnsi="Arial" w:cs="Arial"/>
          <w:lang w:val="es-MX"/>
        </w:rPr>
        <w:t>las sociedades de producción rural</w:t>
      </w:r>
      <w:r w:rsidR="003A2799">
        <w:rPr>
          <w:rFonts w:ascii="Arial" w:hAnsi="Arial" w:cs="Arial"/>
          <w:lang w:val="es-MX"/>
        </w:rPr>
        <w:t>,</w:t>
      </w:r>
      <w:r w:rsidRPr="00E45EE6">
        <w:rPr>
          <w:rFonts w:ascii="Arial" w:hAnsi="Arial" w:cs="Arial"/>
          <w:lang w:val="es-MX"/>
        </w:rPr>
        <w:t xml:space="preserve"> con 1.8</w:t>
      </w:r>
      <w:r>
        <w:rPr>
          <w:rFonts w:ascii="Arial" w:hAnsi="Arial" w:cs="Arial"/>
          <w:lang w:val="es-MX"/>
        </w:rPr>
        <w:t xml:space="preserve"> </w:t>
      </w:r>
      <w:r w:rsidRPr="00E45EE6">
        <w:rPr>
          <w:rFonts w:ascii="Arial" w:hAnsi="Arial" w:cs="Arial"/>
        </w:rPr>
        <w:t>%</w:t>
      </w:r>
      <w:r w:rsidRPr="00E45EE6">
        <w:rPr>
          <w:rFonts w:ascii="Arial" w:hAnsi="Arial" w:cs="Arial"/>
          <w:lang w:val="es-MX"/>
        </w:rPr>
        <w:t xml:space="preserve"> </w:t>
      </w:r>
      <w:r w:rsidRPr="00E45EE6">
        <w:rPr>
          <w:rFonts w:ascii="Arial" w:hAnsi="Arial" w:cs="Arial"/>
        </w:rPr>
        <w:t xml:space="preserve">y </w:t>
      </w:r>
      <w:proofErr w:type="spellStart"/>
      <w:r w:rsidR="00504A05">
        <w:rPr>
          <w:rFonts w:ascii="Arial" w:hAnsi="Arial" w:cs="Arial"/>
          <w:lang w:val="es-MX"/>
        </w:rPr>
        <w:t>d</w:t>
      </w:r>
      <w:r w:rsidRPr="00E45EE6">
        <w:rPr>
          <w:rFonts w:ascii="Arial" w:hAnsi="Arial" w:cs="Arial"/>
        </w:rPr>
        <w:t>el</w:t>
      </w:r>
      <w:proofErr w:type="spellEnd"/>
      <w:r w:rsidRPr="00E45EE6">
        <w:rPr>
          <w:rFonts w:ascii="Arial" w:hAnsi="Arial" w:cs="Arial"/>
        </w:rPr>
        <w:t xml:space="preserve"> resto de </w:t>
      </w:r>
      <w:r w:rsidRPr="00E45EE6">
        <w:rPr>
          <w:rFonts w:ascii="Arial" w:hAnsi="Arial" w:cs="Arial"/>
          <w:lang w:val="es-MX"/>
        </w:rPr>
        <w:t>organismos</w:t>
      </w:r>
      <w:r w:rsidR="003A2799">
        <w:rPr>
          <w:rFonts w:ascii="Arial" w:hAnsi="Arial" w:cs="Arial"/>
          <w:lang w:val="es-MX"/>
        </w:rPr>
        <w:t>,</w:t>
      </w:r>
      <w:r w:rsidRPr="00E45EE6">
        <w:rPr>
          <w:rFonts w:ascii="Arial" w:hAnsi="Arial" w:cs="Arial"/>
        </w:rPr>
        <w:t xml:space="preserve"> con </w:t>
      </w:r>
      <w:r w:rsidRPr="00E45EE6">
        <w:rPr>
          <w:rFonts w:ascii="Arial" w:hAnsi="Arial" w:cs="Arial"/>
          <w:lang w:val="es-MX"/>
        </w:rPr>
        <w:t>4.0</w:t>
      </w:r>
      <w:r w:rsidRPr="00E45EE6">
        <w:rPr>
          <w:rFonts w:ascii="Arial" w:hAnsi="Arial" w:cs="Arial"/>
        </w:rPr>
        <w:t xml:space="preserve"> por ciento.</w:t>
      </w:r>
    </w:p>
    <w:p w14:paraId="53054905" w14:textId="190C3A82" w:rsidR="00092D94" w:rsidRDefault="00092D94" w:rsidP="009C14EC">
      <w:pPr>
        <w:ind w:left="-567" w:right="-516"/>
        <w:jc w:val="both"/>
        <w:rPr>
          <w:rFonts w:ascii="Arial" w:hAnsi="Arial" w:cs="Arial"/>
        </w:rPr>
      </w:pPr>
    </w:p>
    <w:p w14:paraId="052D5ADB" w14:textId="38033DEE" w:rsidR="00092D94" w:rsidRDefault="00092D94" w:rsidP="009C14EC">
      <w:pPr>
        <w:ind w:left="-567" w:right="-516"/>
        <w:jc w:val="both"/>
        <w:rPr>
          <w:rFonts w:ascii="Arial" w:hAnsi="Arial" w:cs="Arial"/>
        </w:rPr>
      </w:pPr>
    </w:p>
    <w:p w14:paraId="6F6B9A0A" w14:textId="0E0175E2" w:rsidR="00092D94" w:rsidRDefault="00092D94" w:rsidP="009C14EC">
      <w:pPr>
        <w:ind w:left="-567" w:right="-516"/>
        <w:jc w:val="both"/>
        <w:rPr>
          <w:rFonts w:ascii="Arial" w:hAnsi="Arial" w:cs="Arial"/>
        </w:rPr>
      </w:pPr>
    </w:p>
    <w:p w14:paraId="69142981" w14:textId="0E00E038" w:rsidR="00092D94" w:rsidRDefault="00092D94" w:rsidP="009C14EC">
      <w:pPr>
        <w:ind w:left="-567" w:right="-516"/>
        <w:jc w:val="both"/>
        <w:rPr>
          <w:rFonts w:ascii="Arial" w:hAnsi="Arial" w:cs="Arial"/>
        </w:rPr>
      </w:pPr>
    </w:p>
    <w:p w14:paraId="52A686A8" w14:textId="5988AB5A" w:rsidR="00092D94" w:rsidRDefault="00092D94" w:rsidP="009C14EC">
      <w:pPr>
        <w:ind w:left="-567" w:right="-516"/>
        <w:jc w:val="both"/>
        <w:rPr>
          <w:rFonts w:ascii="Arial" w:hAnsi="Arial" w:cs="Arial"/>
        </w:rPr>
      </w:pPr>
    </w:p>
    <w:p w14:paraId="6B22911B" w14:textId="43A73DAE" w:rsidR="00092D94" w:rsidRDefault="00092D94" w:rsidP="009C14EC">
      <w:pPr>
        <w:ind w:left="-567" w:right="-516"/>
        <w:jc w:val="both"/>
        <w:rPr>
          <w:rFonts w:ascii="Arial" w:hAnsi="Arial" w:cs="Arial"/>
        </w:rPr>
      </w:pPr>
    </w:p>
    <w:p w14:paraId="01F609C4" w14:textId="77777777" w:rsidR="00972B98" w:rsidRDefault="00972B98" w:rsidP="009C14EC">
      <w:pPr>
        <w:ind w:left="-567" w:right="-516"/>
        <w:jc w:val="both"/>
        <w:rPr>
          <w:rFonts w:ascii="Arial" w:hAnsi="Arial" w:cs="Arial"/>
        </w:rPr>
      </w:pPr>
    </w:p>
    <w:p w14:paraId="4818325B" w14:textId="77777777" w:rsidR="00092D94" w:rsidRDefault="00092D94" w:rsidP="009C14EC">
      <w:pPr>
        <w:ind w:left="-567" w:right="-516"/>
        <w:jc w:val="both"/>
        <w:rPr>
          <w:rFonts w:ascii="Arial" w:hAnsi="Arial" w:cs="Arial"/>
        </w:rPr>
      </w:pPr>
    </w:p>
    <w:p w14:paraId="204A2ED1" w14:textId="51371D7E" w:rsidR="00092D94" w:rsidRPr="003A2799" w:rsidRDefault="00092D94">
      <w:pPr>
        <w:pStyle w:val="Textoindependiente"/>
        <w:ind w:left="-567" w:right="-518"/>
        <w:jc w:val="center"/>
        <w:rPr>
          <w:rFonts w:ascii="Arial" w:hAnsi="Arial" w:cs="Arial"/>
          <w:lang w:val="es-MX"/>
        </w:rPr>
      </w:pPr>
      <w:r w:rsidRPr="00AC52CC">
        <w:rPr>
          <w:rFonts w:ascii="Arial" w:hAnsi="Arial" w:cs="Arial"/>
          <w:sz w:val="20"/>
          <w:szCs w:val="20"/>
        </w:rPr>
        <w:lastRenderedPageBreak/>
        <w:t xml:space="preserve">Gráfica </w:t>
      </w:r>
      <w:r>
        <w:rPr>
          <w:rFonts w:ascii="Arial" w:hAnsi="Arial" w:cs="Arial"/>
          <w:sz w:val="20"/>
          <w:szCs w:val="20"/>
          <w:lang w:val="es-MX"/>
        </w:rPr>
        <w:t>2</w:t>
      </w:r>
    </w:p>
    <w:p w14:paraId="52C6EF6E" w14:textId="053822FD" w:rsidR="00092D94" w:rsidRPr="00E45EE6" w:rsidRDefault="00092D94" w:rsidP="003A2799">
      <w:pPr>
        <w:pStyle w:val="Textoindependiente"/>
        <w:ind w:left="-567" w:right="-518"/>
        <w:jc w:val="center"/>
        <w:rPr>
          <w:rFonts w:ascii="Arial" w:hAnsi="Arial" w:cs="Arial"/>
          <w:b/>
          <w:iCs/>
          <w:smallCaps/>
          <w:sz w:val="22"/>
          <w:szCs w:val="22"/>
          <w:lang w:val="es-MX"/>
        </w:rPr>
      </w:pPr>
      <w:r w:rsidRPr="00E45EE6">
        <w:rPr>
          <w:rFonts w:ascii="Arial" w:hAnsi="Arial" w:cs="Arial"/>
          <w:b/>
          <w:iCs/>
          <w:smallCaps/>
          <w:sz w:val="22"/>
          <w:szCs w:val="22"/>
          <w:lang w:val="es-MX"/>
        </w:rPr>
        <w:t>Distribución del PIB de la economía social por clasificación funcional, 2018</w:t>
      </w:r>
    </w:p>
    <w:p w14:paraId="34DC38B0" w14:textId="4A735971" w:rsidR="00092D94" w:rsidRPr="00E45EE6" w:rsidRDefault="00092D94" w:rsidP="003A2799">
      <w:pPr>
        <w:pStyle w:val="Textoindependiente"/>
        <w:ind w:left="-567" w:right="-518"/>
        <w:jc w:val="center"/>
        <w:rPr>
          <w:noProof/>
          <w:lang w:val="es-MX" w:eastAsia="es-MX"/>
        </w:rPr>
      </w:pPr>
      <w:r w:rsidRPr="00E45EE6">
        <w:rPr>
          <w:rFonts w:ascii="Arial" w:hAnsi="Arial" w:cs="Arial"/>
          <w:sz w:val="18"/>
          <w:szCs w:val="18"/>
        </w:rPr>
        <w:t>(</w:t>
      </w:r>
      <w:r w:rsidRPr="00E45EE6">
        <w:rPr>
          <w:rFonts w:ascii="Arial" w:hAnsi="Arial" w:cs="Arial"/>
          <w:sz w:val="18"/>
          <w:szCs w:val="18"/>
          <w:lang w:val="es-MX"/>
        </w:rPr>
        <w:t>Estructura porcentual</w:t>
      </w:r>
      <w:r w:rsidRPr="00E45EE6">
        <w:rPr>
          <w:rFonts w:ascii="Arial" w:hAnsi="Arial" w:cs="Arial"/>
          <w:sz w:val="18"/>
          <w:szCs w:val="18"/>
        </w:rPr>
        <w:t>)</w:t>
      </w:r>
    </w:p>
    <w:p w14:paraId="7F77845C" w14:textId="77777777" w:rsidR="00092D94" w:rsidRPr="00E45EE6" w:rsidRDefault="00092D94" w:rsidP="00092D94">
      <w:pPr>
        <w:pStyle w:val="Textoindependiente"/>
        <w:ind w:left="-567"/>
        <w:jc w:val="center"/>
        <w:rPr>
          <w:rFonts w:ascii="Arial" w:hAnsi="Arial" w:cs="Arial"/>
          <w:sz w:val="16"/>
          <w:szCs w:val="16"/>
          <w:lang w:val="es-MX"/>
        </w:rPr>
      </w:pPr>
      <w:r w:rsidRPr="00E45EE6">
        <w:rPr>
          <w:rFonts w:ascii="Arial" w:hAnsi="Arial" w:cs="Arial"/>
          <w:b/>
          <w:smallCaps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3ABE567" wp14:editId="348C6CEC">
                <wp:simplePos x="0" y="0"/>
                <wp:positionH relativeFrom="column">
                  <wp:posOffset>1287780</wp:posOffset>
                </wp:positionH>
                <wp:positionV relativeFrom="paragraph">
                  <wp:posOffset>535940</wp:posOffset>
                </wp:positionV>
                <wp:extent cx="220980" cy="266700"/>
                <wp:effectExtent l="0" t="0" r="0" b="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273C9" w14:textId="77777777" w:rsidR="00092D94" w:rsidRPr="00EF6FD6" w:rsidRDefault="00092D94" w:rsidP="00092D9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3ABE56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1.4pt;margin-top:42.2pt;width:17.4pt;height:2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" filled="f" stroked="f">
                <v:textbox>
                  <w:txbxContent>
                    <w:p w14:paraId="34E273C9" w14:textId="77777777" w:rsidR="00092D94" w:rsidRPr="00EF6FD6" w:rsidRDefault="00092D94" w:rsidP="00092D94">
                      <w:pPr>
                        <w:rPr>
                          <w:rFonts w:asciiTheme="minorHAnsi" w:hAnsiTheme="minorHAnsi" w:cstheme="minorHAnsi"/>
                          <w:b/>
                          <w:sz w:val="1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45EE6">
        <w:rPr>
          <w:rFonts w:ascii="Arial" w:hAnsi="Arial" w:cs="Arial"/>
          <w:b/>
          <w:smallCaps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3B5EAC" wp14:editId="22ABA429">
                <wp:simplePos x="0" y="0"/>
                <wp:positionH relativeFrom="column">
                  <wp:posOffset>802005</wp:posOffset>
                </wp:positionH>
                <wp:positionV relativeFrom="paragraph">
                  <wp:posOffset>1226820</wp:posOffset>
                </wp:positionV>
                <wp:extent cx="220980" cy="26670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F499E" w14:textId="77777777" w:rsidR="00092D94" w:rsidRPr="00EF6FD6" w:rsidRDefault="00092D94" w:rsidP="00092D9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A3B5EAC" id="_x0000_s1027" type="#_x0000_t202" style="position:absolute;left:0;text-align:left;margin-left:63.15pt;margin-top:96.6pt;width:17.4pt;height:2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" filled="f" stroked="f">
                <v:textbox>
                  <w:txbxContent>
                    <w:p w14:paraId="5C8F499E" w14:textId="77777777" w:rsidR="00092D94" w:rsidRPr="00EF6FD6" w:rsidRDefault="00092D94" w:rsidP="00092D94">
                      <w:pPr>
                        <w:rPr>
                          <w:rFonts w:asciiTheme="minorHAnsi" w:hAnsiTheme="minorHAnsi" w:cstheme="minorHAnsi"/>
                          <w:b/>
                          <w:sz w:val="1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45EE6">
        <w:rPr>
          <w:noProof/>
          <w:lang w:val="es-MX" w:eastAsia="es-MX"/>
        </w:rPr>
        <w:drawing>
          <wp:inline distT="0" distB="0" distL="0" distR="0" wp14:anchorId="2DC56ACC" wp14:editId="099EECE7">
            <wp:extent cx="6065520" cy="2705735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BF5A876-1254-4E9D-A935-F4C4FCC385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71DC81E" w14:textId="7E4BA59C" w:rsidR="00092D94" w:rsidRPr="00E45EE6" w:rsidRDefault="00092D94" w:rsidP="00092D94">
      <w:pPr>
        <w:pStyle w:val="Textoindependiente"/>
        <w:ind w:left="142" w:right="191"/>
        <w:jc w:val="left"/>
        <w:rPr>
          <w:rFonts w:ascii="Arial" w:hAnsi="Arial" w:cs="Arial"/>
          <w:sz w:val="16"/>
          <w:szCs w:val="16"/>
          <w:lang w:val="es-MX"/>
        </w:rPr>
      </w:pPr>
      <w:r w:rsidRPr="00E45EE6">
        <w:rPr>
          <w:rFonts w:ascii="Arial" w:hAnsi="Arial" w:cs="Arial"/>
          <w:sz w:val="16"/>
          <w:szCs w:val="16"/>
          <w:vertAlign w:val="superscript"/>
          <w:lang w:val="es-MX"/>
        </w:rPr>
        <w:t>1</w:t>
      </w:r>
      <w:r w:rsidRPr="00E45EE6">
        <w:rPr>
          <w:rFonts w:ascii="Arial" w:hAnsi="Arial" w:cs="Arial"/>
          <w:sz w:val="16"/>
          <w:szCs w:val="16"/>
          <w:lang w:val="es-MX"/>
        </w:rPr>
        <w:t xml:space="preserve"> </w:t>
      </w:r>
      <w:proofErr w:type="gramStart"/>
      <w:r w:rsidR="003A2799">
        <w:rPr>
          <w:rFonts w:ascii="Arial" w:hAnsi="Arial" w:cs="Arial"/>
          <w:sz w:val="16"/>
          <w:szCs w:val="16"/>
          <w:lang w:val="es-MX"/>
        </w:rPr>
        <w:t>I</w:t>
      </w:r>
      <w:r w:rsidRPr="00E45EE6">
        <w:rPr>
          <w:rFonts w:ascii="Arial" w:hAnsi="Arial" w:cs="Arial"/>
          <w:sz w:val="16"/>
          <w:szCs w:val="16"/>
          <w:lang w:val="es-MX"/>
        </w:rPr>
        <w:t>ncluye</w:t>
      </w:r>
      <w:proofErr w:type="gramEnd"/>
      <w:r w:rsidRPr="00E45EE6">
        <w:rPr>
          <w:rFonts w:ascii="Arial" w:hAnsi="Arial" w:cs="Arial"/>
          <w:sz w:val="16"/>
          <w:szCs w:val="16"/>
          <w:lang w:val="es-MX"/>
        </w:rPr>
        <w:t xml:space="preserve"> uniones de ejidos.</w:t>
      </w:r>
    </w:p>
    <w:p w14:paraId="3C92E2C4" w14:textId="371D58EB" w:rsidR="00092D94" w:rsidRPr="00E45EE6" w:rsidRDefault="00092D94" w:rsidP="00092D94">
      <w:pPr>
        <w:pStyle w:val="Textoindependiente"/>
        <w:ind w:left="142" w:right="191"/>
        <w:jc w:val="left"/>
        <w:rPr>
          <w:rFonts w:ascii="Arial" w:hAnsi="Arial" w:cs="Arial"/>
          <w:sz w:val="16"/>
          <w:szCs w:val="16"/>
          <w:lang w:val="es-MX"/>
        </w:rPr>
      </w:pPr>
      <w:r w:rsidRPr="00E45EE6">
        <w:rPr>
          <w:rFonts w:ascii="Arial" w:hAnsi="Arial" w:cs="Arial"/>
          <w:sz w:val="16"/>
          <w:szCs w:val="16"/>
          <w:vertAlign w:val="superscript"/>
          <w:lang w:val="es-MX"/>
        </w:rPr>
        <w:t>2</w:t>
      </w:r>
      <w:r w:rsidRPr="00E45EE6">
        <w:rPr>
          <w:rFonts w:ascii="Arial" w:hAnsi="Arial" w:cs="Arial"/>
          <w:sz w:val="16"/>
          <w:szCs w:val="16"/>
          <w:lang w:val="es-MX"/>
        </w:rPr>
        <w:t xml:space="preserve"> </w:t>
      </w:r>
      <w:proofErr w:type="gramStart"/>
      <w:r w:rsidR="003A2799">
        <w:rPr>
          <w:rFonts w:ascii="Arial" w:hAnsi="Arial" w:cs="Arial"/>
          <w:sz w:val="16"/>
          <w:szCs w:val="16"/>
          <w:lang w:val="es-MX"/>
        </w:rPr>
        <w:t>I</w:t>
      </w:r>
      <w:r w:rsidRPr="00E45EE6">
        <w:rPr>
          <w:rFonts w:ascii="Arial" w:hAnsi="Arial" w:cs="Arial"/>
          <w:sz w:val="16"/>
          <w:szCs w:val="16"/>
          <w:lang w:val="es-MX"/>
        </w:rPr>
        <w:t>ncluye</w:t>
      </w:r>
      <w:proofErr w:type="gramEnd"/>
      <w:r w:rsidRPr="00E45EE6">
        <w:rPr>
          <w:rFonts w:ascii="Arial" w:hAnsi="Arial" w:cs="Arial"/>
          <w:sz w:val="16"/>
          <w:szCs w:val="16"/>
          <w:lang w:val="es-MX"/>
        </w:rPr>
        <w:t xml:space="preserve"> uniones de comunidades.</w:t>
      </w:r>
    </w:p>
    <w:p w14:paraId="6A12580F" w14:textId="7BE903F6" w:rsidR="00092D94" w:rsidRPr="00E45EE6" w:rsidRDefault="00092D94" w:rsidP="00092D94">
      <w:pPr>
        <w:pStyle w:val="Textoindependiente"/>
        <w:ind w:left="142" w:right="191"/>
        <w:jc w:val="left"/>
        <w:rPr>
          <w:rFonts w:ascii="Arial" w:hAnsi="Arial" w:cs="Arial"/>
          <w:sz w:val="16"/>
          <w:szCs w:val="16"/>
          <w:lang w:val="es-MX"/>
        </w:rPr>
      </w:pPr>
      <w:r w:rsidRPr="00E45EE6">
        <w:rPr>
          <w:rFonts w:ascii="Arial" w:hAnsi="Arial" w:cs="Arial"/>
          <w:sz w:val="16"/>
          <w:szCs w:val="16"/>
          <w:vertAlign w:val="superscript"/>
          <w:lang w:val="es-MX"/>
        </w:rPr>
        <w:t>3</w:t>
      </w:r>
      <w:r w:rsidRPr="00E45EE6">
        <w:rPr>
          <w:rFonts w:ascii="Arial" w:hAnsi="Arial" w:cs="Arial"/>
          <w:sz w:val="16"/>
          <w:szCs w:val="16"/>
          <w:lang w:val="es-MX"/>
        </w:rPr>
        <w:t xml:space="preserve"> </w:t>
      </w:r>
      <w:proofErr w:type="gramStart"/>
      <w:r w:rsidR="003A2799">
        <w:rPr>
          <w:rFonts w:ascii="Arial" w:hAnsi="Arial" w:cs="Arial"/>
          <w:sz w:val="16"/>
          <w:szCs w:val="16"/>
          <w:lang w:val="es-MX"/>
        </w:rPr>
        <w:t>I</w:t>
      </w:r>
      <w:r w:rsidRPr="00E45EE6">
        <w:rPr>
          <w:rFonts w:ascii="Arial" w:hAnsi="Arial" w:cs="Arial"/>
          <w:sz w:val="16"/>
          <w:szCs w:val="16"/>
          <w:lang w:val="es-MX"/>
        </w:rPr>
        <w:t>ncluye</w:t>
      </w:r>
      <w:proofErr w:type="gramEnd"/>
      <w:r w:rsidRPr="00E45EE6">
        <w:rPr>
          <w:rFonts w:ascii="Arial" w:hAnsi="Arial" w:cs="Arial"/>
          <w:sz w:val="16"/>
          <w:szCs w:val="16"/>
          <w:lang w:val="es-MX"/>
        </w:rPr>
        <w:t xml:space="preserve"> uniones de Sociedades de Producción Rural.</w:t>
      </w:r>
    </w:p>
    <w:p w14:paraId="5CC93600" w14:textId="50A2E916" w:rsidR="00092D94" w:rsidRPr="00E45EE6" w:rsidRDefault="00092D94" w:rsidP="00092D94">
      <w:pPr>
        <w:pStyle w:val="Textoindependiente"/>
        <w:ind w:left="142" w:right="191"/>
        <w:jc w:val="left"/>
        <w:rPr>
          <w:rFonts w:ascii="Arial" w:hAnsi="Arial" w:cs="Arial"/>
          <w:sz w:val="16"/>
          <w:szCs w:val="16"/>
          <w:lang w:val="es-MX"/>
        </w:rPr>
      </w:pPr>
      <w:r w:rsidRPr="00E45EE6">
        <w:rPr>
          <w:rFonts w:ascii="Arial" w:hAnsi="Arial" w:cs="Arial"/>
          <w:sz w:val="16"/>
          <w:szCs w:val="16"/>
          <w:lang w:val="es-MX"/>
        </w:rPr>
        <w:t xml:space="preserve">Resto de organismos incluye: </w:t>
      </w:r>
      <w:r>
        <w:rPr>
          <w:rFonts w:ascii="Arial" w:hAnsi="Arial" w:cs="Arial"/>
          <w:sz w:val="16"/>
          <w:szCs w:val="16"/>
          <w:lang w:val="es-MX"/>
        </w:rPr>
        <w:t>s</w:t>
      </w:r>
      <w:r w:rsidRPr="00E45EE6">
        <w:rPr>
          <w:rFonts w:ascii="Arial" w:hAnsi="Arial" w:cs="Arial"/>
          <w:sz w:val="16"/>
          <w:szCs w:val="16"/>
          <w:lang w:val="es-MX"/>
        </w:rPr>
        <w:t xml:space="preserve">ociedades de </w:t>
      </w:r>
      <w:r>
        <w:rPr>
          <w:rFonts w:ascii="Arial" w:hAnsi="Arial" w:cs="Arial"/>
          <w:sz w:val="16"/>
          <w:szCs w:val="16"/>
          <w:lang w:val="es-MX"/>
        </w:rPr>
        <w:t>s</w:t>
      </w:r>
      <w:r w:rsidRPr="00E45EE6">
        <w:rPr>
          <w:rFonts w:ascii="Arial" w:hAnsi="Arial" w:cs="Arial"/>
          <w:sz w:val="16"/>
          <w:szCs w:val="16"/>
          <w:lang w:val="es-MX"/>
        </w:rPr>
        <w:t xml:space="preserve">olidaridad </w:t>
      </w:r>
      <w:r>
        <w:rPr>
          <w:rFonts w:ascii="Arial" w:hAnsi="Arial" w:cs="Arial"/>
          <w:sz w:val="16"/>
          <w:szCs w:val="16"/>
          <w:lang w:val="es-MX"/>
        </w:rPr>
        <w:t>s</w:t>
      </w:r>
      <w:r w:rsidRPr="00E45EE6">
        <w:rPr>
          <w:rFonts w:ascii="Arial" w:hAnsi="Arial" w:cs="Arial"/>
          <w:sz w:val="16"/>
          <w:szCs w:val="16"/>
          <w:lang w:val="es-MX"/>
        </w:rPr>
        <w:t xml:space="preserve">ocial, </w:t>
      </w:r>
      <w:r>
        <w:rPr>
          <w:rFonts w:ascii="Arial" w:hAnsi="Arial" w:cs="Arial"/>
          <w:sz w:val="16"/>
          <w:szCs w:val="16"/>
          <w:lang w:val="es-MX"/>
        </w:rPr>
        <w:t>u</w:t>
      </w:r>
      <w:r w:rsidRPr="00E45EE6">
        <w:rPr>
          <w:rFonts w:ascii="Arial" w:hAnsi="Arial" w:cs="Arial"/>
          <w:sz w:val="16"/>
          <w:szCs w:val="16"/>
          <w:lang w:val="es-MX"/>
        </w:rPr>
        <w:t>niones de crédito</w:t>
      </w:r>
      <w:r>
        <w:rPr>
          <w:rFonts w:ascii="Arial" w:hAnsi="Arial" w:cs="Arial"/>
          <w:sz w:val="16"/>
          <w:szCs w:val="16"/>
          <w:lang w:val="es-MX"/>
        </w:rPr>
        <w:t>,</w:t>
      </w:r>
      <w:r w:rsidRPr="00E45EE6">
        <w:rPr>
          <w:rFonts w:ascii="Arial" w:hAnsi="Arial" w:cs="Arial"/>
          <w:sz w:val="16"/>
          <w:szCs w:val="16"/>
          <w:lang w:val="es-MX"/>
        </w:rPr>
        <w:t xml:space="preserve"> </w:t>
      </w:r>
      <w:r>
        <w:rPr>
          <w:rFonts w:ascii="Arial" w:hAnsi="Arial" w:cs="Arial"/>
          <w:sz w:val="16"/>
          <w:szCs w:val="16"/>
          <w:lang w:val="es-MX"/>
        </w:rPr>
        <w:t>f</w:t>
      </w:r>
      <w:r w:rsidRPr="00E45EE6">
        <w:rPr>
          <w:rFonts w:ascii="Arial" w:hAnsi="Arial" w:cs="Arial"/>
          <w:sz w:val="16"/>
          <w:szCs w:val="16"/>
          <w:lang w:val="es-MX"/>
        </w:rPr>
        <w:t xml:space="preserve">ondo de </w:t>
      </w:r>
      <w:r>
        <w:rPr>
          <w:rFonts w:ascii="Arial" w:hAnsi="Arial" w:cs="Arial"/>
          <w:sz w:val="16"/>
          <w:szCs w:val="16"/>
          <w:lang w:val="es-MX"/>
        </w:rPr>
        <w:t>a</w:t>
      </w:r>
      <w:r w:rsidRPr="00E45EE6">
        <w:rPr>
          <w:rFonts w:ascii="Arial" w:hAnsi="Arial" w:cs="Arial"/>
          <w:sz w:val="16"/>
          <w:szCs w:val="16"/>
          <w:lang w:val="es-MX"/>
        </w:rPr>
        <w:t xml:space="preserve">seguramiento </w:t>
      </w:r>
      <w:r>
        <w:rPr>
          <w:rFonts w:ascii="Arial" w:hAnsi="Arial" w:cs="Arial"/>
          <w:sz w:val="16"/>
          <w:szCs w:val="16"/>
          <w:lang w:val="es-MX"/>
        </w:rPr>
        <w:t>a</w:t>
      </w:r>
      <w:r w:rsidRPr="00E45EE6">
        <w:rPr>
          <w:rFonts w:ascii="Arial" w:hAnsi="Arial" w:cs="Arial"/>
          <w:sz w:val="16"/>
          <w:szCs w:val="16"/>
          <w:lang w:val="es-MX"/>
        </w:rPr>
        <w:t xml:space="preserve">gropecuario y </w:t>
      </w:r>
      <w:r>
        <w:rPr>
          <w:rFonts w:ascii="Arial" w:hAnsi="Arial" w:cs="Arial"/>
          <w:sz w:val="16"/>
          <w:szCs w:val="16"/>
          <w:lang w:val="es-MX"/>
        </w:rPr>
        <w:t>r</w:t>
      </w:r>
      <w:r w:rsidRPr="00E45EE6">
        <w:rPr>
          <w:rFonts w:ascii="Arial" w:hAnsi="Arial" w:cs="Arial"/>
          <w:sz w:val="16"/>
          <w:szCs w:val="16"/>
          <w:lang w:val="es-MX"/>
        </w:rPr>
        <w:t>ural</w:t>
      </w:r>
      <w:r>
        <w:rPr>
          <w:rFonts w:ascii="Arial" w:hAnsi="Arial" w:cs="Arial"/>
          <w:sz w:val="16"/>
          <w:szCs w:val="16"/>
          <w:lang w:val="es-MX"/>
        </w:rPr>
        <w:t>, s</w:t>
      </w:r>
      <w:r w:rsidRPr="00E45EE6">
        <w:rPr>
          <w:rFonts w:ascii="Arial" w:hAnsi="Arial" w:cs="Arial"/>
          <w:sz w:val="16"/>
          <w:szCs w:val="16"/>
          <w:lang w:val="es-MX"/>
        </w:rPr>
        <w:t>ociedades mutualistas</w:t>
      </w:r>
      <w:r>
        <w:rPr>
          <w:rFonts w:ascii="Arial" w:hAnsi="Arial" w:cs="Arial"/>
          <w:sz w:val="16"/>
          <w:szCs w:val="16"/>
          <w:lang w:val="es-MX"/>
        </w:rPr>
        <w:t xml:space="preserve">, grupos empresariales, </w:t>
      </w:r>
      <w:r w:rsidRPr="00E45EE6">
        <w:rPr>
          <w:rFonts w:ascii="Arial" w:hAnsi="Arial" w:cs="Arial"/>
          <w:sz w:val="16"/>
          <w:szCs w:val="16"/>
          <w:lang w:val="es-MX"/>
        </w:rPr>
        <w:t>entre otros</w:t>
      </w:r>
      <w:r>
        <w:rPr>
          <w:rFonts w:ascii="Arial" w:hAnsi="Arial" w:cs="Arial"/>
          <w:sz w:val="16"/>
          <w:szCs w:val="16"/>
          <w:lang w:val="es-MX"/>
        </w:rPr>
        <w:t>.</w:t>
      </w:r>
      <w:r w:rsidRPr="00E45EE6">
        <w:rPr>
          <w:rFonts w:ascii="Arial" w:hAnsi="Arial" w:cs="Arial"/>
          <w:sz w:val="16"/>
          <w:szCs w:val="16"/>
          <w:lang w:val="es-MX"/>
        </w:rPr>
        <w:t xml:space="preserve">   </w:t>
      </w:r>
    </w:p>
    <w:p w14:paraId="2E299630" w14:textId="0E6BF903" w:rsidR="00092D94" w:rsidRPr="0080258B" w:rsidRDefault="00092D94" w:rsidP="00092D94">
      <w:pPr>
        <w:pStyle w:val="Textoindependiente"/>
        <w:ind w:right="191"/>
        <w:jc w:val="left"/>
        <w:rPr>
          <w:rFonts w:ascii="Arial" w:hAnsi="Arial" w:cs="Arial"/>
          <w:sz w:val="16"/>
          <w:szCs w:val="16"/>
        </w:rPr>
      </w:pPr>
      <w:r w:rsidRPr="00E45EE6">
        <w:rPr>
          <w:rFonts w:ascii="Arial" w:hAnsi="Arial" w:cs="Arial"/>
          <w:sz w:val="16"/>
          <w:szCs w:val="16"/>
          <w:lang w:val="es-MX"/>
        </w:rPr>
        <w:t xml:space="preserve">   </w:t>
      </w:r>
      <w:r w:rsidRPr="00E45EE6">
        <w:rPr>
          <w:rFonts w:ascii="Arial" w:hAnsi="Arial" w:cs="Arial"/>
          <w:sz w:val="16"/>
          <w:szCs w:val="16"/>
        </w:rPr>
        <w:t>Fuente: INEGI</w:t>
      </w:r>
      <w:r w:rsidRPr="008C1921">
        <w:rPr>
          <w:noProof/>
        </w:rPr>
        <w:t xml:space="preserve"> </w:t>
      </w:r>
    </w:p>
    <w:p w14:paraId="38E4F99F" w14:textId="77777777" w:rsidR="00092D94" w:rsidRDefault="00092D94" w:rsidP="003A2799">
      <w:pPr>
        <w:ind w:right="-516"/>
        <w:jc w:val="both"/>
        <w:rPr>
          <w:rFonts w:ascii="Arial" w:hAnsi="Arial" w:cs="Arial"/>
        </w:rPr>
      </w:pPr>
    </w:p>
    <w:p w14:paraId="552FA6CC" w14:textId="77777777" w:rsidR="000A5973" w:rsidRDefault="000A5973" w:rsidP="009C14EC">
      <w:pPr>
        <w:ind w:left="-567" w:right="-516"/>
        <w:jc w:val="both"/>
        <w:rPr>
          <w:rFonts w:ascii="Arial" w:hAnsi="Arial" w:cs="Arial"/>
        </w:rPr>
      </w:pPr>
    </w:p>
    <w:p w14:paraId="5FC34287" w14:textId="3549F758" w:rsidR="00631FBF" w:rsidRDefault="006F5A60" w:rsidP="009C14EC">
      <w:pPr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>Los</w:t>
      </w:r>
      <w:r w:rsidR="00631FBF" w:rsidRPr="00AC52CC">
        <w:rPr>
          <w:rFonts w:ascii="Arial" w:hAnsi="Arial" w:cs="Arial"/>
        </w:rPr>
        <w:t xml:space="preserve"> puestos de trabajo que aporta la economía social se componen de</w:t>
      </w:r>
      <w:r>
        <w:rPr>
          <w:rFonts w:ascii="Arial" w:hAnsi="Arial" w:cs="Arial"/>
        </w:rPr>
        <w:t>:</w:t>
      </w:r>
      <w:r w:rsidR="00631FBF" w:rsidRPr="00AC52CC">
        <w:rPr>
          <w:rFonts w:ascii="Arial" w:hAnsi="Arial" w:cs="Arial"/>
        </w:rPr>
        <w:t xml:space="preserve"> puestos</w:t>
      </w:r>
      <w:r w:rsidR="00FE4EC4" w:rsidRPr="00AC52CC">
        <w:rPr>
          <w:rFonts w:ascii="Arial" w:hAnsi="Arial" w:cs="Arial"/>
        </w:rPr>
        <w:t xml:space="preserve"> de trabajo ocupados</w:t>
      </w:r>
      <w:r w:rsidR="00631FBF" w:rsidRPr="00AC52CC">
        <w:rPr>
          <w:rFonts w:ascii="Arial" w:hAnsi="Arial" w:cs="Arial"/>
        </w:rPr>
        <w:t xml:space="preserve"> remunerados</w:t>
      </w:r>
      <w:r>
        <w:rPr>
          <w:rFonts w:ascii="Arial" w:hAnsi="Arial" w:cs="Arial"/>
        </w:rPr>
        <w:t xml:space="preserve"> (</w:t>
      </w:r>
      <w:r w:rsidR="00D11FA0">
        <w:rPr>
          <w:rFonts w:ascii="Arial" w:hAnsi="Arial" w:cs="Arial"/>
        </w:rPr>
        <w:t xml:space="preserve">trabajadoras y </w:t>
      </w:r>
      <w:r w:rsidRPr="00B362BC">
        <w:rPr>
          <w:rFonts w:ascii="Arial" w:hAnsi="Arial" w:cs="Arial"/>
        </w:rPr>
        <w:t>trabajadores contratados con remuneración</w:t>
      </w:r>
      <w:r>
        <w:rPr>
          <w:rFonts w:ascii="Arial" w:hAnsi="Arial" w:cs="Arial"/>
        </w:rPr>
        <w:t>)</w:t>
      </w:r>
      <w:r w:rsidR="00631FBF" w:rsidRPr="00AC52CC">
        <w:rPr>
          <w:rFonts w:ascii="Arial" w:hAnsi="Arial" w:cs="Arial"/>
        </w:rPr>
        <w:t xml:space="preserve"> y de puestos de trabajo </w:t>
      </w:r>
      <w:r w:rsidR="00FE4EC4" w:rsidRPr="00AC52CC">
        <w:rPr>
          <w:rFonts w:ascii="Arial" w:hAnsi="Arial" w:cs="Arial"/>
        </w:rPr>
        <w:t xml:space="preserve">ocupados </w:t>
      </w:r>
      <w:r w:rsidR="00631FBF" w:rsidRPr="00AC52CC">
        <w:rPr>
          <w:rFonts w:ascii="Arial" w:hAnsi="Arial" w:cs="Arial"/>
        </w:rPr>
        <w:t>no remunerado</w:t>
      </w:r>
      <w:r w:rsidR="00FE4EC4" w:rsidRPr="00AC52CC">
        <w:rPr>
          <w:rFonts w:ascii="Arial" w:hAnsi="Arial" w:cs="Arial"/>
        </w:rPr>
        <w:t>s</w:t>
      </w:r>
      <w:r w:rsidR="00631FBF" w:rsidRPr="00AC52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D11FA0">
        <w:rPr>
          <w:rFonts w:ascii="Arial" w:hAnsi="Arial" w:cs="Arial"/>
        </w:rPr>
        <w:t xml:space="preserve">socias y </w:t>
      </w:r>
      <w:r w:rsidR="00631FBF" w:rsidRPr="00AC52CC">
        <w:rPr>
          <w:rFonts w:ascii="Arial" w:hAnsi="Arial" w:cs="Arial"/>
        </w:rPr>
        <w:t>socios-trabajadores</w:t>
      </w:r>
      <w:r w:rsidR="006606A0">
        <w:rPr>
          <w:rFonts w:ascii="Arial" w:hAnsi="Arial" w:cs="Arial"/>
        </w:rPr>
        <w:t xml:space="preserve"> y sus familias,</w:t>
      </w:r>
      <w:r w:rsidR="00631FBF" w:rsidRPr="00AC52CC">
        <w:rPr>
          <w:rFonts w:ascii="Arial" w:hAnsi="Arial" w:cs="Arial"/>
        </w:rPr>
        <w:t xml:space="preserve"> cuya retribución a su trabajo corresponde a las ganan</w:t>
      </w:r>
      <w:r w:rsidR="00456481" w:rsidRPr="00AC52CC">
        <w:rPr>
          <w:rFonts w:ascii="Arial" w:hAnsi="Arial" w:cs="Arial"/>
        </w:rPr>
        <w:t>cias obtenidas en la actividad</w:t>
      </w:r>
      <w:r>
        <w:rPr>
          <w:rFonts w:ascii="Arial" w:hAnsi="Arial" w:cs="Arial"/>
        </w:rPr>
        <w:t>)</w:t>
      </w:r>
      <w:r w:rsidR="00456481" w:rsidRPr="00AC52CC">
        <w:rPr>
          <w:rFonts w:ascii="Arial" w:hAnsi="Arial" w:cs="Arial"/>
        </w:rPr>
        <w:t>.</w:t>
      </w:r>
    </w:p>
    <w:p w14:paraId="791DABE5" w14:textId="77777777" w:rsidR="006F5A60" w:rsidRPr="00AC52CC" w:rsidRDefault="006F5A60" w:rsidP="009C14EC">
      <w:pPr>
        <w:ind w:left="-567" w:right="-516"/>
        <w:jc w:val="both"/>
        <w:rPr>
          <w:rFonts w:ascii="Arial" w:hAnsi="Arial" w:cs="Arial"/>
        </w:rPr>
      </w:pPr>
    </w:p>
    <w:p w14:paraId="75D32992" w14:textId="7518A98D" w:rsidR="000E055D" w:rsidRPr="00AC52CC" w:rsidRDefault="000C0206" w:rsidP="009C14EC">
      <w:pPr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0255B">
        <w:rPr>
          <w:rFonts w:ascii="Arial" w:hAnsi="Arial" w:cs="Arial"/>
        </w:rPr>
        <w:t>n</w:t>
      </w:r>
      <w:r w:rsidR="007F1A00" w:rsidRPr="00AC52CC">
        <w:rPr>
          <w:rFonts w:ascii="Arial" w:hAnsi="Arial" w:cs="Arial"/>
        </w:rPr>
        <w:t xml:space="preserve"> </w:t>
      </w:r>
      <w:r w:rsidR="00327282" w:rsidRPr="00AC52CC">
        <w:rPr>
          <w:rFonts w:ascii="Arial" w:hAnsi="Arial" w:cs="Arial"/>
        </w:rPr>
        <w:t>2018,</w:t>
      </w:r>
      <w:r w:rsidR="0040255B">
        <w:rPr>
          <w:rFonts w:ascii="Arial" w:hAnsi="Arial" w:cs="Arial"/>
        </w:rPr>
        <w:t xml:space="preserve"> la</w:t>
      </w:r>
      <w:r w:rsidR="0040255B" w:rsidRPr="0040255B">
        <w:rPr>
          <w:rFonts w:ascii="Arial" w:hAnsi="Arial" w:cs="Arial"/>
        </w:rPr>
        <w:t xml:space="preserve"> </w:t>
      </w:r>
      <w:r w:rsidR="0040255B" w:rsidRPr="00B362BC">
        <w:rPr>
          <w:rFonts w:ascii="Arial" w:hAnsi="Arial" w:cs="Arial"/>
        </w:rPr>
        <w:t xml:space="preserve">economía social </w:t>
      </w:r>
      <w:r w:rsidR="0040255B">
        <w:rPr>
          <w:rFonts w:ascii="Arial" w:hAnsi="Arial" w:cs="Arial"/>
        </w:rPr>
        <w:t>generó</w:t>
      </w:r>
      <w:r w:rsidR="0040255B" w:rsidRPr="00B362BC">
        <w:rPr>
          <w:rFonts w:ascii="Arial" w:hAnsi="Arial" w:cs="Arial"/>
        </w:rPr>
        <w:t xml:space="preserve"> 1 751 695</w:t>
      </w:r>
      <w:r w:rsidR="00327282" w:rsidRPr="00AC52CC">
        <w:rPr>
          <w:rFonts w:ascii="Arial" w:hAnsi="Arial" w:cs="Arial"/>
        </w:rPr>
        <w:t xml:space="preserve"> </w:t>
      </w:r>
      <w:r w:rsidR="00327282" w:rsidRPr="00AC52CC">
        <w:rPr>
          <w:rFonts w:ascii="Arial" w:hAnsi="Arial" w:cs="Arial"/>
          <w:bCs/>
        </w:rPr>
        <w:t xml:space="preserve">puestos de trabajo </w:t>
      </w:r>
      <w:r w:rsidR="00DF40EA" w:rsidRPr="00AC52CC">
        <w:rPr>
          <w:rFonts w:ascii="Arial" w:hAnsi="Arial" w:cs="Arial"/>
          <w:bCs/>
        </w:rPr>
        <w:t xml:space="preserve">ocupados </w:t>
      </w:r>
      <w:r w:rsidR="00327282" w:rsidRPr="00AC52CC">
        <w:rPr>
          <w:rFonts w:ascii="Arial" w:hAnsi="Arial" w:cs="Arial"/>
          <w:bCs/>
        </w:rPr>
        <w:t>remunerados</w:t>
      </w:r>
      <w:r w:rsidR="0040255B">
        <w:rPr>
          <w:rFonts w:ascii="Arial" w:hAnsi="Arial" w:cs="Arial"/>
          <w:bCs/>
        </w:rPr>
        <w:t xml:space="preserve">. Estos puestos representaron </w:t>
      </w:r>
      <w:r w:rsidR="0040255B">
        <w:rPr>
          <w:rFonts w:ascii="Arial" w:hAnsi="Arial" w:cs="Arial"/>
        </w:rPr>
        <w:t>4.5 % de los puestos ocupados remunerados en el total de la</w:t>
      </w:r>
      <w:r w:rsidR="00327282" w:rsidRPr="00AC52CC">
        <w:rPr>
          <w:rFonts w:ascii="Arial" w:hAnsi="Arial" w:cs="Arial"/>
        </w:rPr>
        <w:t xml:space="preserve"> economía nacional</w:t>
      </w:r>
      <w:r w:rsidR="0040255B">
        <w:rPr>
          <w:rFonts w:ascii="Arial" w:hAnsi="Arial" w:cs="Arial"/>
        </w:rPr>
        <w:t xml:space="preserve">. </w:t>
      </w:r>
      <w:r w:rsidR="0040255B" w:rsidRPr="00AD7222">
        <w:rPr>
          <w:rFonts w:ascii="Arial" w:hAnsi="Arial" w:cs="Arial"/>
        </w:rPr>
        <w:t>Segú</w:t>
      </w:r>
      <w:r w:rsidR="00E47148" w:rsidRPr="00AD7222">
        <w:rPr>
          <w:rFonts w:ascii="Arial" w:hAnsi="Arial" w:cs="Arial"/>
        </w:rPr>
        <w:t>n</w:t>
      </w:r>
      <w:r w:rsidR="00327282" w:rsidRPr="00AC52CC">
        <w:rPr>
          <w:rFonts w:ascii="Arial" w:hAnsi="Arial" w:cs="Arial"/>
        </w:rPr>
        <w:t xml:space="preserve"> sexo, 87.4</w:t>
      </w:r>
      <w:r w:rsidR="0040255B">
        <w:rPr>
          <w:rFonts w:ascii="Arial" w:hAnsi="Arial" w:cs="Arial"/>
        </w:rPr>
        <w:t xml:space="preserve"> </w:t>
      </w:r>
      <w:r w:rsidR="00327282" w:rsidRPr="00AC52CC">
        <w:rPr>
          <w:rFonts w:ascii="Arial" w:hAnsi="Arial" w:cs="Arial"/>
        </w:rPr>
        <w:t>% correspon</w:t>
      </w:r>
      <w:r w:rsidR="0040255B">
        <w:rPr>
          <w:rFonts w:ascii="Arial" w:hAnsi="Arial" w:cs="Arial"/>
        </w:rPr>
        <w:t>dió</w:t>
      </w:r>
      <w:r w:rsidR="00327282" w:rsidRPr="00AC52CC">
        <w:rPr>
          <w:rFonts w:ascii="Arial" w:hAnsi="Arial" w:cs="Arial"/>
        </w:rPr>
        <w:t xml:space="preserve"> a hombres y 12.6</w:t>
      </w:r>
      <w:r w:rsidR="0040255B">
        <w:rPr>
          <w:rFonts w:ascii="Arial" w:hAnsi="Arial" w:cs="Arial"/>
        </w:rPr>
        <w:t xml:space="preserve"> </w:t>
      </w:r>
      <w:r w:rsidR="00327282" w:rsidRPr="00AC52CC">
        <w:rPr>
          <w:rFonts w:ascii="Arial" w:hAnsi="Arial" w:cs="Arial"/>
        </w:rPr>
        <w:t>%</w:t>
      </w:r>
      <w:r w:rsidR="00D11FA0">
        <w:rPr>
          <w:rFonts w:ascii="Arial" w:hAnsi="Arial" w:cs="Arial"/>
        </w:rPr>
        <w:t>,</w:t>
      </w:r>
      <w:r w:rsidR="00327282" w:rsidRPr="00AC52CC">
        <w:rPr>
          <w:rFonts w:ascii="Arial" w:hAnsi="Arial" w:cs="Arial"/>
        </w:rPr>
        <w:t xml:space="preserve"> a mujeres.</w:t>
      </w:r>
    </w:p>
    <w:p w14:paraId="4863FA26" w14:textId="77777777" w:rsidR="000E055D" w:rsidRDefault="000E055D" w:rsidP="00B406C3">
      <w:pPr>
        <w:ind w:left="-567" w:right="-516"/>
        <w:jc w:val="both"/>
        <w:rPr>
          <w:rFonts w:ascii="Arial" w:hAnsi="Arial" w:cs="Arial"/>
          <w:sz w:val="23"/>
          <w:szCs w:val="23"/>
        </w:rPr>
      </w:pPr>
    </w:p>
    <w:p w14:paraId="04A612EC" w14:textId="27BC7C55" w:rsidR="00594F61" w:rsidRDefault="0040255B" w:rsidP="00327282">
      <w:pPr>
        <w:ind w:left="-567" w:right="-516"/>
        <w:jc w:val="both"/>
        <w:rPr>
          <w:rFonts w:ascii="Arial" w:hAnsi="Arial" w:cs="Arial"/>
        </w:rPr>
      </w:pPr>
      <w:r w:rsidRPr="006606A0">
        <w:rPr>
          <w:rFonts w:ascii="Arial" w:hAnsi="Arial" w:cs="Arial"/>
        </w:rPr>
        <w:t>Los</w:t>
      </w:r>
      <w:r w:rsidR="002F445B" w:rsidRPr="00AC52CC">
        <w:rPr>
          <w:rFonts w:ascii="Arial" w:hAnsi="Arial" w:cs="Arial"/>
        </w:rPr>
        <w:t xml:space="preserve"> </w:t>
      </w:r>
      <w:r w:rsidR="00DF40EA" w:rsidRPr="00AC52CC">
        <w:rPr>
          <w:rFonts w:ascii="Arial" w:hAnsi="Arial" w:cs="Arial"/>
          <w:bCs/>
        </w:rPr>
        <w:t>puestos de trabajo ocupados</w:t>
      </w:r>
      <w:r w:rsidR="002F445B" w:rsidRPr="00AC52CC">
        <w:rPr>
          <w:rFonts w:ascii="Arial" w:hAnsi="Arial" w:cs="Arial"/>
          <w:bCs/>
        </w:rPr>
        <w:t xml:space="preserve"> no remunerados</w:t>
      </w:r>
      <w:r w:rsidR="006606A0" w:rsidRPr="00AC52CC">
        <w:rPr>
          <w:rFonts w:ascii="Arial" w:hAnsi="Arial" w:cs="Arial"/>
          <w:bCs/>
        </w:rPr>
        <w:t xml:space="preserve"> </w:t>
      </w:r>
      <w:r w:rsidR="002F445B" w:rsidRPr="00AC52CC">
        <w:rPr>
          <w:rFonts w:ascii="Arial" w:hAnsi="Arial" w:cs="Arial"/>
        </w:rPr>
        <w:t>sumaron 2 606 436</w:t>
      </w:r>
      <w:r w:rsidR="006606A0" w:rsidRPr="006606A0">
        <w:rPr>
          <w:rFonts w:ascii="Arial" w:hAnsi="Arial" w:cs="Arial"/>
        </w:rPr>
        <w:t>.</w:t>
      </w:r>
      <w:r w:rsidRPr="006606A0">
        <w:rPr>
          <w:rFonts w:ascii="Arial" w:hAnsi="Arial" w:cs="Arial"/>
        </w:rPr>
        <w:t xml:space="preserve"> </w:t>
      </w:r>
      <w:r w:rsidR="002F445B" w:rsidRPr="00AC52CC">
        <w:rPr>
          <w:rFonts w:ascii="Arial" w:hAnsi="Arial" w:cs="Arial"/>
        </w:rPr>
        <w:t xml:space="preserve"> </w:t>
      </w:r>
      <w:r w:rsidR="006606A0" w:rsidRPr="006606A0">
        <w:rPr>
          <w:rFonts w:ascii="Arial" w:hAnsi="Arial" w:cs="Arial"/>
        </w:rPr>
        <w:t>Al distinguir por sexo</w:t>
      </w:r>
      <w:r w:rsidR="002F445B" w:rsidRPr="00AC52CC">
        <w:rPr>
          <w:rFonts w:ascii="Arial" w:hAnsi="Arial" w:cs="Arial"/>
        </w:rPr>
        <w:t xml:space="preserve">, </w:t>
      </w:r>
      <w:r w:rsidR="006606A0" w:rsidRPr="006606A0">
        <w:rPr>
          <w:rFonts w:ascii="Arial" w:hAnsi="Arial" w:cs="Arial"/>
        </w:rPr>
        <w:t xml:space="preserve">la ocupación de hombres fue de </w:t>
      </w:r>
      <w:r w:rsidR="002F445B" w:rsidRPr="00AC52CC">
        <w:rPr>
          <w:rFonts w:ascii="Arial" w:hAnsi="Arial" w:cs="Arial"/>
        </w:rPr>
        <w:t>76.4</w:t>
      </w:r>
      <w:r w:rsidRPr="006606A0">
        <w:rPr>
          <w:rFonts w:ascii="Arial" w:hAnsi="Arial" w:cs="Arial"/>
        </w:rPr>
        <w:t xml:space="preserve"> </w:t>
      </w:r>
      <w:r w:rsidR="002F445B" w:rsidRPr="00AC52CC">
        <w:rPr>
          <w:rFonts w:ascii="Arial" w:hAnsi="Arial" w:cs="Arial"/>
        </w:rPr>
        <w:t>% y</w:t>
      </w:r>
      <w:r w:rsidR="006606A0" w:rsidRPr="006606A0">
        <w:rPr>
          <w:rFonts w:ascii="Arial" w:hAnsi="Arial" w:cs="Arial"/>
        </w:rPr>
        <w:t xml:space="preserve"> de mujeres, de </w:t>
      </w:r>
      <w:r w:rsidR="002F445B" w:rsidRPr="00AC52CC">
        <w:rPr>
          <w:rFonts w:ascii="Arial" w:hAnsi="Arial" w:cs="Arial"/>
        </w:rPr>
        <w:t>23.6</w:t>
      </w:r>
      <w:r w:rsidR="006606A0" w:rsidRPr="006606A0">
        <w:rPr>
          <w:rFonts w:ascii="Arial" w:hAnsi="Arial" w:cs="Arial"/>
        </w:rPr>
        <w:t xml:space="preserve"> por ciento.</w:t>
      </w:r>
    </w:p>
    <w:p w14:paraId="2FDDD661" w14:textId="6C7613D0" w:rsidR="004C1866" w:rsidRDefault="004C1866" w:rsidP="00327282">
      <w:pPr>
        <w:ind w:left="-567" w:right="-516"/>
        <w:jc w:val="both"/>
        <w:rPr>
          <w:rFonts w:ascii="Arial" w:hAnsi="Arial" w:cs="Arial"/>
        </w:rPr>
      </w:pPr>
    </w:p>
    <w:p w14:paraId="08E304D5" w14:textId="083D1302" w:rsidR="004C1866" w:rsidRDefault="004C1866" w:rsidP="00327282">
      <w:pPr>
        <w:ind w:left="-567" w:right="-516"/>
        <w:jc w:val="both"/>
        <w:rPr>
          <w:rFonts w:ascii="Arial" w:hAnsi="Arial" w:cs="Arial"/>
        </w:rPr>
      </w:pPr>
    </w:p>
    <w:p w14:paraId="2A0EECF9" w14:textId="19A5DD9B" w:rsidR="004C1866" w:rsidRDefault="004C1866" w:rsidP="00327282">
      <w:pPr>
        <w:ind w:left="-567" w:right="-516"/>
        <w:jc w:val="both"/>
        <w:rPr>
          <w:rFonts w:ascii="Arial" w:hAnsi="Arial" w:cs="Arial"/>
        </w:rPr>
      </w:pPr>
    </w:p>
    <w:p w14:paraId="0B335249" w14:textId="77777777" w:rsidR="004C1866" w:rsidRPr="006606A0" w:rsidRDefault="004C1866" w:rsidP="00327282">
      <w:pPr>
        <w:ind w:left="-567" w:right="-516"/>
        <w:jc w:val="both"/>
        <w:rPr>
          <w:rFonts w:ascii="Arial" w:hAnsi="Arial" w:cs="Arial"/>
        </w:rPr>
      </w:pPr>
    </w:p>
    <w:p w14:paraId="0191CC64" w14:textId="5F3C96B2" w:rsidR="0040255B" w:rsidRDefault="0040255B" w:rsidP="00AC52CC">
      <w:pPr>
        <w:ind w:right="-516"/>
        <w:jc w:val="both"/>
        <w:rPr>
          <w:rFonts w:ascii="Arial" w:hAnsi="Arial" w:cs="Arial"/>
        </w:rPr>
      </w:pPr>
    </w:p>
    <w:p w14:paraId="326E03C1" w14:textId="4192DBD4" w:rsidR="00092D94" w:rsidRDefault="00092D94" w:rsidP="00AC52CC">
      <w:pPr>
        <w:ind w:right="-516"/>
        <w:jc w:val="both"/>
        <w:rPr>
          <w:rFonts w:ascii="Arial" w:hAnsi="Arial" w:cs="Arial"/>
        </w:rPr>
      </w:pPr>
    </w:p>
    <w:p w14:paraId="3A083041" w14:textId="672FF817" w:rsidR="00092D94" w:rsidRDefault="00092D94" w:rsidP="00AC52CC">
      <w:pPr>
        <w:ind w:right="-516"/>
        <w:jc w:val="both"/>
        <w:rPr>
          <w:rFonts w:ascii="Arial" w:hAnsi="Arial" w:cs="Arial"/>
        </w:rPr>
      </w:pPr>
    </w:p>
    <w:p w14:paraId="364D7953" w14:textId="55343F5D" w:rsidR="00092D94" w:rsidRDefault="00092D94" w:rsidP="00AC52CC">
      <w:pPr>
        <w:ind w:right="-516"/>
        <w:jc w:val="both"/>
        <w:rPr>
          <w:rFonts w:ascii="Arial" w:hAnsi="Arial" w:cs="Arial"/>
        </w:rPr>
      </w:pPr>
    </w:p>
    <w:p w14:paraId="506FC74C" w14:textId="6B3D99C1" w:rsidR="00092D94" w:rsidRDefault="00092D94" w:rsidP="00AC52CC">
      <w:pPr>
        <w:ind w:right="-516"/>
        <w:jc w:val="both"/>
        <w:rPr>
          <w:rFonts w:ascii="Arial" w:hAnsi="Arial" w:cs="Arial"/>
        </w:rPr>
      </w:pPr>
    </w:p>
    <w:p w14:paraId="35407793" w14:textId="77777777" w:rsidR="00092D94" w:rsidRPr="00AC52CC" w:rsidRDefault="00092D94" w:rsidP="00AC52CC">
      <w:pPr>
        <w:ind w:right="-516"/>
        <w:jc w:val="both"/>
        <w:rPr>
          <w:rFonts w:ascii="Arial" w:hAnsi="Arial" w:cs="Arial"/>
        </w:rPr>
      </w:pPr>
    </w:p>
    <w:p w14:paraId="7663A837" w14:textId="32A1AB87" w:rsidR="004C1866" w:rsidRDefault="004C1866" w:rsidP="004C1866">
      <w:pPr>
        <w:ind w:right="-516"/>
        <w:jc w:val="center"/>
        <w:rPr>
          <w:rFonts w:ascii="Arial" w:hAnsi="Arial" w:cs="Arial"/>
          <w:sz w:val="20"/>
          <w:szCs w:val="20"/>
        </w:rPr>
      </w:pPr>
      <w:r w:rsidRPr="00AC52CC">
        <w:rPr>
          <w:rFonts w:ascii="Arial" w:hAnsi="Arial" w:cs="Arial"/>
          <w:sz w:val="20"/>
          <w:szCs w:val="20"/>
        </w:rPr>
        <w:lastRenderedPageBreak/>
        <w:t>Tabla 1</w:t>
      </w:r>
    </w:p>
    <w:p w14:paraId="7C37BAF5" w14:textId="3791C045" w:rsidR="004C1866" w:rsidRPr="00AC52CC" w:rsidRDefault="004C1866" w:rsidP="004C1866">
      <w:pPr>
        <w:ind w:right="-516"/>
        <w:jc w:val="center"/>
        <w:rPr>
          <w:rFonts w:ascii="Arial Negrita" w:hAnsi="Arial Negrita" w:cs="Arial"/>
          <w:b/>
          <w:smallCaps/>
          <w:sz w:val="22"/>
          <w:szCs w:val="20"/>
        </w:rPr>
      </w:pPr>
      <w:r w:rsidRPr="00AC52CC">
        <w:rPr>
          <w:rFonts w:ascii="Arial Negrita" w:hAnsi="Arial Negrita" w:cs="Arial"/>
          <w:b/>
          <w:smallCaps/>
          <w:sz w:val="22"/>
          <w:szCs w:val="20"/>
        </w:rPr>
        <w:t>Puestos de trabajo generados por la economía social, 2018</w:t>
      </w: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2"/>
        <w:gridCol w:w="1528"/>
      </w:tblGrid>
      <w:tr w:rsidR="00327282" w:rsidRPr="004C1866" w14:paraId="0668B6DF" w14:textId="77777777" w:rsidTr="00DF40EA">
        <w:trPr>
          <w:trHeight w:val="480"/>
          <w:jc w:val="center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455E46F0" w14:textId="77777777" w:rsidR="00327282" w:rsidRPr="004C1866" w:rsidRDefault="00327282" w:rsidP="006C675A">
            <w:pPr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4C1866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Concepto</w:t>
            </w: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4CD44505" w14:textId="77777777" w:rsidR="00327282" w:rsidRPr="004C1866" w:rsidRDefault="00327282" w:rsidP="006C675A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</w:pPr>
            <w:r w:rsidRPr="004C1866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</w:rPr>
              <w:t>2018</w:t>
            </w:r>
          </w:p>
        </w:tc>
      </w:tr>
      <w:tr w:rsidR="00327282" w:rsidRPr="004C1866" w14:paraId="5D9AE1EE" w14:textId="77777777" w:rsidTr="00DF40EA">
        <w:trPr>
          <w:trHeight w:val="300"/>
          <w:jc w:val="center"/>
        </w:trPr>
        <w:tc>
          <w:tcPr>
            <w:tcW w:w="8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A3C4B9F" w14:textId="786F7A7B" w:rsidR="00327282" w:rsidRPr="004C1866" w:rsidRDefault="00DF40EA" w:rsidP="006C675A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8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Puestos de trabajo ocupados</w:t>
            </w:r>
            <w:r w:rsidR="00327282" w:rsidRPr="004C18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total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62DFEF5" w14:textId="59DA1EF6" w:rsidR="00327282" w:rsidRPr="004C1866" w:rsidRDefault="00327282" w:rsidP="00C523E4">
            <w:pPr>
              <w:ind w:firstLineChars="100" w:firstLine="21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8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 4 358 13</w:t>
            </w:r>
            <w:r w:rsidR="00C523E4" w:rsidRPr="004C18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</w:tr>
      <w:tr w:rsidR="00327282" w:rsidRPr="004C1866" w14:paraId="2C78F5B8" w14:textId="77777777" w:rsidTr="00DF40EA">
        <w:trPr>
          <w:trHeight w:val="300"/>
          <w:jc w:val="center"/>
        </w:trPr>
        <w:tc>
          <w:tcPr>
            <w:tcW w:w="8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19DA5B14" w14:textId="77777777" w:rsidR="00327282" w:rsidRPr="004C1866" w:rsidRDefault="00327282" w:rsidP="006C675A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8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Puestos de trabajo ocupados remunerados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8E4CC27" w14:textId="77102DBC" w:rsidR="00327282" w:rsidRPr="004C1866" w:rsidRDefault="00327282" w:rsidP="00C523E4">
            <w:pPr>
              <w:ind w:firstLineChars="100" w:firstLine="21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8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1 751 69</w:t>
            </w:r>
            <w:r w:rsidR="00C523E4" w:rsidRPr="004C18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</w:tr>
      <w:tr w:rsidR="00327282" w:rsidRPr="004C1866" w14:paraId="4D1EDD1B" w14:textId="77777777" w:rsidTr="00DF40EA">
        <w:trPr>
          <w:trHeight w:val="300"/>
          <w:jc w:val="center"/>
        </w:trPr>
        <w:tc>
          <w:tcPr>
            <w:tcW w:w="8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76FDB" w14:textId="77777777" w:rsidR="00327282" w:rsidRPr="004C1866" w:rsidRDefault="00327282" w:rsidP="006C675A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86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Hombres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B007E" w14:textId="77777777" w:rsidR="00327282" w:rsidRPr="004C1866" w:rsidRDefault="00327282" w:rsidP="006C675A">
            <w:pPr>
              <w:ind w:firstLineChars="100" w:firstLine="21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86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1 531 024</w:t>
            </w:r>
          </w:p>
        </w:tc>
      </w:tr>
      <w:tr w:rsidR="00327282" w:rsidRPr="004C1866" w14:paraId="778D6C15" w14:textId="77777777" w:rsidTr="00DF40EA">
        <w:trPr>
          <w:trHeight w:val="300"/>
          <w:jc w:val="center"/>
        </w:trPr>
        <w:tc>
          <w:tcPr>
            <w:tcW w:w="8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52E0D" w14:textId="77777777" w:rsidR="00327282" w:rsidRPr="004C1866" w:rsidRDefault="00327282" w:rsidP="006C675A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86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Mujeres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46903" w14:textId="156C928B" w:rsidR="00327282" w:rsidRPr="004C1866" w:rsidRDefault="00327282" w:rsidP="00C523E4">
            <w:pPr>
              <w:ind w:firstLineChars="100" w:firstLine="21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86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220 67</w:t>
            </w:r>
            <w:r w:rsidR="00C523E4" w:rsidRPr="004C186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327282" w:rsidRPr="004C1866" w14:paraId="3ADBF56F" w14:textId="77777777" w:rsidTr="00DF40EA">
        <w:trPr>
          <w:trHeight w:val="300"/>
          <w:jc w:val="center"/>
        </w:trPr>
        <w:tc>
          <w:tcPr>
            <w:tcW w:w="8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7785339" w14:textId="6D2785C9" w:rsidR="00327282" w:rsidRPr="004C1866" w:rsidRDefault="00DF40EA" w:rsidP="006C675A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8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Puestos de trabajo ocupados no remunerados </w:t>
            </w:r>
            <w:r w:rsidR="00327282" w:rsidRPr="004C18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(socios-propietarios y sus familiares)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2E1D7345" w14:textId="77777777" w:rsidR="00327282" w:rsidRPr="004C1866" w:rsidRDefault="00327282" w:rsidP="006C675A">
            <w:pPr>
              <w:ind w:firstLineChars="100" w:firstLine="21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C18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2 606 436</w:t>
            </w:r>
          </w:p>
        </w:tc>
      </w:tr>
      <w:tr w:rsidR="00327282" w:rsidRPr="004C1866" w14:paraId="1D87FC71" w14:textId="77777777" w:rsidTr="00DF40EA">
        <w:trPr>
          <w:trHeight w:val="300"/>
          <w:jc w:val="center"/>
        </w:trPr>
        <w:tc>
          <w:tcPr>
            <w:tcW w:w="8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637539" w14:textId="77777777" w:rsidR="00327282" w:rsidRPr="004C1866" w:rsidRDefault="00327282" w:rsidP="006C675A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86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Hombres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94D3A4" w14:textId="77777777" w:rsidR="00327282" w:rsidRPr="004C1866" w:rsidRDefault="00327282" w:rsidP="006C675A">
            <w:pPr>
              <w:ind w:firstLineChars="100" w:firstLine="21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86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1 992 287</w:t>
            </w:r>
          </w:p>
        </w:tc>
      </w:tr>
      <w:tr w:rsidR="00327282" w:rsidRPr="004C1866" w14:paraId="7295F8CD" w14:textId="77777777" w:rsidTr="00DF40EA">
        <w:trPr>
          <w:trHeight w:val="300"/>
          <w:jc w:val="center"/>
        </w:trPr>
        <w:tc>
          <w:tcPr>
            <w:tcW w:w="821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EC47EE" w14:textId="77777777" w:rsidR="00327282" w:rsidRPr="004C1866" w:rsidRDefault="00327282" w:rsidP="006C675A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86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Mujeres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9036DF" w14:textId="77777777" w:rsidR="00327282" w:rsidRPr="004C1866" w:rsidRDefault="00327282" w:rsidP="006C675A">
            <w:pPr>
              <w:ind w:firstLineChars="100" w:firstLine="21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C186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614 149</w:t>
            </w:r>
          </w:p>
        </w:tc>
      </w:tr>
    </w:tbl>
    <w:p w14:paraId="1BF2ADF5" w14:textId="0F8E4366" w:rsidR="00903EEF" w:rsidRPr="00AC52CC" w:rsidRDefault="00903EEF" w:rsidP="005011D0">
      <w:pPr>
        <w:ind w:left="-567" w:right="-516"/>
        <w:jc w:val="both"/>
        <w:rPr>
          <w:rFonts w:ascii="Arial" w:hAnsi="Arial" w:cs="Arial"/>
          <w:sz w:val="21"/>
          <w:szCs w:val="21"/>
        </w:rPr>
      </w:pPr>
    </w:p>
    <w:p w14:paraId="01A0ACEE" w14:textId="0C16CA81" w:rsidR="004C1866" w:rsidRDefault="004C1866" w:rsidP="005011D0">
      <w:pPr>
        <w:ind w:left="-567" w:right="-516"/>
        <w:jc w:val="both"/>
        <w:rPr>
          <w:rFonts w:ascii="Arial" w:hAnsi="Arial" w:cs="Arial"/>
          <w:sz w:val="21"/>
          <w:szCs w:val="21"/>
        </w:rPr>
      </w:pPr>
    </w:p>
    <w:p w14:paraId="7743FAE7" w14:textId="44D783A2" w:rsidR="00092D94" w:rsidRPr="00E45EE6" w:rsidRDefault="00092D94" w:rsidP="00092D94">
      <w:pPr>
        <w:ind w:left="-567" w:right="-516"/>
        <w:jc w:val="both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En</w:t>
      </w:r>
      <w:r w:rsidRPr="00E45EE6">
        <w:rPr>
          <w:rFonts w:ascii="Arial" w:hAnsi="Arial" w:cs="Arial"/>
        </w:rPr>
        <w:t xml:space="preserve"> 2018,</w:t>
      </w:r>
      <w:r w:rsidR="00060302">
        <w:rPr>
          <w:rFonts w:ascii="Arial" w:hAnsi="Arial" w:cs="Arial"/>
        </w:rPr>
        <w:t xml:space="preserve"> según</w:t>
      </w:r>
      <w:r w:rsidRPr="00E45EE6">
        <w:rPr>
          <w:rFonts w:ascii="Arial" w:hAnsi="Arial" w:cs="Arial"/>
        </w:rPr>
        <w:t xml:space="preserve"> clasificación funcional, los puestos de trabajo ocupados no remunerados se distribuye</w:t>
      </w:r>
      <w:r w:rsidR="000A5973">
        <w:rPr>
          <w:rFonts w:ascii="Arial" w:hAnsi="Arial" w:cs="Arial"/>
        </w:rPr>
        <w:t>ro</w:t>
      </w:r>
      <w:r w:rsidRPr="00E45EE6">
        <w:rPr>
          <w:rFonts w:ascii="Arial" w:hAnsi="Arial" w:cs="Arial"/>
        </w:rPr>
        <w:t>n en: ejidos</w:t>
      </w:r>
      <w:r w:rsidR="000A5973">
        <w:rPr>
          <w:rFonts w:ascii="Arial" w:hAnsi="Arial" w:cs="Arial"/>
        </w:rPr>
        <w:t>,</w:t>
      </w:r>
      <w:r w:rsidRPr="00E45EE6">
        <w:rPr>
          <w:rFonts w:ascii="Arial" w:hAnsi="Arial" w:cs="Arial"/>
        </w:rPr>
        <w:t xml:space="preserve"> con 86.7</w:t>
      </w:r>
      <w:r w:rsidR="000A5973">
        <w:rPr>
          <w:rFonts w:ascii="Arial" w:hAnsi="Arial" w:cs="Arial"/>
        </w:rPr>
        <w:t xml:space="preserve"> </w:t>
      </w:r>
      <w:r w:rsidRPr="00E45EE6">
        <w:rPr>
          <w:rFonts w:ascii="Arial" w:hAnsi="Arial" w:cs="Arial"/>
        </w:rPr>
        <w:t>%; comunidades, con 9.2</w:t>
      </w:r>
      <w:r w:rsidR="000A5973">
        <w:rPr>
          <w:rFonts w:ascii="Arial" w:hAnsi="Arial" w:cs="Arial"/>
        </w:rPr>
        <w:t xml:space="preserve"> </w:t>
      </w:r>
      <w:r w:rsidRPr="00E45EE6">
        <w:rPr>
          <w:rFonts w:ascii="Arial" w:hAnsi="Arial" w:cs="Arial"/>
        </w:rPr>
        <w:t>%; sociedades cooperativas, con 3.9</w:t>
      </w:r>
      <w:r w:rsidR="000A5973">
        <w:rPr>
          <w:rFonts w:ascii="Arial" w:hAnsi="Arial" w:cs="Arial"/>
        </w:rPr>
        <w:t xml:space="preserve"> </w:t>
      </w:r>
      <w:r w:rsidRPr="00E45EE6">
        <w:rPr>
          <w:rFonts w:ascii="Arial" w:hAnsi="Arial" w:cs="Arial"/>
        </w:rPr>
        <w:t>% y las sociedades de producción rural, con 0.2 por ciento.</w:t>
      </w:r>
    </w:p>
    <w:p w14:paraId="05FD5CDE" w14:textId="77777777" w:rsidR="00092D94" w:rsidRPr="003A2799" w:rsidRDefault="00092D94" w:rsidP="00092D94">
      <w:pPr>
        <w:spacing w:before="360"/>
        <w:jc w:val="center"/>
        <w:rPr>
          <w:rFonts w:ascii="Arial" w:hAnsi="Arial" w:cs="Arial"/>
          <w:sz w:val="20"/>
          <w:szCs w:val="20"/>
        </w:rPr>
      </w:pPr>
      <w:r w:rsidRPr="003A2799">
        <w:rPr>
          <w:rFonts w:ascii="Arial" w:hAnsi="Arial" w:cs="Arial"/>
          <w:sz w:val="20"/>
          <w:szCs w:val="20"/>
        </w:rPr>
        <w:t>Gráfica 3</w:t>
      </w:r>
    </w:p>
    <w:p w14:paraId="63E06851" w14:textId="7BCD20F3" w:rsidR="00092D94" w:rsidRPr="00E45EE6" w:rsidRDefault="00060302" w:rsidP="00092D94">
      <w:pPr>
        <w:pStyle w:val="Textoindependiente"/>
        <w:jc w:val="center"/>
        <w:rPr>
          <w:rFonts w:ascii="Arial" w:hAnsi="Arial" w:cs="Arial"/>
          <w:b/>
          <w:iCs/>
          <w:smallCaps/>
          <w:sz w:val="22"/>
          <w:szCs w:val="22"/>
          <w:lang w:val="es-MX"/>
        </w:rPr>
      </w:pPr>
      <w:r>
        <w:rPr>
          <w:rFonts w:ascii="Arial" w:hAnsi="Arial" w:cs="Arial"/>
          <w:b/>
          <w:iCs/>
          <w:smallCaps/>
          <w:sz w:val="22"/>
          <w:szCs w:val="22"/>
          <w:lang w:val="es-MX"/>
        </w:rPr>
        <w:t>P</w:t>
      </w:r>
      <w:r w:rsidR="00092D94" w:rsidRPr="00E45EE6">
        <w:rPr>
          <w:rFonts w:ascii="Arial" w:hAnsi="Arial" w:cs="Arial"/>
          <w:b/>
          <w:iCs/>
          <w:smallCaps/>
          <w:sz w:val="22"/>
          <w:szCs w:val="22"/>
          <w:lang w:val="es-MX"/>
        </w:rPr>
        <w:t>uestos de trabajo ocupados no remunerados de la economía social por clasificación funcional, 2018</w:t>
      </w:r>
    </w:p>
    <w:p w14:paraId="330EEA0E" w14:textId="77777777" w:rsidR="00092D94" w:rsidRPr="00E45EE6" w:rsidRDefault="00092D94" w:rsidP="00092D94">
      <w:pPr>
        <w:pStyle w:val="Textoindependiente"/>
        <w:jc w:val="center"/>
        <w:rPr>
          <w:noProof/>
          <w:lang w:val="es-MX" w:eastAsia="es-MX"/>
        </w:rPr>
      </w:pPr>
      <w:r w:rsidRPr="00E45EE6">
        <w:rPr>
          <w:rFonts w:ascii="Arial" w:hAnsi="Arial" w:cs="Arial"/>
          <w:sz w:val="18"/>
          <w:szCs w:val="18"/>
        </w:rPr>
        <w:t>(</w:t>
      </w:r>
      <w:r w:rsidRPr="00E45EE6">
        <w:rPr>
          <w:rFonts w:ascii="Arial" w:hAnsi="Arial" w:cs="Arial"/>
          <w:sz w:val="18"/>
          <w:szCs w:val="18"/>
          <w:lang w:val="es-MX"/>
        </w:rPr>
        <w:t>Estructura porcentual</w:t>
      </w:r>
      <w:r w:rsidRPr="00E45EE6">
        <w:rPr>
          <w:rFonts w:ascii="Arial" w:hAnsi="Arial" w:cs="Arial"/>
          <w:sz w:val="18"/>
          <w:szCs w:val="18"/>
        </w:rPr>
        <w:t xml:space="preserve">) </w:t>
      </w:r>
    </w:p>
    <w:p w14:paraId="5E35F3E0" w14:textId="77777777" w:rsidR="00092D94" w:rsidRPr="007D02B3" w:rsidRDefault="00092D94" w:rsidP="00092D94">
      <w:pPr>
        <w:ind w:left="-567" w:right="-516"/>
        <w:jc w:val="center"/>
        <w:rPr>
          <w:rFonts w:ascii="Arial" w:hAnsi="Arial" w:cs="Arial"/>
          <w:sz w:val="23"/>
          <w:szCs w:val="23"/>
        </w:rPr>
      </w:pPr>
      <w:r w:rsidRPr="00E45EE6">
        <w:rPr>
          <w:noProof/>
        </w:rPr>
        <w:drawing>
          <wp:inline distT="0" distB="0" distL="0" distR="0" wp14:anchorId="79FE097C" wp14:editId="21BEC964">
            <wp:extent cx="5612130" cy="2679700"/>
            <wp:effectExtent l="0" t="0" r="7620" b="635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22BE2F2E-7B0F-4FBB-9929-199FBF4263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C628015" w14:textId="77777777" w:rsidR="00972B98" w:rsidRPr="003A2799" w:rsidRDefault="00972B98" w:rsidP="00972B9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3A2799">
        <w:rPr>
          <w:rFonts w:ascii="Arial" w:hAnsi="Arial" w:cs="Arial"/>
        </w:rPr>
        <w:t xml:space="preserve">Para consultas de medios y periodistas, escribir a: </w:t>
      </w:r>
      <w:hyperlink r:id="rId11" w:history="1">
        <w:r w:rsidRPr="003A2799">
          <w:rPr>
            <w:rStyle w:val="Hipervnculo"/>
            <w:rFonts w:ascii="Arial" w:hAnsi="Arial" w:cs="Arial"/>
          </w:rPr>
          <w:t>comunicacionsocial@inegi.org.mx</w:t>
        </w:r>
      </w:hyperlink>
      <w:r w:rsidRPr="003A2799">
        <w:rPr>
          <w:rFonts w:ascii="Arial" w:hAnsi="Arial" w:cs="Arial"/>
        </w:rPr>
        <w:t xml:space="preserve"> </w:t>
      </w:r>
    </w:p>
    <w:p w14:paraId="79D875A6" w14:textId="77777777" w:rsidR="00972B98" w:rsidRPr="003A2799" w:rsidRDefault="00972B98" w:rsidP="00972B9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3A2799">
        <w:rPr>
          <w:rFonts w:ascii="Arial" w:hAnsi="Arial" w:cs="Arial"/>
        </w:rPr>
        <w:t xml:space="preserve">o llamar al teléfono (55) 52-78-10-00, </w:t>
      </w:r>
      <w:proofErr w:type="spellStart"/>
      <w:r w:rsidRPr="003A2799">
        <w:rPr>
          <w:rFonts w:ascii="Arial" w:hAnsi="Arial" w:cs="Arial"/>
        </w:rPr>
        <w:t>exts</w:t>
      </w:r>
      <w:proofErr w:type="spellEnd"/>
      <w:r w:rsidRPr="003A2799">
        <w:rPr>
          <w:rFonts w:ascii="Arial" w:hAnsi="Arial" w:cs="Arial"/>
        </w:rPr>
        <w:t>. 1134, 1260 y 1241.</w:t>
      </w:r>
    </w:p>
    <w:p w14:paraId="00266136" w14:textId="77777777" w:rsidR="00972B98" w:rsidRPr="003A2799" w:rsidRDefault="00972B98" w:rsidP="00972B98">
      <w:pPr>
        <w:ind w:left="-426" w:right="-518"/>
        <w:contextualSpacing/>
        <w:jc w:val="center"/>
        <w:rPr>
          <w:rFonts w:ascii="Arial" w:hAnsi="Arial" w:cs="Arial"/>
        </w:rPr>
      </w:pPr>
    </w:p>
    <w:p w14:paraId="5B6C0A7D" w14:textId="77777777" w:rsidR="00972B98" w:rsidRPr="003A2799" w:rsidRDefault="00972B98" w:rsidP="00972B98">
      <w:pPr>
        <w:ind w:left="-426" w:right="-518"/>
        <w:contextualSpacing/>
        <w:jc w:val="center"/>
        <w:rPr>
          <w:rFonts w:ascii="Arial" w:hAnsi="Arial" w:cs="Arial"/>
        </w:rPr>
      </w:pPr>
      <w:r w:rsidRPr="003A2799">
        <w:rPr>
          <w:rFonts w:ascii="Arial" w:hAnsi="Arial" w:cs="Arial"/>
        </w:rPr>
        <w:t>Dirección de Atención a Medios / Dirección General Adjunta de Comunicación</w:t>
      </w:r>
    </w:p>
    <w:p w14:paraId="5ADB4E41" w14:textId="77777777" w:rsidR="00972B98" w:rsidRPr="00095C5C" w:rsidRDefault="00972B98" w:rsidP="00972B98">
      <w:pPr>
        <w:ind w:left="-426" w:right="-518"/>
        <w:contextualSpacing/>
        <w:jc w:val="center"/>
        <w:rPr>
          <w:rFonts w:ascii="Arial" w:hAnsi="Arial" w:cs="Arial"/>
        </w:rPr>
      </w:pPr>
    </w:p>
    <w:p w14:paraId="0BD25F7D" w14:textId="77777777" w:rsidR="00972B98" w:rsidRDefault="00972B98" w:rsidP="00972B98">
      <w:pPr>
        <w:ind w:left="-425" w:right="-516"/>
        <w:contextualSpacing/>
        <w:jc w:val="center"/>
        <w:rPr>
          <w:noProof/>
        </w:rPr>
        <w:sectPr w:rsidR="00972B98" w:rsidSect="00764778">
          <w:headerReference w:type="default" r:id="rId12"/>
          <w:footerReference w:type="default" r:id="rId13"/>
          <w:pgSz w:w="12240" w:h="15840"/>
          <w:pgMar w:top="1985" w:right="1701" w:bottom="1418" w:left="1701" w:header="142" w:footer="721" w:gutter="0"/>
          <w:cols w:space="708"/>
          <w:docGrid w:linePitch="360"/>
        </w:sectPr>
      </w:pPr>
      <w:r w:rsidRPr="00FF1218">
        <w:rPr>
          <w:noProof/>
        </w:rPr>
        <w:drawing>
          <wp:inline distT="0" distB="0" distL="0" distR="0" wp14:anchorId="12B2E91C" wp14:editId="74A59728">
            <wp:extent cx="350520" cy="365760"/>
            <wp:effectExtent l="0" t="0" r="0" b="0"/>
            <wp:docPr id="11" name="Imagen 11" descr="C:\Users\saladeprensa\Desktop\NVOS LOGOS\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FF1218">
        <w:rPr>
          <w:noProof/>
        </w:rPr>
        <w:drawing>
          <wp:inline distT="0" distB="0" distL="0" distR="0" wp14:anchorId="0FA4DE62" wp14:editId="42F40B07">
            <wp:extent cx="365760" cy="365760"/>
            <wp:effectExtent l="0" t="0" r="0" b="0"/>
            <wp:docPr id="13" name="Imagen 13" descr="C:\Users\saladeprensa\Desktop\NVOS LOGOS\I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FF1218">
        <w:rPr>
          <w:noProof/>
        </w:rPr>
        <w:drawing>
          <wp:inline distT="0" distB="0" distL="0" distR="0" wp14:anchorId="2757D294" wp14:editId="6F3632BB">
            <wp:extent cx="365760" cy="365760"/>
            <wp:effectExtent l="0" t="0" r="0" b="0"/>
            <wp:docPr id="23" name="Imagen 23" descr="C:\Users\saladeprensa\Desktop\NVOS LOGOS\T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FF1218">
        <w:rPr>
          <w:noProof/>
        </w:rPr>
        <w:drawing>
          <wp:inline distT="0" distB="0" distL="0" distR="0" wp14:anchorId="0D452E44" wp14:editId="320CA3C5">
            <wp:extent cx="365760" cy="365760"/>
            <wp:effectExtent l="0" t="0" r="0" b="0"/>
            <wp:docPr id="12" name="Imagen 12" descr="C:\Users\saladeprensa\Desktop\NVOS LOGOS\Y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FF1218">
        <w:rPr>
          <w:noProof/>
          <w:sz w:val="14"/>
          <w:szCs w:val="18"/>
        </w:rPr>
        <w:drawing>
          <wp:inline distT="0" distB="0" distL="0" distR="0" wp14:anchorId="29F397D5" wp14:editId="01148300">
            <wp:extent cx="2286000" cy="274320"/>
            <wp:effectExtent l="0" t="0" r="0" b="0"/>
            <wp:docPr id="14" name="Imagen 14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A8B48" w14:textId="28958713" w:rsidR="00690287" w:rsidRDefault="00690287" w:rsidP="00690287">
      <w:pPr>
        <w:jc w:val="center"/>
        <w:rPr>
          <w:b/>
        </w:rPr>
      </w:pPr>
      <w:r w:rsidRPr="003A24C1">
        <w:rPr>
          <w:b/>
        </w:rPr>
        <w:lastRenderedPageBreak/>
        <w:t>ANEXO</w:t>
      </w:r>
    </w:p>
    <w:p w14:paraId="0B6B9EA6" w14:textId="77777777" w:rsidR="00972B98" w:rsidRPr="003A24C1" w:rsidRDefault="00972B98" w:rsidP="00690287">
      <w:pPr>
        <w:jc w:val="center"/>
        <w:rPr>
          <w:b/>
        </w:rPr>
      </w:pPr>
    </w:p>
    <w:p w14:paraId="761E3AAB" w14:textId="77777777" w:rsidR="00690287" w:rsidRPr="0085042C" w:rsidRDefault="00690287" w:rsidP="00690287">
      <w:pPr>
        <w:pStyle w:val="Ttulo2"/>
        <w:tabs>
          <w:tab w:val="left" w:pos="1276"/>
        </w:tabs>
        <w:spacing w:before="0" w:after="120"/>
        <w:jc w:val="center"/>
        <w:rPr>
          <w:rFonts w:ascii="Arial" w:hAnsi="Arial" w:cs="Arial"/>
          <w:b w:val="0"/>
          <w:i w:val="0"/>
          <w:color w:val="000000"/>
        </w:rPr>
      </w:pPr>
      <w:r>
        <w:rPr>
          <w:rFonts w:ascii="Arial" w:hAnsi="Arial" w:cs="Arial"/>
          <w:i w:val="0"/>
          <w:color w:val="000000"/>
        </w:rPr>
        <w:t>N</w:t>
      </w:r>
      <w:r w:rsidRPr="0085042C">
        <w:rPr>
          <w:rFonts w:ascii="Arial" w:hAnsi="Arial" w:cs="Arial"/>
          <w:i w:val="0"/>
          <w:color w:val="000000"/>
        </w:rPr>
        <w:t>OTA TÉCNICA</w:t>
      </w:r>
    </w:p>
    <w:p w14:paraId="184B3734" w14:textId="0B247EF6" w:rsidR="006F7321" w:rsidRDefault="006F7321" w:rsidP="00972B98">
      <w:pPr>
        <w:spacing w:before="360"/>
        <w:ind w:hanging="567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Aspectos </w:t>
      </w:r>
      <w:r w:rsidR="008362F9">
        <w:rPr>
          <w:rFonts w:ascii="Arial" w:hAnsi="Arial" w:cs="Arial"/>
          <w:b/>
          <w:smallCaps/>
        </w:rPr>
        <w:t>m</w:t>
      </w:r>
      <w:r>
        <w:rPr>
          <w:rFonts w:ascii="Arial" w:hAnsi="Arial" w:cs="Arial"/>
          <w:b/>
          <w:smallCaps/>
        </w:rPr>
        <w:t>etodológicos</w:t>
      </w:r>
    </w:p>
    <w:p w14:paraId="3D6764F9" w14:textId="77777777" w:rsidR="006F7321" w:rsidRDefault="006F7321" w:rsidP="006F7321">
      <w:pPr>
        <w:pStyle w:val="Textoindependiente"/>
        <w:ind w:left="-567" w:right="-518"/>
        <w:rPr>
          <w:rFonts w:ascii="Arial" w:hAnsi="Arial" w:cs="Arial"/>
          <w:lang w:val="es-MX"/>
        </w:rPr>
      </w:pPr>
    </w:p>
    <w:p w14:paraId="72625D2D" w14:textId="1F1B4A7D" w:rsidR="00F10B5E" w:rsidRDefault="004C1866" w:rsidP="006F7321">
      <w:pPr>
        <w:pStyle w:val="Textoindependiente"/>
        <w:ind w:left="-567" w:right="-51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</w:t>
      </w:r>
      <w:r w:rsidRPr="00B362BC">
        <w:rPr>
          <w:rFonts w:ascii="Arial" w:hAnsi="Arial" w:cs="Arial"/>
        </w:rPr>
        <w:t>l desarrollo metodológico y conceptual</w:t>
      </w:r>
      <w:r>
        <w:rPr>
          <w:rFonts w:ascii="Arial" w:hAnsi="Arial" w:cs="Arial"/>
          <w:lang w:val="es-MX"/>
        </w:rPr>
        <w:t xml:space="preserve"> de este estudio </w:t>
      </w:r>
      <w:r w:rsidRPr="00B362BC">
        <w:rPr>
          <w:rFonts w:ascii="Arial" w:hAnsi="Arial" w:cs="Arial"/>
        </w:rPr>
        <w:t>contó con el respaldo de un Grupo Técnico Multidisciplinario (GTM)</w:t>
      </w:r>
      <w:r w:rsidR="00D11FA0">
        <w:rPr>
          <w:rFonts w:ascii="Arial" w:hAnsi="Arial" w:cs="Arial"/>
          <w:lang w:val="es-MX"/>
        </w:rPr>
        <w:t xml:space="preserve">. En este </w:t>
      </w:r>
      <w:r w:rsidRPr="00B362BC">
        <w:rPr>
          <w:rFonts w:ascii="Arial" w:hAnsi="Arial" w:cs="Arial"/>
        </w:rPr>
        <w:t>participa</w:t>
      </w:r>
      <w:r>
        <w:rPr>
          <w:rFonts w:ascii="Arial" w:hAnsi="Arial" w:cs="Arial"/>
          <w:lang w:val="es-MX"/>
        </w:rPr>
        <w:t>ron</w:t>
      </w:r>
      <w:r w:rsidR="00D11FA0">
        <w:rPr>
          <w:rFonts w:ascii="Arial" w:hAnsi="Arial" w:cs="Arial"/>
          <w:lang w:val="es-MX"/>
        </w:rPr>
        <w:t>:</w:t>
      </w:r>
      <w:r>
        <w:rPr>
          <w:rFonts w:ascii="Arial" w:hAnsi="Arial" w:cs="Arial"/>
          <w:lang w:val="es-MX"/>
        </w:rPr>
        <w:t xml:space="preserve"> </w:t>
      </w:r>
      <w:r w:rsidRPr="00B362BC">
        <w:rPr>
          <w:rFonts w:ascii="Arial" w:hAnsi="Arial" w:cs="Arial"/>
        </w:rPr>
        <w:t>el Consejo Superior del Cooperativismo</w:t>
      </w:r>
      <w:r>
        <w:rPr>
          <w:rFonts w:ascii="Arial" w:hAnsi="Arial" w:cs="Arial"/>
          <w:lang w:val="es-MX"/>
        </w:rPr>
        <w:t xml:space="preserve"> (</w:t>
      </w:r>
      <w:proofErr w:type="spellStart"/>
      <w:r>
        <w:rPr>
          <w:rFonts w:ascii="Arial" w:hAnsi="Arial" w:cs="Arial"/>
          <w:lang w:val="es-MX"/>
        </w:rPr>
        <w:t>Cosucoop</w:t>
      </w:r>
      <w:proofErr w:type="spellEnd"/>
      <w:r>
        <w:rPr>
          <w:rFonts w:ascii="Arial" w:hAnsi="Arial" w:cs="Arial"/>
          <w:lang w:val="es-MX"/>
        </w:rPr>
        <w:t>)</w:t>
      </w:r>
      <w:r w:rsidRPr="00B362BC">
        <w:rPr>
          <w:rFonts w:ascii="Arial" w:hAnsi="Arial" w:cs="Arial"/>
        </w:rPr>
        <w:t>, el Consejo Superior del Cooperativismo de la República Mexicana</w:t>
      </w:r>
      <w:r>
        <w:rPr>
          <w:rFonts w:ascii="Arial" w:hAnsi="Arial" w:cs="Arial"/>
          <w:lang w:val="es-MX"/>
        </w:rPr>
        <w:t xml:space="preserve"> (</w:t>
      </w:r>
      <w:proofErr w:type="spellStart"/>
      <w:r>
        <w:rPr>
          <w:rFonts w:ascii="Arial" w:hAnsi="Arial" w:cs="Arial"/>
          <w:lang w:val="es-MX"/>
        </w:rPr>
        <w:t>Mexicoop</w:t>
      </w:r>
      <w:proofErr w:type="spellEnd"/>
      <w:r>
        <w:rPr>
          <w:rFonts w:ascii="Arial" w:hAnsi="Arial" w:cs="Arial"/>
          <w:lang w:val="es-MX"/>
        </w:rPr>
        <w:t>)</w:t>
      </w:r>
      <w:r w:rsidRPr="00B362BC">
        <w:rPr>
          <w:rFonts w:ascii="Arial" w:hAnsi="Arial" w:cs="Arial"/>
        </w:rPr>
        <w:t>, el Centro Internacional de Investigación e Información de la Economía Pública, Social y Cooperativa - Capítulo México</w:t>
      </w:r>
      <w:r>
        <w:rPr>
          <w:rFonts w:ascii="Arial" w:hAnsi="Arial" w:cs="Arial"/>
          <w:lang w:val="es-MX"/>
        </w:rPr>
        <w:t xml:space="preserve"> (CIRIEC)</w:t>
      </w:r>
      <w:r w:rsidRPr="00B362BC">
        <w:rPr>
          <w:rFonts w:ascii="Arial" w:hAnsi="Arial" w:cs="Arial"/>
        </w:rPr>
        <w:t>, el Registro Agrario Nacional</w:t>
      </w:r>
      <w:r>
        <w:rPr>
          <w:rFonts w:ascii="Arial" w:hAnsi="Arial" w:cs="Arial"/>
          <w:lang w:val="es-MX"/>
        </w:rPr>
        <w:t xml:space="preserve"> (RAN)</w:t>
      </w:r>
      <w:r w:rsidRPr="00B362BC">
        <w:rPr>
          <w:rFonts w:ascii="Arial" w:hAnsi="Arial" w:cs="Arial"/>
        </w:rPr>
        <w:t>, el Registro Público de Comercio</w:t>
      </w:r>
      <w:r>
        <w:rPr>
          <w:rFonts w:ascii="Arial" w:hAnsi="Arial" w:cs="Arial"/>
          <w:lang w:val="es-MX"/>
        </w:rPr>
        <w:t xml:space="preserve"> (RPC)</w:t>
      </w:r>
      <w:r w:rsidRPr="00B362BC">
        <w:rPr>
          <w:rFonts w:ascii="Arial" w:hAnsi="Arial" w:cs="Arial"/>
        </w:rPr>
        <w:t>, el INAES y el INEGI</w:t>
      </w:r>
      <w:r w:rsidRPr="00B362BC">
        <w:rPr>
          <w:rFonts w:ascii="Arial" w:hAnsi="Arial" w:cs="Arial"/>
          <w:lang w:val="es-MX"/>
        </w:rPr>
        <w:t xml:space="preserve">. </w:t>
      </w:r>
    </w:p>
    <w:p w14:paraId="7CA0F928" w14:textId="76C158F0" w:rsidR="004C1866" w:rsidRDefault="004C1866" w:rsidP="004C1866">
      <w:pPr>
        <w:ind w:left="-567" w:right="-516"/>
        <w:jc w:val="both"/>
        <w:rPr>
          <w:rFonts w:ascii="Arial" w:hAnsi="Arial" w:cs="Arial"/>
          <w:sz w:val="23"/>
          <w:szCs w:val="23"/>
        </w:rPr>
      </w:pPr>
    </w:p>
    <w:p w14:paraId="7870458B" w14:textId="193684C4" w:rsidR="006F7321" w:rsidRPr="00924900" w:rsidRDefault="006F7321" w:rsidP="00924900">
      <w:pPr>
        <w:pStyle w:val="Textoindependiente"/>
        <w:ind w:left="-567" w:right="-518"/>
        <w:rPr>
          <w:rFonts w:ascii="Arial" w:hAnsi="Arial" w:cs="Arial"/>
          <w:lang w:val="es-MX"/>
        </w:rPr>
      </w:pPr>
      <w:r w:rsidRPr="00924900">
        <w:rPr>
          <w:rFonts w:ascii="Arial" w:hAnsi="Arial" w:cs="Arial"/>
          <w:lang w:val="es-MX"/>
        </w:rPr>
        <w:t xml:space="preserve">La obtención de los resultados del </w:t>
      </w:r>
      <w:r w:rsidR="00D40956">
        <w:rPr>
          <w:rFonts w:ascii="Arial" w:hAnsi="Arial" w:cs="Arial"/>
          <w:lang w:val="es-MX"/>
        </w:rPr>
        <w:t>«</w:t>
      </w:r>
      <w:r w:rsidRPr="00924900">
        <w:rPr>
          <w:rFonts w:ascii="Arial" w:hAnsi="Arial" w:cs="Arial"/>
          <w:lang w:val="es-MX"/>
        </w:rPr>
        <w:t>Estudio de caso de la economía social de México, 2013 y 2018</w:t>
      </w:r>
      <w:r w:rsidR="00D40956">
        <w:rPr>
          <w:rFonts w:ascii="Arial" w:hAnsi="Arial" w:cs="Arial"/>
          <w:lang w:val="es-MX"/>
        </w:rPr>
        <w:t>»</w:t>
      </w:r>
      <w:r w:rsidRPr="00924900">
        <w:rPr>
          <w:rFonts w:ascii="Arial" w:hAnsi="Arial" w:cs="Arial"/>
          <w:lang w:val="es-MX"/>
        </w:rPr>
        <w:t xml:space="preserve"> tom</w:t>
      </w:r>
      <w:r w:rsidR="00972B98">
        <w:rPr>
          <w:rFonts w:ascii="Arial" w:hAnsi="Arial" w:cs="Arial"/>
          <w:lang w:val="es-MX"/>
        </w:rPr>
        <w:t>ó</w:t>
      </w:r>
      <w:r w:rsidRPr="00924900">
        <w:rPr>
          <w:rFonts w:ascii="Arial" w:hAnsi="Arial" w:cs="Arial"/>
          <w:lang w:val="es-MX"/>
        </w:rPr>
        <w:t xml:space="preserve"> como referencia los lineamientos internacionales del </w:t>
      </w:r>
      <w:r w:rsidR="00DD06BF" w:rsidRPr="00DF055E">
        <w:rPr>
          <w:rFonts w:ascii="Arial" w:hAnsi="Arial" w:cs="Arial"/>
        </w:rPr>
        <w:t>«</w:t>
      </w:r>
      <w:r w:rsidRPr="00924900">
        <w:rPr>
          <w:rFonts w:ascii="Arial" w:hAnsi="Arial" w:cs="Arial"/>
          <w:lang w:val="es-MX"/>
        </w:rPr>
        <w:t>Manual del Sistema de Cuentas Nacionales (SCN</w:t>
      </w:r>
      <w:r w:rsidR="00DD06BF">
        <w:rPr>
          <w:rFonts w:ascii="Arial" w:hAnsi="Arial" w:cs="Arial"/>
          <w:lang w:val="es-MX"/>
        </w:rPr>
        <w:t>)</w:t>
      </w:r>
      <w:r w:rsidRPr="00924900">
        <w:rPr>
          <w:rFonts w:ascii="Arial" w:hAnsi="Arial" w:cs="Arial"/>
          <w:lang w:val="es-MX"/>
        </w:rPr>
        <w:t xml:space="preserve"> 2008</w:t>
      </w:r>
      <w:r w:rsidR="00DD06BF" w:rsidRPr="00DF055E">
        <w:rPr>
          <w:rFonts w:ascii="Arial" w:hAnsi="Arial" w:cs="Arial"/>
        </w:rPr>
        <w:t>»</w:t>
      </w:r>
      <w:r w:rsidRPr="00924900">
        <w:rPr>
          <w:rFonts w:ascii="Arial" w:hAnsi="Arial" w:cs="Arial"/>
          <w:lang w:val="es-MX"/>
        </w:rPr>
        <w:t xml:space="preserve"> </w:t>
      </w:r>
      <w:r w:rsidR="00972B98">
        <w:rPr>
          <w:rFonts w:ascii="Arial" w:hAnsi="Arial" w:cs="Arial"/>
          <w:lang w:val="es-MX"/>
        </w:rPr>
        <w:t xml:space="preserve">que </w:t>
      </w:r>
      <w:r w:rsidRPr="00924900">
        <w:rPr>
          <w:rFonts w:ascii="Arial" w:hAnsi="Arial" w:cs="Arial"/>
          <w:lang w:val="es-MX"/>
        </w:rPr>
        <w:t>elabora</w:t>
      </w:r>
      <w:r w:rsidR="00972B98">
        <w:rPr>
          <w:rFonts w:ascii="Arial" w:hAnsi="Arial" w:cs="Arial"/>
          <w:lang w:val="es-MX"/>
        </w:rPr>
        <w:t>ron</w:t>
      </w:r>
      <w:r w:rsidRPr="00924900">
        <w:rPr>
          <w:rFonts w:ascii="Arial" w:hAnsi="Arial" w:cs="Arial"/>
          <w:lang w:val="es-MX"/>
        </w:rPr>
        <w:t xml:space="preserve"> de manera conjunta la Organización de las Naciones Unidas (ONU), la Oficina de Estadística de la Comisión Europea (EUROSTAT), el Fondo Monetario Internacional (FMI), la Organización para la Cooperación y el Desarrollo Económicos (OCDE) y el Banco Mundial (BM). Se consider</w:t>
      </w:r>
      <w:r w:rsidR="00D40956">
        <w:rPr>
          <w:rFonts w:ascii="Arial" w:hAnsi="Arial" w:cs="Arial"/>
          <w:lang w:val="es-MX"/>
        </w:rPr>
        <w:t>ó</w:t>
      </w:r>
      <w:r w:rsidRPr="00924900">
        <w:rPr>
          <w:rFonts w:ascii="Arial" w:hAnsi="Arial" w:cs="Arial"/>
          <w:lang w:val="es-MX"/>
        </w:rPr>
        <w:t xml:space="preserve"> también el </w:t>
      </w:r>
      <w:r w:rsidR="00DD06BF" w:rsidRPr="00DF055E">
        <w:rPr>
          <w:rFonts w:ascii="Arial" w:hAnsi="Arial" w:cs="Arial"/>
        </w:rPr>
        <w:t>«</w:t>
      </w:r>
      <w:r w:rsidRPr="00924900">
        <w:rPr>
          <w:rFonts w:ascii="Arial" w:hAnsi="Arial" w:cs="Arial"/>
          <w:lang w:val="es-MX"/>
        </w:rPr>
        <w:t xml:space="preserve">Manual </w:t>
      </w:r>
      <w:r w:rsidR="00924900" w:rsidRPr="00924900">
        <w:rPr>
          <w:rFonts w:ascii="Arial" w:hAnsi="Arial" w:cs="Arial"/>
          <w:lang w:val="es-MX"/>
        </w:rPr>
        <w:t>para la elaboración de las cuentas satélite de las empresas de la economía social: cooperativas y mutuas</w:t>
      </w:r>
      <w:r w:rsidR="00DD06BF" w:rsidRPr="00DF055E">
        <w:rPr>
          <w:rFonts w:ascii="Arial" w:hAnsi="Arial" w:cs="Arial"/>
        </w:rPr>
        <w:t>»</w:t>
      </w:r>
      <w:r w:rsidR="00924900" w:rsidRPr="00924900">
        <w:rPr>
          <w:rFonts w:ascii="Arial" w:hAnsi="Arial" w:cs="Arial"/>
          <w:lang w:val="es-MX"/>
        </w:rPr>
        <w:t xml:space="preserve"> del Centro Internacional de Investigación e Información de la Economía Pública, Social y Cooperativa (CIRIEC)</w:t>
      </w:r>
      <w:r w:rsidRPr="00924900">
        <w:rPr>
          <w:rFonts w:ascii="Arial" w:hAnsi="Arial" w:cs="Arial"/>
          <w:lang w:val="es-MX"/>
        </w:rPr>
        <w:t>.</w:t>
      </w:r>
    </w:p>
    <w:p w14:paraId="0628E840" w14:textId="77777777" w:rsidR="006F7321" w:rsidRPr="00924900" w:rsidRDefault="006F7321" w:rsidP="00924900">
      <w:pPr>
        <w:pStyle w:val="Textoindependiente"/>
        <w:ind w:left="-567" w:right="-518"/>
        <w:rPr>
          <w:rFonts w:ascii="Arial" w:hAnsi="Arial" w:cs="Arial"/>
          <w:lang w:val="es-MX"/>
        </w:rPr>
      </w:pPr>
    </w:p>
    <w:p w14:paraId="6A629160" w14:textId="0DBE4019" w:rsidR="006F7321" w:rsidRPr="00924900" w:rsidRDefault="006F7321" w:rsidP="00924900">
      <w:pPr>
        <w:pStyle w:val="Textoindependiente"/>
        <w:ind w:left="-567" w:right="-518"/>
        <w:rPr>
          <w:rFonts w:ascii="Arial" w:hAnsi="Arial" w:cs="Arial"/>
          <w:lang w:val="es-MX"/>
        </w:rPr>
      </w:pPr>
      <w:r w:rsidRPr="00924900">
        <w:rPr>
          <w:rFonts w:ascii="Arial" w:hAnsi="Arial" w:cs="Arial"/>
          <w:lang w:val="es-MX"/>
        </w:rPr>
        <w:t xml:space="preserve">Las fuentes </w:t>
      </w:r>
      <w:r w:rsidR="00972B98">
        <w:rPr>
          <w:rFonts w:ascii="Arial" w:hAnsi="Arial" w:cs="Arial"/>
          <w:lang w:val="es-MX"/>
        </w:rPr>
        <w:t xml:space="preserve">que se </w:t>
      </w:r>
      <w:r w:rsidRPr="00924900">
        <w:rPr>
          <w:rFonts w:ascii="Arial" w:hAnsi="Arial" w:cs="Arial"/>
          <w:lang w:val="es-MX"/>
        </w:rPr>
        <w:t>consulta</w:t>
      </w:r>
      <w:r w:rsidR="00972B98">
        <w:rPr>
          <w:rFonts w:ascii="Arial" w:hAnsi="Arial" w:cs="Arial"/>
          <w:lang w:val="es-MX"/>
        </w:rPr>
        <w:t>ron</w:t>
      </w:r>
      <w:r w:rsidRPr="00924900">
        <w:rPr>
          <w:rFonts w:ascii="Arial" w:hAnsi="Arial" w:cs="Arial"/>
          <w:lang w:val="es-MX"/>
        </w:rPr>
        <w:t xml:space="preserve"> para </w:t>
      </w:r>
      <w:r w:rsidR="00561133">
        <w:rPr>
          <w:rFonts w:ascii="Arial" w:hAnsi="Arial" w:cs="Arial"/>
          <w:lang w:val="es-MX"/>
        </w:rPr>
        <w:t>su</w:t>
      </w:r>
      <w:r w:rsidRPr="00924900">
        <w:rPr>
          <w:rFonts w:ascii="Arial" w:hAnsi="Arial" w:cs="Arial"/>
          <w:lang w:val="es-MX"/>
        </w:rPr>
        <w:t xml:space="preserve"> construcción</w:t>
      </w:r>
      <w:r w:rsidR="00972B98">
        <w:rPr>
          <w:rFonts w:ascii="Arial" w:hAnsi="Arial" w:cs="Arial"/>
          <w:lang w:val="es-MX"/>
        </w:rPr>
        <w:t xml:space="preserve"> se eligieron con apego a </w:t>
      </w:r>
      <w:r w:rsidRPr="00924900">
        <w:rPr>
          <w:rFonts w:ascii="Arial" w:hAnsi="Arial" w:cs="Arial"/>
          <w:lang w:val="es-MX"/>
        </w:rPr>
        <w:t>los lineamientos de los manuales anteriores</w:t>
      </w:r>
      <w:r w:rsidR="00972B98">
        <w:rPr>
          <w:rFonts w:ascii="Arial" w:hAnsi="Arial" w:cs="Arial"/>
          <w:lang w:val="es-MX"/>
        </w:rPr>
        <w:t xml:space="preserve">. </w:t>
      </w:r>
      <w:r w:rsidR="00D40956">
        <w:rPr>
          <w:rFonts w:ascii="Arial" w:hAnsi="Arial" w:cs="Arial"/>
          <w:lang w:val="es-MX"/>
        </w:rPr>
        <w:t xml:space="preserve">Los datos proporcionados de todas estas se </w:t>
      </w:r>
      <w:r w:rsidRPr="00924900">
        <w:rPr>
          <w:rFonts w:ascii="Arial" w:hAnsi="Arial" w:cs="Arial"/>
          <w:lang w:val="es-MX"/>
        </w:rPr>
        <w:t>procesa</w:t>
      </w:r>
      <w:r w:rsidR="00972B98">
        <w:rPr>
          <w:rFonts w:ascii="Arial" w:hAnsi="Arial" w:cs="Arial"/>
          <w:lang w:val="es-MX"/>
        </w:rPr>
        <w:t>ron</w:t>
      </w:r>
      <w:r w:rsidRPr="00924900">
        <w:rPr>
          <w:rFonts w:ascii="Arial" w:hAnsi="Arial" w:cs="Arial"/>
          <w:lang w:val="es-MX"/>
        </w:rPr>
        <w:t>, interpreta</w:t>
      </w:r>
      <w:r w:rsidR="00972B98">
        <w:rPr>
          <w:rFonts w:ascii="Arial" w:hAnsi="Arial" w:cs="Arial"/>
          <w:lang w:val="es-MX"/>
        </w:rPr>
        <w:t>ron</w:t>
      </w:r>
      <w:r w:rsidRPr="00924900">
        <w:rPr>
          <w:rFonts w:ascii="Arial" w:hAnsi="Arial" w:cs="Arial"/>
          <w:lang w:val="es-MX"/>
        </w:rPr>
        <w:t xml:space="preserve"> y valida</w:t>
      </w:r>
      <w:r w:rsidR="00972B98">
        <w:rPr>
          <w:rFonts w:ascii="Arial" w:hAnsi="Arial" w:cs="Arial"/>
          <w:lang w:val="es-MX"/>
        </w:rPr>
        <w:t>ron</w:t>
      </w:r>
      <w:r w:rsidRPr="00924900">
        <w:rPr>
          <w:rFonts w:ascii="Arial" w:hAnsi="Arial" w:cs="Arial"/>
          <w:lang w:val="es-MX"/>
        </w:rPr>
        <w:t>.</w:t>
      </w:r>
    </w:p>
    <w:p w14:paraId="626FFD91" w14:textId="77777777" w:rsidR="006F7321" w:rsidRPr="00924900" w:rsidRDefault="006F7321" w:rsidP="00924900">
      <w:pPr>
        <w:pStyle w:val="Textoindependiente"/>
        <w:ind w:left="-567" w:right="-518"/>
        <w:rPr>
          <w:rFonts w:ascii="Arial" w:hAnsi="Arial" w:cs="Arial"/>
          <w:lang w:val="es-MX"/>
        </w:rPr>
      </w:pPr>
      <w:r w:rsidRPr="00924900">
        <w:rPr>
          <w:rFonts w:ascii="Arial" w:hAnsi="Arial" w:cs="Arial"/>
          <w:lang w:val="es-MX"/>
        </w:rPr>
        <w:t xml:space="preserve"> </w:t>
      </w:r>
    </w:p>
    <w:p w14:paraId="1CAA5B99" w14:textId="3BA04610" w:rsidR="00D40956" w:rsidRPr="00924900" w:rsidRDefault="006F7321" w:rsidP="00D40956">
      <w:pPr>
        <w:pStyle w:val="Textoindependiente"/>
        <w:ind w:left="-567" w:right="-518"/>
        <w:rPr>
          <w:rFonts w:ascii="Arial" w:hAnsi="Arial" w:cs="Arial"/>
          <w:lang w:val="es-MX"/>
        </w:rPr>
      </w:pPr>
      <w:r w:rsidRPr="00924900">
        <w:rPr>
          <w:rFonts w:ascii="Arial" w:hAnsi="Arial" w:cs="Arial"/>
          <w:lang w:val="es-MX"/>
        </w:rPr>
        <w:t xml:space="preserve">Este procedimiento </w:t>
      </w:r>
      <w:r w:rsidR="00D40956">
        <w:rPr>
          <w:rFonts w:ascii="Arial" w:hAnsi="Arial" w:cs="Arial"/>
          <w:lang w:val="es-MX"/>
        </w:rPr>
        <w:t xml:space="preserve">resultó en </w:t>
      </w:r>
      <w:r w:rsidRPr="00924900">
        <w:rPr>
          <w:rFonts w:ascii="Arial" w:hAnsi="Arial" w:cs="Arial"/>
          <w:lang w:val="es-MX"/>
        </w:rPr>
        <w:t>la generación de dos grupos de información. Por un lado, se incluy</w:t>
      </w:r>
      <w:r w:rsidR="00D40956">
        <w:rPr>
          <w:rFonts w:ascii="Arial" w:hAnsi="Arial" w:cs="Arial"/>
          <w:lang w:val="es-MX"/>
        </w:rPr>
        <w:t>eron</w:t>
      </w:r>
      <w:r w:rsidRPr="00924900">
        <w:rPr>
          <w:rFonts w:ascii="Arial" w:hAnsi="Arial" w:cs="Arial"/>
          <w:lang w:val="es-MX"/>
        </w:rPr>
        <w:t xml:space="preserve"> la producción</w:t>
      </w:r>
      <w:r w:rsidR="00924900" w:rsidRPr="00924900">
        <w:rPr>
          <w:rFonts w:ascii="Arial" w:hAnsi="Arial" w:cs="Arial"/>
          <w:lang w:val="es-MX"/>
        </w:rPr>
        <w:t xml:space="preserve"> y asignación primaria del ingreso</w:t>
      </w:r>
      <w:r w:rsidR="00D40956">
        <w:rPr>
          <w:rFonts w:ascii="Arial" w:hAnsi="Arial" w:cs="Arial"/>
          <w:lang w:val="es-MX"/>
        </w:rPr>
        <w:t>, mismos</w:t>
      </w:r>
      <w:r w:rsidR="00DD06BF">
        <w:rPr>
          <w:rFonts w:ascii="Arial" w:hAnsi="Arial" w:cs="Arial"/>
          <w:lang w:val="es-MX"/>
        </w:rPr>
        <w:t xml:space="preserve"> que</w:t>
      </w:r>
      <w:r w:rsidRPr="00924900">
        <w:rPr>
          <w:rFonts w:ascii="Arial" w:hAnsi="Arial" w:cs="Arial"/>
          <w:lang w:val="es-MX"/>
        </w:rPr>
        <w:t xml:space="preserve"> se exp</w:t>
      </w:r>
      <w:r w:rsidR="00D40956">
        <w:rPr>
          <w:rFonts w:ascii="Arial" w:hAnsi="Arial" w:cs="Arial"/>
          <w:lang w:val="es-MX"/>
        </w:rPr>
        <w:t xml:space="preserve">usieron </w:t>
      </w:r>
      <w:r w:rsidRPr="00924900">
        <w:rPr>
          <w:rFonts w:ascii="Arial" w:hAnsi="Arial" w:cs="Arial"/>
          <w:lang w:val="es-MX"/>
        </w:rPr>
        <w:t xml:space="preserve">en valores corrientes y constantes del </w:t>
      </w:r>
      <w:r w:rsidR="00DD06BF">
        <w:rPr>
          <w:rFonts w:ascii="Arial" w:hAnsi="Arial" w:cs="Arial"/>
          <w:lang w:val="es-MX"/>
        </w:rPr>
        <w:t>a</w:t>
      </w:r>
      <w:r w:rsidRPr="00924900">
        <w:rPr>
          <w:rFonts w:ascii="Arial" w:hAnsi="Arial" w:cs="Arial"/>
          <w:lang w:val="es-MX"/>
        </w:rPr>
        <w:t xml:space="preserve">ño </w:t>
      </w:r>
      <w:r w:rsidR="00DD06BF">
        <w:rPr>
          <w:rFonts w:ascii="Arial" w:hAnsi="Arial" w:cs="Arial"/>
          <w:lang w:val="es-MX"/>
        </w:rPr>
        <w:t>b</w:t>
      </w:r>
      <w:r w:rsidRPr="00924900">
        <w:rPr>
          <w:rFonts w:ascii="Arial" w:hAnsi="Arial" w:cs="Arial"/>
          <w:lang w:val="es-MX"/>
        </w:rPr>
        <w:t>ase 2013, acorde con el S</w:t>
      </w:r>
      <w:r w:rsidR="00DD06BF">
        <w:rPr>
          <w:rFonts w:ascii="Arial" w:hAnsi="Arial" w:cs="Arial"/>
          <w:lang w:val="es-MX"/>
        </w:rPr>
        <w:t>istema de Cuentas Nacionales de México (S</w:t>
      </w:r>
      <w:r w:rsidRPr="00924900">
        <w:rPr>
          <w:rFonts w:ascii="Arial" w:hAnsi="Arial" w:cs="Arial"/>
          <w:lang w:val="es-MX"/>
        </w:rPr>
        <w:t>CNM</w:t>
      </w:r>
      <w:r w:rsidR="00DD06BF">
        <w:rPr>
          <w:rFonts w:ascii="Arial" w:hAnsi="Arial" w:cs="Arial"/>
          <w:lang w:val="es-MX"/>
        </w:rPr>
        <w:t>)</w:t>
      </w:r>
      <w:r w:rsidRPr="00924900">
        <w:rPr>
          <w:rFonts w:ascii="Arial" w:hAnsi="Arial" w:cs="Arial"/>
          <w:lang w:val="es-MX"/>
        </w:rPr>
        <w:t xml:space="preserve">. </w:t>
      </w:r>
      <w:r w:rsidR="00D40956" w:rsidRPr="00924900">
        <w:rPr>
          <w:rFonts w:ascii="Arial" w:hAnsi="Arial" w:cs="Arial"/>
          <w:lang w:val="es-MX"/>
        </w:rPr>
        <w:t xml:space="preserve">Por </w:t>
      </w:r>
      <w:r w:rsidR="00D40956">
        <w:rPr>
          <w:rFonts w:ascii="Arial" w:hAnsi="Arial" w:cs="Arial"/>
          <w:lang w:val="es-MX"/>
        </w:rPr>
        <w:t xml:space="preserve">el otro, </w:t>
      </w:r>
      <w:r w:rsidR="00D40956" w:rsidRPr="00924900">
        <w:rPr>
          <w:rFonts w:ascii="Arial" w:hAnsi="Arial" w:cs="Arial"/>
          <w:lang w:val="es-MX"/>
        </w:rPr>
        <w:t xml:space="preserve">se </w:t>
      </w:r>
      <w:r w:rsidR="00D40956">
        <w:rPr>
          <w:rFonts w:ascii="Arial" w:hAnsi="Arial" w:cs="Arial"/>
          <w:lang w:val="es-MX"/>
        </w:rPr>
        <w:t>obtuvieron</w:t>
      </w:r>
      <w:r w:rsidR="00D40956" w:rsidRPr="00924900">
        <w:rPr>
          <w:rFonts w:ascii="Arial" w:hAnsi="Arial" w:cs="Arial"/>
          <w:lang w:val="es-MX"/>
        </w:rPr>
        <w:t xml:space="preserve"> l</w:t>
      </w:r>
      <w:r w:rsidR="00D40956">
        <w:rPr>
          <w:rFonts w:ascii="Arial" w:hAnsi="Arial" w:cs="Arial"/>
          <w:lang w:val="es-MX"/>
        </w:rPr>
        <w:t>os puestos de trabajo ocupados</w:t>
      </w:r>
      <w:r w:rsidR="00D40956" w:rsidRPr="00924900">
        <w:rPr>
          <w:rFonts w:ascii="Arial" w:hAnsi="Arial" w:cs="Arial"/>
          <w:lang w:val="es-MX"/>
        </w:rPr>
        <w:t xml:space="preserve">, tanto </w:t>
      </w:r>
      <w:r w:rsidR="00D40956">
        <w:rPr>
          <w:rFonts w:ascii="Arial" w:hAnsi="Arial" w:cs="Arial"/>
          <w:lang w:val="es-MX"/>
        </w:rPr>
        <w:t xml:space="preserve">los </w:t>
      </w:r>
      <w:r w:rsidR="00D40956" w:rsidRPr="00924900">
        <w:rPr>
          <w:rFonts w:ascii="Arial" w:hAnsi="Arial" w:cs="Arial"/>
          <w:lang w:val="es-MX"/>
        </w:rPr>
        <w:t>remunerado</w:t>
      </w:r>
      <w:r w:rsidR="00D40956">
        <w:rPr>
          <w:rFonts w:ascii="Arial" w:hAnsi="Arial" w:cs="Arial"/>
          <w:lang w:val="es-MX"/>
        </w:rPr>
        <w:t>s,</w:t>
      </w:r>
      <w:r w:rsidR="00D40956" w:rsidRPr="00924900">
        <w:rPr>
          <w:rFonts w:ascii="Arial" w:hAnsi="Arial" w:cs="Arial"/>
          <w:lang w:val="es-MX"/>
        </w:rPr>
        <w:t xml:space="preserve"> como </w:t>
      </w:r>
      <w:r w:rsidR="00D40956">
        <w:rPr>
          <w:rFonts w:ascii="Arial" w:hAnsi="Arial" w:cs="Arial"/>
          <w:lang w:val="es-MX"/>
        </w:rPr>
        <w:t xml:space="preserve">los </w:t>
      </w:r>
      <w:r w:rsidR="00D40956" w:rsidRPr="00924900">
        <w:rPr>
          <w:rFonts w:ascii="Arial" w:hAnsi="Arial" w:cs="Arial"/>
          <w:lang w:val="es-MX"/>
        </w:rPr>
        <w:t>no remunerado</w:t>
      </w:r>
      <w:r w:rsidR="00D40956">
        <w:rPr>
          <w:rFonts w:ascii="Arial" w:hAnsi="Arial" w:cs="Arial"/>
          <w:lang w:val="es-MX"/>
        </w:rPr>
        <w:t>s</w:t>
      </w:r>
      <w:r w:rsidR="00D40956" w:rsidRPr="00924900">
        <w:rPr>
          <w:rFonts w:ascii="Arial" w:hAnsi="Arial" w:cs="Arial"/>
          <w:lang w:val="es-MX"/>
        </w:rPr>
        <w:t xml:space="preserve"> (socias y socios-trabajadores y sus familias). Ambos grupos se presenta</w:t>
      </w:r>
      <w:r w:rsidR="00D40956">
        <w:rPr>
          <w:rFonts w:ascii="Arial" w:hAnsi="Arial" w:cs="Arial"/>
          <w:lang w:val="es-MX"/>
        </w:rPr>
        <w:t>ron</w:t>
      </w:r>
      <w:r w:rsidR="00D40956" w:rsidRPr="00924900">
        <w:rPr>
          <w:rFonts w:ascii="Arial" w:hAnsi="Arial" w:cs="Arial"/>
          <w:lang w:val="es-MX"/>
        </w:rPr>
        <w:t xml:space="preserve"> diferenciados por sexo. La información se desagreg</w:t>
      </w:r>
      <w:r w:rsidR="00D40956">
        <w:rPr>
          <w:rFonts w:ascii="Arial" w:hAnsi="Arial" w:cs="Arial"/>
          <w:lang w:val="es-MX"/>
        </w:rPr>
        <w:t>ó</w:t>
      </w:r>
      <w:r w:rsidR="00D40956" w:rsidRPr="00924900">
        <w:rPr>
          <w:rFonts w:ascii="Arial" w:hAnsi="Arial" w:cs="Arial"/>
          <w:lang w:val="es-MX"/>
        </w:rPr>
        <w:t xml:space="preserve"> utilizando el Sistema de Clasificación Industrial de América del Norte</w:t>
      </w:r>
      <w:r w:rsidR="00D40956">
        <w:rPr>
          <w:rFonts w:ascii="Arial" w:hAnsi="Arial" w:cs="Arial"/>
          <w:lang w:val="es-MX"/>
        </w:rPr>
        <w:t xml:space="preserve"> (SCIAN) 2013 y la c</w:t>
      </w:r>
      <w:r w:rsidR="00D40956" w:rsidRPr="00924900">
        <w:rPr>
          <w:rFonts w:ascii="Arial" w:hAnsi="Arial" w:cs="Arial"/>
          <w:lang w:val="es-MX"/>
        </w:rPr>
        <w:t xml:space="preserve">lasificación funcional por </w:t>
      </w:r>
      <w:r w:rsidR="00D40956">
        <w:rPr>
          <w:rFonts w:ascii="Arial" w:hAnsi="Arial" w:cs="Arial"/>
          <w:lang w:val="es-MX"/>
        </w:rPr>
        <w:t xml:space="preserve">tipo de </w:t>
      </w:r>
      <w:r w:rsidR="00D40956" w:rsidRPr="00924900">
        <w:rPr>
          <w:rFonts w:ascii="Arial" w:hAnsi="Arial" w:cs="Arial"/>
          <w:lang w:val="es-MX"/>
        </w:rPr>
        <w:t>organismos.</w:t>
      </w:r>
    </w:p>
    <w:p w14:paraId="779CE95E" w14:textId="0353DFD4" w:rsidR="00561133" w:rsidRDefault="00561133" w:rsidP="00D40956">
      <w:pPr>
        <w:pStyle w:val="Textoindependiente"/>
        <w:tabs>
          <w:tab w:val="center" w:pos="3348"/>
        </w:tabs>
        <w:spacing w:before="240"/>
        <w:ind w:left="-567" w:right="-518"/>
        <w:rPr>
          <w:rFonts w:ascii="Arial" w:hAnsi="Arial" w:cs="Arial"/>
          <w:lang w:val="es-MX"/>
        </w:rPr>
      </w:pPr>
      <w:r w:rsidRPr="0054251E">
        <w:rPr>
          <w:rFonts w:ascii="Arial" w:hAnsi="Arial" w:cs="Arial"/>
        </w:rPr>
        <w:t>Los resultados que se presentan en e</w:t>
      </w:r>
      <w:r>
        <w:rPr>
          <w:rFonts w:ascii="Arial" w:hAnsi="Arial" w:cs="Arial"/>
          <w:lang w:val="es-MX"/>
        </w:rPr>
        <w:t>l</w:t>
      </w:r>
      <w:r w:rsidRPr="0054251E">
        <w:rPr>
          <w:rFonts w:ascii="Arial" w:hAnsi="Arial" w:cs="Arial"/>
        </w:rPr>
        <w:t xml:space="preserve"> comunicado de prensa </w:t>
      </w:r>
      <w:r>
        <w:rPr>
          <w:rFonts w:ascii="Arial" w:hAnsi="Arial" w:cs="Arial"/>
          <w:lang w:val="es-MX"/>
        </w:rPr>
        <w:t xml:space="preserve">comprenden </w:t>
      </w:r>
      <w:r w:rsidRPr="0054251E">
        <w:rPr>
          <w:rFonts w:ascii="Arial" w:hAnsi="Arial" w:cs="Arial"/>
        </w:rPr>
        <w:t>las variables macroeconómicas que explican el comporta</w:t>
      </w:r>
      <w:bookmarkStart w:id="3" w:name="_GoBack"/>
      <w:bookmarkEnd w:id="3"/>
      <w:r w:rsidRPr="0054251E">
        <w:rPr>
          <w:rFonts w:ascii="Arial" w:hAnsi="Arial" w:cs="Arial"/>
        </w:rPr>
        <w:t>miento de</w:t>
      </w:r>
      <w:r>
        <w:rPr>
          <w:rFonts w:ascii="Arial" w:hAnsi="Arial" w:cs="Arial"/>
          <w:lang w:val="es-MX"/>
        </w:rPr>
        <w:t xml:space="preserve"> </w:t>
      </w:r>
      <w:r w:rsidRPr="0054251E">
        <w:rPr>
          <w:rFonts w:ascii="Arial" w:hAnsi="Arial" w:cs="Arial"/>
          <w:lang w:val="es-MX"/>
        </w:rPr>
        <w:t>l</w:t>
      </w:r>
      <w:r>
        <w:rPr>
          <w:rFonts w:ascii="Arial" w:hAnsi="Arial" w:cs="Arial"/>
          <w:lang w:val="es-MX"/>
        </w:rPr>
        <w:t>a</w:t>
      </w:r>
      <w:r w:rsidRPr="0054251E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economía social</w:t>
      </w:r>
      <w:r w:rsidRPr="0054251E">
        <w:rPr>
          <w:rFonts w:ascii="Arial" w:hAnsi="Arial" w:cs="Arial"/>
          <w:lang w:val="es-MX"/>
        </w:rPr>
        <w:t xml:space="preserve"> en el país</w:t>
      </w:r>
      <w:r>
        <w:rPr>
          <w:rFonts w:ascii="Arial" w:hAnsi="Arial" w:cs="Arial"/>
          <w:lang w:val="es-MX"/>
        </w:rPr>
        <w:t>.</w:t>
      </w:r>
    </w:p>
    <w:p w14:paraId="610D0539" w14:textId="0C1AA1A9" w:rsidR="001731C8" w:rsidRPr="00DD06BF" w:rsidRDefault="00561133" w:rsidP="00DD06BF">
      <w:pPr>
        <w:pStyle w:val="Textoindependiente"/>
        <w:tabs>
          <w:tab w:val="center" w:pos="3348"/>
        </w:tabs>
        <w:spacing w:before="240"/>
        <w:ind w:left="-567" w:right="-518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</w:t>
      </w:r>
      <w:r w:rsidRPr="0054251E">
        <w:rPr>
          <w:rFonts w:ascii="Arial" w:hAnsi="Arial" w:cs="Arial"/>
        </w:rPr>
        <w:t xml:space="preserve">a publicación </w:t>
      </w:r>
      <w:r w:rsidR="00D40956">
        <w:rPr>
          <w:rFonts w:ascii="Arial" w:hAnsi="Arial" w:cs="Arial"/>
          <w:lang w:val="es-MX"/>
        </w:rPr>
        <w:t>«</w:t>
      </w:r>
      <w:r w:rsidRPr="00924900">
        <w:rPr>
          <w:rFonts w:ascii="Arial" w:hAnsi="Arial" w:cs="Arial"/>
          <w:lang w:val="es-MX"/>
        </w:rPr>
        <w:t>Estudio de caso de la economía social de México, 2013 y 2018</w:t>
      </w:r>
      <w:r w:rsidR="00D40956">
        <w:rPr>
          <w:rFonts w:ascii="Arial" w:hAnsi="Arial" w:cs="Arial"/>
          <w:lang w:val="es-MX"/>
        </w:rPr>
        <w:t>»</w:t>
      </w:r>
      <w:r>
        <w:rPr>
          <w:rFonts w:ascii="Arial" w:hAnsi="Arial" w:cs="Arial"/>
          <w:lang w:val="es-MX"/>
        </w:rPr>
        <w:t>, además de otra información de interés del tema</w:t>
      </w:r>
      <w:r w:rsidRPr="0054251E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s-MX"/>
        </w:rPr>
        <w:t xml:space="preserve">así como la metodología, </w:t>
      </w:r>
      <w:r w:rsidRPr="0054251E">
        <w:rPr>
          <w:rFonts w:ascii="Arial" w:hAnsi="Arial" w:cs="Arial"/>
        </w:rPr>
        <w:t>puede consulta</w:t>
      </w:r>
      <w:r>
        <w:rPr>
          <w:rFonts w:ascii="Arial" w:hAnsi="Arial" w:cs="Arial"/>
          <w:lang w:val="es-MX"/>
        </w:rPr>
        <w:t>rse</w:t>
      </w:r>
      <w:r w:rsidRPr="0054251E">
        <w:rPr>
          <w:rFonts w:ascii="Arial" w:hAnsi="Arial" w:cs="Arial"/>
        </w:rPr>
        <w:t xml:space="preserve"> en </w:t>
      </w:r>
      <w:r>
        <w:rPr>
          <w:rFonts w:ascii="Arial" w:hAnsi="Arial" w:cs="Arial"/>
          <w:lang w:val="es-MX"/>
        </w:rPr>
        <w:t xml:space="preserve">el sitio </w:t>
      </w:r>
      <w:r w:rsidRPr="00DD06BF">
        <w:rPr>
          <w:rFonts w:ascii="Arial" w:hAnsi="Arial" w:cs="Arial"/>
          <w:lang w:val="es-MX"/>
        </w:rPr>
        <w:t>electrónico del</w:t>
      </w:r>
      <w:r w:rsidRPr="00DD06BF">
        <w:rPr>
          <w:rFonts w:ascii="Arial" w:hAnsi="Arial" w:cs="Arial"/>
        </w:rPr>
        <w:t xml:space="preserve"> Instituto:</w:t>
      </w:r>
      <w:r w:rsidRPr="00DD06BF">
        <w:rPr>
          <w:rFonts w:ascii="Arial" w:hAnsi="Arial" w:cs="Arial"/>
          <w:lang w:val="es-MX"/>
        </w:rPr>
        <w:t xml:space="preserve"> </w:t>
      </w:r>
      <w:r w:rsidRPr="00DD06BF">
        <w:rPr>
          <w:rFonts w:ascii="Arial" w:hAnsi="Arial" w:cs="Arial"/>
        </w:rPr>
        <w:t>http://www.inegi.org.mx/investigacion/ecesm/</w:t>
      </w:r>
      <w:r>
        <w:rPr>
          <w:rFonts w:ascii="Arial" w:hAnsi="Arial" w:cs="Arial"/>
          <w:lang w:val="es-MX"/>
        </w:rPr>
        <w:t xml:space="preserve"> </w:t>
      </w:r>
    </w:p>
    <w:p w14:paraId="3F1EBD2F" w14:textId="77777777" w:rsidR="006051A9" w:rsidRDefault="006051A9" w:rsidP="00DD06BF">
      <w:pPr>
        <w:ind w:right="-516"/>
        <w:jc w:val="both"/>
        <w:rPr>
          <w:rFonts w:ascii="Arial" w:hAnsi="Arial" w:cs="Arial"/>
          <w:sz w:val="23"/>
          <w:szCs w:val="23"/>
        </w:rPr>
      </w:pPr>
    </w:p>
    <w:sectPr w:rsidR="006051A9" w:rsidSect="00972B98">
      <w:headerReference w:type="default" r:id="rId24"/>
      <w:type w:val="continuous"/>
      <w:pgSz w:w="12240" w:h="15840"/>
      <w:pgMar w:top="1985" w:right="1701" w:bottom="1418" w:left="1701" w:header="142" w:footer="72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F763D" w16cex:dateUtc="2022-11-29T00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161D2" w14:textId="77777777" w:rsidR="000D64D4" w:rsidRDefault="000D64D4" w:rsidP="00ED71F9">
      <w:r>
        <w:separator/>
      </w:r>
    </w:p>
  </w:endnote>
  <w:endnote w:type="continuationSeparator" w:id="0">
    <w:p w14:paraId="14B7532C" w14:textId="77777777" w:rsidR="000D64D4" w:rsidRDefault="000D64D4" w:rsidP="00ED71F9">
      <w:r>
        <w:continuationSeparator/>
      </w:r>
    </w:p>
  </w:endnote>
  <w:endnote w:type="continuationNotice" w:id="1">
    <w:p w14:paraId="57FB44B8" w14:textId="77777777" w:rsidR="000D64D4" w:rsidRDefault="000D6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AAE81" w14:textId="43D21853" w:rsidR="001731C8" w:rsidRPr="00AC52CC" w:rsidRDefault="001731C8" w:rsidP="003A2799">
    <w:pPr>
      <w:pStyle w:val="Piedepgina"/>
      <w:tabs>
        <w:tab w:val="clear" w:pos="4419"/>
        <w:tab w:val="clear" w:pos="8838"/>
      </w:tabs>
      <w:ind w:left="-567" w:right="-518"/>
      <w:jc w:val="center"/>
      <w:rPr>
        <w:rFonts w:ascii="Arial" w:hAnsi="Arial" w:cs="Arial"/>
        <w:b/>
        <w:color w:val="002060"/>
        <w:sz w:val="20"/>
        <w:szCs w:val="20"/>
      </w:rPr>
    </w:pPr>
    <w:r w:rsidRPr="00AC52CC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CD0DE" w14:textId="77777777" w:rsidR="000D64D4" w:rsidRDefault="000D64D4" w:rsidP="00ED71F9">
      <w:r>
        <w:separator/>
      </w:r>
    </w:p>
  </w:footnote>
  <w:footnote w:type="continuationSeparator" w:id="0">
    <w:p w14:paraId="2067B6AB" w14:textId="77777777" w:rsidR="000D64D4" w:rsidRDefault="000D64D4" w:rsidP="00ED71F9">
      <w:r>
        <w:continuationSeparator/>
      </w:r>
    </w:p>
  </w:footnote>
  <w:footnote w:type="continuationNotice" w:id="1">
    <w:p w14:paraId="79105F81" w14:textId="77777777" w:rsidR="000D64D4" w:rsidRDefault="000D64D4"/>
  </w:footnote>
  <w:footnote w:id="2">
    <w:p w14:paraId="197C840B" w14:textId="0268CB1A" w:rsidR="00561133" w:rsidRPr="00AC52CC" w:rsidRDefault="00561133" w:rsidP="00561133">
      <w:pPr>
        <w:pStyle w:val="Textonotapie"/>
        <w:ind w:left="-567" w:right="-518"/>
        <w:jc w:val="both"/>
        <w:rPr>
          <w:rFonts w:ascii="Arial" w:hAnsi="Arial" w:cs="Arial"/>
          <w:sz w:val="16"/>
          <w:szCs w:val="16"/>
        </w:rPr>
      </w:pPr>
      <w:r w:rsidRPr="00AC52CC">
        <w:rPr>
          <w:rStyle w:val="Refdenotaalpie"/>
          <w:rFonts w:ascii="Arial" w:hAnsi="Arial" w:cs="Arial"/>
          <w:sz w:val="16"/>
          <w:szCs w:val="16"/>
        </w:rPr>
        <w:footnoteRef/>
      </w:r>
      <w:r w:rsidRPr="00AC52CC">
        <w:rPr>
          <w:rFonts w:ascii="Arial" w:hAnsi="Arial" w:cs="Arial"/>
          <w:sz w:val="16"/>
          <w:szCs w:val="16"/>
        </w:rPr>
        <w:t xml:space="preserve"> </w:t>
      </w:r>
      <w:r w:rsidRPr="00561133">
        <w:rPr>
          <w:rFonts w:ascii="Arial" w:hAnsi="Arial" w:cs="Arial"/>
          <w:sz w:val="16"/>
          <w:szCs w:val="16"/>
        </w:rPr>
        <w:t>Se refiere al valor agregado bruto en est</w:t>
      </w:r>
      <w:r>
        <w:rPr>
          <w:rFonts w:ascii="Arial" w:hAnsi="Arial" w:cs="Arial"/>
          <w:sz w:val="16"/>
          <w:szCs w:val="16"/>
        </w:rPr>
        <w:t>a y en las siguientes menciones</w:t>
      </w:r>
      <w:r w:rsidRPr="00AC52CC">
        <w:rPr>
          <w:rFonts w:ascii="Arial" w:hAnsi="Arial" w:cs="Arial"/>
          <w:sz w:val="16"/>
          <w:szCs w:val="16"/>
        </w:rPr>
        <w:t>.</w:t>
      </w:r>
    </w:p>
  </w:footnote>
  <w:footnote w:id="3">
    <w:p w14:paraId="7DC430BF" w14:textId="0F8F085D" w:rsidR="007E6BB2" w:rsidRPr="007E6BB2" w:rsidRDefault="007E6BB2" w:rsidP="00AC52CC">
      <w:pPr>
        <w:pStyle w:val="Textonotapie"/>
        <w:ind w:left="-426" w:right="-518" w:hanging="141"/>
        <w:jc w:val="both"/>
        <w:rPr>
          <w:rFonts w:ascii="Arial" w:hAnsi="Arial" w:cs="Arial"/>
          <w:sz w:val="18"/>
          <w:szCs w:val="18"/>
        </w:rPr>
      </w:pPr>
      <w:r w:rsidRPr="00AC52CC">
        <w:rPr>
          <w:rStyle w:val="Refdenotaalpie"/>
          <w:rFonts w:ascii="Arial" w:hAnsi="Arial" w:cs="Arial"/>
          <w:sz w:val="16"/>
          <w:szCs w:val="16"/>
        </w:rPr>
        <w:footnoteRef/>
      </w:r>
      <w:r w:rsidRPr="00AC52CC">
        <w:rPr>
          <w:rFonts w:ascii="Arial" w:hAnsi="Arial" w:cs="Arial"/>
          <w:sz w:val="16"/>
          <w:szCs w:val="16"/>
        </w:rPr>
        <w:t xml:space="preserve"> Incluye: </w:t>
      </w:r>
      <w:r w:rsidR="00CB46E4">
        <w:rPr>
          <w:rFonts w:ascii="Arial" w:hAnsi="Arial" w:cs="Arial"/>
          <w:sz w:val="16"/>
          <w:szCs w:val="16"/>
        </w:rPr>
        <w:t>M</w:t>
      </w:r>
      <w:r w:rsidRPr="00AC52CC">
        <w:rPr>
          <w:rFonts w:ascii="Arial" w:hAnsi="Arial" w:cs="Arial"/>
          <w:sz w:val="16"/>
          <w:szCs w:val="16"/>
        </w:rPr>
        <w:t xml:space="preserve">inería; </w:t>
      </w:r>
      <w:r w:rsidR="008D580F">
        <w:rPr>
          <w:rFonts w:ascii="Arial" w:hAnsi="Arial" w:cs="Arial"/>
          <w:sz w:val="16"/>
          <w:szCs w:val="16"/>
        </w:rPr>
        <w:t>G</w:t>
      </w:r>
      <w:r w:rsidRPr="00AC52CC">
        <w:rPr>
          <w:rFonts w:ascii="Arial" w:hAnsi="Arial" w:cs="Arial"/>
          <w:sz w:val="16"/>
          <w:szCs w:val="16"/>
        </w:rPr>
        <w:t xml:space="preserve">eneración, transmisión y distribución de energía eléctrica, suministro de agua y de gas por ductos al consumidor final; </w:t>
      </w:r>
      <w:r w:rsidR="008D580F">
        <w:rPr>
          <w:rFonts w:ascii="Arial" w:hAnsi="Arial" w:cs="Arial"/>
          <w:sz w:val="16"/>
          <w:szCs w:val="16"/>
        </w:rPr>
        <w:t>C</w:t>
      </w:r>
      <w:r w:rsidRPr="00AC52CC">
        <w:rPr>
          <w:rFonts w:ascii="Arial" w:hAnsi="Arial" w:cs="Arial"/>
          <w:sz w:val="16"/>
          <w:szCs w:val="16"/>
        </w:rPr>
        <w:t xml:space="preserve">onstrucción; </w:t>
      </w:r>
      <w:r w:rsidR="008D580F">
        <w:rPr>
          <w:rFonts w:ascii="Arial" w:hAnsi="Arial" w:cs="Arial"/>
          <w:sz w:val="16"/>
          <w:szCs w:val="16"/>
        </w:rPr>
        <w:t>I</w:t>
      </w:r>
      <w:r w:rsidRPr="00AC52CC">
        <w:rPr>
          <w:rFonts w:ascii="Arial" w:hAnsi="Arial" w:cs="Arial"/>
          <w:sz w:val="16"/>
          <w:szCs w:val="16"/>
        </w:rPr>
        <w:t xml:space="preserve">nformación en medios masivos; </w:t>
      </w:r>
      <w:r w:rsidR="008D580F">
        <w:rPr>
          <w:rFonts w:ascii="Arial" w:hAnsi="Arial" w:cs="Arial"/>
          <w:sz w:val="16"/>
          <w:szCs w:val="16"/>
        </w:rPr>
        <w:t>S</w:t>
      </w:r>
      <w:r w:rsidRPr="00AC52CC">
        <w:rPr>
          <w:rFonts w:ascii="Arial" w:hAnsi="Arial" w:cs="Arial"/>
          <w:sz w:val="16"/>
          <w:szCs w:val="16"/>
        </w:rPr>
        <w:t xml:space="preserve">ervicios inmobiliarios y de alquiler de bienes muebles e intangibles; </w:t>
      </w:r>
      <w:r w:rsidR="008D580F">
        <w:rPr>
          <w:rFonts w:ascii="Arial" w:hAnsi="Arial" w:cs="Arial"/>
          <w:sz w:val="16"/>
          <w:szCs w:val="16"/>
        </w:rPr>
        <w:t>C</w:t>
      </w:r>
      <w:r w:rsidRPr="00AC52CC">
        <w:rPr>
          <w:rFonts w:ascii="Arial" w:hAnsi="Arial" w:cs="Arial"/>
          <w:sz w:val="16"/>
          <w:szCs w:val="16"/>
        </w:rPr>
        <w:t xml:space="preserve">orporativos; </w:t>
      </w:r>
      <w:r w:rsidR="008D580F">
        <w:rPr>
          <w:rFonts w:ascii="Arial" w:hAnsi="Arial" w:cs="Arial"/>
          <w:sz w:val="16"/>
          <w:szCs w:val="16"/>
        </w:rPr>
        <w:t>S</w:t>
      </w:r>
      <w:r w:rsidRPr="00AC52CC">
        <w:rPr>
          <w:rFonts w:ascii="Arial" w:hAnsi="Arial" w:cs="Arial"/>
          <w:sz w:val="16"/>
          <w:szCs w:val="16"/>
        </w:rPr>
        <w:t xml:space="preserve">ervicios educativos; </w:t>
      </w:r>
      <w:r w:rsidR="008D580F">
        <w:rPr>
          <w:rFonts w:ascii="Arial" w:hAnsi="Arial" w:cs="Arial"/>
          <w:sz w:val="16"/>
          <w:szCs w:val="16"/>
        </w:rPr>
        <w:t>S</w:t>
      </w:r>
      <w:r w:rsidRPr="00AC52CC">
        <w:rPr>
          <w:rFonts w:ascii="Arial" w:hAnsi="Arial" w:cs="Arial"/>
          <w:sz w:val="16"/>
          <w:szCs w:val="16"/>
        </w:rPr>
        <w:t>erv</w:t>
      </w:r>
      <w:r w:rsidR="00554F5B">
        <w:rPr>
          <w:rFonts w:ascii="Arial" w:hAnsi="Arial" w:cs="Arial"/>
          <w:sz w:val="16"/>
          <w:szCs w:val="16"/>
        </w:rPr>
        <w:t>i</w:t>
      </w:r>
      <w:r w:rsidRPr="00AC52CC">
        <w:rPr>
          <w:rFonts w:ascii="Arial" w:hAnsi="Arial" w:cs="Arial"/>
          <w:sz w:val="16"/>
          <w:szCs w:val="16"/>
        </w:rPr>
        <w:t xml:space="preserve">cios de salud y de asistencia social y </w:t>
      </w:r>
      <w:r w:rsidR="00CB46E4">
        <w:rPr>
          <w:rFonts w:ascii="Arial" w:hAnsi="Arial" w:cs="Arial"/>
          <w:sz w:val="16"/>
          <w:szCs w:val="16"/>
        </w:rPr>
        <w:t>o</w:t>
      </w:r>
      <w:r w:rsidRPr="00AC52CC">
        <w:rPr>
          <w:rFonts w:ascii="Arial" w:hAnsi="Arial" w:cs="Arial"/>
          <w:sz w:val="16"/>
          <w:szCs w:val="16"/>
        </w:rPr>
        <w:t xml:space="preserve">tros servicios excepto </w:t>
      </w:r>
      <w:r w:rsidR="008362F9">
        <w:rPr>
          <w:rFonts w:ascii="Arial" w:hAnsi="Arial" w:cs="Arial"/>
          <w:sz w:val="16"/>
          <w:szCs w:val="16"/>
        </w:rPr>
        <w:t>a</w:t>
      </w:r>
      <w:r w:rsidRPr="00AC52CC">
        <w:rPr>
          <w:rFonts w:ascii="Arial" w:hAnsi="Arial" w:cs="Arial"/>
          <w:sz w:val="16"/>
          <w:szCs w:val="16"/>
        </w:rPr>
        <w:t>ctividades gubernamentales.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D2257" w14:textId="498613F6" w:rsidR="00372BFD" w:rsidRPr="00ED71F9" w:rsidRDefault="00CB5755">
    <w:pPr>
      <w:pStyle w:val="Encabezado"/>
      <w:rPr>
        <w:sz w:val="32"/>
        <w:szCs w:val="32"/>
      </w:rPr>
    </w:pPr>
    <w:r w:rsidRPr="00F418AF">
      <w:rPr>
        <w:noProof/>
      </w:rPr>
      <w:drawing>
        <wp:anchor distT="0" distB="0" distL="114300" distR="114300" simplePos="0" relativeHeight="251658240" behindDoc="0" locked="0" layoutInCell="1" allowOverlap="1" wp14:anchorId="4CD4F31E" wp14:editId="3F5C5846">
          <wp:simplePos x="0" y="0"/>
          <wp:positionH relativeFrom="margin">
            <wp:posOffset>-338455</wp:posOffset>
          </wp:positionH>
          <wp:positionV relativeFrom="margin">
            <wp:posOffset>-1095375</wp:posOffset>
          </wp:positionV>
          <wp:extent cx="859891" cy="89535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891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58A617" w14:textId="01D46591" w:rsidR="00CB5755" w:rsidRPr="009A0EF3" w:rsidRDefault="00CB5755" w:rsidP="003A2799">
    <w:pPr>
      <w:pStyle w:val="Encabezado"/>
      <w:tabs>
        <w:tab w:val="clear" w:pos="4419"/>
        <w:tab w:val="clear" w:pos="8838"/>
      </w:tabs>
      <w:ind w:left="567" w:right="-518" w:hanging="11"/>
      <w:jc w:val="right"/>
      <w:rPr>
        <w:rFonts w:ascii="Arial" w:hAnsi="Arial" w:cs="Arial"/>
        <w:b/>
        <w:color w:val="002060"/>
        <w:lang w:val="pt-BR"/>
      </w:rPr>
    </w:pPr>
    <w:r>
      <w:tab/>
    </w:r>
    <w:r w:rsidRPr="009A0EF3">
      <w:rPr>
        <w:rFonts w:ascii="Arial" w:hAnsi="Arial" w:cs="Arial"/>
        <w:b/>
        <w:color w:val="002060"/>
      </w:rPr>
      <w:t xml:space="preserve">COMUNICADO DE PRENSA NÚM. </w:t>
    </w:r>
    <w:r w:rsidR="007038CA">
      <w:rPr>
        <w:rFonts w:ascii="Arial" w:hAnsi="Arial" w:cs="Arial"/>
        <w:b/>
        <w:color w:val="002060"/>
      </w:rPr>
      <w:t>713</w:t>
    </w:r>
    <w:r w:rsidRPr="009A0EF3">
      <w:rPr>
        <w:rFonts w:ascii="Arial" w:hAnsi="Arial" w:cs="Arial"/>
        <w:b/>
        <w:color w:val="002060"/>
      </w:rPr>
      <w:t>/2</w:t>
    </w:r>
    <w:r>
      <w:rPr>
        <w:rFonts w:ascii="Arial" w:hAnsi="Arial" w:cs="Arial"/>
        <w:b/>
        <w:color w:val="002060"/>
      </w:rPr>
      <w:t>2</w:t>
    </w:r>
  </w:p>
  <w:p w14:paraId="54E89480" w14:textId="19B20F3E" w:rsidR="00CB5755" w:rsidRPr="009A0EF3" w:rsidRDefault="00F571D4" w:rsidP="003A2799">
    <w:pPr>
      <w:pStyle w:val="Encabezado"/>
      <w:tabs>
        <w:tab w:val="clear" w:pos="4419"/>
        <w:tab w:val="clear" w:pos="8838"/>
      </w:tabs>
      <w:ind w:left="567" w:right="-518" w:hanging="11"/>
      <w:jc w:val="right"/>
      <w:rPr>
        <w:rFonts w:ascii="Arial" w:hAnsi="Arial" w:cs="Arial"/>
        <w:b/>
        <w:color w:val="002060"/>
      </w:rPr>
    </w:pPr>
    <w:r>
      <w:rPr>
        <w:rFonts w:ascii="Arial" w:hAnsi="Arial" w:cs="Arial"/>
        <w:b/>
        <w:color w:val="002060"/>
        <w:lang w:val="pt-BR"/>
      </w:rPr>
      <w:t>3</w:t>
    </w:r>
    <w:r w:rsidR="00972B98">
      <w:rPr>
        <w:rFonts w:ascii="Arial" w:hAnsi="Arial" w:cs="Arial"/>
        <w:b/>
        <w:color w:val="002060"/>
        <w:lang w:val="pt-BR"/>
      </w:rPr>
      <w:t>0</w:t>
    </w:r>
    <w:r w:rsidR="00CB5755" w:rsidRPr="009A0EF3">
      <w:rPr>
        <w:rFonts w:ascii="Arial" w:hAnsi="Arial" w:cs="Arial"/>
        <w:b/>
        <w:color w:val="002060"/>
        <w:lang w:val="pt-BR"/>
      </w:rPr>
      <w:t xml:space="preserve"> DE NOVIEMBRE DE 202</w:t>
    </w:r>
    <w:r w:rsidR="00CB5755">
      <w:rPr>
        <w:rFonts w:ascii="Arial" w:hAnsi="Arial" w:cs="Arial"/>
        <w:b/>
        <w:color w:val="002060"/>
        <w:lang w:val="pt-BR"/>
      </w:rPr>
      <w:t>2</w:t>
    </w:r>
  </w:p>
  <w:p w14:paraId="7995CBA9" w14:textId="70A730DB" w:rsidR="00CB5755" w:rsidRPr="009A0EF3" w:rsidRDefault="00CB5755" w:rsidP="003A2799">
    <w:pPr>
      <w:pStyle w:val="Encabezado"/>
      <w:tabs>
        <w:tab w:val="clear" w:pos="4419"/>
        <w:tab w:val="clear" w:pos="8838"/>
      </w:tabs>
      <w:ind w:left="567" w:right="-518" w:hanging="11"/>
      <w:jc w:val="right"/>
      <w:rPr>
        <w:rFonts w:ascii="Arial" w:hAnsi="Arial" w:cs="Arial"/>
        <w:b/>
        <w:color w:val="002060"/>
        <w:lang w:val="pt-BR"/>
      </w:rPr>
    </w:pPr>
    <w:r w:rsidRPr="009A0EF3">
      <w:rPr>
        <w:rFonts w:ascii="Arial" w:hAnsi="Arial" w:cs="Arial"/>
        <w:b/>
        <w:color w:val="002060"/>
        <w:lang w:val="pt-BR"/>
      </w:rPr>
      <w:t xml:space="preserve">PÁGINA </w:t>
    </w:r>
    <w:r w:rsidRPr="009A0EF3">
      <w:rPr>
        <w:rFonts w:ascii="Arial" w:hAnsi="Arial" w:cs="Arial"/>
        <w:b/>
        <w:color w:val="002060"/>
      </w:rPr>
      <w:fldChar w:fldCharType="begin"/>
    </w:r>
    <w:r w:rsidRPr="009A0EF3">
      <w:rPr>
        <w:rFonts w:ascii="Arial" w:hAnsi="Arial" w:cs="Arial"/>
        <w:b/>
        <w:color w:val="002060"/>
        <w:lang w:val="pt-BR"/>
      </w:rPr>
      <w:instrText xml:space="preserve">\PAGE </w:instrText>
    </w:r>
    <w:r w:rsidRPr="009A0EF3">
      <w:rPr>
        <w:rFonts w:ascii="Arial" w:hAnsi="Arial" w:cs="Arial"/>
        <w:color w:val="002060"/>
      </w:rPr>
      <w:fldChar w:fldCharType="separate"/>
    </w:r>
    <w:r w:rsidR="00690287">
      <w:rPr>
        <w:rFonts w:ascii="Arial" w:hAnsi="Arial" w:cs="Arial"/>
        <w:b/>
        <w:noProof/>
        <w:color w:val="002060"/>
        <w:lang w:val="pt-BR"/>
      </w:rPr>
      <w:t>1</w:t>
    </w:r>
    <w:r w:rsidRPr="009A0EF3">
      <w:rPr>
        <w:rFonts w:ascii="Arial" w:hAnsi="Arial" w:cs="Arial"/>
        <w:color w:val="002060"/>
      </w:rPr>
      <w:fldChar w:fldCharType="end"/>
    </w:r>
    <w:r w:rsidRPr="009A0EF3">
      <w:rPr>
        <w:rFonts w:ascii="Arial" w:hAnsi="Arial" w:cs="Arial"/>
        <w:b/>
        <w:color w:val="002060"/>
        <w:lang w:val="pt-BR"/>
      </w:rPr>
      <w:t>/</w:t>
    </w:r>
    <w:r w:rsidR="007038CA">
      <w:rPr>
        <w:rFonts w:ascii="Arial" w:hAnsi="Arial" w:cs="Arial"/>
        <w:b/>
        <w:color w:val="002060"/>
        <w:lang w:val="pt-BR"/>
      </w:rPr>
      <w:t>5</w:t>
    </w:r>
  </w:p>
  <w:p w14:paraId="5F5B4E3A" w14:textId="0B5059F8" w:rsidR="00372BFD" w:rsidRDefault="00372BFD" w:rsidP="00CB5755">
    <w:pPr>
      <w:pStyle w:val="Encabezado"/>
      <w:tabs>
        <w:tab w:val="clear" w:pos="4419"/>
        <w:tab w:val="clear" w:pos="8838"/>
        <w:tab w:val="left" w:pos="6150"/>
      </w:tabs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F1BD5" w14:textId="77777777" w:rsidR="00972B98" w:rsidRPr="00ED71F9" w:rsidRDefault="00972B98" w:rsidP="00972B98">
    <w:pPr>
      <w:pStyle w:val="Encabezado"/>
      <w:ind w:hanging="567"/>
      <w:rPr>
        <w:sz w:val="32"/>
        <w:szCs w:val="32"/>
      </w:rPr>
    </w:pPr>
    <w:r w:rsidRPr="00F418AF">
      <w:rPr>
        <w:noProof/>
      </w:rPr>
      <w:drawing>
        <wp:anchor distT="0" distB="0" distL="114300" distR="114300" simplePos="0" relativeHeight="251660288" behindDoc="0" locked="0" layoutInCell="1" allowOverlap="1" wp14:anchorId="0A07B178" wp14:editId="17216E10">
          <wp:simplePos x="0" y="0"/>
          <wp:positionH relativeFrom="margin">
            <wp:posOffset>2413371</wp:posOffset>
          </wp:positionH>
          <wp:positionV relativeFrom="margin">
            <wp:posOffset>-1017737</wp:posOffset>
          </wp:positionV>
          <wp:extent cx="859891" cy="8953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891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1FE692" w14:textId="2283D215" w:rsidR="00972B98" w:rsidRPr="009A0EF3" w:rsidRDefault="00972B98" w:rsidP="00972B98">
    <w:pPr>
      <w:pStyle w:val="Encabezado"/>
      <w:tabs>
        <w:tab w:val="clear" w:pos="4419"/>
        <w:tab w:val="clear" w:pos="8838"/>
      </w:tabs>
      <w:ind w:left="567" w:right="-518" w:hanging="11"/>
      <w:jc w:val="right"/>
      <w:rPr>
        <w:rFonts w:ascii="Arial" w:hAnsi="Arial" w:cs="Arial"/>
        <w:b/>
        <w:color w:val="002060"/>
        <w:lang w:val="pt-BR"/>
      </w:rPr>
    </w:pPr>
    <w:r>
      <w:tab/>
    </w:r>
  </w:p>
  <w:p w14:paraId="1FDD5B63" w14:textId="77777777" w:rsidR="00972B98" w:rsidRDefault="00972B98" w:rsidP="00CB5755">
    <w:pPr>
      <w:pStyle w:val="Encabezado"/>
      <w:tabs>
        <w:tab w:val="clear" w:pos="4419"/>
        <w:tab w:val="clear" w:pos="8838"/>
        <w:tab w:val="left" w:pos="6150"/>
      </w:tabs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B31324"/>
    <w:multiLevelType w:val="hybridMultilevel"/>
    <w:tmpl w:val="F138A73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F1F7ED3"/>
    <w:multiLevelType w:val="hybridMultilevel"/>
    <w:tmpl w:val="E33E54C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657A36"/>
    <w:multiLevelType w:val="hybridMultilevel"/>
    <w:tmpl w:val="682CBB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94"/>
    <w:rsid w:val="00000486"/>
    <w:rsid w:val="00000C8C"/>
    <w:rsid w:val="00001B4D"/>
    <w:rsid w:val="00002AF5"/>
    <w:rsid w:val="00005C5E"/>
    <w:rsid w:val="000253BB"/>
    <w:rsid w:val="0002598E"/>
    <w:rsid w:val="00027C30"/>
    <w:rsid w:val="000328E2"/>
    <w:rsid w:val="0003366A"/>
    <w:rsid w:val="00033CE3"/>
    <w:rsid w:val="00040EE7"/>
    <w:rsid w:val="00041EAE"/>
    <w:rsid w:val="00042EAF"/>
    <w:rsid w:val="000432D7"/>
    <w:rsid w:val="00043FC8"/>
    <w:rsid w:val="00046AD7"/>
    <w:rsid w:val="00047B93"/>
    <w:rsid w:val="0005378D"/>
    <w:rsid w:val="00054E05"/>
    <w:rsid w:val="00056251"/>
    <w:rsid w:val="00060302"/>
    <w:rsid w:val="0006168D"/>
    <w:rsid w:val="000624DD"/>
    <w:rsid w:val="00066944"/>
    <w:rsid w:val="0007127C"/>
    <w:rsid w:val="00071D0A"/>
    <w:rsid w:val="0007202D"/>
    <w:rsid w:val="000771A5"/>
    <w:rsid w:val="00081AD6"/>
    <w:rsid w:val="00081B20"/>
    <w:rsid w:val="0008397B"/>
    <w:rsid w:val="000850BD"/>
    <w:rsid w:val="00092CCC"/>
    <w:rsid w:val="00092D94"/>
    <w:rsid w:val="00094709"/>
    <w:rsid w:val="00095F57"/>
    <w:rsid w:val="000979E1"/>
    <w:rsid w:val="000A2285"/>
    <w:rsid w:val="000A30BB"/>
    <w:rsid w:val="000A3F03"/>
    <w:rsid w:val="000A431C"/>
    <w:rsid w:val="000A5973"/>
    <w:rsid w:val="000B2026"/>
    <w:rsid w:val="000B2914"/>
    <w:rsid w:val="000C0206"/>
    <w:rsid w:val="000C1D0A"/>
    <w:rsid w:val="000C6648"/>
    <w:rsid w:val="000D3544"/>
    <w:rsid w:val="000D374C"/>
    <w:rsid w:val="000D64D4"/>
    <w:rsid w:val="000D687E"/>
    <w:rsid w:val="000E055D"/>
    <w:rsid w:val="000E75B3"/>
    <w:rsid w:val="000E7857"/>
    <w:rsid w:val="000E7DC1"/>
    <w:rsid w:val="000F0AC9"/>
    <w:rsid w:val="000F4509"/>
    <w:rsid w:val="001022D4"/>
    <w:rsid w:val="0010774F"/>
    <w:rsid w:val="00107AFE"/>
    <w:rsid w:val="00110149"/>
    <w:rsid w:val="001106F1"/>
    <w:rsid w:val="0011536E"/>
    <w:rsid w:val="0011734F"/>
    <w:rsid w:val="00125305"/>
    <w:rsid w:val="00131BA9"/>
    <w:rsid w:val="00140BDE"/>
    <w:rsid w:val="00141A97"/>
    <w:rsid w:val="00146E06"/>
    <w:rsid w:val="0014741B"/>
    <w:rsid w:val="00147A7F"/>
    <w:rsid w:val="00151583"/>
    <w:rsid w:val="00152E3D"/>
    <w:rsid w:val="001573E0"/>
    <w:rsid w:val="00162B17"/>
    <w:rsid w:val="001650B4"/>
    <w:rsid w:val="00166DD8"/>
    <w:rsid w:val="0017241E"/>
    <w:rsid w:val="001731C8"/>
    <w:rsid w:val="0017725D"/>
    <w:rsid w:val="0018079C"/>
    <w:rsid w:val="001811D3"/>
    <w:rsid w:val="00184BF9"/>
    <w:rsid w:val="0019094A"/>
    <w:rsid w:val="001A0262"/>
    <w:rsid w:val="001B4EEE"/>
    <w:rsid w:val="001C0FF0"/>
    <w:rsid w:val="001C1A11"/>
    <w:rsid w:val="001C54C3"/>
    <w:rsid w:val="001D1E97"/>
    <w:rsid w:val="001D3128"/>
    <w:rsid w:val="001D3C71"/>
    <w:rsid w:val="001D5DAC"/>
    <w:rsid w:val="001D73BB"/>
    <w:rsid w:val="001E5EC1"/>
    <w:rsid w:val="001E6B57"/>
    <w:rsid w:val="001F11C1"/>
    <w:rsid w:val="002042ED"/>
    <w:rsid w:val="00213262"/>
    <w:rsid w:val="00217332"/>
    <w:rsid w:val="00217F98"/>
    <w:rsid w:val="002209A6"/>
    <w:rsid w:val="00220EA0"/>
    <w:rsid w:val="0022125A"/>
    <w:rsid w:val="00225A19"/>
    <w:rsid w:val="00227EE5"/>
    <w:rsid w:val="00231941"/>
    <w:rsid w:val="002357DA"/>
    <w:rsid w:val="00236B45"/>
    <w:rsid w:val="002531C2"/>
    <w:rsid w:val="00254B53"/>
    <w:rsid w:val="00254DE5"/>
    <w:rsid w:val="0026610D"/>
    <w:rsid w:val="002726FD"/>
    <w:rsid w:val="00272938"/>
    <w:rsid w:val="00274756"/>
    <w:rsid w:val="00274D0F"/>
    <w:rsid w:val="00277390"/>
    <w:rsid w:val="00277477"/>
    <w:rsid w:val="002779E8"/>
    <w:rsid w:val="0028379A"/>
    <w:rsid w:val="00286103"/>
    <w:rsid w:val="002902AA"/>
    <w:rsid w:val="002909AA"/>
    <w:rsid w:val="00290E53"/>
    <w:rsid w:val="00291CE7"/>
    <w:rsid w:val="00292874"/>
    <w:rsid w:val="00293C75"/>
    <w:rsid w:val="00297D2F"/>
    <w:rsid w:val="002A426A"/>
    <w:rsid w:val="002A47E3"/>
    <w:rsid w:val="002B2F15"/>
    <w:rsid w:val="002B62D4"/>
    <w:rsid w:val="002C4720"/>
    <w:rsid w:val="002C54FC"/>
    <w:rsid w:val="002C6B6B"/>
    <w:rsid w:val="002D2731"/>
    <w:rsid w:val="002D3890"/>
    <w:rsid w:val="002D61DC"/>
    <w:rsid w:val="002D6823"/>
    <w:rsid w:val="002E35B2"/>
    <w:rsid w:val="002E55E2"/>
    <w:rsid w:val="002E589F"/>
    <w:rsid w:val="002E6527"/>
    <w:rsid w:val="002F00A2"/>
    <w:rsid w:val="002F1847"/>
    <w:rsid w:val="002F2271"/>
    <w:rsid w:val="002F445B"/>
    <w:rsid w:val="002F62F8"/>
    <w:rsid w:val="002F68AE"/>
    <w:rsid w:val="00300627"/>
    <w:rsid w:val="00301A0F"/>
    <w:rsid w:val="00306AE8"/>
    <w:rsid w:val="00313DEA"/>
    <w:rsid w:val="00314A1E"/>
    <w:rsid w:val="003155E8"/>
    <w:rsid w:val="00323E72"/>
    <w:rsid w:val="00326AF4"/>
    <w:rsid w:val="00327282"/>
    <w:rsid w:val="00327CBC"/>
    <w:rsid w:val="003321C2"/>
    <w:rsid w:val="00337432"/>
    <w:rsid w:val="00340410"/>
    <w:rsid w:val="00341B85"/>
    <w:rsid w:val="00342E8D"/>
    <w:rsid w:val="0034480F"/>
    <w:rsid w:val="00347790"/>
    <w:rsid w:val="00354C45"/>
    <w:rsid w:val="00357693"/>
    <w:rsid w:val="00364288"/>
    <w:rsid w:val="00364D3B"/>
    <w:rsid w:val="00366173"/>
    <w:rsid w:val="00366D76"/>
    <w:rsid w:val="00372BFD"/>
    <w:rsid w:val="003770BC"/>
    <w:rsid w:val="00383BD6"/>
    <w:rsid w:val="003A2799"/>
    <w:rsid w:val="003A500C"/>
    <w:rsid w:val="003B20B5"/>
    <w:rsid w:val="003B295A"/>
    <w:rsid w:val="003B6674"/>
    <w:rsid w:val="003C1E60"/>
    <w:rsid w:val="003C21DE"/>
    <w:rsid w:val="003C7C7A"/>
    <w:rsid w:val="003D41A8"/>
    <w:rsid w:val="003D527B"/>
    <w:rsid w:val="003E07CD"/>
    <w:rsid w:val="003F35A7"/>
    <w:rsid w:val="003F5AD4"/>
    <w:rsid w:val="0040255B"/>
    <w:rsid w:val="00416B9D"/>
    <w:rsid w:val="0041735B"/>
    <w:rsid w:val="00424788"/>
    <w:rsid w:val="004277E7"/>
    <w:rsid w:val="00431377"/>
    <w:rsid w:val="00431930"/>
    <w:rsid w:val="00435F4D"/>
    <w:rsid w:val="00443889"/>
    <w:rsid w:val="00444F0A"/>
    <w:rsid w:val="004452D2"/>
    <w:rsid w:val="00445973"/>
    <w:rsid w:val="00452246"/>
    <w:rsid w:val="00452E71"/>
    <w:rsid w:val="00454778"/>
    <w:rsid w:val="00456481"/>
    <w:rsid w:val="00456800"/>
    <w:rsid w:val="0046058A"/>
    <w:rsid w:val="00463C39"/>
    <w:rsid w:val="00473CF4"/>
    <w:rsid w:val="00480DD5"/>
    <w:rsid w:val="00484E12"/>
    <w:rsid w:val="004860E8"/>
    <w:rsid w:val="00486346"/>
    <w:rsid w:val="00491D5E"/>
    <w:rsid w:val="004925A8"/>
    <w:rsid w:val="00493287"/>
    <w:rsid w:val="00496DB6"/>
    <w:rsid w:val="004A119F"/>
    <w:rsid w:val="004A181A"/>
    <w:rsid w:val="004B0D3D"/>
    <w:rsid w:val="004B20A1"/>
    <w:rsid w:val="004B2923"/>
    <w:rsid w:val="004B7574"/>
    <w:rsid w:val="004C10C0"/>
    <w:rsid w:val="004C1866"/>
    <w:rsid w:val="004C260D"/>
    <w:rsid w:val="004C7379"/>
    <w:rsid w:val="004D5562"/>
    <w:rsid w:val="004D57EA"/>
    <w:rsid w:val="004E07E9"/>
    <w:rsid w:val="004E364A"/>
    <w:rsid w:val="004E5DC5"/>
    <w:rsid w:val="004F017B"/>
    <w:rsid w:val="004F73F9"/>
    <w:rsid w:val="005011D0"/>
    <w:rsid w:val="00503A60"/>
    <w:rsid w:val="00503EDE"/>
    <w:rsid w:val="00504A05"/>
    <w:rsid w:val="00510A87"/>
    <w:rsid w:val="00510CE0"/>
    <w:rsid w:val="005127FA"/>
    <w:rsid w:val="005144D9"/>
    <w:rsid w:val="00514B7D"/>
    <w:rsid w:val="00514E65"/>
    <w:rsid w:val="00520041"/>
    <w:rsid w:val="00521059"/>
    <w:rsid w:val="00524FB1"/>
    <w:rsid w:val="00526D2F"/>
    <w:rsid w:val="00527A10"/>
    <w:rsid w:val="00532DAD"/>
    <w:rsid w:val="0054251E"/>
    <w:rsid w:val="00543794"/>
    <w:rsid w:val="00544E03"/>
    <w:rsid w:val="00545E0C"/>
    <w:rsid w:val="00554F5B"/>
    <w:rsid w:val="00555BE8"/>
    <w:rsid w:val="0055611B"/>
    <w:rsid w:val="005561F8"/>
    <w:rsid w:val="00561133"/>
    <w:rsid w:val="00563CBA"/>
    <w:rsid w:val="005660F7"/>
    <w:rsid w:val="00566298"/>
    <w:rsid w:val="00572392"/>
    <w:rsid w:val="00573734"/>
    <w:rsid w:val="005833AB"/>
    <w:rsid w:val="00585FDD"/>
    <w:rsid w:val="0058692C"/>
    <w:rsid w:val="005872B5"/>
    <w:rsid w:val="005947AA"/>
    <w:rsid w:val="00594F61"/>
    <w:rsid w:val="005953CD"/>
    <w:rsid w:val="00597B8C"/>
    <w:rsid w:val="00597F1B"/>
    <w:rsid w:val="005A220E"/>
    <w:rsid w:val="005A3E51"/>
    <w:rsid w:val="005A50E0"/>
    <w:rsid w:val="005B0A11"/>
    <w:rsid w:val="005B0DEE"/>
    <w:rsid w:val="005B3174"/>
    <w:rsid w:val="005B4D9D"/>
    <w:rsid w:val="005B652E"/>
    <w:rsid w:val="005C02AC"/>
    <w:rsid w:val="005C270C"/>
    <w:rsid w:val="005C3F25"/>
    <w:rsid w:val="005C6D66"/>
    <w:rsid w:val="005C6E38"/>
    <w:rsid w:val="005C72E0"/>
    <w:rsid w:val="005D2B4A"/>
    <w:rsid w:val="005F0FE3"/>
    <w:rsid w:val="005F3926"/>
    <w:rsid w:val="005F39EF"/>
    <w:rsid w:val="005F3DFE"/>
    <w:rsid w:val="005F4441"/>
    <w:rsid w:val="005F758B"/>
    <w:rsid w:val="005F7E75"/>
    <w:rsid w:val="00600486"/>
    <w:rsid w:val="00600944"/>
    <w:rsid w:val="00602D4B"/>
    <w:rsid w:val="006047D9"/>
    <w:rsid w:val="00604D4A"/>
    <w:rsid w:val="006051A9"/>
    <w:rsid w:val="006056AE"/>
    <w:rsid w:val="00606DF1"/>
    <w:rsid w:val="0061358E"/>
    <w:rsid w:val="00615093"/>
    <w:rsid w:val="0061657D"/>
    <w:rsid w:val="00617EE4"/>
    <w:rsid w:val="00622128"/>
    <w:rsid w:val="00631FBF"/>
    <w:rsid w:val="00634AD1"/>
    <w:rsid w:val="006359D0"/>
    <w:rsid w:val="00636D65"/>
    <w:rsid w:val="0064483B"/>
    <w:rsid w:val="006465B1"/>
    <w:rsid w:val="0064746D"/>
    <w:rsid w:val="00654AA4"/>
    <w:rsid w:val="0065702B"/>
    <w:rsid w:val="006606A0"/>
    <w:rsid w:val="00660F19"/>
    <w:rsid w:val="00662D3E"/>
    <w:rsid w:val="0066419E"/>
    <w:rsid w:val="00666272"/>
    <w:rsid w:val="00671E0B"/>
    <w:rsid w:val="00675C8B"/>
    <w:rsid w:val="006770FE"/>
    <w:rsid w:val="0067746C"/>
    <w:rsid w:val="006821D6"/>
    <w:rsid w:val="00682C6D"/>
    <w:rsid w:val="00684A97"/>
    <w:rsid w:val="006867A2"/>
    <w:rsid w:val="00690287"/>
    <w:rsid w:val="00691419"/>
    <w:rsid w:val="0069226B"/>
    <w:rsid w:val="00694001"/>
    <w:rsid w:val="00697B92"/>
    <w:rsid w:val="006A1552"/>
    <w:rsid w:val="006A47EE"/>
    <w:rsid w:val="006B0A79"/>
    <w:rsid w:val="006B7D6F"/>
    <w:rsid w:val="006C4671"/>
    <w:rsid w:val="006C6EF7"/>
    <w:rsid w:val="006D437B"/>
    <w:rsid w:val="006D6BE1"/>
    <w:rsid w:val="006D7133"/>
    <w:rsid w:val="006D786D"/>
    <w:rsid w:val="006E2D46"/>
    <w:rsid w:val="006E39B4"/>
    <w:rsid w:val="006E635B"/>
    <w:rsid w:val="006F2273"/>
    <w:rsid w:val="006F5A60"/>
    <w:rsid w:val="006F69D3"/>
    <w:rsid w:val="006F7321"/>
    <w:rsid w:val="007038CA"/>
    <w:rsid w:val="007038F8"/>
    <w:rsid w:val="00707899"/>
    <w:rsid w:val="00707E3A"/>
    <w:rsid w:val="007108EB"/>
    <w:rsid w:val="007122BD"/>
    <w:rsid w:val="00713731"/>
    <w:rsid w:val="00713947"/>
    <w:rsid w:val="007166E8"/>
    <w:rsid w:val="00724605"/>
    <w:rsid w:val="00735658"/>
    <w:rsid w:val="00735D49"/>
    <w:rsid w:val="007400A0"/>
    <w:rsid w:val="00744A09"/>
    <w:rsid w:val="00751527"/>
    <w:rsid w:val="0075255C"/>
    <w:rsid w:val="00753012"/>
    <w:rsid w:val="007645E0"/>
    <w:rsid w:val="00764778"/>
    <w:rsid w:val="0076625E"/>
    <w:rsid w:val="007716F9"/>
    <w:rsid w:val="00772A74"/>
    <w:rsid w:val="00772E7A"/>
    <w:rsid w:val="00775058"/>
    <w:rsid w:val="00777D18"/>
    <w:rsid w:val="007806B6"/>
    <w:rsid w:val="00782122"/>
    <w:rsid w:val="00785ECC"/>
    <w:rsid w:val="00790C78"/>
    <w:rsid w:val="00796C74"/>
    <w:rsid w:val="007976EB"/>
    <w:rsid w:val="007A0065"/>
    <w:rsid w:val="007A23D0"/>
    <w:rsid w:val="007A25D7"/>
    <w:rsid w:val="007A5EFC"/>
    <w:rsid w:val="007A6D75"/>
    <w:rsid w:val="007B2188"/>
    <w:rsid w:val="007B32C1"/>
    <w:rsid w:val="007B5CCF"/>
    <w:rsid w:val="007B5E38"/>
    <w:rsid w:val="007B712C"/>
    <w:rsid w:val="007C53D8"/>
    <w:rsid w:val="007C54B2"/>
    <w:rsid w:val="007D02B3"/>
    <w:rsid w:val="007D0EC2"/>
    <w:rsid w:val="007D373D"/>
    <w:rsid w:val="007D7541"/>
    <w:rsid w:val="007E6BB2"/>
    <w:rsid w:val="007F1984"/>
    <w:rsid w:val="007F1A00"/>
    <w:rsid w:val="007F5603"/>
    <w:rsid w:val="007F7CC4"/>
    <w:rsid w:val="00800EF9"/>
    <w:rsid w:val="00801629"/>
    <w:rsid w:val="0080258B"/>
    <w:rsid w:val="00806BEB"/>
    <w:rsid w:val="008149FE"/>
    <w:rsid w:val="00815B1F"/>
    <w:rsid w:val="008238ED"/>
    <w:rsid w:val="00824D0B"/>
    <w:rsid w:val="00825DDE"/>
    <w:rsid w:val="008274BF"/>
    <w:rsid w:val="00831A7E"/>
    <w:rsid w:val="00834F8F"/>
    <w:rsid w:val="008352F5"/>
    <w:rsid w:val="008362F9"/>
    <w:rsid w:val="0083638E"/>
    <w:rsid w:val="00845188"/>
    <w:rsid w:val="0084672E"/>
    <w:rsid w:val="0085042C"/>
    <w:rsid w:val="008524FE"/>
    <w:rsid w:val="008539E2"/>
    <w:rsid w:val="00854808"/>
    <w:rsid w:val="00860186"/>
    <w:rsid w:val="008602F7"/>
    <w:rsid w:val="00863919"/>
    <w:rsid w:val="00863BCA"/>
    <w:rsid w:val="00863EA0"/>
    <w:rsid w:val="00865764"/>
    <w:rsid w:val="00865AEE"/>
    <w:rsid w:val="00866368"/>
    <w:rsid w:val="008725A2"/>
    <w:rsid w:val="00875719"/>
    <w:rsid w:val="008811F0"/>
    <w:rsid w:val="00881674"/>
    <w:rsid w:val="0088456D"/>
    <w:rsid w:val="008847B7"/>
    <w:rsid w:val="00886176"/>
    <w:rsid w:val="00886B51"/>
    <w:rsid w:val="008878A5"/>
    <w:rsid w:val="00890EFF"/>
    <w:rsid w:val="008A1CAE"/>
    <w:rsid w:val="008A2EC3"/>
    <w:rsid w:val="008A3E90"/>
    <w:rsid w:val="008A6202"/>
    <w:rsid w:val="008A777B"/>
    <w:rsid w:val="008B4A89"/>
    <w:rsid w:val="008B5E63"/>
    <w:rsid w:val="008C1921"/>
    <w:rsid w:val="008C7264"/>
    <w:rsid w:val="008D3481"/>
    <w:rsid w:val="008D46A7"/>
    <w:rsid w:val="008D580F"/>
    <w:rsid w:val="008D6362"/>
    <w:rsid w:val="008D6B2C"/>
    <w:rsid w:val="008E082B"/>
    <w:rsid w:val="008E4269"/>
    <w:rsid w:val="008E4944"/>
    <w:rsid w:val="008E5845"/>
    <w:rsid w:val="008F26C8"/>
    <w:rsid w:val="008F37AA"/>
    <w:rsid w:val="0090294C"/>
    <w:rsid w:val="00903295"/>
    <w:rsid w:val="00903752"/>
    <w:rsid w:val="00903EEF"/>
    <w:rsid w:val="00904586"/>
    <w:rsid w:val="00904A80"/>
    <w:rsid w:val="00910613"/>
    <w:rsid w:val="00910871"/>
    <w:rsid w:val="0091475C"/>
    <w:rsid w:val="00914BB4"/>
    <w:rsid w:val="009177DA"/>
    <w:rsid w:val="00917AD9"/>
    <w:rsid w:val="00922617"/>
    <w:rsid w:val="00924900"/>
    <w:rsid w:val="00930014"/>
    <w:rsid w:val="00932446"/>
    <w:rsid w:val="0093356C"/>
    <w:rsid w:val="009337B1"/>
    <w:rsid w:val="0093466E"/>
    <w:rsid w:val="00936545"/>
    <w:rsid w:val="009509FB"/>
    <w:rsid w:val="00952482"/>
    <w:rsid w:val="00955896"/>
    <w:rsid w:val="00960257"/>
    <w:rsid w:val="009628F6"/>
    <w:rsid w:val="00966BF8"/>
    <w:rsid w:val="00971814"/>
    <w:rsid w:val="00972B98"/>
    <w:rsid w:val="009736A0"/>
    <w:rsid w:val="009772A4"/>
    <w:rsid w:val="00977D98"/>
    <w:rsid w:val="00981BDF"/>
    <w:rsid w:val="00981BEB"/>
    <w:rsid w:val="00981D1A"/>
    <w:rsid w:val="00991469"/>
    <w:rsid w:val="00991502"/>
    <w:rsid w:val="00991B7D"/>
    <w:rsid w:val="00991F87"/>
    <w:rsid w:val="00993389"/>
    <w:rsid w:val="00994BB9"/>
    <w:rsid w:val="009A09CB"/>
    <w:rsid w:val="009A34E5"/>
    <w:rsid w:val="009A45F4"/>
    <w:rsid w:val="009B0440"/>
    <w:rsid w:val="009B4B71"/>
    <w:rsid w:val="009B609B"/>
    <w:rsid w:val="009B63DC"/>
    <w:rsid w:val="009C091F"/>
    <w:rsid w:val="009C0C0B"/>
    <w:rsid w:val="009C14EC"/>
    <w:rsid w:val="009C1B9E"/>
    <w:rsid w:val="009C5F83"/>
    <w:rsid w:val="009C7875"/>
    <w:rsid w:val="009C7F29"/>
    <w:rsid w:val="009D04C0"/>
    <w:rsid w:val="009D0C99"/>
    <w:rsid w:val="009D5B33"/>
    <w:rsid w:val="009D78EF"/>
    <w:rsid w:val="009D7D2D"/>
    <w:rsid w:val="009E640E"/>
    <w:rsid w:val="009F2B76"/>
    <w:rsid w:val="009F3B4F"/>
    <w:rsid w:val="009F5CC3"/>
    <w:rsid w:val="00A00AB6"/>
    <w:rsid w:val="00A00C21"/>
    <w:rsid w:val="00A01D2A"/>
    <w:rsid w:val="00A0732E"/>
    <w:rsid w:val="00A13089"/>
    <w:rsid w:val="00A139AB"/>
    <w:rsid w:val="00A13F13"/>
    <w:rsid w:val="00A1590A"/>
    <w:rsid w:val="00A16489"/>
    <w:rsid w:val="00A16E39"/>
    <w:rsid w:val="00A314A9"/>
    <w:rsid w:val="00A337B6"/>
    <w:rsid w:val="00A37384"/>
    <w:rsid w:val="00A47F94"/>
    <w:rsid w:val="00A52B09"/>
    <w:rsid w:val="00A63879"/>
    <w:rsid w:val="00A72E80"/>
    <w:rsid w:val="00A80130"/>
    <w:rsid w:val="00A8032F"/>
    <w:rsid w:val="00A81A2F"/>
    <w:rsid w:val="00A830A8"/>
    <w:rsid w:val="00A830B6"/>
    <w:rsid w:val="00A83369"/>
    <w:rsid w:val="00A86186"/>
    <w:rsid w:val="00A964B2"/>
    <w:rsid w:val="00A974CC"/>
    <w:rsid w:val="00AA1552"/>
    <w:rsid w:val="00AA4E4A"/>
    <w:rsid w:val="00AA653F"/>
    <w:rsid w:val="00AB07AB"/>
    <w:rsid w:val="00AB27DB"/>
    <w:rsid w:val="00AB2B3C"/>
    <w:rsid w:val="00AB4D35"/>
    <w:rsid w:val="00AB561B"/>
    <w:rsid w:val="00AB5F83"/>
    <w:rsid w:val="00AC2AB8"/>
    <w:rsid w:val="00AC382A"/>
    <w:rsid w:val="00AC5066"/>
    <w:rsid w:val="00AC52CC"/>
    <w:rsid w:val="00AD0359"/>
    <w:rsid w:val="00AD1872"/>
    <w:rsid w:val="00AD3657"/>
    <w:rsid w:val="00AD3A37"/>
    <w:rsid w:val="00AD704B"/>
    <w:rsid w:val="00AD7222"/>
    <w:rsid w:val="00AE2EA3"/>
    <w:rsid w:val="00AE3BA2"/>
    <w:rsid w:val="00AE4C7F"/>
    <w:rsid w:val="00AE4EC0"/>
    <w:rsid w:val="00AE690D"/>
    <w:rsid w:val="00AE7186"/>
    <w:rsid w:val="00AF1CA2"/>
    <w:rsid w:val="00AF25D7"/>
    <w:rsid w:val="00AF2E50"/>
    <w:rsid w:val="00AF3232"/>
    <w:rsid w:val="00AF3D0C"/>
    <w:rsid w:val="00B10B0D"/>
    <w:rsid w:val="00B16B4A"/>
    <w:rsid w:val="00B22BBF"/>
    <w:rsid w:val="00B23A30"/>
    <w:rsid w:val="00B363CE"/>
    <w:rsid w:val="00B406C3"/>
    <w:rsid w:val="00B40D85"/>
    <w:rsid w:val="00B40F92"/>
    <w:rsid w:val="00B45E95"/>
    <w:rsid w:val="00B511F8"/>
    <w:rsid w:val="00B51BA1"/>
    <w:rsid w:val="00B55B80"/>
    <w:rsid w:val="00B6193A"/>
    <w:rsid w:val="00B65AED"/>
    <w:rsid w:val="00B66CF2"/>
    <w:rsid w:val="00B66DDA"/>
    <w:rsid w:val="00B66F6E"/>
    <w:rsid w:val="00B707BB"/>
    <w:rsid w:val="00B729A2"/>
    <w:rsid w:val="00B74004"/>
    <w:rsid w:val="00B750F6"/>
    <w:rsid w:val="00B761B3"/>
    <w:rsid w:val="00B80278"/>
    <w:rsid w:val="00B90E8D"/>
    <w:rsid w:val="00B94C95"/>
    <w:rsid w:val="00B977AB"/>
    <w:rsid w:val="00BA06B1"/>
    <w:rsid w:val="00BA317A"/>
    <w:rsid w:val="00BA3ACE"/>
    <w:rsid w:val="00BB1BF1"/>
    <w:rsid w:val="00BB2FB5"/>
    <w:rsid w:val="00BB3C39"/>
    <w:rsid w:val="00BC4578"/>
    <w:rsid w:val="00BD7B53"/>
    <w:rsid w:val="00BE3EC2"/>
    <w:rsid w:val="00BE69E6"/>
    <w:rsid w:val="00BE70F2"/>
    <w:rsid w:val="00BF01F7"/>
    <w:rsid w:val="00BF1C41"/>
    <w:rsid w:val="00BF2AEA"/>
    <w:rsid w:val="00C00BE7"/>
    <w:rsid w:val="00C04AF5"/>
    <w:rsid w:val="00C13B8E"/>
    <w:rsid w:val="00C13CC6"/>
    <w:rsid w:val="00C1453E"/>
    <w:rsid w:val="00C14D8C"/>
    <w:rsid w:val="00C16CBC"/>
    <w:rsid w:val="00C22EA8"/>
    <w:rsid w:val="00C276EA"/>
    <w:rsid w:val="00C27E17"/>
    <w:rsid w:val="00C33F02"/>
    <w:rsid w:val="00C41F82"/>
    <w:rsid w:val="00C50343"/>
    <w:rsid w:val="00C5178F"/>
    <w:rsid w:val="00C523E4"/>
    <w:rsid w:val="00C54540"/>
    <w:rsid w:val="00C54CB2"/>
    <w:rsid w:val="00C566B7"/>
    <w:rsid w:val="00C570CA"/>
    <w:rsid w:val="00C62773"/>
    <w:rsid w:val="00C629F7"/>
    <w:rsid w:val="00C64E7A"/>
    <w:rsid w:val="00C65625"/>
    <w:rsid w:val="00C67178"/>
    <w:rsid w:val="00C70B56"/>
    <w:rsid w:val="00C74828"/>
    <w:rsid w:val="00C74C79"/>
    <w:rsid w:val="00C75905"/>
    <w:rsid w:val="00C81259"/>
    <w:rsid w:val="00C83753"/>
    <w:rsid w:val="00C83D66"/>
    <w:rsid w:val="00C866AD"/>
    <w:rsid w:val="00C87484"/>
    <w:rsid w:val="00C933DE"/>
    <w:rsid w:val="00C946ED"/>
    <w:rsid w:val="00C95294"/>
    <w:rsid w:val="00CA0BAE"/>
    <w:rsid w:val="00CA336A"/>
    <w:rsid w:val="00CB2951"/>
    <w:rsid w:val="00CB46E4"/>
    <w:rsid w:val="00CB5755"/>
    <w:rsid w:val="00CC1770"/>
    <w:rsid w:val="00CD23F2"/>
    <w:rsid w:val="00CD5430"/>
    <w:rsid w:val="00CD7B00"/>
    <w:rsid w:val="00CE042F"/>
    <w:rsid w:val="00CE332B"/>
    <w:rsid w:val="00CE634C"/>
    <w:rsid w:val="00CE7D6F"/>
    <w:rsid w:val="00CF29A6"/>
    <w:rsid w:val="00CF2A27"/>
    <w:rsid w:val="00CF2A66"/>
    <w:rsid w:val="00CF4C57"/>
    <w:rsid w:val="00CF6BEC"/>
    <w:rsid w:val="00D0034C"/>
    <w:rsid w:val="00D01303"/>
    <w:rsid w:val="00D038D6"/>
    <w:rsid w:val="00D06B86"/>
    <w:rsid w:val="00D112B7"/>
    <w:rsid w:val="00D11FA0"/>
    <w:rsid w:val="00D12F81"/>
    <w:rsid w:val="00D14B6B"/>
    <w:rsid w:val="00D1734E"/>
    <w:rsid w:val="00D20DE5"/>
    <w:rsid w:val="00D21B57"/>
    <w:rsid w:val="00D246FC"/>
    <w:rsid w:val="00D2511C"/>
    <w:rsid w:val="00D33133"/>
    <w:rsid w:val="00D349F4"/>
    <w:rsid w:val="00D40956"/>
    <w:rsid w:val="00D429A3"/>
    <w:rsid w:val="00D43002"/>
    <w:rsid w:val="00D433A4"/>
    <w:rsid w:val="00D43B51"/>
    <w:rsid w:val="00D474AA"/>
    <w:rsid w:val="00D6198E"/>
    <w:rsid w:val="00D61EAC"/>
    <w:rsid w:val="00D62DD6"/>
    <w:rsid w:val="00D6416C"/>
    <w:rsid w:val="00D64492"/>
    <w:rsid w:val="00D661D1"/>
    <w:rsid w:val="00D76629"/>
    <w:rsid w:val="00D8495B"/>
    <w:rsid w:val="00D87942"/>
    <w:rsid w:val="00D87AF0"/>
    <w:rsid w:val="00D90931"/>
    <w:rsid w:val="00D92E38"/>
    <w:rsid w:val="00D92FDE"/>
    <w:rsid w:val="00D94748"/>
    <w:rsid w:val="00D955B4"/>
    <w:rsid w:val="00D95799"/>
    <w:rsid w:val="00D97927"/>
    <w:rsid w:val="00DA72A3"/>
    <w:rsid w:val="00DB318E"/>
    <w:rsid w:val="00DB4B09"/>
    <w:rsid w:val="00DB5F17"/>
    <w:rsid w:val="00DB6242"/>
    <w:rsid w:val="00DB7532"/>
    <w:rsid w:val="00DC31BC"/>
    <w:rsid w:val="00DC668B"/>
    <w:rsid w:val="00DD06BF"/>
    <w:rsid w:val="00DD1448"/>
    <w:rsid w:val="00DD2FBC"/>
    <w:rsid w:val="00DD7B8C"/>
    <w:rsid w:val="00DE16FF"/>
    <w:rsid w:val="00DE1F73"/>
    <w:rsid w:val="00DE3A27"/>
    <w:rsid w:val="00DF2149"/>
    <w:rsid w:val="00DF409B"/>
    <w:rsid w:val="00DF40EA"/>
    <w:rsid w:val="00DF66A2"/>
    <w:rsid w:val="00E01EE3"/>
    <w:rsid w:val="00E02EDC"/>
    <w:rsid w:val="00E0427B"/>
    <w:rsid w:val="00E11961"/>
    <w:rsid w:val="00E213B3"/>
    <w:rsid w:val="00E261CD"/>
    <w:rsid w:val="00E26A10"/>
    <w:rsid w:val="00E31F27"/>
    <w:rsid w:val="00E42683"/>
    <w:rsid w:val="00E432AF"/>
    <w:rsid w:val="00E47148"/>
    <w:rsid w:val="00E47A50"/>
    <w:rsid w:val="00E54442"/>
    <w:rsid w:val="00E56F65"/>
    <w:rsid w:val="00E61B6C"/>
    <w:rsid w:val="00E62903"/>
    <w:rsid w:val="00E7232B"/>
    <w:rsid w:val="00E76541"/>
    <w:rsid w:val="00E7693E"/>
    <w:rsid w:val="00E770B7"/>
    <w:rsid w:val="00E834F4"/>
    <w:rsid w:val="00E9070D"/>
    <w:rsid w:val="00E92592"/>
    <w:rsid w:val="00E97BD6"/>
    <w:rsid w:val="00E97CEE"/>
    <w:rsid w:val="00EA089A"/>
    <w:rsid w:val="00EA18AF"/>
    <w:rsid w:val="00EA1A96"/>
    <w:rsid w:val="00EA1E0E"/>
    <w:rsid w:val="00EB0053"/>
    <w:rsid w:val="00EB05A5"/>
    <w:rsid w:val="00EB0FA6"/>
    <w:rsid w:val="00EB21A5"/>
    <w:rsid w:val="00EB3764"/>
    <w:rsid w:val="00EB5882"/>
    <w:rsid w:val="00EB7867"/>
    <w:rsid w:val="00EC1E7A"/>
    <w:rsid w:val="00EC1FE3"/>
    <w:rsid w:val="00ED2B26"/>
    <w:rsid w:val="00ED417B"/>
    <w:rsid w:val="00ED61A6"/>
    <w:rsid w:val="00ED71F9"/>
    <w:rsid w:val="00EE48A5"/>
    <w:rsid w:val="00EE5F0F"/>
    <w:rsid w:val="00EE638B"/>
    <w:rsid w:val="00EE7F94"/>
    <w:rsid w:val="00EF0313"/>
    <w:rsid w:val="00EF1CAC"/>
    <w:rsid w:val="00EF6FD6"/>
    <w:rsid w:val="00F00E35"/>
    <w:rsid w:val="00F038F5"/>
    <w:rsid w:val="00F04393"/>
    <w:rsid w:val="00F0626E"/>
    <w:rsid w:val="00F070BC"/>
    <w:rsid w:val="00F07D99"/>
    <w:rsid w:val="00F10B5E"/>
    <w:rsid w:val="00F1338E"/>
    <w:rsid w:val="00F151AD"/>
    <w:rsid w:val="00F1673F"/>
    <w:rsid w:val="00F1755A"/>
    <w:rsid w:val="00F2064E"/>
    <w:rsid w:val="00F22E86"/>
    <w:rsid w:val="00F261E2"/>
    <w:rsid w:val="00F32AD5"/>
    <w:rsid w:val="00F419B5"/>
    <w:rsid w:val="00F42696"/>
    <w:rsid w:val="00F47BF1"/>
    <w:rsid w:val="00F50862"/>
    <w:rsid w:val="00F518B0"/>
    <w:rsid w:val="00F54852"/>
    <w:rsid w:val="00F571D4"/>
    <w:rsid w:val="00F62081"/>
    <w:rsid w:val="00F6376F"/>
    <w:rsid w:val="00F63AED"/>
    <w:rsid w:val="00F65F10"/>
    <w:rsid w:val="00F67734"/>
    <w:rsid w:val="00F74F89"/>
    <w:rsid w:val="00F76C3D"/>
    <w:rsid w:val="00F8104D"/>
    <w:rsid w:val="00F811B6"/>
    <w:rsid w:val="00F86051"/>
    <w:rsid w:val="00F9782B"/>
    <w:rsid w:val="00FA5325"/>
    <w:rsid w:val="00FB2A46"/>
    <w:rsid w:val="00FC146E"/>
    <w:rsid w:val="00FC4325"/>
    <w:rsid w:val="00FC6879"/>
    <w:rsid w:val="00FD09B5"/>
    <w:rsid w:val="00FD121D"/>
    <w:rsid w:val="00FD4AFE"/>
    <w:rsid w:val="00FD6EF6"/>
    <w:rsid w:val="00FE00F8"/>
    <w:rsid w:val="00FE0FC8"/>
    <w:rsid w:val="00FE22A7"/>
    <w:rsid w:val="00FE3D66"/>
    <w:rsid w:val="00FE4EC4"/>
    <w:rsid w:val="00FE5796"/>
    <w:rsid w:val="00FF2C3C"/>
    <w:rsid w:val="00FF2D88"/>
    <w:rsid w:val="00FF5178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6F570"/>
  <w15:docId w15:val="{25AB2F02-4A33-4A6E-8183-57FBC92E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1866"/>
    <w:pPr>
      <w:spacing w:after="0" w:line="240" w:lineRule="auto"/>
    </w:pPr>
    <w:rPr>
      <w:rFonts w:ascii="Univers (W1)" w:eastAsia="Univers (W1)" w:hAnsi="Univers (W1)" w:cs="Univers (W1)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145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94BB9"/>
    <w:pPr>
      <w:keepNext/>
      <w:spacing w:before="240"/>
      <w:jc w:val="both"/>
      <w:outlineLvl w:val="1"/>
    </w:pPr>
    <w:rPr>
      <w:rFonts w:ascii="MS Sans Serif" w:hAnsi="MS Sans Serif" w:cs="MS Sans Serif"/>
      <w:b/>
      <w:i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03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D71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D71F9"/>
  </w:style>
  <w:style w:type="paragraph" w:styleId="Piedepgina">
    <w:name w:val="footer"/>
    <w:basedOn w:val="Normal"/>
    <w:link w:val="PiedepginaCar"/>
    <w:uiPriority w:val="99"/>
    <w:unhideWhenUsed/>
    <w:rsid w:val="00ED71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1F9"/>
  </w:style>
  <w:style w:type="paragraph" w:styleId="Textonotapie">
    <w:name w:val="footnote text"/>
    <w:basedOn w:val="Normal"/>
    <w:link w:val="TextonotapieCar"/>
    <w:rsid w:val="00ED71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D71F9"/>
    <w:rPr>
      <w:rFonts w:ascii="Univers (W1)" w:eastAsia="Univers (W1)" w:hAnsi="Univers (W1)" w:cs="Univers (W1)"/>
      <w:sz w:val="20"/>
      <w:szCs w:val="20"/>
      <w:lang w:eastAsia="es-MX"/>
    </w:rPr>
  </w:style>
  <w:style w:type="character" w:styleId="Refdenotaalpie">
    <w:name w:val="footnote reference"/>
    <w:uiPriority w:val="99"/>
    <w:rsid w:val="00ED71F9"/>
    <w:rPr>
      <w:vertAlign w:val="superscript"/>
    </w:rPr>
  </w:style>
  <w:style w:type="paragraph" w:styleId="Textoindependiente">
    <w:name w:val="Body Text"/>
    <w:basedOn w:val="Normal"/>
    <w:link w:val="TextoindependienteCar"/>
    <w:rsid w:val="00ED71F9"/>
    <w:pPr>
      <w:jc w:val="both"/>
    </w:pPr>
    <w:rPr>
      <w:rFonts w:ascii="MS Sans Serif" w:hAnsi="MS Sans Serif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ED71F9"/>
    <w:rPr>
      <w:rFonts w:ascii="MS Sans Serif" w:eastAsia="Univers (W1)" w:hAnsi="MS Sans Serif" w:cs="Univers (W1)"/>
      <w:sz w:val="24"/>
      <w:szCs w:val="24"/>
      <w:lang w:val="x-none" w:eastAsia="x-none"/>
    </w:rPr>
  </w:style>
  <w:style w:type="paragraph" w:customStyle="1" w:styleId="Profesin">
    <w:name w:val="Profesión"/>
    <w:basedOn w:val="Normal"/>
    <w:rsid w:val="00ED71F9"/>
    <w:pPr>
      <w:jc w:val="center"/>
    </w:pPr>
    <w:rPr>
      <w:rFonts w:ascii="MS Sans Serif" w:hAnsi="MS Sans Serif"/>
      <w:b/>
      <w:caps/>
      <w:sz w:val="28"/>
      <w:szCs w:val="20"/>
      <w:lang w:val="es-ES_tradnl" w:eastAsia="es-ES"/>
    </w:rPr>
  </w:style>
  <w:style w:type="paragraph" w:customStyle="1" w:styleId="n01">
    <w:name w:val="n01"/>
    <w:basedOn w:val="Normal"/>
    <w:rsid w:val="00ED71F9"/>
    <w:pPr>
      <w:keepLines/>
      <w:spacing w:before="240"/>
      <w:ind w:left="720" w:hanging="720"/>
      <w:jc w:val="both"/>
    </w:pPr>
    <w:rPr>
      <w:rFonts w:ascii="MT Extra" w:hAnsi="MT Extra"/>
      <w:color w:val="800080"/>
      <w:szCs w:val="20"/>
      <w:lang w:val="es-ES_tradnl" w:eastAsia="es-ES"/>
    </w:rPr>
  </w:style>
  <w:style w:type="paragraph" w:customStyle="1" w:styleId="Textodebloque1">
    <w:name w:val="Texto de bloque1"/>
    <w:basedOn w:val="Normal"/>
    <w:rsid w:val="00ED71F9"/>
    <w:pPr>
      <w:spacing w:before="240"/>
      <w:ind w:left="1843" w:right="1361" w:hanging="273"/>
      <w:jc w:val="both"/>
    </w:pPr>
    <w:rPr>
      <w:rFonts w:ascii="MS Sans Serif" w:hAnsi="MS Sans Serif"/>
      <w:b/>
      <w:sz w:val="22"/>
      <w:szCs w:val="20"/>
      <w:lang w:val="es-ES_tradnl" w:eastAsia="es-ES"/>
    </w:rPr>
  </w:style>
  <w:style w:type="character" w:styleId="Hipervnculo">
    <w:name w:val="Hyperlink"/>
    <w:rsid w:val="009D0C99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0C9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16B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16B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16B4A"/>
    <w:rPr>
      <w:rFonts w:ascii="Univers (W1)" w:eastAsia="Univers (W1)" w:hAnsi="Univers (W1)" w:cs="Univers (W1)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6B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6B4A"/>
    <w:rPr>
      <w:rFonts w:ascii="Univers (W1)" w:eastAsia="Univers (W1)" w:hAnsi="Univers (W1)" w:cs="Univers (W1)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6B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B4A"/>
    <w:rPr>
      <w:rFonts w:ascii="Segoe UI" w:eastAsia="Univers (W1)" w:hAnsi="Segoe UI" w:cs="Segoe UI"/>
      <w:sz w:val="18"/>
      <w:szCs w:val="18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BA3ACE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rsid w:val="00994BB9"/>
    <w:rPr>
      <w:rFonts w:ascii="MS Sans Serif" w:eastAsia="Univers (W1)" w:hAnsi="MS Sans Serif" w:cs="MS Sans Serif"/>
      <w:b/>
      <w:i/>
      <w:sz w:val="24"/>
      <w:szCs w:val="24"/>
      <w:lang w:eastAsia="es-MX"/>
    </w:rPr>
  </w:style>
  <w:style w:type="paragraph" w:styleId="NormalWeb">
    <w:name w:val="Normal (Web)"/>
    <w:basedOn w:val="Normal"/>
    <w:uiPriority w:val="99"/>
    <w:rsid w:val="00994BB9"/>
    <w:pPr>
      <w:spacing w:before="100" w:beforeAutospacing="1" w:after="100" w:afterAutospacing="1"/>
    </w:pPr>
    <w:rPr>
      <w:lang w:val="es-ES" w:eastAsia="es-ES"/>
    </w:rPr>
  </w:style>
  <w:style w:type="table" w:styleId="Tabladelista3-nfasis2">
    <w:name w:val="List Table 3 Accent 2"/>
    <w:basedOn w:val="Tablanormal"/>
    <w:uiPriority w:val="48"/>
    <w:rsid w:val="002779E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4A11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0A2285"/>
    <w:pPr>
      <w:spacing w:before="12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145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customStyle="1" w:styleId="Default">
    <w:name w:val="Default"/>
    <w:rsid w:val="00F97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0E7857"/>
    <w:pPr>
      <w:spacing w:after="0" w:line="240" w:lineRule="auto"/>
    </w:pPr>
    <w:rPr>
      <w:rFonts w:ascii="Univers (W1)" w:eastAsia="Univers (W1)" w:hAnsi="Univers (W1)" w:cs="Univers (W1)"/>
      <w:sz w:val="24"/>
      <w:szCs w:val="24"/>
      <w:lang w:eastAsia="es-MX"/>
    </w:rPr>
  </w:style>
  <w:style w:type="paragraph" w:customStyle="1" w:styleId="parrafo1">
    <w:name w:val="parrafo1"/>
    <w:basedOn w:val="Normal"/>
    <w:link w:val="parrafo1Car"/>
    <w:rsid w:val="00B761B3"/>
    <w:pPr>
      <w:spacing w:before="480"/>
      <w:ind w:left="426" w:right="443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parrafo1Car">
    <w:name w:val="parrafo1 Car"/>
    <w:basedOn w:val="Fuentedeprrafopredeter"/>
    <w:link w:val="parrafo1"/>
    <w:rsid w:val="00B761B3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D0034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hyperlink" Target="https://twitter.com/INEGI_INFORM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inegi_informa/" TargetMode="External"/><Relationship Id="rId20" Type="http://schemas.openxmlformats.org/officeDocument/2006/relationships/hyperlink" Target="https://www.youtube.com/user/INEGIInfor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6.png"/><Relationship Id="rId10" Type="http://schemas.openxmlformats.org/officeDocument/2006/relationships/chart" Target="charts/chart3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Relationship Id="rId27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is%20documentos\Econom&#237;a%20social%2021-23\CS%20de%20la%20Econom&#237;a%20Social\ESTUDIO%20DE%20CASO_2013_2018\Otros\Metodolog&#237;a_EstudioCaso\Econom&#237;a%20social_TABULADOS_2013%20y%202018_INEGI_insumos%20boletin_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is%20documentos\Econom&#237;a%20social%2021-23\CS%20de%20la%20Econom&#237;a%20Social\ESTUDIO%20DE%20CASO_2013_2018\Otros\Metodolog&#237;a_EstudioCaso\Econom&#237;a%20social_TABULADOS_2013%20y%202018_INEGI_insumos%20boletin_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is%20documentos\Econom&#237;a%20social%2021-23\CS%20de%20la%20Econom&#237;a%20Social\ESTUDIO%20DE%20CASO_2013_2018\Otros\Metodolog&#237;a_EstudioCaso\Econom&#237;a%20social_TABULADOS_2013%20y%202018_INEGI_insumos%20boletin_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G1_PIB_CS_2!$D$13</c:f>
              <c:strCache>
                <c:ptCount val="1"/>
                <c:pt idx="0">
                  <c:v>2018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075-4E7F-81C3-19BA49BADB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075-4E7F-81C3-19BA49BADB9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075-4E7F-81C3-19BA49BADB9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075-4E7F-81C3-19BA49BADB9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075-4E7F-81C3-19BA49BADB9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075-4E7F-81C3-19BA49BADB9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075-4E7F-81C3-19BA49BADB95}"/>
                </c:ext>
              </c:extLst>
            </c:dLbl>
            <c:dLbl>
              <c:idx val="1"/>
              <c:layout>
                <c:manualLayout>
                  <c:x val="2.2317253446767232E-4"/>
                  <c:y val="7.18899146227411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4645909645909645"/>
                      <c:h val="0.151797603195739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075-4E7F-81C3-19BA49BADB95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075-4E7F-81C3-19BA49BADB95}"/>
                </c:ext>
              </c:extLst>
            </c:dLbl>
            <c:dLbl>
              <c:idx val="3"/>
              <c:layout>
                <c:manualLayout>
                  <c:x val="8.6567986647300057E-3"/>
                  <c:y val="-0.1171573181161344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459910459910462"/>
                      <c:h val="0.152543275632489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8075-4E7F-81C3-19BA49BADB95}"/>
                </c:ext>
              </c:extLst>
            </c:dLbl>
            <c:dLbl>
              <c:idx val="4"/>
              <c:layout>
                <c:manualLayout>
                  <c:x val="5.2450198124506291E-2"/>
                  <c:y val="-5.11777846589401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0072250584061605"/>
                      <c:h val="0.152543275632489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8075-4E7F-81C3-19BA49BADB95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075-4E7F-81C3-19BA49BADB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G1_PIB_CS_2!$B$15:$B$20</c:f>
              <c:strCache>
                <c:ptCount val="6"/>
                <c:pt idx="0">
                  <c:v>Sector agropecuario</c:v>
                </c:pt>
                <c:pt idx="1">
                  <c:v>Industrias manufactureras</c:v>
                </c:pt>
                <c:pt idx="2">
                  <c:v>Comercio</c:v>
                </c:pt>
                <c:pt idx="3">
                  <c:v>Transportes y correos</c:v>
                </c:pt>
                <c:pt idx="4">
                  <c:v>Servicios financieros</c:v>
                </c:pt>
                <c:pt idx="5">
                  <c:v> Otros</c:v>
                </c:pt>
              </c:strCache>
            </c:strRef>
          </c:cat>
          <c:val>
            <c:numRef>
              <c:f>G1_PIB_CS_2!$D$15:$D$20</c:f>
              <c:numCache>
                <c:formatCode>0.0</c:formatCode>
                <c:ptCount val="6"/>
                <c:pt idx="0">
                  <c:v>76.472501571682727</c:v>
                </c:pt>
                <c:pt idx="1">
                  <c:v>2.7598600343212869</c:v>
                </c:pt>
                <c:pt idx="2">
                  <c:v>1.4930860422829155</c:v>
                </c:pt>
                <c:pt idx="3">
                  <c:v>1.4591131004128395</c:v>
                </c:pt>
                <c:pt idx="4">
                  <c:v>16.41188661204183</c:v>
                </c:pt>
                <c:pt idx="5">
                  <c:v>1.3035526392584025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075-4E7F-81C3-19BA49BADB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32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999-4109-8045-65E0888F7C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999-4109-8045-65E0888F7C1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999-4109-8045-65E0888F7C1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999-4109-8045-65E0888F7C1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999-4109-8045-65E0888F7C1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999-4109-8045-65E0888F7C1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99-4109-8045-65E0888F7C15}"/>
                </c:ext>
              </c:extLst>
            </c:dLbl>
            <c:dLbl>
              <c:idx val="1"/>
              <c:layout>
                <c:manualLayout>
                  <c:x val="-8.3751269470713138E-3"/>
                  <c:y val="-3.59270216780284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2192211055276376"/>
                      <c:h val="0.2429007275287491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999-4109-8045-65E0888F7C15}"/>
                </c:ext>
              </c:extLst>
            </c:dLbl>
            <c:dLbl>
              <c:idx val="2"/>
              <c:layout>
                <c:manualLayout>
                  <c:x val="-6.6428682124533428E-2"/>
                  <c:y val="5.36907716387598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999-4109-8045-65E0888F7C15}"/>
                </c:ext>
              </c:extLst>
            </c:dLbl>
            <c:dLbl>
              <c:idx val="3"/>
              <c:layout>
                <c:manualLayout>
                  <c:x val="-5.457701895303288E-2"/>
                  <c:y val="4.215933932923955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481155778894473"/>
                      <c:h val="0.1267308143628256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6999-4109-8045-65E0888F7C15}"/>
                </c:ext>
              </c:extLst>
            </c:dLbl>
            <c:dLbl>
              <c:idx val="4"/>
              <c:layout>
                <c:manualLayout>
                  <c:x val="-2.8491044461150902E-2"/>
                  <c:y val="4.988293384237554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3448492462311558"/>
                      <c:h val="0.1267308143628256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6999-4109-8045-65E0888F7C15}"/>
                </c:ext>
              </c:extLst>
            </c:dLbl>
            <c:dLbl>
              <c:idx val="5"/>
              <c:layout>
                <c:manualLayout>
                  <c:x val="-6.0720268006700169E-2"/>
                  <c:y val="-1.906949498010707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643634840871022"/>
                      <c:h val="0.1267308143628256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6999-4109-8045-65E0888F7C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G1_PIB_CF_2!$B$4:$B$9</c:f>
              <c:strCache>
                <c:ptCount val="6"/>
                <c:pt idx="0">
                  <c:v>Ejidos</c:v>
                </c:pt>
                <c:pt idx="1">
                  <c:v>Sociedades Cooperativas de Ahorro y Préstamo</c:v>
                </c:pt>
                <c:pt idx="2">
                  <c:v>Comunidades</c:v>
                </c:pt>
                <c:pt idx="3">
                  <c:v>Sociedades Cooperativas</c:v>
                </c:pt>
                <c:pt idx="4">
                  <c:v>Sociedades de Producción Rural</c:v>
                </c:pt>
                <c:pt idx="5">
                  <c:v>Resto de organismos</c:v>
                </c:pt>
              </c:strCache>
            </c:strRef>
          </c:cat>
          <c:val>
            <c:numRef>
              <c:f>G1_PIB_CF_2!$C$4:$C$9</c:f>
              <c:numCache>
                <c:formatCode>_-* #,##0.0_-;\-* #,##0.0_-;_-* "-"??_-;_-@_-</c:formatCode>
                <c:ptCount val="6"/>
                <c:pt idx="0">
                  <c:v>70.720854293165758</c:v>
                </c:pt>
                <c:pt idx="1">
                  <c:v>15.105557750775048</c:v>
                </c:pt>
                <c:pt idx="2">
                  <c:v>4.3751519247357935</c:v>
                </c:pt>
                <c:pt idx="3">
                  <c:v>3.9657926160180463</c:v>
                </c:pt>
                <c:pt idx="4">
                  <c:v>1.785659131786306</c:v>
                </c:pt>
                <c:pt idx="5">
                  <c:v>4.046984283519051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999-4109-8045-65E0888F7C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32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BF8-48D2-BE9C-F95935BFA9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BF8-48D2-BE9C-F95935BFA98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BF8-48D2-BE9C-F95935BFA98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BF8-48D2-BE9C-F95935BFA982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F8-48D2-BE9C-F95935BFA982}"/>
                </c:ext>
              </c:extLst>
            </c:dLbl>
            <c:dLbl>
              <c:idx val="1"/>
              <c:layout>
                <c:manualLayout>
                  <c:x val="-8.3138665711592563E-2"/>
                  <c:y val="-1.61072006488735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253133202099738"/>
                      <c:h val="9.84981899557790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BF8-48D2-BE9C-F95935BFA982}"/>
                </c:ext>
              </c:extLst>
            </c:dLbl>
            <c:dLbl>
              <c:idx val="2"/>
              <c:layout>
                <c:manualLayout>
                  <c:x val="-3.9002660309009236E-2"/>
                  <c:y val="2.05583685007247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9230969346754265"/>
                      <c:h val="0.1161700401932165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3BF8-48D2-BE9C-F95935BFA982}"/>
                </c:ext>
              </c:extLst>
            </c:dLbl>
            <c:dLbl>
              <c:idx val="3"/>
              <c:layout>
                <c:manualLayout>
                  <c:x val="0"/>
                  <c:y val="-4.83346516922508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6043534273083483"/>
                      <c:h val="0.1161700401932165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3BF8-48D2-BE9C-F95935BFA9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G2_PNR_CF_2!$B$4:$B$7</c:f>
              <c:strCache>
                <c:ptCount val="4"/>
                <c:pt idx="0">
                  <c:v>Ejidos</c:v>
                </c:pt>
                <c:pt idx="1">
                  <c:v>Comunidades</c:v>
                </c:pt>
                <c:pt idx="2">
                  <c:v>Sociedades Cooperativas</c:v>
                </c:pt>
                <c:pt idx="3">
                  <c:v>Sociedades de Producción Rural</c:v>
                </c:pt>
              </c:strCache>
            </c:strRef>
          </c:cat>
          <c:val>
            <c:numRef>
              <c:f>G2_PNR_CF_2!$C$4:$C$7</c:f>
              <c:numCache>
                <c:formatCode>_-* #,##0.0_-;\-* #,##0.0_-;_-* "-"??_-;_-@_-</c:formatCode>
                <c:ptCount val="4"/>
                <c:pt idx="0">
                  <c:v>86.7</c:v>
                </c:pt>
                <c:pt idx="1">
                  <c:v>9.1999999999999993</c:v>
                </c:pt>
                <c:pt idx="2">
                  <c:v>3.9</c:v>
                </c:pt>
                <c:pt idx="3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BF8-48D2-BE9C-F95935BFA9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30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410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 w="19050"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lt1"/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410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 w="19050"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lt1"/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410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 w="19050"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lt1"/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0.59851</cdr:x>
      <cdr:y>0.41141</cdr:y>
    </cdr:from>
    <cdr:to>
      <cdr:x>0.63495</cdr:x>
      <cdr:y>0.50997</cdr:y>
    </cdr:to>
    <cdr:sp macro="" textlink="">
      <cdr:nvSpPr>
        <cdr:cNvPr id="2" name="Cuadro de texto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30295" y="1113155"/>
          <a:ext cx="220980" cy="2667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>
            <a:spcAft>
              <a:spcPts val="0"/>
            </a:spcAft>
          </a:pPr>
          <a:r>
            <a:rPr lang="es-MX" sz="700" b="1">
              <a:solidFill>
                <a:schemeClr val="bg1"/>
              </a:solidFill>
              <a:effectLst/>
              <a:latin typeface="Calibri" panose="020F0502020204030204" pitchFamily="34" charset="0"/>
              <a:ea typeface="Univers (W1)"/>
              <a:cs typeface="Univers (W1)"/>
            </a:rPr>
            <a:t>1</a:t>
          </a:r>
          <a:endParaRPr lang="es-MX" sz="1200">
            <a:solidFill>
              <a:schemeClr val="bg1"/>
            </a:solidFill>
            <a:effectLst/>
            <a:latin typeface="Univers (W1)"/>
            <a:ea typeface="Univers (W1)"/>
            <a:cs typeface="Univers (W1)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E7139-D70D-47AD-AFF3-376A32C6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1250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Sistema de Cuentas Nacionales de México Cuenta satélite de las ISFL de México 2020</vt:lpstr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Sistema de Cuentas Nacionales de México Cuenta satélite de las ISFL de México 2020</dc:title>
  <dc:subject/>
  <dc:creator>INEGI</dc:creator>
  <cp:keywords/>
  <dc:description/>
  <cp:lastModifiedBy>COLLAZO GALLEGOS MARCOS DARIO</cp:lastModifiedBy>
  <cp:revision>2</cp:revision>
  <cp:lastPrinted>2020-09-29T00:33:00Z</cp:lastPrinted>
  <dcterms:created xsi:type="dcterms:W3CDTF">2022-11-29T00:13:00Z</dcterms:created>
  <dcterms:modified xsi:type="dcterms:W3CDTF">2022-11-29T00:13:00Z</dcterms:modified>
</cp:coreProperties>
</file>