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3C73" w14:textId="24347ED8" w:rsidR="00A354C1" w:rsidRDefault="00A354C1" w:rsidP="00132CAB">
      <w:pPr>
        <w:pStyle w:val="Default"/>
        <w:ind w:right="21"/>
        <w:jc w:val="center"/>
        <w:rPr>
          <w:b/>
          <w:bCs/>
          <w:color w:val="auto"/>
        </w:rPr>
      </w:pPr>
      <w:r w:rsidRPr="00A354C1">
        <w:rPr>
          <w:b/>
          <w:bCs/>
          <w:color w:val="auto"/>
        </w:rPr>
        <w:t xml:space="preserve">CENSO NACIONAL DE </w:t>
      </w:r>
      <w:r w:rsidR="00434C6F">
        <w:rPr>
          <w:b/>
          <w:bCs/>
          <w:color w:val="auto"/>
        </w:rPr>
        <w:t>IMPARTICIÓN DE JUSTICIA</w:t>
      </w:r>
      <w:r w:rsidR="00132CAB">
        <w:rPr>
          <w:b/>
          <w:bCs/>
          <w:color w:val="auto"/>
        </w:rPr>
        <w:t xml:space="preserve"> ESTATAL </w:t>
      </w:r>
      <w:r w:rsidRPr="00A354C1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</w:p>
    <w:p w14:paraId="1ABBF7AC" w14:textId="77777777" w:rsidR="00462B4C" w:rsidRPr="00DD75E7" w:rsidRDefault="00462B4C" w:rsidP="00462B4C">
      <w:pPr>
        <w:spacing w:after="0" w:line="240" w:lineRule="auto"/>
        <w:ind w:right="284"/>
        <w:jc w:val="both"/>
        <w:rPr>
          <w:rFonts w:ascii="Arial" w:hAnsi="Arial" w:cs="Arial"/>
          <w:b/>
          <w:bCs/>
        </w:rPr>
      </w:pPr>
    </w:p>
    <w:p w14:paraId="062E4684" w14:textId="762A2D31" w:rsidR="002F5F9C" w:rsidRPr="008A2838" w:rsidRDefault="002F5F9C" w:rsidP="007E7A49">
      <w:pPr>
        <w:pStyle w:val="Prrafodelista1"/>
        <w:numPr>
          <w:ilvl w:val="0"/>
          <w:numId w:val="32"/>
        </w:numPr>
        <w:spacing w:after="100"/>
        <w:ind w:left="1134" w:right="730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cierre de 2021, los </w:t>
      </w:r>
      <w:r w:rsidR="00E7604F">
        <w:rPr>
          <w:rFonts w:ascii="Arial" w:hAnsi="Arial" w:cs="Arial"/>
          <w:sz w:val="24"/>
          <w:szCs w:val="24"/>
        </w:rPr>
        <w:t xml:space="preserve">plenos de los </w:t>
      </w:r>
      <w:r>
        <w:rPr>
          <w:rFonts w:ascii="Arial" w:hAnsi="Arial" w:cs="Arial"/>
          <w:sz w:val="24"/>
          <w:szCs w:val="24"/>
        </w:rPr>
        <w:t xml:space="preserve">poderes judiciales estatales se integraron por 756 personas magistradas y consejeras. Del total, </w:t>
      </w:r>
      <w:r w:rsidR="007C3873">
        <w:rPr>
          <w:rFonts w:ascii="Arial" w:hAnsi="Arial" w:cs="Arial"/>
          <w:sz w:val="24"/>
          <w:szCs w:val="24"/>
        </w:rPr>
        <w:t>280 (37.0 %) eran mujeres</w:t>
      </w:r>
      <w:r w:rsidR="00E7604F">
        <w:rPr>
          <w:rFonts w:ascii="Arial" w:hAnsi="Arial" w:cs="Arial"/>
          <w:sz w:val="24"/>
          <w:szCs w:val="24"/>
        </w:rPr>
        <w:t xml:space="preserve"> y</w:t>
      </w:r>
      <w:r w:rsidR="007C3873">
        <w:rPr>
          <w:rFonts w:ascii="Arial" w:hAnsi="Arial" w:cs="Arial"/>
          <w:sz w:val="24"/>
          <w:szCs w:val="24"/>
        </w:rPr>
        <w:t xml:space="preserve"> 476 </w:t>
      </w:r>
      <w:r>
        <w:rPr>
          <w:rFonts w:ascii="Arial" w:hAnsi="Arial" w:cs="Arial"/>
          <w:sz w:val="24"/>
          <w:szCs w:val="24"/>
        </w:rPr>
        <w:t>(</w:t>
      </w:r>
      <w:r w:rsidR="007C3873">
        <w:rPr>
          <w:rFonts w:ascii="Arial" w:hAnsi="Arial" w:cs="Arial"/>
          <w:sz w:val="24"/>
          <w:szCs w:val="24"/>
        </w:rPr>
        <w:t>63.0 %</w:t>
      </w:r>
      <w:r>
        <w:rPr>
          <w:rFonts w:ascii="Arial" w:hAnsi="Arial" w:cs="Arial"/>
          <w:sz w:val="24"/>
          <w:szCs w:val="24"/>
        </w:rPr>
        <w:t>)</w:t>
      </w:r>
      <w:r w:rsidR="007C387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hombres.</w:t>
      </w:r>
      <w:r w:rsidR="0091343E" w:rsidRPr="008A2838">
        <w:rPr>
          <w:rFonts w:ascii="Arial" w:hAnsi="Arial" w:cs="Arial"/>
          <w:sz w:val="24"/>
          <w:szCs w:val="24"/>
        </w:rPr>
        <w:t xml:space="preserve"> </w:t>
      </w:r>
    </w:p>
    <w:p w14:paraId="2D785088" w14:textId="28864D30" w:rsidR="002F5F9C" w:rsidRPr="00A142BD" w:rsidRDefault="002F5F9C" w:rsidP="00A142BD">
      <w:pPr>
        <w:pStyle w:val="Prrafodelista1"/>
        <w:numPr>
          <w:ilvl w:val="0"/>
          <w:numId w:val="32"/>
        </w:numPr>
        <w:spacing w:after="100"/>
        <w:ind w:left="1134" w:right="730" w:hanging="567"/>
        <w:jc w:val="both"/>
        <w:rPr>
          <w:rFonts w:ascii="Arial" w:hAnsi="Arial" w:cs="Arial"/>
          <w:sz w:val="24"/>
          <w:szCs w:val="24"/>
        </w:rPr>
      </w:pPr>
      <w:r w:rsidRPr="00A142BD">
        <w:rPr>
          <w:rFonts w:ascii="Arial" w:hAnsi="Arial" w:cs="Arial"/>
          <w:sz w:val="24"/>
          <w:szCs w:val="24"/>
        </w:rPr>
        <w:t xml:space="preserve">En 2021, los poderes judiciales estatales publicaron en sus </w:t>
      </w:r>
      <w:r w:rsidR="00E7604F">
        <w:rPr>
          <w:rFonts w:ascii="Arial" w:hAnsi="Arial" w:cs="Arial"/>
          <w:sz w:val="24"/>
          <w:szCs w:val="24"/>
        </w:rPr>
        <w:t>sitios web</w:t>
      </w:r>
      <w:r w:rsidR="00E7604F" w:rsidRPr="00A142BD">
        <w:rPr>
          <w:rFonts w:ascii="Arial" w:hAnsi="Arial" w:cs="Arial"/>
          <w:sz w:val="24"/>
          <w:szCs w:val="24"/>
        </w:rPr>
        <w:t xml:space="preserve"> </w:t>
      </w:r>
      <w:r w:rsidRPr="00791635">
        <w:rPr>
          <w:rFonts w:ascii="Arial" w:hAnsi="Arial" w:cs="Arial"/>
          <w:sz w:val="24"/>
          <w:szCs w:val="24"/>
        </w:rPr>
        <w:t>451 939</w:t>
      </w:r>
      <w:r w:rsidRPr="00A142BD">
        <w:rPr>
          <w:rFonts w:ascii="Arial" w:hAnsi="Arial" w:cs="Arial"/>
          <w:sz w:val="24"/>
          <w:szCs w:val="24"/>
        </w:rPr>
        <w:t xml:space="preserve"> sentencias emitidas por los órganos jurisdiccionales. En contraste con 2020, la cantidad de sentencias publicadas aumentó 228.9 por ciento. </w:t>
      </w:r>
    </w:p>
    <w:p w14:paraId="040FADC2" w14:textId="55BABC00" w:rsidR="000150C6" w:rsidRPr="001F6E11" w:rsidRDefault="0053035F" w:rsidP="001F6E11">
      <w:pPr>
        <w:pStyle w:val="Prrafodelista1"/>
        <w:numPr>
          <w:ilvl w:val="0"/>
          <w:numId w:val="32"/>
        </w:numPr>
        <w:spacing w:after="100"/>
        <w:ind w:left="1134" w:right="730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En</w:t>
      </w:r>
      <w:r w:rsidR="004A6A58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materia penal</w:t>
      </w:r>
      <w:r w:rsidR="002F5F9C" w:rsidRPr="00E90937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,</w:t>
      </w:r>
      <w:r w:rsidR="00742AA7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</w:t>
      </w:r>
      <w:r w:rsidR="00E7604F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de las</w:t>
      </w:r>
      <w:r w:rsidR="002F5F9C" w:rsidRPr="00E90937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82 724 personas procesadas y/</w:t>
      </w:r>
      <w:r w:rsidR="007C3873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</w:t>
      </w:r>
      <w:r w:rsidR="002F5F9C" w:rsidRPr="00E90937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o imputadas</w:t>
      </w:r>
      <w:r w:rsidR="00E7604F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,</w:t>
      </w:r>
      <w:r w:rsidR="002F5F9C" w:rsidRPr="00E90937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a </w:t>
      </w:r>
      <w:r w:rsidR="00791635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                 </w:t>
      </w:r>
      <w:r w:rsidR="002F5F9C" w:rsidRPr="00E90937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88.3 % </w:t>
      </w:r>
      <w:r w:rsidR="00E7604F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se le vinculó a proceso y a </w:t>
      </w:r>
      <w:r w:rsidR="002F5F9C" w:rsidRPr="00E90937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11.7 %</w:t>
      </w:r>
      <w:r w:rsidR="00E7604F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,</w:t>
      </w:r>
      <w:r w:rsidR="002F5F9C" w:rsidRPr="00E90937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no. Con respecto a 2020</w:t>
      </w:r>
      <w:r w:rsidR="00496814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,</w:t>
      </w:r>
      <w:r w:rsidR="002F5F9C" w:rsidRPr="00E90937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</w:t>
      </w:r>
      <w:r w:rsidR="00E7604F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las personas vinculadas a proceso incrementaron </w:t>
      </w:r>
      <w:r w:rsidR="002F5F9C" w:rsidRPr="00BA7826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14.0 </w:t>
      </w:r>
      <w:r w:rsidR="00E7604F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por ciento.</w:t>
      </w:r>
      <w:r w:rsidR="00B86014" w:rsidRPr="001F6E11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</w:t>
      </w:r>
    </w:p>
    <w:p w14:paraId="109D97B7" w14:textId="10BC4A92" w:rsidR="001F6E11" w:rsidRPr="001F6E11" w:rsidRDefault="001F6E11" w:rsidP="001F6E11">
      <w:pPr>
        <w:pStyle w:val="Prrafodelista1"/>
        <w:numPr>
          <w:ilvl w:val="0"/>
          <w:numId w:val="32"/>
        </w:numPr>
        <w:spacing w:after="100"/>
        <w:ind w:left="1134" w:right="730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89552F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En 2021, los poderes judiciales estatales registraron</w:t>
      </w:r>
      <w:r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</w:t>
      </w:r>
      <w:r w:rsidRPr="0089552F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35 052 personas sentenciadas. </w:t>
      </w:r>
      <w:r w:rsidR="00EF4E13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En contraste con 2020, la cantidad de personas sentenciadas aumentó 42.1% en 2021</w:t>
      </w:r>
      <w:r w:rsidRPr="001F6E11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.</w:t>
      </w:r>
    </w:p>
    <w:p w14:paraId="7B546B5A" w14:textId="77777777" w:rsidR="00791635" w:rsidRDefault="00791635" w:rsidP="007E7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8B74E5" w14:textId="0376B041" w:rsidR="00A354C1" w:rsidRDefault="00A354C1" w:rsidP="007E7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54C1">
        <w:rPr>
          <w:rFonts w:ascii="Arial" w:hAnsi="Arial" w:cs="Arial"/>
          <w:sz w:val="24"/>
          <w:szCs w:val="24"/>
        </w:rPr>
        <w:t>El Instituto Nacional de Estadística y Geografía (</w:t>
      </w:r>
      <w:r w:rsidRPr="00177F58">
        <w:rPr>
          <w:rFonts w:ascii="Arial" w:hAnsi="Arial" w:cs="Arial"/>
          <w:sz w:val="24"/>
          <w:szCs w:val="24"/>
        </w:rPr>
        <w:t xml:space="preserve">INEGI) da a conocer </w:t>
      </w:r>
      <w:r w:rsidR="00684EC0">
        <w:rPr>
          <w:rFonts w:ascii="Arial" w:hAnsi="Arial" w:cs="Arial"/>
          <w:sz w:val="24"/>
          <w:szCs w:val="24"/>
        </w:rPr>
        <w:t xml:space="preserve">los </w:t>
      </w:r>
      <w:r w:rsidR="00536449" w:rsidRPr="00177F58">
        <w:rPr>
          <w:rFonts w:ascii="Arial" w:hAnsi="Arial" w:cs="Arial"/>
          <w:sz w:val="24"/>
          <w:szCs w:val="24"/>
        </w:rPr>
        <w:t>resultados de</w:t>
      </w:r>
      <w:r w:rsidR="00132CAB" w:rsidRPr="00177F58">
        <w:rPr>
          <w:rFonts w:ascii="Arial" w:hAnsi="Arial" w:cs="Arial"/>
          <w:sz w:val="24"/>
          <w:szCs w:val="24"/>
        </w:rPr>
        <w:t xml:space="preserve">l Censo Nacional de </w:t>
      </w:r>
      <w:r w:rsidR="00434C6F">
        <w:rPr>
          <w:rFonts w:ascii="Arial" w:hAnsi="Arial" w:cs="Arial"/>
          <w:sz w:val="24"/>
          <w:szCs w:val="24"/>
        </w:rPr>
        <w:t xml:space="preserve">Impartición de Justicia </w:t>
      </w:r>
      <w:r w:rsidR="00132CAB" w:rsidRPr="00177F58">
        <w:rPr>
          <w:rFonts w:ascii="Arial" w:hAnsi="Arial" w:cs="Arial"/>
          <w:sz w:val="24"/>
          <w:szCs w:val="24"/>
        </w:rPr>
        <w:t xml:space="preserve">Estatal </w:t>
      </w:r>
      <w:r w:rsidRPr="00177F58">
        <w:rPr>
          <w:rFonts w:ascii="Arial" w:hAnsi="Arial" w:cs="Arial"/>
          <w:sz w:val="24"/>
          <w:szCs w:val="24"/>
        </w:rPr>
        <w:t>(CN</w:t>
      </w:r>
      <w:r w:rsidR="00434C6F">
        <w:rPr>
          <w:rFonts w:ascii="Arial" w:hAnsi="Arial" w:cs="Arial"/>
          <w:sz w:val="24"/>
          <w:szCs w:val="24"/>
        </w:rPr>
        <w:t>IJ</w:t>
      </w:r>
      <w:r w:rsidRPr="00177F58">
        <w:rPr>
          <w:rFonts w:ascii="Arial" w:hAnsi="Arial" w:cs="Arial"/>
          <w:sz w:val="24"/>
          <w:szCs w:val="24"/>
        </w:rPr>
        <w:t>E) 2022</w:t>
      </w:r>
      <w:r w:rsidR="005741D0" w:rsidRPr="00177F58">
        <w:rPr>
          <w:rFonts w:ascii="Arial" w:hAnsi="Arial" w:cs="Arial"/>
          <w:sz w:val="24"/>
          <w:szCs w:val="24"/>
        </w:rPr>
        <w:t>.</w:t>
      </w:r>
      <w:r w:rsidR="004C6E7E">
        <w:rPr>
          <w:rFonts w:ascii="Arial" w:hAnsi="Arial" w:cs="Arial"/>
          <w:sz w:val="24"/>
          <w:szCs w:val="24"/>
        </w:rPr>
        <w:t xml:space="preserve"> </w:t>
      </w:r>
      <w:r w:rsidR="00BF58D2" w:rsidRPr="00846BAE">
        <w:rPr>
          <w:rFonts w:ascii="Arial" w:hAnsi="Arial" w:cs="Arial"/>
          <w:sz w:val="24"/>
          <w:szCs w:val="24"/>
        </w:rPr>
        <w:t>Es</w:t>
      </w:r>
      <w:r w:rsidR="005E35AB">
        <w:rPr>
          <w:rFonts w:ascii="Arial" w:hAnsi="Arial" w:cs="Arial"/>
          <w:sz w:val="24"/>
          <w:szCs w:val="24"/>
        </w:rPr>
        <w:t>te</w:t>
      </w:r>
      <w:r w:rsidR="00462B4C" w:rsidRPr="00846BAE">
        <w:rPr>
          <w:rFonts w:ascii="Arial" w:hAnsi="Arial" w:cs="Arial"/>
          <w:sz w:val="24"/>
          <w:szCs w:val="24"/>
        </w:rPr>
        <w:t xml:space="preserve"> programa </w:t>
      </w:r>
      <w:r w:rsidRPr="00A354C1">
        <w:rPr>
          <w:rFonts w:ascii="Arial" w:hAnsi="Arial" w:cs="Arial"/>
          <w:sz w:val="24"/>
          <w:szCs w:val="24"/>
        </w:rPr>
        <w:t>ofrece</w:t>
      </w:r>
      <w:r>
        <w:rPr>
          <w:rFonts w:ascii="Arial" w:hAnsi="Arial" w:cs="Arial"/>
          <w:sz w:val="24"/>
          <w:szCs w:val="24"/>
        </w:rPr>
        <w:t xml:space="preserve"> </w:t>
      </w:r>
      <w:r w:rsidRPr="00A354C1">
        <w:rPr>
          <w:rFonts w:ascii="Arial" w:hAnsi="Arial" w:cs="Arial"/>
          <w:sz w:val="24"/>
          <w:szCs w:val="24"/>
        </w:rPr>
        <w:t>información</w:t>
      </w:r>
      <w:r w:rsidR="004C6E7E">
        <w:rPr>
          <w:rFonts w:ascii="Arial" w:hAnsi="Arial" w:cs="Arial"/>
          <w:sz w:val="24"/>
          <w:szCs w:val="24"/>
        </w:rPr>
        <w:t xml:space="preserve"> estadística y geográfica </w:t>
      </w:r>
      <w:r w:rsidRPr="00A354C1">
        <w:rPr>
          <w:rFonts w:ascii="Arial" w:hAnsi="Arial" w:cs="Arial"/>
          <w:sz w:val="24"/>
          <w:szCs w:val="24"/>
        </w:rPr>
        <w:t xml:space="preserve">sobre la gestión y desempeño </w:t>
      </w:r>
      <w:r w:rsidR="005F6B76">
        <w:rPr>
          <w:rFonts w:ascii="Arial" w:hAnsi="Arial" w:cs="Arial"/>
          <w:sz w:val="24"/>
          <w:szCs w:val="24"/>
        </w:rPr>
        <w:t xml:space="preserve">del </w:t>
      </w:r>
      <w:r w:rsidR="005F6B76" w:rsidRPr="005F6B76">
        <w:rPr>
          <w:rFonts w:ascii="Arial" w:hAnsi="Arial" w:cs="Arial"/>
          <w:sz w:val="24"/>
          <w:szCs w:val="24"/>
        </w:rPr>
        <w:t>Poder Judicial de cada entidad federativa</w:t>
      </w:r>
      <w:r w:rsidR="0072720B">
        <w:rPr>
          <w:rFonts w:ascii="Arial" w:hAnsi="Arial" w:cs="Arial"/>
          <w:sz w:val="24"/>
          <w:szCs w:val="24"/>
        </w:rPr>
        <w:t xml:space="preserve">. </w:t>
      </w:r>
      <w:r w:rsidR="007E7A49">
        <w:rPr>
          <w:rFonts w:ascii="Arial" w:hAnsi="Arial" w:cs="Arial"/>
          <w:sz w:val="24"/>
          <w:szCs w:val="24"/>
        </w:rPr>
        <w:t xml:space="preserve">Su objetivo </w:t>
      </w:r>
      <w:r w:rsidR="000C0B5B">
        <w:rPr>
          <w:rFonts w:ascii="Arial" w:hAnsi="Arial" w:cs="Arial"/>
          <w:sz w:val="24"/>
          <w:szCs w:val="24"/>
        </w:rPr>
        <w:t xml:space="preserve">es </w:t>
      </w:r>
      <w:r w:rsidR="0062157E">
        <w:rPr>
          <w:rFonts w:ascii="Arial" w:hAnsi="Arial" w:cs="Arial"/>
          <w:sz w:val="24"/>
          <w:szCs w:val="24"/>
        </w:rPr>
        <w:t xml:space="preserve">vincular </w:t>
      </w:r>
      <w:r w:rsidR="00B86014">
        <w:rPr>
          <w:rFonts w:ascii="Arial" w:hAnsi="Arial" w:cs="Arial"/>
          <w:sz w:val="24"/>
          <w:szCs w:val="24"/>
        </w:rPr>
        <w:t>estos da</w:t>
      </w:r>
      <w:r w:rsidR="0062157E">
        <w:rPr>
          <w:rFonts w:ascii="Arial" w:hAnsi="Arial" w:cs="Arial"/>
          <w:sz w:val="24"/>
          <w:szCs w:val="24"/>
        </w:rPr>
        <w:t>tos</w:t>
      </w:r>
      <w:r w:rsidR="004C6E7E">
        <w:rPr>
          <w:rFonts w:ascii="Arial" w:hAnsi="Arial" w:cs="Arial"/>
          <w:sz w:val="24"/>
          <w:szCs w:val="24"/>
        </w:rPr>
        <w:t xml:space="preserve"> </w:t>
      </w:r>
      <w:r w:rsidRPr="00A354C1">
        <w:rPr>
          <w:rFonts w:ascii="Arial" w:hAnsi="Arial" w:cs="Arial"/>
          <w:sz w:val="24"/>
          <w:szCs w:val="24"/>
        </w:rPr>
        <w:t>con el quehacer gubernamental dentro del proceso de diseño, implementación, monitoreo</w:t>
      </w:r>
      <w:r>
        <w:rPr>
          <w:rFonts w:ascii="Arial" w:hAnsi="Arial" w:cs="Arial"/>
          <w:sz w:val="24"/>
          <w:szCs w:val="24"/>
        </w:rPr>
        <w:t xml:space="preserve"> </w:t>
      </w:r>
      <w:r w:rsidRPr="00A354C1">
        <w:rPr>
          <w:rFonts w:ascii="Arial" w:hAnsi="Arial" w:cs="Arial"/>
          <w:sz w:val="24"/>
          <w:szCs w:val="24"/>
        </w:rPr>
        <w:t xml:space="preserve">y evaluación de las políticas públicas de alcance nacional en </w:t>
      </w:r>
      <w:r w:rsidR="00B86014">
        <w:rPr>
          <w:rFonts w:ascii="Arial" w:hAnsi="Arial" w:cs="Arial"/>
          <w:sz w:val="24"/>
          <w:szCs w:val="24"/>
        </w:rPr>
        <w:t>esta materia.</w:t>
      </w:r>
      <w:r w:rsidRPr="00A354C1">
        <w:rPr>
          <w:rFonts w:ascii="Arial" w:hAnsi="Arial" w:cs="Arial"/>
          <w:sz w:val="24"/>
          <w:szCs w:val="24"/>
        </w:rPr>
        <w:t xml:space="preserve"> </w:t>
      </w:r>
    </w:p>
    <w:p w14:paraId="1609DD06" w14:textId="7EE0419A" w:rsidR="00CD0B93" w:rsidRDefault="00CD0B93" w:rsidP="00A354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A16FBF" w14:textId="77777777" w:rsidR="002F5F9C" w:rsidRDefault="002F5F9C" w:rsidP="00A354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4CFBA9" w14:textId="5B796B7A" w:rsidR="0005255F" w:rsidRDefault="00BF58D2" w:rsidP="00A354C1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BF58D2">
        <w:rPr>
          <w:rFonts w:ascii="Arial" w:hAnsi="Arial" w:cs="Arial"/>
          <w:b/>
          <w:smallCaps/>
          <w:sz w:val="24"/>
          <w:szCs w:val="24"/>
        </w:rPr>
        <w:t>Principales resultados</w:t>
      </w:r>
    </w:p>
    <w:p w14:paraId="6DFEA9D4" w14:textId="77777777" w:rsidR="00CD0B93" w:rsidRDefault="00CD0B93" w:rsidP="00A354C1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4D06225E" w14:textId="22366966" w:rsidR="00A6519D" w:rsidRPr="002570E4" w:rsidRDefault="00F53654" w:rsidP="00BA306B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 Negrita" w:hAnsi="Arial Negrita" w:cs="Arial"/>
          <w:b/>
          <w:bCs/>
          <w:sz w:val="24"/>
          <w:szCs w:val="24"/>
        </w:rPr>
      </w:pPr>
      <w:bookmarkStart w:id="0" w:name="_Hlk107818566"/>
      <w:r w:rsidRPr="002570E4">
        <w:rPr>
          <w:rFonts w:ascii="Arial Negrita" w:hAnsi="Arial Negrita" w:cs="Arial"/>
          <w:b/>
          <w:bCs/>
          <w:sz w:val="24"/>
          <w:szCs w:val="24"/>
        </w:rPr>
        <w:t>Estructura organizacional y recursos</w:t>
      </w:r>
    </w:p>
    <w:bookmarkEnd w:id="0"/>
    <w:p w14:paraId="1C7628CD" w14:textId="77777777" w:rsidR="00F53654" w:rsidRPr="008A73DF" w:rsidRDefault="00F53654" w:rsidP="00593C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185750" w14:textId="0EC0CBAB" w:rsidR="00B764A6" w:rsidRDefault="00E56B57" w:rsidP="00684EC0">
      <w:pPr>
        <w:pStyle w:val="Default"/>
        <w:jc w:val="both"/>
      </w:pPr>
      <w:r w:rsidRPr="00232676">
        <w:t>Al cierre de 202</w:t>
      </w:r>
      <w:r w:rsidR="00542CCA" w:rsidRPr="00232676">
        <w:t>1</w:t>
      </w:r>
      <w:r w:rsidRPr="00232676">
        <w:t>,</w:t>
      </w:r>
      <w:r w:rsidR="00B964FC">
        <w:t xml:space="preserve"> </w:t>
      </w:r>
      <w:r w:rsidR="00766673">
        <w:t>había 5 322 órganos</w:t>
      </w:r>
      <w:r w:rsidR="00B86014">
        <w:t xml:space="preserve">. De estos, </w:t>
      </w:r>
      <w:r w:rsidR="00766673" w:rsidRPr="00766673">
        <w:t xml:space="preserve">3 721 (69.9 %) fueron </w:t>
      </w:r>
      <w:r w:rsidR="00EC26F9">
        <w:t xml:space="preserve">órganos </w:t>
      </w:r>
      <w:r w:rsidR="00766673" w:rsidRPr="00766673">
        <w:t>jurisdiccionales</w:t>
      </w:r>
      <w:r w:rsidR="00B90C2F">
        <w:rPr>
          <w:rStyle w:val="Refdenotaalpie"/>
        </w:rPr>
        <w:footnoteReference w:id="2"/>
      </w:r>
      <w:r w:rsidR="00766673" w:rsidRPr="00766673">
        <w:t xml:space="preserve"> y 1 601 (30.1 %) órganos </w:t>
      </w:r>
      <w:r w:rsidR="00B86014">
        <w:t xml:space="preserve">y/ o unidades </w:t>
      </w:r>
      <w:r w:rsidR="00766673" w:rsidRPr="00766673">
        <w:t>administrativas</w:t>
      </w:r>
      <w:r w:rsidR="00B86014">
        <w:t>.</w:t>
      </w:r>
      <w:r w:rsidR="00B90C2F">
        <w:rPr>
          <w:rStyle w:val="Refdenotaalpie"/>
        </w:rPr>
        <w:footnoteReference w:id="3"/>
      </w:r>
      <w:r w:rsidR="00766673" w:rsidRPr="00766673">
        <w:t xml:space="preserve"> Con respecto a 2020, </w:t>
      </w:r>
      <w:r w:rsidR="00B06711">
        <w:t>los órganos y/ o unidades administrativas aumentaron</w:t>
      </w:r>
      <w:r w:rsidR="00B86014">
        <w:t xml:space="preserve"> </w:t>
      </w:r>
      <w:r w:rsidR="00AA3568">
        <w:t>2.9</w:t>
      </w:r>
      <w:r w:rsidR="00766673" w:rsidRPr="00766673">
        <w:t xml:space="preserve"> por ciento.</w:t>
      </w:r>
    </w:p>
    <w:p w14:paraId="61069992" w14:textId="716300C3" w:rsidR="002F5F9C" w:rsidRDefault="002F5F9C" w:rsidP="00684EC0">
      <w:pPr>
        <w:pStyle w:val="Default"/>
        <w:jc w:val="both"/>
      </w:pPr>
    </w:p>
    <w:p w14:paraId="7E21312C" w14:textId="21BB487B" w:rsidR="002F5F9C" w:rsidRDefault="002F5F9C" w:rsidP="00684EC0">
      <w:pPr>
        <w:pStyle w:val="Default"/>
        <w:jc w:val="both"/>
      </w:pPr>
    </w:p>
    <w:p w14:paraId="3B652D88" w14:textId="77777777" w:rsidR="00791635" w:rsidRDefault="00791635" w:rsidP="007E7A49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497AAA41" w14:textId="77777777" w:rsidR="00791635" w:rsidRDefault="00791635" w:rsidP="007E7A49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6177E0DE" w14:textId="77777777" w:rsidR="00791635" w:rsidRDefault="00791635" w:rsidP="007E7A49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7AA56C27" w14:textId="77777777" w:rsidR="00791635" w:rsidRDefault="00791635" w:rsidP="007E7A49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3A96553B" w14:textId="77777777" w:rsidR="00791635" w:rsidRDefault="00791635" w:rsidP="007E7A49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129AF282" w14:textId="77777777" w:rsidR="00791635" w:rsidRDefault="00791635" w:rsidP="007E7A49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4DECC14F" w14:textId="77777777" w:rsidR="00791635" w:rsidRDefault="00791635" w:rsidP="007E7A49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2C2B363B" w14:textId="5D562C42" w:rsidR="00B964FC" w:rsidRPr="00963A3F" w:rsidRDefault="00B964FC" w:rsidP="007E7A49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810B87">
        <w:rPr>
          <w:bCs/>
          <w:iCs/>
          <w:color w:val="000000" w:themeColor="text1"/>
          <w:sz w:val="20"/>
          <w:szCs w:val="20"/>
        </w:rPr>
        <w:lastRenderedPageBreak/>
        <w:t xml:space="preserve">Gráfica </w:t>
      </w:r>
      <w:r>
        <w:rPr>
          <w:bCs/>
          <w:iCs/>
          <w:color w:val="000000" w:themeColor="text1"/>
          <w:sz w:val="20"/>
          <w:szCs w:val="20"/>
        </w:rPr>
        <w:t>1</w:t>
      </w:r>
    </w:p>
    <w:p w14:paraId="0D31BA17" w14:textId="32558792" w:rsidR="001C0B1D" w:rsidRDefault="001C0B1D" w:rsidP="001C0B1D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1C0B1D">
        <w:rPr>
          <w:b/>
          <w:bCs/>
          <w:iCs/>
          <w:smallCaps/>
          <w:color w:val="000000" w:themeColor="text1"/>
          <w:sz w:val="22"/>
          <w:szCs w:val="22"/>
        </w:rPr>
        <w:t>Órganos jurisdiccionales y órganos administrativos y/</w:t>
      </w:r>
      <w:r w:rsidR="002F4F34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Pr="001C0B1D">
        <w:rPr>
          <w:b/>
          <w:bCs/>
          <w:iCs/>
          <w:smallCaps/>
          <w:color w:val="000000" w:themeColor="text1"/>
          <w:sz w:val="22"/>
          <w:szCs w:val="22"/>
        </w:rPr>
        <w:t xml:space="preserve">o unidades administrativas </w:t>
      </w:r>
    </w:p>
    <w:p w14:paraId="7777EBDF" w14:textId="447B6EF1" w:rsidR="00EE5168" w:rsidRDefault="001C0B1D" w:rsidP="001C0B1D">
      <w:pPr>
        <w:pStyle w:val="Default"/>
        <w:jc w:val="center"/>
        <w:rPr>
          <w:noProof/>
        </w:rPr>
      </w:pPr>
      <w:r w:rsidRPr="001C0B1D">
        <w:rPr>
          <w:b/>
          <w:bCs/>
          <w:iCs/>
          <w:smallCaps/>
          <w:color w:val="000000" w:themeColor="text1"/>
          <w:sz w:val="22"/>
          <w:szCs w:val="22"/>
        </w:rPr>
        <w:t>de los poderes judiciales estatales</w:t>
      </w:r>
    </w:p>
    <w:p w14:paraId="4E5BF1BC" w14:textId="48252A50" w:rsidR="00D607C2" w:rsidRDefault="00D607C2" w:rsidP="001C0B1D">
      <w:pPr>
        <w:pStyle w:val="Default"/>
        <w:jc w:val="center"/>
        <w:rPr>
          <w:noProof/>
        </w:rPr>
      </w:pPr>
    </w:p>
    <w:p w14:paraId="54D524BD" w14:textId="2A2875AC" w:rsidR="00D607C2" w:rsidRDefault="00D607C2" w:rsidP="001C0B1D">
      <w:pPr>
        <w:pStyle w:val="Default"/>
        <w:jc w:val="center"/>
      </w:pPr>
      <w:r>
        <w:rPr>
          <w:noProof/>
        </w:rPr>
        <w:drawing>
          <wp:inline distT="0" distB="0" distL="0" distR="0" wp14:anchorId="6D370570" wp14:editId="197AB70C">
            <wp:extent cx="5852795" cy="2509283"/>
            <wp:effectExtent l="0" t="0" r="0" b="5715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65F696A9-4F17-6049-20C5-9DA30C8686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9F21874" w14:textId="15E6845D" w:rsidR="00EE5168" w:rsidRDefault="00EE5168" w:rsidP="00684EC0">
      <w:pPr>
        <w:pStyle w:val="Default"/>
        <w:jc w:val="both"/>
      </w:pPr>
    </w:p>
    <w:p w14:paraId="0271456F" w14:textId="77777777" w:rsidR="000970AF" w:rsidRDefault="000970AF" w:rsidP="00BA3651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55FB3084" w14:textId="1F2B3FE0" w:rsidR="000970AF" w:rsidRPr="007C3873" w:rsidRDefault="000970AF" w:rsidP="000970AF">
      <w:pPr>
        <w:pStyle w:val="Default"/>
        <w:spacing w:after="10"/>
        <w:ind w:right="284"/>
        <w:jc w:val="both"/>
      </w:pPr>
      <w:r w:rsidRPr="007C3873">
        <w:t>La materia</w:t>
      </w:r>
      <w:r w:rsidR="002F4F34">
        <w:t xml:space="preserve"> penal fue la que más atendieron </w:t>
      </w:r>
      <w:r w:rsidRPr="007C3873">
        <w:t>los órganos jurisdiccionales de los poderes judiciales estatales</w:t>
      </w:r>
      <w:r w:rsidR="002F4F34">
        <w:t xml:space="preserve">, </w:t>
      </w:r>
      <w:r w:rsidRPr="007C3873">
        <w:t>con 1 713 órganos</w:t>
      </w:r>
      <w:r w:rsidR="002F4F34">
        <w:t xml:space="preserve">. Lo anterior representó un </w:t>
      </w:r>
      <w:r w:rsidR="0053035F">
        <w:t>aumento de 15.7</w:t>
      </w:r>
      <w:r w:rsidR="00BA7826">
        <w:t xml:space="preserve"> </w:t>
      </w:r>
      <w:r w:rsidR="0053035F">
        <w:t xml:space="preserve">% </w:t>
      </w:r>
      <w:r w:rsidR="00A3554F">
        <w:t>con respecto</w:t>
      </w:r>
      <w:r w:rsidR="0053035F">
        <w:t xml:space="preserve"> a 2020</w:t>
      </w:r>
      <w:r w:rsidRPr="007C3873">
        <w:t>.</w:t>
      </w:r>
    </w:p>
    <w:p w14:paraId="164A1878" w14:textId="77777777" w:rsidR="00174B71" w:rsidRDefault="00174B71" w:rsidP="00BA3651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2005645A" w14:textId="77777777" w:rsidR="00174B71" w:rsidRDefault="00174B71" w:rsidP="00BA3651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77CACE7C" w14:textId="33996D5D" w:rsidR="00BA3651" w:rsidRPr="00963A3F" w:rsidRDefault="00BA3651" w:rsidP="00BA3651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810B87">
        <w:rPr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2</w:t>
      </w:r>
    </w:p>
    <w:p w14:paraId="6B849D0E" w14:textId="285E87FC" w:rsidR="00EE5168" w:rsidRDefault="00174B71" w:rsidP="00174B71">
      <w:pPr>
        <w:pStyle w:val="Default"/>
        <w:jc w:val="center"/>
      </w:pPr>
      <w:r w:rsidRPr="00174B71">
        <w:rPr>
          <w:b/>
          <w:bCs/>
          <w:iCs/>
          <w:smallCaps/>
          <w:color w:val="000000" w:themeColor="text1"/>
          <w:sz w:val="22"/>
          <w:szCs w:val="22"/>
        </w:rPr>
        <w:t>Órganos jurisdiccionales de los poderes judiciales estatales, por materia</w:t>
      </w:r>
    </w:p>
    <w:p w14:paraId="1EE02521" w14:textId="427903D6" w:rsidR="00DF52FB" w:rsidRDefault="00DF52FB" w:rsidP="00DF52FB">
      <w:pPr>
        <w:pStyle w:val="Default"/>
        <w:jc w:val="center"/>
        <w:rPr>
          <w:noProof/>
        </w:rPr>
      </w:pPr>
    </w:p>
    <w:p w14:paraId="3794F266" w14:textId="2A8604B7" w:rsidR="00174B71" w:rsidRDefault="00174B71" w:rsidP="00DF52FB">
      <w:pPr>
        <w:pStyle w:val="Default"/>
        <w:jc w:val="center"/>
        <w:rPr>
          <w:noProof/>
        </w:rPr>
      </w:pPr>
    </w:p>
    <w:p w14:paraId="726FA5A3" w14:textId="64520C12" w:rsidR="00174B71" w:rsidRDefault="00981301" w:rsidP="00DF52FB">
      <w:pPr>
        <w:pStyle w:val="Default"/>
        <w:jc w:val="center"/>
        <w:rPr>
          <w:noProof/>
        </w:rPr>
      </w:pPr>
      <w:r>
        <w:rPr>
          <w:noProof/>
        </w:rPr>
        <w:drawing>
          <wp:inline distT="0" distB="0" distL="0" distR="0" wp14:anchorId="3AA60779" wp14:editId="7B9D1644">
            <wp:extent cx="6286500" cy="1911927"/>
            <wp:effectExtent l="0" t="0" r="0" b="0"/>
            <wp:docPr id="63" name="Gráfico 63">
              <a:extLst xmlns:a="http://schemas.openxmlformats.org/drawingml/2006/main">
                <a:ext uri="{FF2B5EF4-FFF2-40B4-BE49-F238E27FC236}">
                  <a16:creationId xmlns:a16="http://schemas.microsoft.com/office/drawing/2014/main" id="{53ACFAA1-7D1D-FE6A-6419-700551FEE2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5603795" w14:textId="374136FB" w:rsidR="00174B71" w:rsidRPr="00152336" w:rsidRDefault="00174B71" w:rsidP="003C651A">
      <w:pPr>
        <w:pStyle w:val="Default"/>
        <w:jc w:val="both"/>
        <w:rPr>
          <w:noProof/>
          <w:sz w:val="16"/>
          <w:szCs w:val="16"/>
        </w:rPr>
      </w:pPr>
    </w:p>
    <w:p w14:paraId="7911C670" w14:textId="77777777" w:rsidR="004F08DB" w:rsidRDefault="004F08DB" w:rsidP="003C651A">
      <w:pPr>
        <w:pStyle w:val="Default"/>
        <w:jc w:val="both"/>
        <w:rPr>
          <w:noProof/>
          <w:sz w:val="16"/>
          <w:szCs w:val="16"/>
        </w:rPr>
      </w:pPr>
    </w:p>
    <w:p w14:paraId="6AB7BC78" w14:textId="74B9056B" w:rsidR="00152336" w:rsidRPr="00152336" w:rsidRDefault="00152336" w:rsidP="003C651A">
      <w:pPr>
        <w:pStyle w:val="Default"/>
        <w:jc w:val="both"/>
        <w:rPr>
          <w:noProof/>
          <w:sz w:val="16"/>
          <w:szCs w:val="16"/>
        </w:rPr>
      </w:pPr>
      <w:r w:rsidRPr="00152336">
        <w:rPr>
          <w:noProof/>
          <w:sz w:val="16"/>
          <w:szCs w:val="16"/>
        </w:rPr>
        <w:t xml:space="preserve">*La categoría comenzó a captarse en el levantamiento 2022 (información 2021), por lo que no se cuenta con información para 2020. </w:t>
      </w:r>
    </w:p>
    <w:p w14:paraId="25C62DA6" w14:textId="080CB053" w:rsidR="00152336" w:rsidRPr="00152336" w:rsidRDefault="00152336" w:rsidP="00152336">
      <w:pPr>
        <w:pStyle w:val="Default"/>
        <w:jc w:val="both"/>
        <w:rPr>
          <w:noProof/>
          <w:sz w:val="16"/>
          <w:szCs w:val="16"/>
        </w:rPr>
      </w:pPr>
      <w:r w:rsidRPr="00152336">
        <w:rPr>
          <w:noProof/>
          <w:sz w:val="16"/>
          <w:szCs w:val="16"/>
        </w:rPr>
        <w:t xml:space="preserve">Nota: Se incluyen los órganos de </w:t>
      </w:r>
      <w:r w:rsidRPr="00152336">
        <w:rPr>
          <w:i/>
          <w:iCs/>
          <w:noProof/>
          <w:sz w:val="16"/>
          <w:szCs w:val="16"/>
        </w:rPr>
        <w:t>primera instancia</w:t>
      </w:r>
      <w:r w:rsidRPr="00152336">
        <w:rPr>
          <w:noProof/>
          <w:sz w:val="16"/>
          <w:szCs w:val="16"/>
        </w:rPr>
        <w:t xml:space="preserve">, </w:t>
      </w:r>
      <w:r w:rsidRPr="00152336">
        <w:rPr>
          <w:i/>
          <w:iCs/>
          <w:noProof/>
          <w:sz w:val="16"/>
          <w:szCs w:val="16"/>
        </w:rPr>
        <w:t>segunda instancia, ejecución de sentencia</w:t>
      </w:r>
      <w:r w:rsidRPr="00152336">
        <w:rPr>
          <w:noProof/>
          <w:sz w:val="16"/>
          <w:szCs w:val="16"/>
        </w:rPr>
        <w:t xml:space="preserve">, así como </w:t>
      </w:r>
      <w:r w:rsidRPr="00152336">
        <w:rPr>
          <w:i/>
          <w:iCs/>
          <w:noProof/>
          <w:sz w:val="16"/>
          <w:szCs w:val="16"/>
        </w:rPr>
        <w:t xml:space="preserve">primera instancia y de ejecución de sentencia </w:t>
      </w:r>
      <w:r w:rsidRPr="00152336">
        <w:rPr>
          <w:noProof/>
          <w:sz w:val="16"/>
          <w:szCs w:val="16"/>
        </w:rPr>
        <w:t xml:space="preserve">en los sistemas Tradicional, Penal Acusatorio, Escrito, Oral e Integral de Justicia Penal para Adolescentes. La suma de las desagregaciones por materia puede ser distinta al total de órganos, </w:t>
      </w:r>
      <w:r w:rsidR="00CB7477">
        <w:rPr>
          <w:noProof/>
          <w:sz w:val="16"/>
          <w:szCs w:val="16"/>
        </w:rPr>
        <w:t xml:space="preserve">porque </w:t>
      </w:r>
      <w:r w:rsidRPr="00152336">
        <w:rPr>
          <w:noProof/>
          <w:sz w:val="16"/>
          <w:szCs w:val="16"/>
        </w:rPr>
        <w:t>un mismo órgano pudo atender más de una materia y/</w:t>
      </w:r>
      <w:r w:rsidR="002F4F34">
        <w:rPr>
          <w:noProof/>
          <w:sz w:val="16"/>
          <w:szCs w:val="16"/>
        </w:rPr>
        <w:t xml:space="preserve"> </w:t>
      </w:r>
      <w:r w:rsidRPr="00152336">
        <w:rPr>
          <w:noProof/>
          <w:sz w:val="16"/>
          <w:szCs w:val="16"/>
        </w:rPr>
        <w:t xml:space="preserve">o sistema. No se incluye la categoría </w:t>
      </w:r>
      <w:r w:rsidR="002F4F34">
        <w:rPr>
          <w:i/>
          <w:iCs/>
          <w:noProof/>
          <w:sz w:val="16"/>
          <w:szCs w:val="16"/>
        </w:rPr>
        <w:t>n</w:t>
      </w:r>
      <w:r w:rsidRPr="00152336">
        <w:rPr>
          <w:i/>
          <w:iCs/>
          <w:noProof/>
          <w:sz w:val="16"/>
          <w:szCs w:val="16"/>
        </w:rPr>
        <w:t xml:space="preserve">o se sabe </w:t>
      </w:r>
      <w:r w:rsidRPr="00152336">
        <w:rPr>
          <w:noProof/>
          <w:sz w:val="16"/>
          <w:szCs w:val="16"/>
        </w:rPr>
        <w:t>que para ambos años correspondió a un registro.</w:t>
      </w:r>
    </w:p>
    <w:p w14:paraId="5BE70B95" w14:textId="49B42925" w:rsidR="00174B71" w:rsidRDefault="00174B71" w:rsidP="00DF52FB">
      <w:pPr>
        <w:pStyle w:val="Default"/>
        <w:jc w:val="center"/>
        <w:rPr>
          <w:noProof/>
        </w:rPr>
      </w:pPr>
    </w:p>
    <w:p w14:paraId="1F9B5E5D" w14:textId="267FDB2C" w:rsidR="00174B71" w:rsidRDefault="00174B71" w:rsidP="00DF52FB">
      <w:pPr>
        <w:pStyle w:val="Default"/>
        <w:jc w:val="center"/>
        <w:rPr>
          <w:noProof/>
        </w:rPr>
      </w:pPr>
    </w:p>
    <w:p w14:paraId="5DF30D31" w14:textId="2CE2AD5E" w:rsidR="003A2027" w:rsidRDefault="003A2027">
      <w:pPr>
        <w:pStyle w:val="Default"/>
        <w:jc w:val="both"/>
        <w:rPr>
          <w:color w:val="auto"/>
        </w:rPr>
      </w:pPr>
      <w:bookmarkStart w:id="1" w:name="_Hlk117353035"/>
      <w:r w:rsidRPr="003A2027">
        <w:rPr>
          <w:color w:val="auto"/>
        </w:rPr>
        <w:lastRenderedPageBreak/>
        <w:t>Al cierre de 20</w:t>
      </w:r>
      <w:r>
        <w:rPr>
          <w:color w:val="auto"/>
        </w:rPr>
        <w:t>21</w:t>
      </w:r>
      <w:r w:rsidRPr="003A2027">
        <w:rPr>
          <w:color w:val="auto"/>
        </w:rPr>
        <w:t>, los plenos de los órganos que conformaron los poderes judiciales estatales se integraron por 7</w:t>
      </w:r>
      <w:r w:rsidR="00AC3891">
        <w:rPr>
          <w:color w:val="auto"/>
        </w:rPr>
        <w:t>56</w:t>
      </w:r>
      <w:r w:rsidR="00655882">
        <w:rPr>
          <w:rStyle w:val="Refdenotaalpie"/>
          <w:color w:val="auto"/>
        </w:rPr>
        <w:footnoteReference w:id="4"/>
      </w:r>
      <w:r w:rsidRPr="003A2027">
        <w:rPr>
          <w:color w:val="auto"/>
        </w:rPr>
        <w:t xml:space="preserve"> personas magistrad</w:t>
      </w:r>
      <w:r w:rsidR="00AA3568">
        <w:rPr>
          <w:color w:val="auto"/>
        </w:rPr>
        <w:t>a</w:t>
      </w:r>
      <w:r w:rsidRPr="003A2027">
        <w:rPr>
          <w:color w:val="auto"/>
        </w:rPr>
        <w:t>s y consejer</w:t>
      </w:r>
      <w:r w:rsidR="00AA3568">
        <w:rPr>
          <w:color w:val="auto"/>
        </w:rPr>
        <w:t>a</w:t>
      </w:r>
      <w:r w:rsidRPr="003A2027">
        <w:rPr>
          <w:color w:val="auto"/>
        </w:rPr>
        <w:t>s</w:t>
      </w:r>
      <w:r w:rsidR="00A27F6F">
        <w:rPr>
          <w:color w:val="auto"/>
        </w:rPr>
        <w:t>. De</w:t>
      </w:r>
      <w:r w:rsidR="00AA3568">
        <w:rPr>
          <w:color w:val="auto"/>
        </w:rPr>
        <w:t>l total</w:t>
      </w:r>
      <w:r w:rsidR="00A27F6F">
        <w:rPr>
          <w:color w:val="auto"/>
        </w:rPr>
        <w:t xml:space="preserve">, </w:t>
      </w:r>
      <w:r w:rsidR="008351A1">
        <w:rPr>
          <w:color w:val="auto"/>
        </w:rPr>
        <w:t>280 (37.0 %) eran mujeres y 476 (</w:t>
      </w:r>
      <w:r w:rsidR="00D27BB8">
        <w:rPr>
          <w:color w:val="auto"/>
        </w:rPr>
        <w:t>63.0 %</w:t>
      </w:r>
      <w:r w:rsidR="008351A1">
        <w:rPr>
          <w:color w:val="auto"/>
        </w:rPr>
        <w:t xml:space="preserve">), </w:t>
      </w:r>
      <w:r w:rsidR="00D27BB8">
        <w:rPr>
          <w:color w:val="auto"/>
        </w:rPr>
        <w:t>hombres</w:t>
      </w:r>
      <w:r w:rsidR="00655882">
        <w:rPr>
          <w:color w:val="auto"/>
        </w:rPr>
        <w:t>.</w:t>
      </w:r>
      <w:bookmarkEnd w:id="1"/>
      <w:r w:rsidR="00655882">
        <w:rPr>
          <w:color w:val="auto"/>
        </w:rPr>
        <w:t xml:space="preserve"> </w:t>
      </w:r>
      <w:r w:rsidR="00232001" w:rsidRPr="00232001">
        <w:rPr>
          <w:color w:val="auto"/>
        </w:rPr>
        <w:t>Comparado con la cifra reportada en 2020, la cantidad total de las y los magistrados aument</w:t>
      </w:r>
      <w:r w:rsidR="00AA3568">
        <w:rPr>
          <w:color w:val="auto"/>
        </w:rPr>
        <w:t>ó</w:t>
      </w:r>
      <w:r w:rsidR="00232001" w:rsidRPr="00232001">
        <w:rPr>
          <w:color w:val="auto"/>
        </w:rPr>
        <w:t xml:space="preserve"> 6.0</w:t>
      </w:r>
      <w:r w:rsidR="008351A1">
        <w:rPr>
          <w:color w:val="auto"/>
        </w:rPr>
        <w:t xml:space="preserve"> por ciento. P</w:t>
      </w:r>
      <w:r w:rsidR="00232001" w:rsidRPr="00232001">
        <w:rPr>
          <w:color w:val="auto"/>
        </w:rPr>
        <w:t>ara las y los consejeros</w:t>
      </w:r>
      <w:r w:rsidR="00AA3568">
        <w:rPr>
          <w:color w:val="auto"/>
        </w:rPr>
        <w:t>,</w:t>
      </w:r>
      <w:r w:rsidR="00232001" w:rsidRPr="00232001">
        <w:rPr>
          <w:color w:val="auto"/>
        </w:rPr>
        <w:t xml:space="preserve"> el aumento fue de 4.8 por ciento.</w:t>
      </w:r>
    </w:p>
    <w:p w14:paraId="58A541F2" w14:textId="77777777" w:rsidR="003A2027" w:rsidRDefault="003A2027">
      <w:pPr>
        <w:pStyle w:val="Default"/>
        <w:jc w:val="both"/>
        <w:rPr>
          <w:color w:val="auto"/>
        </w:rPr>
      </w:pPr>
    </w:p>
    <w:p w14:paraId="28323A23" w14:textId="1EC1B00C" w:rsidR="00684EC0" w:rsidRPr="00963A3F" w:rsidRDefault="00684EC0" w:rsidP="007E7A49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810B87">
        <w:rPr>
          <w:bCs/>
          <w:iCs/>
          <w:color w:val="000000" w:themeColor="text1"/>
          <w:sz w:val="20"/>
          <w:szCs w:val="20"/>
        </w:rPr>
        <w:t xml:space="preserve">Gráfica </w:t>
      </w:r>
      <w:r w:rsidR="002B0880">
        <w:rPr>
          <w:bCs/>
          <w:iCs/>
          <w:color w:val="000000" w:themeColor="text1"/>
          <w:sz w:val="20"/>
          <w:szCs w:val="20"/>
        </w:rPr>
        <w:t>3</w:t>
      </w:r>
    </w:p>
    <w:p w14:paraId="29ED089D" w14:textId="14F8A935" w:rsidR="00684EC0" w:rsidRPr="00CA6D48" w:rsidRDefault="00676162">
      <w:pPr>
        <w:pStyle w:val="Default"/>
        <w:jc w:val="center"/>
        <w:rPr>
          <w:b/>
          <w:bCs/>
          <w:sz w:val="18"/>
          <w:szCs w:val="18"/>
        </w:rPr>
      </w:pPr>
      <w:r w:rsidRPr="00676162">
        <w:rPr>
          <w:b/>
          <w:bCs/>
          <w:iCs/>
          <w:smallCaps/>
          <w:color w:val="000000" w:themeColor="text1"/>
          <w:sz w:val="22"/>
          <w:szCs w:val="22"/>
        </w:rPr>
        <w:t>Magistrados</w:t>
      </w:r>
      <w:r w:rsidR="00D323A9">
        <w:rPr>
          <w:b/>
          <w:bCs/>
          <w:iCs/>
          <w:smallCaps/>
          <w:color w:val="000000" w:themeColor="text1"/>
          <w:sz w:val="22"/>
          <w:szCs w:val="22"/>
        </w:rPr>
        <w:t>(as)</w:t>
      </w:r>
      <w:r w:rsidRPr="00676162">
        <w:rPr>
          <w:b/>
          <w:bCs/>
          <w:iCs/>
          <w:smallCaps/>
          <w:color w:val="000000" w:themeColor="text1"/>
          <w:sz w:val="22"/>
          <w:szCs w:val="22"/>
        </w:rPr>
        <w:t xml:space="preserve"> y consejeros</w:t>
      </w:r>
      <w:r w:rsidR="00D323A9">
        <w:rPr>
          <w:b/>
          <w:bCs/>
          <w:iCs/>
          <w:smallCaps/>
          <w:color w:val="000000" w:themeColor="text1"/>
          <w:sz w:val="22"/>
          <w:szCs w:val="22"/>
        </w:rPr>
        <w:t xml:space="preserve">(as) </w:t>
      </w:r>
      <w:r w:rsidRPr="00676162">
        <w:rPr>
          <w:b/>
          <w:bCs/>
          <w:iCs/>
          <w:smallCaps/>
          <w:color w:val="000000" w:themeColor="text1"/>
          <w:sz w:val="22"/>
          <w:szCs w:val="22"/>
        </w:rPr>
        <w:t>en los poderes judiciales estatales, por cargo</w:t>
      </w:r>
    </w:p>
    <w:p w14:paraId="057035D9" w14:textId="77777777" w:rsidR="00684EC0" w:rsidRDefault="00684EC0" w:rsidP="00684EC0">
      <w:pPr>
        <w:pStyle w:val="Default"/>
        <w:jc w:val="center"/>
      </w:pPr>
    </w:p>
    <w:p w14:paraId="3CCE6BE5" w14:textId="666B7555" w:rsidR="00684EC0" w:rsidRDefault="00714010" w:rsidP="00684EC0">
      <w:pPr>
        <w:pStyle w:val="Default"/>
        <w:jc w:val="center"/>
      </w:pPr>
      <w:r>
        <w:rPr>
          <w:noProof/>
        </w:rPr>
        <w:drawing>
          <wp:inline distT="0" distB="0" distL="0" distR="0" wp14:anchorId="43813A56" wp14:editId="499577ED">
            <wp:extent cx="5988804" cy="2137410"/>
            <wp:effectExtent l="0" t="0" r="0" b="0"/>
            <wp:docPr id="64" name="Gráfico 64">
              <a:extLst xmlns:a="http://schemas.openxmlformats.org/drawingml/2006/main">
                <a:ext uri="{FF2B5EF4-FFF2-40B4-BE49-F238E27FC236}">
                  <a16:creationId xmlns:a16="http://schemas.microsoft.com/office/drawing/2014/main" id="{A83237A0-2D96-34FD-8DA4-4E23D1A42C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60E1485" w14:textId="691BD934" w:rsidR="00684EC0" w:rsidRDefault="00684EC0" w:rsidP="00684EC0">
      <w:pPr>
        <w:pStyle w:val="Default"/>
        <w:jc w:val="center"/>
      </w:pPr>
    </w:p>
    <w:p w14:paraId="71BDF820" w14:textId="0076210B" w:rsidR="0064285A" w:rsidRDefault="008351A1" w:rsidP="0064285A">
      <w:pPr>
        <w:pStyle w:val="Default"/>
        <w:jc w:val="both"/>
        <w:rPr>
          <w:color w:val="auto"/>
        </w:rPr>
      </w:pPr>
      <w:r>
        <w:rPr>
          <w:color w:val="auto"/>
        </w:rPr>
        <w:t xml:space="preserve">Al cierre de 2021, los poderes judiciales reportaron </w:t>
      </w:r>
      <w:r w:rsidR="00727939" w:rsidRPr="00727939">
        <w:rPr>
          <w:color w:val="auto"/>
        </w:rPr>
        <w:t>71 655</w:t>
      </w:r>
      <w:r w:rsidR="00727939">
        <w:rPr>
          <w:color w:val="auto"/>
        </w:rPr>
        <w:t xml:space="preserve"> </w:t>
      </w:r>
      <w:r>
        <w:rPr>
          <w:color w:val="auto"/>
        </w:rPr>
        <w:t xml:space="preserve">personas al servicio público. De estas, </w:t>
      </w:r>
      <w:r w:rsidR="003949B3" w:rsidRPr="003949B3">
        <w:rPr>
          <w:color w:val="auto"/>
        </w:rPr>
        <w:t>47</w:t>
      </w:r>
      <w:r w:rsidR="003949B3">
        <w:rPr>
          <w:color w:val="auto"/>
        </w:rPr>
        <w:t xml:space="preserve"> </w:t>
      </w:r>
      <w:r w:rsidR="003949B3" w:rsidRPr="003949B3">
        <w:rPr>
          <w:color w:val="auto"/>
        </w:rPr>
        <w:t>706</w:t>
      </w:r>
      <w:r w:rsidR="000A0124">
        <w:rPr>
          <w:color w:val="auto"/>
        </w:rPr>
        <w:t xml:space="preserve"> (66.6 %)</w:t>
      </w:r>
      <w:r w:rsidR="003949B3">
        <w:rPr>
          <w:color w:val="auto"/>
        </w:rPr>
        <w:t xml:space="preserve"> estuvieron adscrit</w:t>
      </w:r>
      <w:r>
        <w:rPr>
          <w:color w:val="auto"/>
        </w:rPr>
        <w:t>a</w:t>
      </w:r>
      <w:r w:rsidR="003949B3">
        <w:rPr>
          <w:color w:val="auto"/>
        </w:rPr>
        <w:t xml:space="preserve">s a los órganos jurisdiccionales y 23 949 </w:t>
      </w:r>
      <w:r w:rsidR="000A0124">
        <w:rPr>
          <w:color w:val="auto"/>
        </w:rPr>
        <w:t>(33.4 %)</w:t>
      </w:r>
      <w:r w:rsidR="00CB7477">
        <w:rPr>
          <w:color w:val="auto"/>
        </w:rPr>
        <w:t>,</w:t>
      </w:r>
      <w:r w:rsidR="000A0124">
        <w:rPr>
          <w:color w:val="auto"/>
        </w:rPr>
        <w:t xml:space="preserve"> </w:t>
      </w:r>
      <w:r w:rsidR="003949B3">
        <w:rPr>
          <w:color w:val="auto"/>
        </w:rPr>
        <w:t xml:space="preserve">a </w:t>
      </w:r>
      <w:r w:rsidR="003949B3" w:rsidRPr="003949B3">
        <w:rPr>
          <w:color w:val="auto"/>
        </w:rPr>
        <w:t>órganos administrativos y/</w:t>
      </w:r>
      <w:r>
        <w:rPr>
          <w:color w:val="auto"/>
        </w:rPr>
        <w:t xml:space="preserve"> </w:t>
      </w:r>
      <w:r w:rsidR="003949B3" w:rsidRPr="003949B3">
        <w:rPr>
          <w:color w:val="auto"/>
        </w:rPr>
        <w:t>o unidades administrativas</w:t>
      </w:r>
      <w:r w:rsidR="003949B3">
        <w:rPr>
          <w:color w:val="auto"/>
        </w:rPr>
        <w:t>.</w:t>
      </w:r>
      <w:r w:rsidR="00BB0615">
        <w:rPr>
          <w:color w:val="auto"/>
        </w:rPr>
        <w:t xml:space="preserve"> </w:t>
      </w:r>
      <w:r w:rsidR="00BB0615" w:rsidRPr="00BB0615">
        <w:rPr>
          <w:color w:val="auto"/>
        </w:rPr>
        <w:t xml:space="preserve">Del total del personal, </w:t>
      </w:r>
      <w:r>
        <w:rPr>
          <w:color w:val="auto"/>
        </w:rPr>
        <w:t xml:space="preserve">las mujeres representaron 59.3 % (42 457) y </w:t>
      </w:r>
      <w:r w:rsidR="00BB0615" w:rsidRPr="00BB0615">
        <w:rPr>
          <w:color w:val="auto"/>
        </w:rPr>
        <w:t>los hombres</w:t>
      </w:r>
      <w:r>
        <w:rPr>
          <w:color w:val="auto"/>
        </w:rPr>
        <w:t>,</w:t>
      </w:r>
      <w:r w:rsidR="00BB0615" w:rsidRPr="00BB0615">
        <w:rPr>
          <w:color w:val="auto"/>
        </w:rPr>
        <w:t xml:space="preserve"> </w:t>
      </w:r>
      <w:r w:rsidRPr="007C4BAC">
        <w:rPr>
          <w:color w:val="auto"/>
        </w:rPr>
        <w:t>40.7 % (29 198)</w:t>
      </w:r>
      <w:r>
        <w:rPr>
          <w:color w:val="auto"/>
        </w:rPr>
        <w:t xml:space="preserve">. </w:t>
      </w:r>
      <w:r w:rsidR="00F73875" w:rsidRPr="00F73875">
        <w:rPr>
          <w:color w:val="auto"/>
        </w:rPr>
        <w:t>Comparado con 2020, el personal aumentó 1.9 % en 2021.</w:t>
      </w:r>
    </w:p>
    <w:p w14:paraId="016C9E41" w14:textId="3EFFDC69" w:rsidR="00727939" w:rsidRDefault="00727939" w:rsidP="0064285A">
      <w:pPr>
        <w:pStyle w:val="Default"/>
        <w:jc w:val="both"/>
        <w:rPr>
          <w:color w:val="auto"/>
        </w:rPr>
      </w:pPr>
    </w:p>
    <w:p w14:paraId="456DB1AE" w14:textId="77777777" w:rsidR="00CB7477" w:rsidRDefault="00CB7477" w:rsidP="00F11BC2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0E7CB620" w14:textId="6BD42A75" w:rsidR="00F11BC2" w:rsidRPr="00963A3F" w:rsidRDefault="00F11BC2" w:rsidP="00F11BC2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810B87">
        <w:rPr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4</w:t>
      </w:r>
    </w:p>
    <w:p w14:paraId="78B775D8" w14:textId="65628341" w:rsidR="00727939" w:rsidRDefault="002E4430" w:rsidP="002E4430">
      <w:pPr>
        <w:pStyle w:val="Default"/>
        <w:jc w:val="center"/>
      </w:pPr>
      <w:r w:rsidRPr="002E4430">
        <w:rPr>
          <w:b/>
          <w:bCs/>
          <w:iCs/>
          <w:smallCaps/>
          <w:color w:val="000000" w:themeColor="text1"/>
          <w:sz w:val="22"/>
          <w:szCs w:val="22"/>
        </w:rPr>
        <w:t xml:space="preserve">Personal adscrito a los poderes judiciales estatales, </w:t>
      </w:r>
      <w:r w:rsidR="008351A1">
        <w:rPr>
          <w:b/>
          <w:bCs/>
          <w:iCs/>
          <w:smallCaps/>
          <w:color w:val="000000" w:themeColor="text1"/>
          <w:sz w:val="22"/>
          <w:szCs w:val="22"/>
        </w:rPr>
        <w:t>según</w:t>
      </w:r>
      <w:r w:rsidRPr="002E4430">
        <w:rPr>
          <w:b/>
          <w:bCs/>
          <w:iCs/>
          <w:smallCaps/>
          <w:color w:val="000000" w:themeColor="text1"/>
          <w:sz w:val="22"/>
          <w:szCs w:val="22"/>
        </w:rPr>
        <w:t xml:space="preserve"> sexo</w:t>
      </w:r>
    </w:p>
    <w:p w14:paraId="294AF3DF" w14:textId="093037BA" w:rsidR="00F11BC2" w:rsidRDefault="00881C0E" w:rsidP="004A3C52">
      <w:pPr>
        <w:pStyle w:val="Default"/>
        <w:jc w:val="center"/>
        <w:rPr>
          <w:rFonts w:ascii="Arial Negrita" w:hAnsi="Arial Negrita"/>
          <w:b/>
          <w:bCs/>
          <w:iCs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19D680A3" wp14:editId="545FF8F8">
            <wp:extent cx="6516065" cy="2259965"/>
            <wp:effectExtent l="0" t="0" r="0" b="6985"/>
            <wp:docPr id="68" name="Gráfico 68">
              <a:extLst xmlns:a="http://schemas.openxmlformats.org/drawingml/2006/main">
                <a:ext uri="{FF2B5EF4-FFF2-40B4-BE49-F238E27FC236}">
                  <a16:creationId xmlns:a16="http://schemas.microsoft.com/office/drawing/2014/main" id="{10E2907D-B921-83C0-F6F3-9274D5735E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7B95ABF" w14:textId="77777777" w:rsidR="001E5232" w:rsidRDefault="001E5232" w:rsidP="004A3C52">
      <w:pPr>
        <w:pStyle w:val="Default"/>
        <w:jc w:val="center"/>
        <w:rPr>
          <w:iCs/>
          <w:color w:val="000000" w:themeColor="text1"/>
          <w:sz w:val="16"/>
          <w:szCs w:val="16"/>
        </w:rPr>
      </w:pPr>
    </w:p>
    <w:p w14:paraId="1A1697C1" w14:textId="77777777" w:rsidR="00A672DF" w:rsidRPr="001E5232" w:rsidRDefault="00A672DF" w:rsidP="00A672DF">
      <w:pPr>
        <w:pStyle w:val="Default"/>
        <w:jc w:val="both"/>
        <w:rPr>
          <w:iCs/>
          <w:color w:val="000000" w:themeColor="text1"/>
          <w:sz w:val="16"/>
          <w:szCs w:val="16"/>
        </w:rPr>
      </w:pPr>
      <w:r w:rsidRPr="00A672DF">
        <w:rPr>
          <w:iCs/>
          <w:color w:val="000000" w:themeColor="text1"/>
          <w:sz w:val="16"/>
          <w:szCs w:val="16"/>
        </w:rPr>
        <w:t>Nota: No se incluye la categoría «No especificado» para los años 2010, 2011 y 2020 para las que se reportaron 614, 2 604 y 72 personas, respectivamente. Las cifras incluyen jueces y magistrados.</w:t>
      </w:r>
    </w:p>
    <w:p w14:paraId="01E9F077" w14:textId="06BFBAC9" w:rsidR="00F74233" w:rsidRDefault="00587069">
      <w:pPr>
        <w:pStyle w:val="Default"/>
        <w:jc w:val="both"/>
        <w:rPr>
          <w:rFonts w:eastAsia="Times New Roman"/>
          <w:color w:val="auto"/>
        </w:rPr>
      </w:pPr>
      <w:r w:rsidRPr="00587069">
        <w:rPr>
          <w:rFonts w:eastAsia="Times New Roman"/>
          <w:color w:val="auto"/>
        </w:rPr>
        <w:lastRenderedPageBreak/>
        <w:t xml:space="preserve">En cuanto al cargo de las y los servidores públicos, el personal administrativo y de apoyo concentró 39.7 % (18 951) del total. </w:t>
      </w:r>
      <w:r w:rsidR="004F058E">
        <w:rPr>
          <w:rFonts w:eastAsia="Times New Roman"/>
          <w:color w:val="auto"/>
        </w:rPr>
        <w:t xml:space="preserve">El </w:t>
      </w:r>
      <w:r w:rsidRPr="00587069">
        <w:rPr>
          <w:rFonts w:eastAsia="Times New Roman"/>
          <w:color w:val="auto"/>
        </w:rPr>
        <w:t xml:space="preserve">mayor </w:t>
      </w:r>
      <w:r w:rsidR="004F058E">
        <w:rPr>
          <w:rFonts w:eastAsia="Times New Roman"/>
          <w:color w:val="auto"/>
        </w:rPr>
        <w:t xml:space="preserve">porcentaje </w:t>
      </w:r>
      <w:r w:rsidRPr="00587069">
        <w:rPr>
          <w:rFonts w:eastAsia="Times New Roman"/>
          <w:color w:val="auto"/>
        </w:rPr>
        <w:t xml:space="preserve">de hombres </w:t>
      </w:r>
      <w:r w:rsidR="004C4A72">
        <w:rPr>
          <w:rFonts w:eastAsia="Times New Roman"/>
          <w:color w:val="auto"/>
        </w:rPr>
        <w:t>correspondió a</w:t>
      </w:r>
      <w:r w:rsidRPr="00587069">
        <w:rPr>
          <w:rFonts w:eastAsia="Times New Roman"/>
          <w:color w:val="auto"/>
        </w:rPr>
        <w:t xml:space="preserve"> magistrados y jueces</w:t>
      </w:r>
      <w:r w:rsidR="004F058E">
        <w:rPr>
          <w:rFonts w:eastAsia="Times New Roman"/>
          <w:color w:val="auto"/>
        </w:rPr>
        <w:t xml:space="preserve">. </w:t>
      </w:r>
      <w:r w:rsidR="00791635">
        <w:rPr>
          <w:rFonts w:eastAsia="Times New Roman"/>
          <w:color w:val="auto"/>
        </w:rPr>
        <w:t>Las mujeres predominaron en el resto de los cargos</w:t>
      </w:r>
      <w:r w:rsidRPr="00587069">
        <w:rPr>
          <w:rFonts w:eastAsia="Times New Roman"/>
          <w:color w:val="auto"/>
        </w:rPr>
        <w:t>.</w:t>
      </w:r>
      <w:r w:rsidR="00F74233">
        <w:rPr>
          <w:rFonts w:eastAsia="Times New Roman"/>
          <w:color w:val="auto"/>
        </w:rPr>
        <w:t xml:space="preserve"> </w:t>
      </w:r>
      <w:r w:rsidR="0012761F">
        <w:rPr>
          <w:rFonts w:eastAsia="Times New Roman"/>
          <w:color w:val="auto"/>
        </w:rPr>
        <w:t>Por poder judicial destacan Ciudad de México y el estado de México al concentrar 23.2 % del personal a nivel nacional.</w:t>
      </w:r>
    </w:p>
    <w:p w14:paraId="42500052" w14:textId="77777777" w:rsidR="00F74233" w:rsidRDefault="00F74233">
      <w:pPr>
        <w:pStyle w:val="Default"/>
        <w:jc w:val="both"/>
        <w:rPr>
          <w:rFonts w:eastAsia="Times New Roman"/>
          <w:color w:val="auto"/>
        </w:rPr>
      </w:pPr>
    </w:p>
    <w:p w14:paraId="444DE4BD" w14:textId="54467963" w:rsidR="001A5FA1" w:rsidRPr="00963A3F" w:rsidRDefault="001A5FA1" w:rsidP="007E7A49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4A37FD">
        <w:rPr>
          <w:bCs/>
          <w:iCs/>
          <w:color w:val="000000" w:themeColor="text1"/>
          <w:sz w:val="20"/>
          <w:szCs w:val="20"/>
        </w:rPr>
        <w:t xml:space="preserve">Gráfica </w:t>
      </w:r>
      <w:r w:rsidR="007A6DE4">
        <w:rPr>
          <w:bCs/>
          <w:iCs/>
          <w:color w:val="000000" w:themeColor="text1"/>
          <w:sz w:val="20"/>
          <w:szCs w:val="20"/>
        </w:rPr>
        <w:t>5</w:t>
      </w:r>
    </w:p>
    <w:p w14:paraId="7B4CF2C9" w14:textId="648E92FB" w:rsidR="001A5FA1" w:rsidRDefault="008804CE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8804CE">
        <w:rPr>
          <w:b/>
          <w:bCs/>
          <w:iCs/>
          <w:smallCaps/>
          <w:color w:val="000000" w:themeColor="text1"/>
          <w:sz w:val="22"/>
          <w:szCs w:val="22"/>
        </w:rPr>
        <w:t xml:space="preserve">Personal adscrito a los poderes judiciales estatales, </w:t>
      </w:r>
      <w:r w:rsidR="004F058E">
        <w:rPr>
          <w:b/>
          <w:bCs/>
          <w:iCs/>
          <w:smallCaps/>
          <w:color w:val="000000" w:themeColor="text1"/>
          <w:sz w:val="22"/>
          <w:szCs w:val="22"/>
        </w:rPr>
        <w:t>según</w:t>
      </w:r>
      <w:r w:rsidRPr="008804CE">
        <w:rPr>
          <w:b/>
          <w:bCs/>
          <w:iCs/>
          <w:smallCaps/>
          <w:color w:val="000000" w:themeColor="text1"/>
          <w:sz w:val="22"/>
          <w:szCs w:val="22"/>
        </w:rPr>
        <w:t xml:space="preserve"> cargo y sexo</w:t>
      </w:r>
      <w:r w:rsidR="0014386D">
        <w:rPr>
          <w:b/>
          <w:bCs/>
          <w:iCs/>
          <w:smallCaps/>
          <w:color w:val="000000" w:themeColor="text1"/>
          <w:sz w:val="22"/>
          <w:szCs w:val="22"/>
        </w:rPr>
        <w:t>, 2021</w:t>
      </w:r>
    </w:p>
    <w:p w14:paraId="520AF7D6" w14:textId="77777777" w:rsidR="001A5FA1" w:rsidRDefault="001A5FA1" w:rsidP="001A5FA1">
      <w:pPr>
        <w:pStyle w:val="Default"/>
        <w:jc w:val="center"/>
        <w:rPr>
          <w:sz w:val="20"/>
          <w:szCs w:val="20"/>
        </w:rPr>
      </w:pPr>
    </w:p>
    <w:p w14:paraId="09D2BF76" w14:textId="00AFD3F9" w:rsidR="001A5FA1" w:rsidRDefault="00057450" w:rsidP="001A5FA1">
      <w:pPr>
        <w:pStyle w:val="Default"/>
        <w:jc w:val="center"/>
      </w:pPr>
      <w:r>
        <w:rPr>
          <w:noProof/>
        </w:rPr>
        <w:drawing>
          <wp:inline distT="0" distB="0" distL="0" distR="0" wp14:anchorId="7463A47C" wp14:editId="559A57D9">
            <wp:extent cx="6404610" cy="2315689"/>
            <wp:effectExtent l="0" t="0" r="0" b="8890"/>
            <wp:docPr id="69" name="Gráfico 69">
              <a:extLst xmlns:a="http://schemas.openxmlformats.org/drawingml/2006/main">
                <a:ext uri="{FF2B5EF4-FFF2-40B4-BE49-F238E27FC236}">
                  <a16:creationId xmlns:a16="http://schemas.microsoft.com/office/drawing/2014/main" id="{4D566060-B525-97D2-B5B3-B24099A521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D00298" w:rsidRPr="00D00298">
        <w:rPr>
          <w:noProof/>
        </w:rPr>
        <w:t xml:space="preserve"> </w:t>
      </w:r>
    </w:p>
    <w:p w14:paraId="7507C8DD" w14:textId="77777777" w:rsidR="001A5FA1" w:rsidRDefault="001A5FA1" w:rsidP="001A5FA1">
      <w:pPr>
        <w:pStyle w:val="Default"/>
        <w:jc w:val="both"/>
      </w:pPr>
    </w:p>
    <w:p w14:paraId="634516F5" w14:textId="77777777" w:rsidR="008804CE" w:rsidRDefault="008804CE">
      <w:pPr>
        <w:pStyle w:val="Default"/>
        <w:jc w:val="both"/>
      </w:pPr>
    </w:p>
    <w:p w14:paraId="059CB32D" w14:textId="6E6B6C81" w:rsidR="005F34FB" w:rsidRPr="00963A3F" w:rsidRDefault="005F34FB" w:rsidP="005F34FB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  <w:r>
        <w:rPr>
          <w:bCs/>
          <w:iCs/>
          <w:color w:val="000000" w:themeColor="text1"/>
          <w:sz w:val="20"/>
          <w:szCs w:val="20"/>
        </w:rPr>
        <w:t>Mapa 1</w:t>
      </w:r>
    </w:p>
    <w:p w14:paraId="6792803D" w14:textId="47317CCF" w:rsidR="005F34FB" w:rsidRPr="007E7A49" w:rsidRDefault="00C32CA5" w:rsidP="005F34FB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C32CA5">
        <w:rPr>
          <w:b/>
          <w:bCs/>
          <w:iCs/>
          <w:smallCaps/>
          <w:color w:val="000000" w:themeColor="text1"/>
          <w:sz w:val="22"/>
          <w:szCs w:val="22"/>
        </w:rPr>
        <w:t>Personal adscrito a los poderes judiciales estatales, por entidad federativa, 2021</w:t>
      </w:r>
    </w:p>
    <w:p w14:paraId="389411E5" w14:textId="77777777" w:rsidR="008804CE" w:rsidRDefault="008804CE">
      <w:pPr>
        <w:pStyle w:val="Default"/>
        <w:jc w:val="both"/>
      </w:pPr>
    </w:p>
    <w:p w14:paraId="66D37E5F" w14:textId="455343F2" w:rsidR="00C32CA5" w:rsidRDefault="00C32CA5">
      <w:pPr>
        <w:pStyle w:val="Default"/>
        <w:jc w:val="both"/>
      </w:pPr>
    </w:p>
    <w:p w14:paraId="629E02DE" w14:textId="1FACBC0C" w:rsidR="00C32CA5" w:rsidRDefault="001B7668" w:rsidP="001B7668">
      <w:pPr>
        <w:pStyle w:val="Default"/>
        <w:jc w:val="center"/>
        <w:rPr>
          <w:rFonts w:asciiTheme="minorHAnsi" w:hAnsiTheme="minorHAnsi" w:cstheme="minorBidi"/>
          <w:noProof/>
          <w:color w:val="auto"/>
          <w:sz w:val="22"/>
          <w:szCs w:val="22"/>
        </w:rPr>
      </w:pPr>
      <w:r w:rsidRPr="001B7668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41E9793" wp14:editId="3BEEEE0C">
                <wp:simplePos x="0" y="0"/>
                <wp:positionH relativeFrom="margin">
                  <wp:posOffset>4141523</wp:posOffset>
                </wp:positionH>
                <wp:positionV relativeFrom="paragraph">
                  <wp:posOffset>378905</wp:posOffset>
                </wp:positionV>
                <wp:extent cx="1995975" cy="748146"/>
                <wp:effectExtent l="0" t="0" r="0" b="0"/>
                <wp:wrapNone/>
                <wp:docPr id="70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5975" cy="748146"/>
                          <a:chOff x="-156931" y="146500"/>
                          <a:chExt cx="3989072" cy="1538247"/>
                        </a:xfrm>
                      </wpg:grpSpPr>
                      <wpg:grpSp>
                        <wpg:cNvPr id="72" name="Grupo 72"/>
                        <wpg:cNvGrpSpPr/>
                        <wpg:grpSpPr>
                          <a:xfrm>
                            <a:off x="96205" y="459695"/>
                            <a:ext cx="3735922" cy="1225052"/>
                            <a:chOff x="96205" y="459696"/>
                            <a:chExt cx="2120307" cy="735258"/>
                          </a:xfrm>
                        </wpg:grpSpPr>
                        <wps:wsp>
                          <wps:cNvPr id="73" name="Rectángulo: esquinas redondeadas 73"/>
                          <wps:cNvSpPr/>
                          <wps:spPr>
                            <a:xfrm>
                              <a:off x="96205" y="664918"/>
                              <a:ext cx="150815" cy="139430"/>
                            </a:xfrm>
                            <a:prstGeom prst="roundRect">
                              <a:avLst/>
                            </a:prstGeom>
                            <a:solidFill>
                              <a:srgbClr val="9C9E71"/>
                            </a:solidFill>
                            <a:ln w="25400" cap="flat">
                              <a:noFill/>
                              <a:prstDash val="solid"/>
                              <a:round/>
                            </a:ln>
                            <a:effectLst/>
                            <a:sp3d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rot="0" spcFirstLastPara="1" vert="horz" wrap="square" lIns="0" tIns="0" rIns="0" bIns="0" numCol="1" spcCol="38100" rtlCol="0" anchor="ctr">
                            <a:noAutofit/>
                          </wps:bodyPr>
                        </wps:wsp>
                        <wps:wsp>
                          <wps:cNvPr id="74" name="Rectángulo: esquinas redondeadas 74"/>
                          <wps:cNvSpPr/>
                          <wps:spPr>
                            <a:xfrm>
                              <a:off x="99715" y="504353"/>
                              <a:ext cx="150472" cy="139430"/>
                            </a:xfrm>
                            <a:prstGeom prst="roundRect">
                              <a:avLst/>
                            </a:prstGeom>
                            <a:solidFill>
                              <a:srgbClr val="677053"/>
                            </a:solidFill>
                            <a:ln w="25400" cap="flat">
                              <a:noFill/>
                              <a:prstDash val="solid"/>
                              <a:round/>
                            </a:ln>
                            <a:effectLst/>
                            <a:sp3d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rot="0" spcFirstLastPara="1" vert="horz" wrap="square" lIns="0" tIns="0" rIns="0" bIns="0" numCol="1" spcCol="38100" rtlCol="0" anchor="ctr">
                            <a:noAutofit/>
                          </wps:bodyPr>
                        </wps:wsp>
                        <wps:wsp>
                          <wps:cNvPr id="75" name="Rectángulo: esquinas redondeadas 75"/>
                          <wps:cNvSpPr/>
                          <wps:spPr>
                            <a:xfrm>
                              <a:off x="97007" y="827583"/>
                              <a:ext cx="150814" cy="139430"/>
                            </a:xfrm>
                            <a:prstGeom prst="roundRect">
                              <a:avLst/>
                            </a:prstGeom>
                            <a:solidFill>
                              <a:srgbClr val="EAC479"/>
                            </a:solidFill>
                            <a:ln w="25400" cap="flat">
                              <a:noFill/>
                              <a:prstDash val="solid"/>
                              <a:round/>
                            </a:ln>
                            <a:effectLst/>
                            <a:sp3d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rot="0" spcFirstLastPara="1" vert="horz" wrap="square" lIns="0" tIns="0" rIns="0" bIns="0" numCol="1" spcCol="38100" rtlCol="0" anchor="ctr">
                            <a:noAutofit/>
                          </wps:bodyPr>
                        </wps:wsp>
                        <wps:wsp>
                          <wps:cNvPr id="80" name="Rectángulo: esquinas redondeadas 80"/>
                          <wps:cNvSpPr/>
                          <wps:spPr>
                            <a:xfrm>
                              <a:off x="99313" y="991406"/>
                              <a:ext cx="149297" cy="138693"/>
                            </a:xfrm>
                            <a:prstGeom prst="roundRect">
                              <a:avLst/>
                            </a:prstGeom>
                            <a:solidFill>
                              <a:srgbClr val="C29B61"/>
                            </a:solidFill>
                            <a:ln w="25400" cap="flat">
                              <a:noFill/>
                              <a:prstDash val="solid"/>
                              <a:round/>
                            </a:ln>
                            <a:effectLst/>
                            <a:sp3d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rot="0" spcFirstLastPara="1" vert="horz" wrap="square" lIns="0" tIns="0" rIns="0" bIns="0" numCol="1" spcCol="38100" rtlCol="0" anchor="ctr">
                            <a:noAutofit/>
                          </wps:bodyPr>
                        </wps:wsp>
                        <wps:wsp>
                          <wps:cNvPr id="81" name="Rectángulo 81"/>
                          <wps:cNvSpPr/>
                          <wps:spPr>
                            <a:xfrm>
                              <a:off x="206334" y="957464"/>
                              <a:ext cx="2010178" cy="2374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0982646" w14:textId="77777777" w:rsidR="001B7668" w:rsidRPr="001B7668" w:rsidRDefault="001B7668" w:rsidP="001B7668">
                                <w:pPr>
                                  <w:overflowPunct w:val="0"/>
                                  <w:rPr>
                                    <w:rFonts w:ascii="Arial" w:eastAsia="Helvetica Neue Medium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 w:rsidRPr="001B7668">
                                  <w:rPr>
                                    <w:rFonts w:ascii="Arial" w:eastAsia="Helvetica Neue Medium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>De 474 a 2 000 (18 entidades)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98" name="Rectángulo 98"/>
                          <wps:cNvSpPr/>
                          <wps:spPr>
                            <a:xfrm>
                              <a:off x="206489" y="776832"/>
                              <a:ext cx="2004695" cy="2374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8012E7B" w14:textId="77777777" w:rsidR="001B7668" w:rsidRPr="001B7668" w:rsidRDefault="001B7668" w:rsidP="001B7668">
                                <w:pPr>
                                  <w:overflowPunct w:val="0"/>
                                  <w:rPr>
                                    <w:rFonts w:ascii="Arial" w:eastAsia="Helvetica Neue Medium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 w:rsidRPr="001B7668">
                                  <w:rPr>
                                    <w:rFonts w:ascii="Arial" w:eastAsia="Helvetica Neue Medium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>De 2 001 a 3 000 (9 entidades)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99" name="Rectángulo 99"/>
                          <wps:cNvSpPr/>
                          <wps:spPr>
                            <a:xfrm>
                              <a:off x="206490" y="617540"/>
                              <a:ext cx="1934210" cy="2374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06129D4" w14:textId="77777777" w:rsidR="001B7668" w:rsidRPr="001B7668" w:rsidRDefault="001B7668" w:rsidP="001B7668">
                                <w:pPr>
                                  <w:overflowPunct w:val="0"/>
                                  <w:rPr>
                                    <w:rFonts w:ascii="Arial" w:eastAsia="Helvetica Neue Medium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 w:rsidRPr="001B7668">
                                  <w:rPr>
                                    <w:rFonts w:ascii="Arial" w:eastAsia="Helvetica Neue Medium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>De 3 001 a 5 000 (3 entidades)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01" name="Rectángulo 101"/>
                          <wps:cNvSpPr/>
                          <wps:spPr>
                            <a:xfrm>
                              <a:off x="206334" y="459696"/>
                              <a:ext cx="1729105" cy="2374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A8EA1AE" w14:textId="77777777" w:rsidR="001B7668" w:rsidRPr="001B7668" w:rsidRDefault="001B7668" w:rsidP="001B7668">
                                <w:pPr>
                                  <w:overflowPunct w:val="0"/>
                                  <w:rPr>
                                    <w:rFonts w:ascii="Arial" w:eastAsia="Helvetica Neue Medium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 w:rsidRPr="001B7668">
                                  <w:rPr>
                                    <w:rFonts w:ascii="Arial" w:eastAsia="Helvetica Neue Medium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>Más de 5 000 (2 entidades)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wps:wsp>
                        <wps:cNvPr id="102" name="Rectángulo 102"/>
                        <wps:cNvSpPr/>
                        <wps:spPr>
                          <a:xfrm>
                            <a:off x="-156931" y="146500"/>
                            <a:ext cx="3989072" cy="47418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DD46C3" w14:textId="77777777" w:rsidR="001B7668" w:rsidRPr="001B7668" w:rsidRDefault="001B7668" w:rsidP="001B7668">
                              <w:pPr>
                                <w:overflowPunct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1B766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Servidoras y servidores públicos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1E9793" id="Grupo 12" o:spid="_x0000_s1026" style="position:absolute;left:0;text-align:left;margin-left:326.1pt;margin-top:29.85pt;width:157.15pt;height:58.9pt;z-index:251677696;mso-position-horizontal-relative:margin;mso-width-relative:margin;mso-height-relative:margin" coordorigin="-1569,1465" coordsize="39890,15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">
                <v:group id="Grupo 72" o:spid="_x0000_s1027" style="position:absolute;left:962;top:4596;width:37359;height:12251" coordorigin="962,4596" coordsize="21203,7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roundrect id="Rectángulo: esquinas redondeadas 73" o:spid="_x0000_s1028" style="position:absolute;left:962;top:6649;width:1508;height:13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" fillcolor="#9c9e71" stroked="f" strokeweight="2pt">
                    <v:textbox inset="0,0,0,0"/>
                  </v:roundrect>
                  <v:roundrect id="Rectángulo: esquinas redondeadas 74" o:spid="_x0000_s1029" style="position:absolute;left:997;top:5043;width:1504;height:13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" fillcolor="#677053" stroked="f" strokeweight="2pt">
                    <v:textbox inset="0,0,0,0"/>
                  </v:roundrect>
                  <v:roundrect id="Rectángulo: esquinas redondeadas 75" o:spid="_x0000_s1030" style="position:absolute;left:970;top:8275;width:1508;height:13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" fillcolor="#eac479" stroked="f" strokeweight="2pt">
                    <v:textbox inset="0,0,0,0"/>
                  </v:roundrect>
                  <v:roundrect id="Rectángulo: esquinas redondeadas 80" o:spid="_x0000_s1031" style="position:absolute;left:993;top:9914;width:1493;height:13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" fillcolor="#c29b61" stroked="f" strokeweight="2pt">
                    <v:textbox inset="0,0,0,0"/>
                  </v:roundrect>
                  <v:rect id="Rectángulo 81" o:spid="_x0000_s1032" style="position:absolute;left:2063;top:9574;width:20102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" filled="f" stroked="f">
                    <v:textbox>
                      <w:txbxContent>
                        <w:p w14:paraId="50982646" w14:textId="77777777" w:rsidR="001B7668" w:rsidRPr="001B7668" w:rsidRDefault="001B7668" w:rsidP="001B7668">
                          <w:pPr>
                            <w:overflowPunct w:val="0"/>
                            <w:rPr>
                              <w:rFonts w:ascii="Arial" w:eastAsia="Helvetica Neue Medium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</w:pPr>
                          <w:r w:rsidRPr="001B7668">
                            <w:rPr>
                              <w:rFonts w:ascii="Arial" w:eastAsia="Helvetica Neue Medium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De 474 a 2 000 (18 entidades)</w:t>
                          </w:r>
                        </w:p>
                      </w:txbxContent>
                    </v:textbox>
                  </v:rect>
                  <v:rect id="Rectángulo 98" o:spid="_x0000_s1033" style="position:absolute;left:2064;top:7768;width:20047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" filled="f" stroked="f">
                    <v:textbox>
                      <w:txbxContent>
                        <w:p w14:paraId="78012E7B" w14:textId="77777777" w:rsidR="001B7668" w:rsidRPr="001B7668" w:rsidRDefault="001B7668" w:rsidP="001B7668">
                          <w:pPr>
                            <w:overflowPunct w:val="0"/>
                            <w:rPr>
                              <w:rFonts w:ascii="Arial" w:eastAsia="Helvetica Neue Medium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</w:pPr>
                          <w:r w:rsidRPr="001B7668">
                            <w:rPr>
                              <w:rFonts w:ascii="Arial" w:eastAsia="Helvetica Neue Medium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De 2 001 a 3 000 (9 entidades)</w:t>
                          </w:r>
                        </w:p>
                      </w:txbxContent>
                    </v:textbox>
                  </v:rect>
                  <v:rect id="Rectángulo 99" o:spid="_x0000_s1034" style="position:absolute;left:2064;top:6175;width:19343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" filled="f" stroked="f">
                    <v:textbox>
                      <w:txbxContent>
                        <w:p w14:paraId="606129D4" w14:textId="77777777" w:rsidR="001B7668" w:rsidRPr="001B7668" w:rsidRDefault="001B7668" w:rsidP="001B7668">
                          <w:pPr>
                            <w:overflowPunct w:val="0"/>
                            <w:rPr>
                              <w:rFonts w:ascii="Arial" w:eastAsia="Helvetica Neue Medium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</w:pPr>
                          <w:r w:rsidRPr="001B7668">
                            <w:rPr>
                              <w:rFonts w:ascii="Arial" w:eastAsia="Helvetica Neue Medium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De 3 001 a 5 000 (3 entidades)</w:t>
                          </w:r>
                        </w:p>
                      </w:txbxContent>
                    </v:textbox>
                  </v:rect>
                  <v:rect id="Rectángulo 101" o:spid="_x0000_s1035" style="position:absolute;left:2063;top:4596;width:17291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" filled="f" stroked="f">
                    <v:textbox>
                      <w:txbxContent>
                        <w:p w14:paraId="0A8EA1AE" w14:textId="77777777" w:rsidR="001B7668" w:rsidRPr="001B7668" w:rsidRDefault="001B7668" w:rsidP="001B7668">
                          <w:pPr>
                            <w:overflowPunct w:val="0"/>
                            <w:rPr>
                              <w:rFonts w:ascii="Arial" w:eastAsia="Helvetica Neue Medium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</w:pPr>
                          <w:r w:rsidRPr="001B7668">
                            <w:rPr>
                              <w:rFonts w:ascii="Arial" w:eastAsia="Helvetica Neue Medium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Más de 5 000 (2 entidades)</w:t>
                          </w:r>
                        </w:p>
                      </w:txbxContent>
                    </v:textbox>
                  </v:rect>
                </v:group>
                <v:rect id="Rectángulo 102" o:spid="_x0000_s1036" style="position:absolute;left:-1569;top:1465;width:39890;height:4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" filled="f" stroked="f">
                  <v:textbox>
                    <w:txbxContent>
                      <w:p w14:paraId="1CDD46C3" w14:textId="77777777" w:rsidR="001B7668" w:rsidRPr="001B7668" w:rsidRDefault="001B7668" w:rsidP="001B7668">
                        <w:pPr>
                          <w:overflowPunct w:val="0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1B7668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Servidoras y servidores públicos 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1B7668">
        <w:rPr>
          <w:noProof/>
        </w:rPr>
        <w:drawing>
          <wp:inline distT="0" distB="0" distL="0" distR="0" wp14:anchorId="0273EB9F" wp14:editId="6D47BF8A">
            <wp:extent cx="4922032" cy="3224745"/>
            <wp:effectExtent l="0" t="0" r="0" b="0"/>
            <wp:docPr id="6" name="Imagen 5" descr="Map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0E72E9EC-0545-C868-7CFE-2290639EC0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 descr="Mapa&#10;&#10;Descripción generada automáticamente">
                      <a:extLst>
                        <a:ext uri="{FF2B5EF4-FFF2-40B4-BE49-F238E27FC236}">
                          <a16:creationId xmlns:a16="http://schemas.microsoft.com/office/drawing/2014/main" id="{0E72E9EC-0545-C868-7CFE-2290639EC0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37257" cy="323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474A" w:rsidRPr="0002474A">
        <w:rPr>
          <w:rFonts w:asciiTheme="minorHAnsi" w:hAnsiTheme="minorHAnsi" w:cstheme="minorBidi"/>
          <w:noProof/>
          <w:color w:val="auto"/>
          <w:sz w:val="22"/>
          <w:szCs w:val="22"/>
        </w:rPr>
        <w:t xml:space="preserve"> </w:t>
      </w:r>
    </w:p>
    <w:p w14:paraId="7F91A796" w14:textId="77777777" w:rsidR="0002474A" w:rsidRPr="0002474A" w:rsidRDefault="0002474A" w:rsidP="0002474A">
      <w:pPr>
        <w:spacing w:after="10"/>
        <w:ind w:right="288"/>
        <w:jc w:val="both"/>
        <w:rPr>
          <w:rFonts w:ascii="Arial" w:eastAsia="Calibri" w:hAnsi="Arial"/>
          <w:color w:val="000000"/>
          <w:kern w:val="24"/>
          <w:sz w:val="16"/>
          <w:szCs w:val="16"/>
        </w:rPr>
      </w:pPr>
      <w:r w:rsidRPr="0002474A">
        <w:rPr>
          <w:rFonts w:ascii="Arial" w:eastAsia="Calibri" w:hAnsi="Arial"/>
          <w:color w:val="000000"/>
          <w:kern w:val="24"/>
          <w:sz w:val="16"/>
          <w:szCs w:val="16"/>
        </w:rPr>
        <w:t>Nota: Las cifras incluyen jueces y magistrados.</w:t>
      </w:r>
    </w:p>
    <w:p w14:paraId="6E9D8A37" w14:textId="7A141BD8" w:rsidR="00684EC0" w:rsidRDefault="0056585E" w:rsidP="0056585E">
      <w:pPr>
        <w:pStyle w:val="Default"/>
        <w:jc w:val="both"/>
      </w:pPr>
      <w:r w:rsidRPr="0056585E">
        <w:lastRenderedPageBreak/>
        <w:t>Al cierre de 2021, se reportaron 4 801 servidoras y servidores públicos con el cargo de magistrados y jueces en los órganos jurisdiccionales</w:t>
      </w:r>
      <w:r w:rsidR="00AA3568">
        <w:t>. E</w:t>
      </w:r>
      <w:r w:rsidRPr="0056585E">
        <w:t xml:space="preserve">n comparación con 2020, </w:t>
      </w:r>
      <w:r w:rsidR="00AA3568">
        <w:t xml:space="preserve">dicha cifra </w:t>
      </w:r>
      <w:r w:rsidRPr="0056585E">
        <w:t>present</w:t>
      </w:r>
      <w:r w:rsidR="00AA3568">
        <w:t>ó</w:t>
      </w:r>
      <w:r w:rsidRPr="0056585E">
        <w:t xml:space="preserve"> un aumento de 14.5 </w:t>
      </w:r>
      <w:r w:rsidR="004F058E">
        <w:t>por ciento</w:t>
      </w:r>
      <w:r w:rsidRPr="0056585E">
        <w:t>. De</w:t>
      </w:r>
      <w:r w:rsidR="004F058E">
        <w:t xml:space="preserve"> este total, </w:t>
      </w:r>
      <w:r w:rsidR="004F058E" w:rsidRPr="0056585E">
        <w:t>2 053 (42.8 %)</w:t>
      </w:r>
      <w:r w:rsidR="004F058E">
        <w:t xml:space="preserve"> fueron</w:t>
      </w:r>
      <w:r w:rsidR="004F058E" w:rsidRPr="0056585E">
        <w:t xml:space="preserve"> mujeres</w:t>
      </w:r>
      <w:r w:rsidR="004F058E">
        <w:t xml:space="preserve"> y</w:t>
      </w:r>
      <w:r w:rsidR="004F058E" w:rsidRPr="0056585E" w:rsidDel="004F058E">
        <w:t xml:space="preserve"> </w:t>
      </w:r>
      <w:r w:rsidRPr="0056585E">
        <w:t>2 748 (57.2 %)</w:t>
      </w:r>
      <w:r w:rsidR="004F058E">
        <w:t xml:space="preserve">, </w:t>
      </w:r>
      <w:r w:rsidRPr="0056585E">
        <w:t>hombres.</w:t>
      </w:r>
    </w:p>
    <w:p w14:paraId="2CCC5EC3" w14:textId="4E63FCC0" w:rsidR="00684EC0" w:rsidRDefault="00684EC0">
      <w:pPr>
        <w:pStyle w:val="Default"/>
        <w:jc w:val="center"/>
      </w:pPr>
    </w:p>
    <w:p w14:paraId="6CE42BA9" w14:textId="77777777" w:rsidR="009011CB" w:rsidRDefault="009011CB">
      <w:pPr>
        <w:pStyle w:val="Default"/>
        <w:jc w:val="center"/>
      </w:pPr>
    </w:p>
    <w:p w14:paraId="4BF1E1E1" w14:textId="7F13375F" w:rsidR="00A05628" w:rsidRPr="00963A3F" w:rsidRDefault="00A05628" w:rsidP="007E7A49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F53C86">
        <w:rPr>
          <w:bCs/>
          <w:iCs/>
          <w:color w:val="000000" w:themeColor="text1"/>
          <w:sz w:val="20"/>
          <w:szCs w:val="20"/>
        </w:rPr>
        <w:t xml:space="preserve">Gráfica </w:t>
      </w:r>
      <w:r w:rsidR="004A3C52">
        <w:rPr>
          <w:bCs/>
          <w:iCs/>
          <w:color w:val="000000" w:themeColor="text1"/>
          <w:sz w:val="20"/>
          <w:szCs w:val="20"/>
        </w:rPr>
        <w:t>6</w:t>
      </w:r>
    </w:p>
    <w:p w14:paraId="77A3758D" w14:textId="048F059F" w:rsidR="009F09A0" w:rsidRDefault="0099191C" w:rsidP="008B6912">
      <w:pPr>
        <w:spacing w:after="0" w:line="240" w:lineRule="auto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>
        <w:rPr>
          <w:rFonts w:ascii="Arial" w:hAnsi="Arial" w:cs="Arial"/>
          <w:b/>
          <w:bCs/>
          <w:iCs/>
          <w:smallCaps/>
          <w:color w:val="000000" w:themeColor="text1"/>
        </w:rPr>
        <w:t>M</w:t>
      </w:r>
      <w:r w:rsidR="008B6912" w:rsidRPr="008B6912">
        <w:rPr>
          <w:rFonts w:ascii="Arial" w:hAnsi="Arial" w:cs="Arial"/>
          <w:b/>
          <w:bCs/>
          <w:iCs/>
          <w:smallCaps/>
          <w:color w:val="000000" w:themeColor="text1"/>
        </w:rPr>
        <w:t>agistrad</w:t>
      </w:r>
      <w:r>
        <w:rPr>
          <w:rFonts w:ascii="Arial" w:hAnsi="Arial" w:cs="Arial"/>
          <w:b/>
          <w:bCs/>
          <w:iCs/>
          <w:smallCaps/>
          <w:color w:val="000000" w:themeColor="text1"/>
        </w:rPr>
        <w:t>os(as)</w:t>
      </w:r>
      <w:r w:rsidR="008B6912" w:rsidRPr="008B6912">
        <w:rPr>
          <w:rFonts w:ascii="Arial" w:hAnsi="Arial" w:cs="Arial"/>
          <w:b/>
          <w:bCs/>
          <w:iCs/>
          <w:smallCaps/>
          <w:color w:val="000000" w:themeColor="text1"/>
        </w:rPr>
        <w:t xml:space="preserve"> y jueces</w:t>
      </w:r>
      <w:r>
        <w:rPr>
          <w:rFonts w:ascii="Arial" w:hAnsi="Arial" w:cs="Arial"/>
          <w:b/>
          <w:bCs/>
          <w:iCs/>
          <w:smallCaps/>
          <w:color w:val="000000" w:themeColor="text1"/>
        </w:rPr>
        <w:t>(as)</w:t>
      </w:r>
      <w:r w:rsidR="008B6912" w:rsidRPr="008B6912">
        <w:rPr>
          <w:rFonts w:ascii="Arial" w:hAnsi="Arial" w:cs="Arial"/>
          <w:b/>
          <w:bCs/>
          <w:iCs/>
          <w:smallCaps/>
          <w:color w:val="000000" w:themeColor="text1"/>
        </w:rPr>
        <w:t xml:space="preserve"> en los órganos jurisdiccionales de los poderes judiciales estatales, por cargo</w:t>
      </w:r>
    </w:p>
    <w:p w14:paraId="7DD7462D" w14:textId="77777777" w:rsidR="00F82DB4" w:rsidRDefault="00F82DB4" w:rsidP="008B691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6D80342B" w14:textId="26ECC27F" w:rsidR="009F09A0" w:rsidRDefault="00C01C01" w:rsidP="009F09A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63EE5096" wp14:editId="315614AD">
            <wp:extent cx="6043930" cy="3104707"/>
            <wp:effectExtent l="0" t="0" r="0" b="635"/>
            <wp:docPr id="104" name="Gráfico 104">
              <a:extLst xmlns:a="http://schemas.openxmlformats.org/drawingml/2006/main">
                <a:ext uri="{FF2B5EF4-FFF2-40B4-BE49-F238E27FC236}">
                  <a16:creationId xmlns:a16="http://schemas.microsoft.com/office/drawing/2014/main" id="{7F7A1374-3A60-0AB8-3243-C48D115812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D8CDAAD" w14:textId="77777777" w:rsidR="009F09A0" w:rsidRDefault="009F09A0" w:rsidP="005930B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82641BE" w14:textId="2EB4E7C6" w:rsidR="006E2EAA" w:rsidRDefault="006E2EAA" w:rsidP="00CA6D48">
      <w:pPr>
        <w:pStyle w:val="Default"/>
        <w:ind w:right="-113"/>
        <w:jc w:val="both"/>
      </w:pPr>
    </w:p>
    <w:p w14:paraId="35A858CB" w14:textId="77777777" w:rsidR="009011CB" w:rsidRDefault="009011CB" w:rsidP="00D147D6">
      <w:pPr>
        <w:pStyle w:val="Default"/>
        <w:ind w:right="21"/>
        <w:jc w:val="both"/>
      </w:pPr>
    </w:p>
    <w:p w14:paraId="7575953C" w14:textId="77777777" w:rsidR="009011CB" w:rsidRDefault="009011CB" w:rsidP="00D147D6">
      <w:pPr>
        <w:pStyle w:val="Default"/>
        <w:ind w:right="21"/>
        <w:jc w:val="both"/>
      </w:pPr>
    </w:p>
    <w:p w14:paraId="66EEED51" w14:textId="77777777" w:rsidR="009011CB" w:rsidRDefault="009011CB" w:rsidP="00D147D6">
      <w:pPr>
        <w:pStyle w:val="Default"/>
        <w:ind w:right="21"/>
        <w:jc w:val="both"/>
      </w:pPr>
    </w:p>
    <w:p w14:paraId="359FB9F7" w14:textId="77777777" w:rsidR="009011CB" w:rsidRDefault="009011CB" w:rsidP="00D147D6">
      <w:pPr>
        <w:pStyle w:val="Default"/>
        <w:ind w:right="21"/>
        <w:jc w:val="both"/>
      </w:pPr>
    </w:p>
    <w:p w14:paraId="7089B705" w14:textId="77777777" w:rsidR="009011CB" w:rsidRDefault="009011CB" w:rsidP="00D147D6">
      <w:pPr>
        <w:pStyle w:val="Default"/>
        <w:ind w:right="21"/>
        <w:jc w:val="both"/>
      </w:pPr>
    </w:p>
    <w:p w14:paraId="06897174" w14:textId="77777777" w:rsidR="009011CB" w:rsidRDefault="009011CB" w:rsidP="00D147D6">
      <w:pPr>
        <w:pStyle w:val="Default"/>
        <w:ind w:right="21"/>
        <w:jc w:val="both"/>
      </w:pPr>
    </w:p>
    <w:p w14:paraId="543F27D0" w14:textId="77777777" w:rsidR="009011CB" w:rsidRDefault="009011CB" w:rsidP="00D147D6">
      <w:pPr>
        <w:pStyle w:val="Default"/>
        <w:ind w:right="21"/>
        <w:jc w:val="both"/>
      </w:pPr>
    </w:p>
    <w:p w14:paraId="6291A192" w14:textId="77777777" w:rsidR="009011CB" w:rsidRDefault="009011CB" w:rsidP="00D147D6">
      <w:pPr>
        <w:pStyle w:val="Default"/>
        <w:ind w:right="21"/>
        <w:jc w:val="both"/>
      </w:pPr>
    </w:p>
    <w:p w14:paraId="262C3DF2" w14:textId="77777777" w:rsidR="009011CB" w:rsidRDefault="009011CB" w:rsidP="00D147D6">
      <w:pPr>
        <w:pStyle w:val="Default"/>
        <w:ind w:right="21"/>
        <w:jc w:val="both"/>
      </w:pPr>
    </w:p>
    <w:p w14:paraId="68E0C521" w14:textId="77777777" w:rsidR="009011CB" w:rsidRDefault="009011CB" w:rsidP="00D147D6">
      <w:pPr>
        <w:pStyle w:val="Default"/>
        <w:ind w:right="21"/>
        <w:jc w:val="both"/>
      </w:pPr>
    </w:p>
    <w:p w14:paraId="5FAFFDA0" w14:textId="77777777" w:rsidR="009011CB" w:rsidRDefault="009011CB" w:rsidP="00D147D6">
      <w:pPr>
        <w:pStyle w:val="Default"/>
        <w:ind w:right="21"/>
        <w:jc w:val="both"/>
      </w:pPr>
    </w:p>
    <w:p w14:paraId="4472F805" w14:textId="77777777" w:rsidR="009011CB" w:rsidRDefault="009011CB" w:rsidP="00D147D6">
      <w:pPr>
        <w:pStyle w:val="Default"/>
        <w:ind w:right="21"/>
        <w:jc w:val="both"/>
      </w:pPr>
    </w:p>
    <w:p w14:paraId="18F5E50E" w14:textId="77777777" w:rsidR="009011CB" w:rsidRDefault="009011CB" w:rsidP="00D147D6">
      <w:pPr>
        <w:pStyle w:val="Default"/>
        <w:ind w:right="21"/>
        <w:jc w:val="both"/>
      </w:pPr>
    </w:p>
    <w:p w14:paraId="202B8C24" w14:textId="77777777" w:rsidR="009011CB" w:rsidRDefault="009011CB" w:rsidP="00D147D6">
      <w:pPr>
        <w:pStyle w:val="Default"/>
        <w:ind w:right="21"/>
        <w:jc w:val="both"/>
      </w:pPr>
    </w:p>
    <w:p w14:paraId="006993E1" w14:textId="77777777" w:rsidR="009011CB" w:rsidRDefault="009011CB" w:rsidP="00D147D6">
      <w:pPr>
        <w:pStyle w:val="Default"/>
        <w:ind w:right="21"/>
        <w:jc w:val="both"/>
      </w:pPr>
    </w:p>
    <w:p w14:paraId="4E063342" w14:textId="77777777" w:rsidR="009011CB" w:rsidRDefault="009011CB" w:rsidP="00D147D6">
      <w:pPr>
        <w:pStyle w:val="Default"/>
        <w:ind w:right="21"/>
        <w:jc w:val="both"/>
      </w:pPr>
    </w:p>
    <w:p w14:paraId="39A52DB2" w14:textId="77777777" w:rsidR="009011CB" w:rsidRDefault="009011CB" w:rsidP="00D147D6">
      <w:pPr>
        <w:pStyle w:val="Default"/>
        <w:ind w:right="21"/>
        <w:jc w:val="both"/>
      </w:pPr>
    </w:p>
    <w:p w14:paraId="1F575D61" w14:textId="77777777" w:rsidR="009011CB" w:rsidRDefault="009011CB" w:rsidP="00D147D6">
      <w:pPr>
        <w:pStyle w:val="Default"/>
        <w:ind w:right="21"/>
        <w:jc w:val="both"/>
      </w:pPr>
    </w:p>
    <w:p w14:paraId="62B6308C" w14:textId="6978FA2E" w:rsidR="0099191C" w:rsidRDefault="004F058E" w:rsidP="00D147D6">
      <w:pPr>
        <w:pStyle w:val="Default"/>
        <w:ind w:right="21"/>
        <w:jc w:val="both"/>
      </w:pPr>
      <w:r>
        <w:lastRenderedPageBreak/>
        <w:t xml:space="preserve">Las entidades que tuvieron los porcentajes más altos de mujeres magistradas fueron Tlaxcala </w:t>
      </w:r>
      <w:r w:rsidR="00240B46">
        <w:t xml:space="preserve">(66.7 %) </w:t>
      </w:r>
      <w:r>
        <w:t>e Hidalgo</w:t>
      </w:r>
      <w:r w:rsidR="00240B46">
        <w:t xml:space="preserve"> (64.3 %)</w:t>
      </w:r>
      <w:r w:rsidR="0012761F">
        <w:t>.</w:t>
      </w:r>
      <w:r>
        <w:t xml:space="preserve"> Las entidades con el mayor porcentaje de hombres con ese cargo fueron </w:t>
      </w:r>
      <w:r w:rsidR="0099191C">
        <w:t>Chiapas</w:t>
      </w:r>
      <w:r w:rsidR="00240B46">
        <w:t xml:space="preserve"> (85.7 %)</w:t>
      </w:r>
      <w:r w:rsidR="0099191C">
        <w:t xml:space="preserve"> y Coahuila</w:t>
      </w:r>
      <w:r w:rsidR="00240B46">
        <w:t xml:space="preserve"> (84.2%)</w:t>
      </w:r>
      <w:r>
        <w:t>.</w:t>
      </w:r>
      <w:r w:rsidR="0099191C">
        <w:t xml:space="preserve"> </w:t>
      </w:r>
    </w:p>
    <w:p w14:paraId="311E0FDA" w14:textId="6952FA34" w:rsidR="009011CB" w:rsidRDefault="009011CB" w:rsidP="00D147D6">
      <w:pPr>
        <w:pStyle w:val="Default"/>
        <w:ind w:right="21"/>
        <w:jc w:val="both"/>
      </w:pPr>
    </w:p>
    <w:p w14:paraId="02C8EFC6" w14:textId="15568DCC" w:rsidR="009011CB" w:rsidRPr="00963A3F" w:rsidRDefault="009011CB" w:rsidP="009011CB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F53C86">
        <w:rPr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7</w:t>
      </w:r>
    </w:p>
    <w:p w14:paraId="5E0CE255" w14:textId="5405C97C" w:rsidR="0099191C" w:rsidRDefault="0099191C" w:rsidP="0099191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Cs/>
          <w:smallCaps/>
          <w:color w:val="000000" w:themeColor="text1"/>
        </w:rPr>
        <w:t>M</w:t>
      </w:r>
      <w:r w:rsidRPr="008B6912">
        <w:rPr>
          <w:rFonts w:ascii="Arial" w:hAnsi="Arial" w:cs="Arial"/>
          <w:b/>
          <w:bCs/>
          <w:iCs/>
          <w:smallCaps/>
          <w:color w:val="000000" w:themeColor="text1"/>
        </w:rPr>
        <w:t>agistrad</w:t>
      </w:r>
      <w:r>
        <w:rPr>
          <w:rFonts w:ascii="Arial" w:hAnsi="Arial" w:cs="Arial"/>
          <w:b/>
          <w:bCs/>
          <w:iCs/>
          <w:smallCaps/>
          <w:color w:val="000000" w:themeColor="text1"/>
        </w:rPr>
        <w:t>os(as)</w:t>
      </w:r>
      <w:r w:rsidRPr="008B6912">
        <w:rPr>
          <w:rFonts w:ascii="Arial" w:hAnsi="Arial" w:cs="Arial"/>
          <w:b/>
          <w:bCs/>
          <w:iCs/>
          <w:smallCaps/>
          <w:color w:val="000000" w:themeColor="text1"/>
        </w:rPr>
        <w:t xml:space="preserve"> en los órganos jurisdiccionales de los poderes judiciales estatales, por </w:t>
      </w:r>
      <w:r>
        <w:rPr>
          <w:rFonts w:ascii="Arial" w:hAnsi="Arial" w:cs="Arial"/>
          <w:b/>
          <w:bCs/>
          <w:iCs/>
          <w:smallCaps/>
          <w:color w:val="000000" w:themeColor="text1"/>
        </w:rPr>
        <w:t xml:space="preserve">entidad federativa, 2021 </w:t>
      </w:r>
    </w:p>
    <w:p w14:paraId="46D87DF5" w14:textId="1B34F410" w:rsidR="0099191C" w:rsidRDefault="0099191C" w:rsidP="0099191C">
      <w:pPr>
        <w:pStyle w:val="Default"/>
        <w:ind w:right="21"/>
        <w:jc w:val="center"/>
      </w:pPr>
      <w:r>
        <w:rPr>
          <w:noProof/>
        </w:rPr>
        <w:drawing>
          <wp:inline distT="0" distB="0" distL="0" distR="0" wp14:anchorId="5983D26B" wp14:editId="1E790348">
            <wp:extent cx="3853417" cy="6347460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229AFC59-8224-462F-A4A1-08647D5441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FA37BB4" w14:textId="77777777" w:rsidR="0099191C" w:rsidRDefault="0099191C" w:rsidP="00D147D6">
      <w:pPr>
        <w:pStyle w:val="Default"/>
        <w:ind w:right="21"/>
        <w:jc w:val="both"/>
      </w:pPr>
    </w:p>
    <w:p w14:paraId="1B249B7E" w14:textId="77777777" w:rsidR="0099191C" w:rsidRDefault="0099191C" w:rsidP="00D147D6">
      <w:pPr>
        <w:pStyle w:val="Default"/>
        <w:ind w:right="21"/>
        <w:jc w:val="both"/>
      </w:pPr>
    </w:p>
    <w:p w14:paraId="25974659" w14:textId="77777777" w:rsidR="0099191C" w:rsidRDefault="0099191C" w:rsidP="00D147D6">
      <w:pPr>
        <w:pStyle w:val="Default"/>
        <w:ind w:right="21"/>
        <w:jc w:val="both"/>
      </w:pPr>
    </w:p>
    <w:p w14:paraId="6D2C50EC" w14:textId="10318E35" w:rsidR="006E2EAA" w:rsidRDefault="00D147D6" w:rsidP="00D147D6">
      <w:pPr>
        <w:pStyle w:val="Default"/>
        <w:ind w:right="21"/>
        <w:jc w:val="both"/>
      </w:pPr>
      <w:r w:rsidRPr="00D147D6">
        <w:lastRenderedPageBreak/>
        <w:t xml:space="preserve">En 2021, </w:t>
      </w:r>
      <w:r w:rsidR="004F058E">
        <w:t xml:space="preserve">fallecieron 184 personas adscritas </w:t>
      </w:r>
      <w:r w:rsidRPr="00D147D6">
        <w:t>a los poderes judiciales estatales</w:t>
      </w:r>
      <w:r w:rsidR="004F058E">
        <w:t xml:space="preserve">. De </w:t>
      </w:r>
      <w:proofErr w:type="gramStart"/>
      <w:r w:rsidR="004F058E">
        <w:t xml:space="preserve">estas,  </w:t>
      </w:r>
      <w:r w:rsidR="000D7A90">
        <w:t xml:space="preserve"> </w:t>
      </w:r>
      <w:proofErr w:type="gramEnd"/>
      <w:r w:rsidR="000D7A90">
        <w:t xml:space="preserve">     </w:t>
      </w:r>
      <w:r w:rsidR="004F058E" w:rsidRPr="00D147D6">
        <w:t>41.8</w:t>
      </w:r>
      <w:r w:rsidR="004F058E">
        <w:t xml:space="preserve"> % correspondió a </w:t>
      </w:r>
      <w:r w:rsidR="004F058E" w:rsidRPr="00D147D6">
        <w:t xml:space="preserve">mujeres </w:t>
      </w:r>
      <w:r w:rsidR="004F058E">
        <w:t xml:space="preserve">y </w:t>
      </w:r>
      <w:r w:rsidRPr="00D147D6">
        <w:t>58.2 %</w:t>
      </w:r>
      <w:r w:rsidR="004F058E">
        <w:t xml:space="preserve">, a </w:t>
      </w:r>
      <w:r w:rsidRPr="00D147D6">
        <w:t>hombres. De</w:t>
      </w:r>
      <w:r w:rsidR="00240B46">
        <w:t>l total de personas fallecidas</w:t>
      </w:r>
      <w:r w:rsidR="00B07EF3">
        <w:t xml:space="preserve">, </w:t>
      </w:r>
      <w:r w:rsidRPr="00D147D6">
        <w:t xml:space="preserve">55.4 % </w:t>
      </w:r>
      <w:r w:rsidR="00B07EF3">
        <w:t xml:space="preserve">murió </w:t>
      </w:r>
      <w:r w:rsidRPr="00D147D6">
        <w:t xml:space="preserve">por causas naturales. </w:t>
      </w:r>
      <w:r w:rsidR="00240B46">
        <w:t>La</w:t>
      </w:r>
      <w:r w:rsidR="00240B46" w:rsidRPr="00D147D6">
        <w:t xml:space="preserve"> </w:t>
      </w:r>
      <w:r w:rsidRPr="00D147D6">
        <w:t>Ciudad de México</w:t>
      </w:r>
      <w:r w:rsidR="00240B46">
        <w:t xml:space="preserve"> concentró la mayor cifra de fallecimientos </w:t>
      </w:r>
      <w:r w:rsidR="006F6A35">
        <w:t xml:space="preserve">entre las entidades federativas </w:t>
      </w:r>
      <w:r w:rsidR="00240B46">
        <w:t>con 40 personas</w:t>
      </w:r>
      <w:r w:rsidR="00661DE4">
        <w:t xml:space="preserve">. </w:t>
      </w:r>
      <w:r w:rsidRPr="00D147D6">
        <w:t>En comparación con 2020</w:t>
      </w:r>
      <w:r w:rsidR="00661DE4">
        <w:t>,</w:t>
      </w:r>
      <w:r w:rsidR="00187471">
        <w:rPr>
          <w:rStyle w:val="Refdenotaalpie"/>
        </w:rPr>
        <w:footnoteReference w:id="5"/>
      </w:r>
      <w:r w:rsidRPr="00D147D6">
        <w:t xml:space="preserve"> la cantidad de </w:t>
      </w:r>
      <w:r w:rsidR="00661DE4">
        <w:t xml:space="preserve">quienes fallecieron </w:t>
      </w:r>
      <w:r w:rsidRPr="00D147D6">
        <w:t>disminuyó 9.8 % en 2021.</w:t>
      </w:r>
    </w:p>
    <w:p w14:paraId="460FBD18" w14:textId="64D61124" w:rsidR="006E2EAA" w:rsidRDefault="006E2EAA" w:rsidP="00CA6D48">
      <w:pPr>
        <w:pStyle w:val="Default"/>
        <w:ind w:right="-113"/>
        <w:jc w:val="both"/>
      </w:pPr>
    </w:p>
    <w:p w14:paraId="64001528" w14:textId="77777777" w:rsidR="009058FD" w:rsidRDefault="009058FD" w:rsidP="007E7A49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  <w:highlight w:val="yellow"/>
        </w:rPr>
      </w:pPr>
    </w:p>
    <w:p w14:paraId="734E59D2" w14:textId="3EB64446" w:rsidR="002B6FA8" w:rsidRPr="00963A3F" w:rsidRDefault="002B6FA8" w:rsidP="007E7A49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F53C86">
        <w:rPr>
          <w:bCs/>
          <w:iCs/>
          <w:color w:val="000000" w:themeColor="text1"/>
          <w:sz w:val="20"/>
          <w:szCs w:val="20"/>
        </w:rPr>
        <w:t xml:space="preserve">Gráfica </w:t>
      </w:r>
      <w:r w:rsidR="009011CB">
        <w:rPr>
          <w:bCs/>
          <w:iCs/>
          <w:color w:val="000000" w:themeColor="text1"/>
          <w:sz w:val="20"/>
          <w:szCs w:val="20"/>
        </w:rPr>
        <w:t>8</w:t>
      </w:r>
    </w:p>
    <w:p w14:paraId="3FC30B88" w14:textId="11B22115" w:rsidR="00AF3262" w:rsidRPr="00AF3262" w:rsidRDefault="00DA1B6D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DA1B6D">
        <w:rPr>
          <w:b/>
          <w:bCs/>
          <w:iCs/>
          <w:smallCaps/>
          <w:color w:val="000000" w:themeColor="text1"/>
          <w:sz w:val="22"/>
          <w:szCs w:val="22"/>
        </w:rPr>
        <w:t>Personal fallecido adscrito a los poderes judiciales estatales, por entidad federativa</w:t>
      </w:r>
      <w:r w:rsidR="002961A3" w:rsidRPr="002961A3">
        <w:rPr>
          <w:b/>
          <w:bCs/>
          <w:iCs/>
          <w:smallCaps/>
          <w:color w:val="000000" w:themeColor="text1"/>
          <w:sz w:val="22"/>
          <w:szCs w:val="22"/>
        </w:rPr>
        <w:t>, 202</w:t>
      </w:r>
      <w:r w:rsidR="002961A3">
        <w:rPr>
          <w:b/>
          <w:bCs/>
          <w:iCs/>
          <w:smallCaps/>
          <w:color w:val="000000" w:themeColor="text1"/>
          <w:sz w:val="22"/>
          <w:szCs w:val="22"/>
        </w:rPr>
        <w:t>1</w:t>
      </w:r>
    </w:p>
    <w:p w14:paraId="68540CE3" w14:textId="77777777" w:rsidR="00E559D9" w:rsidRDefault="00DA1B6D" w:rsidP="00E559D9">
      <w:pPr>
        <w:pStyle w:val="Default"/>
        <w:jc w:val="both"/>
        <w:rPr>
          <w:rFonts w:eastAsia="Times New Roman"/>
          <w:sz w:val="16"/>
          <w:szCs w:val="16"/>
        </w:rPr>
      </w:pPr>
      <w:r w:rsidRPr="00DA1B6D">
        <w:rPr>
          <w:rFonts w:eastAsia="Times New Roman"/>
          <w:noProof/>
          <w:sz w:val="18"/>
          <w:szCs w:val="18"/>
        </w:rPr>
        <w:drawing>
          <wp:inline distT="0" distB="0" distL="0" distR="0" wp14:anchorId="61B2152F" wp14:editId="49F5B06F">
            <wp:extent cx="6404610" cy="1971304"/>
            <wp:effectExtent l="0" t="0" r="0" b="0"/>
            <wp:docPr id="105" name="Gráfico 105">
              <a:extLst xmlns:a="http://schemas.openxmlformats.org/drawingml/2006/main">
                <a:ext uri="{FF2B5EF4-FFF2-40B4-BE49-F238E27FC236}">
                  <a16:creationId xmlns:a16="http://schemas.microsoft.com/office/drawing/2014/main" id="{99FE8BFD-DAD7-5EF1-41FE-E4CBF41F80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DE9319B" w14:textId="77777777" w:rsidR="00E559D9" w:rsidRDefault="00E559D9" w:rsidP="00E559D9">
      <w:pPr>
        <w:pStyle w:val="Default"/>
        <w:jc w:val="both"/>
        <w:rPr>
          <w:rFonts w:eastAsia="Times New Roman"/>
          <w:sz w:val="16"/>
          <w:szCs w:val="16"/>
        </w:rPr>
      </w:pPr>
    </w:p>
    <w:p w14:paraId="1BCD9843" w14:textId="7B7F4E3B" w:rsidR="002B6FA8" w:rsidRPr="00E559D9" w:rsidRDefault="00E559D9" w:rsidP="00E559D9">
      <w:pPr>
        <w:pStyle w:val="Default"/>
        <w:jc w:val="both"/>
        <w:rPr>
          <w:rFonts w:eastAsia="Times New Roman"/>
          <w:sz w:val="16"/>
          <w:szCs w:val="16"/>
        </w:rPr>
      </w:pPr>
      <w:r w:rsidRPr="00E559D9">
        <w:rPr>
          <w:rFonts w:eastAsia="Times New Roman"/>
          <w:sz w:val="16"/>
          <w:szCs w:val="16"/>
        </w:rPr>
        <w:t>Nota: Los estados de Aguascalientes, Baja California Sur y Colima no contaron con datos o elementos para responder.</w:t>
      </w:r>
    </w:p>
    <w:p w14:paraId="3F920B3D" w14:textId="77777777" w:rsidR="009011CB" w:rsidRDefault="009011CB" w:rsidP="008B3D3E">
      <w:pPr>
        <w:pStyle w:val="Default"/>
        <w:jc w:val="both"/>
      </w:pPr>
    </w:p>
    <w:p w14:paraId="24BBCF5E" w14:textId="77777777" w:rsidR="009011CB" w:rsidRDefault="009011CB" w:rsidP="008B3D3E">
      <w:pPr>
        <w:pStyle w:val="Default"/>
        <w:jc w:val="both"/>
      </w:pPr>
    </w:p>
    <w:p w14:paraId="2B96EB9B" w14:textId="77777777" w:rsidR="00240B46" w:rsidRDefault="008B3D3E" w:rsidP="00240B46">
      <w:pPr>
        <w:pStyle w:val="Default"/>
        <w:jc w:val="both"/>
        <w:rPr>
          <w:color w:val="auto"/>
        </w:rPr>
      </w:pPr>
      <w:r>
        <w:t>En 2021,</w:t>
      </w:r>
      <w:r w:rsidRPr="00756B55">
        <w:t xml:space="preserve"> l</w:t>
      </w:r>
      <w:r>
        <w:t xml:space="preserve">os poderes judiciales </w:t>
      </w:r>
      <w:r w:rsidRPr="00756B55">
        <w:t xml:space="preserve">estatales </w:t>
      </w:r>
      <w:r>
        <w:t xml:space="preserve">reportaron un presupuesto ejercido de </w:t>
      </w:r>
      <w:r w:rsidR="00A86F45" w:rsidRPr="00A86F45">
        <w:t>42 089 915 878 pesos</w:t>
      </w:r>
      <w:r>
        <w:t>.</w:t>
      </w:r>
      <w:r w:rsidRPr="00756B55">
        <w:rPr>
          <w:rStyle w:val="Refdenotaalpie"/>
        </w:rPr>
        <w:footnoteReference w:id="6"/>
      </w:r>
      <w:r>
        <w:t xml:space="preserve"> </w:t>
      </w:r>
      <w:r w:rsidR="00BC2B34">
        <w:t>De dicho presupuesto</w:t>
      </w:r>
      <w:r w:rsidR="002D2711">
        <w:t>,</w:t>
      </w:r>
      <w:r w:rsidR="00BC2B34">
        <w:t xml:space="preserve"> </w:t>
      </w:r>
      <w:r w:rsidR="00BC2B34" w:rsidRPr="00BC2B34">
        <w:t>53.0 % correspondió a órganos jurisdiccionales</w:t>
      </w:r>
      <w:r w:rsidR="00B07EF3">
        <w:t>;</w:t>
      </w:r>
      <w:r w:rsidR="00BC2B34" w:rsidRPr="00BC2B34">
        <w:t xml:space="preserve"> 27.8 %</w:t>
      </w:r>
      <w:r w:rsidR="00B07EF3">
        <w:t>,</w:t>
      </w:r>
      <w:r w:rsidR="00BC2B34" w:rsidRPr="00BC2B34">
        <w:t xml:space="preserve"> a órganos administrativos y/</w:t>
      </w:r>
      <w:r w:rsidR="00B07EF3">
        <w:t xml:space="preserve"> </w:t>
      </w:r>
      <w:r w:rsidR="00BC2B34" w:rsidRPr="00BC2B34">
        <w:t xml:space="preserve">o unidades administrativas y </w:t>
      </w:r>
      <w:r w:rsidR="00FF30B0">
        <w:t xml:space="preserve">para </w:t>
      </w:r>
      <w:r w:rsidR="00BC2B34" w:rsidRPr="00BC2B34">
        <w:t xml:space="preserve">19.2 % </w:t>
      </w:r>
      <w:r w:rsidR="00FF30B0">
        <w:t>no se especi</w:t>
      </w:r>
      <w:r w:rsidR="008A30B2">
        <w:t xml:space="preserve">ficó el </w:t>
      </w:r>
      <w:r w:rsidR="002D2711">
        <w:t xml:space="preserve">tipo de </w:t>
      </w:r>
      <w:r w:rsidR="008A30B2">
        <w:t>órgano</w:t>
      </w:r>
      <w:r w:rsidR="00BC2B34">
        <w:t xml:space="preserve">. </w:t>
      </w:r>
      <w:r w:rsidR="002D2711">
        <w:t>E</w:t>
      </w:r>
      <w:r w:rsidR="002D2711" w:rsidRPr="00756B55">
        <w:t>n comparación con 20</w:t>
      </w:r>
      <w:r w:rsidR="002D2711">
        <w:t>20, e</w:t>
      </w:r>
      <w:r w:rsidR="006A25A6">
        <w:t xml:space="preserve">l total de presupuesto ejercido </w:t>
      </w:r>
      <w:r w:rsidR="00084DC3">
        <w:t>aumentó</w:t>
      </w:r>
      <w:r w:rsidR="00C12DD0">
        <w:t xml:space="preserve"> 6.8 </w:t>
      </w:r>
      <w:r w:rsidR="002D2711">
        <w:t>por ciento</w:t>
      </w:r>
      <w:r w:rsidRPr="00756B55">
        <w:t xml:space="preserve">. </w:t>
      </w:r>
      <w:r w:rsidR="00240B46" w:rsidRPr="000B1940">
        <w:rPr>
          <w:color w:val="auto"/>
        </w:rPr>
        <w:t xml:space="preserve">Ciudad de México fue la entidad que ejerció mayor presupuesto, mientras que Colima </w:t>
      </w:r>
      <w:r w:rsidR="00240B46">
        <w:rPr>
          <w:color w:val="auto"/>
        </w:rPr>
        <w:t xml:space="preserve">el </w:t>
      </w:r>
      <w:r w:rsidR="00240B46" w:rsidRPr="000B1940">
        <w:rPr>
          <w:color w:val="auto"/>
        </w:rPr>
        <w:t>menor</w:t>
      </w:r>
      <w:r w:rsidR="00240B46">
        <w:rPr>
          <w:color w:val="auto"/>
        </w:rPr>
        <w:t>.</w:t>
      </w:r>
    </w:p>
    <w:p w14:paraId="14F60D65" w14:textId="57D96B81" w:rsidR="008B3D3E" w:rsidRPr="00756B55" w:rsidRDefault="008B3D3E" w:rsidP="008B3D3E">
      <w:pPr>
        <w:pStyle w:val="Default"/>
        <w:jc w:val="both"/>
      </w:pPr>
    </w:p>
    <w:p w14:paraId="633F7846" w14:textId="77777777" w:rsidR="008B3D3E" w:rsidRDefault="008B3D3E">
      <w:pPr>
        <w:pStyle w:val="Default"/>
        <w:jc w:val="both"/>
        <w:rPr>
          <w:color w:val="auto"/>
        </w:rPr>
      </w:pPr>
    </w:p>
    <w:p w14:paraId="4C48810D" w14:textId="700DC74B" w:rsidR="00AC34DE" w:rsidRPr="00963A3F" w:rsidRDefault="00AC34DE" w:rsidP="007E7A49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F53C86">
        <w:rPr>
          <w:bCs/>
          <w:iCs/>
          <w:color w:val="000000" w:themeColor="text1"/>
          <w:sz w:val="20"/>
          <w:szCs w:val="20"/>
        </w:rPr>
        <w:t xml:space="preserve">Gráfica </w:t>
      </w:r>
      <w:r w:rsidR="009011CB">
        <w:rPr>
          <w:bCs/>
          <w:iCs/>
          <w:color w:val="000000" w:themeColor="text1"/>
          <w:sz w:val="20"/>
          <w:szCs w:val="20"/>
        </w:rPr>
        <w:t>9</w:t>
      </w:r>
    </w:p>
    <w:p w14:paraId="1B150E5A" w14:textId="02D07B57" w:rsidR="00A86F45" w:rsidRPr="00A86F45" w:rsidRDefault="008A30B2" w:rsidP="00A86F45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Pr</w:t>
      </w:r>
      <w:r w:rsidRPr="00A86F45">
        <w:rPr>
          <w:b/>
          <w:bCs/>
          <w:iCs/>
          <w:smallCaps/>
          <w:color w:val="000000" w:themeColor="text1"/>
          <w:sz w:val="22"/>
          <w:szCs w:val="22"/>
        </w:rPr>
        <w:t xml:space="preserve">esupuesto ejercido por </w:t>
      </w:r>
      <w:r>
        <w:rPr>
          <w:b/>
          <w:bCs/>
          <w:iCs/>
          <w:smallCaps/>
          <w:color w:val="000000" w:themeColor="text1"/>
          <w:sz w:val="22"/>
          <w:szCs w:val="22"/>
        </w:rPr>
        <w:t>los poderes judiciales</w:t>
      </w:r>
      <w:r w:rsidRPr="00A86F45">
        <w:rPr>
          <w:b/>
          <w:bCs/>
          <w:iCs/>
          <w:smallCaps/>
          <w:color w:val="000000" w:themeColor="text1"/>
          <w:sz w:val="22"/>
          <w:szCs w:val="22"/>
        </w:rPr>
        <w:t xml:space="preserve"> estatales </w:t>
      </w:r>
    </w:p>
    <w:p w14:paraId="7B311C99" w14:textId="23340414" w:rsidR="008E55BB" w:rsidRDefault="00A86F45" w:rsidP="00A86F45">
      <w:pPr>
        <w:pStyle w:val="Default"/>
        <w:jc w:val="center"/>
      </w:pPr>
      <w:r w:rsidRPr="00A86F45">
        <w:rPr>
          <w:bCs/>
          <w:iCs/>
          <w:color w:val="000000" w:themeColor="text1"/>
          <w:sz w:val="18"/>
          <w:szCs w:val="18"/>
        </w:rPr>
        <w:t>(Millones de pesos)</w:t>
      </w:r>
    </w:p>
    <w:p w14:paraId="2C58FD7E" w14:textId="4A1054B9" w:rsidR="008E55BB" w:rsidRDefault="00F3343E" w:rsidP="00B35BAA">
      <w:pPr>
        <w:pStyle w:val="Default"/>
        <w:jc w:val="both"/>
      </w:pPr>
      <w:r w:rsidRPr="00F3343E">
        <w:rPr>
          <w:noProof/>
          <w:color w:val="auto"/>
        </w:rPr>
        <w:drawing>
          <wp:inline distT="0" distB="0" distL="0" distR="0" wp14:anchorId="6F8F2415" wp14:editId="5252F7BE">
            <wp:extent cx="6404610" cy="1995055"/>
            <wp:effectExtent l="0" t="0" r="0" b="5715"/>
            <wp:docPr id="106" name="Gráfico 106">
              <a:extLst xmlns:a="http://schemas.openxmlformats.org/drawingml/2006/main">
                <a:ext uri="{FF2B5EF4-FFF2-40B4-BE49-F238E27FC236}">
                  <a16:creationId xmlns:a16="http://schemas.microsoft.com/office/drawing/2014/main" id="{AD882C63-E787-DAFE-8F0B-039FF2C0A4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C25CC9B" w14:textId="77777777" w:rsidR="007C2EB5" w:rsidRDefault="007C2EB5" w:rsidP="00B35BAA">
      <w:pPr>
        <w:pStyle w:val="Default"/>
        <w:jc w:val="both"/>
      </w:pPr>
    </w:p>
    <w:p w14:paraId="63B12202" w14:textId="77777777" w:rsidR="009C0E52" w:rsidRDefault="009C0E52" w:rsidP="00E321E3">
      <w:pPr>
        <w:pStyle w:val="Default"/>
        <w:jc w:val="both"/>
        <w:rPr>
          <w:color w:val="auto"/>
        </w:rPr>
      </w:pPr>
    </w:p>
    <w:p w14:paraId="66FFE318" w14:textId="518EB2A5" w:rsidR="006A25A6" w:rsidRPr="00963A3F" w:rsidRDefault="006A25A6" w:rsidP="006A25A6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F53C86">
        <w:rPr>
          <w:bCs/>
          <w:iCs/>
          <w:color w:val="000000" w:themeColor="text1"/>
          <w:sz w:val="20"/>
          <w:szCs w:val="20"/>
        </w:rPr>
        <w:t xml:space="preserve">Gráfica </w:t>
      </w:r>
      <w:r w:rsidR="009011CB">
        <w:rPr>
          <w:bCs/>
          <w:iCs/>
          <w:color w:val="000000" w:themeColor="text1"/>
          <w:sz w:val="20"/>
          <w:szCs w:val="20"/>
        </w:rPr>
        <w:t>10</w:t>
      </w:r>
    </w:p>
    <w:p w14:paraId="01B80510" w14:textId="0F907B45" w:rsidR="006A25A6" w:rsidRPr="00A86F45" w:rsidRDefault="006A25A6" w:rsidP="006A25A6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Pr</w:t>
      </w:r>
      <w:r w:rsidRPr="00A86F45">
        <w:rPr>
          <w:b/>
          <w:bCs/>
          <w:iCs/>
          <w:smallCaps/>
          <w:color w:val="000000" w:themeColor="text1"/>
          <w:sz w:val="22"/>
          <w:szCs w:val="22"/>
        </w:rPr>
        <w:t xml:space="preserve">esupuesto ejercido por </w:t>
      </w:r>
      <w:r>
        <w:rPr>
          <w:b/>
          <w:bCs/>
          <w:iCs/>
          <w:smallCaps/>
          <w:color w:val="000000" w:themeColor="text1"/>
          <w:sz w:val="22"/>
          <w:szCs w:val="22"/>
        </w:rPr>
        <w:t>los poderes judiciales</w:t>
      </w:r>
      <w:r w:rsidRPr="00A86F45">
        <w:rPr>
          <w:b/>
          <w:bCs/>
          <w:iCs/>
          <w:smallCaps/>
          <w:color w:val="000000" w:themeColor="text1"/>
          <w:sz w:val="22"/>
          <w:szCs w:val="22"/>
        </w:rPr>
        <w:t xml:space="preserve"> estatales</w:t>
      </w:r>
      <w:r>
        <w:rPr>
          <w:b/>
          <w:bCs/>
          <w:iCs/>
          <w:smallCaps/>
          <w:color w:val="000000" w:themeColor="text1"/>
          <w:sz w:val="22"/>
          <w:szCs w:val="22"/>
        </w:rPr>
        <w:t>, por entidad federativa</w:t>
      </w:r>
      <w:r w:rsidR="00C1215F">
        <w:rPr>
          <w:b/>
          <w:bCs/>
          <w:iCs/>
          <w:smallCaps/>
          <w:color w:val="000000" w:themeColor="text1"/>
          <w:sz w:val="22"/>
          <w:szCs w:val="22"/>
        </w:rPr>
        <w:t>, 2021</w:t>
      </w:r>
    </w:p>
    <w:p w14:paraId="0BA6D529" w14:textId="77777777" w:rsidR="006A25A6" w:rsidRDefault="006A25A6" w:rsidP="006A25A6">
      <w:pPr>
        <w:pStyle w:val="Default"/>
        <w:jc w:val="center"/>
      </w:pPr>
      <w:r w:rsidRPr="00A86F45">
        <w:rPr>
          <w:bCs/>
          <w:iCs/>
          <w:color w:val="000000" w:themeColor="text1"/>
          <w:sz w:val="18"/>
          <w:szCs w:val="18"/>
        </w:rPr>
        <w:t>(Millones de pesos)</w:t>
      </w:r>
    </w:p>
    <w:p w14:paraId="50DCDCC1" w14:textId="77777777" w:rsidR="009C0E52" w:rsidRDefault="009C0E52" w:rsidP="00E321E3">
      <w:pPr>
        <w:pStyle w:val="Default"/>
        <w:jc w:val="both"/>
        <w:rPr>
          <w:color w:val="auto"/>
        </w:rPr>
      </w:pPr>
    </w:p>
    <w:p w14:paraId="41948C52" w14:textId="77777777" w:rsidR="009C0E52" w:rsidRDefault="009C0E52" w:rsidP="00E321E3">
      <w:pPr>
        <w:pStyle w:val="Default"/>
        <w:jc w:val="both"/>
        <w:rPr>
          <w:color w:val="auto"/>
        </w:rPr>
      </w:pPr>
    </w:p>
    <w:p w14:paraId="4BEF4FBA" w14:textId="2FD2C5DE" w:rsidR="009C0E52" w:rsidRDefault="0014542A" w:rsidP="00E321E3">
      <w:pPr>
        <w:pStyle w:val="Default"/>
        <w:jc w:val="both"/>
        <w:rPr>
          <w:color w:val="auto"/>
        </w:rPr>
      </w:pPr>
      <w:r w:rsidRPr="0014542A">
        <w:rPr>
          <w:noProof/>
          <w:color w:val="auto"/>
        </w:rPr>
        <w:drawing>
          <wp:inline distT="0" distB="0" distL="0" distR="0" wp14:anchorId="43FDAC91" wp14:editId="795BB904">
            <wp:extent cx="6404610" cy="2173184"/>
            <wp:effectExtent l="0" t="0" r="0" b="0"/>
            <wp:docPr id="107" name="Gráfico 107">
              <a:extLst xmlns:a="http://schemas.openxmlformats.org/drawingml/2006/main">
                <a:ext uri="{FF2B5EF4-FFF2-40B4-BE49-F238E27FC236}">
                  <a16:creationId xmlns:a16="http://schemas.microsoft.com/office/drawing/2014/main" id="{E753D1DC-E61E-F70F-C51F-58DF76E39D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4532A43" w14:textId="77777777" w:rsidR="009C0E52" w:rsidRDefault="009C0E52" w:rsidP="00E321E3">
      <w:pPr>
        <w:pStyle w:val="Default"/>
        <w:jc w:val="both"/>
        <w:rPr>
          <w:color w:val="auto"/>
        </w:rPr>
      </w:pPr>
    </w:p>
    <w:p w14:paraId="3842D320" w14:textId="77777777" w:rsidR="009C0E52" w:rsidRDefault="009C0E52" w:rsidP="00E321E3">
      <w:pPr>
        <w:pStyle w:val="Default"/>
        <w:jc w:val="both"/>
        <w:rPr>
          <w:color w:val="auto"/>
        </w:rPr>
      </w:pPr>
    </w:p>
    <w:p w14:paraId="7F9D3361" w14:textId="00C0A489" w:rsidR="009C0E52" w:rsidRDefault="009C0E52" w:rsidP="00E321E3">
      <w:pPr>
        <w:pStyle w:val="Default"/>
        <w:jc w:val="both"/>
        <w:rPr>
          <w:color w:val="auto"/>
        </w:rPr>
      </w:pPr>
    </w:p>
    <w:p w14:paraId="7974DAB5" w14:textId="12F741C7" w:rsidR="009011CB" w:rsidRDefault="009011CB" w:rsidP="00E321E3">
      <w:pPr>
        <w:pStyle w:val="Default"/>
        <w:jc w:val="both"/>
        <w:rPr>
          <w:color w:val="auto"/>
        </w:rPr>
      </w:pPr>
    </w:p>
    <w:p w14:paraId="32A31D3A" w14:textId="36A4FACF" w:rsidR="009011CB" w:rsidRDefault="009011CB" w:rsidP="00E321E3">
      <w:pPr>
        <w:pStyle w:val="Default"/>
        <w:jc w:val="both"/>
        <w:rPr>
          <w:color w:val="auto"/>
        </w:rPr>
      </w:pPr>
    </w:p>
    <w:p w14:paraId="7236AEA3" w14:textId="36D6A272" w:rsidR="009011CB" w:rsidRDefault="009011CB" w:rsidP="00E321E3">
      <w:pPr>
        <w:pStyle w:val="Default"/>
        <w:jc w:val="both"/>
        <w:rPr>
          <w:color w:val="auto"/>
        </w:rPr>
      </w:pPr>
    </w:p>
    <w:p w14:paraId="6322B35F" w14:textId="45483A0C" w:rsidR="009011CB" w:rsidRDefault="009011CB" w:rsidP="00E321E3">
      <w:pPr>
        <w:pStyle w:val="Default"/>
        <w:jc w:val="both"/>
        <w:rPr>
          <w:color w:val="auto"/>
        </w:rPr>
      </w:pPr>
    </w:p>
    <w:p w14:paraId="7EE7C5D5" w14:textId="1C9D76AA" w:rsidR="009011CB" w:rsidRDefault="009011CB" w:rsidP="00E321E3">
      <w:pPr>
        <w:pStyle w:val="Default"/>
        <w:jc w:val="both"/>
        <w:rPr>
          <w:color w:val="auto"/>
        </w:rPr>
      </w:pPr>
    </w:p>
    <w:p w14:paraId="5FDE1C04" w14:textId="66E5B17F" w:rsidR="009011CB" w:rsidRDefault="009011CB" w:rsidP="00E321E3">
      <w:pPr>
        <w:pStyle w:val="Default"/>
        <w:jc w:val="both"/>
        <w:rPr>
          <w:color w:val="auto"/>
        </w:rPr>
      </w:pPr>
    </w:p>
    <w:p w14:paraId="14D7527F" w14:textId="23848132" w:rsidR="009011CB" w:rsidRDefault="009011CB" w:rsidP="00E321E3">
      <w:pPr>
        <w:pStyle w:val="Default"/>
        <w:jc w:val="both"/>
        <w:rPr>
          <w:color w:val="auto"/>
        </w:rPr>
      </w:pPr>
    </w:p>
    <w:p w14:paraId="2D5D1157" w14:textId="666EF698" w:rsidR="009011CB" w:rsidRDefault="009011CB" w:rsidP="00E321E3">
      <w:pPr>
        <w:pStyle w:val="Default"/>
        <w:jc w:val="both"/>
        <w:rPr>
          <w:color w:val="auto"/>
        </w:rPr>
      </w:pPr>
    </w:p>
    <w:p w14:paraId="49F703B4" w14:textId="2455EC1B" w:rsidR="009011CB" w:rsidRDefault="009011CB" w:rsidP="00E321E3">
      <w:pPr>
        <w:pStyle w:val="Default"/>
        <w:jc w:val="both"/>
        <w:rPr>
          <w:color w:val="auto"/>
        </w:rPr>
      </w:pPr>
    </w:p>
    <w:p w14:paraId="0F4F87E0" w14:textId="791C5B76" w:rsidR="009011CB" w:rsidRDefault="009011CB" w:rsidP="00E321E3">
      <w:pPr>
        <w:pStyle w:val="Default"/>
        <w:jc w:val="both"/>
        <w:rPr>
          <w:color w:val="auto"/>
        </w:rPr>
      </w:pPr>
    </w:p>
    <w:p w14:paraId="4FEDBBD2" w14:textId="6E4B4E2A" w:rsidR="009011CB" w:rsidRDefault="009011CB" w:rsidP="00E321E3">
      <w:pPr>
        <w:pStyle w:val="Default"/>
        <w:jc w:val="both"/>
        <w:rPr>
          <w:color w:val="auto"/>
        </w:rPr>
      </w:pPr>
    </w:p>
    <w:p w14:paraId="5A028A28" w14:textId="2E7B05C3" w:rsidR="009011CB" w:rsidRDefault="009011CB" w:rsidP="00E321E3">
      <w:pPr>
        <w:pStyle w:val="Default"/>
        <w:jc w:val="both"/>
        <w:rPr>
          <w:color w:val="auto"/>
        </w:rPr>
      </w:pPr>
    </w:p>
    <w:p w14:paraId="4098CC87" w14:textId="40EB23D8" w:rsidR="009011CB" w:rsidRDefault="009011CB" w:rsidP="00E321E3">
      <w:pPr>
        <w:pStyle w:val="Default"/>
        <w:jc w:val="both"/>
        <w:rPr>
          <w:color w:val="auto"/>
        </w:rPr>
      </w:pPr>
    </w:p>
    <w:p w14:paraId="17CAF647" w14:textId="6056CF58" w:rsidR="009011CB" w:rsidRDefault="009011CB" w:rsidP="00E321E3">
      <w:pPr>
        <w:pStyle w:val="Default"/>
        <w:jc w:val="both"/>
        <w:rPr>
          <w:color w:val="auto"/>
        </w:rPr>
      </w:pPr>
    </w:p>
    <w:p w14:paraId="7D5D3CBB" w14:textId="7CEFC2FF" w:rsidR="009011CB" w:rsidRDefault="009011CB" w:rsidP="00E321E3">
      <w:pPr>
        <w:pStyle w:val="Default"/>
        <w:jc w:val="both"/>
        <w:rPr>
          <w:color w:val="auto"/>
        </w:rPr>
      </w:pPr>
    </w:p>
    <w:p w14:paraId="1518B497" w14:textId="6FD4B362" w:rsidR="009011CB" w:rsidRDefault="009011CB" w:rsidP="00E321E3">
      <w:pPr>
        <w:pStyle w:val="Default"/>
        <w:jc w:val="both"/>
        <w:rPr>
          <w:color w:val="auto"/>
        </w:rPr>
      </w:pPr>
    </w:p>
    <w:p w14:paraId="4DF2AF16" w14:textId="7233BBD3" w:rsidR="009011CB" w:rsidRDefault="009011CB" w:rsidP="00E321E3">
      <w:pPr>
        <w:pStyle w:val="Default"/>
        <w:jc w:val="both"/>
        <w:rPr>
          <w:color w:val="auto"/>
        </w:rPr>
      </w:pPr>
    </w:p>
    <w:p w14:paraId="45B98FE1" w14:textId="0C230470" w:rsidR="009011CB" w:rsidRDefault="009011CB" w:rsidP="00E321E3">
      <w:pPr>
        <w:pStyle w:val="Default"/>
        <w:jc w:val="both"/>
        <w:rPr>
          <w:color w:val="auto"/>
        </w:rPr>
      </w:pPr>
    </w:p>
    <w:p w14:paraId="366DF3B0" w14:textId="77777777" w:rsidR="00610222" w:rsidRDefault="00610222" w:rsidP="00E321E3">
      <w:pPr>
        <w:pStyle w:val="Default"/>
        <w:jc w:val="both"/>
        <w:rPr>
          <w:color w:val="auto"/>
        </w:rPr>
      </w:pPr>
    </w:p>
    <w:p w14:paraId="5117879D" w14:textId="0EBA6249" w:rsidR="009011CB" w:rsidRDefault="009011CB" w:rsidP="00E321E3">
      <w:pPr>
        <w:pStyle w:val="Default"/>
        <w:jc w:val="both"/>
        <w:rPr>
          <w:color w:val="auto"/>
        </w:rPr>
      </w:pPr>
    </w:p>
    <w:p w14:paraId="1F59529A" w14:textId="18A66B93" w:rsidR="009011CB" w:rsidRDefault="009011CB" w:rsidP="00E321E3">
      <w:pPr>
        <w:pStyle w:val="Default"/>
        <w:jc w:val="both"/>
        <w:rPr>
          <w:color w:val="auto"/>
        </w:rPr>
      </w:pPr>
    </w:p>
    <w:p w14:paraId="43799B4D" w14:textId="77777777" w:rsidR="007C2EB5" w:rsidRDefault="007C2EB5" w:rsidP="00E321E3">
      <w:pPr>
        <w:pStyle w:val="Default"/>
        <w:jc w:val="both"/>
        <w:rPr>
          <w:color w:val="auto"/>
        </w:rPr>
      </w:pPr>
    </w:p>
    <w:p w14:paraId="22AD21DC" w14:textId="66F8B462" w:rsidR="009011CB" w:rsidRDefault="009011CB" w:rsidP="00E321E3">
      <w:pPr>
        <w:pStyle w:val="Default"/>
        <w:jc w:val="both"/>
        <w:rPr>
          <w:color w:val="auto"/>
        </w:rPr>
      </w:pPr>
    </w:p>
    <w:p w14:paraId="6E2D0E08" w14:textId="77777777" w:rsidR="009011CB" w:rsidRDefault="009011CB" w:rsidP="00E321E3">
      <w:pPr>
        <w:pStyle w:val="Default"/>
        <w:jc w:val="both"/>
        <w:rPr>
          <w:color w:val="auto"/>
        </w:rPr>
      </w:pPr>
    </w:p>
    <w:p w14:paraId="07903D06" w14:textId="4381D157" w:rsidR="009011CB" w:rsidRDefault="009011CB" w:rsidP="00E321E3">
      <w:pPr>
        <w:pStyle w:val="Default"/>
        <w:jc w:val="both"/>
        <w:rPr>
          <w:color w:val="auto"/>
        </w:rPr>
      </w:pPr>
    </w:p>
    <w:p w14:paraId="6648DF5A" w14:textId="77777777" w:rsidR="009011CB" w:rsidRDefault="009011CB" w:rsidP="00E321E3">
      <w:pPr>
        <w:pStyle w:val="Default"/>
        <w:jc w:val="both"/>
        <w:rPr>
          <w:color w:val="auto"/>
        </w:rPr>
      </w:pPr>
    </w:p>
    <w:p w14:paraId="147F93D2" w14:textId="028958CD" w:rsidR="00BF5FCB" w:rsidRPr="002570E4" w:rsidRDefault="006A606B" w:rsidP="00BF5FCB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egrita" w:hAnsi="Arial Negrita" w:cs="Arial"/>
          <w:b/>
          <w:bCs/>
          <w:sz w:val="24"/>
          <w:szCs w:val="24"/>
        </w:rPr>
      </w:pPr>
      <w:r w:rsidRPr="002570E4">
        <w:rPr>
          <w:rFonts w:ascii="Arial Negrita" w:hAnsi="Arial Negrita" w:cs="Arial"/>
          <w:b/>
          <w:bCs/>
          <w:sz w:val="24"/>
          <w:szCs w:val="24"/>
        </w:rPr>
        <w:lastRenderedPageBreak/>
        <w:t>Publicaci</w:t>
      </w:r>
      <w:r w:rsidRPr="002570E4">
        <w:rPr>
          <w:rFonts w:ascii="Arial Negrita" w:hAnsi="Arial Negrita" w:cs="Arial" w:hint="eastAsia"/>
          <w:b/>
          <w:bCs/>
          <w:sz w:val="24"/>
          <w:szCs w:val="24"/>
        </w:rPr>
        <w:t>ó</w:t>
      </w:r>
      <w:r w:rsidRPr="002570E4">
        <w:rPr>
          <w:rFonts w:ascii="Arial Negrita" w:hAnsi="Arial Negrita" w:cs="Arial"/>
          <w:b/>
          <w:bCs/>
          <w:sz w:val="24"/>
          <w:szCs w:val="24"/>
        </w:rPr>
        <w:t>n de sentencias</w:t>
      </w:r>
    </w:p>
    <w:p w14:paraId="5DDC8A3D" w14:textId="77777777" w:rsidR="009C0E52" w:rsidRDefault="009C0E52" w:rsidP="00E321E3">
      <w:pPr>
        <w:pStyle w:val="Default"/>
        <w:jc w:val="both"/>
        <w:rPr>
          <w:color w:val="auto"/>
        </w:rPr>
      </w:pPr>
    </w:p>
    <w:p w14:paraId="3CD7AB8E" w14:textId="1441E247" w:rsidR="008D014B" w:rsidRDefault="00D14E4B" w:rsidP="008D014B">
      <w:pPr>
        <w:pStyle w:val="Default"/>
        <w:jc w:val="both"/>
        <w:rPr>
          <w:color w:val="auto"/>
        </w:rPr>
      </w:pPr>
      <w:bookmarkStart w:id="2" w:name="_Hlk117353071"/>
      <w:r>
        <w:rPr>
          <w:color w:val="auto"/>
        </w:rPr>
        <w:t>En</w:t>
      </w:r>
      <w:r w:rsidRPr="00D14E4B">
        <w:rPr>
          <w:color w:val="auto"/>
        </w:rPr>
        <w:t xml:space="preserve"> 2021, los poderes judiciales estatales publicaron en sus </w:t>
      </w:r>
      <w:r w:rsidR="00240B46">
        <w:rPr>
          <w:color w:val="auto"/>
        </w:rPr>
        <w:t>sitios web</w:t>
      </w:r>
      <w:r w:rsidR="00240B46" w:rsidRPr="00D14E4B">
        <w:rPr>
          <w:color w:val="auto"/>
        </w:rPr>
        <w:t xml:space="preserve"> </w:t>
      </w:r>
      <w:r w:rsidRPr="00D14E4B">
        <w:rPr>
          <w:color w:val="auto"/>
        </w:rPr>
        <w:t>451 939 sentencias emitidas por los órganos jurisdiccionales. En contraste con 2020</w:t>
      </w:r>
      <w:r w:rsidR="008D014B">
        <w:rPr>
          <w:color w:val="auto"/>
        </w:rPr>
        <w:t>,</w:t>
      </w:r>
      <w:r w:rsidR="00036F52">
        <w:rPr>
          <w:rStyle w:val="Refdenotaalpie"/>
          <w:color w:val="auto"/>
        </w:rPr>
        <w:footnoteReference w:id="7"/>
      </w:r>
      <w:r w:rsidRPr="00D14E4B">
        <w:rPr>
          <w:color w:val="auto"/>
        </w:rPr>
        <w:t xml:space="preserve"> la cantidad total de sentencias publicadas en </w:t>
      </w:r>
      <w:r w:rsidR="008D014B">
        <w:rPr>
          <w:color w:val="auto"/>
        </w:rPr>
        <w:t xml:space="preserve">las páginas de internet </w:t>
      </w:r>
      <w:r w:rsidRPr="00D14E4B">
        <w:rPr>
          <w:color w:val="auto"/>
        </w:rPr>
        <w:t xml:space="preserve">aumentó 228.9 </w:t>
      </w:r>
      <w:r w:rsidR="001E3C93">
        <w:rPr>
          <w:color w:val="auto"/>
        </w:rPr>
        <w:t>por ciento</w:t>
      </w:r>
      <w:r w:rsidRPr="00D14E4B">
        <w:rPr>
          <w:color w:val="auto"/>
        </w:rPr>
        <w:t xml:space="preserve">. </w:t>
      </w:r>
      <w:r w:rsidR="00CB7477">
        <w:rPr>
          <w:color w:val="auto"/>
        </w:rPr>
        <w:t xml:space="preserve">A la primera instancia correspondieron </w:t>
      </w:r>
      <w:r w:rsidR="008D014B" w:rsidRPr="00426E72">
        <w:rPr>
          <w:color w:val="auto"/>
        </w:rPr>
        <w:t>361 392 sentencias</w:t>
      </w:r>
      <w:r w:rsidR="00CB7477">
        <w:rPr>
          <w:color w:val="auto"/>
        </w:rPr>
        <w:t xml:space="preserve">; </w:t>
      </w:r>
      <w:r w:rsidR="008D014B" w:rsidRPr="00426E72">
        <w:rPr>
          <w:color w:val="auto"/>
        </w:rPr>
        <w:t>101 508</w:t>
      </w:r>
      <w:r w:rsidR="008D014B">
        <w:rPr>
          <w:color w:val="auto"/>
        </w:rPr>
        <w:t>,</w:t>
      </w:r>
      <w:r w:rsidR="008D014B" w:rsidRPr="00426E72">
        <w:rPr>
          <w:color w:val="auto"/>
        </w:rPr>
        <w:t xml:space="preserve"> a </w:t>
      </w:r>
      <w:r w:rsidR="00CB7477">
        <w:rPr>
          <w:color w:val="auto"/>
        </w:rPr>
        <w:t xml:space="preserve">la </w:t>
      </w:r>
      <w:r w:rsidR="008D014B" w:rsidRPr="00426E72">
        <w:rPr>
          <w:color w:val="auto"/>
        </w:rPr>
        <w:t>segunda instancia y 2 933</w:t>
      </w:r>
      <w:r w:rsidR="008D014B">
        <w:rPr>
          <w:color w:val="auto"/>
        </w:rPr>
        <w:t>,</w:t>
      </w:r>
      <w:r w:rsidR="008D014B" w:rsidRPr="00426E72">
        <w:rPr>
          <w:color w:val="auto"/>
        </w:rPr>
        <w:t xml:space="preserve"> a ejecución de sentencia.</w:t>
      </w:r>
      <w:r w:rsidR="008D014B">
        <w:rPr>
          <w:rStyle w:val="Refdenotaalpie"/>
          <w:color w:val="auto"/>
        </w:rPr>
        <w:footnoteReference w:id="8"/>
      </w:r>
    </w:p>
    <w:bookmarkEnd w:id="2"/>
    <w:p w14:paraId="5633F75E" w14:textId="77777777" w:rsidR="00162318" w:rsidRDefault="00162318" w:rsidP="00E321E3">
      <w:pPr>
        <w:pStyle w:val="Default"/>
        <w:jc w:val="both"/>
        <w:rPr>
          <w:color w:val="auto"/>
        </w:rPr>
      </w:pPr>
    </w:p>
    <w:p w14:paraId="60114FDD" w14:textId="3BAD08F9" w:rsidR="007203C6" w:rsidRPr="00963A3F" w:rsidRDefault="007203C6" w:rsidP="007203C6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  <w:r>
        <w:rPr>
          <w:bCs/>
          <w:iCs/>
          <w:color w:val="000000" w:themeColor="text1"/>
          <w:sz w:val="20"/>
          <w:szCs w:val="20"/>
        </w:rPr>
        <w:t>Tabla 1</w:t>
      </w:r>
    </w:p>
    <w:p w14:paraId="1331BFCF" w14:textId="245A5C08" w:rsidR="007203C6" w:rsidRDefault="0078145C" w:rsidP="007203C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78145C">
        <w:rPr>
          <w:rFonts w:ascii="Arial" w:hAnsi="Arial" w:cs="Arial"/>
          <w:b/>
          <w:bCs/>
          <w:iCs/>
          <w:smallCaps/>
          <w:color w:val="000000" w:themeColor="text1"/>
        </w:rPr>
        <w:t xml:space="preserve">Sentencias emitidas publicadas por los poderes judiciales estatales en sus </w:t>
      </w:r>
      <w:r w:rsidR="00240B46">
        <w:rPr>
          <w:rFonts w:ascii="Arial" w:hAnsi="Arial" w:cs="Arial"/>
          <w:b/>
          <w:bCs/>
          <w:iCs/>
          <w:smallCaps/>
          <w:color w:val="000000" w:themeColor="text1"/>
        </w:rPr>
        <w:t>sitios web</w:t>
      </w:r>
      <w:r w:rsidRPr="0078145C">
        <w:rPr>
          <w:rFonts w:ascii="Arial" w:hAnsi="Arial" w:cs="Arial"/>
          <w:b/>
          <w:bCs/>
          <w:iCs/>
          <w:smallCaps/>
          <w:color w:val="000000" w:themeColor="text1"/>
        </w:rPr>
        <w:t>, por entidad federativa e instancia, 2021</w:t>
      </w:r>
    </w:p>
    <w:p w14:paraId="41919609" w14:textId="77777777" w:rsidR="009C0E52" w:rsidRDefault="009C0E52" w:rsidP="00E321E3">
      <w:pPr>
        <w:pStyle w:val="Default"/>
        <w:jc w:val="both"/>
        <w:rPr>
          <w:color w:val="auto"/>
        </w:rPr>
      </w:pPr>
    </w:p>
    <w:tbl>
      <w:tblPr>
        <w:tblW w:w="5443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34"/>
        <w:gridCol w:w="1134"/>
        <w:gridCol w:w="1531"/>
        <w:gridCol w:w="1644"/>
      </w:tblGrid>
      <w:tr w:rsidR="00022982" w:rsidRPr="009B5999" w14:paraId="7BF58A07" w14:textId="77777777" w:rsidTr="00327DBD">
        <w:trPr>
          <w:trHeight w:val="227"/>
          <w:jc w:val="center"/>
        </w:trPr>
        <w:tc>
          <w:tcPr>
            <w:tcW w:w="1134" w:type="dxa"/>
            <w:shd w:val="clear" w:color="auto" w:fill="67705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7C460" w14:textId="77777777" w:rsidR="009B5999" w:rsidRPr="009B5999" w:rsidRDefault="009B5999" w:rsidP="009B5999">
            <w:pPr>
              <w:pStyle w:val="Default"/>
              <w:jc w:val="center"/>
              <w:rPr>
                <w:color w:val="FFFFFF" w:themeColor="background1"/>
                <w:sz w:val="18"/>
                <w:szCs w:val="18"/>
              </w:rPr>
            </w:pPr>
            <w:r w:rsidRPr="009B5999">
              <w:rPr>
                <w:color w:val="FFFFFF" w:themeColor="background1"/>
                <w:sz w:val="18"/>
                <w:szCs w:val="18"/>
              </w:rPr>
              <w:t>Entidad</w:t>
            </w:r>
          </w:p>
        </w:tc>
        <w:tc>
          <w:tcPr>
            <w:tcW w:w="1134" w:type="dxa"/>
            <w:shd w:val="clear" w:color="auto" w:fill="67705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577AF" w14:textId="77777777" w:rsidR="009B5999" w:rsidRPr="009B5999" w:rsidRDefault="009B5999" w:rsidP="009B5999">
            <w:pPr>
              <w:pStyle w:val="Default"/>
              <w:jc w:val="center"/>
              <w:rPr>
                <w:color w:val="FFFFFF" w:themeColor="background1"/>
                <w:sz w:val="18"/>
                <w:szCs w:val="18"/>
              </w:rPr>
            </w:pPr>
            <w:r w:rsidRPr="009B5999">
              <w:rPr>
                <w:color w:val="FFFFFF" w:themeColor="background1"/>
                <w:sz w:val="18"/>
                <w:szCs w:val="18"/>
              </w:rPr>
              <w:t>Total</w:t>
            </w:r>
          </w:p>
        </w:tc>
        <w:tc>
          <w:tcPr>
            <w:tcW w:w="1531" w:type="dxa"/>
            <w:shd w:val="clear" w:color="auto" w:fill="67705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D4220" w14:textId="12D655DE" w:rsidR="009B5999" w:rsidRPr="009B5999" w:rsidRDefault="009B5999" w:rsidP="009B5999">
            <w:pPr>
              <w:pStyle w:val="Default"/>
              <w:jc w:val="center"/>
              <w:rPr>
                <w:color w:val="FFFFFF" w:themeColor="background1"/>
                <w:sz w:val="18"/>
                <w:szCs w:val="18"/>
              </w:rPr>
            </w:pPr>
            <w:r w:rsidRPr="009B5999">
              <w:rPr>
                <w:color w:val="FFFFFF" w:themeColor="background1"/>
                <w:sz w:val="18"/>
                <w:szCs w:val="18"/>
              </w:rPr>
              <w:t>Primera</w:t>
            </w:r>
            <w:r w:rsidR="00A43B54" w:rsidRPr="00327DBD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9B5999">
              <w:rPr>
                <w:color w:val="FFFFFF" w:themeColor="background1"/>
                <w:sz w:val="18"/>
                <w:szCs w:val="18"/>
              </w:rPr>
              <w:t>instancia</w:t>
            </w:r>
          </w:p>
        </w:tc>
        <w:tc>
          <w:tcPr>
            <w:tcW w:w="1644" w:type="dxa"/>
            <w:shd w:val="clear" w:color="auto" w:fill="67705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E9F64" w14:textId="3A9AA66C" w:rsidR="009B5999" w:rsidRPr="009B5999" w:rsidRDefault="009B5999" w:rsidP="009B5999">
            <w:pPr>
              <w:pStyle w:val="Default"/>
              <w:jc w:val="center"/>
              <w:rPr>
                <w:color w:val="FFFFFF" w:themeColor="background1"/>
                <w:sz w:val="18"/>
                <w:szCs w:val="18"/>
              </w:rPr>
            </w:pPr>
            <w:r w:rsidRPr="009B5999">
              <w:rPr>
                <w:color w:val="FFFFFF" w:themeColor="background1"/>
                <w:sz w:val="18"/>
                <w:szCs w:val="18"/>
              </w:rPr>
              <w:t>Segunda instancia</w:t>
            </w:r>
          </w:p>
        </w:tc>
      </w:tr>
      <w:tr w:rsidR="00022982" w:rsidRPr="009B5999" w14:paraId="61BF8AB6" w14:textId="77777777" w:rsidTr="00327DBD">
        <w:trPr>
          <w:trHeight w:val="20"/>
          <w:jc w:val="center"/>
        </w:trPr>
        <w:tc>
          <w:tcPr>
            <w:tcW w:w="1134" w:type="dxa"/>
            <w:shd w:val="clear" w:color="auto" w:fill="E7E6E6" w:themeFill="background2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5BD326B" w14:textId="77777777" w:rsidR="009B5999" w:rsidRPr="009B5999" w:rsidRDefault="009B5999" w:rsidP="009B5999">
            <w:pPr>
              <w:pStyle w:val="Default"/>
              <w:jc w:val="both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NACIONAL</w:t>
            </w:r>
          </w:p>
        </w:tc>
        <w:tc>
          <w:tcPr>
            <w:tcW w:w="1134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400B9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465 833</w:t>
            </w:r>
          </w:p>
        </w:tc>
        <w:tc>
          <w:tcPr>
            <w:tcW w:w="1531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C887B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361 392</w:t>
            </w:r>
          </w:p>
        </w:tc>
        <w:tc>
          <w:tcPr>
            <w:tcW w:w="1644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CB745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101 508</w:t>
            </w:r>
          </w:p>
        </w:tc>
      </w:tr>
      <w:tr w:rsidR="00022982" w:rsidRPr="009B5999" w14:paraId="14C6B33C" w14:textId="77777777" w:rsidTr="00022982">
        <w:trPr>
          <w:trHeight w:val="20"/>
          <w:jc w:val="center"/>
        </w:trPr>
        <w:tc>
          <w:tcPr>
            <w:tcW w:w="1134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C394E3F" w14:textId="77777777" w:rsidR="009B5999" w:rsidRPr="009B5999" w:rsidRDefault="009B5999" w:rsidP="009B5999">
            <w:pPr>
              <w:pStyle w:val="Default"/>
              <w:jc w:val="both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MEX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B9078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75 662</w:t>
            </w:r>
          </w:p>
        </w:tc>
        <w:tc>
          <w:tcPr>
            <w:tcW w:w="1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20D4E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64 579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54EA4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11 083</w:t>
            </w:r>
          </w:p>
        </w:tc>
      </w:tr>
      <w:tr w:rsidR="00022982" w:rsidRPr="009B5999" w14:paraId="7852FF45" w14:textId="77777777" w:rsidTr="00022982">
        <w:trPr>
          <w:trHeight w:val="20"/>
          <w:jc w:val="center"/>
        </w:trPr>
        <w:tc>
          <w:tcPr>
            <w:tcW w:w="1134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5D6CD7B" w14:textId="77777777" w:rsidR="009B5999" w:rsidRPr="009B5999" w:rsidRDefault="009B5999" w:rsidP="009B5999">
            <w:pPr>
              <w:pStyle w:val="Default"/>
              <w:jc w:val="both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CDMX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5A281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68 591</w:t>
            </w:r>
          </w:p>
        </w:tc>
        <w:tc>
          <w:tcPr>
            <w:tcW w:w="1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7F8E4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51 533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42E5A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14 589</w:t>
            </w:r>
          </w:p>
        </w:tc>
      </w:tr>
      <w:tr w:rsidR="00022982" w:rsidRPr="009B5999" w14:paraId="0229399B" w14:textId="77777777" w:rsidTr="00022982">
        <w:trPr>
          <w:trHeight w:val="20"/>
          <w:jc w:val="center"/>
        </w:trPr>
        <w:tc>
          <w:tcPr>
            <w:tcW w:w="1134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317EC56" w14:textId="77777777" w:rsidR="009B5999" w:rsidRPr="009B5999" w:rsidRDefault="009B5999" w:rsidP="009B5999">
            <w:pPr>
              <w:pStyle w:val="Default"/>
              <w:jc w:val="both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GTO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252DE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59 463</w:t>
            </w:r>
          </w:p>
        </w:tc>
        <w:tc>
          <w:tcPr>
            <w:tcW w:w="1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1EE43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29 551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E2B20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29 912</w:t>
            </w:r>
          </w:p>
        </w:tc>
      </w:tr>
      <w:tr w:rsidR="00022982" w:rsidRPr="009B5999" w14:paraId="215FA152" w14:textId="77777777" w:rsidTr="00022982">
        <w:trPr>
          <w:trHeight w:val="20"/>
          <w:jc w:val="center"/>
        </w:trPr>
        <w:tc>
          <w:tcPr>
            <w:tcW w:w="1134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2938DA9" w14:textId="77777777" w:rsidR="009B5999" w:rsidRPr="009B5999" w:rsidRDefault="009B5999" w:rsidP="009B5999">
            <w:pPr>
              <w:pStyle w:val="Default"/>
              <w:jc w:val="both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MICH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E2F29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43 380</w:t>
            </w:r>
          </w:p>
        </w:tc>
        <w:tc>
          <w:tcPr>
            <w:tcW w:w="1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43386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37 358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962CA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5 797</w:t>
            </w:r>
          </w:p>
        </w:tc>
      </w:tr>
      <w:tr w:rsidR="00022982" w:rsidRPr="009B5999" w14:paraId="11DDBF8E" w14:textId="77777777" w:rsidTr="00022982">
        <w:trPr>
          <w:trHeight w:val="20"/>
          <w:jc w:val="center"/>
        </w:trPr>
        <w:tc>
          <w:tcPr>
            <w:tcW w:w="1134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CBC9AA2" w14:textId="77777777" w:rsidR="009B5999" w:rsidRPr="009B5999" w:rsidRDefault="009B5999" w:rsidP="009B5999">
            <w:pPr>
              <w:pStyle w:val="Default"/>
              <w:jc w:val="both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NL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51C82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30 247</w:t>
            </w:r>
          </w:p>
        </w:tc>
        <w:tc>
          <w:tcPr>
            <w:tcW w:w="1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3712D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29 197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9D644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1 050</w:t>
            </w:r>
          </w:p>
        </w:tc>
      </w:tr>
      <w:tr w:rsidR="00022982" w:rsidRPr="009B5999" w14:paraId="73F1CD36" w14:textId="77777777" w:rsidTr="00022982">
        <w:trPr>
          <w:trHeight w:val="20"/>
          <w:jc w:val="center"/>
        </w:trPr>
        <w:tc>
          <w:tcPr>
            <w:tcW w:w="1134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30A5DB1" w14:textId="77777777" w:rsidR="009B5999" w:rsidRPr="009B5999" w:rsidRDefault="009B5999" w:rsidP="009B5999">
            <w:pPr>
              <w:pStyle w:val="Default"/>
              <w:jc w:val="both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CHIH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8FE22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24 795</w:t>
            </w:r>
          </w:p>
        </w:tc>
        <w:tc>
          <w:tcPr>
            <w:tcW w:w="1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A25FC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19 397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017E7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5 398</w:t>
            </w:r>
          </w:p>
        </w:tc>
      </w:tr>
      <w:tr w:rsidR="00022982" w:rsidRPr="009B5999" w14:paraId="5F4F3387" w14:textId="77777777" w:rsidTr="00022982">
        <w:trPr>
          <w:trHeight w:val="20"/>
          <w:jc w:val="center"/>
        </w:trPr>
        <w:tc>
          <w:tcPr>
            <w:tcW w:w="1134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E5A77B9" w14:textId="77777777" w:rsidR="009B5999" w:rsidRPr="009B5999" w:rsidRDefault="009B5999" w:rsidP="009B5999">
            <w:pPr>
              <w:pStyle w:val="Default"/>
              <w:jc w:val="both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COAH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FA54A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22 961</w:t>
            </w:r>
          </w:p>
        </w:tc>
        <w:tc>
          <w:tcPr>
            <w:tcW w:w="1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4BA62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21 222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F2BC7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1 739</w:t>
            </w:r>
          </w:p>
        </w:tc>
      </w:tr>
      <w:tr w:rsidR="00022982" w:rsidRPr="009B5999" w14:paraId="4EC5FBBC" w14:textId="77777777" w:rsidTr="00022982">
        <w:trPr>
          <w:trHeight w:val="20"/>
          <w:jc w:val="center"/>
        </w:trPr>
        <w:tc>
          <w:tcPr>
            <w:tcW w:w="1134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C78B1C2" w14:textId="77777777" w:rsidR="009B5999" w:rsidRPr="009B5999" w:rsidRDefault="009B5999" w:rsidP="009B5999">
            <w:pPr>
              <w:pStyle w:val="Default"/>
              <w:jc w:val="both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DGO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85903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15 363</w:t>
            </w:r>
          </w:p>
        </w:tc>
        <w:tc>
          <w:tcPr>
            <w:tcW w:w="1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B938C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8 524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811F6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6 839</w:t>
            </w:r>
          </w:p>
        </w:tc>
      </w:tr>
      <w:tr w:rsidR="00022982" w:rsidRPr="009B5999" w14:paraId="7C9B36B1" w14:textId="77777777" w:rsidTr="00022982">
        <w:trPr>
          <w:trHeight w:val="20"/>
          <w:jc w:val="center"/>
        </w:trPr>
        <w:tc>
          <w:tcPr>
            <w:tcW w:w="1134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C572E52" w14:textId="77777777" w:rsidR="009B5999" w:rsidRPr="009B5999" w:rsidRDefault="009B5999" w:rsidP="009B5999">
            <w:pPr>
              <w:pStyle w:val="Default"/>
              <w:jc w:val="both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TAMPS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8BD27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13 225</w:t>
            </w:r>
          </w:p>
        </w:tc>
        <w:tc>
          <w:tcPr>
            <w:tcW w:w="1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D784E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11 099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D1AD5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2 126</w:t>
            </w:r>
          </w:p>
        </w:tc>
      </w:tr>
      <w:tr w:rsidR="00022982" w:rsidRPr="009B5999" w14:paraId="7E2BAFB4" w14:textId="77777777" w:rsidTr="00022982">
        <w:trPr>
          <w:trHeight w:val="20"/>
          <w:jc w:val="center"/>
        </w:trPr>
        <w:tc>
          <w:tcPr>
            <w:tcW w:w="1134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98E11EB" w14:textId="77777777" w:rsidR="009B5999" w:rsidRPr="009B5999" w:rsidRDefault="009B5999" w:rsidP="009B5999">
            <w:pPr>
              <w:pStyle w:val="Default"/>
              <w:jc w:val="both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HGO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25AB0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12 533</w:t>
            </w:r>
          </w:p>
        </w:tc>
        <w:tc>
          <w:tcPr>
            <w:tcW w:w="1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DBE26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11 768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471B9" w14:textId="5531C1FA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765</w:t>
            </w:r>
          </w:p>
        </w:tc>
      </w:tr>
      <w:tr w:rsidR="00022982" w:rsidRPr="009B5999" w14:paraId="167F49A8" w14:textId="77777777" w:rsidTr="00022982">
        <w:trPr>
          <w:trHeight w:val="20"/>
          <w:jc w:val="center"/>
        </w:trPr>
        <w:tc>
          <w:tcPr>
            <w:tcW w:w="1134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D008300" w14:textId="77777777" w:rsidR="009B5999" w:rsidRPr="009B5999" w:rsidRDefault="009B5999" w:rsidP="009B5999">
            <w:pPr>
              <w:pStyle w:val="Default"/>
              <w:jc w:val="both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PUE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E8585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11 868</w:t>
            </w:r>
          </w:p>
        </w:tc>
        <w:tc>
          <w:tcPr>
            <w:tcW w:w="1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51629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11 095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FEA61" w14:textId="70EB723A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773</w:t>
            </w:r>
          </w:p>
        </w:tc>
      </w:tr>
      <w:tr w:rsidR="00022982" w:rsidRPr="009B5999" w14:paraId="04EB90C4" w14:textId="77777777" w:rsidTr="00022982">
        <w:trPr>
          <w:trHeight w:val="20"/>
          <w:jc w:val="center"/>
        </w:trPr>
        <w:tc>
          <w:tcPr>
            <w:tcW w:w="1134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C397146" w14:textId="77777777" w:rsidR="009B5999" w:rsidRPr="009B5999" w:rsidRDefault="009B5999" w:rsidP="009B5999">
            <w:pPr>
              <w:pStyle w:val="Default"/>
              <w:jc w:val="both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AGS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B4998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11 147</w:t>
            </w:r>
          </w:p>
        </w:tc>
        <w:tc>
          <w:tcPr>
            <w:tcW w:w="1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32AC7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10 260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CF6F9" w14:textId="138A162E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887</w:t>
            </w:r>
          </w:p>
        </w:tc>
      </w:tr>
      <w:tr w:rsidR="00022982" w:rsidRPr="009B5999" w14:paraId="484F5BAA" w14:textId="77777777" w:rsidTr="00022982">
        <w:trPr>
          <w:trHeight w:val="20"/>
          <w:jc w:val="center"/>
        </w:trPr>
        <w:tc>
          <w:tcPr>
            <w:tcW w:w="1134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C1D6EAA" w14:textId="77777777" w:rsidR="009B5999" w:rsidRPr="009B5999" w:rsidRDefault="009B5999" w:rsidP="009B5999">
            <w:pPr>
              <w:pStyle w:val="Default"/>
              <w:jc w:val="both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QRO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B6A30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10 722</w:t>
            </w:r>
          </w:p>
        </w:tc>
        <w:tc>
          <w:tcPr>
            <w:tcW w:w="1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5ABFF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9 165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43985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1 557</w:t>
            </w:r>
          </w:p>
        </w:tc>
      </w:tr>
      <w:tr w:rsidR="00022982" w:rsidRPr="009B5999" w14:paraId="7D7D5FDA" w14:textId="77777777" w:rsidTr="00022982">
        <w:trPr>
          <w:trHeight w:val="20"/>
          <w:jc w:val="center"/>
        </w:trPr>
        <w:tc>
          <w:tcPr>
            <w:tcW w:w="1134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77C5303" w14:textId="77777777" w:rsidR="009B5999" w:rsidRPr="009B5999" w:rsidRDefault="009B5999" w:rsidP="009B5999">
            <w:pPr>
              <w:pStyle w:val="Default"/>
              <w:jc w:val="both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MOR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97427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10 699</w:t>
            </w:r>
          </w:p>
        </w:tc>
        <w:tc>
          <w:tcPr>
            <w:tcW w:w="1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9E2BF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9 143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C866B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1 556</w:t>
            </w:r>
          </w:p>
        </w:tc>
      </w:tr>
      <w:tr w:rsidR="00022982" w:rsidRPr="009B5999" w14:paraId="74BACEE6" w14:textId="77777777" w:rsidTr="00022982">
        <w:trPr>
          <w:trHeight w:val="20"/>
          <w:jc w:val="center"/>
        </w:trPr>
        <w:tc>
          <w:tcPr>
            <w:tcW w:w="1134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DD33C1C" w14:textId="77777777" w:rsidR="009B5999" w:rsidRPr="009B5999" w:rsidRDefault="009B5999" w:rsidP="009B5999">
            <w:pPr>
              <w:pStyle w:val="Default"/>
              <w:jc w:val="both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SON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5D936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9 227</w:t>
            </w:r>
          </w:p>
        </w:tc>
        <w:tc>
          <w:tcPr>
            <w:tcW w:w="1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ABAB1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8 692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8FC7C" w14:textId="3381A6F9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535</w:t>
            </w:r>
          </w:p>
        </w:tc>
      </w:tr>
      <w:tr w:rsidR="00022982" w:rsidRPr="009B5999" w14:paraId="68CFD347" w14:textId="77777777" w:rsidTr="00022982">
        <w:trPr>
          <w:trHeight w:val="20"/>
          <w:jc w:val="center"/>
        </w:trPr>
        <w:tc>
          <w:tcPr>
            <w:tcW w:w="1134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DA0540D" w14:textId="77777777" w:rsidR="009B5999" w:rsidRPr="009B5999" w:rsidRDefault="009B5999" w:rsidP="009B5999">
            <w:pPr>
              <w:pStyle w:val="Default"/>
              <w:jc w:val="both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YUC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5525C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8 445</w:t>
            </w:r>
          </w:p>
        </w:tc>
        <w:tc>
          <w:tcPr>
            <w:tcW w:w="1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572E2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6 962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50B4F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1 483</w:t>
            </w:r>
          </w:p>
        </w:tc>
      </w:tr>
      <w:tr w:rsidR="00022982" w:rsidRPr="009B5999" w14:paraId="2AE17A23" w14:textId="77777777" w:rsidTr="00022982">
        <w:trPr>
          <w:trHeight w:val="20"/>
          <w:jc w:val="center"/>
        </w:trPr>
        <w:tc>
          <w:tcPr>
            <w:tcW w:w="1134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7E9351F" w14:textId="77777777" w:rsidR="009B5999" w:rsidRPr="009B5999" w:rsidRDefault="009B5999" w:rsidP="009B5999">
            <w:pPr>
              <w:pStyle w:val="Default"/>
              <w:jc w:val="both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JAL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79013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6 986</w:t>
            </w:r>
          </w:p>
        </w:tc>
        <w:tc>
          <w:tcPr>
            <w:tcW w:w="1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EEA03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NA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46F60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6 986</w:t>
            </w:r>
          </w:p>
        </w:tc>
      </w:tr>
      <w:tr w:rsidR="00022982" w:rsidRPr="009B5999" w14:paraId="680F205E" w14:textId="77777777" w:rsidTr="00022982">
        <w:trPr>
          <w:trHeight w:val="20"/>
          <w:jc w:val="center"/>
        </w:trPr>
        <w:tc>
          <w:tcPr>
            <w:tcW w:w="1134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7175666" w14:textId="77777777" w:rsidR="009B5999" w:rsidRPr="009B5999" w:rsidRDefault="009B5999" w:rsidP="009B5999">
            <w:pPr>
              <w:pStyle w:val="Default"/>
              <w:jc w:val="both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NAY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A5E0C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5 561</w:t>
            </w:r>
          </w:p>
        </w:tc>
        <w:tc>
          <w:tcPr>
            <w:tcW w:w="1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6C7C7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5 135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AF9D4" w14:textId="0FEF6425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426</w:t>
            </w:r>
          </w:p>
        </w:tc>
      </w:tr>
      <w:tr w:rsidR="00022982" w:rsidRPr="009B5999" w14:paraId="1A75D047" w14:textId="77777777" w:rsidTr="00022982">
        <w:trPr>
          <w:trHeight w:val="20"/>
          <w:jc w:val="center"/>
        </w:trPr>
        <w:tc>
          <w:tcPr>
            <w:tcW w:w="1134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75994A3" w14:textId="77777777" w:rsidR="009B5999" w:rsidRPr="009B5999" w:rsidRDefault="009B5999" w:rsidP="009B5999">
            <w:pPr>
              <w:pStyle w:val="Default"/>
              <w:jc w:val="both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QROO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7E691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4 964</w:t>
            </w:r>
          </w:p>
        </w:tc>
        <w:tc>
          <w:tcPr>
            <w:tcW w:w="1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508BD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3 164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D201C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1 800</w:t>
            </w:r>
          </w:p>
        </w:tc>
      </w:tr>
      <w:tr w:rsidR="00022982" w:rsidRPr="009B5999" w14:paraId="54FEE693" w14:textId="77777777" w:rsidTr="00022982">
        <w:trPr>
          <w:trHeight w:val="20"/>
          <w:jc w:val="center"/>
        </w:trPr>
        <w:tc>
          <w:tcPr>
            <w:tcW w:w="1134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4C4022B" w14:textId="77777777" w:rsidR="009B5999" w:rsidRPr="009B5999" w:rsidRDefault="009B5999" w:rsidP="009B5999">
            <w:pPr>
              <w:pStyle w:val="Default"/>
              <w:jc w:val="both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CHIS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4054F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4 874</w:t>
            </w:r>
          </w:p>
        </w:tc>
        <w:tc>
          <w:tcPr>
            <w:tcW w:w="1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C91CC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3 996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220BD" w14:textId="6DE19011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878</w:t>
            </w:r>
          </w:p>
        </w:tc>
      </w:tr>
      <w:tr w:rsidR="00022982" w:rsidRPr="009B5999" w14:paraId="15703AF3" w14:textId="77777777" w:rsidTr="00022982">
        <w:trPr>
          <w:trHeight w:val="20"/>
          <w:jc w:val="center"/>
        </w:trPr>
        <w:tc>
          <w:tcPr>
            <w:tcW w:w="1134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1E06F2A" w14:textId="77777777" w:rsidR="009B5999" w:rsidRPr="009B5999" w:rsidRDefault="009B5999" w:rsidP="009B5999">
            <w:pPr>
              <w:pStyle w:val="Default"/>
              <w:jc w:val="both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OAX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58F54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3 634</w:t>
            </w:r>
          </w:p>
        </w:tc>
        <w:tc>
          <w:tcPr>
            <w:tcW w:w="1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840AA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2 155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5879B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1 479</w:t>
            </w:r>
          </w:p>
        </w:tc>
      </w:tr>
      <w:tr w:rsidR="00022982" w:rsidRPr="009B5999" w14:paraId="4B0FA979" w14:textId="77777777" w:rsidTr="00022982">
        <w:trPr>
          <w:trHeight w:val="20"/>
          <w:jc w:val="center"/>
        </w:trPr>
        <w:tc>
          <w:tcPr>
            <w:tcW w:w="1134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D923680" w14:textId="77777777" w:rsidR="009B5999" w:rsidRPr="009B5999" w:rsidRDefault="009B5999" w:rsidP="009B5999">
            <w:pPr>
              <w:pStyle w:val="Default"/>
              <w:jc w:val="both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VER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18525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2 717</w:t>
            </w:r>
          </w:p>
        </w:tc>
        <w:tc>
          <w:tcPr>
            <w:tcW w:w="1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DC292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1 592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E249E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1 125</w:t>
            </w:r>
          </w:p>
        </w:tc>
      </w:tr>
      <w:tr w:rsidR="00022982" w:rsidRPr="009B5999" w14:paraId="0D2B20B4" w14:textId="77777777" w:rsidTr="00022982">
        <w:trPr>
          <w:trHeight w:val="20"/>
          <w:jc w:val="center"/>
        </w:trPr>
        <w:tc>
          <w:tcPr>
            <w:tcW w:w="1134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2E56C43" w14:textId="77777777" w:rsidR="009B5999" w:rsidRPr="009B5999" w:rsidRDefault="009B5999" w:rsidP="009B5999">
            <w:pPr>
              <w:pStyle w:val="Default"/>
              <w:jc w:val="both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SIN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70FFF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2 611</w:t>
            </w:r>
          </w:p>
        </w:tc>
        <w:tc>
          <w:tcPr>
            <w:tcW w:w="1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D7251" w14:textId="0160D7F6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273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76E9B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2 112</w:t>
            </w:r>
          </w:p>
        </w:tc>
      </w:tr>
      <w:tr w:rsidR="00022982" w:rsidRPr="009B5999" w14:paraId="55BBCCE5" w14:textId="77777777" w:rsidTr="00022982">
        <w:trPr>
          <w:trHeight w:val="20"/>
          <w:jc w:val="center"/>
        </w:trPr>
        <w:tc>
          <w:tcPr>
            <w:tcW w:w="1134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A925E8D" w14:textId="77777777" w:rsidR="009B5999" w:rsidRPr="009B5999" w:rsidRDefault="009B5999" w:rsidP="009B5999">
            <w:pPr>
              <w:pStyle w:val="Default"/>
              <w:jc w:val="both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GRO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213CC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1 726</w:t>
            </w:r>
          </w:p>
        </w:tc>
        <w:tc>
          <w:tcPr>
            <w:tcW w:w="1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E6B60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1 570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A1BDD" w14:textId="7B49AE89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156</w:t>
            </w:r>
          </w:p>
        </w:tc>
      </w:tr>
      <w:tr w:rsidR="00022982" w:rsidRPr="009B5999" w14:paraId="60F0ED6D" w14:textId="77777777" w:rsidTr="00022982">
        <w:trPr>
          <w:trHeight w:val="20"/>
          <w:jc w:val="center"/>
        </w:trPr>
        <w:tc>
          <w:tcPr>
            <w:tcW w:w="1134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0B03E57" w14:textId="77777777" w:rsidR="009B5999" w:rsidRPr="009B5999" w:rsidRDefault="009B5999" w:rsidP="009B5999">
            <w:pPr>
              <w:pStyle w:val="Default"/>
              <w:jc w:val="both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TLAX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45E95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1 198</w:t>
            </w:r>
          </w:p>
        </w:tc>
        <w:tc>
          <w:tcPr>
            <w:tcW w:w="1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D3ED6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1 117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0873D" w14:textId="54B9CA7C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81</w:t>
            </w:r>
          </w:p>
        </w:tc>
      </w:tr>
      <w:tr w:rsidR="00022982" w:rsidRPr="009B5999" w14:paraId="2A1D1C70" w14:textId="77777777" w:rsidTr="00022982">
        <w:trPr>
          <w:trHeight w:val="20"/>
          <w:jc w:val="center"/>
        </w:trPr>
        <w:tc>
          <w:tcPr>
            <w:tcW w:w="1134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5D14644" w14:textId="77777777" w:rsidR="009B5999" w:rsidRPr="009B5999" w:rsidRDefault="009B5999" w:rsidP="009B5999">
            <w:pPr>
              <w:pStyle w:val="Default"/>
              <w:jc w:val="both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BC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1661D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1 148</w:t>
            </w:r>
          </w:p>
        </w:tc>
        <w:tc>
          <w:tcPr>
            <w:tcW w:w="1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71DFC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1 057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60FE8" w14:textId="7699E111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91</w:t>
            </w:r>
          </w:p>
        </w:tc>
      </w:tr>
      <w:tr w:rsidR="00022982" w:rsidRPr="009B5999" w14:paraId="693B0993" w14:textId="77777777" w:rsidTr="00022982">
        <w:trPr>
          <w:trHeight w:val="20"/>
          <w:jc w:val="center"/>
        </w:trPr>
        <w:tc>
          <w:tcPr>
            <w:tcW w:w="1134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9D8B068" w14:textId="77777777" w:rsidR="009B5999" w:rsidRPr="009B5999" w:rsidRDefault="009B5999" w:rsidP="009B5999">
            <w:pPr>
              <w:pStyle w:val="Default"/>
              <w:jc w:val="both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CAMP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456B4" w14:textId="085C4A35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882</w:t>
            </w:r>
          </w:p>
        </w:tc>
        <w:tc>
          <w:tcPr>
            <w:tcW w:w="1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F17D2" w14:textId="57977EA3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677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1CABA" w14:textId="69E21392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192</w:t>
            </w:r>
          </w:p>
        </w:tc>
      </w:tr>
      <w:tr w:rsidR="00022982" w:rsidRPr="009B5999" w14:paraId="2C813D7B" w14:textId="77777777" w:rsidTr="00022982">
        <w:trPr>
          <w:trHeight w:val="20"/>
          <w:jc w:val="center"/>
        </w:trPr>
        <w:tc>
          <w:tcPr>
            <w:tcW w:w="1134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8EB3B99" w14:textId="77777777" w:rsidR="009B5999" w:rsidRPr="009B5999" w:rsidRDefault="009B5999" w:rsidP="009B5999">
            <w:pPr>
              <w:pStyle w:val="Default"/>
              <w:jc w:val="both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BCS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A2557" w14:textId="2115B882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842</w:t>
            </w:r>
          </w:p>
        </w:tc>
        <w:tc>
          <w:tcPr>
            <w:tcW w:w="1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73C65" w14:textId="59541F5A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749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4B49A" w14:textId="0B43AE85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93</w:t>
            </w:r>
          </w:p>
        </w:tc>
      </w:tr>
      <w:tr w:rsidR="00022982" w:rsidRPr="009B5999" w14:paraId="61112817" w14:textId="77777777" w:rsidTr="00022982">
        <w:trPr>
          <w:trHeight w:val="20"/>
          <w:jc w:val="center"/>
        </w:trPr>
        <w:tc>
          <w:tcPr>
            <w:tcW w:w="1134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52060BC" w14:textId="77777777" w:rsidR="009B5999" w:rsidRPr="009B5999" w:rsidRDefault="009B5999" w:rsidP="009B5999">
            <w:pPr>
              <w:pStyle w:val="Default"/>
              <w:jc w:val="both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TAB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C1051" w14:textId="3E8ACA3B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362</w:t>
            </w:r>
          </w:p>
        </w:tc>
        <w:tc>
          <w:tcPr>
            <w:tcW w:w="1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AF5BB" w14:textId="6D7D0FD3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362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1B59D" w14:textId="77777777" w:rsidR="009B5999" w:rsidRPr="009B5999" w:rsidRDefault="009B5999" w:rsidP="00A43B54">
            <w:pPr>
              <w:pStyle w:val="Default"/>
              <w:jc w:val="center"/>
              <w:rPr>
                <w:sz w:val="18"/>
                <w:szCs w:val="18"/>
              </w:rPr>
            </w:pPr>
            <w:r w:rsidRPr="009B5999">
              <w:rPr>
                <w:sz w:val="18"/>
                <w:szCs w:val="18"/>
              </w:rPr>
              <w:t>NA</w:t>
            </w:r>
          </w:p>
        </w:tc>
      </w:tr>
    </w:tbl>
    <w:p w14:paraId="6A122546" w14:textId="77777777" w:rsidR="009C0E52" w:rsidRDefault="009C0E52" w:rsidP="00E321E3">
      <w:pPr>
        <w:pStyle w:val="Default"/>
        <w:jc w:val="both"/>
        <w:rPr>
          <w:color w:val="auto"/>
        </w:rPr>
      </w:pPr>
    </w:p>
    <w:p w14:paraId="3792111C" w14:textId="2F069B14" w:rsidR="009C0E52" w:rsidRDefault="009C0E52" w:rsidP="00E321E3">
      <w:pPr>
        <w:pStyle w:val="Default"/>
        <w:jc w:val="both"/>
      </w:pPr>
    </w:p>
    <w:p w14:paraId="73104F25" w14:textId="26C2972C" w:rsidR="007A7235" w:rsidRDefault="007A7235" w:rsidP="007A7235">
      <w:pPr>
        <w:pStyle w:val="Default"/>
        <w:jc w:val="both"/>
        <w:rPr>
          <w:sz w:val="16"/>
          <w:szCs w:val="16"/>
        </w:rPr>
      </w:pPr>
      <w:r w:rsidRPr="007A7235">
        <w:rPr>
          <w:sz w:val="16"/>
          <w:szCs w:val="16"/>
        </w:rPr>
        <w:t>NA: No aplica.</w:t>
      </w:r>
    </w:p>
    <w:p w14:paraId="2B782928" w14:textId="05661C5B" w:rsidR="007A7235" w:rsidRPr="007A7235" w:rsidRDefault="007A7235" w:rsidP="007A7235">
      <w:pPr>
        <w:pStyle w:val="Default"/>
        <w:jc w:val="both"/>
        <w:rPr>
          <w:sz w:val="16"/>
          <w:szCs w:val="16"/>
        </w:rPr>
      </w:pPr>
      <w:r w:rsidRPr="007A7235">
        <w:rPr>
          <w:sz w:val="16"/>
          <w:szCs w:val="16"/>
        </w:rPr>
        <w:t xml:space="preserve">Nota: No se incluyen los estados de Colima y Zacatecas </w:t>
      </w:r>
      <w:r w:rsidR="008D014B">
        <w:rPr>
          <w:sz w:val="16"/>
          <w:szCs w:val="16"/>
        </w:rPr>
        <w:t xml:space="preserve">porque </w:t>
      </w:r>
      <w:r w:rsidRPr="007A7235">
        <w:rPr>
          <w:sz w:val="16"/>
          <w:szCs w:val="16"/>
        </w:rPr>
        <w:t xml:space="preserve">reportaron no contar con datos o elementos para responder, o bien, </w:t>
      </w:r>
      <w:r w:rsidR="008D014B">
        <w:rPr>
          <w:sz w:val="16"/>
          <w:szCs w:val="16"/>
        </w:rPr>
        <w:t>no contar</w:t>
      </w:r>
      <w:r w:rsidR="009F2CCC">
        <w:rPr>
          <w:sz w:val="16"/>
          <w:szCs w:val="16"/>
        </w:rPr>
        <w:t>on</w:t>
      </w:r>
      <w:r w:rsidR="008D014B">
        <w:rPr>
          <w:sz w:val="16"/>
          <w:szCs w:val="16"/>
        </w:rPr>
        <w:t xml:space="preserve"> </w:t>
      </w:r>
      <w:r w:rsidRPr="007A7235">
        <w:rPr>
          <w:sz w:val="16"/>
          <w:szCs w:val="16"/>
        </w:rPr>
        <w:t xml:space="preserve">con la materia para su atención. El </w:t>
      </w:r>
      <w:r w:rsidR="00016B69">
        <w:rPr>
          <w:sz w:val="16"/>
          <w:szCs w:val="16"/>
        </w:rPr>
        <w:t xml:space="preserve">Poder Judicial </w:t>
      </w:r>
      <w:r w:rsidRPr="007A7235">
        <w:rPr>
          <w:sz w:val="16"/>
          <w:szCs w:val="16"/>
        </w:rPr>
        <w:t>de San Luis Potosí reportó no haber publicado sentencias emitidas en su sitio web.</w:t>
      </w:r>
    </w:p>
    <w:p w14:paraId="27C6C38B" w14:textId="0F487EF8" w:rsidR="007A7235" w:rsidRDefault="007A7235" w:rsidP="00E321E3">
      <w:pPr>
        <w:pStyle w:val="Default"/>
        <w:jc w:val="both"/>
      </w:pPr>
    </w:p>
    <w:p w14:paraId="6B3BB0E8" w14:textId="7D239CF0" w:rsidR="007A7235" w:rsidRDefault="007A7235" w:rsidP="00E321E3">
      <w:pPr>
        <w:pStyle w:val="Default"/>
        <w:jc w:val="both"/>
      </w:pPr>
    </w:p>
    <w:p w14:paraId="07D87D0F" w14:textId="4C4A8202" w:rsidR="00F16078" w:rsidRPr="001D290E" w:rsidRDefault="001D290E" w:rsidP="001D290E">
      <w:pPr>
        <w:pStyle w:val="Default"/>
        <w:jc w:val="both"/>
      </w:pPr>
      <w:r w:rsidRPr="001D290E">
        <w:lastRenderedPageBreak/>
        <w:t xml:space="preserve">En los órganos jurisdiccionales de primera instancia, </w:t>
      </w:r>
      <w:r w:rsidR="00240B46" w:rsidRPr="001D290E">
        <w:t>la materia más frecuente</w:t>
      </w:r>
      <w:r w:rsidR="00240B46">
        <w:t xml:space="preserve"> fue </w:t>
      </w:r>
      <w:r w:rsidR="008D014B" w:rsidRPr="001D290E">
        <w:t>la familiar</w:t>
      </w:r>
      <w:r w:rsidR="008D014B">
        <w:t>. En la segunda</w:t>
      </w:r>
      <w:r w:rsidR="00240B46">
        <w:t xml:space="preserve"> instancia</w:t>
      </w:r>
      <w:r w:rsidR="008D014B">
        <w:t xml:space="preserve">, </w:t>
      </w:r>
      <w:r w:rsidRPr="001D290E">
        <w:t>la mayoría de las sentencias publicadas correspondieron a la materia civil</w:t>
      </w:r>
      <w:r w:rsidR="00383387">
        <w:t>.</w:t>
      </w:r>
      <w:r w:rsidR="00383387">
        <w:rPr>
          <w:rStyle w:val="Refdenotaalpie"/>
        </w:rPr>
        <w:footnoteReference w:id="9"/>
      </w:r>
    </w:p>
    <w:p w14:paraId="7006002E" w14:textId="77777777" w:rsidR="00975B1D" w:rsidRDefault="00975B1D" w:rsidP="00B35BAA">
      <w:pPr>
        <w:pStyle w:val="Default"/>
        <w:ind w:left="-567"/>
        <w:jc w:val="both"/>
        <w:rPr>
          <w:color w:val="auto"/>
        </w:rPr>
      </w:pPr>
    </w:p>
    <w:p w14:paraId="051D6F78" w14:textId="7CA7E284" w:rsidR="00383387" w:rsidRPr="00963A3F" w:rsidRDefault="00383387" w:rsidP="00383387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  <w:r>
        <w:rPr>
          <w:bCs/>
          <w:iCs/>
          <w:color w:val="000000" w:themeColor="text1"/>
          <w:sz w:val="20"/>
          <w:szCs w:val="20"/>
        </w:rPr>
        <w:t>Tabla 2</w:t>
      </w:r>
    </w:p>
    <w:p w14:paraId="4FC6F0A2" w14:textId="77777777" w:rsidR="00F2350D" w:rsidRDefault="007244D2" w:rsidP="007244D2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7244D2">
        <w:rPr>
          <w:b/>
          <w:bCs/>
          <w:iCs/>
          <w:smallCaps/>
          <w:color w:val="000000" w:themeColor="text1"/>
          <w:sz w:val="22"/>
          <w:szCs w:val="22"/>
        </w:rPr>
        <w:t xml:space="preserve">Sentencias emitidas publicadas por los poderes judiciales estatales, por entidad federativa </w:t>
      </w:r>
    </w:p>
    <w:p w14:paraId="12CB4363" w14:textId="23A6C457" w:rsidR="00383387" w:rsidRDefault="007244D2" w:rsidP="007244D2">
      <w:pPr>
        <w:pStyle w:val="Default"/>
        <w:jc w:val="center"/>
        <w:rPr>
          <w:color w:val="auto"/>
        </w:rPr>
      </w:pPr>
      <w:r w:rsidRPr="007244D2">
        <w:rPr>
          <w:b/>
          <w:bCs/>
          <w:iCs/>
          <w:smallCaps/>
          <w:color w:val="000000" w:themeColor="text1"/>
          <w:sz w:val="22"/>
          <w:szCs w:val="22"/>
        </w:rPr>
        <w:t>y materia, 2021</w:t>
      </w:r>
    </w:p>
    <w:p w14:paraId="1C729792" w14:textId="77777777" w:rsidR="007F6C95" w:rsidRDefault="007F6C95" w:rsidP="00AF3262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tbl>
      <w:tblPr>
        <w:tblW w:w="100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1"/>
        <w:gridCol w:w="1050"/>
        <w:gridCol w:w="1038"/>
        <w:gridCol w:w="1098"/>
        <w:gridCol w:w="1116"/>
        <w:gridCol w:w="1090"/>
        <w:gridCol w:w="1063"/>
        <w:gridCol w:w="1373"/>
        <w:gridCol w:w="1041"/>
      </w:tblGrid>
      <w:tr w:rsidR="00F2350D" w:rsidRPr="008705D3" w14:paraId="1A78AF78" w14:textId="77777777" w:rsidTr="00F2350D">
        <w:trPr>
          <w:trHeight w:val="20"/>
        </w:trPr>
        <w:tc>
          <w:tcPr>
            <w:tcW w:w="1191" w:type="dxa"/>
            <w:shd w:val="clear" w:color="auto" w:fill="67705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1E17926" w14:textId="60456EA8" w:rsidR="008705D3" w:rsidRPr="008705D3" w:rsidRDefault="00F2350D" w:rsidP="00F2350D">
            <w:pPr>
              <w:pStyle w:val="Default"/>
              <w:spacing w:after="10"/>
              <w:jc w:val="center"/>
              <w:rPr>
                <w:bCs/>
                <w:iCs/>
                <w:color w:val="FFFFFF" w:themeColor="background1"/>
                <w:sz w:val="18"/>
                <w:szCs w:val="18"/>
              </w:rPr>
            </w:pPr>
            <w:r w:rsidRPr="00F2350D">
              <w:rPr>
                <w:bCs/>
                <w:iCs/>
                <w:color w:val="FFFFFF" w:themeColor="background1"/>
                <w:sz w:val="18"/>
                <w:szCs w:val="18"/>
              </w:rPr>
              <w:t>Entidad</w:t>
            </w:r>
          </w:p>
        </w:tc>
        <w:tc>
          <w:tcPr>
            <w:tcW w:w="1050" w:type="dxa"/>
            <w:shd w:val="clear" w:color="auto" w:fill="67705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1F17747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FFFFFF" w:themeColor="background1"/>
                <w:sz w:val="18"/>
                <w:szCs w:val="18"/>
              </w:rPr>
            </w:pPr>
            <w:r w:rsidRPr="008705D3">
              <w:rPr>
                <w:bCs/>
                <w:iCs/>
                <w:color w:val="FFFFFF" w:themeColor="background1"/>
                <w:sz w:val="18"/>
                <w:szCs w:val="18"/>
              </w:rPr>
              <w:t>Total</w:t>
            </w:r>
          </w:p>
        </w:tc>
        <w:tc>
          <w:tcPr>
            <w:tcW w:w="1038" w:type="dxa"/>
            <w:shd w:val="clear" w:color="auto" w:fill="67705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779BBC8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FFFFFF" w:themeColor="background1"/>
                <w:sz w:val="18"/>
                <w:szCs w:val="18"/>
              </w:rPr>
            </w:pPr>
            <w:r w:rsidRPr="008705D3">
              <w:rPr>
                <w:bCs/>
                <w:iCs/>
                <w:color w:val="FFFFFF" w:themeColor="background1"/>
                <w:sz w:val="18"/>
                <w:szCs w:val="18"/>
              </w:rPr>
              <w:t>Civil</w:t>
            </w:r>
          </w:p>
        </w:tc>
        <w:tc>
          <w:tcPr>
            <w:tcW w:w="1098" w:type="dxa"/>
            <w:shd w:val="clear" w:color="auto" w:fill="67705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425AB17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FFFFFF" w:themeColor="background1"/>
                <w:sz w:val="18"/>
                <w:szCs w:val="18"/>
              </w:rPr>
            </w:pPr>
            <w:r w:rsidRPr="008705D3">
              <w:rPr>
                <w:bCs/>
                <w:iCs/>
                <w:color w:val="FFFFFF" w:themeColor="background1"/>
                <w:sz w:val="18"/>
                <w:szCs w:val="18"/>
              </w:rPr>
              <w:t>Familiar</w:t>
            </w:r>
          </w:p>
        </w:tc>
        <w:tc>
          <w:tcPr>
            <w:tcW w:w="1116" w:type="dxa"/>
            <w:shd w:val="clear" w:color="auto" w:fill="67705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4217D7B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FFFFFF" w:themeColor="background1"/>
                <w:sz w:val="18"/>
                <w:szCs w:val="18"/>
              </w:rPr>
            </w:pPr>
            <w:r w:rsidRPr="008705D3">
              <w:rPr>
                <w:bCs/>
                <w:iCs/>
                <w:color w:val="FFFFFF" w:themeColor="background1"/>
                <w:sz w:val="18"/>
                <w:szCs w:val="18"/>
              </w:rPr>
              <w:t>Mercantil</w:t>
            </w:r>
          </w:p>
        </w:tc>
        <w:tc>
          <w:tcPr>
            <w:tcW w:w="1090" w:type="dxa"/>
            <w:shd w:val="clear" w:color="auto" w:fill="67705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3D78F47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FFFFFF" w:themeColor="background1"/>
                <w:sz w:val="18"/>
                <w:szCs w:val="18"/>
              </w:rPr>
            </w:pPr>
            <w:r w:rsidRPr="008705D3">
              <w:rPr>
                <w:bCs/>
                <w:iCs/>
                <w:color w:val="FFFFFF" w:themeColor="background1"/>
                <w:sz w:val="18"/>
                <w:szCs w:val="18"/>
              </w:rPr>
              <w:t>Laboral</w:t>
            </w:r>
          </w:p>
        </w:tc>
        <w:tc>
          <w:tcPr>
            <w:tcW w:w="1063" w:type="dxa"/>
            <w:shd w:val="clear" w:color="auto" w:fill="67705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FA08E74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FFFFFF" w:themeColor="background1"/>
                <w:sz w:val="18"/>
                <w:szCs w:val="18"/>
              </w:rPr>
            </w:pPr>
            <w:r w:rsidRPr="008705D3">
              <w:rPr>
                <w:bCs/>
                <w:iCs/>
                <w:color w:val="FFFFFF" w:themeColor="background1"/>
                <w:sz w:val="18"/>
                <w:szCs w:val="18"/>
              </w:rPr>
              <w:t>Penal</w:t>
            </w:r>
          </w:p>
        </w:tc>
        <w:tc>
          <w:tcPr>
            <w:tcW w:w="1373" w:type="dxa"/>
            <w:shd w:val="clear" w:color="auto" w:fill="67705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D85D50E" w14:textId="62B3063C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FFFFFF" w:themeColor="background1"/>
                <w:sz w:val="18"/>
                <w:szCs w:val="18"/>
              </w:rPr>
            </w:pPr>
            <w:r w:rsidRPr="008705D3">
              <w:rPr>
                <w:bCs/>
                <w:iCs/>
                <w:color w:val="FFFFFF" w:themeColor="background1"/>
                <w:sz w:val="18"/>
                <w:szCs w:val="18"/>
              </w:rPr>
              <w:t>Justicia para</w:t>
            </w:r>
            <w:r w:rsidRPr="008705D3">
              <w:rPr>
                <w:bCs/>
                <w:iCs/>
                <w:color w:val="FFFFFF" w:themeColor="background1"/>
                <w:sz w:val="18"/>
                <w:szCs w:val="18"/>
              </w:rPr>
              <w:br/>
              <w:t>adolescentes</w:t>
            </w:r>
          </w:p>
        </w:tc>
        <w:tc>
          <w:tcPr>
            <w:tcW w:w="1041" w:type="dxa"/>
            <w:shd w:val="clear" w:color="auto" w:fill="67705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24B368F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FFFFFF" w:themeColor="background1"/>
                <w:sz w:val="18"/>
                <w:szCs w:val="18"/>
              </w:rPr>
            </w:pPr>
            <w:r w:rsidRPr="008705D3">
              <w:rPr>
                <w:bCs/>
                <w:iCs/>
                <w:color w:val="FFFFFF" w:themeColor="background1"/>
                <w:sz w:val="18"/>
                <w:szCs w:val="18"/>
              </w:rPr>
              <w:t>Otra</w:t>
            </w:r>
          </w:p>
        </w:tc>
      </w:tr>
      <w:tr w:rsidR="00F2350D" w:rsidRPr="008705D3" w14:paraId="796E4B79" w14:textId="77777777" w:rsidTr="00F2350D">
        <w:trPr>
          <w:trHeight w:val="20"/>
        </w:trPr>
        <w:tc>
          <w:tcPr>
            <w:tcW w:w="1191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045D2" w14:textId="77777777" w:rsidR="008705D3" w:rsidRPr="008705D3" w:rsidRDefault="008705D3" w:rsidP="00F2350D">
            <w:pPr>
              <w:pStyle w:val="Default"/>
              <w:spacing w:after="10"/>
              <w:ind w:left="57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 xml:space="preserve"> NACIONAL</w:t>
            </w:r>
          </w:p>
        </w:tc>
        <w:tc>
          <w:tcPr>
            <w:tcW w:w="105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34EBF" w14:textId="71B6AD60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465 833</w:t>
            </w:r>
          </w:p>
        </w:tc>
        <w:tc>
          <w:tcPr>
            <w:tcW w:w="1038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0DDD6" w14:textId="08263B8E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153 669</w:t>
            </w:r>
          </w:p>
        </w:tc>
        <w:tc>
          <w:tcPr>
            <w:tcW w:w="1098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B3CAC" w14:textId="3DC77DD8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193 754</w:t>
            </w:r>
          </w:p>
        </w:tc>
        <w:tc>
          <w:tcPr>
            <w:tcW w:w="1116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37BD6" w14:textId="29339758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49 918</w:t>
            </w:r>
          </w:p>
        </w:tc>
        <w:tc>
          <w:tcPr>
            <w:tcW w:w="109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2830F" w14:textId="3B41D692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699</w:t>
            </w:r>
          </w:p>
        </w:tc>
        <w:tc>
          <w:tcPr>
            <w:tcW w:w="1063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A8068" w14:textId="67D18371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57 428</w:t>
            </w:r>
          </w:p>
        </w:tc>
        <w:tc>
          <w:tcPr>
            <w:tcW w:w="1373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D0B32" w14:textId="6BAC6F2C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1 862</w:t>
            </w:r>
          </w:p>
        </w:tc>
        <w:tc>
          <w:tcPr>
            <w:tcW w:w="1041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348D8" w14:textId="5131E51E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8 503</w:t>
            </w:r>
          </w:p>
        </w:tc>
      </w:tr>
      <w:tr w:rsidR="00F2350D" w:rsidRPr="008705D3" w14:paraId="4EDF6370" w14:textId="77777777" w:rsidTr="00F2350D">
        <w:trPr>
          <w:trHeight w:val="20"/>
        </w:trPr>
        <w:tc>
          <w:tcPr>
            <w:tcW w:w="119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7526C54" w14:textId="77777777" w:rsidR="008705D3" w:rsidRPr="008705D3" w:rsidRDefault="008705D3" w:rsidP="00F2350D">
            <w:pPr>
              <w:pStyle w:val="Default"/>
              <w:spacing w:after="10"/>
              <w:ind w:left="57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MEX</w:t>
            </w:r>
          </w:p>
        </w:tc>
        <w:tc>
          <w:tcPr>
            <w:tcW w:w="105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012804C" w14:textId="022F8CBD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75 662</w:t>
            </w:r>
          </w:p>
        </w:tc>
        <w:tc>
          <w:tcPr>
            <w:tcW w:w="103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0D0BCC5" w14:textId="7536E428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35 404</w:t>
            </w:r>
          </w:p>
        </w:tc>
        <w:tc>
          <w:tcPr>
            <w:tcW w:w="109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2E6D79E" w14:textId="55DBC6E5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26 046</w:t>
            </w:r>
          </w:p>
        </w:tc>
        <w:tc>
          <w:tcPr>
            <w:tcW w:w="1116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CEA7A3A" w14:textId="6B6A336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2 156</w:t>
            </w:r>
          </w:p>
        </w:tc>
        <w:tc>
          <w:tcPr>
            <w:tcW w:w="109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A5FD4E5" w14:textId="6442EC0E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389</w:t>
            </w:r>
          </w:p>
        </w:tc>
        <w:tc>
          <w:tcPr>
            <w:tcW w:w="106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9771628" w14:textId="7666B5D1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11 535</w:t>
            </w:r>
          </w:p>
        </w:tc>
        <w:tc>
          <w:tcPr>
            <w:tcW w:w="137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899C285" w14:textId="5D59FFDF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132</w:t>
            </w:r>
          </w:p>
        </w:tc>
        <w:tc>
          <w:tcPr>
            <w:tcW w:w="104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DC80E75" w14:textId="60B9EC0C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0</w:t>
            </w:r>
          </w:p>
        </w:tc>
      </w:tr>
      <w:tr w:rsidR="00F2350D" w:rsidRPr="008705D3" w14:paraId="7D36F1F3" w14:textId="77777777" w:rsidTr="00F2350D">
        <w:trPr>
          <w:trHeight w:val="20"/>
        </w:trPr>
        <w:tc>
          <w:tcPr>
            <w:tcW w:w="119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AF69DB8" w14:textId="77777777" w:rsidR="008705D3" w:rsidRPr="008705D3" w:rsidRDefault="008705D3" w:rsidP="00F2350D">
            <w:pPr>
              <w:pStyle w:val="Default"/>
              <w:spacing w:after="10"/>
              <w:ind w:left="57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CDMX</w:t>
            </w:r>
          </w:p>
        </w:tc>
        <w:tc>
          <w:tcPr>
            <w:tcW w:w="105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20D9A7A" w14:textId="57A160A0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68 591</w:t>
            </w:r>
          </w:p>
        </w:tc>
        <w:tc>
          <w:tcPr>
            <w:tcW w:w="103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EEBECE6" w14:textId="6504B2EA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26 907</w:t>
            </w:r>
          </w:p>
        </w:tc>
        <w:tc>
          <w:tcPr>
            <w:tcW w:w="109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BEBFE56" w14:textId="00509E38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24 052</w:t>
            </w:r>
          </w:p>
        </w:tc>
        <w:tc>
          <w:tcPr>
            <w:tcW w:w="1116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788E75C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9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A207E26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6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B946DD1" w14:textId="2FD26A5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16 935</w:t>
            </w:r>
          </w:p>
        </w:tc>
        <w:tc>
          <w:tcPr>
            <w:tcW w:w="137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845C810" w14:textId="3646549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198</w:t>
            </w:r>
          </w:p>
        </w:tc>
        <w:tc>
          <w:tcPr>
            <w:tcW w:w="104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818DF2F" w14:textId="4327E392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499</w:t>
            </w:r>
          </w:p>
        </w:tc>
      </w:tr>
      <w:tr w:rsidR="00F2350D" w:rsidRPr="008705D3" w14:paraId="5AF91BE5" w14:textId="77777777" w:rsidTr="00F2350D">
        <w:trPr>
          <w:trHeight w:val="20"/>
        </w:trPr>
        <w:tc>
          <w:tcPr>
            <w:tcW w:w="119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FECFC5A" w14:textId="77777777" w:rsidR="008705D3" w:rsidRPr="008705D3" w:rsidRDefault="008705D3" w:rsidP="00F2350D">
            <w:pPr>
              <w:pStyle w:val="Default"/>
              <w:spacing w:after="10"/>
              <w:ind w:left="57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GTO</w:t>
            </w:r>
          </w:p>
        </w:tc>
        <w:tc>
          <w:tcPr>
            <w:tcW w:w="105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199D2F4" w14:textId="6C523326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59 463</w:t>
            </w:r>
          </w:p>
        </w:tc>
        <w:tc>
          <w:tcPr>
            <w:tcW w:w="103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53E8E58" w14:textId="2881343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26 167</w:t>
            </w:r>
          </w:p>
        </w:tc>
        <w:tc>
          <w:tcPr>
            <w:tcW w:w="109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BE7862F" w14:textId="7FBCDBBF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18 594</w:t>
            </w:r>
          </w:p>
        </w:tc>
        <w:tc>
          <w:tcPr>
            <w:tcW w:w="1116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C13919A" w14:textId="0B473051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11 921</w:t>
            </w:r>
          </w:p>
        </w:tc>
        <w:tc>
          <w:tcPr>
            <w:tcW w:w="109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5C570F9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6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28BEADA" w14:textId="451545B4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2 781</w:t>
            </w:r>
          </w:p>
        </w:tc>
        <w:tc>
          <w:tcPr>
            <w:tcW w:w="137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CBDAAB4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4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34A7863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F2350D" w:rsidRPr="008705D3" w14:paraId="2A992F06" w14:textId="77777777" w:rsidTr="00F2350D">
        <w:trPr>
          <w:trHeight w:val="20"/>
        </w:trPr>
        <w:tc>
          <w:tcPr>
            <w:tcW w:w="119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1B0074C" w14:textId="77777777" w:rsidR="008705D3" w:rsidRPr="008705D3" w:rsidRDefault="008705D3" w:rsidP="00F2350D">
            <w:pPr>
              <w:pStyle w:val="Default"/>
              <w:spacing w:after="10"/>
              <w:ind w:left="57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MICH</w:t>
            </w:r>
          </w:p>
        </w:tc>
        <w:tc>
          <w:tcPr>
            <w:tcW w:w="105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914B6B0" w14:textId="5C1FDFA8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43 380</w:t>
            </w:r>
          </w:p>
        </w:tc>
        <w:tc>
          <w:tcPr>
            <w:tcW w:w="103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AB1741A" w14:textId="4DD424FE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22 633</w:t>
            </w:r>
          </w:p>
        </w:tc>
        <w:tc>
          <w:tcPr>
            <w:tcW w:w="109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4BFCE27" w14:textId="5E9C12DE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12 565</w:t>
            </w:r>
          </w:p>
        </w:tc>
        <w:tc>
          <w:tcPr>
            <w:tcW w:w="1116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D549DA8" w14:textId="248CAC63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6 412</w:t>
            </w:r>
          </w:p>
        </w:tc>
        <w:tc>
          <w:tcPr>
            <w:tcW w:w="109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2314106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6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6985AEC" w14:textId="43BE0E5B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1 770</w:t>
            </w:r>
          </w:p>
        </w:tc>
        <w:tc>
          <w:tcPr>
            <w:tcW w:w="137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DE4DE1C" w14:textId="6D39A255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029B1DD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F2350D" w:rsidRPr="008705D3" w14:paraId="7F38DE09" w14:textId="77777777" w:rsidTr="00F2350D">
        <w:trPr>
          <w:trHeight w:val="20"/>
        </w:trPr>
        <w:tc>
          <w:tcPr>
            <w:tcW w:w="119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1ADB472" w14:textId="77777777" w:rsidR="008705D3" w:rsidRPr="008705D3" w:rsidRDefault="008705D3" w:rsidP="00F2350D">
            <w:pPr>
              <w:pStyle w:val="Default"/>
              <w:spacing w:after="10"/>
              <w:ind w:left="57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NL</w:t>
            </w:r>
          </w:p>
        </w:tc>
        <w:tc>
          <w:tcPr>
            <w:tcW w:w="105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FF06D42" w14:textId="57157896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30 247</w:t>
            </w:r>
          </w:p>
        </w:tc>
        <w:tc>
          <w:tcPr>
            <w:tcW w:w="103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59C2969" w14:textId="6DBFE6EF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1 567</w:t>
            </w:r>
          </w:p>
        </w:tc>
        <w:tc>
          <w:tcPr>
            <w:tcW w:w="109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2ED6FF9" w14:textId="760B53DC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18 898</w:t>
            </w:r>
          </w:p>
        </w:tc>
        <w:tc>
          <w:tcPr>
            <w:tcW w:w="1116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9ED5A3C" w14:textId="2B9D14A3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3 876</w:t>
            </w:r>
          </w:p>
        </w:tc>
        <w:tc>
          <w:tcPr>
            <w:tcW w:w="109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1AB5ACE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6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5C774B7" w14:textId="442D727A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2 463</w:t>
            </w:r>
          </w:p>
        </w:tc>
        <w:tc>
          <w:tcPr>
            <w:tcW w:w="137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FD56F43" w14:textId="1E8D942E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04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A1A54EE" w14:textId="387A64BB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3 398</w:t>
            </w:r>
          </w:p>
        </w:tc>
      </w:tr>
      <w:tr w:rsidR="00F2350D" w:rsidRPr="008705D3" w14:paraId="56C75155" w14:textId="77777777" w:rsidTr="00F2350D">
        <w:trPr>
          <w:trHeight w:val="20"/>
        </w:trPr>
        <w:tc>
          <w:tcPr>
            <w:tcW w:w="119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3AB0C96" w14:textId="77777777" w:rsidR="008705D3" w:rsidRPr="008705D3" w:rsidRDefault="008705D3" w:rsidP="00F2350D">
            <w:pPr>
              <w:pStyle w:val="Default"/>
              <w:spacing w:after="10"/>
              <w:ind w:left="57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CHIH</w:t>
            </w:r>
          </w:p>
        </w:tc>
        <w:tc>
          <w:tcPr>
            <w:tcW w:w="105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40EA026" w14:textId="4A77205E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24 795</w:t>
            </w:r>
          </w:p>
        </w:tc>
        <w:tc>
          <w:tcPr>
            <w:tcW w:w="103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0229A7D" w14:textId="57218619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5 098</w:t>
            </w:r>
          </w:p>
        </w:tc>
        <w:tc>
          <w:tcPr>
            <w:tcW w:w="109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A8D683B" w14:textId="3C223FA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13 912</w:t>
            </w:r>
          </w:p>
        </w:tc>
        <w:tc>
          <w:tcPr>
            <w:tcW w:w="1116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DE46977" w14:textId="08F0C9F4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1 737</w:t>
            </w:r>
          </w:p>
        </w:tc>
        <w:tc>
          <w:tcPr>
            <w:tcW w:w="109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EAEBF63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6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0F12BE8" w14:textId="188058C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3 940</w:t>
            </w:r>
          </w:p>
        </w:tc>
        <w:tc>
          <w:tcPr>
            <w:tcW w:w="137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F2E2F56" w14:textId="0EDA9A8B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108</w:t>
            </w:r>
          </w:p>
        </w:tc>
        <w:tc>
          <w:tcPr>
            <w:tcW w:w="104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9DAB7BA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-</w:t>
            </w:r>
          </w:p>
        </w:tc>
      </w:tr>
      <w:tr w:rsidR="00F2350D" w:rsidRPr="008705D3" w14:paraId="7618861A" w14:textId="77777777" w:rsidTr="00F2350D">
        <w:trPr>
          <w:trHeight w:val="20"/>
        </w:trPr>
        <w:tc>
          <w:tcPr>
            <w:tcW w:w="119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787FFF9" w14:textId="77777777" w:rsidR="008705D3" w:rsidRPr="008705D3" w:rsidRDefault="008705D3" w:rsidP="00F2350D">
            <w:pPr>
              <w:pStyle w:val="Default"/>
              <w:spacing w:after="10"/>
              <w:ind w:left="57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COAH</w:t>
            </w:r>
          </w:p>
        </w:tc>
        <w:tc>
          <w:tcPr>
            <w:tcW w:w="105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773C1FB" w14:textId="73678E93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22 961</w:t>
            </w:r>
          </w:p>
        </w:tc>
        <w:tc>
          <w:tcPr>
            <w:tcW w:w="103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EE5A1D0" w14:textId="66D59390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3 285</w:t>
            </w:r>
          </w:p>
        </w:tc>
        <w:tc>
          <w:tcPr>
            <w:tcW w:w="109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A7D6422" w14:textId="2A8AE663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11 713</w:t>
            </w:r>
          </w:p>
        </w:tc>
        <w:tc>
          <w:tcPr>
            <w:tcW w:w="1116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7772F56" w14:textId="2DB52D19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6 246</w:t>
            </w:r>
          </w:p>
        </w:tc>
        <w:tc>
          <w:tcPr>
            <w:tcW w:w="109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25FDEEB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6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2F7ADC5" w14:textId="1A8FD65A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1 717</w:t>
            </w:r>
          </w:p>
        </w:tc>
        <w:tc>
          <w:tcPr>
            <w:tcW w:w="137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2D23496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538260D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F2350D" w:rsidRPr="008705D3" w14:paraId="6FF29DED" w14:textId="77777777" w:rsidTr="00F2350D">
        <w:trPr>
          <w:trHeight w:val="20"/>
        </w:trPr>
        <w:tc>
          <w:tcPr>
            <w:tcW w:w="119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5DD9B4B" w14:textId="77777777" w:rsidR="008705D3" w:rsidRPr="008705D3" w:rsidRDefault="008705D3" w:rsidP="00F2350D">
            <w:pPr>
              <w:pStyle w:val="Default"/>
              <w:spacing w:after="10"/>
              <w:ind w:left="57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DGO</w:t>
            </w:r>
          </w:p>
        </w:tc>
        <w:tc>
          <w:tcPr>
            <w:tcW w:w="105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19B4BDC" w14:textId="1B1EEC00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15 363</w:t>
            </w:r>
          </w:p>
        </w:tc>
        <w:tc>
          <w:tcPr>
            <w:tcW w:w="103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DBA18ED" w14:textId="0C508369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2 038</w:t>
            </w:r>
          </w:p>
        </w:tc>
        <w:tc>
          <w:tcPr>
            <w:tcW w:w="109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75B2C6A" w14:textId="07CE0A98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7 198</w:t>
            </w:r>
          </w:p>
        </w:tc>
        <w:tc>
          <w:tcPr>
            <w:tcW w:w="1116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FC3C323" w14:textId="06792C95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3 255</w:t>
            </w:r>
          </w:p>
        </w:tc>
        <w:tc>
          <w:tcPr>
            <w:tcW w:w="109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421ED63" w14:textId="71B00EEB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106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49C9003" w14:textId="0A392F75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2 744</w:t>
            </w:r>
          </w:p>
        </w:tc>
        <w:tc>
          <w:tcPr>
            <w:tcW w:w="137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54D7A8A" w14:textId="4EDE4623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04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862C37F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F2350D" w:rsidRPr="008705D3" w14:paraId="082AD9F6" w14:textId="77777777" w:rsidTr="00F2350D">
        <w:trPr>
          <w:trHeight w:val="20"/>
        </w:trPr>
        <w:tc>
          <w:tcPr>
            <w:tcW w:w="119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9A16F2E" w14:textId="77777777" w:rsidR="008705D3" w:rsidRPr="008705D3" w:rsidRDefault="008705D3" w:rsidP="00F2350D">
            <w:pPr>
              <w:pStyle w:val="Default"/>
              <w:spacing w:after="10"/>
              <w:ind w:left="57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TAMPS</w:t>
            </w:r>
          </w:p>
        </w:tc>
        <w:tc>
          <w:tcPr>
            <w:tcW w:w="105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13308B5" w14:textId="4035941E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13 225</w:t>
            </w:r>
          </w:p>
        </w:tc>
        <w:tc>
          <w:tcPr>
            <w:tcW w:w="103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DE1EF28" w14:textId="62800FD9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3 525</w:t>
            </w:r>
          </w:p>
        </w:tc>
        <w:tc>
          <w:tcPr>
            <w:tcW w:w="109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FA09E7B" w14:textId="65ECE693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8 952</w:t>
            </w:r>
          </w:p>
        </w:tc>
        <w:tc>
          <w:tcPr>
            <w:tcW w:w="1116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FECC36D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9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9121846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6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639E994" w14:textId="4C568113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748</w:t>
            </w:r>
          </w:p>
        </w:tc>
        <w:tc>
          <w:tcPr>
            <w:tcW w:w="137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6C2BCCA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4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7D16C0D" w14:textId="2DA2906B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0</w:t>
            </w:r>
          </w:p>
        </w:tc>
      </w:tr>
      <w:tr w:rsidR="00F2350D" w:rsidRPr="008705D3" w14:paraId="2137E901" w14:textId="77777777" w:rsidTr="00F2350D">
        <w:trPr>
          <w:trHeight w:val="20"/>
        </w:trPr>
        <w:tc>
          <w:tcPr>
            <w:tcW w:w="119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EF85E6C" w14:textId="77777777" w:rsidR="008705D3" w:rsidRPr="008705D3" w:rsidRDefault="008705D3" w:rsidP="00F2350D">
            <w:pPr>
              <w:pStyle w:val="Default"/>
              <w:spacing w:after="10"/>
              <w:ind w:left="57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HGO</w:t>
            </w:r>
          </w:p>
        </w:tc>
        <w:tc>
          <w:tcPr>
            <w:tcW w:w="105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94B4DF2" w14:textId="508B1C88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12 533</w:t>
            </w:r>
          </w:p>
        </w:tc>
        <w:tc>
          <w:tcPr>
            <w:tcW w:w="103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8FA085D" w14:textId="03D26813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4 333</w:t>
            </w:r>
          </w:p>
        </w:tc>
        <w:tc>
          <w:tcPr>
            <w:tcW w:w="109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B1FD49D" w14:textId="39EF4C23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6 656</w:t>
            </w:r>
          </w:p>
        </w:tc>
        <w:tc>
          <w:tcPr>
            <w:tcW w:w="1116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F2C7C66" w14:textId="2C48AD23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546</w:t>
            </w:r>
          </w:p>
        </w:tc>
        <w:tc>
          <w:tcPr>
            <w:tcW w:w="109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8AD4E71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6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BA7026B" w14:textId="7B26EA0F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978</w:t>
            </w:r>
          </w:p>
        </w:tc>
        <w:tc>
          <w:tcPr>
            <w:tcW w:w="137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11493A4" w14:textId="1EEE3331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04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D70F36F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F2350D" w:rsidRPr="008705D3" w14:paraId="3C1D2316" w14:textId="77777777" w:rsidTr="00F2350D">
        <w:trPr>
          <w:trHeight w:val="20"/>
        </w:trPr>
        <w:tc>
          <w:tcPr>
            <w:tcW w:w="119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8F2929E" w14:textId="77777777" w:rsidR="008705D3" w:rsidRPr="008705D3" w:rsidRDefault="008705D3" w:rsidP="00F2350D">
            <w:pPr>
              <w:pStyle w:val="Default"/>
              <w:spacing w:after="10"/>
              <w:ind w:left="57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PUE</w:t>
            </w:r>
          </w:p>
        </w:tc>
        <w:tc>
          <w:tcPr>
            <w:tcW w:w="105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CEFADA4" w14:textId="332EAE73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11 868</w:t>
            </w:r>
          </w:p>
        </w:tc>
        <w:tc>
          <w:tcPr>
            <w:tcW w:w="103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1E511F7" w14:textId="20E74ED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2 076</w:t>
            </w:r>
          </w:p>
        </w:tc>
        <w:tc>
          <w:tcPr>
            <w:tcW w:w="109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BEF2313" w14:textId="64C85882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7 741</w:t>
            </w:r>
          </w:p>
        </w:tc>
        <w:tc>
          <w:tcPr>
            <w:tcW w:w="1116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0214A6D" w14:textId="74F85B39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1 152</w:t>
            </w:r>
          </w:p>
        </w:tc>
        <w:tc>
          <w:tcPr>
            <w:tcW w:w="109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830E5C0" w14:textId="76D09E6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6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6EAF2C2" w14:textId="3C59C9A2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388</w:t>
            </w:r>
          </w:p>
        </w:tc>
        <w:tc>
          <w:tcPr>
            <w:tcW w:w="137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E6FC78D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4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1476C93" w14:textId="5B991B33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501</w:t>
            </w:r>
          </w:p>
        </w:tc>
      </w:tr>
      <w:tr w:rsidR="00F2350D" w:rsidRPr="008705D3" w14:paraId="47CB41BF" w14:textId="77777777" w:rsidTr="00F2350D">
        <w:trPr>
          <w:trHeight w:val="20"/>
        </w:trPr>
        <w:tc>
          <w:tcPr>
            <w:tcW w:w="119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4D7DB1C" w14:textId="77777777" w:rsidR="008705D3" w:rsidRPr="008705D3" w:rsidRDefault="008705D3" w:rsidP="00F2350D">
            <w:pPr>
              <w:pStyle w:val="Default"/>
              <w:spacing w:after="10"/>
              <w:ind w:left="57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AGS</w:t>
            </w:r>
          </w:p>
        </w:tc>
        <w:tc>
          <w:tcPr>
            <w:tcW w:w="105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7FD8C07" w14:textId="1BB55B15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11 147</w:t>
            </w:r>
          </w:p>
        </w:tc>
        <w:tc>
          <w:tcPr>
            <w:tcW w:w="103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4F1ADA0" w14:textId="1773E928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2 194</w:t>
            </w:r>
          </w:p>
        </w:tc>
        <w:tc>
          <w:tcPr>
            <w:tcW w:w="109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69EBF1A" w14:textId="54C463AB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3 553</w:t>
            </w:r>
          </w:p>
        </w:tc>
        <w:tc>
          <w:tcPr>
            <w:tcW w:w="1116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315F21C" w14:textId="0D30838C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1 699</w:t>
            </w:r>
          </w:p>
        </w:tc>
        <w:tc>
          <w:tcPr>
            <w:tcW w:w="109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BF5CF59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6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020657F" w14:textId="19333EF8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267</w:t>
            </w:r>
          </w:p>
        </w:tc>
        <w:tc>
          <w:tcPr>
            <w:tcW w:w="137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5E27CA5" w14:textId="5E0370E8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4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CD4B908" w14:textId="450F52B1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3 432</w:t>
            </w:r>
          </w:p>
        </w:tc>
      </w:tr>
      <w:tr w:rsidR="00F2350D" w:rsidRPr="008705D3" w14:paraId="50D46F0C" w14:textId="77777777" w:rsidTr="00F2350D">
        <w:trPr>
          <w:trHeight w:val="20"/>
        </w:trPr>
        <w:tc>
          <w:tcPr>
            <w:tcW w:w="119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BA60E0F" w14:textId="77777777" w:rsidR="008705D3" w:rsidRPr="008705D3" w:rsidRDefault="008705D3" w:rsidP="00F2350D">
            <w:pPr>
              <w:pStyle w:val="Default"/>
              <w:spacing w:after="10"/>
              <w:ind w:left="57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QRO</w:t>
            </w:r>
          </w:p>
        </w:tc>
        <w:tc>
          <w:tcPr>
            <w:tcW w:w="105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C762ED8" w14:textId="77E4250B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10 722</w:t>
            </w:r>
          </w:p>
        </w:tc>
        <w:tc>
          <w:tcPr>
            <w:tcW w:w="103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CEFBC55" w14:textId="066E018C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2 481</w:t>
            </w:r>
          </w:p>
        </w:tc>
        <w:tc>
          <w:tcPr>
            <w:tcW w:w="109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418D4A3" w14:textId="453E16B9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5 738</w:t>
            </w:r>
          </w:p>
        </w:tc>
        <w:tc>
          <w:tcPr>
            <w:tcW w:w="1116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7A216D4" w14:textId="79FAA041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1 910</w:t>
            </w:r>
          </w:p>
        </w:tc>
        <w:tc>
          <w:tcPr>
            <w:tcW w:w="109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052A3E6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6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D668312" w14:textId="1EE2D0C8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574</w:t>
            </w:r>
          </w:p>
        </w:tc>
        <w:tc>
          <w:tcPr>
            <w:tcW w:w="137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0BF458C" w14:textId="7E70432C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04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4DBD704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F2350D" w:rsidRPr="008705D3" w14:paraId="1530949E" w14:textId="77777777" w:rsidTr="00F2350D">
        <w:trPr>
          <w:trHeight w:val="20"/>
        </w:trPr>
        <w:tc>
          <w:tcPr>
            <w:tcW w:w="119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00B4FADA" w14:textId="77777777" w:rsidR="008705D3" w:rsidRPr="008705D3" w:rsidRDefault="008705D3" w:rsidP="00F2350D">
            <w:pPr>
              <w:pStyle w:val="Default"/>
              <w:spacing w:after="10"/>
              <w:ind w:left="57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MOR</w:t>
            </w:r>
          </w:p>
        </w:tc>
        <w:tc>
          <w:tcPr>
            <w:tcW w:w="105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A08285B" w14:textId="33CDE9DE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10 699</w:t>
            </w:r>
          </w:p>
        </w:tc>
        <w:tc>
          <w:tcPr>
            <w:tcW w:w="103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600F683" w14:textId="7D91BF4A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1 877</w:t>
            </w:r>
          </w:p>
        </w:tc>
        <w:tc>
          <w:tcPr>
            <w:tcW w:w="109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DFDE185" w14:textId="5B646B53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6 910</w:t>
            </w:r>
          </w:p>
        </w:tc>
        <w:tc>
          <w:tcPr>
            <w:tcW w:w="1116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FC194AB" w14:textId="3676294B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1 203</w:t>
            </w:r>
          </w:p>
        </w:tc>
        <w:tc>
          <w:tcPr>
            <w:tcW w:w="109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071266E" w14:textId="6E1AE96D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6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FDC40A5" w14:textId="1979E9DE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709</w:t>
            </w:r>
          </w:p>
        </w:tc>
        <w:tc>
          <w:tcPr>
            <w:tcW w:w="137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FA8EF5A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4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EF341D0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F2350D" w:rsidRPr="008705D3" w14:paraId="18FDB2F5" w14:textId="77777777" w:rsidTr="00F2350D">
        <w:trPr>
          <w:trHeight w:val="20"/>
        </w:trPr>
        <w:tc>
          <w:tcPr>
            <w:tcW w:w="119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03C232E4" w14:textId="77777777" w:rsidR="008705D3" w:rsidRPr="008705D3" w:rsidRDefault="008705D3" w:rsidP="00F2350D">
            <w:pPr>
              <w:pStyle w:val="Default"/>
              <w:spacing w:after="10"/>
              <w:ind w:left="57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SON</w:t>
            </w:r>
          </w:p>
        </w:tc>
        <w:tc>
          <w:tcPr>
            <w:tcW w:w="105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C26FEDD" w14:textId="750DB972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9 227</w:t>
            </w:r>
          </w:p>
        </w:tc>
        <w:tc>
          <w:tcPr>
            <w:tcW w:w="103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F0C3A4E" w14:textId="2A90356A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888</w:t>
            </w:r>
          </w:p>
        </w:tc>
        <w:tc>
          <w:tcPr>
            <w:tcW w:w="109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32589E4" w14:textId="795DE5AB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3 309</w:t>
            </w:r>
          </w:p>
        </w:tc>
        <w:tc>
          <w:tcPr>
            <w:tcW w:w="1116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227DB94" w14:textId="2240B9DF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2 218</w:t>
            </w:r>
          </w:p>
        </w:tc>
        <w:tc>
          <w:tcPr>
            <w:tcW w:w="109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E1F77E2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6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846FF01" w14:textId="28277774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2 637</w:t>
            </w:r>
          </w:p>
        </w:tc>
        <w:tc>
          <w:tcPr>
            <w:tcW w:w="137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6B1A467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4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7FCD17E" w14:textId="0D1E7602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175</w:t>
            </w:r>
          </w:p>
        </w:tc>
      </w:tr>
      <w:tr w:rsidR="00F2350D" w:rsidRPr="008705D3" w14:paraId="5DA07514" w14:textId="77777777" w:rsidTr="00F2350D">
        <w:trPr>
          <w:trHeight w:val="20"/>
        </w:trPr>
        <w:tc>
          <w:tcPr>
            <w:tcW w:w="119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7C70EDC" w14:textId="77777777" w:rsidR="008705D3" w:rsidRPr="008705D3" w:rsidRDefault="008705D3" w:rsidP="00F2350D">
            <w:pPr>
              <w:pStyle w:val="Default"/>
              <w:spacing w:after="10"/>
              <w:ind w:left="57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YUC</w:t>
            </w:r>
          </w:p>
        </w:tc>
        <w:tc>
          <w:tcPr>
            <w:tcW w:w="105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A91EE0F" w14:textId="64A1EE89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8 445</w:t>
            </w:r>
          </w:p>
        </w:tc>
        <w:tc>
          <w:tcPr>
            <w:tcW w:w="103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B666AA7" w14:textId="3348E65F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1 511</w:t>
            </w:r>
          </w:p>
        </w:tc>
        <w:tc>
          <w:tcPr>
            <w:tcW w:w="109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3163ACC" w14:textId="0EBA93DF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4 241</w:t>
            </w:r>
          </w:p>
        </w:tc>
        <w:tc>
          <w:tcPr>
            <w:tcW w:w="1116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6DA6B71" w14:textId="26C77ED2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2 166</w:t>
            </w:r>
          </w:p>
        </w:tc>
        <w:tc>
          <w:tcPr>
            <w:tcW w:w="109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458A4E5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6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7BAACAD" w14:textId="4E59099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496</w:t>
            </w:r>
          </w:p>
        </w:tc>
        <w:tc>
          <w:tcPr>
            <w:tcW w:w="137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F7F2743" w14:textId="48D1D4C0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04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C121AF0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F2350D" w:rsidRPr="008705D3" w14:paraId="44EA59F2" w14:textId="77777777" w:rsidTr="00F2350D">
        <w:trPr>
          <w:trHeight w:val="20"/>
        </w:trPr>
        <w:tc>
          <w:tcPr>
            <w:tcW w:w="119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FB85EE6" w14:textId="77777777" w:rsidR="008705D3" w:rsidRPr="008705D3" w:rsidRDefault="008705D3" w:rsidP="00F2350D">
            <w:pPr>
              <w:pStyle w:val="Default"/>
              <w:spacing w:after="10"/>
              <w:ind w:left="57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JAL</w:t>
            </w:r>
          </w:p>
        </w:tc>
        <w:tc>
          <w:tcPr>
            <w:tcW w:w="105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F1D8735" w14:textId="34DB9CFF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6 986</w:t>
            </w:r>
          </w:p>
        </w:tc>
        <w:tc>
          <w:tcPr>
            <w:tcW w:w="103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AD8B439" w14:textId="6822B4E8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3 810</w:t>
            </w:r>
          </w:p>
        </w:tc>
        <w:tc>
          <w:tcPr>
            <w:tcW w:w="109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686E2D8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FB96749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9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6BC4E28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6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10F5149" w14:textId="1683130F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2 112</w:t>
            </w:r>
          </w:p>
        </w:tc>
        <w:tc>
          <w:tcPr>
            <w:tcW w:w="137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3AE47EB" w14:textId="3D7ED3B5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1 064</w:t>
            </w:r>
          </w:p>
        </w:tc>
        <w:tc>
          <w:tcPr>
            <w:tcW w:w="104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009D983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F2350D" w:rsidRPr="008705D3" w14:paraId="3EB6CC9B" w14:textId="77777777" w:rsidTr="00F2350D">
        <w:trPr>
          <w:trHeight w:val="20"/>
        </w:trPr>
        <w:tc>
          <w:tcPr>
            <w:tcW w:w="119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D896D5B" w14:textId="77777777" w:rsidR="008705D3" w:rsidRPr="008705D3" w:rsidRDefault="008705D3" w:rsidP="00F2350D">
            <w:pPr>
              <w:pStyle w:val="Default"/>
              <w:spacing w:after="10"/>
              <w:ind w:left="57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NAY</w:t>
            </w:r>
          </w:p>
        </w:tc>
        <w:tc>
          <w:tcPr>
            <w:tcW w:w="105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C353119" w14:textId="458C9581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5 561</w:t>
            </w:r>
          </w:p>
        </w:tc>
        <w:tc>
          <w:tcPr>
            <w:tcW w:w="103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FA95B6F" w14:textId="3D504C08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555</w:t>
            </w:r>
          </w:p>
        </w:tc>
        <w:tc>
          <w:tcPr>
            <w:tcW w:w="109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F257284" w14:textId="4C81A466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2 783</w:t>
            </w:r>
          </w:p>
        </w:tc>
        <w:tc>
          <w:tcPr>
            <w:tcW w:w="1116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AA6E67B" w14:textId="248CC090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1 364</w:t>
            </w:r>
          </w:p>
        </w:tc>
        <w:tc>
          <w:tcPr>
            <w:tcW w:w="109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FE4BCD2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6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52CB0B5" w14:textId="46C4102E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710</w:t>
            </w:r>
          </w:p>
        </w:tc>
        <w:tc>
          <w:tcPr>
            <w:tcW w:w="137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E840995" w14:textId="6AAD9391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149</w:t>
            </w:r>
          </w:p>
        </w:tc>
        <w:tc>
          <w:tcPr>
            <w:tcW w:w="104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A70A6AC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F2350D" w:rsidRPr="008705D3" w14:paraId="1BA076B4" w14:textId="77777777" w:rsidTr="00F2350D">
        <w:trPr>
          <w:trHeight w:val="20"/>
        </w:trPr>
        <w:tc>
          <w:tcPr>
            <w:tcW w:w="119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05D43206" w14:textId="77777777" w:rsidR="008705D3" w:rsidRPr="008705D3" w:rsidRDefault="008705D3" w:rsidP="00F2350D">
            <w:pPr>
              <w:pStyle w:val="Default"/>
              <w:spacing w:after="10"/>
              <w:ind w:left="57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QROO</w:t>
            </w:r>
          </w:p>
        </w:tc>
        <w:tc>
          <w:tcPr>
            <w:tcW w:w="105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88FD03F" w14:textId="2003203B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4 964</w:t>
            </w:r>
          </w:p>
        </w:tc>
        <w:tc>
          <w:tcPr>
            <w:tcW w:w="103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034BFFB" w14:textId="32F84942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1 571</w:t>
            </w:r>
          </w:p>
        </w:tc>
        <w:tc>
          <w:tcPr>
            <w:tcW w:w="109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2B5B16A" w14:textId="7A1F29F0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2 702</w:t>
            </w:r>
          </w:p>
        </w:tc>
        <w:tc>
          <w:tcPr>
            <w:tcW w:w="1116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F63EFF3" w14:textId="1898C889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311</w:t>
            </w:r>
          </w:p>
        </w:tc>
        <w:tc>
          <w:tcPr>
            <w:tcW w:w="109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7F90739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6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796D402" w14:textId="3851FC6C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368</w:t>
            </w:r>
          </w:p>
        </w:tc>
        <w:tc>
          <w:tcPr>
            <w:tcW w:w="137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0503F0E" w14:textId="3C4D8E1B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4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18FFB17" w14:textId="0651779B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9</w:t>
            </w:r>
          </w:p>
        </w:tc>
      </w:tr>
      <w:tr w:rsidR="00F2350D" w:rsidRPr="008705D3" w14:paraId="051D18E7" w14:textId="77777777" w:rsidTr="00F2350D">
        <w:trPr>
          <w:trHeight w:val="20"/>
        </w:trPr>
        <w:tc>
          <w:tcPr>
            <w:tcW w:w="119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5F68698" w14:textId="77777777" w:rsidR="008705D3" w:rsidRPr="008705D3" w:rsidRDefault="008705D3" w:rsidP="00F2350D">
            <w:pPr>
              <w:pStyle w:val="Default"/>
              <w:spacing w:after="10"/>
              <w:ind w:left="57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CHIS</w:t>
            </w:r>
          </w:p>
        </w:tc>
        <w:tc>
          <w:tcPr>
            <w:tcW w:w="105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D965FB2" w14:textId="7E6627F5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4 874</w:t>
            </w:r>
          </w:p>
        </w:tc>
        <w:tc>
          <w:tcPr>
            <w:tcW w:w="103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CE1E77C" w14:textId="3017DA1E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910</w:t>
            </w:r>
          </w:p>
        </w:tc>
        <w:tc>
          <w:tcPr>
            <w:tcW w:w="109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17A663F" w14:textId="1E176AF8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3 376</w:t>
            </w:r>
          </w:p>
        </w:tc>
        <w:tc>
          <w:tcPr>
            <w:tcW w:w="1116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FB175CD" w14:textId="036F7D2C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159</w:t>
            </w:r>
          </w:p>
        </w:tc>
        <w:tc>
          <w:tcPr>
            <w:tcW w:w="109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600F710" w14:textId="6721A2A0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06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E13067E" w14:textId="1068C352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391</w:t>
            </w:r>
          </w:p>
        </w:tc>
        <w:tc>
          <w:tcPr>
            <w:tcW w:w="137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AECD5E8" w14:textId="1E19E98C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04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AD6FFB8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F2350D" w:rsidRPr="008705D3" w14:paraId="4A059A5E" w14:textId="77777777" w:rsidTr="00F2350D">
        <w:trPr>
          <w:trHeight w:val="20"/>
        </w:trPr>
        <w:tc>
          <w:tcPr>
            <w:tcW w:w="119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8510E57" w14:textId="77777777" w:rsidR="008705D3" w:rsidRPr="008705D3" w:rsidRDefault="008705D3" w:rsidP="00F2350D">
            <w:pPr>
              <w:pStyle w:val="Default"/>
              <w:spacing w:after="10"/>
              <w:ind w:left="57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OAX</w:t>
            </w:r>
          </w:p>
        </w:tc>
        <w:tc>
          <w:tcPr>
            <w:tcW w:w="105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89FF0D3" w14:textId="632161A5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3 634</w:t>
            </w:r>
          </w:p>
        </w:tc>
        <w:tc>
          <w:tcPr>
            <w:tcW w:w="103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AE6CAF5" w14:textId="12ABE33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1 062</w:t>
            </w:r>
          </w:p>
        </w:tc>
        <w:tc>
          <w:tcPr>
            <w:tcW w:w="109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304FFF4" w14:textId="67387A83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918</w:t>
            </w:r>
          </w:p>
        </w:tc>
        <w:tc>
          <w:tcPr>
            <w:tcW w:w="1116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1DC2382" w14:textId="7CC0E301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124</w:t>
            </w:r>
          </w:p>
        </w:tc>
        <w:tc>
          <w:tcPr>
            <w:tcW w:w="109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54B1356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6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C318D4E" w14:textId="0ED1A164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1 313</w:t>
            </w:r>
          </w:p>
        </w:tc>
        <w:tc>
          <w:tcPr>
            <w:tcW w:w="137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406B29F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4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FFF239B" w14:textId="1B292EE8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217</w:t>
            </w:r>
          </w:p>
        </w:tc>
      </w:tr>
      <w:tr w:rsidR="00F2350D" w:rsidRPr="008705D3" w14:paraId="401EA230" w14:textId="77777777" w:rsidTr="00F2350D">
        <w:trPr>
          <w:trHeight w:val="20"/>
        </w:trPr>
        <w:tc>
          <w:tcPr>
            <w:tcW w:w="119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3FFF6AB" w14:textId="77777777" w:rsidR="008705D3" w:rsidRPr="008705D3" w:rsidRDefault="008705D3" w:rsidP="00F2350D">
            <w:pPr>
              <w:pStyle w:val="Default"/>
              <w:spacing w:after="10"/>
              <w:ind w:left="57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VER</w:t>
            </w:r>
          </w:p>
        </w:tc>
        <w:tc>
          <w:tcPr>
            <w:tcW w:w="105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DA6D4E4" w14:textId="15F928E4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2 717</w:t>
            </w:r>
          </w:p>
        </w:tc>
        <w:tc>
          <w:tcPr>
            <w:tcW w:w="103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441EF58" w14:textId="12A2658F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871</w:t>
            </w:r>
          </w:p>
        </w:tc>
        <w:tc>
          <w:tcPr>
            <w:tcW w:w="109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087C582" w14:textId="7B1ED14C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1 305</w:t>
            </w:r>
          </w:p>
        </w:tc>
        <w:tc>
          <w:tcPr>
            <w:tcW w:w="1116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3B0CB17" w14:textId="68505335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203</w:t>
            </w:r>
          </w:p>
        </w:tc>
        <w:tc>
          <w:tcPr>
            <w:tcW w:w="109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06C1A67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6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E3DD494" w14:textId="6C95092B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209</w:t>
            </w:r>
          </w:p>
        </w:tc>
        <w:tc>
          <w:tcPr>
            <w:tcW w:w="137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5113903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4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0C4FCB0" w14:textId="2C8DAC8F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129</w:t>
            </w:r>
          </w:p>
        </w:tc>
      </w:tr>
      <w:tr w:rsidR="00F2350D" w:rsidRPr="008705D3" w14:paraId="5645EC6D" w14:textId="77777777" w:rsidTr="00F2350D">
        <w:trPr>
          <w:trHeight w:val="20"/>
        </w:trPr>
        <w:tc>
          <w:tcPr>
            <w:tcW w:w="119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240D264" w14:textId="77777777" w:rsidR="008705D3" w:rsidRPr="008705D3" w:rsidRDefault="008705D3" w:rsidP="00F2350D">
            <w:pPr>
              <w:pStyle w:val="Default"/>
              <w:spacing w:after="10"/>
              <w:ind w:left="57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SIN</w:t>
            </w:r>
          </w:p>
        </w:tc>
        <w:tc>
          <w:tcPr>
            <w:tcW w:w="105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BD4470E" w14:textId="5221C031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2 611</w:t>
            </w:r>
          </w:p>
        </w:tc>
        <w:tc>
          <w:tcPr>
            <w:tcW w:w="103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9B6C052" w14:textId="73D6F442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1 121</w:t>
            </w:r>
          </w:p>
        </w:tc>
        <w:tc>
          <w:tcPr>
            <w:tcW w:w="109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2FCFAA1" w14:textId="18658DBA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336</w:t>
            </w:r>
          </w:p>
        </w:tc>
        <w:tc>
          <w:tcPr>
            <w:tcW w:w="1116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E27E175" w14:textId="0AFAD4E4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109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B011FB7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6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52AA3FF" w14:textId="53C5EAC5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713</w:t>
            </w:r>
          </w:p>
        </w:tc>
        <w:tc>
          <w:tcPr>
            <w:tcW w:w="137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FE2327E" w14:textId="6ACC6D64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04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3B80934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F2350D" w:rsidRPr="008705D3" w14:paraId="136D2DC3" w14:textId="77777777" w:rsidTr="00F2350D">
        <w:trPr>
          <w:trHeight w:val="20"/>
        </w:trPr>
        <w:tc>
          <w:tcPr>
            <w:tcW w:w="119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38BF7F3" w14:textId="77777777" w:rsidR="008705D3" w:rsidRPr="008705D3" w:rsidRDefault="008705D3" w:rsidP="00F2350D">
            <w:pPr>
              <w:pStyle w:val="Default"/>
              <w:spacing w:after="10"/>
              <w:ind w:left="57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GRO</w:t>
            </w:r>
          </w:p>
        </w:tc>
        <w:tc>
          <w:tcPr>
            <w:tcW w:w="105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BB403C3" w14:textId="3F8D8FC3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1 726</w:t>
            </w:r>
          </w:p>
        </w:tc>
        <w:tc>
          <w:tcPr>
            <w:tcW w:w="103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4012B8E" w14:textId="34D0FE30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109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BF0A6A6" w14:textId="50B442D1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1 101</w:t>
            </w:r>
          </w:p>
        </w:tc>
        <w:tc>
          <w:tcPr>
            <w:tcW w:w="1116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A3613C3" w14:textId="2E741B6D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09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7A0D112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6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F815FFA" w14:textId="374CF3B9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465</w:t>
            </w:r>
          </w:p>
        </w:tc>
        <w:tc>
          <w:tcPr>
            <w:tcW w:w="137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14BDBC1" w14:textId="1E2ED2DB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4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63A3E19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F2350D" w:rsidRPr="008705D3" w14:paraId="506066C5" w14:textId="77777777" w:rsidTr="00F2350D">
        <w:trPr>
          <w:trHeight w:val="20"/>
        </w:trPr>
        <w:tc>
          <w:tcPr>
            <w:tcW w:w="119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E814743" w14:textId="77777777" w:rsidR="008705D3" w:rsidRPr="008705D3" w:rsidRDefault="008705D3" w:rsidP="00F2350D">
            <w:pPr>
              <w:pStyle w:val="Default"/>
              <w:spacing w:after="10"/>
              <w:ind w:left="57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TLAX</w:t>
            </w:r>
          </w:p>
        </w:tc>
        <w:tc>
          <w:tcPr>
            <w:tcW w:w="105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097C2BD" w14:textId="055BDC73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1 198</w:t>
            </w:r>
          </w:p>
        </w:tc>
        <w:tc>
          <w:tcPr>
            <w:tcW w:w="103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91687A0" w14:textId="3024E6CB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679</w:t>
            </w:r>
          </w:p>
        </w:tc>
        <w:tc>
          <w:tcPr>
            <w:tcW w:w="109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05E0374" w14:textId="12B6CA5F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479</w:t>
            </w:r>
          </w:p>
        </w:tc>
        <w:tc>
          <w:tcPr>
            <w:tcW w:w="1116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1B75C92" w14:textId="097E6313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09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2672860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6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A84D4D3" w14:textId="50AB8B18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37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4E57659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4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1FA0A0C" w14:textId="6004049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0</w:t>
            </w:r>
          </w:p>
        </w:tc>
      </w:tr>
      <w:tr w:rsidR="00F2350D" w:rsidRPr="008705D3" w14:paraId="1308DA00" w14:textId="77777777" w:rsidTr="00F2350D">
        <w:trPr>
          <w:trHeight w:val="20"/>
        </w:trPr>
        <w:tc>
          <w:tcPr>
            <w:tcW w:w="119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D536970" w14:textId="77777777" w:rsidR="008705D3" w:rsidRPr="008705D3" w:rsidRDefault="008705D3" w:rsidP="00F2350D">
            <w:pPr>
              <w:pStyle w:val="Default"/>
              <w:spacing w:after="10"/>
              <w:ind w:left="57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BC</w:t>
            </w:r>
          </w:p>
        </w:tc>
        <w:tc>
          <w:tcPr>
            <w:tcW w:w="105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400A74F" w14:textId="1530EBC6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1 148</w:t>
            </w:r>
          </w:p>
        </w:tc>
        <w:tc>
          <w:tcPr>
            <w:tcW w:w="103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81F4F53" w14:textId="10D1D962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594</w:t>
            </w:r>
          </w:p>
        </w:tc>
        <w:tc>
          <w:tcPr>
            <w:tcW w:w="109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43303E2" w14:textId="5D8D3EE5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352</w:t>
            </w:r>
          </w:p>
        </w:tc>
        <w:tc>
          <w:tcPr>
            <w:tcW w:w="1116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428E20C" w14:textId="0EB2BD2C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109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F74C466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6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D9F2EF6" w14:textId="7A0FFCA0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137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ED945CC" w14:textId="525B7671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04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0575FF3" w14:textId="19DBB1AF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19</w:t>
            </w:r>
          </w:p>
        </w:tc>
      </w:tr>
      <w:tr w:rsidR="00F2350D" w:rsidRPr="008705D3" w14:paraId="4FDBBC6E" w14:textId="77777777" w:rsidTr="00F2350D">
        <w:trPr>
          <w:trHeight w:val="20"/>
        </w:trPr>
        <w:tc>
          <w:tcPr>
            <w:tcW w:w="119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59FFAFB" w14:textId="77777777" w:rsidR="008705D3" w:rsidRPr="008705D3" w:rsidRDefault="008705D3" w:rsidP="00F2350D">
            <w:pPr>
              <w:pStyle w:val="Default"/>
              <w:spacing w:after="10"/>
              <w:ind w:left="57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CAMP</w:t>
            </w:r>
          </w:p>
        </w:tc>
        <w:tc>
          <w:tcPr>
            <w:tcW w:w="105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56C45DF" w14:textId="1C3C37E1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882</w:t>
            </w:r>
          </w:p>
        </w:tc>
        <w:tc>
          <w:tcPr>
            <w:tcW w:w="103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5C18248" w14:textId="4D387A25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317</w:t>
            </w:r>
          </w:p>
        </w:tc>
        <w:tc>
          <w:tcPr>
            <w:tcW w:w="109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BAFF12C" w14:textId="0AB2BB41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169</w:t>
            </w:r>
          </w:p>
        </w:tc>
        <w:tc>
          <w:tcPr>
            <w:tcW w:w="1116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7C43034" w14:textId="05C66FFA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219</w:t>
            </w:r>
          </w:p>
        </w:tc>
        <w:tc>
          <w:tcPr>
            <w:tcW w:w="109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C7A0140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6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F8EBD3B" w14:textId="28C2889D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37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1FE5721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4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5614689" w14:textId="49FFAAC1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123</w:t>
            </w:r>
          </w:p>
        </w:tc>
      </w:tr>
      <w:tr w:rsidR="00F2350D" w:rsidRPr="008705D3" w14:paraId="1E9F79B3" w14:textId="77777777" w:rsidTr="00F2350D">
        <w:trPr>
          <w:trHeight w:val="20"/>
        </w:trPr>
        <w:tc>
          <w:tcPr>
            <w:tcW w:w="119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BD89D74" w14:textId="77777777" w:rsidR="008705D3" w:rsidRPr="008705D3" w:rsidRDefault="008705D3" w:rsidP="00F2350D">
            <w:pPr>
              <w:pStyle w:val="Default"/>
              <w:spacing w:after="10"/>
              <w:ind w:left="57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BCS</w:t>
            </w:r>
          </w:p>
        </w:tc>
        <w:tc>
          <w:tcPr>
            <w:tcW w:w="105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01D4EA6" w14:textId="70467F09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842</w:t>
            </w:r>
          </w:p>
        </w:tc>
        <w:tc>
          <w:tcPr>
            <w:tcW w:w="103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F5EF22B" w14:textId="5B845CB3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09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87D60D8" w14:textId="7FE53689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155</w:t>
            </w:r>
          </w:p>
        </w:tc>
        <w:tc>
          <w:tcPr>
            <w:tcW w:w="1116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CF9250B" w14:textId="176A1B1C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476</w:t>
            </w:r>
          </w:p>
        </w:tc>
        <w:tc>
          <w:tcPr>
            <w:tcW w:w="109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D0F0A75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6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5112742" w14:textId="5C9EC608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134</w:t>
            </w:r>
          </w:p>
        </w:tc>
        <w:tc>
          <w:tcPr>
            <w:tcW w:w="137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E1BF973" w14:textId="521FF7F9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4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23D8EE3" w14:textId="2F78E7D8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</w:t>
            </w:r>
          </w:p>
        </w:tc>
      </w:tr>
      <w:tr w:rsidR="00F2350D" w:rsidRPr="008705D3" w14:paraId="66975440" w14:textId="77777777" w:rsidTr="00F2350D">
        <w:trPr>
          <w:trHeight w:val="20"/>
        </w:trPr>
        <w:tc>
          <w:tcPr>
            <w:tcW w:w="119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70C9CB2" w14:textId="77777777" w:rsidR="008705D3" w:rsidRPr="008705D3" w:rsidRDefault="008705D3" w:rsidP="00F2350D">
            <w:pPr>
              <w:pStyle w:val="Default"/>
              <w:spacing w:after="10"/>
              <w:ind w:left="57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TAB</w:t>
            </w:r>
          </w:p>
        </w:tc>
        <w:tc>
          <w:tcPr>
            <w:tcW w:w="105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9E43C3E" w14:textId="4C6321E2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362</w:t>
            </w:r>
          </w:p>
        </w:tc>
        <w:tc>
          <w:tcPr>
            <w:tcW w:w="103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3E7FFB8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98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64A36F2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116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82ABA8F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9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A43AEDA" w14:textId="1217C1D5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188</w:t>
            </w:r>
          </w:p>
        </w:tc>
        <w:tc>
          <w:tcPr>
            <w:tcW w:w="106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197D629" w14:textId="3473BCFB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174</w:t>
            </w:r>
          </w:p>
        </w:tc>
        <w:tc>
          <w:tcPr>
            <w:tcW w:w="1373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8FFAB1F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  <w:tc>
          <w:tcPr>
            <w:tcW w:w="1041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354C85D" w14:textId="77777777" w:rsidR="008705D3" w:rsidRPr="008705D3" w:rsidRDefault="008705D3" w:rsidP="00F2350D">
            <w:pPr>
              <w:pStyle w:val="Default"/>
              <w:spacing w:after="10"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705D3">
              <w:rPr>
                <w:bCs/>
                <w:iCs/>
                <w:color w:val="000000" w:themeColor="text1"/>
                <w:sz w:val="18"/>
                <w:szCs w:val="18"/>
              </w:rPr>
              <w:t>NA</w:t>
            </w:r>
          </w:p>
        </w:tc>
      </w:tr>
    </w:tbl>
    <w:p w14:paraId="30C5B082" w14:textId="77777777" w:rsidR="007F6C95" w:rsidRDefault="007F6C95" w:rsidP="00AF3262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55FFAA7A" w14:textId="5D130A0F" w:rsidR="00B75081" w:rsidRDefault="00B75081" w:rsidP="00B75081">
      <w:pPr>
        <w:pStyle w:val="Default"/>
        <w:jc w:val="center"/>
      </w:pPr>
    </w:p>
    <w:p w14:paraId="5E2A6F76" w14:textId="7BD972E7" w:rsidR="00174907" w:rsidRDefault="00174907" w:rsidP="00174907">
      <w:pPr>
        <w:spacing w:after="0"/>
        <w:jc w:val="both"/>
        <w:rPr>
          <w:rFonts w:ascii="Arial" w:hAnsi="Arial" w:cs="Arial"/>
          <w:iCs/>
          <w:noProof/>
          <w:sz w:val="24"/>
          <w:szCs w:val="24"/>
          <w:lang w:eastAsia="es-MX"/>
        </w:rPr>
      </w:pPr>
    </w:p>
    <w:p w14:paraId="4C8A2FB1" w14:textId="77777777" w:rsidR="004D6A38" w:rsidRPr="004D6A38" w:rsidRDefault="004D6A38" w:rsidP="004D6A38">
      <w:pPr>
        <w:spacing w:after="0"/>
        <w:jc w:val="both"/>
        <w:rPr>
          <w:rFonts w:ascii="Arial" w:hAnsi="Arial" w:cs="Arial"/>
          <w:iCs/>
          <w:noProof/>
          <w:sz w:val="16"/>
          <w:szCs w:val="16"/>
          <w:lang w:eastAsia="es-MX"/>
        </w:rPr>
      </w:pPr>
      <w:r w:rsidRPr="004D6A38">
        <w:rPr>
          <w:rFonts w:ascii="Arial" w:hAnsi="Arial" w:cs="Arial"/>
          <w:iCs/>
          <w:noProof/>
          <w:sz w:val="16"/>
          <w:szCs w:val="16"/>
          <w:lang w:eastAsia="es-MX"/>
        </w:rPr>
        <w:t>(-): No contó con datos o elementos para responder.</w:t>
      </w:r>
    </w:p>
    <w:p w14:paraId="6C5469B2" w14:textId="4E694380" w:rsidR="004D6A38" w:rsidRDefault="004D6A38" w:rsidP="004D6A38">
      <w:pPr>
        <w:spacing w:after="0"/>
        <w:jc w:val="both"/>
        <w:rPr>
          <w:rFonts w:ascii="Arial" w:hAnsi="Arial" w:cs="Arial"/>
          <w:iCs/>
          <w:noProof/>
          <w:sz w:val="16"/>
          <w:szCs w:val="16"/>
          <w:lang w:eastAsia="es-MX"/>
        </w:rPr>
      </w:pPr>
      <w:r w:rsidRPr="004D6A38">
        <w:rPr>
          <w:rFonts w:ascii="Arial" w:hAnsi="Arial" w:cs="Arial"/>
          <w:iCs/>
          <w:noProof/>
          <w:sz w:val="16"/>
          <w:szCs w:val="16"/>
          <w:lang w:eastAsia="es-MX"/>
        </w:rPr>
        <w:t>NA: No aplica.</w:t>
      </w:r>
    </w:p>
    <w:p w14:paraId="6019F370" w14:textId="5E237A8B" w:rsidR="0019487C" w:rsidRPr="004D6A38" w:rsidRDefault="004D6A38" w:rsidP="004D6A38">
      <w:pPr>
        <w:spacing w:after="0"/>
        <w:jc w:val="both"/>
        <w:rPr>
          <w:rFonts w:ascii="Arial" w:hAnsi="Arial" w:cs="Arial"/>
          <w:iCs/>
          <w:noProof/>
          <w:sz w:val="16"/>
          <w:szCs w:val="16"/>
          <w:lang w:eastAsia="es-MX"/>
        </w:rPr>
      </w:pPr>
      <w:r w:rsidRPr="004D6A38">
        <w:rPr>
          <w:rFonts w:ascii="Arial" w:hAnsi="Arial" w:cs="Arial"/>
          <w:iCs/>
          <w:noProof/>
          <w:sz w:val="16"/>
          <w:szCs w:val="16"/>
          <w:lang w:eastAsia="es-MX"/>
        </w:rPr>
        <w:t xml:space="preserve">Nota: No se incluyen los estados de Colima y Zacatecas </w:t>
      </w:r>
      <w:r w:rsidR="008D014B">
        <w:rPr>
          <w:rFonts w:ascii="Arial" w:hAnsi="Arial" w:cs="Arial"/>
          <w:iCs/>
          <w:noProof/>
          <w:sz w:val="16"/>
          <w:szCs w:val="16"/>
          <w:lang w:eastAsia="es-MX"/>
        </w:rPr>
        <w:t xml:space="preserve">porque </w:t>
      </w:r>
      <w:r w:rsidRPr="004D6A38">
        <w:rPr>
          <w:rFonts w:ascii="Arial" w:hAnsi="Arial" w:cs="Arial"/>
          <w:iCs/>
          <w:noProof/>
          <w:sz w:val="16"/>
          <w:szCs w:val="16"/>
          <w:lang w:eastAsia="es-MX"/>
        </w:rPr>
        <w:t xml:space="preserve">reportaron no contar con datos o elementos para responder, o bien, </w:t>
      </w:r>
      <w:r w:rsidR="008D014B">
        <w:rPr>
          <w:rFonts w:ascii="Arial" w:hAnsi="Arial" w:cs="Arial"/>
          <w:iCs/>
          <w:noProof/>
          <w:sz w:val="16"/>
          <w:szCs w:val="16"/>
          <w:lang w:eastAsia="es-MX"/>
        </w:rPr>
        <w:t>no contar</w:t>
      </w:r>
      <w:r w:rsidR="0088541A">
        <w:rPr>
          <w:rFonts w:ascii="Arial" w:hAnsi="Arial" w:cs="Arial"/>
          <w:iCs/>
          <w:noProof/>
          <w:sz w:val="16"/>
          <w:szCs w:val="16"/>
          <w:lang w:eastAsia="es-MX"/>
        </w:rPr>
        <w:t>on</w:t>
      </w:r>
      <w:r w:rsidR="008D014B">
        <w:rPr>
          <w:rFonts w:ascii="Arial" w:hAnsi="Arial" w:cs="Arial"/>
          <w:iCs/>
          <w:noProof/>
          <w:sz w:val="16"/>
          <w:szCs w:val="16"/>
          <w:lang w:eastAsia="es-MX"/>
        </w:rPr>
        <w:t xml:space="preserve"> </w:t>
      </w:r>
      <w:r w:rsidRPr="004D6A38">
        <w:rPr>
          <w:rFonts w:ascii="Arial" w:hAnsi="Arial" w:cs="Arial"/>
          <w:iCs/>
          <w:noProof/>
          <w:sz w:val="16"/>
          <w:szCs w:val="16"/>
          <w:lang w:eastAsia="es-MX"/>
        </w:rPr>
        <w:t>con</w:t>
      </w:r>
      <w:r w:rsidR="009D532C">
        <w:rPr>
          <w:rFonts w:ascii="Arial" w:hAnsi="Arial" w:cs="Arial"/>
          <w:iCs/>
          <w:noProof/>
          <w:sz w:val="16"/>
          <w:szCs w:val="16"/>
          <w:lang w:eastAsia="es-MX"/>
        </w:rPr>
        <w:t xml:space="preserve"> órganos jurisdiccionales en</w:t>
      </w:r>
      <w:r w:rsidRPr="004D6A38">
        <w:rPr>
          <w:rFonts w:ascii="Arial" w:hAnsi="Arial" w:cs="Arial"/>
          <w:iCs/>
          <w:noProof/>
          <w:sz w:val="16"/>
          <w:szCs w:val="16"/>
          <w:lang w:eastAsia="es-MX"/>
        </w:rPr>
        <w:t xml:space="preserve"> la materia para su atención. San Luis Potosí reportó no haber publicado sentencias emitidas en su sitio web.</w:t>
      </w:r>
    </w:p>
    <w:p w14:paraId="487D8643" w14:textId="27CBFA50" w:rsidR="0019487C" w:rsidRPr="004D6A38" w:rsidRDefault="0019487C" w:rsidP="00174907">
      <w:pPr>
        <w:spacing w:after="0"/>
        <w:jc w:val="both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574E848F" w14:textId="7A40564F" w:rsidR="00137C7B" w:rsidRDefault="00137C7B" w:rsidP="00174907">
      <w:pPr>
        <w:spacing w:after="0"/>
        <w:jc w:val="both"/>
        <w:rPr>
          <w:rFonts w:ascii="Arial" w:hAnsi="Arial" w:cs="Arial"/>
          <w:iCs/>
          <w:noProof/>
          <w:sz w:val="24"/>
          <w:szCs w:val="24"/>
          <w:lang w:eastAsia="es-MX"/>
        </w:rPr>
      </w:pPr>
    </w:p>
    <w:p w14:paraId="113C1847" w14:textId="77777777" w:rsidR="00137C7B" w:rsidRDefault="00137C7B" w:rsidP="00174907">
      <w:pPr>
        <w:spacing w:after="0"/>
        <w:jc w:val="both"/>
        <w:rPr>
          <w:rFonts w:ascii="Arial" w:hAnsi="Arial" w:cs="Arial"/>
          <w:iCs/>
          <w:noProof/>
          <w:sz w:val="24"/>
          <w:szCs w:val="24"/>
          <w:lang w:eastAsia="es-MX"/>
        </w:rPr>
      </w:pPr>
    </w:p>
    <w:p w14:paraId="681D875D" w14:textId="4FDEF2E5" w:rsidR="0019487C" w:rsidRDefault="0019487C" w:rsidP="00174907">
      <w:pPr>
        <w:spacing w:after="0"/>
        <w:jc w:val="both"/>
        <w:rPr>
          <w:rFonts w:ascii="Arial" w:hAnsi="Arial" w:cs="Arial"/>
          <w:iCs/>
          <w:noProof/>
          <w:sz w:val="24"/>
          <w:szCs w:val="24"/>
          <w:lang w:eastAsia="es-MX"/>
        </w:rPr>
      </w:pPr>
    </w:p>
    <w:p w14:paraId="0CB0CACA" w14:textId="2131100B" w:rsidR="00BB397B" w:rsidRPr="00EE4031" w:rsidRDefault="00B85694" w:rsidP="00174907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  <w:r w:rsidRPr="002570E4">
        <w:rPr>
          <w:rFonts w:ascii="Arial Negrita" w:hAnsi="Arial Negrita" w:cs="Arial"/>
          <w:b/>
          <w:bCs/>
          <w:sz w:val="24"/>
          <w:szCs w:val="24"/>
        </w:rPr>
        <w:lastRenderedPageBreak/>
        <w:t>Defensor</w:t>
      </w:r>
      <w:r w:rsidRPr="002570E4">
        <w:rPr>
          <w:rFonts w:ascii="Arial Negrita" w:hAnsi="Arial Negrita" w:cs="Arial" w:hint="eastAsia"/>
          <w:b/>
          <w:bCs/>
          <w:sz w:val="24"/>
          <w:szCs w:val="24"/>
        </w:rPr>
        <w:t>í</w:t>
      </w:r>
      <w:r w:rsidRPr="002570E4">
        <w:rPr>
          <w:rFonts w:ascii="Arial Negrita" w:hAnsi="Arial Negrita" w:cs="Arial"/>
          <w:b/>
          <w:bCs/>
          <w:sz w:val="24"/>
          <w:szCs w:val="24"/>
        </w:rPr>
        <w:t>a p</w:t>
      </w:r>
      <w:r w:rsidRPr="002570E4">
        <w:rPr>
          <w:rFonts w:ascii="Arial Negrita" w:hAnsi="Arial Negrita" w:cs="Arial" w:hint="eastAsia"/>
          <w:b/>
          <w:bCs/>
          <w:sz w:val="24"/>
          <w:szCs w:val="24"/>
        </w:rPr>
        <w:t>ú</w:t>
      </w:r>
      <w:r w:rsidRPr="002570E4">
        <w:rPr>
          <w:rFonts w:ascii="Arial Negrita" w:hAnsi="Arial Negrita" w:cs="Arial"/>
          <w:b/>
          <w:bCs/>
          <w:sz w:val="24"/>
          <w:szCs w:val="24"/>
        </w:rPr>
        <w:t>blica o de oficio</w:t>
      </w:r>
      <w:r w:rsidR="00BD3186">
        <w:rPr>
          <w:rStyle w:val="Refdenotaalpie"/>
          <w:rFonts w:ascii="Arial Negrita" w:hAnsi="Arial Negrita" w:cs="Arial"/>
          <w:b/>
          <w:bCs/>
          <w:smallCaps/>
          <w:sz w:val="24"/>
          <w:szCs w:val="24"/>
        </w:rPr>
        <w:footnoteReference w:id="10"/>
      </w:r>
      <w:r>
        <w:rPr>
          <w:rFonts w:ascii="Arial Negrita" w:hAnsi="Arial Negrita" w:cs="Arial"/>
          <w:b/>
          <w:bCs/>
          <w:smallCaps/>
          <w:sz w:val="24"/>
          <w:szCs w:val="24"/>
        </w:rPr>
        <w:t xml:space="preserve"> </w:t>
      </w:r>
    </w:p>
    <w:p w14:paraId="2AFFC4DE" w14:textId="77777777" w:rsidR="00174907" w:rsidRDefault="00174907" w:rsidP="00174907">
      <w:pPr>
        <w:spacing w:after="0"/>
        <w:jc w:val="both"/>
        <w:rPr>
          <w:rFonts w:ascii="Arial" w:hAnsi="Arial" w:cs="Arial"/>
          <w:iCs/>
          <w:noProof/>
          <w:sz w:val="24"/>
          <w:szCs w:val="24"/>
          <w:lang w:eastAsia="es-MX"/>
        </w:rPr>
      </w:pPr>
    </w:p>
    <w:p w14:paraId="6BF38B19" w14:textId="70D161E0" w:rsidR="00810B87" w:rsidRDefault="00416247" w:rsidP="00416247">
      <w:pPr>
        <w:pStyle w:val="Default"/>
        <w:jc w:val="both"/>
      </w:pPr>
      <w:r w:rsidRPr="00416247">
        <w:rPr>
          <w:iCs/>
          <w:noProof/>
          <w:color w:val="auto"/>
          <w:lang w:eastAsia="es-MX"/>
        </w:rPr>
        <w:t>Al cierre de 2021, las defensorías públicas o de oficio a cargo de los poderes judiciales estatales contaron con 936 servidoras y servidores públicos</w:t>
      </w:r>
      <w:r w:rsidR="002D2711">
        <w:rPr>
          <w:iCs/>
          <w:noProof/>
          <w:color w:val="auto"/>
          <w:lang w:eastAsia="es-MX"/>
        </w:rPr>
        <w:t>.</w:t>
      </w:r>
      <w:r w:rsidRPr="00416247">
        <w:rPr>
          <w:iCs/>
          <w:noProof/>
          <w:color w:val="auto"/>
          <w:lang w:eastAsia="es-MX"/>
        </w:rPr>
        <w:t xml:space="preserve"> </w:t>
      </w:r>
      <w:r w:rsidR="002D2711">
        <w:rPr>
          <w:iCs/>
          <w:noProof/>
          <w:color w:val="auto"/>
          <w:lang w:eastAsia="es-MX"/>
        </w:rPr>
        <w:t>Del total</w:t>
      </w:r>
      <w:r w:rsidRPr="00416247">
        <w:rPr>
          <w:iCs/>
          <w:noProof/>
          <w:color w:val="auto"/>
          <w:lang w:eastAsia="es-MX"/>
        </w:rPr>
        <w:t>, 54.5 % fueron mujeres y 45.5 %</w:t>
      </w:r>
      <w:r w:rsidR="002D2711">
        <w:rPr>
          <w:iCs/>
          <w:noProof/>
          <w:color w:val="auto"/>
          <w:lang w:eastAsia="es-MX"/>
        </w:rPr>
        <w:t>,</w:t>
      </w:r>
      <w:r w:rsidRPr="00416247">
        <w:rPr>
          <w:iCs/>
          <w:noProof/>
          <w:color w:val="auto"/>
          <w:lang w:eastAsia="es-MX"/>
        </w:rPr>
        <w:t xml:space="preserve"> hombres. </w:t>
      </w:r>
      <w:r w:rsidR="002D2711">
        <w:rPr>
          <w:iCs/>
          <w:noProof/>
          <w:color w:val="auto"/>
          <w:lang w:eastAsia="es-MX"/>
        </w:rPr>
        <w:t>Específicamente</w:t>
      </w:r>
      <w:r w:rsidRPr="00416247">
        <w:rPr>
          <w:iCs/>
          <w:noProof/>
          <w:color w:val="auto"/>
          <w:lang w:eastAsia="es-MX"/>
        </w:rPr>
        <w:t xml:space="preserve">, </w:t>
      </w:r>
      <w:r w:rsidR="002D2711" w:rsidRPr="00416247">
        <w:rPr>
          <w:iCs/>
          <w:noProof/>
          <w:color w:val="auto"/>
          <w:lang w:eastAsia="es-MX"/>
        </w:rPr>
        <w:t>76.0</w:t>
      </w:r>
      <w:r w:rsidR="002D2711">
        <w:rPr>
          <w:iCs/>
          <w:noProof/>
          <w:color w:val="auto"/>
          <w:lang w:eastAsia="es-MX"/>
        </w:rPr>
        <w:t xml:space="preserve"> </w:t>
      </w:r>
      <w:r w:rsidR="002D2711" w:rsidRPr="00416247">
        <w:rPr>
          <w:iCs/>
          <w:noProof/>
          <w:color w:val="auto"/>
          <w:lang w:eastAsia="es-MX"/>
        </w:rPr>
        <w:t xml:space="preserve">% </w:t>
      </w:r>
      <w:r w:rsidR="002D2711">
        <w:rPr>
          <w:iCs/>
          <w:noProof/>
          <w:color w:val="auto"/>
          <w:lang w:eastAsia="es-MX"/>
        </w:rPr>
        <w:t>(</w:t>
      </w:r>
      <w:r w:rsidRPr="00416247">
        <w:rPr>
          <w:iCs/>
          <w:noProof/>
          <w:color w:val="auto"/>
          <w:lang w:eastAsia="es-MX"/>
        </w:rPr>
        <w:t>711</w:t>
      </w:r>
      <w:r w:rsidR="002D2711">
        <w:rPr>
          <w:iCs/>
          <w:noProof/>
          <w:color w:val="auto"/>
          <w:lang w:eastAsia="es-MX"/>
        </w:rPr>
        <w:t>) del personal</w:t>
      </w:r>
      <w:r w:rsidRPr="00416247">
        <w:rPr>
          <w:iCs/>
          <w:noProof/>
          <w:color w:val="auto"/>
          <w:lang w:eastAsia="es-MX"/>
        </w:rPr>
        <w:t xml:space="preserve"> se desempeñ</w:t>
      </w:r>
      <w:r w:rsidR="002D2711">
        <w:rPr>
          <w:iCs/>
          <w:noProof/>
          <w:color w:val="auto"/>
          <w:lang w:eastAsia="es-MX"/>
        </w:rPr>
        <w:t>ó</w:t>
      </w:r>
      <w:r w:rsidRPr="00416247">
        <w:rPr>
          <w:iCs/>
          <w:noProof/>
          <w:color w:val="auto"/>
          <w:lang w:eastAsia="es-MX"/>
        </w:rPr>
        <w:t xml:space="preserve"> como defenso</w:t>
      </w:r>
      <w:r w:rsidR="008D014B">
        <w:rPr>
          <w:iCs/>
          <w:noProof/>
          <w:color w:val="auto"/>
          <w:lang w:eastAsia="es-MX"/>
        </w:rPr>
        <w:t>ra o defensor</w:t>
      </w:r>
      <w:r w:rsidRPr="00416247">
        <w:rPr>
          <w:iCs/>
          <w:noProof/>
          <w:color w:val="auto"/>
          <w:lang w:eastAsia="es-MX"/>
        </w:rPr>
        <w:t xml:space="preserve"> público y asesor</w:t>
      </w:r>
      <w:r w:rsidR="008D014B">
        <w:rPr>
          <w:iCs/>
          <w:noProof/>
          <w:color w:val="auto"/>
          <w:lang w:eastAsia="es-MX"/>
        </w:rPr>
        <w:t>a o asesor</w:t>
      </w:r>
      <w:r w:rsidRPr="00416247">
        <w:rPr>
          <w:iCs/>
          <w:noProof/>
          <w:color w:val="auto"/>
          <w:lang w:eastAsia="es-MX"/>
        </w:rPr>
        <w:t xml:space="preserve"> jurídico. </w:t>
      </w:r>
      <w:r w:rsidR="002D2711">
        <w:rPr>
          <w:iCs/>
          <w:noProof/>
          <w:color w:val="auto"/>
          <w:lang w:eastAsia="es-MX"/>
        </w:rPr>
        <w:t>C</w:t>
      </w:r>
      <w:r w:rsidR="002D2711" w:rsidRPr="00416247">
        <w:rPr>
          <w:iCs/>
          <w:noProof/>
          <w:color w:val="auto"/>
          <w:lang w:eastAsia="es-MX"/>
        </w:rPr>
        <w:t>on respecto a 2020</w:t>
      </w:r>
      <w:r w:rsidR="002D2711">
        <w:rPr>
          <w:iCs/>
          <w:noProof/>
          <w:color w:val="auto"/>
          <w:lang w:eastAsia="es-MX"/>
        </w:rPr>
        <w:t xml:space="preserve">, </w:t>
      </w:r>
      <w:r w:rsidR="008D014B">
        <w:rPr>
          <w:iCs/>
          <w:noProof/>
          <w:color w:val="auto"/>
          <w:lang w:eastAsia="es-MX"/>
        </w:rPr>
        <w:t xml:space="preserve">esta </w:t>
      </w:r>
      <w:r w:rsidRPr="00416247">
        <w:rPr>
          <w:iCs/>
          <w:noProof/>
          <w:color w:val="auto"/>
          <w:lang w:eastAsia="es-MX"/>
        </w:rPr>
        <w:t xml:space="preserve">cantidad aumentó 14.5 </w:t>
      </w:r>
      <w:r w:rsidR="002D2711">
        <w:rPr>
          <w:iCs/>
          <w:noProof/>
          <w:color w:val="auto"/>
          <w:lang w:eastAsia="es-MX"/>
        </w:rPr>
        <w:t>por ciento</w:t>
      </w:r>
      <w:r w:rsidRPr="00416247">
        <w:rPr>
          <w:iCs/>
          <w:noProof/>
          <w:color w:val="auto"/>
          <w:lang w:eastAsia="es-MX"/>
        </w:rPr>
        <w:t>.</w:t>
      </w:r>
    </w:p>
    <w:p w14:paraId="13000129" w14:textId="77777777" w:rsidR="00416247" w:rsidRDefault="00416247" w:rsidP="00174907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0A3B3F47" w14:textId="405C561C" w:rsidR="00174907" w:rsidRPr="00963A3F" w:rsidRDefault="00174907" w:rsidP="00174907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F53C86">
        <w:rPr>
          <w:bCs/>
          <w:iCs/>
          <w:color w:val="000000" w:themeColor="text1"/>
          <w:sz w:val="20"/>
          <w:szCs w:val="20"/>
        </w:rPr>
        <w:t xml:space="preserve">Gráfica </w:t>
      </w:r>
      <w:r w:rsidR="00202F60">
        <w:rPr>
          <w:bCs/>
          <w:iCs/>
          <w:color w:val="000000" w:themeColor="text1"/>
          <w:sz w:val="20"/>
          <w:szCs w:val="20"/>
        </w:rPr>
        <w:t>1</w:t>
      </w:r>
      <w:r w:rsidR="009011CB">
        <w:rPr>
          <w:bCs/>
          <w:iCs/>
          <w:color w:val="000000" w:themeColor="text1"/>
          <w:sz w:val="20"/>
          <w:szCs w:val="20"/>
        </w:rPr>
        <w:t>1</w:t>
      </w:r>
    </w:p>
    <w:p w14:paraId="1808A1A6" w14:textId="42F17B88" w:rsidR="00174907" w:rsidRDefault="00B22081" w:rsidP="00520F1F">
      <w:pPr>
        <w:pStyle w:val="Default"/>
        <w:jc w:val="center"/>
      </w:pPr>
      <w:r w:rsidRPr="00B22081">
        <w:rPr>
          <w:b/>
          <w:bCs/>
          <w:iCs/>
          <w:smallCaps/>
          <w:color w:val="000000" w:themeColor="text1"/>
          <w:sz w:val="22"/>
          <w:szCs w:val="22"/>
        </w:rPr>
        <w:t>Defensores(as) públicos(as) y asesores(as) jurídicos(as)</w:t>
      </w:r>
    </w:p>
    <w:p w14:paraId="37D37010" w14:textId="48B6C854" w:rsidR="00174907" w:rsidRDefault="00174907" w:rsidP="00B75081">
      <w:pPr>
        <w:pStyle w:val="Default"/>
        <w:jc w:val="center"/>
        <w:rPr>
          <w:noProof/>
        </w:rPr>
      </w:pPr>
    </w:p>
    <w:p w14:paraId="27302000" w14:textId="7F47BCA9" w:rsidR="007504F1" w:rsidRDefault="007504F1" w:rsidP="00B75081">
      <w:pPr>
        <w:pStyle w:val="Default"/>
        <w:jc w:val="center"/>
      </w:pPr>
      <w:r w:rsidRPr="007504F1">
        <w:rPr>
          <w:noProof/>
        </w:rPr>
        <w:drawing>
          <wp:inline distT="0" distB="0" distL="0" distR="0" wp14:anchorId="7E1D8CDC" wp14:editId="29B3B3B7">
            <wp:extent cx="6404610" cy="1947553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EAC510D-843C-00BA-EE2B-7634AECFD0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53D1681" w14:textId="77777777" w:rsidR="009801A4" w:rsidRDefault="009801A4" w:rsidP="008940F8">
      <w:pPr>
        <w:pStyle w:val="Default"/>
        <w:jc w:val="both"/>
        <w:rPr>
          <w:color w:val="auto"/>
        </w:rPr>
      </w:pPr>
    </w:p>
    <w:p w14:paraId="1E0F9520" w14:textId="395A92CB" w:rsidR="008940F8" w:rsidRDefault="00591C6E" w:rsidP="008940F8">
      <w:pPr>
        <w:pStyle w:val="Default"/>
        <w:jc w:val="both"/>
        <w:rPr>
          <w:color w:val="auto"/>
        </w:rPr>
      </w:pPr>
      <w:r w:rsidRPr="00591C6E">
        <w:rPr>
          <w:color w:val="auto"/>
        </w:rPr>
        <w:t>En el mismo periodo</w:t>
      </w:r>
      <w:r w:rsidR="000717F3">
        <w:rPr>
          <w:color w:val="auto"/>
        </w:rPr>
        <w:t>,</w:t>
      </w:r>
      <w:r w:rsidRPr="00591C6E">
        <w:rPr>
          <w:color w:val="auto"/>
        </w:rPr>
        <w:t xml:space="preserve"> </w:t>
      </w:r>
      <w:r w:rsidR="000717F3" w:rsidRPr="000717F3">
        <w:rPr>
          <w:color w:val="auto"/>
        </w:rPr>
        <w:t>se atendieron 390 343 asuntos y servicios y se concluyeron 194 365</w:t>
      </w:r>
      <w:r w:rsidR="00433B64">
        <w:rPr>
          <w:color w:val="auto"/>
        </w:rPr>
        <w:t>. E</w:t>
      </w:r>
      <w:r w:rsidR="000717F3" w:rsidRPr="000717F3">
        <w:rPr>
          <w:color w:val="auto"/>
        </w:rPr>
        <w:t xml:space="preserve">n comparación con 2020, </w:t>
      </w:r>
      <w:r w:rsidR="00433B64">
        <w:rPr>
          <w:color w:val="auto"/>
        </w:rPr>
        <w:t>estas cifras presentaron</w:t>
      </w:r>
      <w:r w:rsidR="000717F3" w:rsidRPr="000717F3">
        <w:rPr>
          <w:color w:val="auto"/>
        </w:rPr>
        <w:t xml:space="preserve"> un </w:t>
      </w:r>
      <w:r w:rsidR="00433B64">
        <w:rPr>
          <w:color w:val="auto"/>
        </w:rPr>
        <w:t>aumento</w:t>
      </w:r>
      <w:r w:rsidR="00433B64" w:rsidRPr="000717F3">
        <w:rPr>
          <w:color w:val="auto"/>
        </w:rPr>
        <w:t xml:space="preserve"> </w:t>
      </w:r>
      <w:r w:rsidR="000717F3" w:rsidRPr="000717F3">
        <w:rPr>
          <w:color w:val="auto"/>
        </w:rPr>
        <w:t xml:space="preserve">de 87.7 y 174.2 %, respectivamente. En los asuntos y servicios </w:t>
      </w:r>
      <w:r w:rsidR="0088541A">
        <w:rPr>
          <w:color w:val="auto"/>
        </w:rPr>
        <w:t>estuvieron involucradas</w:t>
      </w:r>
      <w:r w:rsidR="008D014B">
        <w:rPr>
          <w:color w:val="auto"/>
        </w:rPr>
        <w:t xml:space="preserve"> </w:t>
      </w:r>
      <w:r w:rsidR="000717F3" w:rsidRPr="000717F3">
        <w:rPr>
          <w:color w:val="auto"/>
        </w:rPr>
        <w:t xml:space="preserve">403 965 personas, de </w:t>
      </w:r>
      <w:r w:rsidR="008D014B">
        <w:rPr>
          <w:color w:val="auto"/>
        </w:rPr>
        <w:t>estas,</w:t>
      </w:r>
      <w:r w:rsidR="009F2CCC">
        <w:rPr>
          <w:color w:val="auto"/>
        </w:rPr>
        <w:t xml:space="preserve"> </w:t>
      </w:r>
      <w:r w:rsidR="001D1811" w:rsidRPr="000717F3">
        <w:rPr>
          <w:color w:val="auto"/>
        </w:rPr>
        <w:t xml:space="preserve">43.8 % </w:t>
      </w:r>
      <w:r w:rsidR="001D1811">
        <w:rPr>
          <w:color w:val="auto"/>
        </w:rPr>
        <w:t xml:space="preserve">correspondió a </w:t>
      </w:r>
      <w:r w:rsidR="001D1811" w:rsidRPr="000717F3">
        <w:rPr>
          <w:color w:val="auto"/>
        </w:rPr>
        <w:t xml:space="preserve">mujeres </w:t>
      </w:r>
      <w:r w:rsidR="001D1811">
        <w:rPr>
          <w:color w:val="auto"/>
        </w:rPr>
        <w:t xml:space="preserve">y </w:t>
      </w:r>
      <w:r w:rsidR="000717F3" w:rsidRPr="000717F3">
        <w:rPr>
          <w:color w:val="auto"/>
        </w:rPr>
        <w:t>50.2 %</w:t>
      </w:r>
      <w:r w:rsidR="001D1811">
        <w:rPr>
          <w:color w:val="auto"/>
        </w:rPr>
        <w:t xml:space="preserve">, a </w:t>
      </w:r>
      <w:r w:rsidR="000717F3" w:rsidRPr="000717F3">
        <w:rPr>
          <w:color w:val="auto"/>
        </w:rPr>
        <w:t>hombres</w:t>
      </w:r>
      <w:r w:rsidR="001D1811">
        <w:rPr>
          <w:color w:val="auto"/>
        </w:rPr>
        <w:t xml:space="preserve">. En </w:t>
      </w:r>
      <w:r w:rsidR="000717F3" w:rsidRPr="000717F3">
        <w:rPr>
          <w:color w:val="auto"/>
        </w:rPr>
        <w:t>6.0 %</w:t>
      </w:r>
      <w:r w:rsidR="001D1811">
        <w:rPr>
          <w:color w:val="auto"/>
        </w:rPr>
        <w:t xml:space="preserve"> de los casos</w:t>
      </w:r>
      <w:r w:rsidR="000717F3" w:rsidRPr="000717F3">
        <w:rPr>
          <w:color w:val="auto"/>
        </w:rPr>
        <w:t xml:space="preserve"> no se especificó el sexo</w:t>
      </w:r>
      <w:r w:rsidR="001D1811">
        <w:rPr>
          <w:color w:val="auto"/>
        </w:rPr>
        <w:t xml:space="preserve"> de la persona</w:t>
      </w:r>
      <w:r w:rsidR="000717F3" w:rsidRPr="000717F3">
        <w:rPr>
          <w:color w:val="auto"/>
        </w:rPr>
        <w:t>.</w:t>
      </w:r>
    </w:p>
    <w:p w14:paraId="638EB63B" w14:textId="77777777" w:rsidR="001D1811" w:rsidRDefault="001D1811" w:rsidP="008940F8">
      <w:pPr>
        <w:pStyle w:val="Default"/>
        <w:jc w:val="both"/>
      </w:pPr>
    </w:p>
    <w:p w14:paraId="349CAEC9" w14:textId="01BA62D8" w:rsidR="00BC2B62" w:rsidRPr="00963A3F" w:rsidRDefault="00BC2B62" w:rsidP="00BC2B62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F53C86">
        <w:rPr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1</w:t>
      </w:r>
      <w:r w:rsidR="009011CB">
        <w:rPr>
          <w:bCs/>
          <w:iCs/>
          <w:color w:val="000000" w:themeColor="text1"/>
          <w:sz w:val="20"/>
          <w:szCs w:val="20"/>
        </w:rPr>
        <w:t>2</w:t>
      </w:r>
    </w:p>
    <w:p w14:paraId="79EA135B" w14:textId="0E305328" w:rsidR="00BC2B62" w:rsidRDefault="00BC2B62" w:rsidP="00BC2B62">
      <w:pPr>
        <w:pStyle w:val="Default"/>
        <w:jc w:val="center"/>
      </w:pPr>
      <w:r w:rsidRPr="00BC2B62">
        <w:rPr>
          <w:b/>
          <w:bCs/>
          <w:iCs/>
          <w:smallCaps/>
          <w:color w:val="000000" w:themeColor="text1"/>
          <w:sz w:val="22"/>
          <w:szCs w:val="22"/>
        </w:rPr>
        <w:t>Asuntos y servicios conocidos por los defensores públicos y asesores jurídicos, por estatus</w:t>
      </w:r>
    </w:p>
    <w:p w14:paraId="2A13AD37" w14:textId="77777777" w:rsidR="00BC2B62" w:rsidRDefault="00BC2B62" w:rsidP="008940F8">
      <w:pPr>
        <w:pStyle w:val="Default"/>
        <w:jc w:val="both"/>
      </w:pPr>
    </w:p>
    <w:p w14:paraId="4CCA095E" w14:textId="43ADC049" w:rsidR="00BC2B62" w:rsidRDefault="005F27D4" w:rsidP="008940F8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5F27D4">
        <w:rPr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66124283" wp14:editId="694CD5AA">
            <wp:extent cx="5876925" cy="1695450"/>
            <wp:effectExtent l="0" t="0" r="0" b="0"/>
            <wp:docPr id="109" name="Gráfico 109">
              <a:extLst xmlns:a="http://schemas.openxmlformats.org/drawingml/2006/main">
                <a:ext uri="{FF2B5EF4-FFF2-40B4-BE49-F238E27FC236}">
                  <a16:creationId xmlns:a16="http://schemas.microsoft.com/office/drawing/2014/main" id="{E5944374-5802-5D73-C49B-ADC3C7C0D9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BB68F13" w14:textId="6178DA4E" w:rsidR="00AA5B1B" w:rsidRDefault="00AA5B1B" w:rsidP="008940F8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745BC1A4" w14:textId="77777777" w:rsidR="00DD75E7" w:rsidRDefault="00DD75E7" w:rsidP="008940F8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7C308159" w14:textId="7F20B293" w:rsidR="0019515A" w:rsidRDefault="00886EB6" w:rsidP="0019515A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egrita" w:hAnsi="Arial Negrita" w:cs="Arial"/>
          <w:b/>
          <w:bCs/>
          <w:sz w:val="24"/>
          <w:szCs w:val="24"/>
        </w:rPr>
      </w:pPr>
      <w:r w:rsidRPr="002570E4">
        <w:rPr>
          <w:rFonts w:ascii="Arial Negrita" w:hAnsi="Arial Negrita" w:cs="Arial"/>
          <w:b/>
          <w:bCs/>
          <w:sz w:val="24"/>
          <w:szCs w:val="24"/>
        </w:rPr>
        <w:lastRenderedPageBreak/>
        <w:t>Impartici</w:t>
      </w:r>
      <w:r w:rsidRPr="002570E4">
        <w:rPr>
          <w:rFonts w:ascii="Arial Negrita" w:hAnsi="Arial Negrita" w:cs="Arial" w:hint="eastAsia"/>
          <w:b/>
          <w:bCs/>
          <w:sz w:val="24"/>
          <w:szCs w:val="24"/>
        </w:rPr>
        <w:t>ó</w:t>
      </w:r>
      <w:r w:rsidRPr="002570E4">
        <w:rPr>
          <w:rFonts w:ascii="Arial Negrita" w:hAnsi="Arial Negrita" w:cs="Arial"/>
          <w:b/>
          <w:bCs/>
          <w:sz w:val="24"/>
          <w:szCs w:val="24"/>
        </w:rPr>
        <w:t>n de justicia</w:t>
      </w:r>
    </w:p>
    <w:p w14:paraId="246FB74D" w14:textId="77777777" w:rsidR="00DD75E7" w:rsidRPr="002570E4" w:rsidRDefault="00DD75E7" w:rsidP="00DD75E7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egrita" w:hAnsi="Arial Negrita" w:cs="Arial"/>
          <w:b/>
          <w:bCs/>
          <w:sz w:val="24"/>
          <w:szCs w:val="24"/>
        </w:rPr>
      </w:pPr>
    </w:p>
    <w:p w14:paraId="2C8EAD41" w14:textId="2ED02189" w:rsidR="00886EB6" w:rsidRPr="002570E4" w:rsidRDefault="003B6D79" w:rsidP="000B4C94">
      <w:pPr>
        <w:pStyle w:val="Prrafodelista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1134"/>
        <w:contextualSpacing w:val="0"/>
        <w:jc w:val="both"/>
        <w:rPr>
          <w:rFonts w:ascii="Arial Negrita" w:hAnsi="Arial Negrita" w:cs="Arial"/>
          <w:b/>
          <w:bCs/>
          <w:sz w:val="24"/>
          <w:szCs w:val="24"/>
        </w:rPr>
      </w:pPr>
      <w:r w:rsidRPr="002570E4">
        <w:rPr>
          <w:rFonts w:ascii="Arial Negrita" w:hAnsi="Arial Negrita" w:cs="Arial"/>
          <w:b/>
          <w:bCs/>
          <w:sz w:val="24"/>
          <w:szCs w:val="24"/>
        </w:rPr>
        <w:t>Asuntos ingresados</w:t>
      </w:r>
      <w:r w:rsidR="00A32257" w:rsidRPr="002570E4">
        <w:rPr>
          <w:rStyle w:val="Refdenotaalpie"/>
          <w:rFonts w:ascii="Arial Negrita" w:hAnsi="Arial Negrita" w:cs="Arial"/>
          <w:b/>
          <w:bCs/>
          <w:sz w:val="24"/>
          <w:szCs w:val="24"/>
        </w:rPr>
        <w:footnoteReference w:id="11"/>
      </w:r>
      <w:r w:rsidRPr="002570E4">
        <w:rPr>
          <w:rFonts w:ascii="Arial Negrita" w:hAnsi="Arial Negrita" w:cs="Arial"/>
          <w:b/>
          <w:bCs/>
          <w:sz w:val="24"/>
          <w:szCs w:val="24"/>
        </w:rPr>
        <w:t xml:space="preserve"> y </w:t>
      </w:r>
      <w:r w:rsidR="002313E9" w:rsidRPr="002570E4">
        <w:rPr>
          <w:rFonts w:ascii="Arial Negrita" w:hAnsi="Arial Negrita" w:cs="Arial"/>
          <w:b/>
          <w:bCs/>
          <w:sz w:val="24"/>
          <w:szCs w:val="24"/>
        </w:rPr>
        <w:t>determinados y/</w:t>
      </w:r>
      <w:r w:rsidR="0015148A">
        <w:rPr>
          <w:rFonts w:ascii="Arial Negrita" w:hAnsi="Arial Negrita" w:cs="Arial"/>
          <w:b/>
          <w:bCs/>
          <w:sz w:val="24"/>
          <w:szCs w:val="24"/>
        </w:rPr>
        <w:t xml:space="preserve"> </w:t>
      </w:r>
      <w:r w:rsidR="002313E9" w:rsidRPr="002570E4">
        <w:rPr>
          <w:rFonts w:ascii="Arial Negrita" w:hAnsi="Arial Negrita" w:cs="Arial"/>
          <w:b/>
          <w:bCs/>
          <w:sz w:val="24"/>
          <w:szCs w:val="24"/>
        </w:rPr>
        <w:t>o concluidos</w:t>
      </w:r>
      <w:r w:rsidR="00A32257" w:rsidRPr="002570E4">
        <w:rPr>
          <w:rStyle w:val="Refdenotaalpie"/>
          <w:rFonts w:ascii="Arial Negrita" w:hAnsi="Arial Negrita" w:cs="Arial"/>
          <w:b/>
          <w:bCs/>
          <w:sz w:val="24"/>
          <w:szCs w:val="24"/>
        </w:rPr>
        <w:footnoteReference w:id="12"/>
      </w:r>
      <w:r w:rsidRPr="002570E4">
        <w:rPr>
          <w:rFonts w:ascii="Arial Negrita" w:hAnsi="Arial Negrita" w:cs="Arial"/>
          <w:b/>
          <w:bCs/>
          <w:sz w:val="24"/>
          <w:szCs w:val="24"/>
        </w:rPr>
        <w:t xml:space="preserve"> en todas las materias</w:t>
      </w:r>
    </w:p>
    <w:p w14:paraId="5F92CFE5" w14:textId="77777777" w:rsidR="00BC2B62" w:rsidRDefault="00BC2B62" w:rsidP="008940F8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552F2E25" w14:textId="44319DF4" w:rsidR="00BC2B62" w:rsidRPr="003B6D79" w:rsidRDefault="003B6D79" w:rsidP="003B6D79">
      <w:pPr>
        <w:pStyle w:val="Default"/>
        <w:spacing w:after="10"/>
        <w:ind w:right="284"/>
        <w:jc w:val="both"/>
        <w:rPr>
          <w:color w:val="auto"/>
        </w:rPr>
      </w:pPr>
      <w:r w:rsidRPr="003B6D79">
        <w:rPr>
          <w:color w:val="auto"/>
        </w:rPr>
        <w:t>Durante 2021, a nivel nacional se reportaron 2 130 586 asuntos ingresados y 1 194 988 concluidos y/</w:t>
      </w:r>
      <w:r w:rsidR="0015148A">
        <w:rPr>
          <w:color w:val="auto"/>
        </w:rPr>
        <w:t xml:space="preserve"> </w:t>
      </w:r>
      <w:r w:rsidRPr="003B6D79">
        <w:rPr>
          <w:color w:val="auto"/>
        </w:rPr>
        <w:t>o determinados por los órganos jurisdiccionales de los poderes judiciales estatales en todas las materias. En contraste con 2020, dichas cifras presentan un aumento de 35.1 y 37.2 %, respectivamente.</w:t>
      </w:r>
    </w:p>
    <w:p w14:paraId="33837950" w14:textId="4AD1F26B" w:rsidR="00BC2B62" w:rsidRDefault="00BC2B62" w:rsidP="003B6D79">
      <w:pPr>
        <w:pStyle w:val="Default"/>
        <w:spacing w:after="10"/>
        <w:ind w:right="284"/>
        <w:jc w:val="both"/>
        <w:rPr>
          <w:color w:val="auto"/>
        </w:rPr>
      </w:pPr>
    </w:p>
    <w:p w14:paraId="37E63EE0" w14:textId="049592DE" w:rsidR="008940F8" w:rsidRPr="00963A3F" w:rsidRDefault="008940F8" w:rsidP="008940F8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F53C86">
        <w:rPr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1</w:t>
      </w:r>
      <w:r w:rsidR="009011CB">
        <w:rPr>
          <w:bCs/>
          <w:iCs/>
          <w:color w:val="000000" w:themeColor="text1"/>
          <w:sz w:val="20"/>
          <w:szCs w:val="20"/>
        </w:rPr>
        <w:t>3</w:t>
      </w:r>
    </w:p>
    <w:p w14:paraId="51D01C9B" w14:textId="6AEED8F6" w:rsidR="008940F8" w:rsidRDefault="004F761A" w:rsidP="002C52F3">
      <w:pPr>
        <w:pStyle w:val="Default"/>
        <w:jc w:val="center"/>
      </w:pPr>
      <w:bookmarkStart w:id="3" w:name="_Hlk113283337"/>
      <w:r w:rsidRPr="004F761A">
        <w:rPr>
          <w:b/>
          <w:bCs/>
          <w:iCs/>
          <w:smallCaps/>
          <w:color w:val="000000" w:themeColor="text1"/>
          <w:sz w:val="22"/>
          <w:szCs w:val="22"/>
        </w:rPr>
        <w:t>Asuntos ingresados y determinados y/</w:t>
      </w:r>
      <w:r w:rsidR="0015148A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Pr="004F761A">
        <w:rPr>
          <w:b/>
          <w:bCs/>
          <w:iCs/>
          <w:smallCaps/>
          <w:color w:val="000000" w:themeColor="text1"/>
          <w:sz w:val="22"/>
          <w:szCs w:val="22"/>
        </w:rPr>
        <w:t>o concluidos por los órganos jurisdiccionales de los poderes judiciales estatales</w:t>
      </w:r>
    </w:p>
    <w:bookmarkEnd w:id="3"/>
    <w:p w14:paraId="1CA557F2" w14:textId="0E2B94CA" w:rsidR="008940F8" w:rsidRDefault="008940F8" w:rsidP="008940F8">
      <w:pPr>
        <w:pStyle w:val="Default"/>
        <w:jc w:val="both"/>
      </w:pPr>
    </w:p>
    <w:p w14:paraId="695B3E0A" w14:textId="03DC7F76" w:rsidR="008940F8" w:rsidRDefault="00CE2179" w:rsidP="008940F8">
      <w:pPr>
        <w:pStyle w:val="Default"/>
        <w:jc w:val="center"/>
      </w:pPr>
      <w:r w:rsidRPr="00CE2179">
        <w:rPr>
          <w:noProof/>
        </w:rPr>
        <w:drawing>
          <wp:inline distT="0" distB="0" distL="0" distR="0" wp14:anchorId="3D127156" wp14:editId="02D30297">
            <wp:extent cx="6404610" cy="2790701"/>
            <wp:effectExtent l="0" t="0" r="0" b="0"/>
            <wp:docPr id="127" name="Gráfico 127">
              <a:extLst xmlns:a="http://schemas.openxmlformats.org/drawingml/2006/main">
                <a:ext uri="{FF2B5EF4-FFF2-40B4-BE49-F238E27FC236}">
                  <a16:creationId xmlns:a16="http://schemas.microsoft.com/office/drawing/2014/main" id="{86CFC454-BB85-B2A3-A8B4-84E493D5FE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FE86001" w14:textId="77777777" w:rsidR="00E44614" w:rsidRDefault="00E44614" w:rsidP="00227FB8">
      <w:pPr>
        <w:pStyle w:val="Default"/>
        <w:jc w:val="both"/>
      </w:pPr>
    </w:p>
    <w:p w14:paraId="4829C7AF" w14:textId="77777777" w:rsidR="00E44614" w:rsidRDefault="00E44614" w:rsidP="00227FB8">
      <w:pPr>
        <w:pStyle w:val="Default"/>
        <w:jc w:val="both"/>
      </w:pPr>
    </w:p>
    <w:p w14:paraId="40264B2E" w14:textId="77777777" w:rsidR="00E44614" w:rsidRDefault="00E44614" w:rsidP="00227FB8">
      <w:pPr>
        <w:pStyle w:val="Default"/>
        <w:jc w:val="both"/>
      </w:pPr>
    </w:p>
    <w:p w14:paraId="753A3B30" w14:textId="77777777" w:rsidR="00E44614" w:rsidRDefault="00E44614" w:rsidP="00227FB8">
      <w:pPr>
        <w:pStyle w:val="Default"/>
        <w:jc w:val="both"/>
      </w:pPr>
    </w:p>
    <w:p w14:paraId="7DF1865B" w14:textId="77777777" w:rsidR="00E44614" w:rsidRDefault="00E44614" w:rsidP="00227FB8">
      <w:pPr>
        <w:pStyle w:val="Default"/>
        <w:jc w:val="both"/>
      </w:pPr>
    </w:p>
    <w:p w14:paraId="14B1673A" w14:textId="77777777" w:rsidR="00E44614" w:rsidRDefault="00E44614" w:rsidP="00227FB8">
      <w:pPr>
        <w:pStyle w:val="Default"/>
        <w:jc w:val="both"/>
      </w:pPr>
    </w:p>
    <w:p w14:paraId="2E95B0BC" w14:textId="77777777" w:rsidR="00E44614" w:rsidRDefault="00E44614" w:rsidP="00227FB8">
      <w:pPr>
        <w:pStyle w:val="Default"/>
        <w:jc w:val="both"/>
      </w:pPr>
    </w:p>
    <w:p w14:paraId="722CDE3C" w14:textId="77777777" w:rsidR="00E44614" w:rsidRDefault="00E44614" w:rsidP="00227FB8">
      <w:pPr>
        <w:pStyle w:val="Default"/>
        <w:jc w:val="both"/>
      </w:pPr>
    </w:p>
    <w:p w14:paraId="1B577756" w14:textId="77777777" w:rsidR="00E44614" w:rsidRDefault="00E44614" w:rsidP="00227FB8">
      <w:pPr>
        <w:pStyle w:val="Default"/>
        <w:jc w:val="both"/>
      </w:pPr>
    </w:p>
    <w:p w14:paraId="17BA3DEB" w14:textId="77777777" w:rsidR="00E44614" w:rsidRDefault="00E44614" w:rsidP="00227FB8">
      <w:pPr>
        <w:pStyle w:val="Default"/>
        <w:jc w:val="both"/>
      </w:pPr>
    </w:p>
    <w:p w14:paraId="3C4F1519" w14:textId="77777777" w:rsidR="00E44614" w:rsidRDefault="00E44614" w:rsidP="00227FB8">
      <w:pPr>
        <w:pStyle w:val="Default"/>
        <w:jc w:val="both"/>
      </w:pPr>
    </w:p>
    <w:p w14:paraId="4E688405" w14:textId="77777777" w:rsidR="00E44614" w:rsidRDefault="00E44614" w:rsidP="00227FB8">
      <w:pPr>
        <w:pStyle w:val="Default"/>
        <w:jc w:val="both"/>
      </w:pPr>
    </w:p>
    <w:p w14:paraId="40278702" w14:textId="40E93A25" w:rsidR="00227FB8" w:rsidRDefault="00DC671C" w:rsidP="00227FB8">
      <w:pPr>
        <w:pStyle w:val="Default"/>
        <w:jc w:val="both"/>
      </w:pPr>
      <w:r w:rsidRPr="00DC671C">
        <w:lastRenderedPageBreak/>
        <w:t>Del total de asuntos ingresados, 44.6 % correspondió a la materia familiar</w:t>
      </w:r>
      <w:r w:rsidR="0015148A">
        <w:t>;</w:t>
      </w:r>
      <w:r w:rsidRPr="00DC671C">
        <w:t xml:space="preserve"> </w:t>
      </w:r>
      <w:r w:rsidR="00433B64" w:rsidRPr="00DC671C">
        <w:t>25.3 %</w:t>
      </w:r>
      <w:r w:rsidR="0015148A">
        <w:t>,</w:t>
      </w:r>
      <w:r w:rsidR="00433B64" w:rsidRPr="00DC671C">
        <w:t xml:space="preserve"> </w:t>
      </w:r>
      <w:r w:rsidR="00433B64">
        <w:t>a</w:t>
      </w:r>
      <w:r w:rsidRPr="00DC671C">
        <w:t xml:space="preserve"> la materia civil</w:t>
      </w:r>
      <w:r w:rsidR="00433B64">
        <w:t xml:space="preserve"> </w:t>
      </w:r>
      <w:r w:rsidRPr="00DC671C">
        <w:t xml:space="preserve">y </w:t>
      </w:r>
      <w:r w:rsidR="00433B64" w:rsidRPr="00DC671C">
        <w:t>19.7 %</w:t>
      </w:r>
      <w:r w:rsidR="0015148A">
        <w:t>,</w:t>
      </w:r>
      <w:r w:rsidR="00433B64">
        <w:t xml:space="preserve"> a la </w:t>
      </w:r>
      <w:r w:rsidRPr="00DC671C">
        <w:t>mercantil</w:t>
      </w:r>
      <w:r w:rsidR="0015148A">
        <w:t>. A las causas penales (m</w:t>
      </w:r>
      <w:r w:rsidR="0015148A" w:rsidRPr="00DC671C">
        <w:t>ateria penal y justicia para adolescentes)</w:t>
      </w:r>
      <w:r w:rsidR="0015148A">
        <w:t xml:space="preserve"> correspondió </w:t>
      </w:r>
      <w:r w:rsidRPr="00DC671C">
        <w:t>10.4 % (221 789)</w:t>
      </w:r>
      <w:r w:rsidR="0015148A">
        <w:t xml:space="preserve">. </w:t>
      </w:r>
      <w:r w:rsidRPr="00DC671C">
        <w:t>Para los asuntos concluidos, la mayoría de los expedientes se registró en materia familiar</w:t>
      </w:r>
      <w:r w:rsidR="0015148A">
        <w:t>,</w:t>
      </w:r>
      <w:r w:rsidRPr="00DC671C">
        <w:t xml:space="preserve"> con 41.7 %, seguida de la materia mercantil</w:t>
      </w:r>
      <w:r w:rsidR="0015148A">
        <w:t>,</w:t>
      </w:r>
      <w:r w:rsidRPr="00DC671C">
        <w:t xml:space="preserve"> con 24.8 </w:t>
      </w:r>
      <w:r w:rsidR="00DF14F3">
        <w:t>por ciento</w:t>
      </w:r>
      <w:r w:rsidRPr="00DC671C">
        <w:t>.</w:t>
      </w:r>
    </w:p>
    <w:p w14:paraId="62E1C92E" w14:textId="70D58FE8" w:rsidR="00167FAB" w:rsidRDefault="00167FAB">
      <w:pPr>
        <w:pStyle w:val="Default"/>
        <w:jc w:val="both"/>
      </w:pPr>
    </w:p>
    <w:p w14:paraId="63BC2E56" w14:textId="77777777" w:rsidR="0015148A" w:rsidRDefault="0015148A">
      <w:pPr>
        <w:pStyle w:val="Default"/>
        <w:jc w:val="both"/>
      </w:pPr>
    </w:p>
    <w:p w14:paraId="03F0CB14" w14:textId="41DCB6A7" w:rsidR="00167FAB" w:rsidRPr="00963A3F" w:rsidRDefault="00167FAB" w:rsidP="007E7A49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F53C86">
        <w:rPr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1</w:t>
      </w:r>
      <w:r w:rsidR="009011CB">
        <w:rPr>
          <w:bCs/>
          <w:iCs/>
          <w:color w:val="000000" w:themeColor="text1"/>
          <w:sz w:val="20"/>
          <w:szCs w:val="20"/>
        </w:rPr>
        <w:t>4</w:t>
      </w:r>
    </w:p>
    <w:p w14:paraId="2E80A39E" w14:textId="5AB2DF7E" w:rsidR="00167FAB" w:rsidRDefault="003D3C7E" w:rsidP="00F35D8A">
      <w:pPr>
        <w:pStyle w:val="Default"/>
        <w:jc w:val="center"/>
        <w:rPr>
          <w:noProof/>
        </w:rPr>
      </w:pPr>
      <w:r w:rsidRPr="003D3C7E">
        <w:rPr>
          <w:b/>
          <w:bCs/>
          <w:iCs/>
          <w:smallCaps/>
          <w:color w:val="000000" w:themeColor="text1"/>
          <w:sz w:val="22"/>
          <w:szCs w:val="22"/>
        </w:rPr>
        <w:t>Asuntos ingresados y determinados y/</w:t>
      </w:r>
      <w:r w:rsidR="0015148A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Pr="003D3C7E">
        <w:rPr>
          <w:b/>
          <w:bCs/>
          <w:iCs/>
          <w:smallCaps/>
          <w:color w:val="000000" w:themeColor="text1"/>
          <w:sz w:val="22"/>
          <w:szCs w:val="22"/>
        </w:rPr>
        <w:t>o concluidos por los órganos jurisdiccionales, por materia, 2021</w:t>
      </w:r>
    </w:p>
    <w:p w14:paraId="11349814" w14:textId="66E07259" w:rsidR="003D3C7E" w:rsidRDefault="003D3C7E" w:rsidP="00F35D8A">
      <w:pPr>
        <w:pStyle w:val="Default"/>
        <w:jc w:val="center"/>
        <w:rPr>
          <w:noProof/>
        </w:rPr>
      </w:pPr>
    </w:p>
    <w:p w14:paraId="4B8FAD0E" w14:textId="1E805750" w:rsidR="003D3C7E" w:rsidRDefault="00CD0E7E" w:rsidP="00F35D8A">
      <w:pPr>
        <w:pStyle w:val="Default"/>
        <w:jc w:val="center"/>
      </w:pPr>
      <w:r>
        <w:rPr>
          <w:noProof/>
        </w:rPr>
        <w:drawing>
          <wp:inline distT="0" distB="0" distL="0" distR="0" wp14:anchorId="3CA26637" wp14:editId="4C9F7E51">
            <wp:extent cx="6210300" cy="2802577"/>
            <wp:effectExtent l="0" t="0" r="0" b="0"/>
            <wp:docPr id="128" name="Gráfico 128">
              <a:extLst xmlns:a="http://schemas.openxmlformats.org/drawingml/2006/main">
                <a:ext uri="{FF2B5EF4-FFF2-40B4-BE49-F238E27FC236}">
                  <a16:creationId xmlns:a16="http://schemas.microsoft.com/office/drawing/2014/main" id="{07D8538A-232C-5F72-04E0-2ACF8391F2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A3CEE34" w14:textId="6E9C41A9" w:rsidR="005B20DE" w:rsidRDefault="005B20DE" w:rsidP="00F35D8A">
      <w:pPr>
        <w:pStyle w:val="Default"/>
        <w:jc w:val="center"/>
      </w:pPr>
    </w:p>
    <w:p w14:paraId="41F48DB1" w14:textId="7B53F3C4" w:rsidR="002570E4" w:rsidRDefault="002570E4" w:rsidP="003D46F0">
      <w:pPr>
        <w:pStyle w:val="Default"/>
        <w:jc w:val="both"/>
      </w:pPr>
    </w:p>
    <w:p w14:paraId="5950BCE6" w14:textId="1A9D80D8" w:rsidR="001517A7" w:rsidRDefault="001517A7" w:rsidP="003D46F0">
      <w:pPr>
        <w:pStyle w:val="Default"/>
        <w:jc w:val="both"/>
      </w:pPr>
    </w:p>
    <w:p w14:paraId="2764ADD2" w14:textId="5C6D127A" w:rsidR="00E44614" w:rsidRDefault="00E44614" w:rsidP="003D46F0">
      <w:pPr>
        <w:pStyle w:val="Default"/>
        <w:jc w:val="both"/>
      </w:pPr>
    </w:p>
    <w:p w14:paraId="5F6AAD35" w14:textId="1A83B0C2" w:rsidR="00E44614" w:rsidRDefault="00E44614" w:rsidP="003D46F0">
      <w:pPr>
        <w:pStyle w:val="Default"/>
        <w:jc w:val="both"/>
      </w:pPr>
    </w:p>
    <w:p w14:paraId="4920C889" w14:textId="09BA033E" w:rsidR="00E44614" w:rsidRDefault="00E44614" w:rsidP="003D46F0">
      <w:pPr>
        <w:pStyle w:val="Default"/>
        <w:jc w:val="both"/>
      </w:pPr>
    </w:p>
    <w:p w14:paraId="401B2256" w14:textId="6C011BA6" w:rsidR="00E44614" w:rsidRDefault="00E44614" w:rsidP="003D46F0">
      <w:pPr>
        <w:pStyle w:val="Default"/>
        <w:jc w:val="both"/>
      </w:pPr>
    </w:p>
    <w:p w14:paraId="018EAA6A" w14:textId="592C68C4" w:rsidR="00E44614" w:rsidRDefault="00E44614" w:rsidP="003D46F0">
      <w:pPr>
        <w:pStyle w:val="Default"/>
        <w:jc w:val="both"/>
      </w:pPr>
    </w:p>
    <w:p w14:paraId="17BC1341" w14:textId="253B60B5" w:rsidR="00E44614" w:rsidRDefault="00E44614" w:rsidP="003D46F0">
      <w:pPr>
        <w:pStyle w:val="Default"/>
        <w:jc w:val="both"/>
      </w:pPr>
    </w:p>
    <w:p w14:paraId="71F9CD27" w14:textId="1740435D" w:rsidR="00E44614" w:rsidRDefault="00E44614" w:rsidP="003D46F0">
      <w:pPr>
        <w:pStyle w:val="Default"/>
        <w:jc w:val="both"/>
      </w:pPr>
    </w:p>
    <w:p w14:paraId="1764F35F" w14:textId="16D939EA" w:rsidR="00E44614" w:rsidRDefault="00E44614" w:rsidP="003D46F0">
      <w:pPr>
        <w:pStyle w:val="Default"/>
        <w:jc w:val="both"/>
      </w:pPr>
    </w:p>
    <w:p w14:paraId="268F748A" w14:textId="6876A441" w:rsidR="00E44614" w:rsidRDefault="00E44614" w:rsidP="003D46F0">
      <w:pPr>
        <w:pStyle w:val="Default"/>
        <w:jc w:val="both"/>
      </w:pPr>
    </w:p>
    <w:p w14:paraId="2A882E73" w14:textId="456ACDA4" w:rsidR="00E44614" w:rsidRDefault="00E44614" w:rsidP="003D46F0">
      <w:pPr>
        <w:pStyle w:val="Default"/>
        <w:jc w:val="both"/>
      </w:pPr>
    </w:p>
    <w:p w14:paraId="2D5FDA94" w14:textId="51513CFA" w:rsidR="00E44614" w:rsidRDefault="00E44614" w:rsidP="003D46F0">
      <w:pPr>
        <w:pStyle w:val="Default"/>
        <w:jc w:val="both"/>
      </w:pPr>
    </w:p>
    <w:p w14:paraId="349D1B29" w14:textId="0A27D3A8" w:rsidR="00E44614" w:rsidRDefault="00E44614" w:rsidP="003D46F0">
      <w:pPr>
        <w:pStyle w:val="Default"/>
        <w:jc w:val="both"/>
      </w:pPr>
    </w:p>
    <w:p w14:paraId="34EF8CC1" w14:textId="64F78ED8" w:rsidR="00E44614" w:rsidRDefault="00E44614" w:rsidP="003D46F0">
      <w:pPr>
        <w:pStyle w:val="Default"/>
        <w:jc w:val="both"/>
      </w:pPr>
    </w:p>
    <w:p w14:paraId="082FE04B" w14:textId="2FBC5F56" w:rsidR="00E44614" w:rsidRDefault="00E44614" w:rsidP="003D46F0">
      <w:pPr>
        <w:pStyle w:val="Default"/>
        <w:jc w:val="both"/>
      </w:pPr>
    </w:p>
    <w:p w14:paraId="68A221A8" w14:textId="2EF22BCF" w:rsidR="00E44614" w:rsidRDefault="00E44614" w:rsidP="003D46F0">
      <w:pPr>
        <w:pStyle w:val="Default"/>
        <w:jc w:val="both"/>
      </w:pPr>
    </w:p>
    <w:p w14:paraId="1B876EC1" w14:textId="35B0B1B0" w:rsidR="00E44614" w:rsidRDefault="00E44614" w:rsidP="003D46F0">
      <w:pPr>
        <w:pStyle w:val="Default"/>
        <w:jc w:val="both"/>
      </w:pPr>
    </w:p>
    <w:p w14:paraId="569D8307" w14:textId="73B8986E" w:rsidR="00E44614" w:rsidRDefault="00E44614" w:rsidP="003D46F0">
      <w:pPr>
        <w:pStyle w:val="Default"/>
        <w:jc w:val="both"/>
      </w:pPr>
    </w:p>
    <w:p w14:paraId="0BBC9B97" w14:textId="77777777" w:rsidR="00E44614" w:rsidRDefault="00E44614" w:rsidP="003D46F0">
      <w:pPr>
        <w:pStyle w:val="Default"/>
        <w:jc w:val="both"/>
      </w:pPr>
    </w:p>
    <w:p w14:paraId="49397510" w14:textId="64E29F7F" w:rsidR="002209BC" w:rsidRDefault="003D46F0" w:rsidP="003D46F0">
      <w:pPr>
        <w:pStyle w:val="Default"/>
        <w:jc w:val="both"/>
      </w:pPr>
      <w:r w:rsidRPr="003D46F0">
        <w:lastRenderedPageBreak/>
        <w:t>Los poderes judiciales de Ciudad de México y del estado de México concentraron 24.1 % de los asuntos ingresados y 23.2 % de los asuntos determinados y/</w:t>
      </w:r>
      <w:r w:rsidR="0015148A">
        <w:t xml:space="preserve"> </w:t>
      </w:r>
      <w:r w:rsidRPr="003D46F0">
        <w:t>o concluidos en todas las materias.</w:t>
      </w:r>
    </w:p>
    <w:p w14:paraId="280F2CA2" w14:textId="77777777" w:rsidR="004B6D8B" w:rsidRDefault="004B6D8B" w:rsidP="0049577F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18E274E8" w14:textId="11B552BB" w:rsidR="0015148A" w:rsidRDefault="0015148A" w:rsidP="00F06428">
      <w:pPr>
        <w:pStyle w:val="Default"/>
        <w:ind w:right="284"/>
        <w:rPr>
          <w:bCs/>
          <w:iCs/>
          <w:color w:val="000000" w:themeColor="text1"/>
          <w:sz w:val="20"/>
          <w:szCs w:val="20"/>
        </w:rPr>
      </w:pPr>
    </w:p>
    <w:p w14:paraId="743377F1" w14:textId="77777777" w:rsidR="0015148A" w:rsidRDefault="0015148A" w:rsidP="0049577F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60C15955" w14:textId="693000AA" w:rsidR="0049577F" w:rsidRPr="00963A3F" w:rsidRDefault="0049577F" w:rsidP="0049577F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  <w:r>
        <w:rPr>
          <w:bCs/>
          <w:iCs/>
          <w:color w:val="000000" w:themeColor="text1"/>
          <w:sz w:val="20"/>
          <w:szCs w:val="20"/>
        </w:rPr>
        <w:t>Tabla 3</w:t>
      </w:r>
    </w:p>
    <w:p w14:paraId="5D83A048" w14:textId="056B725C" w:rsidR="0049577F" w:rsidRDefault="002709D5" w:rsidP="002709D5">
      <w:pPr>
        <w:pStyle w:val="Default"/>
        <w:jc w:val="center"/>
        <w:rPr>
          <w:color w:val="auto"/>
        </w:rPr>
      </w:pPr>
      <w:r w:rsidRPr="003D3C7E">
        <w:rPr>
          <w:b/>
          <w:bCs/>
          <w:iCs/>
          <w:smallCaps/>
          <w:color w:val="000000" w:themeColor="text1"/>
          <w:sz w:val="22"/>
          <w:szCs w:val="22"/>
        </w:rPr>
        <w:t>Asuntos ingresados y determinados y/</w:t>
      </w:r>
      <w:r w:rsidR="0015148A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Pr="003D3C7E">
        <w:rPr>
          <w:b/>
          <w:bCs/>
          <w:iCs/>
          <w:smallCaps/>
          <w:color w:val="000000" w:themeColor="text1"/>
          <w:sz w:val="22"/>
          <w:szCs w:val="22"/>
        </w:rPr>
        <w:t>o concluidos por los órganos jurisdiccionales</w:t>
      </w:r>
      <w:r w:rsidR="0049577F" w:rsidRPr="007244D2">
        <w:rPr>
          <w:b/>
          <w:bCs/>
          <w:iCs/>
          <w:smallCaps/>
          <w:color w:val="000000" w:themeColor="text1"/>
          <w:sz w:val="22"/>
          <w:szCs w:val="22"/>
        </w:rPr>
        <w:t>, por entidad federativa, 2021</w:t>
      </w:r>
    </w:p>
    <w:p w14:paraId="1DA8CFB0" w14:textId="77777777" w:rsidR="0049577F" w:rsidRDefault="0049577F" w:rsidP="0049577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tbl>
      <w:tblPr>
        <w:tblW w:w="6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1"/>
        <w:gridCol w:w="3012"/>
        <w:gridCol w:w="2551"/>
      </w:tblGrid>
      <w:tr w:rsidR="00023369" w:rsidRPr="00023369" w14:paraId="145440FF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677053"/>
            <w:vAlign w:val="center"/>
            <w:hideMark/>
          </w:tcPr>
          <w:p w14:paraId="557988C8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MX"/>
              </w:rPr>
              <w:t>Entidad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677053"/>
            <w:noWrap/>
            <w:vAlign w:val="center"/>
            <w:hideMark/>
          </w:tcPr>
          <w:p w14:paraId="328154F2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MX"/>
              </w:rPr>
              <w:t>Ingresados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677053"/>
            <w:vAlign w:val="center"/>
            <w:hideMark/>
          </w:tcPr>
          <w:p w14:paraId="26A49E29" w14:textId="03EF1A1B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MX"/>
              </w:rPr>
              <w:t>Determinados y/o concluidos</w:t>
            </w:r>
          </w:p>
        </w:tc>
      </w:tr>
      <w:tr w:rsidR="00023369" w:rsidRPr="00023369" w14:paraId="6990E53E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7F4E2FA7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NACIONAL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58722A2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2 130 586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C48A28D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1 194 988</w:t>
            </w:r>
          </w:p>
        </w:tc>
      </w:tr>
      <w:tr w:rsidR="00023369" w:rsidRPr="00023369" w14:paraId="57044868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77C8C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CDMX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1FED1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263 511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90C9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81 310</w:t>
            </w:r>
          </w:p>
        </w:tc>
      </w:tr>
      <w:tr w:rsidR="00023369" w:rsidRPr="00023369" w14:paraId="65DF4217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AB25E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B243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249 127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A6AF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196 184</w:t>
            </w:r>
          </w:p>
        </w:tc>
      </w:tr>
      <w:tr w:rsidR="00023369" w:rsidRPr="00023369" w14:paraId="2B84D426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7673D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GTO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64CD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172 859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FDEA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131 436</w:t>
            </w:r>
          </w:p>
        </w:tc>
      </w:tr>
      <w:tr w:rsidR="00023369" w:rsidRPr="00023369" w14:paraId="7324EF55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B7CFD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BED1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124 429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27A6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23 040</w:t>
            </w:r>
          </w:p>
        </w:tc>
      </w:tr>
      <w:tr w:rsidR="00023369" w:rsidRPr="00023369" w14:paraId="0AC762BE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E7C86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0934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121 946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F8B7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43 827</w:t>
            </w:r>
          </w:p>
        </w:tc>
      </w:tr>
      <w:tr w:rsidR="00023369" w:rsidRPr="00023369" w14:paraId="4E5CF06A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3D9D5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NL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8CCE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121 878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9F2B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116 836</w:t>
            </w:r>
          </w:p>
        </w:tc>
      </w:tr>
      <w:tr w:rsidR="00023369" w:rsidRPr="00023369" w14:paraId="42ED3C24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FEA66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275D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82 982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1298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63 691</w:t>
            </w:r>
          </w:p>
        </w:tc>
      </w:tr>
      <w:tr w:rsidR="00023369" w:rsidRPr="00023369" w14:paraId="68E74F13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912A3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CBDBA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71 875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3921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34 168</w:t>
            </w:r>
          </w:p>
        </w:tc>
      </w:tr>
      <w:tr w:rsidR="00023369" w:rsidRPr="00023369" w14:paraId="1D7B2AC4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16C90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BC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8FED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70 545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591A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32 757</w:t>
            </w:r>
          </w:p>
        </w:tc>
      </w:tr>
      <w:tr w:rsidR="00023369" w:rsidRPr="00023369" w14:paraId="0115A000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45F65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7664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69 617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A5DC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35 077</w:t>
            </w:r>
          </w:p>
        </w:tc>
      </w:tr>
      <w:tr w:rsidR="00023369" w:rsidRPr="00023369" w14:paraId="448635F9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7C085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81B6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67 909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A0ECB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41 908</w:t>
            </w:r>
          </w:p>
        </w:tc>
      </w:tr>
      <w:tr w:rsidR="00023369" w:rsidRPr="00023369" w14:paraId="6F3AFACB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15C15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QRO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8E88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64 274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EFD1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33 576</w:t>
            </w:r>
          </w:p>
        </w:tc>
      </w:tr>
      <w:tr w:rsidR="00023369" w:rsidRPr="00023369" w14:paraId="5578FC0C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41DBB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5CA2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60 089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9A8E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29 556</w:t>
            </w:r>
          </w:p>
        </w:tc>
      </w:tr>
      <w:tr w:rsidR="00023369" w:rsidRPr="00023369" w14:paraId="67178A8F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A369F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TAMPS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3893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55 743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0578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44 378</w:t>
            </w:r>
          </w:p>
        </w:tc>
      </w:tr>
      <w:tr w:rsidR="00023369" w:rsidRPr="00023369" w14:paraId="1A40E30E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B721C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HGO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4DB3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53 334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A856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32 686</w:t>
            </w:r>
          </w:p>
        </w:tc>
      </w:tr>
      <w:tr w:rsidR="00023369" w:rsidRPr="00023369" w14:paraId="1EF12B71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35492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AGS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03FA2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46 885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CE1F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31 643</w:t>
            </w:r>
          </w:p>
        </w:tc>
      </w:tr>
      <w:tr w:rsidR="00023369" w:rsidRPr="00023369" w14:paraId="37847DC3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C6006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9514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46 845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045F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38 841</w:t>
            </w:r>
          </w:p>
        </w:tc>
      </w:tr>
      <w:tr w:rsidR="00023369" w:rsidRPr="00023369" w14:paraId="55E9020E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98617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TAB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21E8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43 584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9D5F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10 914</w:t>
            </w:r>
          </w:p>
        </w:tc>
      </w:tr>
      <w:tr w:rsidR="00023369" w:rsidRPr="00023369" w14:paraId="77DB2BE5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0A3EE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DGO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E14A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36 855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A914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24 387</w:t>
            </w:r>
          </w:p>
        </w:tc>
      </w:tr>
      <w:tr w:rsidR="00023369" w:rsidRPr="00023369" w14:paraId="2CC8DB1E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FE2E8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SLP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0BBB7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33 456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48BA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12 854</w:t>
            </w:r>
          </w:p>
        </w:tc>
      </w:tr>
      <w:tr w:rsidR="00023369" w:rsidRPr="00023369" w14:paraId="0FDEE96E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AD5AE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CHIS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4E80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32 238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599E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14 398</w:t>
            </w:r>
          </w:p>
        </w:tc>
      </w:tr>
      <w:tr w:rsidR="00023369" w:rsidRPr="00023369" w14:paraId="2C999850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DCB11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NAY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44E87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27 545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548D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11 514</w:t>
            </w:r>
          </w:p>
        </w:tc>
      </w:tr>
      <w:tr w:rsidR="00023369" w:rsidRPr="00023369" w14:paraId="6F7FFE2F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50EE7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8596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25 531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CB3E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9 257</w:t>
            </w:r>
          </w:p>
        </w:tc>
      </w:tr>
      <w:tr w:rsidR="00023369" w:rsidRPr="00023369" w14:paraId="24D740D2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74A3C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AEB2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24 586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C6C5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4 594</w:t>
            </w:r>
          </w:p>
        </w:tc>
      </w:tr>
      <w:tr w:rsidR="00023369" w:rsidRPr="00023369" w14:paraId="1BB4E27C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E762D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89DE7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24 576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5CA4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23 232</w:t>
            </w:r>
          </w:p>
        </w:tc>
      </w:tr>
      <w:tr w:rsidR="00023369" w:rsidRPr="00023369" w14:paraId="0F59A7B4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17FE6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4DA9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24 308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FB39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19 874</w:t>
            </w:r>
          </w:p>
        </w:tc>
      </w:tr>
      <w:tr w:rsidR="00023369" w:rsidRPr="00023369" w14:paraId="015B2600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370BD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QROO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0663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23 893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6C407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9 150</w:t>
            </w:r>
          </w:p>
        </w:tc>
      </w:tr>
      <w:tr w:rsidR="00023369" w:rsidRPr="00023369" w14:paraId="15ADE90D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D7F3B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GRO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BAE0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23 189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EA71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8 721</w:t>
            </w:r>
          </w:p>
        </w:tc>
      </w:tr>
      <w:tr w:rsidR="00023369" w:rsidRPr="00023369" w14:paraId="189524C3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25A69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33AF2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19 368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36B9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16 232</w:t>
            </w:r>
          </w:p>
        </w:tc>
      </w:tr>
      <w:tr w:rsidR="00023369" w:rsidRPr="00023369" w14:paraId="415334FB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0003E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1539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16 706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2F95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6 312</w:t>
            </w:r>
          </w:p>
        </w:tc>
      </w:tr>
      <w:tr w:rsidR="00023369" w:rsidRPr="00023369" w14:paraId="2AE98621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45076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7915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15 846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2000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8 045</w:t>
            </w:r>
          </w:p>
        </w:tc>
      </w:tr>
      <w:tr w:rsidR="00023369" w:rsidRPr="00023369" w14:paraId="266040BE" w14:textId="77777777" w:rsidTr="00023369">
        <w:trPr>
          <w:trHeight w:val="2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B6991" w14:textId="77777777" w:rsidR="00023369" w:rsidRPr="00023369" w:rsidRDefault="00023369" w:rsidP="0002336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BCS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C7C1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15 057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F60E" w14:textId="77777777" w:rsidR="00023369" w:rsidRPr="00023369" w:rsidRDefault="00023369" w:rsidP="00023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23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4 590</w:t>
            </w:r>
          </w:p>
        </w:tc>
      </w:tr>
    </w:tbl>
    <w:p w14:paraId="560BDB38" w14:textId="1FE5E011" w:rsidR="002209BC" w:rsidRDefault="002209BC" w:rsidP="00F35D8A">
      <w:pPr>
        <w:pStyle w:val="Default"/>
        <w:jc w:val="center"/>
      </w:pPr>
    </w:p>
    <w:p w14:paraId="50D1B528" w14:textId="181F963A" w:rsidR="002209BC" w:rsidRDefault="002209BC" w:rsidP="00F35D8A">
      <w:pPr>
        <w:pStyle w:val="Default"/>
        <w:jc w:val="center"/>
      </w:pPr>
    </w:p>
    <w:p w14:paraId="0ED2E89E" w14:textId="4C32BC0E" w:rsidR="002209BC" w:rsidRDefault="002209BC" w:rsidP="00F35D8A">
      <w:pPr>
        <w:pStyle w:val="Default"/>
        <w:jc w:val="center"/>
      </w:pPr>
    </w:p>
    <w:p w14:paraId="516549F0" w14:textId="35D268C2" w:rsidR="002209BC" w:rsidRDefault="002209BC" w:rsidP="00F35D8A">
      <w:pPr>
        <w:pStyle w:val="Default"/>
        <w:jc w:val="center"/>
      </w:pPr>
    </w:p>
    <w:p w14:paraId="6409BBE2" w14:textId="6479AC09" w:rsidR="002209BC" w:rsidRDefault="002209BC" w:rsidP="00F35D8A">
      <w:pPr>
        <w:pStyle w:val="Default"/>
        <w:jc w:val="center"/>
      </w:pPr>
    </w:p>
    <w:p w14:paraId="2AC9B46E" w14:textId="171BADAA" w:rsidR="002209BC" w:rsidRDefault="002209BC" w:rsidP="00F35D8A">
      <w:pPr>
        <w:pStyle w:val="Default"/>
        <w:jc w:val="center"/>
      </w:pPr>
    </w:p>
    <w:p w14:paraId="1BE21419" w14:textId="4B29C58B" w:rsidR="002209BC" w:rsidRDefault="002209BC" w:rsidP="00F35D8A">
      <w:pPr>
        <w:pStyle w:val="Default"/>
        <w:jc w:val="center"/>
      </w:pPr>
    </w:p>
    <w:p w14:paraId="1C8C43C2" w14:textId="4C103049" w:rsidR="002209BC" w:rsidRDefault="002209BC" w:rsidP="00F35D8A">
      <w:pPr>
        <w:pStyle w:val="Default"/>
        <w:jc w:val="center"/>
      </w:pPr>
    </w:p>
    <w:p w14:paraId="24192CF3" w14:textId="74DE243D" w:rsidR="002209BC" w:rsidRDefault="002209BC" w:rsidP="00F35D8A">
      <w:pPr>
        <w:pStyle w:val="Default"/>
        <w:jc w:val="center"/>
      </w:pPr>
    </w:p>
    <w:p w14:paraId="092140AF" w14:textId="5BBB2B40" w:rsidR="002209BC" w:rsidRDefault="002209BC" w:rsidP="00F35D8A">
      <w:pPr>
        <w:pStyle w:val="Default"/>
        <w:jc w:val="center"/>
      </w:pPr>
    </w:p>
    <w:p w14:paraId="36772080" w14:textId="132697B5" w:rsidR="002209BC" w:rsidRDefault="002209BC" w:rsidP="00F35D8A">
      <w:pPr>
        <w:pStyle w:val="Default"/>
        <w:jc w:val="center"/>
      </w:pPr>
    </w:p>
    <w:p w14:paraId="4A96BFFD" w14:textId="14502075" w:rsidR="002209BC" w:rsidRDefault="002209BC" w:rsidP="00F35D8A">
      <w:pPr>
        <w:pStyle w:val="Default"/>
        <w:jc w:val="center"/>
      </w:pPr>
    </w:p>
    <w:p w14:paraId="6A0A359B" w14:textId="77777777" w:rsidR="0015148A" w:rsidRDefault="0015148A" w:rsidP="00877BB9">
      <w:pPr>
        <w:pStyle w:val="Default"/>
      </w:pPr>
    </w:p>
    <w:p w14:paraId="34894776" w14:textId="3FD6F555" w:rsidR="000B4C94" w:rsidRPr="00EE4031" w:rsidRDefault="005B20DE" w:rsidP="000B4C94">
      <w:pPr>
        <w:pStyle w:val="Prrafodelista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1134"/>
        <w:contextualSpacing w:val="0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  <w:r w:rsidRPr="002570E4">
        <w:rPr>
          <w:rFonts w:ascii="Arial Negrita" w:hAnsi="Arial Negrita" w:cs="Arial"/>
          <w:b/>
          <w:bCs/>
          <w:sz w:val="24"/>
          <w:szCs w:val="24"/>
        </w:rPr>
        <w:lastRenderedPageBreak/>
        <w:t>C</w:t>
      </w:r>
      <w:r w:rsidR="000B4C94" w:rsidRPr="002570E4">
        <w:rPr>
          <w:rFonts w:ascii="Arial Negrita" w:hAnsi="Arial Negrita" w:cs="Arial"/>
          <w:b/>
          <w:bCs/>
          <w:sz w:val="24"/>
          <w:szCs w:val="24"/>
        </w:rPr>
        <w:t>a</w:t>
      </w:r>
      <w:r w:rsidRPr="002570E4">
        <w:rPr>
          <w:rFonts w:ascii="Arial Negrita" w:hAnsi="Arial Negrita" w:cs="Arial"/>
          <w:b/>
          <w:bCs/>
          <w:sz w:val="24"/>
          <w:szCs w:val="24"/>
        </w:rPr>
        <w:t>u</w:t>
      </w:r>
      <w:r w:rsidR="000B4C94" w:rsidRPr="002570E4">
        <w:rPr>
          <w:rFonts w:ascii="Arial Negrita" w:hAnsi="Arial Negrita" w:cs="Arial"/>
          <w:b/>
          <w:bCs/>
          <w:sz w:val="24"/>
          <w:szCs w:val="24"/>
        </w:rPr>
        <w:t>s</w:t>
      </w:r>
      <w:r w:rsidRPr="002570E4">
        <w:rPr>
          <w:rFonts w:ascii="Arial Negrita" w:hAnsi="Arial Negrita" w:cs="Arial"/>
          <w:b/>
          <w:bCs/>
          <w:sz w:val="24"/>
          <w:szCs w:val="24"/>
        </w:rPr>
        <w:t>as penales ingresadas</w:t>
      </w:r>
      <w:r w:rsidR="00FA464A">
        <w:rPr>
          <w:rStyle w:val="Refdenotaalpie"/>
          <w:rFonts w:ascii="Arial Negrita" w:hAnsi="Arial Negrita" w:cs="Arial"/>
          <w:b/>
          <w:bCs/>
          <w:smallCaps/>
          <w:sz w:val="24"/>
          <w:szCs w:val="24"/>
        </w:rPr>
        <w:footnoteReference w:id="13"/>
      </w:r>
    </w:p>
    <w:p w14:paraId="7715F15F" w14:textId="4682DE3B" w:rsidR="00167FAB" w:rsidRPr="00756B55" w:rsidRDefault="00167FAB" w:rsidP="00E17731">
      <w:pPr>
        <w:pStyle w:val="Default"/>
        <w:jc w:val="both"/>
      </w:pPr>
    </w:p>
    <w:p w14:paraId="6C827B3E" w14:textId="446ED4C7" w:rsidR="00570DEF" w:rsidRDefault="00EB3B88" w:rsidP="00E63CB2">
      <w:pPr>
        <w:pStyle w:val="Default"/>
        <w:jc w:val="both"/>
        <w:rPr>
          <w:spacing w:val="-2"/>
        </w:rPr>
      </w:pPr>
      <w:r>
        <w:rPr>
          <w:spacing w:val="-2"/>
        </w:rPr>
        <w:t>En 2021, c</w:t>
      </w:r>
      <w:r w:rsidR="000C154E">
        <w:rPr>
          <w:spacing w:val="-2"/>
        </w:rPr>
        <w:t>on</w:t>
      </w:r>
      <w:r w:rsidR="00E63CB2">
        <w:rPr>
          <w:spacing w:val="-2"/>
        </w:rPr>
        <w:t xml:space="preserve"> respecto a las</w:t>
      </w:r>
      <w:r w:rsidR="00E63CB2" w:rsidRPr="00E63CB2">
        <w:rPr>
          <w:spacing w:val="-2"/>
        </w:rPr>
        <w:t xml:space="preserve"> 221 789 causas penales ingresadas a nivel nacional, 97.2 % correspondió a la materia penal </w:t>
      </w:r>
      <w:r w:rsidR="00D41E24">
        <w:rPr>
          <w:spacing w:val="-2"/>
        </w:rPr>
        <w:t xml:space="preserve">para personas </w:t>
      </w:r>
      <w:r w:rsidR="00E63CB2" w:rsidRPr="00E63CB2">
        <w:rPr>
          <w:spacing w:val="-2"/>
        </w:rPr>
        <w:t>adult</w:t>
      </w:r>
      <w:r w:rsidR="00D41E24">
        <w:rPr>
          <w:spacing w:val="-2"/>
        </w:rPr>
        <w:t>as</w:t>
      </w:r>
      <w:r w:rsidR="00E63CB2" w:rsidRPr="00E63CB2">
        <w:rPr>
          <w:spacing w:val="-2"/>
        </w:rPr>
        <w:t xml:space="preserve"> y 2.8 % a la materia de justicia para adolescentes. En contraste con 2020, el total de causas penales </w:t>
      </w:r>
      <w:r w:rsidR="009F1F5A">
        <w:rPr>
          <w:spacing w:val="-2"/>
        </w:rPr>
        <w:t xml:space="preserve">ingresadas </w:t>
      </w:r>
      <w:r w:rsidR="00E63CB2" w:rsidRPr="00E63CB2">
        <w:rPr>
          <w:spacing w:val="-2"/>
        </w:rPr>
        <w:t xml:space="preserve">presentó un aumento de 28.9 % en 2021. En materia penal, el aumento </w:t>
      </w:r>
      <w:r w:rsidR="0015148A">
        <w:rPr>
          <w:spacing w:val="-2"/>
        </w:rPr>
        <w:t xml:space="preserve">fue de </w:t>
      </w:r>
      <w:r w:rsidR="00E63CB2" w:rsidRPr="00E63CB2">
        <w:rPr>
          <w:spacing w:val="-2"/>
        </w:rPr>
        <w:t xml:space="preserve">29.2 %, mientras que en materia de justicia para adolescentes fue de 17.9 por ciento. </w:t>
      </w:r>
    </w:p>
    <w:p w14:paraId="7FCD8FE7" w14:textId="77777777" w:rsidR="008E34A3" w:rsidRDefault="008E34A3" w:rsidP="00570DEF">
      <w:pPr>
        <w:pStyle w:val="Default"/>
        <w:jc w:val="center"/>
        <w:rPr>
          <w:bCs/>
          <w:iCs/>
          <w:color w:val="000000" w:themeColor="text1"/>
          <w:sz w:val="20"/>
          <w:szCs w:val="20"/>
        </w:rPr>
      </w:pPr>
    </w:p>
    <w:p w14:paraId="0BC5DDD3" w14:textId="7D4CA11B" w:rsidR="008D2168" w:rsidRPr="00963A3F" w:rsidRDefault="008D2168" w:rsidP="00570DEF">
      <w:pPr>
        <w:pStyle w:val="Default"/>
        <w:jc w:val="center"/>
        <w:rPr>
          <w:bCs/>
          <w:iCs/>
          <w:color w:val="000000" w:themeColor="text1"/>
          <w:sz w:val="20"/>
          <w:szCs w:val="20"/>
        </w:rPr>
      </w:pPr>
      <w:r w:rsidRPr="00F53C86">
        <w:rPr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1</w:t>
      </w:r>
      <w:r w:rsidR="009011CB">
        <w:rPr>
          <w:bCs/>
          <w:iCs/>
          <w:color w:val="000000" w:themeColor="text1"/>
          <w:sz w:val="20"/>
          <w:szCs w:val="20"/>
        </w:rPr>
        <w:t>5</w:t>
      </w:r>
    </w:p>
    <w:p w14:paraId="3DF6E37F" w14:textId="7F651CE1" w:rsidR="00CB18EB" w:rsidRPr="00CB18EB" w:rsidRDefault="00CB18EB" w:rsidP="00CB18EB">
      <w:pPr>
        <w:spacing w:after="0" w:line="240" w:lineRule="auto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CB18EB">
        <w:rPr>
          <w:rFonts w:ascii="Arial" w:hAnsi="Arial" w:cs="Arial"/>
          <w:b/>
          <w:bCs/>
          <w:iCs/>
          <w:smallCaps/>
          <w:color w:val="000000" w:themeColor="text1"/>
        </w:rPr>
        <w:t>Causas penales ingresadas a los órganos jurisdiccionales</w:t>
      </w:r>
      <w:r>
        <w:rPr>
          <w:rFonts w:ascii="Arial" w:hAnsi="Arial" w:cs="Arial"/>
          <w:b/>
          <w:bCs/>
          <w:iCs/>
          <w:smallCaps/>
          <w:color w:val="000000" w:themeColor="text1"/>
        </w:rPr>
        <w:t xml:space="preserve"> </w:t>
      </w:r>
      <w:r w:rsidRPr="00CB18EB">
        <w:rPr>
          <w:rFonts w:ascii="Arial" w:hAnsi="Arial" w:cs="Arial"/>
          <w:b/>
          <w:bCs/>
          <w:iCs/>
          <w:smallCaps/>
          <w:color w:val="000000" w:themeColor="text1"/>
        </w:rPr>
        <w:t>de los poderes judiciales estatales</w:t>
      </w:r>
      <w:r>
        <w:rPr>
          <w:noProof/>
        </w:rPr>
        <w:drawing>
          <wp:inline distT="0" distB="0" distL="0" distR="0" wp14:anchorId="04B6F85C" wp14:editId="0D28550D">
            <wp:extent cx="6176010" cy="1924493"/>
            <wp:effectExtent l="0" t="0" r="0" b="0"/>
            <wp:docPr id="113" name="Gráfico 113">
              <a:extLst xmlns:a="http://schemas.openxmlformats.org/drawingml/2006/main">
                <a:ext uri="{FF2B5EF4-FFF2-40B4-BE49-F238E27FC236}">
                  <a16:creationId xmlns:a16="http://schemas.microsoft.com/office/drawing/2014/main" id="{39B933A3-B5B7-C1C2-FC55-8BC4F26932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6ED1C06" w14:textId="77777777" w:rsidR="009011CB" w:rsidRDefault="009011CB" w:rsidP="009F2E3A">
      <w:pPr>
        <w:pStyle w:val="Default"/>
        <w:jc w:val="both"/>
      </w:pPr>
    </w:p>
    <w:p w14:paraId="5F938409" w14:textId="722E81F9" w:rsidR="003D266E" w:rsidRDefault="00270645" w:rsidP="009F2E3A">
      <w:pPr>
        <w:pStyle w:val="Default"/>
        <w:jc w:val="both"/>
      </w:pPr>
      <w:r w:rsidRPr="00270645">
        <w:t>El Poder Judicial de Nuevo León concentró la mayor cantidad de causas penales ingresadas</w:t>
      </w:r>
      <w:r w:rsidR="0015148A">
        <w:t xml:space="preserve"> </w:t>
      </w:r>
      <w:r w:rsidR="0015148A" w:rsidRPr="00270645">
        <w:t>(23 627)</w:t>
      </w:r>
      <w:r w:rsidR="0015148A">
        <w:t xml:space="preserve">. Lo siguió </w:t>
      </w:r>
      <w:r w:rsidRPr="00270645">
        <w:t>el Poder Judicial de Ciudad de México (21 762).</w:t>
      </w:r>
    </w:p>
    <w:p w14:paraId="67387CF6" w14:textId="01DA05DB" w:rsidR="00270645" w:rsidRDefault="00270645" w:rsidP="00270645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3BB55235" w14:textId="21336E6B" w:rsidR="00270645" w:rsidRPr="00963A3F" w:rsidRDefault="00270645" w:rsidP="00270645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  <w:r>
        <w:rPr>
          <w:bCs/>
          <w:iCs/>
          <w:color w:val="000000" w:themeColor="text1"/>
          <w:sz w:val="20"/>
          <w:szCs w:val="20"/>
        </w:rPr>
        <w:t>Mapa 2</w:t>
      </w:r>
    </w:p>
    <w:p w14:paraId="361F84AF" w14:textId="59ABC907" w:rsidR="00270645" w:rsidRPr="007E7A49" w:rsidRDefault="00AA1617" w:rsidP="00270645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C</w:t>
      </w:r>
      <w:r w:rsidRPr="00AA1617">
        <w:rPr>
          <w:b/>
          <w:bCs/>
          <w:iCs/>
          <w:smallCaps/>
          <w:color w:val="000000" w:themeColor="text1"/>
          <w:sz w:val="22"/>
          <w:szCs w:val="22"/>
        </w:rPr>
        <w:t>ausas penales ingresadas a los órganos jurisdiccionales de los poderes judiciales estatales</w:t>
      </w:r>
      <w:r w:rsidR="00270645" w:rsidRPr="00C32CA5">
        <w:rPr>
          <w:b/>
          <w:bCs/>
          <w:iCs/>
          <w:smallCaps/>
          <w:color w:val="000000" w:themeColor="text1"/>
          <w:sz w:val="22"/>
          <w:szCs w:val="22"/>
        </w:rPr>
        <w:t>, por entidad federativa, 2021</w:t>
      </w:r>
    </w:p>
    <w:p w14:paraId="576C996E" w14:textId="04D1C986" w:rsidR="003D266E" w:rsidRDefault="001D7577" w:rsidP="001D7577">
      <w:pPr>
        <w:pStyle w:val="Default"/>
        <w:jc w:val="center"/>
      </w:pPr>
      <w:r w:rsidRPr="001D7577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9EF6ED8" wp14:editId="1A2F65DA">
                <wp:simplePos x="0" y="0"/>
                <wp:positionH relativeFrom="column">
                  <wp:posOffset>4163060</wp:posOffset>
                </wp:positionH>
                <wp:positionV relativeFrom="paragraph">
                  <wp:posOffset>324485</wp:posOffset>
                </wp:positionV>
                <wp:extent cx="1983180" cy="876300"/>
                <wp:effectExtent l="0" t="0" r="0" b="0"/>
                <wp:wrapNone/>
                <wp:docPr id="11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3180" cy="876300"/>
                          <a:chOff x="0" y="0"/>
                          <a:chExt cx="4384141" cy="1598459"/>
                        </a:xfrm>
                      </wpg:grpSpPr>
                      <wpg:grpSp>
                        <wpg:cNvPr id="117" name="Grupo 117"/>
                        <wpg:cNvGrpSpPr/>
                        <wpg:grpSpPr>
                          <a:xfrm>
                            <a:off x="132077" y="346514"/>
                            <a:ext cx="4252064" cy="1251945"/>
                            <a:chOff x="132077" y="346513"/>
                            <a:chExt cx="2125894" cy="751398"/>
                          </a:xfrm>
                        </wpg:grpSpPr>
                        <wps:wsp>
                          <wps:cNvPr id="118" name="Rectángulo: esquinas redondeadas 118"/>
                          <wps:cNvSpPr/>
                          <wps:spPr>
                            <a:xfrm>
                              <a:off x="132077" y="561149"/>
                              <a:ext cx="150815" cy="139430"/>
                            </a:xfrm>
                            <a:prstGeom prst="roundRect">
                              <a:avLst/>
                            </a:prstGeom>
                            <a:solidFill>
                              <a:srgbClr val="B2A499"/>
                            </a:solidFill>
                            <a:ln w="25400" cap="flat">
                              <a:noFill/>
                              <a:prstDash val="solid"/>
                              <a:round/>
                            </a:ln>
                            <a:effectLst/>
                            <a:sp3d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rot="0" spcFirstLastPara="1" vert="horz" wrap="square" lIns="0" tIns="0" rIns="0" bIns="0" numCol="1" spcCol="38100" rtlCol="0" anchor="ctr">
                            <a:noAutofit/>
                          </wps:bodyPr>
                        </wps:wsp>
                        <wps:wsp>
                          <wps:cNvPr id="119" name="Rectángulo: esquinas redondeadas 119"/>
                          <wps:cNvSpPr/>
                          <wps:spPr>
                            <a:xfrm>
                              <a:off x="135587" y="400584"/>
                              <a:ext cx="150472" cy="139430"/>
                            </a:xfrm>
                            <a:prstGeom prst="roundRect">
                              <a:avLst/>
                            </a:prstGeom>
                            <a:solidFill>
                              <a:srgbClr val="56402E"/>
                            </a:solidFill>
                            <a:ln w="25400" cap="flat">
                              <a:noFill/>
                              <a:prstDash val="solid"/>
                              <a:round/>
                            </a:ln>
                            <a:effectLst/>
                            <a:sp3d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rot="0" spcFirstLastPara="1" vert="horz" wrap="square" lIns="0" tIns="0" rIns="0" bIns="0" numCol="1" spcCol="38100" rtlCol="0" anchor="ctr">
                            <a:noAutofit/>
                          </wps:bodyPr>
                        </wps:wsp>
                        <wps:wsp>
                          <wps:cNvPr id="120" name="Rectángulo: esquinas redondeadas 120"/>
                          <wps:cNvSpPr/>
                          <wps:spPr>
                            <a:xfrm>
                              <a:off x="132879" y="723814"/>
                              <a:ext cx="150814" cy="139430"/>
                            </a:xfrm>
                            <a:prstGeom prst="roundRect">
                              <a:avLst/>
                            </a:prstGeom>
                            <a:solidFill>
                              <a:srgbClr val="E5C2C0"/>
                            </a:solidFill>
                            <a:ln w="25400" cap="flat">
                              <a:noFill/>
                              <a:prstDash val="solid"/>
                              <a:round/>
                            </a:ln>
                            <a:effectLst/>
                            <a:sp3d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rot="0" spcFirstLastPara="1" vert="horz" wrap="square" lIns="0" tIns="0" rIns="0" bIns="0" numCol="1" spcCol="38100" rtlCol="0" anchor="ctr">
                            <a:noAutofit/>
                          </wps:bodyPr>
                        </wps:wsp>
                        <wps:wsp>
                          <wps:cNvPr id="121" name="Rectángulo: esquinas redondeadas 121"/>
                          <wps:cNvSpPr/>
                          <wps:spPr>
                            <a:xfrm>
                              <a:off x="135185" y="887637"/>
                              <a:ext cx="149297" cy="138693"/>
                            </a:xfrm>
                            <a:prstGeom prst="roundRect">
                              <a:avLst/>
                            </a:prstGeom>
                            <a:solidFill>
                              <a:srgbClr val="9C5A60"/>
                            </a:solidFill>
                            <a:ln w="25400" cap="flat">
                              <a:noFill/>
                              <a:prstDash val="solid"/>
                              <a:round/>
                            </a:ln>
                            <a:effectLst/>
                            <a:sp3d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rot="0" spcFirstLastPara="1" vert="horz" wrap="square" lIns="0" tIns="0" rIns="0" bIns="0" numCol="1" spcCol="38100" rtlCol="0" anchor="ctr">
                            <a:noAutofit/>
                          </wps:bodyPr>
                        </wps:wsp>
                        <wps:wsp>
                          <wps:cNvPr id="122" name="Rectángulo 122"/>
                          <wps:cNvSpPr/>
                          <wps:spPr>
                            <a:xfrm>
                              <a:off x="247793" y="860421"/>
                              <a:ext cx="2010178" cy="2374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9BC071A" w14:textId="77777777" w:rsidR="001D7577" w:rsidRPr="001D7577" w:rsidRDefault="001D7577" w:rsidP="001D7577">
                                <w:pPr>
                                  <w:overflowPunct w:val="0"/>
                                  <w:rPr>
                                    <w:rFonts w:ascii="Arial" w:eastAsia="Helvetica Neue Medium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 w:rsidRPr="001D7577">
                                  <w:rPr>
                                    <w:rFonts w:ascii="Arial" w:eastAsia="Helvetica Neue Medium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>De 567 a 5 000 (19 entidades)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23" name="Rectángulo 123"/>
                          <wps:cNvSpPr/>
                          <wps:spPr>
                            <a:xfrm>
                              <a:off x="247948" y="686514"/>
                              <a:ext cx="2004695" cy="2374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D693082" w14:textId="77777777" w:rsidR="001D7577" w:rsidRPr="001D7577" w:rsidRDefault="001D7577" w:rsidP="001D7577">
                                <w:pPr>
                                  <w:overflowPunct w:val="0"/>
                                  <w:rPr>
                                    <w:rFonts w:ascii="Arial" w:eastAsia="Helvetica Neue Medium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 w:rsidRPr="001D7577">
                                  <w:rPr>
                                    <w:rFonts w:ascii="Arial" w:eastAsia="Helvetica Neue Medium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>De 5 001 a 10 000 (5 entidades)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24" name="Rectángulo 124"/>
                          <wps:cNvSpPr/>
                          <wps:spPr>
                            <a:xfrm>
                              <a:off x="242355" y="513494"/>
                              <a:ext cx="1934210" cy="26629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776D0AE" w14:textId="77777777" w:rsidR="001D7577" w:rsidRPr="001D7577" w:rsidRDefault="001D7577" w:rsidP="001D7577">
                                <w:pPr>
                                  <w:overflowPunct w:val="0"/>
                                  <w:rPr>
                                    <w:rFonts w:ascii="Arial" w:eastAsia="Helvetica Neue Medium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 w:rsidRPr="001D7577">
                                  <w:rPr>
                                    <w:rFonts w:ascii="Arial" w:eastAsia="Helvetica Neue Medium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>De 10 001 a 20 000 (6 entidades)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25" name="Rectángulo 125"/>
                          <wps:cNvSpPr/>
                          <wps:spPr>
                            <a:xfrm>
                              <a:off x="248997" y="346513"/>
                              <a:ext cx="1729105" cy="2374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4307ACE" w14:textId="77777777" w:rsidR="001D7577" w:rsidRPr="001D7577" w:rsidRDefault="001D7577" w:rsidP="001D7577">
                                <w:pPr>
                                  <w:overflowPunct w:val="0"/>
                                  <w:rPr>
                                    <w:rFonts w:ascii="Arial" w:eastAsia="Helvetica Neue Medium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 w:rsidRPr="001D7577">
                                  <w:rPr>
                                    <w:rFonts w:ascii="Arial" w:eastAsia="Helvetica Neue Medium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>Más de 20 000 (2 entidades)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wps:wsp>
                        <wps:cNvPr id="126" name="Rectángulo 126"/>
                        <wps:cNvSpPr/>
                        <wps:spPr>
                          <a:xfrm>
                            <a:off x="0" y="0"/>
                            <a:ext cx="3989072" cy="47418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ABEC5D" w14:textId="77777777" w:rsidR="001D7577" w:rsidRPr="001D7577" w:rsidRDefault="001D7577" w:rsidP="001D7577">
                              <w:pPr>
                                <w:overflowPunct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1D757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Causas penales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EF6ED8" id="Grupo 6" o:spid="_x0000_s1037" style="position:absolute;left:0;text-align:left;margin-left:327.8pt;margin-top:25.55pt;width:156.15pt;height:69pt;z-index:251679744;mso-width-relative:margin;mso-height-relative:margin" coordsize="43841,15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">
                <v:group id="Grupo 117" o:spid="_x0000_s1038" style="position:absolute;left:1320;top:3465;width:42521;height:12519" coordorigin="1320,3465" coordsize="21258,7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roundrect id="Rectángulo: esquinas redondeadas 118" o:spid="_x0000_s1039" style="position:absolute;left:1320;top:5611;width:1508;height:13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" fillcolor="#b2a499" stroked="f" strokeweight="2pt">
                    <v:textbox inset="0,0,0,0"/>
                  </v:roundrect>
                  <v:roundrect id="Rectángulo: esquinas redondeadas 119" o:spid="_x0000_s1040" style="position:absolute;left:1355;top:4005;width:1505;height:13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" fillcolor="#56402e" stroked="f" strokeweight="2pt">
                    <v:textbox inset="0,0,0,0"/>
                  </v:roundrect>
                  <v:roundrect id="Rectángulo: esquinas redondeadas 120" o:spid="_x0000_s1041" style="position:absolute;left:1328;top:7238;width:1508;height:13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" fillcolor="#e5c2c0" stroked="f" strokeweight="2pt">
                    <v:textbox inset="0,0,0,0"/>
                  </v:roundrect>
                  <v:roundrect id="Rectángulo: esquinas redondeadas 121" o:spid="_x0000_s1042" style="position:absolute;left:1351;top:8876;width:1493;height:13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" fillcolor="#9c5a60" stroked="f" strokeweight="2pt">
                    <v:textbox inset="0,0,0,0"/>
                  </v:roundrect>
                  <v:rect id="Rectángulo 122" o:spid="_x0000_s1043" style="position:absolute;left:2477;top:8604;width:20102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" filled="f" stroked="f">
                    <v:textbox>
                      <w:txbxContent>
                        <w:p w14:paraId="19BC071A" w14:textId="77777777" w:rsidR="001D7577" w:rsidRPr="001D7577" w:rsidRDefault="001D7577" w:rsidP="001D7577">
                          <w:pPr>
                            <w:overflowPunct w:val="0"/>
                            <w:rPr>
                              <w:rFonts w:ascii="Arial" w:eastAsia="Helvetica Neue Medium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</w:pPr>
                          <w:r w:rsidRPr="001D7577">
                            <w:rPr>
                              <w:rFonts w:ascii="Arial" w:eastAsia="Helvetica Neue Medium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De 567 a 5 000 (19 entidades)</w:t>
                          </w:r>
                        </w:p>
                      </w:txbxContent>
                    </v:textbox>
                  </v:rect>
                  <v:rect id="Rectángulo 123" o:spid="_x0000_s1044" style="position:absolute;left:2479;top:6865;width:20047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" filled="f" stroked="f">
                    <v:textbox>
                      <w:txbxContent>
                        <w:p w14:paraId="5D693082" w14:textId="77777777" w:rsidR="001D7577" w:rsidRPr="001D7577" w:rsidRDefault="001D7577" w:rsidP="001D7577">
                          <w:pPr>
                            <w:overflowPunct w:val="0"/>
                            <w:rPr>
                              <w:rFonts w:ascii="Arial" w:eastAsia="Helvetica Neue Medium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</w:pPr>
                          <w:r w:rsidRPr="001D7577">
                            <w:rPr>
                              <w:rFonts w:ascii="Arial" w:eastAsia="Helvetica Neue Medium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De 5 001 a 10 000 (5 entidades)</w:t>
                          </w:r>
                        </w:p>
                      </w:txbxContent>
                    </v:textbox>
                  </v:rect>
                  <v:rect id="Rectángulo 124" o:spid="_x0000_s1045" style="position:absolute;left:2423;top:5134;width:19342;height:2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" filled="f" stroked="f">
                    <v:textbox>
                      <w:txbxContent>
                        <w:p w14:paraId="2776D0AE" w14:textId="77777777" w:rsidR="001D7577" w:rsidRPr="001D7577" w:rsidRDefault="001D7577" w:rsidP="001D7577">
                          <w:pPr>
                            <w:overflowPunct w:val="0"/>
                            <w:rPr>
                              <w:rFonts w:ascii="Arial" w:eastAsia="Helvetica Neue Medium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</w:pPr>
                          <w:r w:rsidRPr="001D7577">
                            <w:rPr>
                              <w:rFonts w:ascii="Arial" w:eastAsia="Helvetica Neue Medium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De 10 001 a 20 000 (6 entidades)</w:t>
                          </w:r>
                        </w:p>
                      </w:txbxContent>
                    </v:textbox>
                  </v:rect>
                  <v:rect id="Rectángulo 125" o:spid="_x0000_s1046" style="position:absolute;left:2489;top:3465;width:17292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" filled="f" stroked="f">
                    <v:textbox>
                      <w:txbxContent>
                        <w:p w14:paraId="14307ACE" w14:textId="77777777" w:rsidR="001D7577" w:rsidRPr="001D7577" w:rsidRDefault="001D7577" w:rsidP="001D7577">
                          <w:pPr>
                            <w:overflowPunct w:val="0"/>
                            <w:rPr>
                              <w:rFonts w:ascii="Arial" w:eastAsia="Helvetica Neue Medium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</w:pPr>
                          <w:r w:rsidRPr="001D7577">
                            <w:rPr>
                              <w:rFonts w:ascii="Arial" w:eastAsia="Helvetica Neue Medium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Más de 20 000 (2 entidades)</w:t>
                          </w:r>
                        </w:p>
                      </w:txbxContent>
                    </v:textbox>
                  </v:rect>
                </v:group>
                <v:rect id="Rectángulo 126" o:spid="_x0000_s1047" style="position:absolute;width:39890;height:4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" filled="f" stroked="f">
                  <v:textbox>
                    <w:txbxContent>
                      <w:p w14:paraId="1DABEC5D" w14:textId="77777777" w:rsidR="001D7577" w:rsidRPr="001D7577" w:rsidRDefault="001D7577" w:rsidP="001D7577">
                        <w:pPr>
                          <w:overflowPunct w:val="0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1D7577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Causas penales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70645" w:rsidRPr="00270645">
        <w:rPr>
          <w:noProof/>
        </w:rPr>
        <w:drawing>
          <wp:inline distT="0" distB="0" distL="0" distR="0" wp14:anchorId="6FFC1361" wp14:editId="233E2D1B">
            <wp:extent cx="4327451" cy="2835627"/>
            <wp:effectExtent l="0" t="0" r="0" b="3175"/>
            <wp:docPr id="115" name="Imagen 22" descr="Map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8BCE2A95-7414-7DA0-A79C-C8752462F2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n 22" descr="Mapa&#10;&#10;Descripción generada automáticamente">
                      <a:extLst>
                        <a:ext uri="{FF2B5EF4-FFF2-40B4-BE49-F238E27FC236}">
                          <a16:creationId xmlns:a16="http://schemas.microsoft.com/office/drawing/2014/main" id="{8BCE2A95-7414-7DA0-A79C-C8752462F2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360729" cy="285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00825" w14:textId="2BFCC186" w:rsidR="00302B3C" w:rsidRDefault="00F50271" w:rsidP="00025B7E">
      <w:pPr>
        <w:pStyle w:val="Default"/>
        <w:jc w:val="both"/>
      </w:pPr>
      <w:r>
        <w:lastRenderedPageBreak/>
        <w:t>E</w:t>
      </w:r>
      <w:r w:rsidR="00CD54A9">
        <w:t>n 2021</w:t>
      </w:r>
      <w:r>
        <w:t>,</w:t>
      </w:r>
      <w:r w:rsidR="00CD54A9">
        <w:t xml:space="preserve"> </w:t>
      </w:r>
      <w:r w:rsidR="00025B7E" w:rsidRPr="00025B7E">
        <w:t>a nivel nacional</w:t>
      </w:r>
      <w:r w:rsidR="00EB3B3F">
        <w:t>,</w:t>
      </w:r>
      <w:r w:rsidR="00025B7E" w:rsidRPr="00025B7E">
        <w:t xml:space="preserve"> se registró que 6.5 % de las causas penales</w:t>
      </w:r>
      <w:r w:rsidR="00EB3B3F">
        <w:t xml:space="preserve"> ingresaron </w:t>
      </w:r>
      <w:r w:rsidR="00025B7E" w:rsidRPr="00025B7E">
        <w:t>en los tribunales de enjuiciamiento o juzgados de juicio oral con respecto a las ingresadas en los juzgados de control o garantías. La entidad federativa que registró el mayor porcentaje fue el estado de México</w:t>
      </w:r>
      <w:r w:rsidR="00EB3B3F">
        <w:t>,</w:t>
      </w:r>
      <w:r w:rsidR="00025B7E" w:rsidRPr="00025B7E">
        <w:t xml:space="preserve"> con 25.5 por ciento.</w:t>
      </w:r>
    </w:p>
    <w:p w14:paraId="3F2561B1" w14:textId="00E8DF98" w:rsidR="00025B7E" w:rsidRDefault="00025B7E" w:rsidP="00387069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67B7B5F0" w14:textId="170C6698" w:rsidR="005E02F0" w:rsidRPr="00963A3F" w:rsidRDefault="005E02F0" w:rsidP="005E02F0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F53C86">
        <w:rPr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1</w:t>
      </w:r>
      <w:r w:rsidR="008E34A3">
        <w:rPr>
          <w:bCs/>
          <w:iCs/>
          <w:color w:val="000000" w:themeColor="text1"/>
          <w:sz w:val="20"/>
          <w:szCs w:val="20"/>
        </w:rPr>
        <w:t>6</w:t>
      </w:r>
    </w:p>
    <w:p w14:paraId="1E83A140" w14:textId="1A98FF3C" w:rsidR="005E02F0" w:rsidRDefault="005E02F0" w:rsidP="005E02F0">
      <w:pPr>
        <w:spacing w:after="0" w:line="240" w:lineRule="auto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025B7E">
        <w:rPr>
          <w:rFonts w:ascii="Arial" w:hAnsi="Arial" w:cs="Arial"/>
          <w:b/>
          <w:bCs/>
          <w:iCs/>
          <w:smallCaps/>
          <w:color w:val="000000" w:themeColor="text1"/>
        </w:rPr>
        <w:t xml:space="preserve">Porcentaje de causas penales ingresadas a los tribunales de enjuiciamiento o juzgados de juicio oral con respecto a los juzgados de control o garantías </w:t>
      </w:r>
    </w:p>
    <w:p w14:paraId="5CAF654B" w14:textId="699F38B6" w:rsidR="005E02F0" w:rsidRDefault="005E02F0" w:rsidP="005E02F0">
      <w:pPr>
        <w:spacing w:after="0" w:line="240" w:lineRule="auto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025B7E">
        <w:rPr>
          <w:rFonts w:ascii="Arial" w:hAnsi="Arial" w:cs="Arial"/>
          <w:b/>
          <w:bCs/>
          <w:iCs/>
          <w:smallCaps/>
          <w:color w:val="000000" w:themeColor="text1"/>
        </w:rPr>
        <w:t>por entidad federativa, 2021</w:t>
      </w:r>
    </w:p>
    <w:p w14:paraId="1C4F80BA" w14:textId="77777777" w:rsidR="006259FF" w:rsidRDefault="006259FF" w:rsidP="005E02F0">
      <w:pPr>
        <w:spacing w:after="0" w:line="240" w:lineRule="auto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</w:p>
    <w:p w14:paraId="0B02440B" w14:textId="7F7C47A2" w:rsidR="005E02F0" w:rsidRPr="005E02F0" w:rsidRDefault="006259FF" w:rsidP="005E02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925A0">
        <w:rPr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5DD51C9E" wp14:editId="1C01B4E4">
            <wp:extent cx="6404610" cy="1724025"/>
            <wp:effectExtent l="0" t="0" r="0" b="0"/>
            <wp:docPr id="129" name="Gráfico 129">
              <a:extLst xmlns:a="http://schemas.openxmlformats.org/drawingml/2006/main">
                <a:ext uri="{FF2B5EF4-FFF2-40B4-BE49-F238E27FC236}">
                  <a16:creationId xmlns:a16="http://schemas.microsoft.com/office/drawing/2014/main" id="{64AD6641-DE31-73EC-6582-037298FCE6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6A063EF" w14:textId="46F542D3" w:rsidR="00C43255" w:rsidRDefault="00C43255" w:rsidP="005E02F0">
      <w:pPr>
        <w:pStyle w:val="Default"/>
        <w:spacing w:after="10"/>
        <w:ind w:right="284"/>
        <w:jc w:val="center"/>
        <w:rPr>
          <w:rFonts w:ascii="Arial Negrita" w:hAnsi="Arial Negrita"/>
          <w:b/>
          <w:bCs/>
          <w:smallCaps/>
        </w:rPr>
      </w:pPr>
    </w:p>
    <w:p w14:paraId="4B20F5F4" w14:textId="4A8863FD" w:rsidR="00C43255" w:rsidRDefault="00C43255" w:rsidP="002F0467">
      <w:pPr>
        <w:pStyle w:val="Prrafodelista"/>
        <w:spacing w:after="0" w:line="240" w:lineRule="auto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0E1284F1" w14:textId="4C19F75A" w:rsidR="00E73665" w:rsidRPr="00EE4031" w:rsidRDefault="00E73665" w:rsidP="00E73665">
      <w:pPr>
        <w:pStyle w:val="Prrafodelista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1134"/>
        <w:contextualSpacing w:val="0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  <w:r w:rsidRPr="002570E4">
        <w:rPr>
          <w:rFonts w:ascii="Arial Negrita" w:hAnsi="Arial Negrita" w:cs="Arial"/>
          <w:b/>
          <w:bCs/>
          <w:sz w:val="24"/>
          <w:szCs w:val="24"/>
        </w:rPr>
        <w:t>Determinaciones y/</w:t>
      </w:r>
      <w:r w:rsidR="00EB3B3F" w:rsidRPr="002570E4">
        <w:rPr>
          <w:rFonts w:ascii="Arial Negrita" w:hAnsi="Arial Negrita" w:cs="Arial"/>
          <w:b/>
          <w:bCs/>
          <w:sz w:val="24"/>
          <w:szCs w:val="24"/>
        </w:rPr>
        <w:t xml:space="preserve"> </w:t>
      </w:r>
      <w:r w:rsidRPr="002570E4">
        <w:rPr>
          <w:rFonts w:ascii="Arial Negrita" w:hAnsi="Arial Negrita" w:cs="Arial"/>
          <w:b/>
          <w:bCs/>
          <w:sz w:val="24"/>
          <w:szCs w:val="24"/>
        </w:rPr>
        <w:t>o conclusiones en las causas penales</w:t>
      </w:r>
      <w:r>
        <w:rPr>
          <w:rStyle w:val="Refdenotaalpie"/>
          <w:rFonts w:ascii="Arial Negrita" w:hAnsi="Arial Negrita" w:cs="Arial"/>
          <w:b/>
          <w:bCs/>
          <w:smallCaps/>
          <w:sz w:val="24"/>
          <w:szCs w:val="24"/>
        </w:rPr>
        <w:footnoteReference w:id="14"/>
      </w:r>
    </w:p>
    <w:p w14:paraId="6F6118CC" w14:textId="7B014A15" w:rsidR="00C43255" w:rsidRDefault="00C43255" w:rsidP="002F0467">
      <w:pPr>
        <w:pStyle w:val="Prrafodelista"/>
        <w:spacing w:after="0" w:line="240" w:lineRule="auto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44F987AF" w14:textId="1F471B39" w:rsidR="00302B3C" w:rsidRPr="00836DFE" w:rsidRDefault="00836DFE" w:rsidP="00836DFE">
      <w:pPr>
        <w:pStyle w:val="Prrafodelista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836DFE">
        <w:rPr>
          <w:rFonts w:ascii="Arial" w:hAnsi="Arial" w:cs="Arial"/>
          <w:color w:val="000000"/>
          <w:sz w:val="24"/>
          <w:szCs w:val="24"/>
        </w:rPr>
        <w:t>En</w:t>
      </w:r>
      <w:r w:rsidRPr="00836DFE">
        <w:rPr>
          <w:rFonts w:ascii="Arial Negrita" w:hAnsi="Arial Negrita" w:cs="Arial"/>
          <w:b/>
          <w:bCs/>
          <w:smallCaps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mismo periodo</w:t>
      </w:r>
      <w:r w:rsidRPr="00836DFE">
        <w:rPr>
          <w:rFonts w:ascii="Arial" w:hAnsi="Arial" w:cs="Arial"/>
          <w:color w:val="000000"/>
          <w:sz w:val="24"/>
          <w:szCs w:val="24"/>
        </w:rPr>
        <w:t>, a nivel nacional</w:t>
      </w:r>
      <w:r w:rsidR="00EB3B3F">
        <w:rPr>
          <w:rFonts w:ascii="Arial" w:hAnsi="Arial" w:cs="Arial"/>
          <w:color w:val="000000"/>
          <w:sz w:val="24"/>
          <w:szCs w:val="24"/>
        </w:rPr>
        <w:t>,</w:t>
      </w:r>
      <w:r w:rsidRPr="00836DFE">
        <w:rPr>
          <w:rFonts w:ascii="Arial" w:hAnsi="Arial" w:cs="Arial"/>
          <w:color w:val="000000"/>
          <w:sz w:val="24"/>
          <w:szCs w:val="24"/>
        </w:rPr>
        <w:t xml:space="preserve"> se efectuaron 137 544 determinaciones y/</w:t>
      </w:r>
      <w:r w:rsidR="00EB3B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836DFE">
        <w:rPr>
          <w:rFonts w:ascii="Arial" w:hAnsi="Arial" w:cs="Arial"/>
          <w:color w:val="000000"/>
          <w:sz w:val="24"/>
          <w:szCs w:val="24"/>
        </w:rPr>
        <w:t>o conclusiones en las causas penales</w:t>
      </w:r>
      <w:r w:rsidR="00EB3B3F">
        <w:rPr>
          <w:rFonts w:ascii="Arial" w:hAnsi="Arial" w:cs="Arial"/>
          <w:color w:val="000000"/>
          <w:sz w:val="24"/>
          <w:szCs w:val="24"/>
        </w:rPr>
        <w:t>:</w:t>
      </w:r>
      <w:r w:rsidRPr="00836DFE">
        <w:rPr>
          <w:rFonts w:ascii="Arial" w:hAnsi="Arial" w:cs="Arial"/>
          <w:color w:val="000000"/>
          <w:sz w:val="24"/>
          <w:szCs w:val="24"/>
        </w:rPr>
        <w:t xml:space="preserve"> 96.1 % correspondió a </w:t>
      </w:r>
      <w:r w:rsidR="00F921B8">
        <w:rPr>
          <w:rFonts w:ascii="Arial" w:hAnsi="Arial" w:cs="Arial"/>
          <w:color w:val="000000"/>
          <w:sz w:val="24"/>
          <w:szCs w:val="24"/>
        </w:rPr>
        <w:t xml:space="preserve">personas </w:t>
      </w:r>
      <w:r w:rsidRPr="00836DFE">
        <w:rPr>
          <w:rFonts w:ascii="Arial" w:hAnsi="Arial" w:cs="Arial"/>
          <w:color w:val="000000"/>
          <w:sz w:val="24"/>
          <w:szCs w:val="24"/>
        </w:rPr>
        <w:t>adult</w:t>
      </w:r>
      <w:r w:rsidR="00F921B8">
        <w:rPr>
          <w:rFonts w:ascii="Arial" w:hAnsi="Arial" w:cs="Arial"/>
          <w:color w:val="000000"/>
          <w:sz w:val="24"/>
          <w:szCs w:val="24"/>
        </w:rPr>
        <w:t>a</w:t>
      </w:r>
      <w:r w:rsidRPr="00836DFE">
        <w:rPr>
          <w:rFonts w:ascii="Arial" w:hAnsi="Arial" w:cs="Arial"/>
          <w:color w:val="000000"/>
          <w:sz w:val="24"/>
          <w:szCs w:val="24"/>
        </w:rPr>
        <w:t>s y 3.9 %</w:t>
      </w:r>
      <w:r w:rsidR="00EB3B3F">
        <w:rPr>
          <w:rFonts w:ascii="Arial" w:hAnsi="Arial" w:cs="Arial"/>
          <w:color w:val="000000"/>
          <w:sz w:val="24"/>
          <w:szCs w:val="24"/>
        </w:rPr>
        <w:t>,</w:t>
      </w:r>
      <w:r w:rsidRPr="00836DFE">
        <w:rPr>
          <w:rFonts w:ascii="Arial" w:hAnsi="Arial" w:cs="Arial"/>
          <w:color w:val="000000"/>
          <w:sz w:val="24"/>
          <w:szCs w:val="24"/>
        </w:rPr>
        <w:t xml:space="preserve"> a adolescentes. En contraste con 2020, el total de determinaciones y/</w:t>
      </w:r>
      <w:r w:rsidR="00EB3B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836DFE">
        <w:rPr>
          <w:rFonts w:ascii="Arial" w:hAnsi="Arial" w:cs="Arial"/>
          <w:color w:val="000000"/>
          <w:sz w:val="24"/>
          <w:szCs w:val="24"/>
        </w:rPr>
        <w:t>o conclusiones presentó un aumento de</w:t>
      </w:r>
      <w:r w:rsidR="00F921B8"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836DFE">
        <w:rPr>
          <w:rFonts w:ascii="Arial" w:hAnsi="Arial" w:cs="Arial"/>
          <w:color w:val="000000"/>
          <w:sz w:val="24"/>
          <w:szCs w:val="24"/>
        </w:rPr>
        <w:t xml:space="preserve"> 25.8 %, mientras que en las materias penal y justicia para adolescentes el aumento fue de 26.3 y</w:t>
      </w:r>
      <w:r w:rsidR="00EB3B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836DFE">
        <w:rPr>
          <w:rFonts w:ascii="Arial" w:hAnsi="Arial" w:cs="Arial"/>
          <w:color w:val="000000"/>
          <w:sz w:val="24"/>
          <w:szCs w:val="24"/>
        </w:rPr>
        <w:t>15.7 %, respectivamente.</w:t>
      </w:r>
    </w:p>
    <w:p w14:paraId="1C688B6D" w14:textId="77777777" w:rsidR="00203EF8" w:rsidRDefault="00203EF8" w:rsidP="00D538CB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5613C0C4" w14:textId="15EBBDEF" w:rsidR="00D538CB" w:rsidRPr="00963A3F" w:rsidRDefault="00D538CB" w:rsidP="00D538CB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F53C86">
        <w:rPr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1</w:t>
      </w:r>
      <w:r w:rsidR="008E34A3">
        <w:rPr>
          <w:bCs/>
          <w:iCs/>
          <w:color w:val="000000" w:themeColor="text1"/>
          <w:sz w:val="20"/>
          <w:szCs w:val="20"/>
        </w:rPr>
        <w:t>7</w:t>
      </w:r>
    </w:p>
    <w:p w14:paraId="4ED707A8" w14:textId="6D368821" w:rsidR="00D538CB" w:rsidRDefault="006259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259FF">
        <w:rPr>
          <w:rFonts w:ascii="Arial" w:hAnsi="Arial" w:cs="Arial"/>
          <w:b/>
          <w:bCs/>
          <w:iCs/>
          <w:smallCaps/>
          <w:color w:val="000000" w:themeColor="text1"/>
        </w:rPr>
        <w:t>Determinaciones y/</w:t>
      </w:r>
      <w:r w:rsidR="00EB3B3F">
        <w:rPr>
          <w:rFonts w:ascii="Arial" w:hAnsi="Arial" w:cs="Arial"/>
          <w:b/>
          <w:bCs/>
          <w:iCs/>
          <w:smallCaps/>
          <w:color w:val="000000" w:themeColor="text1"/>
        </w:rPr>
        <w:t xml:space="preserve"> </w:t>
      </w:r>
      <w:r w:rsidRPr="006259FF">
        <w:rPr>
          <w:rFonts w:ascii="Arial" w:hAnsi="Arial" w:cs="Arial"/>
          <w:b/>
          <w:bCs/>
          <w:iCs/>
          <w:smallCaps/>
          <w:color w:val="000000" w:themeColor="text1"/>
        </w:rPr>
        <w:t>o conclusiones efectuadas en las causas penales por los órganos jurisdiccionales en los poderes judiciales estatales, por materia</w:t>
      </w:r>
    </w:p>
    <w:p w14:paraId="668888EB" w14:textId="7744F639" w:rsidR="00BC6DFB" w:rsidRDefault="003B1035" w:rsidP="00D538CB">
      <w:pPr>
        <w:spacing w:after="0" w:line="240" w:lineRule="auto"/>
        <w:jc w:val="center"/>
        <w:rPr>
          <w:rFonts w:ascii="Arial Negrita" w:hAnsi="Arial Negrita" w:cs="Arial"/>
          <w:b/>
          <w:bCs/>
          <w:smallCaps/>
          <w:sz w:val="24"/>
          <w:szCs w:val="24"/>
        </w:rPr>
      </w:pPr>
      <w:r w:rsidRPr="003B1035">
        <w:rPr>
          <w:rFonts w:ascii="Arial Negrita" w:hAnsi="Arial Negrita" w:cs="Arial"/>
          <w:b/>
          <w:bCs/>
          <w:smallCaps/>
          <w:noProof/>
          <w:sz w:val="24"/>
          <w:szCs w:val="24"/>
        </w:rPr>
        <w:drawing>
          <wp:inline distT="0" distB="0" distL="0" distR="0" wp14:anchorId="2BA6D91A" wp14:editId="4FC8645A">
            <wp:extent cx="6414135" cy="1962150"/>
            <wp:effectExtent l="0" t="0" r="5715" b="0"/>
            <wp:docPr id="130" name="Gráfico 130">
              <a:extLst xmlns:a="http://schemas.openxmlformats.org/drawingml/2006/main">
                <a:ext uri="{FF2B5EF4-FFF2-40B4-BE49-F238E27FC236}">
                  <a16:creationId xmlns:a16="http://schemas.microsoft.com/office/drawing/2014/main" id="{1E7A5842-C56D-26ED-4FCC-B2E0E5D180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A71E609" w14:textId="6A0E345F" w:rsidR="003C7B7C" w:rsidRDefault="00EB3B3F" w:rsidP="00653B02">
      <w:pPr>
        <w:pStyle w:val="Default"/>
        <w:spacing w:after="10"/>
        <w:ind w:right="284"/>
        <w:jc w:val="both"/>
        <w:rPr>
          <w:bCs/>
          <w:iCs/>
          <w:color w:val="000000" w:themeColor="text1"/>
          <w:sz w:val="20"/>
          <w:szCs w:val="20"/>
        </w:rPr>
      </w:pPr>
      <w:r>
        <w:rPr>
          <w:iCs/>
          <w:noProof/>
          <w:color w:val="auto"/>
          <w:lang w:eastAsia="es-MX"/>
        </w:rPr>
        <w:lastRenderedPageBreak/>
        <w:t>Para el caso de personas adultas,</w:t>
      </w:r>
      <w:r w:rsidRPr="00653B02">
        <w:rPr>
          <w:iCs/>
          <w:noProof/>
          <w:color w:val="auto"/>
          <w:lang w:eastAsia="es-MX"/>
        </w:rPr>
        <w:t xml:space="preserve"> </w:t>
      </w:r>
      <w:r>
        <w:rPr>
          <w:iCs/>
          <w:noProof/>
          <w:color w:val="auto"/>
          <w:lang w:eastAsia="es-MX"/>
        </w:rPr>
        <w:t>d</w:t>
      </w:r>
      <w:r w:rsidR="00653B02" w:rsidRPr="00653B02">
        <w:rPr>
          <w:iCs/>
          <w:noProof/>
          <w:color w:val="auto"/>
          <w:lang w:eastAsia="es-MX"/>
        </w:rPr>
        <w:t>el total de determinaciones y/</w:t>
      </w:r>
      <w:r>
        <w:rPr>
          <w:iCs/>
          <w:noProof/>
          <w:color w:val="auto"/>
          <w:lang w:eastAsia="es-MX"/>
        </w:rPr>
        <w:t xml:space="preserve"> </w:t>
      </w:r>
      <w:r w:rsidR="00653B02" w:rsidRPr="00653B02">
        <w:rPr>
          <w:iCs/>
          <w:noProof/>
          <w:color w:val="auto"/>
          <w:lang w:eastAsia="es-MX"/>
        </w:rPr>
        <w:t>o conclusiones</w:t>
      </w:r>
      <w:r>
        <w:rPr>
          <w:iCs/>
          <w:noProof/>
          <w:color w:val="auto"/>
          <w:lang w:eastAsia="es-MX"/>
        </w:rPr>
        <w:t>,</w:t>
      </w:r>
      <w:r w:rsidR="002709D5">
        <w:rPr>
          <w:iCs/>
          <w:noProof/>
          <w:color w:val="auto"/>
          <w:lang w:eastAsia="es-MX"/>
        </w:rPr>
        <w:t xml:space="preserve"> </w:t>
      </w:r>
      <w:r w:rsidRPr="00653B02">
        <w:rPr>
          <w:iCs/>
          <w:noProof/>
          <w:color w:val="auto"/>
          <w:lang w:eastAsia="es-MX"/>
        </w:rPr>
        <w:t>se registraron 10 984</w:t>
      </w:r>
      <w:r>
        <w:rPr>
          <w:iCs/>
          <w:noProof/>
          <w:color w:val="auto"/>
          <w:lang w:eastAsia="es-MX"/>
        </w:rPr>
        <w:t xml:space="preserve"> </w:t>
      </w:r>
      <w:r w:rsidR="00653B02" w:rsidRPr="00653B02">
        <w:rPr>
          <w:iCs/>
          <w:noProof/>
          <w:color w:val="auto"/>
          <w:lang w:eastAsia="es-MX"/>
        </w:rPr>
        <w:t>en el Sistema Tradicional</w:t>
      </w:r>
      <w:r>
        <w:rPr>
          <w:iCs/>
          <w:noProof/>
          <w:color w:val="auto"/>
          <w:lang w:eastAsia="es-MX"/>
        </w:rPr>
        <w:t xml:space="preserve">. En </w:t>
      </w:r>
      <w:r w:rsidR="00653B02" w:rsidRPr="00653B02">
        <w:rPr>
          <w:iCs/>
          <w:noProof/>
          <w:color w:val="auto"/>
          <w:lang w:eastAsia="es-MX"/>
        </w:rPr>
        <w:t>el Sistema Penal Acusatorio la cifra fue de 121 240</w:t>
      </w:r>
      <w:r w:rsidR="002709D5">
        <w:rPr>
          <w:iCs/>
          <w:noProof/>
          <w:color w:val="auto"/>
          <w:lang w:eastAsia="es-MX"/>
        </w:rPr>
        <w:t>. Para adolescentes,</w:t>
      </w:r>
      <w:r w:rsidR="00653B02" w:rsidRPr="00653B02">
        <w:rPr>
          <w:iCs/>
          <w:noProof/>
          <w:color w:val="auto"/>
          <w:lang w:eastAsia="es-MX"/>
        </w:rPr>
        <w:t xml:space="preserve"> </w:t>
      </w:r>
      <w:r w:rsidRPr="00653B02">
        <w:rPr>
          <w:iCs/>
          <w:noProof/>
          <w:color w:val="auto"/>
          <w:lang w:eastAsia="es-MX"/>
        </w:rPr>
        <w:t>se registraron 188</w:t>
      </w:r>
      <w:r>
        <w:rPr>
          <w:iCs/>
          <w:noProof/>
          <w:color w:val="auto"/>
          <w:lang w:eastAsia="es-MX"/>
        </w:rPr>
        <w:t xml:space="preserve"> </w:t>
      </w:r>
      <w:r w:rsidR="00653B02" w:rsidRPr="00653B02">
        <w:rPr>
          <w:iCs/>
          <w:noProof/>
          <w:color w:val="auto"/>
          <w:lang w:eastAsia="es-MX"/>
        </w:rPr>
        <w:t>en el Sistema Escrito o Mixto y en el Sistema Oral</w:t>
      </w:r>
      <w:r>
        <w:rPr>
          <w:iCs/>
          <w:noProof/>
          <w:color w:val="auto"/>
          <w:lang w:eastAsia="es-MX"/>
        </w:rPr>
        <w:t xml:space="preserve">. En </w:t>
      </w:r>
      <w:r w:rsidR="00653B02" w:rsidRPr="00653B02">
        <w:rPr>
          <w:iCs/>
          <w:noProof/>
          <w:color w:val="auto"/>
          <w:lang w:eastAsia="es-MX"/>
        </w:rPr>
        <w:t>el Sistema Integral de Justicia Penal para Adolescentes el total fue de 5 132.</w:t>
      </w:r>
    </w:p>
    <w:p w14:paraId="569FF35F" w14:textId="77777777" w:rsidR="00653B02" w:rsidRDefault="00653B02" w:rsidP="003C7B7C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19F811AE" w14:textId="72F95441" w:rsidR="003C7B7C" w:rsidRPr="00963A3F" w:rsidRDefault="003C7B7C" w:rsidP="003C7B7C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F53C86">
        <w:rPr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1</w:t>
      </w:r>
      <w:r w:rsidR="008E34A3">
        <w:rPr>
          <w:bCs/>
          <w:iCs/>
          <w:color w:val="000000" w:themeColor="text1"/>
          <w:sz w:val="20"/>
          <w:szCs w:val="20"/>
        </w:rPr>
        <w:t>8</w:t>
      </w:r>
    </w:p>
    <w:p w14:paraId="7045906E" w14:textId="3563FC72" w:rsidR="003C7B7C" w:rsidRDefault="001C06A1" w:rsidP="001C06A1">
      <w:pPr>
        <w:spacing w:after="0" w:line="240" w:lineRule="auto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1C06A1">
        <w:rPr>
          <w:rFonts w:ascii="Arial" w:hAnsi="Arial" w:cs="Arial"/>
          <w:b/>
          <w:bCs/>
          <w:iCs/>
          <w:smallCaps/>
          <w:color w:val="000000" w:themeColor="text1"/>
        </w:rPr>
        <w:t>Determinaciones y/</w:t>
      </w:r>
      <w:r w:rsidR="00F921B8">
        <w:rPr>
          <w:rFonts w:ascii="Arial" w:hAnsi="Arial" w:cs="Arial"/>
          <w:b/>
          <w:bCs/>
          <w:iCs/>
          <w:smallCaps/>
          <w:color w:val="000000" w:themeColor="text1"/>
        </w:rPr>
        <w:t xml:space="preserve"> </w:t>
      </w:r>
      <w:r w:rsidRPr="001C06A1">
        <w:rPr>
          <w:rFonts w:ascii="Arial" w:hAnsi="Arial" w:cs="Arial"/>
          <w:b/>
          <w:bCs/>
          <w:iCs/>
          <w:smallCaps/>
          <w:color w:val="000000" w:themeColor="text1"/>
        </w:rPr>
        <w:t>o conclusiones efectuadas en las causas penales en los</w:t>
      </w:r>
      <w:r w:rsidR="009010F1">
        <w:rPr>
          <w:rFonts w:ascii="Arial" w:hAnsi="Arial" w:cs="Arial"/>
          <w:b/>
          <w:bCs/>
          <w:iCs/>
          <w:smallCaps/>
          <w:color w:val="000000" w:themeColor="text1"/>
        </w:rPr>
        <w:t xml:space="preserve"> </w:t>
      </w:r>
      <w:r w:rsidRPr="001C06A1">
        <w:rPr>
          <w:rFonts w:ascii="Arial" w:hAnsi="Arial" w:cs="Arial"/>
          <w:b/>
          <w:bCs/>
          <w:iCs/>
          <w:smallCaps/>
          <w:color w:val="000000" w:themeColor="text1"/>
        </w:rPr>
        <w:t>poderes judiciales estatales, por sistema</w:t>
      </w:r>
    </w:p>
    <w:p w14:paraId="2A58315E" w14:textId="06DA4488" w:rsidR="006206E4" w:rsidRDefault="00E22BE7" w:rsidP="006206E4">
      <w:pPr>
        <w:pStyle w:val="Default"/>
        <w:ind w:left="-567"/>
        <w:jc w:val="center"/>
        <w:rPr>
          <w:noProof/>
        </w:rPr>
      </w:pPr>
      <w:r w:rsidRPr="00E22BE7">
        <w:rPr>
          <w:noProof/>
        </w:rPr>
        <w:t xml:space="preserve"> </w:t>
      </w:r>
    </w:p>
    <w:p w14:paraId="2594BB0B" w14:textId="42C0BF06" w:rsidR="00B07D21" w:rsidRDefault="00B42BA9" w:rsidP="006206E4">
      <w:pPr>
        <w:pStyle w:val="Default"/>
        <w:ind w:left="-567"/>
        <w:jc w:val="center"/>
        <w:rPr>
          <w:noProof/>
        </w:rPr>
      </w:pPr>
      <w:r w:rsidRPr="00B42BA9">
        <w:rPr>
          <w:noProof/>
        </w:rPr>
        <w:drawing>
          <wp:inline distT="0" distB="0" distL="0" distR="0" wp14:anchorId="776D0EC9" wp14:editId="4AAE21D3">
            <wp:extent cx="6404610" cy="1885950"/>
            <wp:effectExtent l="0" t="0" r="0" b="0"/>
            <wp:docPr id="131" name="Gráfico 131">
              <a:extLst xmlns:a="http://schemas.openxmlformats.org/drawingml/2006/main">
                <a:ext uri="{FF2B5EF4-FFF2-40B4-BE49-F238E27FC236}">
                  <a16:creationId xmlns:a16="http://schemas.microsoft.com/office/drawing/2014/main" id="{322FFB01-40F7-23C8-0191-7A6874A3BC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6940CF02" w14:textId="76527D27" w:rsidR="00B07D21" w:rsidRDefault="00B07D21" w:rsidP="006206E4">
      <w:pPr>
        <w:pStyle w:val="Default"/>
        <w:ind w:left="-567"/>
        <w:jc w:val="center"/>
        <w:rPr>
          <w:noProof/>
        </w:rPr>
      </w:pPr>
    </w:p>
    <w:p w14:paraId="559843EB" w14:textId="4D7266DC" w:rsidR="00B07D21" w:rsidRDefault="00B07D21" w:rsidP="006206E4">
      <w:pPr>
        <w:pStyle w:val="Default"/>
        <w:ind w:left="-567"/>
        <w:jc w:val="center"/>
        <w:rPr>
          <w:noProof/>
        </w:rPr>
      </w:pPr>
    </w:p>
    <w:p w14:paraId="38E0F39E" w14:textId="2062CE14" w:rsidR="00B07D21" w:rsidRDefault="007F61E0" w:rsidP="007F61E0">
      <w:pPr>
        <w:pStyle w:val="Default"/>
        <w:ind w:right="21"/>
        <w:jc w:val="both"/>
        <w:rPr>
          <w:noProof/>
        </w:rPr>
      </w:pPr>
      <w:r w:rsidRPr="007F61E0">
        <w:rPr>
          <w:noProof/>
        </w:rPr>
        <w:t>De las 11 172 determinaciones y/</w:t>
      </w:r>
      <w:r w:rsidR="00EB3B3F">
        <w:rPr>
          <w:noProof/>
        </w:rPr>
        <w:t xml:space="preserve"> </w:t>
      </w:r>
      <w:r w:rsidRPr="007F61E0">
        <w:rPr>
          <w:noProof/>
        </w:rPr>
        <w:t>o conclusiones efectuadas a las causas penales en el Sistema Tradicional, Sistema Escrito o Mixto y Sistema Oral, 58.5 % correspondió a sobreseimiento. En comparación con 2020, las determinaciones en dichos sistemas</w:t>
      </w:r>
      <w:r w:rsidR="00EB3B3F">
        <w:rPr>
          <w:noProof/>
        </w:rPr>
        <w:t xml:space="preserve"> </w:t>
      </w:r>
      <w:r w:rsidRPr="007F61E0">
        <w:rPr>
          <w:noProof/>
        </w:rPr>
        <w:t xml:space="preserve">disminuyeron 1.2 </w:t>
      </w:r>
      <w:r w:rsidR="00EB3B3F">
        <w:rPr>
          <w:noProof/>
        </w:rPr>
        <w:t xml:space="preserve">% a nivel nacional. </w:t>
      </w:r>
    </w:p>
    <w:p w14:paraId="6BF7D101" w14:textId="1D19F825" w:rsidR="00B07D21" w:rsidRDefault="00B07D21" w:rsidP="006206E4">
      <w:pPr>
        <w:pStyle w:val="Default"/>
        <w:ind w:left="-567"/>
        <w:jc w:val="center"/>
        <w:rPr>
          <w:noProof/>
        </w:rPr>
      </w:pPr>
    </w:p>
    <w:p w14:paraId="27525313" w14:textId="77777777" w:rsidR="00842444" w:rsidRPr="00842444" w:rsidRDefault="00842444" w:rsidP="00842444">
      <w:pPr>
        <w:spacing w:after="0" w:line="240" w:lineRule="auto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1A9CAAC5" w14:textId="555836B6" w:rsidR="0023725C" w:rsidRPr="00963A3F" w:rsidRDefault="0023725C" w:rsidP="0023725C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F53C86">
        <w:rPr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1</w:t>
      </w:r>
      <w:r w:rsidR="008E34A3">
        <w:rPr>
          <w:bCs/>
          <w:iCs/>
          <w:color w:val="000000" w:themeColor="text1"/>
          <w:sz w:val="20"/>
          <w:szCs w:val="20"/>
        </w:rPr>
        <w:t>9</w:t>
      </w:r>
    </w:p>
    <w:p w14:paraId="45CAEC92" w14:textId="5B5F9820" w:rsidR="005C2BFC" w:rsidRDefault="00BD3EE9" w:rsidP="0023725C">
      <w:pPr>
        <w:spacing w:after="0" w:line="240" w:lineRule="auto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BD3EE9">
        <w:rPr>
          <w:rFonts w:ascii="Arial" w:hAnsi="Arial" w:cs="Arial"/>
          <w:b/>
          <w:bCs/>
          <w:iCs/>
          <w:smallCaps/>
          <w:color w:val="000000" w:themeColor="text1"/>
        </w:rPr>
        <w:t>Determinaciones y/</w:t>
      </w:r>
      <w:r w:rsidR="00EB3B3F">
        <w:rPr>
          <w:rFonts w:ascii="Arial" w:hAnsi="Arial" w:cs="Arial"/>
          <w:b/>
          <w:bCs/>
          <w:iCs/>
          <w:smallCaps/>
          <w:color w:val="000000" w:themeColor="text1"/>
        </w:rPr>
        <w:t xml:space="preserve"> </w:t>
      </w:r>
      <w:r w:rsidRPr="00BD3EE9">
        <w:rPr>
          <w:rFonts w:ascii="Arial" w:hAnsi="Arial" w:cs="Arial"/>
          <w:b/>
          <w:bCs/>
          <w:iCs/>
          <w:smallCaps/>
          <w:color w:val="000000" w:themeColor="text1"/>
        </w:rPr>
        <w:t>o conclusiones efectuadas en las causas penales en el Sistema Tradicional, Sistema Escrito o Mixto y Sistema Oral, por tipo</w:t>
      </w:r>
    </w:p>
    <w:p w14:paraId="4E8A2C53" w14:textId="569B00EC" w:rsidR="005C2BFC" w:rsidRDefault="005C2BFC" w:rsidP="0023725C">
      <w:pPr>
        <w:spacing w:after="0" w:line="240" w:lineRule="auto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</w:p>
    <w:p w14:paraId="34DC3F4F" w14:textId="23554CC2" w:rsidR="000A20BD" w:rsidRDefault="000A20BD" w:rsidP="0023725C">
      <w:pPr>
        <w:spacing w:after="0" w:line="240" w:lineRule="auto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0A20BD">
        <w:rPr>
          <w:rFonts w:ascii="Arial" w:hAnsi="Arial" w:cs="Arial"/>
          <w:b/>
          <w:bCs/>
          <w:iCs/>
          <w:smallCaps/>
          <w:noProof/>
          <w:color w:val="000000" w:themeColor="text1"/>
        </w:rPr>
        <w:drawing>
          <wp:inline distT="0" distB="0" distL="0" distR="0" wp14:anchorId="1A6E6B8C" wp14:editId="374361FA">
            <wp:extent cx="6404610" cy="2505710"/>
            <wp:effectExtent l="0" t="0" r="0" b="8890"/>
            <wp:docPr id="132" name="Gráfico 132">
              <a:extLst xmlns:a="http://schemas.openxmlformats.org/drawingml/2006/main">
                <a:ext uri="{FF2B5EF4-FFF2-40B4-BE49-F238E27FC236}">
                  <a16:creationId xmlns:a16="http://schemas.microsoft.com/office/drawing/2014/main" id="{5525176D-1769-E446-2419-33A6476EDD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4E0A4266" w14:textId="77777777" w:rsidR="000A20BD" w:rsidRDefault="000A20BD" w:rsidP="0023725C">
      <w:pPr>
        <w:spacing w:after="0" w:line="240" w:lineRule="auto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</w:p>
    <w:p w14:paraId="22B6DDA8" w14:textId="034A76EF" w:rsidR="006849DB" w:rsidRPr="00756B55" w:rsidRDefault="006849DB" w:rsidP="004D67E9">
      <w:pPr>
        <w:pStyle w:val="Default"/>
        <w:jc w:val="both"/>
        <w:rPr>
          <w:color w:val="auto"/>
        </w:rPr>
      </w:pPr>
      <w:r w:rsidRPr="006849DB">
        <w:rPr>
          <w:color w:val="auto"/>
          <w:sz w:val="16"/>
          <w:szCs w:val="16"/>
        </w:rPr>
        <w:t xml:space="preserve">Nota: </w:t>
      </w:r>
      <w:r w:rsidR="00752E61" w:rsidRPr="00752E61">
        <w:rPr>
          <w:color w:val="auto"/>
          <w:sz w:val="16"/>
          <w:szCs w:val="16"/>
        </w:rPr>
        <w:t xml:space="preserve">No se incluye la </w:t>
      </w:r>
      <w:proofErr w:type="gramStart"/>
      <w:r w:rsidR="00752E61" w:rsidRPr="00752E61">
        <w:rPr>
          <w:color w:val="auto"/>
          <w:sz w:val="16"/>
          <w:szCs w:val="16"/>
        </w:rPr>
        <w:t xml:space="preserve">categoría </w:t>
      </w:r>
      <w:r w:rsidR="00CB7477" w:rsidRPr="002570E4">
        <w:rPr>
          <w:i/>
          <w:iCs/>
          <w:color w:val="auto"/>
          <w:sz w:val="16"/>
          <w:szCs w:val="16"/>
        </w:rPr>
        <w:t>n</w:t>
      </w:r>
      <w:r w:rsidR="002258A4" w:rsidRPr="002570E4">
        <w:rPr>
          <w:i/>
          <w:iCs/>
          <w:color w:val="auto"/>
          <w:sz w:val="16"/>
          <w:szCs w:val="16"/>
        </w:rPr>
        <w:t>o especificado</w:t>
      </w:r>
      <w:proofErr w:type="gramEnd"/>
      <w:r w:rsidR="002258A4" w:rsidRPr="002258A4">
        <w:rPr>
          <w:color w:val="auto"/>
          <w:sz w:val="16"/>
          <w:szCs w:val="16"/>
        </w:rPr>
        <w:t xml:space="preserve"> </w:t>
      </w:r>
      <w:r w:rsidR="00752E61" w:rsidRPr="00752E61">
        <w:rPr>
          <w:color w:val="auto"/>
          <w:sz w:val="16"/>
          <w:szCs w:val="16"/>
        </w:rPr>
        <w:t>que correspondió a 10 registros en 2021</w:t>
      </w:r>
      <w:r>
        <w:rPr>
          <w:color w:val="auto"/>
          <w:sz w:val="16"/>
          <w:szCs w:val="16"/>
        </w:rPr>
        <w:t>.</w:t>
      </w:r>
    </w:p>
    <w:p w14:paraId="62F7A653" w14:textId="77777777" w:rsidR="00A579D4" w:rsidRDefault="00A579D4" w:rsidP="003F7729">
      <w:pPr>
        <w:spacing w:after="0"/>
        <w:jc w:val="both"/>
        <w:rPr>
          <w:rFonts w:ascii="Arial" w:hAnsi="Arial" w:cs="Arial"/>
          <w:b/>
          <w:bCs/>
          <w:iCs/>
          <w:smallCaps/>
          <w:color w:val="000000" w:themeColor="text1"/>
        </w:rPr>
      </w:pPr>
    </w:p>
    <w:p w14:paraId="19ED85A7" w14:textId="3E1A4BFC" w:rsidR="003F7729" w:rsidRPr="00756B55" w:rsidRDefault="0086697F" w:rsidP="00B01327">
      <w:pPr>
        <w:spacing w:after="0"/>
        <w:ind w:right="21"/>
        <w:jc w:val="both"/>
        <w:rPr>
          <w:rFonts w:ascii="Arial" w:hAnsi="Arial" w:cs="Arial"/>
          <w:iCs/>
          <w:noProof/>
          <w:sz w:val="24"/>
          <w:szCs w:val="24"/>
          <w:lang w:eastAsia="es-MX"/>
        </w:rPr>
      </w:pPr>
      <w:r w:rsidRPr="0086697F">
        <w:rPr>
          <w:rFonts w:ascii="Arial" w:hAnsi="Arial" w:cs="Arial"/>
          <w:iCs/>
          <w:noProof/>
          <w:sz w:val="24"/>
          <w:szCs w:val="24"/>
          <w:lang w:eastAsia="es-MX"/>
        </w:rPr>
        <w:t>Con respecto a las 115 379 determinaciones y/</w:t>
      </w:r>
      <w:r w:rsidR="00730779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86697F">
        <w:rPr>
          <w:rFonts w:ascii="Arial" w:hAnsi="Arial" w:cs="Arial"/>
          <w:iCs/>
          <w:noProof/>
          <w:sz w:val="24"/>
          <w:szCs w:val="24"/>
          <w:lang w:eastAsia="es-MX"/>
        </w:rPr>
        <w:t>o conclusiones efectuadas durante 2021 en los juzgados de control o garantías en los sistemas Penal Acusatorio e Integral de Justicia Penal para Adolescentes, 19.0 % correspondió a sentencias definitivas en procedimiento abreviado. En contraste con 2020, se reportó un aumento de 26.4 % en la cifra total de determinaciones</w:t>
      </w:r>
      <w:r w:rsidR="00730779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86697F">
        <w:rPr>
          <w:rFonts w:ascii="Arial" w:hAnsi="Arial" w:cs="Arial"/>
          <w:iCs/>
          <w:noProof/>
          <w:sz w:val="24"/>
          <w:szCs w:val="24"/>
          <w:lang w:eastAsia="es-MX"/>
        </w:rPr>
        <w:t xml:space="preserve"> y/</w:t>
      </w:r>
      <w:r w:rsidR="00730779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86697F">
        <w:rPr>
          <w:rFonts w:ascii="Arial" w:hAnsi="Arial" w:cs="Arial"/>
          <w:iCs/>
          <w:noProof/>
          <w:sz w:val="24"/>
          <w:szCs w:val="24"/>
          <w:lang w:eastAsia="es-MX"/>
        </w:rPr>
        <w:t>o conclusiones en dichos sistemas.</w:t>
      </w:r>
      <w:r w:rsidR="003F7729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</w:p>
    <w:p w14:paraId="2199ACBE" w14:textId="4206CAF8" w:rsidR="00723111" w:rsidRDefault="00723111" w:rsidP="0023725C">
      <w:pPr>
        <w:spacing w:after="0" w:line="240" w:lineRule="auto"/>
        <w:rPr>
          <w:rFonts w:ascii="Arial" w:hAnsi="Arial" w:cs="Arial"/>
          <w:b/>
          <w:bCs/>
          <w:iCs/>
          <w:smallCaps/>
          <w:color w:val="000000" w:themeColor="text1"/>
        </w:rPr>
      </w:pPr>
    </w:p>
    <w:p w14:paraId="1686DEFF" w14:textId="5027AE7E" w:rsidR="008645A5" w:rsidRPr="00963A3F" w:rsidRDefault="008645A5" w:rsidP="008645A5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F53C86">
        <w:rPr>
          <w:bCs/>
          <w:iCs/>
          <w:color w:val="000000" w:themeColor="text1"/>
          <w:sz w:val="20"/>
          <w:szCs w:val="20"/>
        </w:rPr>
        <w:t xml:space="preserve">Gráfica </w:t>
      </w:r>
      <w:r w:rsidR="008E34A3">
        <w:rPr>
          <w:bCs/>
          <w:iCs/>
          <w:color w:val="000000" w:themeColor="text1"/>
          <w:sz w:val="20"/>
          <w:szCs w:val="20"/>
        </w:rPr>
        <w:t>20</w:t>
      </w:r>
    </w:p>
    <w:p w14:paraId="32110DAA" w14:textId="33B3072E" w:rsidR="00D26DE5" w:rsidRDefault="0086697F" w:rsidP="00B01327">
      <w:pPr>
        <w:spacing w:after="0" w:line="240" w:lineRule="auto"/>
        <w:ind w:right="21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86697F">
        <w:rPr>
          <w:rFonts w:ascii="Arial" w:hAnsi="Arial" w:cs="Arial"/>
          <w:b/>
          <w:bCs/>
          <w:iCs/>
          <w:smallCaps/>
          <w:color w:val="000000" w:themeColor="text1"/>
        </w:rPr>
        <w:t>Determinaciones y/</w:t>
      </w:r>
      <w:r w:rsidR="00730779">
        <w:rPr>
          <w:rFonts w:ascii="Arial" w:hAnsi="Arial" w:cs="Arial"/>
          <w:b/>
          <w:bCs/>
          <w:iCs/>
          <w:smallCaps/>
          <w:color w:val="000000" w:themeColor="text1"/>
        </w:rPr>
        <w:t xml:space="preserve"> </w:t>
      </w:r>
      <w:r w:rsidRPr="0086697F">
        <w:rPr>
          <w:rFonts w:ascii="Arial" w:hAnsi="Arial" w:cs="Arial"/>
          <w:b/>
          <w:bCs/>
          <w:iCs/>
          <w:smallCaps/>
          <w:color w:val="000000" w:themeColor="text1"/>
        </w:rPr>
        <w:t xml:space="preserve">o conclusiones efectuadas en las causas penales en el Sistema Penal Acusatorio y Sistema Integral de Justicia Penal para Adolescentes (juzgados de control </w:t>
      </w:r>
    </w:p>
    <w:p w14:paraId="2A340F93" w14:textId="3DC10CB3" w:rsidR="003F7729" w:rsidRDefault="0086697F" w:rsidP="008645A5">
      <w:pPr>
        <w:spacing w:after="0" w:line="240" w:lineRule="auto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86697F">
        <w:rPr>
          <w:rFonts w:ascii="Arial" w:hAnsi="Arial" w:cs="Arial"/>
          <w:b/>
          <w:bCs/>
          <w:iCs/>
          <w:smallCaps/>
          <w:color w:val="000000" w:themeColor="text1"/>
        </w:rPr>
        <w:t>o garantías), por tipo</w:t>
      </w:r>
    </w:p>
    <w:p w14:paraId="38ADB202" w14:textId="77777777" w:rsidR="0086697F" w:rsidRDefault="0086697F" w:rsidP="008645A5">
      <w:pPr>
        <w:spacing w:after="0" w:line="240" w:lineRule="auto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</w:p>
    <w:p w14:paraId="21A5D864" w14:textId="4E607BC9" w:rsidR="002E4912" w:rsidRDefault="001F2277" w:rsidP="008645A5">
      <w:pPr>
        <w:spacing w:after="0" w:line="240" w:lineRule="auto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1F2277">
        <w:rPr>
          <w:rFonts w:ascii="Arial" w:hAnsi="Arial" w:cs="Arial"/>
          <w:b/>
          <w:bCs/>
          <w:iCs/>
          <w:smallCaps/>
          <w:noProof/>
          <w:color w:val="000000" w:themeColor="text1"/>
        </w:rPr>
        <w:drawing>
          <wp:inline distT="0" distB="0" distL="0" distR="0" wp14:anchorId="6679BA70" wp14:editId="0C22B356">
            <wp:extent cx="6422065" cy="3076575"/>
            <wp:effectExtent l="0" t="0" r="0" b="0"/>
            <wp:docPr id="133" name="Gráfico 133">
              <a:extLst xmlns:a="http://schemas.openxmlformats.org/drawingml/2006/main">
                <a:ext uri="{FF2B5EF4-FFF2-40B4-BE49-F238E27FC236}">
                  <a16:creationId xmlns:a16="http://schemas.microsoft.com/office/drawing/2014/main" id="{4AC2D5EE-4337-BE27-99AD-8B76429463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1843E913" w14:textId="005134FB" w:rsidR="002E4912" w:rsidRDefault="002E4912" w:rsidP="008645A5">
      <w:pPr>
        <w:spacing w:after="0" w:line="240" w:lineRule="auto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</w:p>
    <w:p w14:paraId="466A21B4" w14:textId="15F696DE" w:rsidR="002E4912" w:rsidRPr="001148C6" w:rsidRDefault="001148C6" w:rsidP="001148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Nota: </w:t>
      </w:r>
      <w:r w:rsidRPr="001148C6">
        <w:rPr>
          <w:rFonts w:ascii="Arial" w:hAnsi="Arial" w:cs="Arial"/>
          <w:sz w:val="16"/>
          <w:szCs w:val="16"/>
        </w:rPr>
        <w:t xml:space="preserve">No se incluye la categoría «No especificado» que en 2020 correspondió </w:t>
      </w:r>
      <w:r w:rsidR="00713804">
        <w:rPr>
          <w:rFonts w:ascii="Arial" w:hAnsi="Arial" w:cs="Arial"/>
          <w:sz w:val="16"/>
          <w:szCs w:val="16"/>
        </w:rPr>
        <w:t xml:space="preserve">a </w:t>
      </w:r>
      <w:r w:rsidRPr="001148C6">
        <w:rPr>
          <w:rFonts w:ascii="Arial" w:hAnsi="Arial" w:cs="Arial"/>
          <w:sz w:val="16"/>
          <w:szCs w:val="16"/>
        </w:rPr>
        <w:t>13 356 y en 2021</w:t>
      </w:r>
      <w:r w:rsidR="00730779">
        <w:rPr>
          <w:rFonts w:ascii="Arial" w:hAnsi="Arial" w:cs="Arial"/>
          <w:sz w:val="16"/>
          <w:szCs w:val="16"/>
        </w:rPr>
        <w:t>,</w:t>
      </w:r>
      <w:r w:rsidRPr="001148C6">
        <w:rPr>
          <w:rFonts w:ascii="Arial" w:hAnsi="Arial" w:cs="Arial"/>
          <w:sz w:val="16"/>
          <w:szCs w:val="16"/>
        </w:rPr>
        <w:t xml:space="preserve"> a 19 020.</w:t>
      </w:r>
      <w:r w:rsidR="00335815">
        <w:rPr>
          <w:rFonts w:ascii="Arial" w:hAnsi="Arial" w:cs="Arial"/>
          <w:sz w:val="16"/>
          <w:szCs w:val="16"/>
        </w:rPr>
        <w:t xml:space="preserve"> </w:t>
      </w:r>
      <w:r w:rsidR="00335815" w:rsidRPr="00335815">
        <w:rPr>
          <w:rFonts w:ascii="Arial" w:hAnsi="Arial" w:cs="Arial"/>
          <w:sz w:val="16"/>
          <w:szCs w:val="16"/>
        </w:rPr>
        <w:t>La medición se hace a nivel de procesado y/</w:t>
      </w:r>
      <w:r w:rsidR="00730779">
        <w:rPr>
          <w:rFonts w:ascii="Arial" w:hAnsi="Arial" w:cs="Arial"/>
          <w:sz w:val="16"/>
          <w:szCs w:val="16"/>
        </w:rPr>
        <w:t xml:space="preserve"> </w:t>
      </w:r>
      <w:r w:rsidR="00335815" w:rsidRPr="00335815">
        <w:rPr>
          <w:rFonts w:ascii="Arial" w:hAnsi="Arial" w:cs="Arial"/>
          <w:sz w:val="16"/>
          <w:szCs w:val="16"/>
        </w:rPr>
        <w:t xml:space="preserve">o imputado, toda vez que la causa penal se individualiza de acuerdo con la resolución que </w:t>
      </w:r>
      <w:r w:rsidR="00730779">
        <w:rPr>
          <w:rFonts w:ascii="Arial" w:hAnsi="Arial" w:cs="Arial"/>
          <w:sz w:val="16"/>
          <w:szCs w:val="16"/>
        </w:rPr>
        <w:t xml:space="preserve">la o </w:t>
      </w:r>
      <w:r w:rsidR="00335815" w:rsidRPr="00335815">
        <w:rPr>
          <w:rFonts w:ascii="Arial" w:hAnsi="Arial" w:cs="Arial"/>
          <w:sz w:val="16"/>
          <w:szCs w:val="16"/>
        </w:rPr>
        <w:t>el juzgador emite a cada persona. Para ambos sistemas, las causas penales pudieron haber ingresado durante el año o en ejercicios anteriores.</w:t>
      </w:r>
    </w:p>
    <w:p w14:paraId="2D5A8374" w14:textId="77777777" w:rsidR="001148C6" w:rsidRDefault="001148C6" w:rsidP="008645A5">
      <w:pPr>
        <w:spacing w:after="0" w:line="240" w:lineRule="auto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</w:p>
    <w:p w14:paraId="06BBD421" w14:textId="77777777" w:rsidR="00877BB9" w:rsidRDefault="00877BB9" w:rsidP="00B01327">
      <w:pPr>
        <w:pStyle w:val="Default"/>
        <w:spacing w:after="10"/>
        <w:ind w:right="21"/>
        <w:jc w:val="both"/>
        <w:rPr>
          <w:iCs/>
          <w:noProof/>
          <w:color w:val="auto"/>
          <w:lang w:eastAsia="es-MX"/>
        </w:rPr>
      </w:pPr>
    </w:p>
    <w:p w14:paraId="4F0AE237" w14:textId="77777777" w:rsidR="00877BB9" w:rsidRDefault="00877BB9" w:rsidP="00B01327">
      <w:pPr>
        <w:pStyle w:val="Default"/>
        <w:spacing w:after="10"/>
        <w:ind w:right="21"/>
        <w:jc w:val="both"/>
        <w:rPr>
          <w:iCs/>
          <w:noProof/>
          <w:color w:val="auto"/>
          <w:lang w:eastAsia="es-MX"/>
        </w:rPr>
      </w:pPr>
    </w:p>
    <w:p w14:paraId="03780575" w14:textId="77777777" w:rsidR="00877BB9" w:rsidRDefault="00877BB9" w:rsidP="00B01327">
      <w:pPr>
        <w:pStyle w:val="Default"/>
        <w:spacing w:after="10"/>
        <w:ind w:right="21"/>
        <w:jc w:val="both"/>
        <w:rPr>
          <w:iCs/>
          <w:noProof/>
          <w:color w:val="auto"/>
          <w:lang w:eastAsia="es-MX"/>
        </w:rPr>
      </w:pPr>
    </w:p>
    <w:p w14:paraId="3941BEBB" w14:textId="77777777" w:rsidR="00877BB9" w:rsidRDefault="00877BB9" w:rsidP="00B01327">
      <w:pPr>
        <w:pStyle w:val="Default"/>
        <w:spacing w:after="10"/>
        <w:ind w:right="21"/>
        <w:jc w:val="both"/>
        <w:rPr>
          <w:iCs/>
          <w:noProof/>
          <w:color w:val="auto"/>
          <w:lang w:eastAsia="es-MX"/>
        </w:rPr>
      </w:pPr>
    </w:p>
    <w:p w14:paraId="2203E2D8" w14:textId="77777777" w:rsidR="00877BB9" w:rsidRDefault="00877BB9" w:rsidP="00B01327">
      <w:pPr>
        <w:pStyle w:val="Default"/>
        <w:spacing w:after="10"/>
        <w:ind w:right="21"/>
        <w:jc w:val="both"/>
        <w:rPr>
          <w:iCs/>
          <w:noProof/>
          <w:color w:val="auto"/>
          <w:lang w:eastAsia="es-MX"/>
        </w:rPr>
      </w:pPr>
    </w:p>
    <w:p w14:paraId="19CC2729" w14:textId="77777777" w:rsidR="00877BB9" w:rsidRDefault="00877BB9" w:rsidP="00B01327">
      <w:pPr>
        <w:pStyle w:val="Default"/>
        <w:spacing w:after="10"/>
        <w:ind w:right="21"/>
        <w:jc w:val="both"/>
        <w:rPr>
          <w:iCs/>
          <w:noProof/>
          <w:color w:val="auto"/>
          <w:lang w:eastAsia="es-MX"/>
        </w:rPr>
      </w:pPr>
    </w:p>
    <w:p w14:paraId="5BE2BD4F" w14:textId="77777777" w:rsidR="00877BB9" w:rsidRDefault="00877BB9" w:rsidP="00B01327">
      <w:pPr>
        <w:pStyle w:val="Default"/>
        <w:spacing w:after="10"/>
        <w:ind w:right="21"/>
        <w:jc w:val="both"/>
        <w:rPr>
          <w:iCs/>
          <w:noProof/>
          <w:color w:val="auto"/>
          <w:lang w:eastAsia="es-MX"/>
        </w:rPr>
      </w:pPr>
    </w:p>
    <w:p w14:paraId="002EE2C9" w14:textId="77777777" w:rsidR="00877BB9" w:rsidRDefault="00877BB9" w:rsidP="00B01327">
      <w:pPr>
        <w:pStyle w:val="Default"/>
        <w:spacing w:after="10"/>
        <w:ind w:right="21"/>
        <w:jc w:val="both"/>
        <w:rPr>
          <w:iCs/>
          <w:noProof/>
          <w:color w:val="auto"/>
          <w:lang w:eastAsia="es-MX"/>
        </w:rPr>
      </w:pPr>
    </w:p>
    <w:p w14:paraId="442ED340" w14:textId="77777777" w:rsidR="00877BB9" w:rsidRDefault="00877BB9" w:rsidP="00B01327">
      <w:pPr>
        <w:pStyle w:val="Default"/>
        <w:spacing w:after="10"/>
        <w:ind w:right="21"/>
        <w:jc w:val="both"/>
        <w:rPr>
          <w:iCs/>
          <w:noProof/>
          <w:color w:val="auto"/>
          <w:lang w:eastAsia="es-MX"/>
        </w:rPr>
      </w:pPr>
    </w:p>
    <w:p w14:paraId="44D8B9D6" w14:textId="77777777" w:rsidR="00877BB9" w:rsidRDefault="00877BB9" w:rsidP="00B01327">
      <w:pPr>
        <w:pStyle w:val="Default"/>
        <w:spacing w:after="10"/>
        <w:ind w:right="21"/>
        <w:jc w:val="both"/>
        <w:rPr>
          <w:iCs/>
          <w:noProof/>
          <w:color w:val="auto"/>
          <w:lang w:eastAsia="es-MX"/>
        </w:rPr>
      </w:pPr>
    </w:p>
    <w:p w14:paraId="3B8311EA" w14:textId="77777777" w:rsidR="00877BB9" w:rsidRDefault="00877BB9" w:rsidP="00B01327">
      <w:pPr>
        <w:pStyle w:val="Default"/>
        <w:spacing w:after="10"/>
        <w:ind w:right="21"/>
        <w:jc w:val="both"/>
        <w:rPr>
          <w:iCs/>
          <w:noProof/>
          <w:color w:val="auto"/>
          <w:lang w:eastAsia="es-MX"/>
        </w:rPr>
      </w:pPr>
    </w:p>
    <w:p w14:paraId="0455D326" w14:textId="77777777" w:rsidR="00877BB9" w:rsidRDefault="00877BB9" w:rsidP="00B01327">
      <w:pPr>
        <w:pStyle w:val="Default"/>
        <w:spacing w:after="10"/>
        <w:ind w:right="21"/>
        <w:jc w:val="both"/>
        <w:rPr>
          <w:iCs/>
          <w:noProof/>
          <w:color w:val="auto"/>
          <w:lang w:eastAsia="es-MX"/>
        </w:rPr>
      </w:pPr>
    </w:p>
    <w:p w14:paraId="795B0B79" w14:textId="77777777" w:rsidR="00877BB9" w:rsidRDefault="00877BB9" w:rsidP="00B01327">
      <w:pPr>
        <w:pStyle w:val="Default"/>
        <w:spacing w:after="10"/>
        <w:ind w:right="21"/>
        <w:jc w:val="both"/>
        <w:rPr>
          <w:iCs/>
          <w:noProof/>
          <w:color w:val="auto"/>
          <w:lang w:eastAsia="es-MX"/>
        </w:rPr>
      </w:pPr>
    </w:p>
    <w:p w14:paraId="68CA7B58" w14:textId="109EDF96" w:rsidR="00340E76" w:rsidRDefault="00097695" w:rsidP="00B01327">
      <w:pPr>
        <w:pStyle w:val="Default"/>
        <w:spacing w:after="10"/>
        <w:ind w:right="21"/>
        <w:jc w:val="both"/>
        <w:rPr>
          <w:bCs/>
          <w:iCs/>
          <w:color w:val="000000" w:themeColor="text1"/>
          <w:sz w:val="20"/>
          <w:szCs w:val="20"/>
        </w:rPr>
      </w:pPr>
      <w:r>
        <w:rPr>
          <w:iCs/>
          <w:noProof/>
          <w:color w:val="auto"/>
          <w:lang w:eastAsia="es-MX"/>
        </w:rPr>
        <w:lastRenderedPageBreak/>
        <w:t>De</w:t>
      </w:r>
      <w:r w:rsidR="00D475B1" w:rsidRPr="00D475B1">
        <w:rPr>
          <w:iCs/>
          <w:noProof/>
          <w:color w:val="auto"/>
          <w:lang w:eastAsia="es-MX"/>
        </w:rPr>
        <w:t xml:space="preserve"> las 10 993 determinaciones y/</w:t>
      </w:r>
      <w:r w:rsidR="00730779">
        <w:rPr>
          <w:iCs/>
          <w:noProof/>
          <w:color w:val="auto"/>
          <w:lang w:eastAsia="es-MX"/>
        </w:rPr>
        <w:t xml:space="preserve"> </w:t>
      </w:r>
      <w:r w:rsidR="00D475B1" w:rsidRPr="00D475B1">
        <w:rPr>
          <w:iCs/>
          <w:noProof/>
          <w:color w:val="auto"/>
          <w:lang w:eastAsia="es-MX"/>
        </w:rPr>
        <w:t xml:space="preserve">o conclusiones efectuadas en 2021 </w:t>
      </w:r>
      <w:r>
        <w:rPr>
          <w:iCs/>
          <w:noProof/>
          <w:color w:val="auto"/>
          <w:lang w:eastAsia="es-MX"/>
        </w:rPr>
        <w:t>por</w:t>
      </w:r>
      <w:r w:rsidR="00D475B1" w:rsidRPr="00D475B1">
        <w:rPr>
          <w:iCs/>
          <w:noProof/>
          <w:color w:val="auto"/>
          <w:lang w:eastAsia="es-MX"/>
        </w:rPr>
        <w:t xml:space="preserve"> los tribunales de enjuiciamiento en los sistemas Penal Acusatorio e Integral de Justicia Penal para Adolescentes, 82.6 % correspondió a sentencias definitivas. En comparación con 2020, se reportó un aumento de 64.0 % en el total de determinaciones y/</w:t>
      </w:r>
      <w:r w:rsidR="00730779">
        <w:rPr>
          <w:iCs/>
          <w:noProof/>
          <w:color w:val="auto"/>
          <w:lang w:eastAsia="es-MX"/>
        </w:rPr>
        <w:t xml:space="preserve"> </w:t>
      </w:r>
      <w:r w:rsidR="00D475B1" w:rsidRPr="00D475B1">
        <w:rPr>
          <w:iCs/>
          <w:noProof/>
          <w:color w:val="auto"/>
          <w:lang w:eastAsia="es-MX"/>
        </w:rPr>
        <w:t>o conclusiones en dichos sistemas.</w:t>
      </w:r>
    </w:p>
    <w:p w14:paraId="04839C0A" w14:textId="77777777" w:rsidR="00B74B23" w:rsidRDefault="00B74B23" w:rsidP="00AF4A37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12F081E1" w14:textId="371690B3" w:rsidR="00AF4A37" w:rsidRPr="00963A3F" w:rsidRDefault="00AF4A37" w:rsidP="00AF4A37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F53C86">
        <w:rPr>
          <w:bCs/>
          <w:iCs/>
          <w:color w:val="000000" w:themeColor="text1"/>
          <w:sz w:val="20"/>
          <w:szCs w:val="20"/>
        </w:rPr>
        <w:t xml:space="preserve">Gráfica </w:t>
      </w:r>
      <w:r w:rsidR="00202F60">
        <w:rPr>
          <w:bCs/>
          <w:iCs/>
          <w:color w:val="000000" w:themeColor="text1"/>
          <w:sz w:val="20"/>
          <w:szCs w:val="20"/>
        </w:rPr>
        <w:t>2</w:t>
      </w:r>
      <w:r w:rsidR="008E34A3">
        <w:rPr>
          <w:bCs/>
          <w:iCs/>
          <w:color w:val="000000" w:themeColor="text1"/>
          <w:sz w:val="20"/>
          <w:szCs w:val="20"/>
        </w:rPr>
        <w:t>1</w:t>
      </w:r>
    </w:p>
    <w:p w14:paraId="7CECA0E9" w14:textId="59FCC059" w:rsidR="00525EF9" w:rsidRDefault="00B74B23" w:rsidP="00B74B23">
      <w:pPr>
        <w:spacing w:after="0" w:line="240" w:lineRule="auto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B74B23">
        <w:rPr>
          <w:rFonts w:ascii="Arial" w:hAnsi="Arial" w:cs="Arial"/>
          <w:b/>
          <w:bCs/>
          <w:iCs/>
          <w:smallCaps/>
          <w:color w:val="000000" w:themeColor="text1"/>
        </w:rPr>
        <w:t>Determinaciones y/</w:t>
      </w:r>
      <w:r w:rsidR="00730779">
        <w:rPr>
          <w:rFonts w:ascii="Arial" w:hAnsi="Arial" w:cs="Arial"/>
          <w:b/>
          <w:bCs/>
          <w:iCs/>
          <w:smallCaps/>
          <w:color w:val="000000" w:themeColor="text1"/>
        </w:rPr>
        <w:t xml:space="preserve"> </w:t>
      </w:r>
      <w:r w:rsidRPr="00B74B23">
        <w:rPr>
          <w:rFonts w:ascii="Arial" w:hAnsi="Arial" w:cs="Arial"/>
          <w:b/>
          <w:bCs/>
          <w:iCs/>
          <w:smallCaps/>
          <w:color w:val="000000" w:themeColor="text1"/>
        </w:rPr>
        <w:t>o conclusiones efectuadas en las causas penales en el Sistema Penal Acusatorio y Sistema Integral de Justicia Penal para Adolescentes (tribunales de enjuiciamiento o juzgados de juicio oral), por tipo</w:t>
      </w:r>
    </w:p>
    <w:p w14:paraId="3E918BB8" w14:textId="30DA76D5" w:rsidR="00525EF9" w:rsidRDefault="00525EF9" w:rsidP="0033179D">
      <w:pPr>
        <w:spacing w:after="0" w:line="240" w:lineRule="auto"/>
        <w:jc w:val="center"/>
        <w:rPr>
          <w:noProof/>
        </w:rPr>
      </w:pPr>
    </w:p>
    <w:p w14:paraId="1E5DFA82" w14:textId="43ABEB19" w:rsidR="00B74B23" w:rsidRDefault="00B74B23" w:rsidP="0033179D">
      <w:pPr>
        <w:spacing w:after="0" w:line="240" w:lineRule="auto"/>
        <w:jc w:val="center"/>
        <w:rPr>
          <w:noProof/>
        </w:rPr>
      </w:pPr>
      <w:r w:rsidRPr="00B74B23">
        <w:rPr>
          <w:noProof/>
        </w:rPr>
        <w:drawing>
          <wp:inline distT="0" distB="0" distL="0" distR="0" wp14:anchorId="3566E50A" wp14:editId="03732D46">
            <wp:extent cx="6404610" cy="2000250"/>
            <wp:effectExtent l="0" t="0" r="0" b="0"/>
            <wp:docPr id="134" name="Gráfico 134">
              <a:extLst xmlns:a="http://schemas.openxmlformats.org/drawingml/2006/main">
                <a:ext uri="{FF2B5EF4-FFF2-40B4-BE49-F238E27FC236}">
                  <a16:creationId xmlns:a16="http://schemas.microsoft.com/office/drawing/2014/main" id="{63D6368F-F674-D158-DE77-93C20BCDC6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34D25FF6" w14:textId="77777777" w:rsidR="00E44614" w:rsidRDefault="00E44614" w:rsidP="0071380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8AE407B" w14:textId="1E40F9FF" w:rsidR="00713804" w:rsidRPr="001148C6" w:rsidRDefault="00713804" w:rsidP="0071380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Nota: </w:t>
      </w:r>
      <w:r w:rsidRPr="001148C6">
        <w:rPr>
          <w:rFonts w:ascii="Arial" w:hAnsi="Arial" w:cs="Arial"/>
          <w:sz w:val="16"/>
          <w:szCs w:val="16"/>
        </w:rPr>
        <w:t xml:space="preserve">No se incluye la categoría </w:t>
      </w:r>
      <w:r w:rsidR="00E44614" w:rsidRPr="001148C6">
        <w:rPr>
          <w:rFonts w:ascii="Arial" w:hAnsi="Arial" w:cs="Arial"/>
          <w:sz w:val="16"/>
          <w:szCs w:val="16"/>
        </w:rPr>
        <w:t xml:space="preserve">«No especificado» </w:t>
      </w:r>
      <w:r w:rsidRPr="001148C6">
        <w:rPr>
          <w:rFonts w:ascii="Arial" w:hAnsi="Arial" w:cs="Arial"/>
          <w:sz w:val="16"/>
          <w:szCs w:val="16"/>
        </w:rPr>
        <w:t xml:space="preserve">que en 2020 correspondió </w:t>
      </w:r>
      <w:r>
        <w:rPr>
          <w:rFonts w:ascii="Arial" w:hAnsi="Arial" w:cs="Arial"/>
          <w:sz w:val="16"/>
          <w:szCs w:val="16"/>
        </w:rPr>
        <w:t xml:space="preserve">a </w:t>
      </w:r>
      <w:r w:rsidR="0069257A">
        <w:rPr>
          <w:rFonts w:ascii="Arial" w:hAnsi="Arial" w:cs="Arial"/>
          <w:sz w:val="16"/>
          <w:szCs w:val="16"/>
        </w:rPr>
        <w:t>815 registros</w:t>
      </w:r>
      <w:r w:rsidRPr="001148C6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r w:rsidRPr="00335815">
        <w:rPr>
          <w:rFonts w:ascii="Arial" w:hAnsi="Arial" w:cs="Arial"/>
          <w:sz w:val="16"/>
          <w:szCs w:val="16"/>
        </w:rPr>
        <w:t>La medición se hace a nivel de procesado y/</w:t>
      </w:r>
      <w:r w:rsidR="00730779">
        <w:rPr>
          <w:rFonts w:ascii="Arial" w:hAnsi="Arial" w:cs="Arial"/>
          <w:sz w:val="16"/>
          <w:szCs w:val="16"/>
        </w:rPr>
        <w:t xml:space="preserve"> </w:t>
      </w:r>
      <w:r w:rsidRPr="00335815">
        <w:rPr>
          <w:rFonts w:ascii="Arial" w:hAnsi="Arial" w:cs="Arial"/>
          <w:sz w:val="16"/>
          <w:szCs w:val="16"/>
        </w:rPr>
        <w:t xml:space="preserve">o imputado, </w:t>
      </w:r>
      <w:r w:rsidR="00730779">
        <w:rPr>
          <w:rFonts w:ascii="Arial" w:hAnsi="Arial" w:cs="Arial"/>
          <w:sz w:val="16"/>
          <w:szCs w:val="16"/>
        </w:rPr>
        <w:t xml:space="preserve">porque </w:t>
      </w:r>
      <w:r w:rsidRPr="00335815">
        <w:rPr>
          <w:rFonts w:ascii="Arial" w:hAnsi="Arial" w:cs="Arial"/>
          <w:sz w:val="16"/>
          <w:szCs w:val="16"/>
        </w:rPr>
        <w:t>la causa penal se individualiza de acuerdo con la resolución que</w:t>
      </w:r>
      <w:r w:rsidR="00730779">
        <w:rPr>
          <w:rFonts w:ascii="Arial" w:hAnsi="Arial" w:cs="Arial"/>
          <w:sz w:val="16"/>
          <w:szCs w:val="16"/>
        </w:rPr>
        <w:t xml:space="preserve"> la o</w:t>
      </w:r>
      <w:r w:rsidRPr="00335815">
        <w:rPr>
          <w:rFonts w:ascii="Arial" w:hAnsi="Arial" w:cs="Arial"/>
          <w:sz w:val="16"/>
          <w:szCs w:val="16"/>
        </w:rPr>
        <w:t xml:space="preserve"> el juzgador emite a cada persona. Para ambos sistemas, las causas penales pudieron haber ingresado durante el año o en ejercicios anteriores.</w:t>
      </w:r>
    </w:p>
    <w:p w14:paraId="5FEC7DBB" w14:textId="19252BC5" w:rsidR="00713804" w:rsidRDefault="00713804" w:rsidP="00713804">
      <w:pPr>
        <w:spacing w:after="0" w:line="240" w:lineRule="auto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</w:p>
    <w:p w14:paraId="420CD7F8" w14:textId="77777777" w:rsidR="00B01327" w:rsidRDefault="00B01327" w:rsidP="00713804">
      <w:pPr>
        <w:spacing w:after="0" w:line="240" w:lineRule="auto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</w:p>
    <w:p w14:paraId="32E06591" w14:textId="10F19C4B" w:rsidR="00B01327" w:rsidRPr="00EE4031" w:rsidRDefault="00B01327" w:rsidP="00B01327">
      <w:pPr>
        <w:pStyle w:val="Prrafodelista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1134"/>
        <w:contextualSpacing w:val="0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  <w:r w:rsidRPr="002570E4">
        <w:rPr>
          <w:rFonts w:ascii="Arial Negrita" w:hAnsi="Arial Negrita" w:cs="Arial"/>
          <w:b/>
          <w:bCs/>
          <w:sz w:val="24"/>
          <w:szCs w:val="24"/>
        </w:rPr>
        <w:t>Delitos</w:t>
      </w:r>
    </w:p>
    <w:p w14:paraId="65A53DAF" w14:textId="77777777" w:rsidR="00B01327" w:rsidRDefault="00B01327" w:rsidP="00B01327">
      <w:pPr>
        <w:pStyle w:val="Prrafodelista"/>
        <w:spacing w:after="0" w:line="240" w:lineRule="auto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448B33F7" w14:textId="72067C6F" w:rsidR="00CE4BCF" w:rsidRPr="00201106" w:rsidRDefault="00CE4BCF" w:rsidP="00AC0AF7">
      <w:pPr>
        <w:spacing w:after="0"/>
        <w:jc w:val="both"/>
        <w:rPr>
          <w:rFonts w:ascii="Arial" w:hAnsi="Arial" w:cs="Arial"/>
          <w:iCs/>
          <w:noProof/>
          <w:sz w:val="24"/>
          <w:szCs w:val="24"/>
          <w:lang w:eastAsia="es-MX"/>
        </w:rPr>
      </w:pPr>
      <w:r w:rsidRPr="00201106">
        <w:rPr>
          <w:rFonts w:ascii="Arial" w:hAnsi="Arial" w:cs="Arial"/>
          <w:iCs/>
          <w:noProof/>
          <w:sz w:val="24"/>
          <w:szCs w:val="24"/>
          <w:lang w:eastAsia="es-MX"/>
        </w:rPr>
        <w:t>En 202</w:t>
      </w:r>
      <w:r w:rsidR="00424D13" w:rsidRPr="00201106">
        <w:rPr>
          <w:rFonts w:ascii="Arial" w:hAnsi="Arial" w:cs="Arial"/>
          <w:iCs/>
          <w:noProof/>
          <w:sz w:val="24"/>
          <w:szCs w:val="24"/>
          <w:lang w:eastAsia="es-MX"/>
        </w:rPr>
        <w:t>1</w:t>
      </w:r>
      <w:r w:rsidRPr="00201106">
        <w:rPr>
          <w:rFonts w:ascii="Arial" w:hAnsi="Arial" w:cs="Arial"/>
          <w:iCs/>
          <w:noProof/>
          <w:sz w:val="24"/>
          <w:szCs w:val="24"/>
          <w:lang w:eastAsia="es-MX"/>
        </w:rPr>
        <w:t xml:space="preserve">, </w:t>
      </w:r>
      <w:r w:rsidR="00DD056C" w:rsidRPr="00DD056C">
        <w:rPr>
          <w:rFonts w:ascii="Arial" w:hAnsi="Arial" w:cs="Arial"/>
          <w:iCs/>
          <w:noProof/>
          <w:sz w:val="24"/>
          <w:szCs w:val="24"/>
          <w:lang w:eastAsia="es-MX"/>
        </w:rPr>
        <w:t>se registraron 265 929 delitos</w:t>
      </w:r>
      <w:r w:rsidR="00DD056C">
        <w:rPr>
          <w:rStyle w:val="Refdenotaalpie"/>
          <w:rFonts w:ascii="Arial" w:hAnsi="Arial" w:cs="Arial"/>
          <w:iCs/>
          <w:noProof/>
          <w:sz w:val="24"/>
          <w:szCs w:val="24"/>
          <w:lang w:eastAsia="es-MX"/>
        </w:rPr>
        <w:footnoteReference w:id="15"/>
      </w:r>
      <w:r w:rsidR="00DD056C" w:rsidRPr="00DD056C">
        <w:rPr>
          <w:rFonts w:ascii="Arial" w:hAnsi="Arial" w:cs="Arial"/>
          <w:iCs/>
          <w:noProof/>
          <w:sz w:val="24"/>
          <w:szCs w:val="24"/>
          <w:lang w:eastAsia="es-MX"/>
        </w:rPr>
        <w:t xml:space="preserve"> en las causas penales ingresadas</w:t>
      </w:r>
      <w:r w:rsidR="003611A8">
        <w:rPr>
          <w:rFonts w:ascii="Arial" w:hAnsi="Arial" w:cs="Arial"/>
          <w:iCs/>
          <w:noProof/>
          <w:sz w:val="24"/>
          <w:szCs w:val="24"/>
          <w:lang w:eastAsia="es-MX"/>
        </w:rPr>
        <w:t xml:space="preserve">. De estos, las personas adultas cometieron </w:t>
      </w:r>
      <w:r w:rsidR="00DD056C" w:rsidRPr="00DD056C">
        <w:rPr>
          <w:rFonts w:ascii="Arial" w:hAnsi="Arial" w:cs="Arial"/>
          <w:iCs/>
          <w:noProof/>
          <w:sz w:val="24"/>
          <w:szCs w:val="24"/>
          <w:lang w:eastAsia="es-MX"/>
        </w:rPr>
        <w:t xml:space="preserve">97.4 % </w:t>
      </w:r>
      <w:r w:rsidR="003611A8">
        <w:rPr>
          <w:rFonts w:ascii="Arial" w:hAnsi="Arial" w:cs="Arial"/>
          <w:iCs/>
          <w:noProof/>
          <w:sz w:val="24"/>
          <w:szCs w:val="24"/>
          <w:lang w:eastAsia="es-MX"/>
        </w:rPr>
        <w:t xml:space="preserve">y las y los adolescentes, </w:t>
      </w:r>
      <w:r w:rsidR="00DD056C" w:rsidRPr="00DD056C">
        <w:rPr>
          <w:rFonts w:ascii="Arial" w:hAnsi="Arial" w:cs="Arial"/>
          <w:iCs/>
          <w:noProof/>
          <w:sz w:val="24"/>
          <w:szCs w:val="24"/>
          <w:lang w:eastAsia="es-MX"/>
        </w:rPr>
        <w:t xml:space="preserve">2.6 </w:t>
      </w:r>
      <w:r w:rsidR="003611A8">
        <w:rPr>
          <w:rFonts w:ascii="Arial" w:hAnsi="Arial" w:cs="Arial"/>
          <w:iCs/>
          <w:noProof/>
          <w:sz w:val="24"/>
          <w:szCs w:val="24"/>
          <w:lang w:eastAsia="es-MX"/>
        </w:rPr>
        <w:t>por ciento.</w:t>
      </w:r>
      <w:r w:rsidR="00DD056C" w:rsidRPr="00DD056C">
        <w:rPr>
          <w:rFonts w:ascii="Arial" w:hAnsi="Arial" w:cs="Arial"/>
          <w:iCs/>
          <w:noProof/>
          <w:sz w:val="24"/>
          <w:szCs w:val="24"/>
          <w:lang w:eastAsia="es-MX"/>
        </w:rPr>
        <w:t xml:space="preserve"> El total nacional de delitos registrados aumentó 30.3 % con respecto a 2020</w:t>
      </w:r>
      <w:r w:rsidR="003611A8">
        <w:rPr>
          <w:rFonts w:ascii="Arial" w:hAnsi="Arial" w:cs="Arial"/>
          <w:iCs/>
          <w:noProof/>
          <w:sz w:val="24"/>
          <w:szCs w:val="24"/>
          <w:lang w:eastAsia="es-MX"/>
        </w:rPr>
        <w:t>. P</w:t>
      </w:r>
      <w:r w:rsidR="00DD056C" w:rsidRPr="00DD056C">
        <w:rPr>
          <w:rFonts w:ascii="Arial" w:hAnsi="Arial" w:cs="Arial"/>
          <w:iCs/>
          <w:noProof/>
          <w:sz w:val="24"/>
          <w:szCs w:val="24"/>
          <w:lang w:eastAsia="es-MX"/>
        </w:rPr>
        <w:t>ara la materia penal, el aumento correspondió a 30.7 %</w:t>
      </w:r>
      <w:r w:rsidR="003611A8">
        <w:rPr>
          <w:rFonts w:ascii="Arial" w:hAnsi="Arial" w:cs="Arial"/>
          <w:iCs/>
          <w:noProof/>
          <w:sz w:val="24"/>
          <w:szCs w:val="24"/>
          <w:lang w:eastAsia="es-MX"/>
        </w:rPr>
        <w:t xml:space="preserve">; en </w:t>
      </w:r>
      <w:r w:rsidR="00DD056C" w:rsidRPr="00DD056C">
        <w:rPr>
          <w:rFonts w:ascii="Arial" w:hAnsi="Arial" w:cs="Arial"/>
          <w:iCs/>
          <w:noProof/>
          <w:sz w:val="24"/>
          <w:szCs w:val="24"/>
          <w:lang w:eastAsia="es-MX"/>
        </w:rPr>
        <w:t>justicia para adolescentes</w:t>
      </w:r>
      <w:r w:rsidR="003611A8">
        <w:rPr>
          <w:rFonts w:ascii="Arial" w:hAnsi="Arial" w:cs="Arial"/>
          <w:iCs/>
          <w:noProof/>
          <w:sz w:val="24"/>
          <w:szCs w:val="24"/>
          <w:lang w:eastAsia="es-MX"/>
        </w:rPr>
        <w:t>,</w:t>
      </w:r>
      <w:r w:rsidR="00097695">
        <w:rPr>
          <w:rFonts w:ascii="Arial" w:hAnsi="Arial" w:cs="Arial"/>
          <w:iCs/>
          <w:noProof/>
          <w:sz w:val="24"/>
          <w:szCs w:val="24"/>
          <w:lang w:eastAsia="es-MX"/>
        </w:rPr>
        <w:t xml:space="preserve"> el aumento fue de</w:t>
      </w:r>
      <w:r w:rsidR="00DD056C" w:rsidRPr="00DD056C">
        <w:rPr>
          <w:rFonts w:ascii="Arial" w:hAnsi="Arial" w:cs="Arial"/>
          <w:iCs/>
          <w:noProof/>
          <w:sz w:val="24"/>
          <w:szCs w:val="24"/>
          <w:lang w:eastAsia="es-MX"/>
        </w:rPr>
        <w:t xml:space="preserve"> 18.7 por ciento.</w:t>
      </w:r>
    </w:p>
    <w:p w14:paraId="15B4624E" w14:textId="442C03BB" w:rsidR="00316A1A" w:rsidRDefault="00316A1A" w:rsidP="00AC0AF7">
      <w:pPr>
        <w:spacing w:after="0"/>
        <w:jc w:val="both"/>
        <w:rPr>
          <w:rFonts w:ascii="Arial" w:hAnsi="Arial" w:cs="Arial"/>
          <w:iCs/>
          <w:noProof/>
          <w:spacing w:val="-10"/>
          <w:sz w:val="24"/>
          <w:szCs w:val="24"/>
          <w:lang w:eastAsia="es-MX"/>
        </w:rPr>
      </w:pPr>
    </w:p>
    <w:p w14:paraId="4D36FB4A" w14:textId="35D5FA6F" w:rsidR="00E24BB3" w:rsidRPr="00963A3F" w:rsidRDefault="00E24BB3" w:rsidP="00E24BB3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F53C86">
        <w:rPr>
          <w:bCs/>
          <w:iCs/>
          <w:color w:val="000000" w:themeColor="text1"/>
          <w:sz w:val="20"/>
          <w:szCs w:val="20"/>
        </w:rPr>
        <w:t xml:space="preserve">Gráfica </w:t>
      </w:r>
      <w:r w:rsidR="00202F60">
        <w:rPr>
          <w:bCs/>
          <w:iCs/>
          <w:color w:val="000000" w:themeColor="text1"/>
          <w:sz w:val="20"/>
          <w:szCs w:val="20"/>
        </w:rPr>
        <w:t>2</w:t>
      </w:r>
      <w:r w:rsidR="008E34A3">
        <w:rPr>
          <w:bCs/>
          <w:iCs/>
          <w:color w:val="000000" w:themeColor="text1"/>
          <w:sz w:val="20"/>
          <w:szCs w:val="20"/>
        </w:rPr>
        <w:t>2</w:t>
      </w:r>
    </w:p>
    <w:p w14:paraId="7EA531F3" w14:textId="227A2832" w:rsidR="00DF7900" w:rsidRDefault="00BA7E9E" w:rsidP="00DF7900">
      <w:pPr>
        <w:spacing w:after="0" w:line="240" w:lineRule="auto"/>
        <w:jc w:val="center"/>
        <w:rPr>
          <w:noProof/>
        </w:rPr>
      </w:pPr>
      <w:r w:rsidRPr="00BA7E9E">
        <w:rPr>
          <w:rFonts w:ascii="Arial" w:hAnsi="Arial" w:cs="Arial"/>
          <w:b/>
          <w:bCs/>
          <w:iCs/>
          <w:smallCaps/>
          <w:color w:val="000000" w:themeColor="text1"/>
        </w:rPr>
        <w:t>Delitos registrados en las causas penales ingresadas (adultos y adolescentes)</w:t>
      </w:r>
      <w:r w:rsidR="00DF7900" w:rsidRPr="00DF7900">
        <w:rPr>
          <w:noProof/>
        </w:rPr>
        <w:t xml:space="preserve"> </w:t>
      </w:r>
    </w:p>
    <w:p w14:paraId="4364D5D0" w14:textId="77777777" w:rsidR="00DF7900" w:rsidRDefault="00DF7900" w:rsidP="00DF7900">
      <w:pPr>
        <w:spacing w:after="0" w:line="240" w:lineRule="auto"/>
        <w:jc w:val="center"/>
        <w:rPr>
          <w:noProof/>
        </w:rPr>
      </w:pPr>
    </w:p>
    <w:p w14:paraId="7D7EC7AB" w14:textId="7DA00322" w:rsidR="00E24BB3" w:rsidRDefault="00DF7900" w:rsidP="00DF7900">
      <w:pPr>
        <w:spacing w:after="0" w:line="240" w:lineRule="auto"/>
        <w:jc w:val="center"/>
        <w:rPr>
          <w:noProof/>
        </w:rPr>
      </w:pPr>
      <w:r w:rsidRPr="00DF7900">
        <w:rPr>
          <w:rFonts w:ascii="Arial" w:hAnsi="Arial" w:cs="Arial"/>
          <w:b/>
          <w:bCs/>
          <w:iCs/>
          <w:smallCaps/>
          <w:noProof/>
          <w:color w:val="000000" w:themeColor="text1"/>
        </w:rPr>
        <w:drawing>
          <wp:inline distT="0" distB="0" distL="0" distR="0" wp14:anchorId="23D3A122" wp14:editId="0D468802">
            <wp:extent cx="4171950" cy="1476375"/>
            <wp:effectExtent l="0" t="0" r="0" b="0"/>
            <wp:docPr id="135" name="Gráfico 135">
              <a:extLst xmlns:a="http://schemas.openxmlformats.org/drawingml/2006/main">
                <a:ext uri="{FF2B5EF4-FFF2-40B4-BE49-F238E27FC236}">
                  <a16:creationId xmlns:a16="http://schemas.microsoft.com/office/drawing/2014/main" id="{506D64D2-24DE-0915-46EB-E2D5C2F199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3702A8AE" w14:textId="2F1008BD" w:rsidR="00316A1A" w:rsidRPr="00F46DE1" w:rsidRDefault="00D777A7" w:rsidP="00AC0AF7">
      <w:pPr>
        <w:spacing w:after="0"/>
        <w:jc w:val="both"/>
        <w:rPr>
          <w:rFonts w:ascii="Arial" w:hAnsi="Arial" w:cs="Arial"/>
          <w:iCs/>
          <w:noProof/>
          <w:sz w:val="24"/>
          <w:szCs w:val="24"/>
          <w:lang w:eastAsia="es-MX"/>
        </w:rPr>
      </w:pPr>
      <w:r w:rsidRPr="00F46DE1">
        <w:rPr>
          <w:rFonts w:ascii="Arial" w:hAnsi="Arial" w:cs="Arial"/>
          <w:iCs/>
          <w:noProof/>
          <w:sz w:val="24"/>
          <w:szCs w:val="24"/>
          <w:lang w:eastAsia="es-MX"/>
        </w:rPr>
        <w:lastRenderedPageBreak/>
        <w:t>Por entidad federativa, destaca que Ciudad de México</w:t>
      </w:r>
      <w:r w:rsidR="00B7265D" w:rsidRPr="00F46DE1">
        <w:rPr>
          <w:rFonts w:ascii="Arial" w:hAnsi="Arial" w:cs="Arial"/>
          <w:iCs/>
          <w:noProof/>
          <w:sz w:val="24"/>
          <w:szCs w:val="24"/>
          <w:lang w:eastAsia="es-MX"/>
        </w:rPr>
        <w:t xml:space="preserve"> concentr</w:t>
      </w:r>
      <w:r w:rsidR="005658F4">
        <w:rPr>
          <w:rFonts w:ascii="Arial" w:hAnsi="Arial" w:cs="Arial"/>
          <w:iCs/>
          <w:noProof/>
          <w:sz w:val="24"/>
          <w:szCs w:val="24"/>
          <w:lang w:eastAsia="es-MX"/>
        </w:rPr>
        <w:t xml:space="preserve">ó la mayor cantidad de delitos </w:t>
      </w:r>
      <w:r w:rsidR="00054656">
        <w:rPr>
          <w:rFonts w:ascii="Arial" w:hAnsi="Arial" w:cs="Arial"/>
          <w:iCs/>
          <w:noProof/>
          <w:sz w:val="24"/>
          <w:szCs w:val="24"/>
          <w:lang w:eastAsia="es-MX"/>
        </w:rPr>
        <w:t xml:space="preserve">para </w:t>
      </w:r>
      <w:r w:rsidR="0094707A">
        <w:rPr>
          <w:rFonts w:ascii="Arial" w:hAnsi="Arial" w:cs="Arial"/>
          <w:iCs/>
          <w:noProof/>
          <w:sz w:val="24"/>
          <w:szCs w:val="24"/>
          <w:lang w:eastAsia="es-MX"/>
        </w:rPr>
        <w:t xml:space="preserve">personas </w:t>
      </w:r>
      <w:r w:rsidR="00054656">
        <w:rPr>
          <w:rFonts w:ascii="Arial" w:hAnsi="Arial" w:cs="Arial"/>
          <w:iCs/>
          <w:noProof/>
          <w:sz w:val="24"/>
          <w:szCs w:val="24"/>
          <w:lang w:eastAsia="es-MX"/>
        </w:rPr>
        <w:t>adult</w:t>
      </w:r>
      <w:r w:rsidR="0094707A">
        <w:rPr>
          <w:rFonts w:ascii="Arial" w:hAnsi="Arial" w:cs="Arial"/>
          <w:iCs/>
          <w:noProof/>
          <w:sz w:val="24"/>
          <w:szCs w:val="24"/>
          <w:lang w:eastAsia="es-MX"/>
        </w:rPr>
        <w:t>a</w:t>
      </w:r>
      <w:r w:rsidR="00054656">
        <w:rPr>
          <w:rFonts w:ascii="Arial" w:hAnsi="Arial" w:cs="Arial"/>
          <w:iCs/>
          <w:noProof/>
          <w:sz w:val="24"/>
          <w:szCs w:val="24"/>
          <w:lang w:eastAsia="es-MX"/>
        </w:rPr>
        <w:t>s (32 798)</w:t>
      </w:r>
      <w:r w:rsidR="003611A8">
        <w:rPr>
          <w:rFonts w:ascii="Arial" w:hAnsi="Arial" w:cs="Arial"/>
          <w:iCs/>
          <w:noProof/>
          <w:sz w:val="24"/>
          <w:szCs w:val="24"/>
          <w:lang w:eastAsia="es-MX"/>
        </w:rPr>
        <w:t xml:space="preserve">. En </w:t>
      </w:r>
      <w:r w:rsidR="00054656">
        <w:rPr>
          <w:rFonts w:ascii="Arial" w:hAnsi="Arial" w:cs="Arial"/>
          <w:iCs/>
          <w:noProof/>
          <w:sz w:val="24"/>
          <w:szCs w:val="24"/>
          <w:lang w:eastAsia="es-MX"/>
        </w:rPr>
        <w:t>el caso de</w:t>
      </w:r>
      <w:r w:rsidR="0094707A">
        <w:rPr>
          <w:rFonts w:ascii="Arial" w:hAnsi="Arial" w:cs="Arial"/>
          <w:iCs/>
          <w:noProof/>
          <w:sz w:val="24"/>
          <w:szCs w:val="24"/>
          <w:lang w:eastAsia="es-MX"/>
        </w:rPr>
        <w:t xml:space="preserve"> las y</w:t>
      </w:r>
      <w:r w:rsidR="00054656">
        <w:rPr>
          <w:rFonts w:ascii="Arial" w:hAnsi="Arial" w:cs="Arial"/>
          <w:iCs/>
          <w:noProof/>
          <w:sz w:val="24"/>
          <w:szCs w:val="24"/>
          <w:lang w:eastAsia="es-MX"/>
        </w:rPr>
        <w:t xml:space="preserve"> los adolescentes, la mayoría de los delitos se registraron en Chihuahua</w:t>
      </w:r>
      <w:r w:rsidR="009A000F">
        <w:rPr>
          <w:rFonts w:ascii="Arial" w:hAnsi="Arial" w:cs="Arial"/>
          <w:iCs/>
          <w:noProof/>
          <w:sz w:val="24"/>
          <w:szCs w:val="24"/>
          <w:lang w:eastAsia="es-MX"/>
        </w:rPr>
        <w:t xml:space="preserve"> (1 415)</w:t>
      </w:r>
      <w:r w:rsidR="00054656">
        <w:rPr>
          <w:rFonts w:ascii="Arial" w:hAnsi="Arial" w:cs="Arial"/>
          <w:iCs/>
          <w:noProof/>
          <w:sz w:val="24"/>
          <w:szCs w:val="24"/>
          <w:lang w:eastAsia="es-MX"/>
        </w:rPr>
        <w:t>.</w:t>
      </w:r>
    </w:p>
    <w:p w14:paraId="23218D2C" w14:textId="59318BA7" w:rsidR="00F46DE1" w:rsidRPr="00F46DE1" w:rsidRDefault="00F46DE1" w:rsidP="00CE4BCF">
      <w:pPr>
        <w:pStyle w:val="Default"/>
        <w:ind w:left="-567"/>
        <w:jc w:val="center"/>
        <w:rPr>
          <w:b/>
          <w:bCs/>
          <w:i/>
          <w:iCs/>
          <w:color w:val="706F6F"/>
          <w:sz w:val="22"/>
          <w:szCs w:val="32"/>
        </w:rPr>
      </w:pPr>
    </w:p>
    <w:p w14:paraId="57292970" w14:textId="1386568D" w:rsidR="00CE4BCF" w:rsidRPr="00963A3F" w:rsidRDefault="004B6D8B" w:rsidP="00CE4BC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>
        <w:rPr>
          <w:bCs/>
          <w:iCs/>
          <w:color w:val="000000" w:themeColor="text1"/>
          <w:sz w:val="20"/>
          <w:szCs w:val="20"/>
        </w:rPr>
        <w:t>Tabla 4</w:t>
      </w:r>
    </w:p>
    <w:p w14:paraId="39343AD1" w14:textId="0BEF4321" w:rsidR="00F46DE1" w:rsidRDefault="004B6D8B" w:rsidP="00340E76">
      <w:pPr>
        <w:spacing w:after="0" w:line="240" w:lineRule="auto"/>
        <w:jc w:val="center"/>
        <w:rPr>
          <w:rFonts w:ascii="Arial Negrita" w:hAnsi="Arial Negrita" w:cs="Arial"/>
          <w:b/>
          <w:bCs/>
          <w:iCs/>
          <w:smallCaps/>
          <w:color w:val="000000" w:themeColor="text1"/>
        </w:rPr>
      </w:pPr>
      <w:r w:rsidRPr="004B6D8B">
        <w:rPr>
          <w:rFonts w:ascii="Arial Negrita" w:hAnsi="Arial Negrita" w:cs="Arial"/>
          <w:b/>
          <w:bCs/>
          <w:iCs/>
          <w:smallCaps/>
          <w:color w:val="000000" w:themeColor="text1"/>
        </w:rPr>
        <w:t>Delitos registrados en las causas penales ingresadas por materia y entidad federativa, 2021</w:t>
      </w:r>
    </w:p>
    <w:p w14:paraId="74EEFD23" w14:textId="77777777" w:rsidR="004B6D8B" w:rsidRPr="00F46DE1" w:rsidRDefault="004B6D8B" w:rsidP="00340E76">
      <w:pPr>
        <w:spacing w:after="0" w:line="240" w:lineRule="auto"/>
        <w:jc w:val="center"/>
        <w:rPr>
          <w:rFonts w:ascii="Arial Negrita" w:hAnsi="Arial Negrita" w:cs="Arial"/>
          <w:b/>
          <w:bCs/>
          <w:iCs/>
          <w:smallCaps/>
          <w:color w:val="000000" w:themeColor="text1"/>
          <w:sz w:val="20"/>
          <w:szCs w:val="20"/>
        </w:rPr>
      </w:pPr>
    </w:p>
    <w:tbl>
      <w:tblPr>
        <w:tblW w:w="6577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74"/>
        <w:gridCol w:w="1701"/>
        <w:gridCol w:w="1701"/>
        <w:gridCol w:w="1701"/>
      </w:tblGrid>
      <w:tr w:rsidR="007044A8" w:rsidRPr="007044A8" w14:paraId="765EA0AF" w14:textId="77777777" w:rsidTr="008B286B">
        <w:trPr>
          <w:trHeight w:val="283"/>
          <w:jc w:val="center"/>
        </w:trPr>
        <w:tc>
          <w:tcPr>
            <w:tcW w:w="1474" w:type="dxa"/>
            <w:shd w:val="clear" w:color="auto" w:fill="67705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C15E3" w14:textId="77777777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b/>
                <w:bCs/>
                <w:color w:val="FFFFFF" w:themeColor="background1"/>
                <w:spacing w:val="-10"/>
                <w:sz w:val="18"/>
                <w:szCs w:val="18"/>
              </w:rPr>
              <w:t>Entidad</w:t>
            </w:r>
          </w:p>
        </w:tc>
        <w:tc>
          <w:tcPr>
            <w:tcW w:w="1701" w:type="dxa"/>
            <w:shd w:val="clear" w:color="auto" w:fill="67705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09C61" w14:textId="77777777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b/>
                <w:bCs/>
                <w:color w:val="FFFFFF" w:themeColor="background1"/>
                <w:spacing w:val="-10"/>
                <w:sz w:val="18"/>
                <w:szCs w:val="18"/>
              </w:rPr>
              <w:t>Total</w:t>
            </w:r>
          </w:p>
        </w:tc>
        <w:tc>
          <w:tcPr>
            <w:tcW w:w="1701" w:type="dxa"/>
            <w:shd w:val="clear" w:color="auto" w:fill="67705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BF2E7" w14:textId="77777777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b/>
                <w:bCs/>
                <w:color w:val="FFFFFF" w:themeColor="background1"/>
                <w:spacing w:val="-10"/>
                <w:sz w:val="18"/>
                <w:szCs w:val="18"/>
              </w:rPr>
              <w:t>Adultos</w:t>
            </w:r>
          </w:p>
        </w:tc>
        <w:tc>
          <w:tcPr>
            <w:tcW w:w="1701" w:type="dxa"/>
            <w:shd w:val="clear" w:color="auto" w:fill="67705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27490" w14:textId="77777777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b/>
                <w:bCs/>
                <w:color w:val="FFFFFF" w:themeColor="background1"/>
                <w:spacing w:val="-10"/>
                <w:sz w:val="18"/>
                <w:szCs w:val="18"/>
              </w:rPr>
              <w:t>Adolescentes</w:t>
            </w:r>
          </w:p>
        </w:tc>
      </w:tr>
      <w:tr w:rsidR="007044A8" w:rsidRPr="007044A8" w14:paraId="01445AB5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E7E6E6" w:themeFill="background2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27475AC1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NACIONAL</w:t>
            </w:r>
          </w:p>
        </w:tc>
        <w:tc>
          <w:tcPr>
            <w:tcW w:w="1701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15748" w14:textId="488C554C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265 929</w:t>
            </w:r>
          </w:p>
        </w:tc>
        <w:tc>
          <w:tcPr>
            <w:tcW w:w="1701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E55B3" w14:textId="4AB1117C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258 951</w:t>
            </w:r>
          </w:p>
        </w:tc>
        <w:tc>
          <w:tcPr>
            <w:tcW w:w="1701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A8746" w14:textId="05F8A9D4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6 978</w:t>
            </w:r>
          </w:p>
        </w:tc>
      </w:tr>
      <w:tr w:rsidR="007044A8" w:rsidRPr="007044A8" w14:paraId="69787E9A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36586FCD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CDMX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5DF17" w14:textId="2F97CD15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33 181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C75EF" w14:textId="6DA378C4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32 798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51FF9" w14:textId="335CE4C0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383</w:t>
            </w:r>
          </w:p>
        </w:tc>
      </w:tr>
      <w:tr w:rsidR="007044A8" w:rsidRPr="007044A8" w14:paraId="694D027D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4E9DD08E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NL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6C608" w14:textId="0DC062CF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26 259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7F0B4" w14:textId="289B5680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25 660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A1464" w14:textId="6A5221EC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599</w:t>
            </w:r>
          </w:p>
        </w:tc>
      </w:tr>
      <w:tr w:rsidR="007044A8" w:rsidRPr="007044A8" w14:paraId="4EF42C61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4A655E29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BC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A2230" w14:textId="6BEC4821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24 549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E565E" w14:textId="6297FB51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24 105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42033" w14:textId="7B9150D4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444</w:t>
            </w:r>
          </w:p>
        </w:tc>
      </w:tr>
      <w:tr w:rsidR="007044A8" w:rsidRPr="007044A8" w14:paraId="203FF9AF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085755A4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CHIH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D243C" w14:textId="10D6BF44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19 667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3D95A" w14:textId="19745D10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18 252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63D71" w14:textId="2022DB9F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1 415</w:t>
            </w:r>
          </w:p>
        </w:tc>
      </w:tr>
      <w:tr w:rsidR="007044A8" w:rsidRPr="007044A8" w14:paraId="6B565AB8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515A7C20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MEX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8B164" w14:textId="74502E10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16 951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A1408" w14:textId="43040AB5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16 229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F546A" w14:textId="0D1B9501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722</w:t>
            </w:r>
          </w:p>
        </w:tc>
      </w:tr>
      <w:tr w:rsidR="007044A8" w:rsidRPr="007044A8" w14:paraId="6DC47413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6AE33A8E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JAL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A4137" w14:textId="762FF345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15 176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4968C" w14:textId="289488D7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15 175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06236" w14:textId="655273CC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1</w:t>
            </w:r>
          </w:p>
        </w:tc>
      </w:tr>
      <w:tr w:rsidR="007044A8" w:rsidRPr="007044A8" w14:paraId="1B3811FF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24A60187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GTO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55F01" w14:textId="27315531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14 277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A5D5C" w14:textId="2A9E0AD9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13 378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C94DF" w14:textId="0C12FCB4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899</w:t>
            </w:r>
          </w:p>
        </w:tc>
      </w:tr>
      <w:tr w:rsidR="007044A8" w:rsidRPr="007044A8" w14:paraId="15A9E128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51171517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SON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0E8B2" w14:textId="4F753F03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13 582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BF099" w14:textId="5FFF23B7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13 251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E1D8" w14:textId="5A0A0436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331</w:t>
            </w:r>
          </w:p>
        </w:tc>
      </w:tr>
      <w:tr w:rsidR="007044A8" w:rsidRPr="007044A8" w14:paraId="7317DC62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312F6C29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COAH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53651" w14:textId="4D507890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9 966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17799" w14:textId="232E0A33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9 819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60EEF" w14:textId="384A10DB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147</w:t>
            </w:r>
          </w:p>
        </w:tc>
      </w:tr>
      <w:tr w:rsidR="007044A8" w:rsidRPr="007044A8" w14:paraId="15626F3C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756E9BA7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ZAC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63FD8" w14:textId="0C758298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8 161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C03C8" w14:textId="131FBD50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7 935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DFFC" w14:textId="43AE7377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226</w:t>
            </w:r>
          </w:p>
        </w:tc>
      </w:tr>
      <w:tr w:rsidR="007044A8" w:rsidRPr="007044A8" w14:paraId="25FAFBCC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7C521C79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PUE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B3954" w14:textId="16906810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7 839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33098" w14:textId="3CF4DA65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7 743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C1268" w14:textId="186B3175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96</w:t>
            </w:r>
          </w:p>
        </w:tc>
      </w:tr>
      <w:tr w:rsidR="007044A8" w:rsidRPr="007044A8" w14:paraId="12AD657E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289A76AF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VER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7EC8B" w14:textId="63550408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7 611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A6996" w14:textId="4F889F64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7 558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17835" w14:textId="47579C2A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53</w:t>
            </w:r>
          </w:p>
        </w:tc>
      </w:tr>
      <w:tr w:rsidR="007044A8" w:rsidRPr="007044A8" w14:paraId="7BBEAF3A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211B5D41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TAB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54F38" w14:textId="070ED320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6 023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CF18E" w14:textId="5EC61A43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5 958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BC91A" w14:textId="70EA598C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65</w:t>
            </w:r>
          </w:p>
        </w:tc>
      </w:tr>
      <w:tr w:rsidR="007044A8" w:rsidRPr="007044A8" w14:paraId="02C82815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5D553A88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MICH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353FE" w14:textId="697A4E90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5 879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9EFEB" w14:textId="1424CA26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5 804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5F080" w14:textId="626BD37E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75</w:t>
            </w:r>
          </w:p>
        </w:tc>
      </w:tr>
      <w:tr w:rsidR="007044A8" w:rsidRPr="007044A8" w14:paraId="3BFC4749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53B66F57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HGO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A41EA" w14:textId="5D9D71BF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5 843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F684E" w14:textId="7C219894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5 778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137F3" w14:textId="2FE7710F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65</w:t>
            </w:r>
          </w:p>
        </w:tc>
      </w:tr>
      <w:tr w:rsidR="007044A8" w:rsidRPr="007044A8" w14:paraId="7C2AE894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58478579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BCS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85783" w14:textId="5CE919B3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5 311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20D49" w14:textId="758BCC47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5 249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49B69" w14:textId="0F28C159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62</w:t>
            </w:r>
          </w:p>
        </w:tc>
      </w:tr>
      <w:tr w:rsidR="007044A8" w:rsidRPr="007044A8" w14:paraId="0A4DEE09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15296304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DGO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83DA2" w14:textId="298E290F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4 761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15DFE" w14:textId="4DC9E0FE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4 654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FDA14" w14:textId="54C9411F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107</w:t>
            </w:r>
          </w:p>
        </w:tc>
      </w:tr>
      <w:tr w:rsidR="007044A8" w:rsidRPr="007044A8" w14:paraId="6420A960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6AB18EA8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AGS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AB67F" w14:textId="47D41BBA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4 699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7FC74" w14:textId="2F3883C4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4 540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CD192" w14:textId="2623BDD6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159</w:t>
            </w:r>
          </w:p>
        </w:tc>
      </w:tr>
      <w:tr w:rsidR="007044A8" w:rsidRPr="007044A8" w14:paraId="6ECBD682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540EB1D3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OAX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8BF59" w14:textId="44368718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4 616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18F0C" w14:textId="7AE98113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4 504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9B7C6" w14:textId="6B09C28A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112</w:t>
            </w:r>
          </w:p>
        </w:tc>
      </w:tr>
      <w:tr w:rsidR="007044A8" w:rsidRPr="007044A8" w14:paraId="50FC90A1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1CF1202E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NAY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C4E5D" w14:textId="70792616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4 365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734D3" w14:textId="72B700DE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4 287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28A32" w14:textId="71A92D9F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78</w:t>
            </w:r>
          </w:p>
        </w:tc>
      </w:tr>
      <w:tr w:rsidR="007044A8" w:rsidRPr="007044A8" w14:paraId="5708516A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044562FC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SIN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2FFA3" w14:textId="0248190A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3 594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602DB" w14:textId="22F533E1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3 373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86219" w14:textId="33D40EC4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221</w:t>
            </w:r>
          </w:p>
        </w:tc>
      </w:tr>
      <w:tr w:rsidR="007044A8" w:rsidRPr="007044A8" w14:paraId="02234AEF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752844EB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GRO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8DD6A" w14:textId="69473F61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3 449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2F0AB" w14:textId="6D5765B2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3 350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79CB2" w14:textId="4CE5485D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99</w:t>
            </w:r>
          </w:p>
        </w:tc>
      </w:tr>
      <w:tr w:rsidR="007044A8" w:rsidRPr="007044A8" w14:paraId="3D0179BC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1EFE6674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TAMPS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D2964" w14:textId="1315E471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3 301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9A31E" w14:textId="49E96F8F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3 238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37BCF" w14:textId="1B6996BF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63</w:t>
            </w:r>
          </w:p>
        </w:tc>
      </w:tr>
      <w:tr w:rsidR="007044A8" w:rsidRPr="007044A8" w14:paraId="4933CC66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7CA7EA59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QRO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65C5B" w14:textId="3CC8D00A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3 059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1EAFF" w14:textId="7EE1E160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2 954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10D9B" w14:textId="3A902699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105</w:t>
            </w:r>
          </w:p>
        </w:tc>
      </w:tr>
      <w:tr w:rsidR="007044A8" w:rsidRPr="007044A8" w14:paraId="6ECE2C31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63353DC5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QROO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F8ACE" w14:textId="472585D6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3 010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CCB50" w14:textId="058C3CCF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2 961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0AB08" w14:textId="70059169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49</w:t>
            </w:r>
          </w:p>
        </w:tc>
      </w:tr>
      <w:tr w:rsidR="007044A8" w:rsidRPr="007044A8" w14:paraId="35D8C28C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76824F48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MOR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86430" w14:textId="20A85C89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2 660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82FA0" w14:textId="75F2C31E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2 506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7CAB7" w14:textId="7D343D72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154</w:t>
            </w:r>
          </w:p>
        </w:tc>
      </w:tr>
      <w:tr w:rsidR="007044A8" w:rsidRPr="007044A8" w14:paraId="0EB8518C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57AC3645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CHIS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AE4DD" w14:textId="58263FD0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2 311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AA610" w14:textId="4E6B0313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2 211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17AFF" w14:textId="7A61DB0C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100</w:t>
            </w:r>
          </w:p>
        </w:tc>
      </w:tr>
      <w:tr w:rsidR="007044A8" w:rsidRPr="007044A8" w14:paraId="6505A718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501D1138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YUC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A7560" w14:textId="171D51D3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1 540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5AA29" w14:textId="5AD8C5DF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1 464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DA8E7" w14:textId="492BDB05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76</w:t>
            </w:r>
          </w:p>
        </w:tc>
      </w:tr>
      <w:tr w:rsidR="007044A8" w:rsidRPr="007044A8" w14:paraId="7EDBC95B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24E82341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TLAX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D3ECA" w14:textId="327E34F2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1 398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EC4D7" w14:textId="2EC1F17F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1 380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256E0" w14:textId="615A56D9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18</w:t>
            </w:r>
          </w:p>
        </w:tc>
      </w:tr>
      <w:tr w:rsidR="007044A8" w:rsidRPr="007044A8" w14:paraId="70087010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50C89D2C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SLP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2773A" w14:textId="61C2A822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1 328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4C887" w14:textId="03B91060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1 310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DE8CB" w14:textId="6DB5D531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18</w:t>
            </w:r>
          </w:p>
        </w:tc>
      </w:tr>
      <w:tr w:rsidR="007044A8" w:rsidRPr="007044A8" w14:paraId="41D7F77A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0EBFF81F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COL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E7CB9" w14:textId="73C099FB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907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3BFA3" w14:textId="3EE022A7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884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BC8EC" w14:textId="379E2CDF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23</w:t>
            </w:r>
          </w:p>
        </w:tc>
      </w:tr>
      <w:tr w:rsidR="007044A8" w:rsidRPr="007044A8" w14:paraId="5AC0231E" w14:textId="77777777" w:rsidTr="008B286B">
        <w:trPr>
          <w:trHeight w:val="57"/>
          <w:jc w:val="center"/>
        </w:trPr>
        <w:tc>
          <w:tcPr>
            <w:tcW w:w="1474" w:type="dxa"/>
            <w:shd w:val="clear" w:color="auto" w:fill="FFFFFF" w:themeFill="background1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153DD2D2" w14:textId="77777777" w:rsidR="007044A8" w:rsidRPr="007044A8" w:rsidRDefault="007044A8" w:rsidP="007044A8">
            <w:pPr>
              <w:spacing w:after="0" w:line="240" w:lineRule="auto"/>
              <w:ind w:left="57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CAMP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D9169" w14:textId="4A2C366F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656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06228" w14:textId="1D312ED9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643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25980" w14:textId="02DEEB3D" w:rsidR="007044A8" w:rsidRPr="007044A8" w:rsidRDefault="007044A8" w:rsidP="007044A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10"/>
                <w:sz w:val="18"/>
                <w:szCs w:val="18"/>
              </w:rPr>
            </w:pPr>
            <w:r w:rsidRPr="007044A8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>13</w:t>
            </w:r>
          </w:p>
        </w:tc>
      </w:tr>
    </w:tbl>
    <w:p w14:paraId="5AC71AD4" w14:textId="60592797" w:rsidR="00A65240" w:rsidRPr="007044A8" w:rsidRDefault="00A65240" w:rsidP="007044A8">
      <w:pPr>
        <w:spacing w:after="0" w:line="240" w:lineRule="auto"/>
        <w:jc w:val="center"/>
        <w:rPr>
          <w:rFonts w:ascii="Arial Negrita" w:eastAsia="Times New Roman" w:hAnsi="Arial Negrita" w:cs="Arial"/>
          <w:spacing w:val="-10"/>
          <w:sz w:val="18"/>
          <w:szCs w:val="18"/>
        </w:rPr>
      </w:pPr>
    </w:p>
    <w:p w14:paraId="373CE29E" w14:textId="58C4D4CD" w:rsidR="00CE4BCF" w:rsidRPr="007044A8" w:rsidRDefault="00CE4BCF" w:rsidP="007044A8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</w:p>
    <w:p w14:paraId="0FE040D7" w14:textId="77777777" w:rsidR="00F46DE1" w:rsidRPr="007044A8" w:rsidRDefault="00F46DE1" w:rsidP="007044A8">
      <w:pPr>
        <w:spacing w:after="0"/>
        <w:jc w:val="both"/>
        <w:rPr>
          <w:rFonts w:ascii="Arial" w:hAnsi="Arial" w:cs="Arial"/>
          <w:iCs/>
          <w:noProof/>
          <w:sz w:val="18"/>
          <w:szCs w:val="18"/>
          <w:lang w:eastAsia="es-MX"/>
        </w:rPr>
      </w:pPr>
    </w:p>
    <w:p w14:paraId="6F351BEE" w14:textId="55B7D7E5" w:rsidR="00F46DE1" w:rsidRPr="007044A8" w:rsidRDefault="00F46DE1" w:rsidP="007044A8">
      <w:pPr>
        <w:spacing w:after="0"/>
        <w:jc w:val="center"/>
        <w:rPr>
          <w:rFonts w:ascii="Arial" w:hAnsi="Arial" w:cs="Arial"/>
          <w:iCs/>
          <w:noProof/>
          <w:sz w:val="18"/>
          <w:szCs w:val="18"/>
          <w:lang w:eastAsia="es-MX"/>
        </w:rPr>
      </w:pPr>
    </w:p>
    <w:p w14:paraId="5FF07DA8" w14:textId="196F00C9" w:rsidR="00F46DE1" w:rsidRDefault="00F46DE1" w:rsidP="007044A8">
      <w:pPr>
        <w:spacing w:after="0"/>
        <w:jc w:val="both"/>
        <w:rPr>
          <w:rFonts w:ascii="Arial" w:hAnsi="Arial" w:cs="Arial"/>
          <w:iCs/>
          <w:noProof/>
          <w:sz w:val="18"/>
          <w:szCs w:val="18"/>
          <w:lang w:eastAsia="es-MX"/>
        </w:rPr>
      </w:pPr>
    </w:p>
    <w:p w14:paraId="527DDA70" w14:textId="4131D61A" w:rsidR="0081548A" w:rsidRDefault="0081548A" w:rsidP="007044A8">
      <w:pPr>
        <w:spacing w:after="0"/>
        <w:jc w:val="both"/>
        <w:rPr>
          <w:rFonts w:ascii="Arial" w:hAnsi="Arial" w:cs="Arial"/>
          <w:iCs/>
          <w:noProof/>
          <w:sz w:val="18"/>
          <w:szCs w:val="18"/>
          <w:lang w:eastAsia="es-MX"/>
        </w:rPr>
      </w:pPr>
    </w:p>
    <w:p w14:paraId="2FEF6E00" w14:textId="0F5BC594" w:rsidR="0081548A" w:rsidRDefault="0081548A" w:rsidP="007044A8">
      <w:pPr>
        <w:spacing w:after="0"/>
        <w:jc w:val="both"/>
        <w:rPr>
          <w:rFonts w:ascii="Arial" w:hAnsi="Arial" w:cs="Arial"/>
          <w:iCs/>
          <w:noProof/>
          <w:sz w:val="18"/>
          <w:szCs w:val="18"/>
          <w:lang w:eastAsia="es-MX"/>
        </w:rPr>
      </w:pPr>
    </w:p>
    <w:p w14:paraId="4EB76E7F" w14:textId="6E16CCA9" w:rsidR="0081548A" w:rsidRDefault="0081548A" w:rsidP="007044A8">
      <w:pPr>
        <w:spacing w:after="0"/>
        <w:jc w:val="both"/>
        <w:rPr>
          <w:rFonts w:ascii="Arial" w:hAnsi="Arial" w:cs="Arial"/>
          <w:iCs/>
          <w:noProof/>
          <w:sz w:val="18"/>
          <w:szCs w:val="18"/>
          <w:lang w:eastAsia="es-MX"/>
        </w:rPr>
      </w:pPr>
    </w:p>
    <w:p w14:paraId="7BB65704" w14:textId="1D353CC0" w:rsidR="0081548A" w:rsidRDefault="0081548A" w:rsidP="007044A8">
      <w:pPr>
        <w:spacing w:after="0"/>
        <w:jc w:val="both"/>
        <w:rPr>
          <w:rFonts w:ascii="Arial" w:hAnsi="Arial" w:cs="Arial"/>
          <w:iCs/>
          <w:noProof/>
          <w:sz w:val="18"/>
          <w:szCs w:val="18"/>
          <w:lang w:eastAsia="es-MX"/>
        </w:rPr>
      </w:pPr>
    </w:p>
    <w:p w14:paraId="1E6854D0" w14:textId="238A78D8" w:rsidR="0081548A" w:rsidRDefault="0081548A" w:rsidP="007044A8">
      <w:pPr>
        <w:spacing w:after="0"/>
        <w:jc w:val="both"/>
        <w:rPr>
          <w:rFonts w:ascii="Arial" w:hAnsi="Arial" w:cs="Arial"/>
          <w:iCs/>
          <w:noProof/>
          <w:sz w:val="18"/>
          <w:szCs w:val="18"/>
          <w:lang w:eastAsia="es-MX"/>
        </w:rPr>
      </w:pPr>
    </w:p>
    <w:p w14:paraId="124AC2AD" w14:textId="591B0FE8" w:rsidR="0081548A" w:rsidRDefault="0081548A" w:rsidP="007044A8">
      <w:pPr>
        <w:spacing w:after="0"/>
        <w:jc w:val="both"/>
        <w:rPr>
          <w:rFonts w:ascii="Arial" w:hAnsi="Arial" w:cs="Arial"/>
          <w:iCs/>
          <w:noProof/>
          <w:sz w:val="18"/>
          <w:szCs w:val="18"/>
          <w:lang w:eastAsia="es-MX"/>
        </w:rPr>
      </w:pPr>
    </w:p>
    <w:p w14:paraId="7E3E25CC" w14:textId="2DCD5A64" w:rsidR="0081548A" w:rsidRDefault="0081548A" w:rsidP="007044A8">
      <w:pPr>
        <w:spacing w:after="0"/>
        <w:jc w:val="both"/>
        <w:rPr>
          <w:rFonts w:ascii="Arial" w:hAnsi="Arial" w:cs="Arial"/>
          <w:iCs/>
          <w:noProof/>
          <w:sz w:val="18"/>
          <w:szCs w:val="18"/>
          <w:lang w:eastAsia="es-MX"/>
        </w:rPr>
      </w:pPr>
    </w:p>
    <w:p w14:paraId="3A117403" w14:textId="77777777" w:rsidR="004F6DE7" w:rsidRDefault="004F6DE7" w:rsidP="007044A8">
      <w:pPr>
        <w:spacing w:after="0"/>
        <w:jc w:val="both"/>
        <w:rPr>
          <w:rFonts w:ascii="Arial" w:hAnsi="Arial" w:cs="Arial"/>
          <w:iCs/>
          <w:noProof/>
          <w:sz w:val="18"/>
          <w:szCs w:val="18"/>
          <w:lang w:eastAsia="es-MX"/>
        </w:rPr>
      </w:pPr>
    </w:p>
    <w:p w14:paraId="0C3F0B31" w14:textId="77777777" w:rsidR="0081548A" w:rsidRPr="007044A8" w:rsidRDefault="0081548A" w:rsidP="002E43C4">
      <w:pPr>
        <w:spacing w:after="0"/>
        <w:ind w:right="21"/>
        <w:jc w:val="both"/>
        <w:rPr>
          <w:rFonts w:ascii="Arial" w:hAnsi="Arial" w:cs="Arial"/>
          <w:iCs/>
          <w:noProof/>
          <w:sz w:val="18"/>
          <w:szCs w:val="18"/>
          <w:lang w:eastAsia="es-MX"/>
        </w:rPr>
      </w:pPr>
    </w:p>
    <w:p w14:paraId="02CDF556" w14:textId="57C1FCAB" w:rsidR="00F46DE1" w:rsidRDefault="0081548A" w:rsidP="002E43C4">
      <w:pPr>
        <w:spacing w:after="0"/>
        <w:ind w:right="21"/>
        <w:jc w:val="both"/>
        <w:rPr>
          <w:rFonts w:ascii="Arial" w:hAnsi="Arial" w:cs="Arial"/>
          <w:iCs/>
          <w:noProof/>
          <w:sz w:val="24"/>
          <w:szCs w:val="24"/>
          <w:lang w:eastAsia="es-MX"/>
        </w:rPr>
      </w:pPr>
      <w:r w:rsidRPr="0081548A">
        <w:rPr>
          <w:rFonts w:ascii="Arial" w:hAnsi="Arial" w:cs="Arial"/>
          <w:iCs/>
          <w:noProof/>
          <w:sz w:val="24"/>
          <w:szCs w:val="24"/>
          <w:lang w:eastAsia="es-MX"/>
        </w:rPr>
        <w:lastRenderedPageBreak/>
        <w:t>En el caso de</w:t>
      </w:r>
      <w:r w:rsidR="0094707A">
        <w:rPr>
          <w:rFonts w:ascii="Arial" w:hAnsi="Arial" w:cs="Arial"/>
          <w:iCs/>
          <w:noProof/>
          <w:sz w:val="24"/>
          <w:szCs w:val="24"/>
          <w:lang w:eastAsia="es-MX"/>
        </w:rPr>
        <w:t xml:space="preserve"> personas adultas, </w:t>
      </w:r>
      <w:r w:rsidRPr="0081548A">
        <w:rPr>
          <w:rFonts w:ascii="Arial" w:hAnsi="Arial" w:cs="Arial"/>
          <w:iCs/>
          <w:noProof/>
          <w:sz w:val="24"/>
          <w:szCs w:val="24"/>
          <w:lang w:eastAsia="es-MX"/>
        </w:rPr>
        <w:t>el delito de robo registró la mayor frecuencia</w:t>
      </w:r>
      <w:r w:rsidR="003611A8">
        <w:rPr>
          <w:rFonts w:ascii="Arial" w:hAnsi="Arial" w:cs="Arial"/>
          <w:iCs/>
          <w:noProof/>
          <w:sz w:val="24"/>
          <w:szCs w:val="24"/>
          <w:lang w:eastAsia="es-MX"/>
        </w:rPr>
        <w:t>,</w:t>
      </w:r>
      <w:r w:rsidRPr="0081548A">
        <w:rPr>
          <w:rFonts w:ascii="Arial" w:hAnsi="Arial" w:cs="Arial"/>
          <w:iCs/>
          <w:noProof/>
          <w:sz w:val="24"/>
          <w:szCs w:val="24"/>
          <w:lang w:eastAsia="es-MX"/>
        </w:rPr>
        <w:t xml:space="preserve"> con 17.6 </w:t>
      </w:r>
      <w:r w:rsidR="00F42B68">
        <w:rPr>
          <w:rFonts w:ascii="Arial" w:hAnsi="Arial" w:cs="Arial"/>
          <w:iCs/>
          <w:noProof/>
          <w:sz w:val="24"/>
          <w:szCs w:val="24"/>
          <w:lang w:eastAsia="es-MX"/>
        </w:rPr>
        <w:t>por ciento</w:t>
      </w:r>
      <w:r w:rsidRPr="0081548A">
        <w:rPr>
          <w:rFonts w:ascii="Arial" w:hAnsi="Arial" w:cs="Arial"/>
          <w:iCs/>
          <w:noProof/>
          <w:sz w:val="24"/>
          <w:szCs w:val="24"/>
          <w:lang w:eastAsia="es-MX"/>
        </w:rPr>
        <w:t>. En comparación con 2020, dicho delito presentó un aumento de 4.8 por ciento</w:t>
      </w:r>
      <w:r w:rsidR="009A000F">
        <w:rPr>
          <w:rFonts w:ascii="Arial" w:hAnsi="Arial" w:cs="Arial"/>
          <w:iCs/>
          <w:noProof/>
          <w:sz w:val="24"/>
          <w:szCs w:val="24"/>
          <w:lang w:eastAsia="es-MX"/>
        </w:rPr>
        <w:t>.</w:t>
      </w:r>
    </w:p>
    <w:p w14:paraId="4DCC8E51" w14:textId="3B7C9ECE" w:rsidR="00F46DE1" w:rsidRDefault="00F46DE1" w:rsidP="007044A8">
      <w:pPr>
        <w:spacing w:after="0"/>
        <w:jc w:val="both"/>
        <w:rPr>
          <w:rFonts w:ascii="Arial" w:hAnsi="Arial" w:cs="Arial"/>
          <w:iCs/>
          <w:noProof/>
          <w:sz w:val="24"/>
          <w:szCs w:val="24"/>
          <w:lang w:eastAsia="es-MX"/>
        </w:rPr>
      </w:pPr>
    </w:p>
    <w:p w14:paraId="73F2B803" w14:textId="1688982E" w:rsidR="00D56220" w:rsidRPr="00963A3F" w:rsidRDefault="00D56220" w:rsidP="007E7A49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F53C86">
        <w:rPr>
          <w:bCs/>
          <w:iCs/>
          <w:color w:val="000000" w:themeColor="text1"/>
          <w:sz w:val="20"/>
          <w:szCs w:val="20"/>
        </w:rPr>
        <w:t xml:space="preserve">Gráfica </w:t>
      </w:r>
      <w:r w:rsidR="00A76590">
        <w:rPr>
          <w:bCs/>
          <w:iCs/>
          <w:color w:val="000000" w:themeColor="text1"/>
          <w:sz w:val="20"/>
          <w:szCs w:val="20"/>
        </w:rPr>
        <w:t>2</w:t>
      </w:r>
      <w:r w:rsidR="008E34A3">
        <w:rPr>
          <w:bCs/>
          <w:iCs/>
          <w:color w:val="000000" w:themeColor="text1"/>
          <w:sz w:val="20"/>
          <w:szCs w:val="20"/>
        </w:rPr>
        <w:t>3</w:t>
      </w:r>
    </w:p>
    <w:p w14:paraId="70663A34" w14:textId="2DBEEECC" w:rsidR="00D56220" w:rsidRDefault="00BA609C">
      <w:pPr>
        <w:spacing w:after="0" w:line="240" w:lineRule="auto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BA609C">
        <w:rPr>
          <w:rFonts w:ascii="Arial" w:hAnsi="Arial" w:cs="Arial"/>
          <w:b/>
          <w:bCs/>
          <w:iCs/>
          <w:smallCaps/>
          <w:color w:val="000000" w:themeColor="text1"/>
        </w:rPr>
        <w:t>Principales delitos registrados en las causas penales ingresadas (adultos), por tipo</w:t>
      </w:r>
    </w:p>
    <w:p w14:paraId="511E4347" w14:textId="77777777" w:rsidR="00CE4BCF" w:rsidRDefault="00CE4BCF" w:rsidP="00CA6D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39098E8" w14:textId="1254C23A" w:rsidR="00CE4BCF" w:rsidRDefault="002E43C4" w:rsidP="00CA6D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E43C4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58ABD69A" wp14:editId="22010C2D">
            <wp:extent cx="6404610" cy="2573079"/>
            <wp:effectExtent l="0" t="0" r="0" b="0"/>
            <wp:docPr id="136" name="Gráfico 136">
              <a:extLst xmlns:a="http://schemas.openxmlformats.org/drawingml/2006/main">
                <a:ext uri="{FF2B5EF4-FFF2-40B4-BE49-F238E27FC236}">
                  <a16:creationId xmlns:a16="http://schemas.microsoft.com/office/drawing/2014/main" id="{9A3BA3CA-2B70-A7AC-C5ED-ADBB4FEC54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0C868F01" w14:textId="4DB8AB96" w:rsidR="00CE4BCF" w:rsidRDefault="00CE4BCF" w:rsidP="00CA6D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2C5970C" w14:textId="0A45C6B6" w:rsidR="000055EE" w:rsidRPr="000055EE" w:rsidRDefault="000055EE" w:rsidP="000055EE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0055EE">
        <w:rPr>
          <w:rFonts w:ascii="Arial" w:eastAsia="Times New Roman" w:hAnsi="Arial" w:cs="Arial"/>
          <w:sz w:val="16"/>
          <w:szCs w:val="16"/>
        </w:rPr>
        <w:t>Nota:</w:t>
      </w:r>
      <w:r w:rsidR="004D5F79">
        <w:rPr>
          <w:rFonts w:ascii="Arial" w:eastAsia="Times New Roman" w:hAnsi="Arial" w:cs="Arial"/>
          <w:sz w:val="16"/>
          <w:szCs w:val="16"/>
        </w:rPr>
        <w:t xml:space="preserve"> </w:t>
      </w:r>
      <w:r w:rsidR="004D5F79" w:rsidRPr="0081548A">
        <w:rPr>
          <w:rFonts w:ascii="Arial" w:hAnsi="Arial" w:cs="Arial"/>
          <w:sz w:val="16"/>
          <w:szCs w:val="16"/>
        </w:rPr>
        <w:t>Incluye todas las modalidades de robo.</w:t>
      </w:r>
      <w:r w:rsidRPr="000055EE">
        <w:rPr>
          <w:rFonts w:ascii="Arial" w:eastAsia="Times New Roman" w:hAnsi="Arial" w:cs="Arial"/>
          <w:sz w:val="16"/>
          <w:szCs w:val="16"/>
        </w:rPr>
        <w:t xml:space="preserve"> Incluye Sistema Tradicional y Sistema Penal Acusatorio (juzgados de control o garantías).</w:t>
      </w:r>
    </w:p>
    <w:p w14:paraId="409B841E" w14:textId="77777777" w:rsidR="000055EE" w:rsidRDefault="000055EE" w:rsidP="00CA6D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D71F3BE" w14:textId="48072308" w:rsidR="00B65219" w:rsidRPr="00B65219" w:rsidRDefault="000055EE" w:rsidP="007E7A49">
      <w:pPr>
        <w:spacing w:after="0" w:line="240" w:lineRule="auto"/>
        <w:jc w:val="both"/>
        <w:rPr>
          <w:rFonts w:ascii="Arial" w:hAnsi="Arial" w:cs="Arial"/>
          <w:b/>
          <w:bCs/>
          <w:iCs/>
          <w:noProof/>
          <w:sz w:val="24"/>
          <w:szCs w:val="24"/>
          <w:lang w:eastAsia="es-MX"/>
        </w:rPr>
      </w:pPr>
      <w:r w:rsidRPr="000055EE">
        <w:rPr>
          <w:rFonts w:ascii="Arial" w:hAnsi="Arial" w:cs="Arial"/>
          <w:iCs/>
          <w:noProof/>
          <w:sz w:val="24"/>
          <w:szCs w:val="24"/>
          <w:lang w:eastAsia="es-MX"/>
        </w:rPr>
        <w:t xml:space="preserve">En cuanto a </w:t>
      </w:r>
      <w:r w:rsidR="003611A8">
        <w:rPr>
          <w:rFonts w:ascii="Arial" w:hAnsi="Arial" w:cs="Arial"/>
          <w:iCs/>
          <w:noProof/>
          <w:sz w:val="24"/>
          <w:szCs w:val="24"/>
          <w:lang w:eastAsia="es-MX"/>
        </w:rPr>
        <w:t xml:space="preserve">las y </w:t>
      </w:r>
      <w:r w:rsidRPr="000055EE">
        <w:rPr>
          <w:rFonts w:ascii="Arial" w:hAnsi="Arial" w:cs="Arial"/>
          <w:iCs/>
          <w:noProof/>
          <w:sz w:val="24"/>
          <w:szCs w:val="24"/>
          <w:lang w:eastAsia="es-MX"/>
        </w:rPr>
        <w:t>los adolescentes, los delitos contra la salud relacionados con narcóticos en su modalidad de narcomenudeo fueron los más frecuentes</w:t>
      </w:r>
      <w:r w:rsidR="009A000F">
        <w:rPr>
          <w:rFonts w:ascii="Arial" w:hAnsi="Arial" w:cs="Arial"/>
          <w:iCs/>
          <w:noProof/>
          <w:sz w:val="24"/>
          <w:szCs w:val="24"/>
          <w:lang w:eastAsia="es-MX"/>
        </w:rPr>
        <w:t>,</w:t>
      </w:r>
      <w:r w:rsidRPr="000055EE">
        <w:rPr>
          <w:rFonts w:ascii="Arial" w:hAnsi="Arial" w:cs="Arial"/>
          <w:iCs/>
          <w:noProof/>
          <w:sz w:val="24"/>
          <w:szCs w:val="24"/>
          <w:lang w:eastAsia="es-MX"/>
        </w:rPr>
        <w:t xml:space="preserve"> con 22.5 </w:t>
      </w:r>
      <w:r w:rsidR="003611A8">
        <w:rPr>
          <w:rFonts w:ascii="Arial" w:hAnsi="Arial" w:cs="Arial"/>
          <w:iCs/>
          <w:noProof/>
          <w:sz w:val="24"/>
          <w:szCs w:val="24"/>
          <w:lang w:eastAsia="es-MX"/>
        </w:rPr>
        <w:t>por ciento</w:t>
      </w:r>
      <w:r w:rsidR="009A000F">
        <w:rPr>
          <w:rFonts w:ascii="Arial" w:hAnsi="Arial" w:cs="Arial"/>
          <w:iCs/>
          <w:noProof/>
          <w:sz w:val="24"/>
          <w:szCs w:val="24"/>
          <w:lang w:eastAsia="es-MX"/>
        </w:rPr>
        <w:t>. Este tipo de delitos</w:t>
      </w:r>
      <w:r w:rsidRPr="000055EE">
        <w:rPr>
          <w:rFonts w:ascii="Arial" w:hAnsi="Arial" w:cs="Arial"/>
          <w:iCs/>
          <w:noProof/>
          <w:sz w:val="24"/>
          <w:szCs w:val="24"/>
          <w:lang w:eastAsia="es-MX"/>
        </w:rPr>
        <w:t xml:space="preserve"> disminuy</w:t>
      </w:r>
      <w:r w:rsidR="009A000F">
        <w:rPr>
          <w:rFonts w:ascii="Arial" w:hAnsi="Arial" w:cs="Arial"/>
          <w:iCs/>
          <w:noProof/>
          <w:sz w:val="24"/>
          <w:szCs w:val="24"/>
          <w:lang w:eastAsia="es-MX"/>
        </w:rPr>
        <w:t>ó</w:t>
      </w:r>
      <w:r w:rsidRPr="000055EE">
        <w:rPr>
          <w:rFonts w:ascii="Arial" w:hAnsi="Arial" w:cs="Arial"/>
          <w:iCs/>
          <w:noProof/>
          <w:sz w:val="24"/>
          <w:szCs w:val="24"/>
          <w:lang w:eastAsia="es-MX"/>
        </w:rPr>
        <w:t xml:space="preserve"> 17.2 % con respecto a las cifras de 2020</w:t>
      </w:r>
      <w:r w:rsidR="00DD72F0">
        <w:rPr>
          <w:rFonts w:ascii="Arial" w:hAnsi="Arial" w:cs="Arial"/>
          <w:iCs/>
          <w:noProof/>
          <w:sz w:val="24"/>
          <w:szCs w:val="24"/>
          <w:lang w:eastAsia="es-MX"/>
        </w:rPr>
        <w:t>.</w:t>
      </w:r>
    </w:p>
    <w:p w14:paraId="27A0B1B1" w14:textId="77777777" w:rsidR="00B65219" w:rsidRPr="00756B55" w:rsidRDefault="00B65219" w:rsidP="00B65219">
      <w:pPr>
        <w:spacing w:after="0"/>
        <w:ind w:left="-567"/>
        <w:jc w:val="center"/>
        <w:rPr>
          <w:rFonts w:ascii="Arial" w:hAnsi="Arial" w:cs="Arial"/>
          <w:b/>
          <w:bCs/>
          <w:iCs/>
          <w:noProof/>
          <w:sz w:val="24"/>
          <w:szCs w:val="24"/>
          <w:lang w:eastAsia="es-MX"/>
        </w:rPr>
      </w:pPr>
    </w:p>
    <w:p w14:paraId="5CF592E6" w14:textId="4AD217C4" w:rsidR="00541644" w:rsidRPr="00963A3F" w:rsidRDefault="00541644" w:rsidP="00541644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F53C86">
        <w:rPr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2</w:t>
      </w:r>
      <w:r w:rsidR="008E34A3">
        <w:rPr>
          <w:bCs/>
          <w:iCs/>
          <w:color w:val="000000" w:themeColor="text1"/>
          <w:sz w:val="20"/>
          <w:szCs w:val="20"/>
        </w:rPr>
        <w:t>4</w:t>
      </w:r>
    </w:p>
    <w:p w14:paraId="25EAA85B" w14:textId="3AA12EDC" w:rsidR="00CE4BCF" w:rsidRDefault="00FF3D79" w:rsidP="00FF3D79">
      <w:pPr>
        <w:spacing w:after="0" w:line="240" w:lineRule="auto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FF3D79">
        <w:rPr>
          <w:rFonts w:ascii="Arial" w:hAnsi="Arial" w:cs="Arial"/>
          <w:b/>
          <w:bCs/>
          <w:iCs/>
          <w:smallCaps/>
          <w:color w:val="000000" w:themeColor="text1"/>
        </w:rPr>
        <w:t>Principales delitos registrados en las causas penales ingresadas (</w:t>
      </w:r>
      <w:r w:rsidR="00BA609C">
        <w:rPr>
          <w:rFonts w:ascii="Arial" w:hAnsi="Arial" w:cs="Arial"/>
          <w:b/>
          <w:bCs/>
          <w:iCs/>
          <w:smallCaps/>
          <w:color w:val="000000" w:themeColor="text1"/>
        </w:rPr>
        <w:t>adolescentes</w:t>
      </w:r>
      <w:r w:rsidRPr="00FF3D79">
        <w:rPr>
          <w:rFonts w:ascii="Arial" w:hAnsi="Arial" w:cs="Arial"/>
          <w:b/>
          <w:bCs/>
          <w:iCs/>
          <w:smallCaps/>
          <w:color w:val="000000" w:themeColor="text1"/>
        </w:rPr>
        <w:t>), por tipo</w:t>
      </w:r>
    </w:p>
    <w:p w14:paraId="1608C420" w14:textId="6958B44C" w:rsidR="00FF3D79" w:rsidRDefault="00FF3D79" w:rsidP="00FF3D79">
      <w:pPr>
        <w:spacing w:after="0" w:line="240" w:lineRule="auto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</w:p>
    <w:p w14:paraId="0B09BC0D" w14:textId="3A28A2DE" w:rsidR="00FF3D79" w:rsidRDefault="004D5F79" w:rsidP="00FF3D79">
      <w:pPr>
        <w:spacing w:after="0" w:line="240" w:lineRule="auto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4D5F79">
        <w:rPr>
          <w:rFonts w:ascii="Arial" w:hAnsi="Arial" w:cs="Arial"/>
          <w:b/>
          <w:bCs/>
          <w:iCs/>
          <w:smallCaps/>
          <w:noProof/>
          <w:color w:val="000000" w:themeColor="text1"/>
        </w:rPr>
        <w:drawing>
          <wp:inline distT="0" distB="0" distL="0" distR="0" wp14:anchorId="43FCF68A" wp14:editId="6D1865D5">
            <wp:extent cx="6404610" cy="2434856"/>
            <wp:effectExtent l="0" t="0" r="0" b="3810"/>
            <wp:docPr id="138" name="Gráfico 138">
              <a:extLst xmlns:a="http://schemas.openxmlformats.org/drawingml/2006/main">
                <a:ext uri="{FF2B5EF4-FFF2-40B4-BE49-F238E27FC236}">
                  <a16:creationId xmlns:a16="http://schemas.microsoft.com/office/drawing/2014/main" id="{A40A6005-3F7B-89B4-B096-62360A267B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3C080E5A" w14:textId="1C1B72D5" w:rsidR="00FF3D79" w:rsidRDefault="00FF3D79" w:rsidP="00FF3D79">
      <w:pPr>
        <w:spacing w:after="0" w:line="240" w:lineRule="auto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</w:p>
    <w:p w14:paraId="4A9C6E15" w14:textId="77777777" w:rsidR="004F6DE7" w:rsidRPr="000055EE" w:rsidRDefault="004F6DE7" w:rsidP="004F6DE7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0055EE">
        <w:rPr>
          <w:rFonts w:ascii="Arial" w:eastAsia="Times New Roman" w:hAnsi="Arial" w:cs="Arial"/>
          <w:sz w:val="16"/>
          <w:szCs w:val="16"/>
        </w:rPr>
        <w:t>Nota:</w:t>
      </w:r>
      <w:r>
        <w:rPr>
          <w:rFonts w:ascii="Arial" w:eastAsia="Times New Roman" w:hAnsi="Arial" w:cs="Arial"/>
          <w:sz w:val="16"/>
          <w:szCs w:val="16"/>
        </w:rPr>
        <w:t xml:space="preserve"> </w:t>
      </w:r>
      <w:r w:rsidRPr="0081548A">
        <w:rPr>
          <w:rFonts w:ascii="Arial" w:hAnsi="Arial" w:cs="Arial"/>
          <w:sz w:val="16"/>
          <w:szCs w:val="16"/>
        </w:rPr>
        <w:t>Incluye todas las modalidades de robo.</w:t>
      </w:r>
      <w:r w:rsidRPr="000055EE">
        <w:rPr>
          <w:rFonts w:ascii="Arial" w:eastAsia="Times New Roman" w:hAnsi="Arial" w:cs="Arial"/>
          <w:sz w:val="16"/>
          <w:szCs w:val="16"/>
        </w:rPr>
        <w:t xml:space="preserve"> Incluye Sistema Tradicional y Sistema Penal Acusatorio (juzgados de control o garantías).</w:t>
      </w:r>
    </w:p>
    <w:p w14:paraId="64110A93" w14:textId="7CCFA841" w:rsidR="00FF3D79" w:rsidRDefault="00FF3D79" w:rsidP="00FF3D79">
      <w:pPr>
        <w:spacing w:after="0" w:line="240" w:lineRule="auto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</w:p>
    <w:p w14:paraId="5383F5B8" w14:textId="20BE685D" w:rsidR="00D57627" w:rsidRPr="002570E4" w:rsidRDefault="003C04E9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 Negrita" w:hAnsi="Arial Negrita" w:cs="Arial"/>
          <w:b/>
          <w:bCs/>
          <w:sz w:val="24"/>
          <w:szCs w:val="24"/>
        </w:rPr>
      </w:pPr>
      <w:r w:rsidRPr="002570E4">
        <w:rPr>
          <w:rFonts w:ascii="Arial Negrita" w:hAnsi="Arial Negrita" w:cs="Arial"/>
          <w:b/>
          <w:bCs/>
          <w:sz w:val="24"/>
          <w:szCs w:val="24"/>
        </w:rPr>
        <w:lastRenderedPageBreak/>
        <w:t>Personas procesadas y/</w:t>
      </w:r>
      <w:r w:rsidR="003611A8" w:rsidRPr="002570E4">
        <w:rPr>
          <w:rFonts w:ascii="Arial Negrita" w:hAnsi="Arial Negrita" w:cs="Arial"/>
          <w:b/>
          <w:bCs/>
          <w:sz w:val="24"/>
          <w:szCs w:val="24"/>
        </w:rPr>
        <w:t xml:space="preserve"> </w:t>
      </w:r>
      <w:r w:rsidRPr="002570E4">
        <w:rPr>
          <w:rFonts w:ascii="Arial Negrita" w:hAnsi="Arial Negrita" w:cs="Arial"/>
          <w:b/>
          <w:bCs/>
          <w:sz w:val="24"/>
          <w:szCs w:val="24"/>
        </w:rPr>
        <w:t>o imputadas</w:t>
      </w:r>
    </w:p>
    <w:p w14:paraId="6DF351CB" w14:textId="77777777" w:rsidR="00AB3377" w:rsidRDefault="00AB3377" w:rsidP="00140A10">
      <w:pPr>
        <w:pStyle w:val="Prrafodelista"/>
        <w:spacing w:after="0" w:line="240" w:lineRule="auto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5D8570BD" w14:textId="66045776" w:rsidR="00D57627" w:rsidRDefault="00D57627">
      <w:pPr>
        <w:spacing w:after="0" w:line="240" w:lineRule="auto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6C564B7C" w14:textId="246B3A63" w:rsidR="005D617A" w:rsidRDefault="00A7571C" w:rsidP="00A7571C">
      <w:pPr>
        <w:pStyle w:val="Default"/>
        <w:ind w:right="284"/>
        <w:jc w:val="both"/>
        <w:rPr>
          <w:iCs/>
          <w:noProof/>
          <w:color w:val="auto"/>
          <w:lang w:eastAsia="es-MX"/>
        </w:rPr>
      </w:pPr>
      <w:r w:rsidRPr="00A7571C">
        <w:rPr>
          <w:iCs/>
          <w:noProof/>
          <w:color w:val="auto"/>
          <w:lang w:eastAsia="es-MX"/>
        </w:rPr>
        <w:t>Durante 2021, en las causas penales ingresadas se registraron 269 311 personas procesadas y/</w:t>
      </w:r>
      <w:r w:rsidR="00AF70AA">
        <w:rPr>
          <w:iCs/>
          <w:noProof/>
          <w:color w:val="auto"/>
          <w:lang w:eastAsia="es-MX"/>
        </w:rPr>
        <w:t xml:space="preserve"> </w:t>
      </w:r>
      <w:r w:rsidRPr="00A7571C">
        <w:rPr>
          <w:iCs/>
          <w:noProof/>
          <w:color w:val="auto"/>
          <w:lang w:eastAsia="es-MX"/>
        </w:rPr>
        <w:t>o imputadas</w:t>
      </w:r>
      <w:r w:rsidR="00AF70AA">
        <w:rPr>
          <w:iCs/>
          <w:noProof/>
          <w:color w:val="auto"/>
          <w:lang w:eastAsia="es-MX"/>
        </w:rPr>
        <w:t xml:space="preserve">. De estas, las mujeres </w:t>
      </w:r>
      <w:r w:rsidRPr="00A7571C">
        <w:rPr>
          <w:iCs/>
          <w:noProof/>
          <w:color w:val="auto"/>
          <w:lang w:eastAsia="es-MX"/>
        </w:rPr>
        <w:t xml:space="preserve">representaron </w:t>
      </w:r>
      <w:r w:rsidR="00AF70AA" w:rsidRPr="00A7571C">
        <w:rPr>
          <w:iCs/>
          <w:noProof/>
          <w:color w:val="auto"/>
          <w:lang w:eastAsia="es-MX"/>
        </w:rPr>
        <w:t>10.5 %</w:t>
      </w:r>
      <w:r w:rsidR="00AF70AA">
        <w:rPr>
          <w:iCs/>
          <w:noProof/>
          <w:color w:val="auto"/>
          <w:lang w:eastAsia="es-MX"/>
        </w:rPr>
        <w:t xml:space="preserve"> y los hombres,</w:t>
      </w:r>
      <w:r w:rsidR="00AF70AA" w:rsidRPr="00A7571C">
        <w:rPr>
          <w:iCs/>
          <w:noProof/>
          <w:color w:val="auto"/>
          <w:lang w:eastAsia="es-MX"/>
        </w:rPr>
        <w:t xml:space="preserve"> </w:t>
      </w:r>
      <w:r w:rsidRPr="00A7571C">
        <w:rPr>
          <w:iCs/>
          <w:noProof/>
          <w:color w:val="auto"/>
          <w:lang w:eastAsia="es-MX"/>
        </w:rPr>
        <w:t xml:space="preserve">79.3 </w:t>
      </w:r>
      <w:r w:rsidR="00AF70AA">
        <w:rPr>
          <w:iCs/>
          <w:noProof/>
          <w:color w:val="auto"/>
          <w:lang w:eastAsia="es-MX"/>
        </w:rPr>
        <w:t xml:space="preserve">por ciento. En </w:t>
      </w:r>
      <w:r w:rsidRPr="00A7571C">
        <w:rPr>
          <w:iCs/>
          <w:noProof/>
          <w:color w:val="auto"/>
          <w:lang w:eastAsia="es-MX"/>
        </w:rPr>
        <w:t>10.2 %</w:t>
      </w:r>
      <w:r w:rsidR="00AF70AA">
        <w:rPr>
          <w:iCs/>
          <w:noProof/>
          <w:color w:val="auto"/>
          <w:lang w:eastAsia="es-MX"/>
        </w:rPr>
        <w:t xml:space="preserve"> de los casos no se especificó el sexo. </w:t>
      </w:r>
      <w:r w:rsidRPr="00A7571C">
        <w:rPr>
          <w:iCs/>
          <w:noProof/>
          <w:color w:val="auto"/>
          <w:lang w:eastAsia="es-MX"/>
        </w:rPr>
        <w:t>Del total de personas procesadas y/</w:t>
      </w:r>
      <w:r w:rsidR="00AF70AA">
        <w:rPr>
          <w:iCs/>
          <w:noProof/>
          <w:color w:val="auto"/>
          <w:lang w:eastAsia="es-MX"/>
        </w:rPr>
        <w:t xml:space="preserve"> </w:t>
      </w:r>
      <w:r w:rsidRPr="00A7571C">
        <w:rPr>
          <w:iCs/>
          <w:noProof/>
          <w:color w:val="auto"/>
          <w:lang w:eastAsia="es-MX"/>
        </w:rPr>
        <w:t xml:space="preserve">o imputadas, 97.8 % </w:t>
      </w:r>
      <w:r w:rsidR="0094707A">
        <w:rPr>
          <w:iCs/>
          <w:noProof/>
          <w:color w:val="auto"/>
          <w:lang w:eastAsia="es-MX"/>
        </w:rPr>
        <w:t xml:space="preserve">correspondió a </w:t>
      </w:r>
      <w:r w:rsidRPr="00A7571C">
        <w:rPr>
          <w:iCs/>
          <w:noProof/>
          <w:color w:val="auto"/>
          <w:lang w:eastAsia="es-MX"/>
        </w:rPr>
        <w:t>adult</w:t>
      </w:r>
      <w:r w:rsidR="00AF70AA">
        <w:rPr>
          <w:iCs/>
          <w:noProof/>
          <w:color w:val="auto"/>
          <w:lang w:eastAsia="es-MX"/>
        </w:rPr>
        <w:t>a</w:t>
      </w:r>
      <w:r w:rsidRPr="00A7571C">
        <w:rPr>
          <w:iCs/>
          <w:noProof/>
          <w:color w:val="auto"/>
          <w:lang w:eastAsia="es-MX"/>
        </w:rPr>
        <w:t>s y 2.2 %</w:t>
      </w:r>
      <w:r w:rsidR="00AF70AA">
        <w:rPr>
          <w:iCs/>
          <w:noProof/>
          <w:color w:val="auto"/>
          <w:lang w:eastAsia="es-MX"/>
        </w:rPr>
        <w:t>,</w:t>
      </w:r>
      <w:r w:rsidRPr="00A7571C">
        <w:rPr>
          <w:iCs/>
          <w:noProof/>
          <w:color w:val="auto"/>
          <w:lang w:eastAsia="es-MX"/>
        </w:rPr>
        <w:t xml:space="preserve"> </w:t>
      </w:r>
      <w:r w:rsidR="0094707A">
        <w:rPr>
          <w:iCs/>
          <w:noProof/>
          <w:color w:val="auto"/>
          <w:lang w:eastAsia="es-MX"/>
        </w:rPr>
        <w:t xml:space="preserve">a </w:t>
      </w:r>
      <w:r w:rsidRPr="00A7571C">
        <w:rPr>
          <w:iCs/>
          <w:noProof/>
          <w:color w:val="auto"/>
          <w:lang w:eastAsia="es-MX"/>
        </w:rPr>
        <w:t xml:space="preserve">adolescentes. </w:t>
      </w:r>
      <w:r w:rsidR="009A000F">
        <w:rPr>
          <w:iCs/>
          <w:noProof/>
          <w:color w:val="auto"/>
          <w:lang w:eastAsia="es-MX"/>
        </w:rPr>
        <w:t>Comparado con</w:t>
      </w:r>
      <w:r w:rsidR="009A000F" w:rsidRPr="00A7571C">
        <w:rPr>
          <w:iCs/>
          <w:noProof/>
          <w:color w:val="auto"/>
          <w:lang w:eastAsia="es-MX"/>
        </w:rPr>
        <w:t xml:space="preserve"> </w:t>
      </w:r>
      <w:r w:rsidRPr="00A7571C">
        <w:rPr>
          <w:iCs/>
          <w:noProof/>
          <w:color w:val="auto"/>
          <w:lang w:eastAsia="es-MX"/>
        </w:rPr>
        <w:t>2020,</w:t>
      </w:r>
      <w:r w:rsidR="00AF70AA">
        <w:rPr>
          <w:iCs/>
          <w:noProof/>
          <w:color w:val="auto"/>
          <w:lang w:eastAsia="es-MX"/>
        </w:rPr>
        <w:t xml:space="preserve"> el porcentaje de </w:t>
      </w:r>
      <w:r w:rsidR="00AF70AA" w:rsidRPr="00A7571C">
        <w:rPr>
          <w:iCs/>
          <w:noProof/>
          <w:color w:val="auto"/>
          <w:lang w:eastAsia="es-MX"/>
        </w:rPr>
        <w:t>mujeres</w:t>
      </w:r>
      <w:r w:rsidRPr="00A7571C">
        <w:rPr>
          <w:iCs/>
          <w:noProof/>
          <w:color w:val="auto"/>
          <w:lang w:eastAsia="es-MX"/>
        </w:rPr>
        <w:t xml:space="preserve"> aument</w:t>
      </w:r>
      <w:r w:rsidR="00AF70AA">
        <w:rPr>
          <w:iCs/>
          <w:noProof/>
          <w:color w:val="auto"/>
          <w:lang w:eastAsia="es-MX"/>
        </w:rPr>
        <w:t>ó</w:t>
      </w:r>
      <w:r w:rsidRPr="00A7571C">
        <w:rPr>
          <w:iCs/>
          <w:noProof/>
          <w:color w:val="auto"/>
          <w:lang w:eastAsia="es-MX"/>
        </w:rPr>
        <w:t xml:space="preserve"> </w:t>
      </w:r>
      <w:r w:rsidR="00AF70AA" w:rsidRPr="00A7571C">
        <w:rPr>
          <w:iCs/>
          <w:noProof/>
          <w:color w:val="auto"/>
          <w:lang w:eastAsia="es-MX"/>
        </w:rPr>
        <w:t>37.9 %</w:t>
      </w:r>
      <w:r w:rsidR="00AF70AA">
        <w:rPr>
          <w:iCs/>
          <w:noProof/>
          <w:color w:val="auto"/>
          <w:lang w:eastAsia="es-MX"/>
        </w:rPr>
        <w:t xml:space="preserve"> y el de hombres, </w:t>
      </w:r>
      <w:r w:rsidRPr="00A7571C">
        <w:rPr>
          <w:iCs/>
          <w:noProof/>
          <w:color w:val="auto"/>
          <w:lang w:eastAsia="es-MX"/>
        </w:rPr>
        <w:t>24.3 %</w:t>
      </w:r>
      <w:r w:rsidR="00AF70AA" w:rsidRPr="00AF70AA">
        <w:rPr>
          <w:iCs/>
          <w:noProof/>
          <w:color w:val="auto"/>
          <w:lang w:eastAsia="es-MX"/>
        </w:rPr>
        <w:t xml:space="preserve"> </w:t>
      </w:r>
      <w:r w:rsidRPr="00A7571C">
        <w:rPr>
          <w:iCs/>
          <w:noProof/>
          <w:color w:val="auto"/>
          <w:lang w:eastAsia="es-MX"/>
        </w:rPr>
        <w:t>en 2021.</w:t>
      </w:r>
    </w:p>
    <w:p w14:paraId="4EE7D419" w14:textId="77777777" w:rsidR="00AB3377" w:rsidRDefault="00AB3377" w:rsidP="00A7571C">
      <w:pPr>
        <w:pStyle w:val="Default"/>
        <w:ind w:right="284"/>
        <w:jc w:val="both"/>
        <w:rPr>
          <w:bCs/>
          <w:iCs/>
          <w:color w:val="000000" w:themeColor="text1"/>
          <w:sz w:val="20"/>
          <w:szCs w:val="20"/>
        </w:rPr>
      </w:pPr>
    </w:p>
    <w:p w14:paraId="733F700F" w14:textId="77777777" w:rsidR="00A7571C" w:rsidRDefault="00A7571C" w:rsidP="007E7A49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34822133" w14:textId="3FF5853D" w:rsidR="00A9170D" w:rsidRPr="00963A3F" w:rsidRDefault="00A9170D" w:rsidP="007E7A49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F53C86">
        <w:rPr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2</w:t>
      </w:r>
      <w:r w:rsidR="008E34A3">
        <w:rPr>
          <w:bCs/>
          <w:iCs/>
          <w:color w:val="000000" w:themeColor="text1"/>
          <w:sz w:val="20"/>
          <w:szCs w:val="20"/>
        </w:rPr>
        <w:t>5</w:t>
      </w:r>
    </w:p>
    <w:p w14:paraId="663656C8" w14:textId="77777777" w:rsidR="00E96AB7" w:rsidRPr="00E96AB7" w:rsidRDefault="00E96AB7" w:rsidP="00E96AB7">
      <w:pPr>
        <w:spacing w:after="0" w:line="240" w:lineRule="auto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E96AB7">
        <w:rPr>
          <w:rFonts w:ascii="Arial" w:hAnsi="Arial" w:cs="Arial"/>
          <w:b/>
          <w:bCs/>
          <w:iCs/>
          <w:smallCaps/>
          <w:color w:val="000000" w:themeColor="text1"/>
        </w:rPr>
        <w:t xml:space="preserve">Personas procesadas y/o imputadas registradas en las causas penales ingresadas (adultos </w:t>
      </w:r>
    </w:p>
    <w:p w14:paraId="6399670F" w14:textId="4DAC2B3F" w:rsidR="00A9170D" w:rsidRDefault="00E96AB7" w:rsidP="00E96AB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96AB7">
        <w:rPr>
          <w:rFonts w:ascii="Arial" w:hAnsi="Arial" w:cs="Arial"/>
          <w:b/>
          <w:bCs/>
          <w:iCs/>
          <w:smallCaps/>
          <w:color w:val="000000" w:themeColor="text1"/>
        </w:rPr>
        <w:t>y adolescentes), según sexo y tipo de sistema</w:t>
      </w:r>
    </w:p>
    <w:p w14:paraId="6697780E" w14:textId="2EC095A8" w:rsidR="00541644" w:rsidRDefault="00541644" w:rsidP="00CA6D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D3A07F4" w14:textId="77777777" w:rsidR="00AB3377" w:rsidRDefault="00AB3377" w:rsidP="00CA6D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A121846" w14:textId="16F8C60D" w:rsidR="00CE4BCF" w:rsidRDefault="00E96AB7" w:rsidP="00A917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96AB7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60D2A44E" wp14:editId="12DDC84E">
            <wp:extent cx="6404610" cy="2434856"/>
            <wp:effectExtent l="0" t="0" r="0" b="3810"/>
            <wp:docPr id="139" name="Gráfico 139">
              <a:extLst xmlns:a="http://schemas.openxmlformats.org/drawingml/2006/main">
                <a:ext uri="{FF2B5EF4-FFF2-40B4-BE49-F238E27FC236}">
                  <a16:creationId xmlns:a16="http://schemas.microsoft.com/office/drawing/2014/main" id="{FFEFC643-23B1-085B-D557-AF6334F576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1CD2F6E1" w14:textId="77777777" w:rsidR="005D7679" w:rsidRDefault="005D7679" w:rsidP="005D7679">
      <w:pPr>
        <w:pStyle w:val="Default"/>
        <w:jc w:val="both"/>
        <w:rPr>
          <w:color w:val="auto"/>
          <w:sz w:val="16"/>
          <w:szCs w:val="16"/>
        </w:rPr>
      </w:pPr>
    </w:p>
    <w:p w14:paraId="4AE6EB36" w14:textId="77777777" w:rsidR="005D7679" w:rsidRDefault="005D7679" w:rsidP="005D7679">
      <w:pPr>
        <w:pStyle w:val="Default"/>
        <w:jc w:val="both"/>
        <w:rPr>
          <w:color w:val="auto"/>
          <w:sz w:val="16"/>
          <w:szCs w:val="16"/>
        </w:rPr>
      </w:pPr>
    </w:p>
    <w:p w14:paraId="2E25007A" w14:textId="77777777" w:rsidR="005D7679" w:rsidRDefault="005D7679" w:rsidP="005D7679">
      <w:pPr>
        <w:pStyle w:val="Default"/>
        <w:jc w:val="both"/>
        <w:rPr>
          <w:color w:val="auto"/>
          <w:sz w:val="16"/>
          <w:szCs w:val="16"/>
        </w:rPr>
      </w:pPr>
    </w:p>
    <w:p w14:paraId="2224BC02" w14:textId="40ABBBBC" w:rsidR="00A9170D" w:rsidRDefault="00A9170D" w:rsidP="005D7679">
      <w:pPr>
        <w:pStyle w:val="Default"/>
        <w:ind w:right="21"/>
        <w:jc w:val="both"/>
        <w:rPr>
          <w:color w:val="auto"/>
          <w:sz w:val="16"/>
          <w:szCs w:val="16"/>
        </w:rPr>
      </w:pPr>
      <w:r w:rsidRPr="00A9170D">
        <w:rPr>
          <w:color w:val="auto"/>
          <w:sz w:val="16"/>
          <w:szCs w:val="16"/>
        </w:rPr>
        <w:t xml:space="preserve">Nota: </w:t>
      </w:r>
      <w:r w:rsidR="005D7679" w:rsidRPr="005D7679">
        <w:rPr>
          <w:color w:val="auto"/>
          <w:sz w:val="16"/>
          <w:szCs w:val="16"/>
        </w:rPr>
        <w:t>La distribución incluye información de las personas procesadas y/</w:t>
      </w:r>
      <w:r w:rsidR="0043057F">
        <w:rPr>
          <w:color w:val="auto"/>
          <w:sz w:val="16"/>
          <w:szCs w:val="16"/>
        </w:rPr>
        <w:t xml:space="preserve"> </w:t>
      </w:r>
      <w:r w:rsidR="005D7679" w:rsidRPr="005D7679">
        <w:rPr>
          <w:color w:val="auto"/>
          <w:sz w:val="16"/>
          <w:szCs w:val="16"/>
        </w:rPr>
        <w:t xml:space="preserve">o imputadas </w:t>
      </w:r>
      <w:r w:rsidR="0094707A">
        <w:rPr>
          <w:color w:val="auto"/>
          <w:sz w:val="16"/>
          <w:szCs w:val="16"/>
        </w:rPr>
        <w:t xml:space="preserve">para </w:t>
      </w:r>
      <w:r w:rsidR="0043057F">
        <w:rPr>
          <w:color w:val="auto"/>
          <w:sz w:val="16"/>
          <w:szCs w:val="16"/>
        </w:rPr>
        <w:t xml:space="preserve">quienes </w:t>
      </w:r>
      <w:r w:rsidR="005D7679" w:rsidRPr="005D7679">
        <w:rPr>
          <w:color w:val="auto"/>
          <w:sz w:val="16"/>
          <w:szCs w:val="16"/>
        </w:rPr>
        <w:t>fue posible identificar el sexo (171 909 para 2020 y 213 660 para 2021).</w:t>
      </w:r>
      <w:r w:rsidR="005D7679">
        <w:rPr>
          <w:color w:val="auto"/>
          <w:sz w:val="16"/>
          <w:szCs w:val="16"/>
        </w:rPr>
        <w:t xml:space="preserve"> </w:t>
      </w:r>
      <w:r w:rsidR="005D7679" w:rsidRPr="005D7679">
        <w:rPr>
          <w:color w:val="auto"/>
          <w:sz w:val="16"/>
          <w:szCs w:val="16"/>
        </w:rPr>
        <w:t>En los sistemas Penal Acusatorio e Integral de Justicia Penal para Adolescentes únicamente se incluyen los juzgados de control o garantías.</w:t>
      </w:r>
    </w:p>
    <w:p w14:paraId="738FAAFC" w14:textId="264FDEC7" w:rsidR="006F29EB" w:rsidRDefault="006F29EB" w:rsidP="00A9170D">
      <w:pPr>
        <w:pStyle w:val="Default"/>
        <w:jc w:val="both"/>
        <w:rPr>
          <w:color w:val="auto"/>
        </w:rPr>
      </w:pPr>
    </w:p>
    <w:p w14:paraId="6122488A" w14:textId="7B45C493" w:rsidR="00AB3377" w:rsidRDefault="00AB3377" w:rsidP="00A9170D">
      <w:pPr>
        <w:pStyle w:val="Default"/>
        <w:jc w:val="both"/>
        <w:rPr>
          <w:color w:val="auto"/>
        </w:rPr>
      </w:pPr>
    </w:p>
    <w:p w14:paraId="3E933191" w14:textId="2FE14C63" w:rsidR="00AB3377" w:rsidRDefault="00AB3377" w:rsidP="00A9170D">
      <w:pPr>
        <w:pStyle w:val="Default"/>
        <w:jc w:val="both"/>
        <w:rPr>
          <w:color w:val="auto"/>
        </w:rPr>
      </w:pPr>
    </w:p>
    <w:p w14:paraId="713C3B18" w14:textId="2EB3EC59" w:rsidR="00AB3377" w:rsidRDefault="00AB3377" w:rsidP="00A9170D">
      <w:pPr>
        <w:pStyle w:val="Default"/>
        <w:jc w:val="both"/>
        <w:rPr>
          <w:color w:val="auto"/>
        </w:rPr>
      </w:pPr>
    </w:p>
    <w:p w14:paraId="477EEA13" w14:textId="6AE6A946" w:rsidR="00AB3377" w:rsidRDefault="00AB3377" w:rsidP="00A9170D">
      <w:pPr>
        <w:pStyle w:val="Default"/>
        <w:jc w:val="both"/>
        <w:rPr>
          <w:color w:val="auto"/>
        </w:rPr>
      </w:pPr>
    </w:p>
    <w:p w14:paraId="2DF8E27C" w14:textId="401572DB" w:rsidR="00AB3377" w:rsidRDefault="00AB3377" w:rsidP="00A9170D">
      <w:pPr>
        <w:pStyle w:val="Default"/>
        <w:jc w:val="both"/>
        <w:rPr>
          <w:color w:val="auto"/>
        </w:rPr>
      </w:pPr>
    </w:p>
    <w:p w14:paraId="11E42429" w14:textId="784C023F" w:rsidR="00AB3377" w:rsidRDefault="00AB3377" w:rsidP="00A9170D">
      <w:pPr>
        <w:pStyle w:val="Default"/>
        <w:jc w:val="both"/>
        <w:rPr>
          <w:color w:val="auto"/>
        </w:rPr>
      </w:pPr>
    </w:p>
    <w:p w14:paraId="16FF246C" w14:textId="55250EB0" w:rsidR="00AB3377" w:rsidRDefault="00AB3377" w:rsidP="00A9170D">
      <w:pPr>
        <w:pStyle w:val="Default"/>
        <w:jc w:val="both"/>
        <w:rPr>
          <w:color w:val="auto"/>
        </w:rPr>
      </w:pPr>
    </w:p>
    <w:p w14:paraId="09B14C69" w14:textId="71CCFCC8" w:rsidR="00AB3377" w:rsidRDefault="00AB3377" w:rsidP="00A9170D">
      <w:pPr>
        <w:pStyle w:val="Default"/>
        <w:jc w:val="both"/>
        <w:rPr>
          <w:color w:val="auto"/>
        </w:rPr>
      </w:pPr>
    </w:p>
    <w:p w14:paraId="600A7E0A" w14:textId="0D92295E" w:rsidR="00AB3377" w:rsidRDefault="00AB3377" w:rsidP="00A9170D">
      <w:pPr>
        <w:pStyle w:val="Default"/>
        <w:jc w:val="both"/>
        <w:rPr>
          <w:color w:val="auto"/>
        </w:rPr>
      </w:pPr>
    </w:p>
    <w:p w14:paraId="3B49A58F" w14:textId="13613173" w:rsidR="00AB3377" w:rsidRDefault="00AB3377" w:rsidP="00A9170D">
      <w:pPr>
        <w:pStyle w:val="Default"/>
        <w:jc w:val="both"/>
        <w:rPr>
          <w:color w:val="auto"/>
        </w:rPr>
      </w:pPr>
    </w:p>
    <w:p w14:paraId="12B2BBBB" w14:textId="6DD8BC30" w:rsidR="00AB3377" w:rsidRDefault="00AB3377" w:rsidP="00A9170D">
      <w:pPr>
        <w:pStyle w:val="Default"/>
        <w:jc w:val="both"/>
        <w:rPr>
          <w:color w:val="auto"/>
        </w:rPr>
      </w:pPr>
    </w:p>
    <w:p w14:paraId="2EB873AD" w14:textId="753A7F99" w:rsidR="00AB3377" w:rsidRDefault="00AB3377" w:rsidP="00A9170D">
      <w:pPr>
        <w:pStyle w:val="Default"/>
        <w:jc w:val="both"/>
        <w:rPr>
          <w:color w:val="auto"/>
        </w:rPr>
      </w:pPr>
    </w:p>
    <w:p w14:paraId="603E02EC" w14:textId="77777777" w:rsidR="00AB3377" w:rsidRPr="00A9170D" w:rsidRDefault="00AB3377" w:rsidP="00A9170D">
      <w:pPr>
        <w:pStyle w:val="Default"/>
        <w:jc w:val="both"/>
        <w:rPr>
          <w:color w:val="auto"/>
        </w:rPr>
      </w:pPr>
    </w:p>
    <w:p w14:paraId="1A54A6AE" w14:textId="77777777" w:rsidR="00F93F1C" w:rsidRDefault="00F93F1C">
      <w:pPr>
        <w:pStyle w:val="Default"/>
        <w:jc w:val="both"/>
        <w:rPr>
          <w:iCs/>
          <w:noProof/>
          <w:lang w:eastAsia="es-MX"/>
        </w:rPr>
      </w:pPr>
    </w:p>
    <w:p w14:paraId="1C794F59" w14:textId="5F6344FD" w:rsidR="00A9170D" w:rsidRPr="00756B55" w:rsidRDefault="009B3280">
      <w:pPr>
        <w:pStyle w:val="Default"/>
        <w:jc w:val="both"/>
        <w:rPr>
          <w:b/>
          <w:bCs/>
          <w:i/>
          <w:iCs/>
          <w:color w:val="706F6F"/>
          <w:sz w:val="18"/>
        </w:rPr>
      </w:pPr>
      <w:r>
        <w:rPr>
          <w:iCs/>
          <w:noProof/>
          <w:lang w:eastAsia="es-MX"/>
        </w:rPr>
        <w:lastRenderedPageBreak/>
        <w:t>En el mismo periodo</w:t>
      </w:r>
      <w:r w:rsidRPr="009B3280">
        <w:rPr>
          <w:iCs/>
          <w:noProof/>
          <w:lang w:eastAsia="es-MX"/>
        </w:rPr>
        <w:t>, a 95 696 personas imputadas registradas en las causas penales ingresadas a los juzgados de control o garantías se les realizó el control de la legalidad de la detención</w:t>
      </w:r>
      <w:r w:rsidR="0043057F">
        <w:rPr>
          <w:iCs/>
          <w:noProof/>
          <w:lang w:eastAsia="es-MX"/>
        </w:rPr>
        <w:t xml:space="preserve">. De estas, </w:t>
      </w:r>
      <w:r w:rsidRPr="009B3280">
        <w:rPr>
          <w:iCs/>
          <w:noProof/>
          <w:lang w:eastAsia="es-MX"/>
        </w:rPr>
        <w:t xml:space="preserve">98.4 % </w:t>
      </w:r>
      <w:r w:rsidR="0043057F">
        <w:rPr>
          <w:iCs/>
          <w:noProof/>
          <w:lang w:eastAsia="es-MX"/>
        </w:rPr>
        <w:t xml:space="preserve">correspondió a personas adultas </w:t>
      </w:r>
      <w:r w:rsidRPr="009B3280">
        <w:rPr>
          <w:iCs/>
          <w:noProof/>
          <w:lang w:eastAsia="es-MX"/>
        </w:rPr>
        <w:t xml:space="preserve">y 1.6 %, </w:t>
      </w:r>
      <w:r w:rsidR="0043057F">
        <w:rPr>
          <w:iCs/>
          <w:noProof/>
          <w:lang w:eastAsia="es-MX"/>
        </w:rPr>
        <w:t xml:space="preserve">a </w:t>
      </w:r>
      <w:r w:rsidRPr="009B3280">
        <w:rPr>
          <w:iCs/>
          <w:noProof/>
          <w:lang w:eastAsia="es-MX"/>
        </w:rPr>
        <w:t>adolescentes. Según la calificación de la detención, para 51.8 %</w:t>
      </w:r>
      <w:r w:rsidR="0043057F">
        <w:rPr>
          <w:iCs/>
          <w:noProof/>
          <w:lang w:eastAsia="es-MX"/>
        </w:rPr>
        <w:t>,</w:t>
      </w:r>
      <w:r w:rsidRPr="009B3280">
        <w:rPr>
          <w:iCs/>
          <w:noProof/>
          <w:lang w:eastAsia="es-MX"/>
        </w:rPr>
        <w:t xml:space="preserve"> esta se ratificó</w:t>
      </w:r>
      <w:r w:rsidR="0043057F">
        <w:rPr>
          <w:iCs/>
          <w:noProof/>
          <w:lang w:eastAsia="es-MX"/>
        </w:rPr>
        <w:t>;</w:t>
      </w:r>
      <w:r w:rsidRPr="009B3280">
        <w:rPr>
          <w:iCs/>
          <w:noProof/>
          <w:lang w:eastAsia="es-MX"/>
        </w:rPr>
        <w:t xml:space="preserve"> a 4.4 % se le dictó orden de libertad y para 43.8 % no se identificó el tipo de calificación.</w:t>
      </w:r>
      <w:r w:rsidR="00A9170D" w:rsidRPr="00756B55">
        <w:rPr>
          <w:iCs/>
          <w:noProof/>
          <w:lang w:eastAsia="es-MX"/>
        </w:rPr>
        <w:t xml:space="preserve"> </w:t>
      </w:r>
    </w:p>
    <w:p w14:paraId="043CFB8C" w14:textId="3C8B25EC" w:rsidR="00A9170D" w:rsidRDefault="00A917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9DAB81B" w14:textId="29B676DF" w:rsidR="00C46C9C" w:rsidRPr="00963A3F" w:rsidRDefault="009B3280" w:rsidP="007E7A49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  <w:r>
        <w:rPr>
          <w:bCs/>
          <w:iCs/>
          <w:color w:val="000000" w:themeColor="text1"/>
          <w:sz w:val="20"/>
          <w:szCs w:val="20"/>
        </w:rPr>
        <w:t>Tabla 5</w:t>
      </w:r>
    </w:p>
    <w:p w14:paraId="46D5B15C" w14:textId="7C958072" w:rsidR="00C46C9C" w:rsidRDefault="00AB33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B3377">
        <w:rPr>
          <w:rFonts w:ascii="Arial" w:hAnsi="Arial" w:cs="Arial"/>
          <w:b/>
          <w:bCs/>
          <w:iCs/>
          <w:smallCaps/>
          <w:color w:val="000000" w:themeColor="text1"/>
        </w:rPr>
        <w:t>Calificaciones de la detención registradas en las causas penales (adultos y adolescentes), por entidad federativa y tipo, 2021</w:t>
      </w:r>
    </w:p>
    <w:p w14:paraId="045C843D" w14:textId="7ACC509F" w:rsidR="00C46C9C" w:rsidRDefault="00C46C9C" w:rsidP="00CA6D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7597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01"/>
        <w:gridCol w:w="2154"/>
        <w:gridCol w:w="1871"/>
        <w:gridCol w:w="1871"/>
      </w:tblGrid>
      <w:tr w:rsidR="002206C6" w:rsidRPr="002206C6" w14:paraId="1114E6CF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67705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25158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FFFFFF" w:themeColor="background1"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color w:val="FFFFFF" w:themeColor="background1"/>
                <w:sz w:val="18"/>
                <w:szCs w:val="18"/>
              </w:rPr>
              <w:t>Entidad</w:t>
            </w:r>
          </w:p>
        </w:tc>
        <w:tc>
          <w:tcPr>
            <w:tcW w:w="2154" w:type="dxa"/>
            <w:shd w:val="clear" w:color="auto" w:fill="67705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76580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FFFFFF" w:themeColor="background1"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color w:val="FFFFFF" w:themeColor="background1"/>
                <w:sz w:val="18"/>
                <w:szCs w:val="18"/>
              </w:rPr>
              <w:t>Ratificación de la detención</w:t>
            </w:r>
          </w:p>
        </w:tc>
        <w:tc>
          <w:tcPr>
            <w:tcW w:w="1871" w:type="dxa"/>
            <w:shd w:val="clear" w:color="auto" w:fill="67705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DB2BF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FFFFFF" w:themeColor="background1"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color w:val="FFFFFF" w:themeColor="background1"/>
                <w:sz w:val="18"/>
                <w:szCs w:val="18"/>
              </w:rPr>
              <w:t>Orden de libertad</w:t>
            </w:r>
          </w:p>
        </w:tc>
        <w:tc>
          <w:tcPr>
            <w:tcW w:w="1871" w:type="dxa"/>
            <w:shd w:val="clear" w:color="auto" w:fill="67705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F1BA8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FFFFFF" w:themeColor="background1"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color w:val="FFFFFF" w:themeColor="background1"/>
                <w:sz w:val="18"/>
                <w:szCs w:val="18"/>
              </w:rPr>
              <w:t>No identificado</w:t>
            </w:r>
          </w:p>
        </w:tc>
      </w:tr>
      <w:tr w:rsidR="002206C6" w:rsidRPr="002206C6" w14:paraId="682FA0AD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E7E6E6" w:themeFill="background2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9E74087" w14:textId="77777777" w:rsidR="002206C6" w:rsidRPr="002206C6" w:rsidRDefault="002206C6" w:rsidP="002206C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NACIONAL</w:t>
            </w:r>
          </w:p>
        </w:tc>
        <w:tc>
          <w:tcPr>
            <w:tcW w:w="2154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3771F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49 579</w:t>
            </w:r>
          </w:p>
        </w:tc>
        <w:tc>
          <w:tcPr>
            <w:tcW w:w="1871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DD8AD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4 211</w:t>
            </w:r>
          </w:p>
        </w:tc>
        <w:tc>
          <w:tcPr>
            <w:tcW w:w="1871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E145A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41 906</w:t>
            </w:r>
          </w:p>
        </w:tc>
      </w:tr>
      <w:tr w:rsidR="002206C6" w:rsidRPr="002206C6" w14:paraId="49CA102A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63400D7" w14:textId="77777777" w:rsidR="002206C6" w:rsidRPr="002206C6" w:rsidRDefault="002206C6" w:rsidP="002206C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AGS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0F27A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2F8E7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393CD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595</w:t>
            </w:r>
          </w:p>
        </w:tc>
      </w:tr>
      <w:tr w:rsidR="002206C6" w:rsidRPr="002206C6" w14:paraId="06A43A89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7DAFC4A" w14:textId="77777777" w:rsidR="002206C6" w:rsidRPr="002206C6" w:rsidRDefault="002206C6" w:rsidP="002206C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BC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D8556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6 463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12802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1 111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A08E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0</w:t>
            </w:r>
          </w:p>
        </w:tc>
      </w:tr>
      <w:tr w:rsidR="002206C6" w:rsidRPr="002206C6" w14:paraId="43CE8786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566502A" w14:textId="77777777" w:rsidR="002206C6" w:rsidRPr="002206C6" w:rsidRDefault="002206C6" w:rsidP="002206C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BCS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E5684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0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9D814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0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32DBD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0</w:t>
            </w:r>
          </w:p>
        </w:tc>
      </w:tr>
      <w:tr w:rsidR="002206C6" w:rsidRPr="002206C6" w14:paraId="2D609AFB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531EDAE" w14:textId="77777777" w:rsidR="002206C6" w:rsidRPr="002206C6" w:rsidRDefault="002206C6" w:rsidP="002206C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COAH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8096C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6 252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E4C93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783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C8329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0</w:t>
            </w:r>
          </w:p>
        </w:tc>
      </w:tr>
      <w:tr w:rsidR="002206C6" w:rsidRPr="002206C6" w14:paraId="09C15966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E2655EA" w14:textId="77777777" w:rsidR="002206C6" w:rsidRPr="002206C6" w:rsidRDefault="002206C6" w:rsidP="002206C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COL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ADDD4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2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CF68A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3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AF4E3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2</w:t>
            </w:r>
          </w:p>
        </w:tc>
      </w:tr>
      <w:tr w:rsidR="002206C6" w:rsidRPr="002206C6" w14:paraId="761C2C4C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98F429E" w14:textId="77777777" w:rsidR="002206C6" w:rsidRPr="002206C6" w:rsidRDefault="002206C6" w:rsidP="002206C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CHIS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B99D0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373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8A86A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20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1BAE9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86</w:t>
            </w:r>
          </w:p>
        </w:tc>
      </w:tr>
      <w:tr w:rsidR="002206C6" w:rsidRPr="002206C6" w14:paraId="13D0016C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1DC4D88" w14:textId="77777777" w:rsidR="002206C6" w:rsidRPr="002206C6" w:rsidRDefault="002206C6" w:rsidP="002206C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CHIH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71FDD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68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E49BD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8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F933A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0</w:t>
            </w:r>
          </w:p>
        </w:tc>
      </w:tr>
      <w:tr w:rsidR="002206C6" w:rsidRPr="002206C6" w14:paraId="17D5CE16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DD34EB2" w14:textId="77777777" w:rsidR="002206C6" w:rsidRPr="002206C6" w:rsidRDefault="002206C6" w:rsidP="002206C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CDMX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EE0ED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19 079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7AAE9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221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452B5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86</w:t>
            </w:r>
          </w:p>
        </w:tc>
      </w:tr>
      <w:tr w:rsidR="002206C6" w:rsidRPr="002206C6" w14:paraId="0D496ED9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04FDDCA" w14:textId="77777777" w:rsidR="002206C6" w:rsidRPr="002206C6" w:rsidRDefault="002206C6" w:rsidP="002206C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DGO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C3FEA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8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CA9F4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0FBD2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4 819</w:t>
            </w:r>
          </w:p>
        </w:tc>
      </w:tr>
      <w:tr w:rsidR="002206C6" w:rsidRPr="002206C6" w14:paraId="4932F762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52E4037" w14:textId="77777777" w:rsidR="002206C6" w:rsidRPr="002206C6" w:rsidRDefault="002206C6" w:rsidP="002206C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GTO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25F76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1 550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517C5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194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DBB9C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3</w:t>
            </w:r>
          </w:p>
        </w:tc>
      </w:tr>
      <w:tr w:rsidR="002206C6" w:rsidRPr="002206C6" w14:paraId="7B059ED1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3494EC8" w14:textId="77777777" w:rsidR="002206C6" w:rsidRPr="002206C6" w:rsidRDefault="002206C6" w:rsidP="002206C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GRO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022E0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237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6CB81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63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A15DD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0</w:t>
            </w:r>
          </w:p>
        </w:tc>
      </w:tr>
      <w:tr w:rsidR="002206C6" w:rsidRPr="002206C6" w14:paraId="16B2B4ED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1AAA878" w14:textId="77777777" w:rsidR="002206C6" w:rsidRPr="002206C6" w:rsidRDefault="002206C6" w:rsidP="002206C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HGO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DD6D7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900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7C860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49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EF5A6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0</w:t>
            </w:r>
          </w:p>
        </w:tc>
      </w:tr>
      <w:tr w:rsidR="002206C6" w:rsidRPr="002206C6" w14:paraId="4140B106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0D3B6D8" w14:textId="77777777" w:rsidR="002206C6" w:rsidRPr="002206C6" w:rsidRDefault="002206C6" w:rsidP="002206C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JAL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A7900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0CA7E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52747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9 976</w:t>
            </w:r>
          </w:p>
        </w:tc>
      </w:tr>
      <w:tr w:rsidR="002206C6" w:rsidRPr="002206C6" w14:paraId="2EE85081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9D41209" w14:textId="77777777" w:rsidR="002206C6" w:rsidRPr="002206C6" w:rsidRDefault="002206C6" w:rsidP="002206C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MICH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4E1D4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422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82D7A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64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56248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5 915</w:t>
            </w:r>
          </w:p>
        </w:tc>
      </w:tr>
      <w:tr w:rsidR="002206C6" w:rsidRPr="002206C6" w14:paraId="14E12C1F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165315E" w14:textId="77777777" w:rsidR="002206C6" w:rsidRPr="002206C6" w:rsidRDefault="002206C6" w:rsidP="002206C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MOR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3A815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1 299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40BA9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733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05105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43</w:t>
            </w:r>
          </w:p>
        </w:tc>
      </w:tr>
      <w:tr w:rsidR="002206C6" w:rsidRPr="002206C6" w14:paraId="087D2BC3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D666C0B" w14:textId="77777777" w:rsidR="002206C6" w:rsidRPr="002206C6" w:rsidRDefault="002206C6" w:rsidP="002206C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NAY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BA01C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644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A4243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13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CFA5B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0</w:t>
            </w:r>
          </w:p>
        </w:tc>
      </w:tr>
      <w:tr w:rsidR="002206C6" w:rsidRPr="002206C6" w14:paraId="224A54D1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5047BE1" w14:textId="77777777" w:rsidR="002206C6" w:rsidRPr="002206C6" w:rsidRDefault="002206C6" w:rsidP="002206C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NL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14EBD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686FF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5B26A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330</w:t>
            </w:r>
          </w:p>
        </w:tc>
      </w:tr>
      <w:tr w:rsidR="002206C6" w:rsidRPr="002206C6" w14:paraId="3B70A909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8A49445" w14:textId="77777777" w:rsidR="002206C6" w:rsidRPr="002206C6" w:rsidRDefault="002206C6" w:rsidP="002206C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OAX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8D356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5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073E5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AD02A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950</w:t>
            </w:r>
          </w:p>
        </w:tc>
      </w:tr>
      <w:tr w:rsidR="002206C6" w:rsidRPr="002206C6" w14:paraId="1162C516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C118693" w14:textId="77777777" w:rsidR="002206C6" w:rsidRPr="002206C6" w:rsidRDefault="002206C6" w:rsidP="002206C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PUE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49A1A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2 581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8DC71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3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DC4C6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3 591</w:t>
            </w:r>
          </w:p>
        </w:tc>
      </w:tr>
      <w:tr w:rsidR="002206C6" w:rsidRPr="002206C6" w14:paraId="73661341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52F98B7" w14:textId="77777777" w:rsidR="002206C6" w:rsidRPr="002206C6" w:rsidRDefault="002206C6" w:rsidP="002206C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QRO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24F0A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14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F1311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B4441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3 195</w:t>
            </w:r>
          </w:p>
        </w:tc>
      </w:tr>
      <w:tr w:rsidR="002206C6" w:rsidRPr="002206C6" w14:paraId="73BEBB61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DFD93CF" w14:textId="77777777" w:rsidR="002206C6" w:rsidRPr="002206C6" w:rsidRDefault="002206C6" w:rsidP="002206C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QROO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C34F4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784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85CCA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265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C9DCE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0</w:t>
            </w:r>
          </w:p>
        </w:tc>
      </w:tr>
      <w:tr w:rsidR="002206C6" w:rsidRPr="002206C6" w14:paraId="5F176452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7276661" w14:textId="77777777" w:rsidR="002206C6" w:rsidRPr="002206C6" w:rsidRDefault="002206C6" w:rsidP="002206C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SLP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F980A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10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89AC3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0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61097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</w:tr>
      <w:tr w:rsidR="002206C6" w:rsidRPr="002206C6" w14:paraId="306035CC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F70741C" w14:textId="77777777" w:rsidR="002206C6" w:rsidRPr="002206C6" w:rsidRDefault="002206C6" w:rsidP="002206C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SIN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3133D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306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5E66D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8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5A037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0</w:t>
            </w:r>
          </w:p>
        </w:tc>
      </w:tr>
      <w:tr w:rsidR="002206C6" w:rsidRPr="002206C6" w14:paraId="4BF07FAC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5FCA873" w14:textId="77777777" w:rsidR="002206C6" w:rsidRPr="002206C6" w:rsidRDefault="002206C6" w:rsidP="002206C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SON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73FB5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5 163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3ED60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87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667FF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10</w:t>
            </w:r>
          </w:p>
        </w:tc>
      </w:tr>
      <w:tr w:rsidR="002206C6" w:rsidRPr="002206C6" w14:paraId="02F67FB7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45EC1BF" w14:textId="77777777" w:rsidR="002206C6" w:rsidRPr="002206C6" w:rsidRDefault="002206C6" w:rsidP="002206C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TAB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BBB8B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12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68056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64FF6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6 377</w:t>
            </w:r>
          </w:p>
        </w:tc>
      </w:tr>
      <w:tr w:rsidR="002206C6" w:rsidRPr="002206C6" w14:paraId="2CD8E178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58E3FF6" w14:textId="77777777" w:rsidR="002206C6" w:rsidRPr="002206C6" w:rsidRDefault="002206C6" w:rsidP="002206C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TAMPS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887D9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19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08B9C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7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8E293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476</w:t>
            </w:r>
          </w:p>
        </w:tc>
      </w:tr>
      <w:tr w:rsidR="002206C6" w:rsidRPr="002206C6" w14:paraId="67FC5BD6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74E77B0" w14:textId="77777777" w:rsidR="002206C6" w:rsidRPr="002206C6" w:rsidRDefault="002206C6" w:rsidP="002206C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TLAX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2632B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0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3465B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0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EF3D1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532</w:t>
            </w:r>
          </w:p>
        </w:tc>
      </w:tr>
      <w:tr w:rsidR="002206C6" w:rsidRPr="002206C6" w14:paraId="415BEAE7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75C0273" w14:textId="77777777" w:rsidR="002206C6" w:rsidRPr="002206C6" w:rsidRDefault="002206C6" w:rsidP="002206C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VER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6CA38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2 890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8BB61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414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96DF3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0</w:t>
            </w:r>
          </w:p>
        </w:tc>
      </w:tr>
      <w:tr w:rsidR="002206C6" w:rsidRPr="002206C6" w14:paraId="35F43274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E4F81C5" w14:textId="77777777" w:rsidR="002206C6" w:rsidRPr="002206C6" w:rsidRDefault="002206C6" w:rsidP="002206C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YUC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26B4F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498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BA291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165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891F5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 0</w:t>
            </w:r>
          </w:p>
        </w:tc>
      </w:tr>
      <w:tr w:rsidR="002206C6" w:rsidRPr="002206C6" w14:paraId="00428617" w14:textId="77777777" w:rsidTr="002206C6">
        <w:trPr>
          <w:trHeight w:val="20"/>
          <w:jc w:val="center"/>
        </w:trPr>
        <w:tc>
          <w:tcPr>
            <w:tcW w:w="1701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4406CCC" w14:textId="77777777" w:rsidR="002206C6" w:rsidRPr="002206C6" w:rsidRDefault="002206C6" w:rsidP="002206C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ZAC</w:t>
            </w:r>
          </w:p>
        </w:tc>
        <w:tc>
          <w:tcPr>
            <w:tcW w:w="21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AB416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B9212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18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FB3D3" w14:textId="77777777" w:rsidR="002206C6" w:rsidRPr="002206C6" w:rsidRDefault="002206C6" w:rsidP="002206C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06C6">
              <w:rPr>
                <w:rFonts w:ascii="Arial" w:hAnsi="Arial" w:cs="Arial"/>
                <w:noProof/>
                <w:sz w:val="18"/>
                <w:szCs w:val="18"/>
              </w:rPr>
              <w:t xml:space="preserve"> 4 920</w:t>
            </w:r>
          </w:p>
        </w:tc>
      </w:tr>
    </w:tbl>
    <w:p w14:paraId="5E316B9D" w14:textId="77777777" w:rsidR="00AB3377" w:rsidRDefault="00AB3377" w:rsidP="00C46C9C">
      <w:pPr>
        <w:spacing w:after="0" w:line="240" w:lineRule="auto"/>
        <w:jc w:val="center"/>
        <w:rPr>
          <w:noProof/>
        </w:rPr>
      </w:pPr>
    </w:p>
    <w:p w14:paraId="232C4927" w14:textId="77777777" w:rsidR="00AB3377" w:rsidRDefault="00AB3377" w:rsidP="00C46C9C">
      <w:pPr>
        <w:spacing w:after="0" w:line="240" w:lineRule="auto"/>
        <w:jc w:val="center"/>
        <w:rPr>
          <w:noProof/>
        </w:rPr>
      </w:pPr>
    </w:p>
    <w:p w14:paraId="7B6FF61B" w14:textId="77777777" w:rsidR="00AB3377" w:rsidRDefault="00AB3377" w:rsidP="00C46C9C">
      <w:pPr>
        <w:spacing w:after="0" w:line="240" w:lineRule="auto"/>
        <w:jc w:val="center"/>
        <w:rPr>
          <w:noProof/>
        </w:rPr>
      </w:pPr>
    </w:p>
    <w:p w14:paraId="149B51B4" w14:textId="10285A15" w:rsidR="00AB3377" w:rsidRPr="00205AE3" w:rsidRDefault="00205AE3" w:rsidP="00205AE3">
      <w:pPr>
        <w:spacing w:after="0" w:line="240" w:lineRule="auto"/>
        <w:jc w:val="both"/>
        <w:rPr>
          <w:rFonts w:ascii="Arial" w:hAnsi="Arial" w:cs="Arial"/>
          <w:noProof/>
          <w:sz w:val="16"/>
          <w:szCs w:val="16"/>
        </w:rPr>
      </w:pPr>
      <w:r w:rsidRPr="00205AE3">
        <w:rPr>
          <w:rFonts w:ascii="Arial" w:hAnsi="Arial" w:cs="Arial"/>
          <w:noProof/>
          <w:sz w:val="16"/>
          <w:szCs w:val="16"/>
        </w:rPr>
        <w:t>(-): No contó con datos o elementos para responder.</w:t>
      </w:r>
    </w:p>
    <w:p w14:paraId="24FBBE85" w14:textId="7D06851C" w:rsidR="00AB3377" w:rsidRPr="00205AE3" w:rsidRDefault="00205AE3" w:rsidP="00205AE3">
      <w:pPr>
        <w:spacing w:after="0" w:line="240" w:lineRule="auto"/>
        <w:jc w:val="both"/>
        <w:rPr>
          <w:rFonts w:ascii="Arial" w:hAnsi="Arial" w:cs="Arial"/>
          <w:noProof/>
          <w:sz w:val="16"/>
          <w:szCs w:val="16"/>
        </w:rPr>
      </w:pPr>
      <w:r w:rsidRPr="00205AE3">
        <w:rPr>
          <w:rFonts w:ascii="Arial" w:hAnsi="Arial" w:cs="Arial"/>
          <w:noProof/>
          <w:sz w:val="16"/>
          <w:szCs w:val="16"/>
        </w:rPr>
        <w:t>Nota: incluye los sistemas Penal Acusatorio e Integral de Justicia Penal para Adolescentes. Los Poderes Judiciales de los estados de Campeche y México no contaron con datos o elementos para responder sobre el tema.</w:t>
      </w:r>
    </w:p>
    <w:p w14:paraId="76E23102" w14:textId="77777777" w:rsidR="00AB3377" w:rsidRDefault="00AB3377" w:rsidP="00C46C9C">
      <w:pPr>
        <w:spacing w:after="0" w:line="240" w:lineRule="auto"/>
        <w:jc w:val="center"/>
        <w:rPr>
          <w:noProof/>
        </w:rPr>
      </w:pPr>
    </w:p>
    <w:p w14:paraId="4A74CF6A" w14:textId="77777777" w:rsidR="00AB3377" w:rsidRDefault="00AB3377" w:rsidP="00C46C9C">
      <w:pPr>
        <w:spacing w:after="0" w:line="240" w:lineRule="auto"/>
        <w:jc w:val="center"/>
        <w:rPr>
          <w:noProof/>
        </w:rPr>
      </w:pPr>
    </w:p>
    <w:p w14:paraId="5E2C81C9" w14:textId="77777777" w:rsidR="00AB3377" w:rsidRDefault="00AB3377" w:rsidP="00C46C9C">
      <w:pPr>
        <w:spacing w:after="0" w:line="240" w:lineRule="auto"/>
        <w:jc w:val="center"/>
        <w:rPr>
          <w:noProof/>
        </w:rPr>
      </w:pPr>
    </w:p>
    <w:p w14:paraId="660767BF" w14:textId="77777777" w:rsidR="00AB3377" w:rsidRDefault="00AB3377" w:rsidP="00C46C9C">
      <w:pPr>
        <w:spacing w:after="0" w:line="240" w:lineRule="auto"/>
        <w:jc w:val="center"/>
        <w:rPr>
          <w:noProof/>
        </w:rPr>
      </w:pPr>
    </w:p>
    <w:p w14:paraId="108F2D5C" w14:textId="77777777" w:rsidR="00AB3377" w:rsidRDefault="00AB3377" w:rsidP="00C46C9C">
      <w:pPr>
        <w:spacing w:after="0" w:line="240" w:lineRule="auto"/>
        <w:jc w:val="center"/>
        <w:rPr>
          <w:noProof/>
        </w:rPr>
      </w:pPr>
    </w:p>
    <w:p w14:paraId="2D60419F" w14:textId="77777777" w:rsidR="00AB3377" w:rsidRDefault="00AB3377" w:rsidP="00C46C9C">
      <w:pPr>
        <w:spacing w:after="0" w:line="240" w:lineRule="auto"/>
        <w:jc w:val="center"/>
        <w:rPr>
          <w:noProof/>
        </w:rPr>
      </w:pPr>
    </w:p>
    <w:p w14:paraId="7FC7F5AF" w14:textId="5A90CFE0" w:rsidR="00140A10" w:rsidRPr="002570E4" w:rsidRDefault="00140A10" w:rsidP="00140A10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 Negrita" w:hAnsi="Arial Negrita" w:cs="Arial"/>
          <w:b/>
          <w:bCs/>
          <w:sz w:val="24"/>
          <w:szCs w:val="24"/>
        </w:rPr>
      </w:pPr>
      <w:r w:rsidRPr="002570E4">
        <w:rPr>
          <w:rFonts w:ascii="Arial Negrita" w:hAnsi="Arial Negrita" w:cs="Arial"/>
          <w:b/>
          <w:bCs/>
          <w:sz w:val="24"/>
          <w:szCs w:val="24"/>
        </w:rPr>
        <w:lastRenderedPageBreak/>
        <w:t>Personas vinculadas a proceso</w:t>
      </w:r>
    </w:p>
    <w:p w14:paraId="147078C4" w14:textId="01474715" w:rsidR="00AB3377" w:rsidRDefault="00AB3377" w:rsidP="00C46C9C">
      <w:pPr>
        <w:spacing w:after="0" w:line="240" w:lineRule="auto"/>
        <w:jc w:val="center"/>
        <w:rPr>
          <w:noProof/>
        </w:rPr>
      </w:pPr>
    </w:p>
    <w:p w14:paraId="267E9220" w14:textId="77777777" w:rsidR="003B7F14" w:rsidRDefault="003B7F14" w:rsidP="00C46C9C">
      <w:pPr>
        <w:spacing w:after="0" w:line="240" w:lineRule="auto"/>
        <w:jc w:val="center"/>
        <w:rPr>
          <w:noProof/>
        </w:rPr>
      </w:pPr>
    </w:p>
    <w:p w14:paraId="53E7F38E" w14:textId="708588D9" w:rsidR="00AB3377" w:rsidRPr="00E90937" w:rsidRDefault="00E90937" w:rsidP="00E90937">
      <w:pPr>
        <w:spacing w:after="0" w:line="240" w:lineRule="auto"/>
        <w:jc w:val="both"/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</w:pPr>
      <w:bookmarkStart w:id="4" w:name="_Hlk117353259"/>
      <w:r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En</w:t>
      </w:r>
      <w:r w:rsidRPr="00E90937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2021, los poderes judiciales estatales reportaron 82 724 personas procesadas y/</w:t>
      </w:r>
      <w:r w:rsidR="0043057F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</w:t>
      </w:r>
      <w:r w:rsidRPr="00E90937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o imputadas</w:t>
      </w:r>
      <w:r w:rsidR="00AD415B">
        <w:rPr>
          <w:rStyle w:val="Refdenotaalpie"/>
          <w:rFonts w:ascii="Arial" w:hAnsi="Arial" w:cs="Arial"/>
          <w:iCs/>
          <w:noProof/>
          <w:color w:val="000000"/>
          <w:sz w:val="24"/>
          <w:szCs w:val="24"/>
          <w:lang w:eastAsia="es-MX"/>
        </w:rPr>
        <w:footnoteReference w:id="16"/>
      </w:r>
      <w:r w:rsidRPr="00E90937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a quienes se les determinó alguna resolución sobre la vinculación a proceso por parte de los jueces de control o garantías en el Sistema Penal Acusatorio y en el Sistema Integral de Justicia Penal para Adolescentes. Del total, 88.3 % de las personas</w:t>
      </w:r>
      <w:r w:rsidR="0043057F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fue vinculada a </w:t>
      </w:r>
      <w:r w:rsidRPr="00E90937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proceso y</w:t>
      </w:r>
      <w:r w:rsidR="00CE29E2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</w:t>
      </w:r>
      <w:r w:rsidRPr="00E90937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11.7 %</w:t>
      </w:r>
      <w:r w:rsidR="0043057F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,</w:t>
      </w:r>
      <w:r w:rsidRPr="00E90937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no</w:t>
      </w:r>
      <w:r w:rsidR="0043057F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. </w:t>
      </w:r>
      <w:r w:rsidRPr="00E90937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Con respecto a 2020</w:t>
      </w:r>
      <w:r>
        <w:rPr>
          <w:rStyle w:val="Refdenotaalpie"/>
          <w:rFonts w:ascii="Arial" w:hAnsi="Arial" w:cs="Arial"/>
          <w:iCs/>
          <w:noProof/>
          <w:color w:val="000000"/>
          <w:sz w:val="24"/>
          <w:szCs w:val="24"/>
          <w:lang w:eastAsia="es-MX"/>
        </w:rPr>
        <w:footnoteReference w:id="17"/>
      </w:r>
      <w:r w:rsidRPr="00E90937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hubo un aumento de 14.0 % en la cantidad de personas vinculadas a proceso.</w:t>
      </w:r>
    </w:p>
    <w:bookmarkEnd w:id="4"/>
    <w:p w14:paraId="76E4CD20" w14:textId="77777777" w:rsidR="00AB3377" w:rsidRPr="00E90937" w:rsidRDefault="00AB3377" w:rsidP="00C46C9C">
      <w:pPr>
        <w:spacing w:after="0" w:line="240" w:lineRule="auto"/>
        <w:jc w:val="center"/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</w:pPr>
    </w:p>
    <w:p w14:paraId="74429AA5" w14:textId="6B5888CF" w:rsidR="00CE2576" w:rsidRPr="00963A3F" w:rsidRDefault="00CE2576" w:rsidP="00CE2576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F53C86">
        <w:rPr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2</w:t>
      </w:r>
      <w:r w:rsidR="008E34A3">
        <w:rPr>
          <w:bCs/>
          <w:iCs/>
          <w:color w:val="000000" w:themeColor="text1"/>
          <w:sz w:val="20"/>
          <w:szCs w:val="20"/>
        </w:rPr>
        <w:t>6</w:t>
      </w:r>
    </w:p>
    <w:p w14:paraId="62A5E5D8" w14:textId="7EC338AC" w:rsidR="0064229E" w:rsidRDefault="00EF07C4" w:rsidP="00A056F0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  <w:r w:rsidRPr="00EF07C4">
        <w:rPr>
          <w:rFonts w:ascii="Arial" w:eastAsiaTheme="minorHAnsi" w:hAnsi="Arial" w:cs="Arial"/>
          <w:b/>
          <w:bCs/>
          <w:iCs/>
          <w:smallCaps/>
          <w:color w:val="000000" w:themeColor="text1"/>
          <w:sz w:val="22"/>
          <w:szCs w:val="22"/>
          <w:lang w:eastAsia="en-US"/>
        </w:rPr>
        <w:t>Personas procesadas y/o imputadas con resoluciones sobre vinculación a proceso, por tipo</w:t>
      </w:r>
    </w:p>
    <w:p w14:paraId="3AA98C1F" w14:textId="128EF1C0" w:rsidR="00CE2576" w:rsidRDefault="00CE2576" w:rsidP="00E23EDC">
      <w:pPr>
        <w:spacing w:after="0"/>
        <w:ind w:left="-567"/>
        <w:jc w:val="center"/>
        <w:rPr>
          <w:noProof/>
        </w:rPr>
      </w:pPr>
    </w:p>
    <w:p w14:paraId="10DD149D" w14:textId="64942A46" w:rsidR="00AD415B" w:rsidRPr="00756B55" w:rsidRDefault="00AD415B" w:rsidP="00E23EDC">
      <w:pPr>
        <w:spacing w:after="0"/>
        <w:ind w:left="-567"/>
        <w:jc w:val="center"/>
        <w:rPr>
          <w:rFonts w:ascii="Arial" w:hAnsi="Arial" w:cs="Arial"/>
          <w:b/>
          <w:bCs/>
          <w:iCs/>
          <w:noProof/>
          <w:sz w:val="24"/>
          <w:szCs w:val="24"/>
          <w:lang w:eastAsia="es-MX"/>
        </w:rPr>
      </w:pPr>
      <w:r w:rsidRPr="00AD415B">
        <w:rPr>
          <w:rFonts w:ascii="Arial" w:hAnsi="Arial" w:cs="Arial"/>
          <w:b/>
          <w:bCs/>
          <w:iCs/>
          <w:noProof/>
          <w:sz w:val="24"/>
          <w:szCs w:val="24"/>
          <w:lang w:eastAsia="es-MX"/>
        </w:rPr>
        <w:drawing>
          <wp:inline distT="0" distB="0" distL="0" distR="0" wp14:anchorId="2326A7F5" wp14:editId="13CB1DAC">
            <wp:extent cx="6404610" cy="2498652"/>
            <wp:effectExtent l="0" t="0" r="0" b="0"/>
            <wp:docPr id="140" name="Gráfico 140">
              <a:extLst xmlns:a="http://schemas.openxmlformats.org/drawingml/2006/main">
                <a:ext uri="{FF2B5EF4-FFF2-40B4-BE49-F238E27FC236}">
                  <a16:creationId xmlns:a16="http://schemas.microsoft.com/office/drawing/2014/main" id="{E11CDB52-8DAC-D0F6-C9CB-2EF9F9B981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2DD811B0" w14:textId="552B4AD4" w:rsidR="0064229E" w:rsidRDefault="0064229E" w:rsidP="00A056F0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</w:p>
    <w:p w14:paraId="78E28233" w14:textId="24A9E0E8" w:rsidR="0064229E" w:rsidRDefault="0064229E" w:rsidP="00A056F0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</w:p>
    <w:p w14:paraId="2425D9DB" w14:textId="5B237B87" w:rsidR="0064229E" w:rsidRDefault="0064229E" w:rsidP="00A056F0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</w:p>
    <w:p w14:paraId="7B46C321" w14:textId="64B8C811" w:rsidR="0064229E" w:rsidRDefault="0064229E" w:rsidP="00A056F0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</w:p>
    <w:p w14:paraId="53B68B8F" w14:textId="77777777" w:rsidR="0071630A" w:rsidRDefault="0071630A" w:rsidP="003871C0">
      <w:pPr>
        <w:pStyle w:val="NormalWeb"/>
        <w:spacing w:before="0" w:beforeAutospacing="0" w:after="0" w:afterAutospacing="0"/>
        <w:ind w:right="21"/>
        <w:contextualSpacing/>
        <w:jc w:val="both"/>
        <w:rPr>
          <w:rFonts w:ascii="Arial" w:hAnsi="Arial" w:cs="Arial"/>
          <w:sz w:val="22"/>
          <w:szCs w:val="22"/>
        </w:rPr>
      </w:pPr>
    </w:p>
    <w:p w14:paraId="40EA2741" w14:textId="77777777" w:rsidR="0071630A" w:rsidRDefault="0071630A" w:rsidP="003871C0">
      <w:pPr>
        <w:pStyle w:val="NormalWeb"/>
        <w:spacing w:before="0" w:beforeAutospacing="0" w:after="0" w:afterAutospacing="0"/>
        <w:ind w:right="21"/>
        <w:contextualSpacing/>
        <w:jc w:val="both"/>
        <w:rPr>
          <w:rFonts w:ascii="Arial" w:hAnsi="Arial" w:cs="Arial"/>
          <w:sz w:val="22"/>
          <w:szCs w:val="22"/>
        </w:rPr>
      </w:pPr>
    </w:p>
    <w:p w14:paraId="3B4F9A19" w14:textId="77777777" w:rsidR="0071630A" w:rsidRDefault="0071630A" w:rsidP="003871C0">
      <w:pPr>
        <w:pStyle w:val="NormalWeb"/>
        <w:spacing w:before="0" w:beforeAutospacing="0" w:after="0" w:afterAutospacing="0"/>
        <w:ind w:right="21"/>
        <w:contextualSpacing/>
        <w:jc w:val="both"/>
        <w:rPr>
          <w:rFonts w:ascii="Arial" w:hAnsi="Arial" w:cs="Arial"/>
          <w:sz w:val="22"/>
          <w:szCs w:val="22"/>
        </w:rPr>
      </w:pPr>
    </w:p>
    <w:p w14:paraId="2418C47A" w14:textId="77777777" w:rsidR="0071630A" w:rsidRDefault="0071630A" w:rsidP="003871C0">
      <w:pPr>
        <w:pStyle w:val="NormalWeb"/>
        <w:spacing w:before="0" w:beforeAutospacing="0" w:after="0" w:afterAutospacing="0"/>
        <w:ind w:right="21"/>
        <w:contextualSpacing/>
        <w:jc w:val="both"/>
        <w:rPr>
          <w:rFonts w:ascii="Arial" w:hAnsi="Arial" w:cs="Arial"/>
          <w:sz w:val="22"/>
          <w:szCs w:val="22"/>
        </w:rPr>
      </w:pPr>
    </w:p>
    <w:p w14:paraId="6C44663A" w14:textId="77777777" w:rsidR="0071630A" w:rsidRDefault="0071630A" w:rsidP="003871C0">
      <w:pPr>
        <w:pStyle w:val="NormalWeb"/>
        <w:spacing w:before="0" w:beforeAutospacing="0" w:after="0" w:afterAutospacing="0"/>
        <w:ind w:right="21"/>
        <w:contextualSpacing/>
        <w:jc w:val="both"/>
        <w:rPr>
          <w:rFonts w:ascii="Arial" w:hAnsi="Arial" w:cs="Arial"/>
          <w:sz w:val="22"/>
          <w:szCs w:val="22"/>
        </w:rPr>
      </w:pPr>
    </w:p>
    <w:p w14:paraId="40DFA49D" w14:textId="77777777" w:rsidR="0071630A" w:rsidRDefault="0071630A" w:rsidP="003871C0">
      <w:pPr>
        <w:pStyle w:val="NormalWeb"/>
        <w:spacing w:before="0" w:beforeAutospacing="0" w:after="0" w:afterAutospacing="0"/>
        <w:ind w:right="21"/>
        <w:contextualSpacing/>
        <w:jc w:val="both"/>
        <w:rPr>
          <w:rFonts w:ascii="Arial" w:hAnsi="Arial" w:cs="Arial"/>
          <w:sz w:val="22"/>
          <w:szCs w:val="22"/>
        </w:rPr>
      </w:pPr>
    </w:p>
    <w:p w14:paraId="45AFE2C7" w14:textId="77777777" w:rsidR="0071630A" w:rsidRDefault="0071630A" w:rsidP="003871C0">
      <w:pPr>
        <w:pStyle w:val="NormalWeb"/>
        <w:spacing w:before="0" w:beforeAutospacing="0" w:after="0" w:afterAutospacing="0"/>
        <w:ind w:right="21"/>
        <w:contextualSpacing/>
        <w:jc w:val="both"/>
        <w:rPr>
          <w:rFonts w:ascii="Arial" w:hAnsi="Arial" w:cs="Arial"/>
          <w:sz w:val="22"/>
          <w:szCs w:val="22"/>
        </w:rPr>
      </w:pPr>
    </w:p>
    <w:p w14:paraId="00995AAC" w14:textId="77777777" w:rsidR="0071630A" w:rsidRDefault="0071630A" w:rsidP="003871C0">
      <w:pPr>
        <w:pStyle w:val="NormalWeb"/>
        <w:spacing w:before="0" w:beforeAutospacing="0" w:after="0" w:afterAutospacing="0"/>
        <w:ind w:right="21"/>
        <w:contextualSpacing/>
        <w:jc w:val="both"/>
        <w:rPr>
          <w:rFonts w:ascii="Arial" w:hAnsi="Arial" w:cs="Arial"/>
          <w:sz w:val="22"/>
          <w:szCs w:val="22"/>
        </w:rPr>
      </w:pPr>
    </w:p>
    <w:p w14:paraId="01B3C84C" w14:textId="77777777" w:rsidR="0071630A" w:rsidRDefault="0071630A" w:rsidP="003871C0">
      <w:pPr>
        <w:pStyle w:val="NormalWeb"/>
        <w:spacing w:before="0" w:beforeAutospacing="0" w:after="0" w:afterAutospacing="0"/>
        <w:ind w:right="21"/>
        <w:contextualSpacing/>
        <w:jc w:val="both"/>
        <w:rPr>
          <w:rFonts w:ascii="Arial" w:hAnsi="Arial" w:cs="Arial"/>
          <w:sz w:val="22"/>
          <w:szCs w:val="22"/>
        </w:rPr>
      </w:pPr>
    </w:p>
    <w:p w14:paraId="4F95EA65" w14:textId="77777777" w:rsidR="0071630A" w:rsidRDefault="0071630A" w:rsidP="003871C0">
      <w:pPr>
        <w:pStyle w:val="NormalWeb"/>
        <w:spacing w:before="0" w:beforeAutospacing="0" w:after="0" w:afterAutospacing="0"/>
        <w:ind w:right="21"/>
        <w:contextualSpacing/>
        <w:jc w:val="both"/>
        <w:rPr>
          <w:rFonts w:ascii="Arial" w:hAnsi="Arial" w:cs="Arial"/>
          <w:sz w:val="22"/>
          <w:szCs w:val="22"/>
        </w:rPr>
      </w:pPr>
    </w:p>
    <w:p w14:paraId="5B756139" w14:textId="77777777" w:rsidR="0071630A" w:rsidRDefault="0071630A" w:rsidP="003871C0">
      <w:pPr>
        <w:pStyle w:val="NormalWeb"/>
        <w:spacing w:before="0" w:beforeAutospacing="0" w:after="0" w:afterAutospacing="0"/>
        <w:ind w:right="21"/>
        <w:contextualSpacing/>
        <w:jc w:val="both"/>
        <w:rPr>
          <w:rFonts w:ascii="Arial" w:hAnsi="Arial" w:cs="Arial"/>
          <w:sz w:val="22"/>
          <w:szCs w:val="22"/>
        </w:rPr>
      </w:pPr>
    </w:p>
    <w:p w14:paraId="79DDB77B" w14:textId="77777777" w:rsidR="0071630A" w:rsidRDefault="0071630A" w:rsidP="003871C0">
      <w:pPr>
        <w:pStyle w:val="NormalWeb"/>
        <w:spacing w:before="0" w:beforeAutospacing="0" w:after="0" w:afterAutospacing="0"/>
        <w:ind w:right="21"/>
        <w:contextualSpacing/>
        <w:jc w:val="both"/>
        <w:rPr>
          <w:rFonts w:ascii="Arial" w:hAnsi="Arial" w:cs="Arial"/>
          <w:sz w:val="22"/>
          <w:szCs w:val="22"/>
        </w:rPr>
      </w:pPr>
    </w:p>
    <w:p w14:paraId="04C201CF" w14:textId="77777777" w:rsidR="0071630A" w:rsidRDefault="0071630A" w:rsidP="003871C0">
      <w:pPr>
        <w:pStyle w:val="NormalWeb"/>
        <w:spacing w:before="0" w:beforeAutospacing="0" w:after="0" w:afterAutospacing="0"/>
        <w:ind w:right="21"/>
        <w:contextualSpacing/>
        <w:jc w:val="both"/>
        <w:rPr>
          <w:rFonts w:ascii="Arial" w:hAnsi="Arial" w:cs="Arial"/>
          <w:sz w:val="22"/>
          <w:szCs w:val="22"/>
        </w:rPr>
      </w:pPr>
    </w:p>
    <w:p w14:paraId="2E067868" w14:textId="77777777" w:rsidR="0071630A" w:rsidRDefault="0071630A" w:rsidP="003871C0">
      <w:pPr>
        <w:pStyle w:val="NormalWeb"/>
        <w:spacing w:before="0" w:beforeAutospacing="0" w:after="0" w:afterAutospacing="0"/>
        <w:ind w:right="21"/>
        <w:contextualSpacing/>
        <w:jc w:val="both"/>
        <w:rPr>
          <w:rFonts w:ascii="Arial" w:hAnsi="Arial" w:cs="Arial"/>
          <w:sz w:val="22"/>
          <w:szCs w:val="22"/>
        </w:rPr>
      </w:pPr>
    </w:p>
    <w:p w14:paraId="1FE0106A" w14:textId="0E158C52" w:rsidR="0064229E" w:rsidRDefault="003871C0" w:rsidP="003871C0">
      <w:pPr>
        <w:pStyle w:val="NormalWeb"/>
        <w:spacing w:before="0" w:beforeAutospacing="0" w:after="0" w:afterAutospacing="0"/>
        <w:ind w:right="21"/>
        <w:contextualSpacing/>
        <w:jc w:val="both"/>
        <w:rPr>
          <w:rFonts w:ascii="Arial" w:hAnsi="Arial" w:cs="Arial"/>
          <w:sz w:val="22"/>
          <w:szCs w:val="22"/>
        </w:rPr>
      </w:pPr>
      <w:r w:rsidRPr="003871C0">
        <w:rPr>
          <w:rFonts w:ascii="Arial" w:hAnsi="Arial" w:cs="Arial"/>
          <w:sz w:val="22"/>
          <w:szCs w:val="22"/>
        </w:rPr>
        <w:lastRenderedPageBreak/>
        <w:t xml:space="preserve">En el Sistema Penal Acusatorio, Zacatecas, Hidalgo y Sonora presentaron el mayor porcentaje de vinculaciones a proceso. </w:t>
      </w:r>
      <w:r w:rsidR="006F6A35">
        <w:rPr>
          <w:rFonts w:ascii="Arial" w:hAnsi="Arial" w:cs="Arial"/>
          <w:sz w:val="22"/>
          <w:szCs w:val="22"/>
        </w:rPr>
        <w:t>En contraste, Oaxaca, Tlaxcala y Aguascalientes presentaron el menor porcentaje de vinculaciones.</w:t>
      </w:r>
    </w:p>
    <w:p w14:paraId="18E1BE85" w14:textId="2756A83E" w:rsidR="0064229E" w:rsidRDefault="0064229E" w:rsidP="00A056F0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</w:p>
    <w:p w14:paraId="7073F09A" w14:textId="77777777" w:rsidR="000A284F" w:rsidRDefault="000A284F" w:rsidP="00635323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0E9CB589" w14:textId="1C75C030" w:rsidR="00635323" w:rsidRPr="00963A3F" w:rsidRDefault="00635323" w:rsidP="00635323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F53C86">
        <w:rPr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2</w:t>
      </w:r>
      <w:r w:rsidR="008E34A3">
        <w:rPr>
          <w:bCs/>
          <w:iCs/>
          <w:color w:val="000000" w:themeColor="text1"/>
          <w:sz w:val="20"/>
          <w:szCs w:val="20"/>
        </w:rPr>
        <w:t>7</w:t>
      </w:r>
    </w:p>
    <w:p w14:paraId="4880C1EE" w14:textId="34363D02" w:rsidR="00635323" w:rsidRPr="000A284F" w:rsidRDefault="000A284F" w:rsidP="000A284F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  <w:r w:rsidRPr="000A284F">
        <w:rPr>
          <w:rFonts w:ascii="Arial" w:eastAsiaTheme="minorHAnsi" w:hAnsi="Arial" w:cs="Arial"/>
          <w:b/>
          <w:bCs/>
          <w:iCs/>
          <w:smallCaps/>
          <w:color w:val="000000" w:themeColor="text1"/>
          <w:sz w:val="22"/>
          <w:szCs w:val="22"/>
          <w:lang w:eastAsia="en-US"/>
        </w:rPr>
        <w:t>Distribución porcentual de personas procesadas y/o imputadas con resoluciones sobre vinculación a proceso (Sistema Penal Acusatorio), por entidad federativa y tipo, 2021</w:t>
      </w:r>
    </w:p>
    <w:p w14:paraId="7305F821" w14:textId="15681560" w:rsidR="000A284F" w:rsidRDefault="000A284F" w:rsidP="000A284F">
      <w:pPr>
        <w:spacing w:after="0"/>
        <w:jc w:val="center"/>
        <w:rPr>
          <w:rFonts w:ascii="Arial" w:hAnsi="Arial" w:cs="Arial"/>
          <w:iCs/>
          <w:noProof/>
          <w:sz w:val="24"/>
          <w:szCs w:val="24"/>
          <w:lang w:eastAsia="es-MX"/>
        </w:rPr>
      </w:pPr>
      <w:r w:rsidRPr="000A284F">
        <w:rPr>
          <w:rFonts w:ascii="Arial" w:hAnsi="Arial" w:cs="Arial"/>
          <w:iCs/>
          <w:noProof/>
          <w:sz w:val="24"/>
          <w:szCs w:val="24"/>
          <w:lang w:eastAsia="es-MX"/>
        </w:rPr>
        <w:drawing>
          <wp:inline distT="0" distB="0" distL="0" distR="0" wp14:anchorId="5508C510" wp14:editId="7C9C8B5C">
            <wp:extent cx="5401339" cy="5507355"/>
            <wp:effectExtent l="0" t="0" r="8890" b="0"/>
            <wp:docPr id="141" name="Gráfico 141">
              <a:extLst xmlns:a="http://schemas.openxmlformats.org/drawingml/2006/main">
                <a:ext uri="{FF2B5EF4-FFF2-40B4-BE49-F238E27FC236}">
                  <a16:creationId xmlns:a16="http://schemas.microsoft.com/office/drawing/2014/main" id="{C9397DD7-E7A7-6EFE-FE01-B66D2FC757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5A63CA83" w14:textId="415CE958" w:rsidR="000A284F" w:rsidRDefault="000A284F" w:rsidP="007D12C5">
      <w:pPr>
        <w:spacing w:after="0"/>
        <w:jc w:val="both"/>
        <w:rPr>
          <w:rFonts w:ascii="Arial" w:hAnsi="Arial" w:cs="Arial"/>
          <w:iCs/>
          <w:noProof/>
          <w:sz w:val="24"/>
          <w:szCs w:val="24"/>
          <w:lang w:eastAsia="es-MX"/>
        </w:rPr>
      </w:pPr>
    </w:p>
    <w:p w14:paraId="2470A212" w14:textId="24F0688C" w:rsidR="000A284F" w:rsidRPr="00EE34AB" w:rsidRDefault="00EE34AB" w:rsidP="00EE34AB">
      <w:pPr>
        <w:spacing w:after="0"/>
        <w:ind w:right="21"/>
        <w:jc w:val="both"/>
        <w:rPr>
          <w:rFonts w:ascii="Arial" w:hAnsi="Arial" w:cs="Arial"/>
          <w:iCs/>
          <w:noProof/>
          <w:sz w:val="16"/>
          <w:szCs w:val="16"/>
          <w:lang w:eastAsia="es-MX"/>
        </w:rPr>
      </w:pPr>
      <w:r w:rsidRPr="00EE34AB">
        <w:rPr>
          <w:rFonts w:ascii="Arial" w:hAnsi="Arial" w:cs="Arial"/>
          <w:iCs/>
          <w:noProof/>
          <w:sz w:val="16"/>
          <w:szCs w:val="16"/>
          <w:lang w:eastAsia="es-MX"/>
        </w:rPr>
        <w:t xml:space="preserve">Nota: No se incluyen Baja California Sur, Colima, Chihuahua, estado de México, Michoacán de Ocampo, Nayarit, Nuevo León y Tamaulipas, </w:t>
      </w:r>
      <w:r w:rsidR="0043057F">
        <w:rPr>
          <w:rFonts w:ascii="Arial" w:hAnsi="Arial" w:cs="Arial"/>
          <w:iCs/>
          <w:noProof/>
          <w:sz w:val="16"/>
          <w:szCs w:val="16"/>
          <w:lang w:eastAsia="es-MX"/>
        </w:rPr>
        <w:t xml:space="preserve">porque </w:t>
      </w:r>
      <w:r w:rsidRPr="00EE34AB">
        <w:rPr>
          <w:rFonts w:ascii="Arial" w:hAnsi="Arial" w:cs="Arial"/>
          <w:iCs/>
          <w:noProof/>
          <w:sz w:val="16"/>
          <w:szCs w:val="16"/>
          <w:lang w:eastAsia="es-MX"/>
        </w:rPr>
        <w:t>los poderes judiciales no contaron con datos o elementos para responder sobre el tema.</w:t>
      </w:r>
    </w:p>
    <w:p w14:paraId="600B4EFD" w14:textId="2CE21B2D" w:rsidR="000A284F" w:rsidRPr="00EE34AB" w:rsidRDefault="000A284F" w:rsidP="00EE34AB">
      <w:pPr>
        <w:spacing w:after="0"/>
        <w:ind w:right="21"/>
        <w:jc w:val="both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793949F6" w14:textId="25D7608C" w:rsidR="000A284F" w:rsidRDefault="000A284F" w:rsidP="007D12C5">
      <w:pPr>
        <w:spacing w:after="0"/>
        <w:jc w:val="both"/>
        <w:rPr>
          <w:rFonts w:ascii="Arial" w:hAnsi="Arial" w:cs="Arial"/>
          <w:iCs/>
          <w:noProof/>
          <w:sz w:val="24"/>
          <w:szCs w:val="24"/>
          <w:lang w:eastAsia="es-MX"/>
        </w:rPr>
      </w:pPr>
    </w:p>
    <w:p w14:paraId="529FB034" w14:textId="53379075" w:rsidR="000A284F" w:rsidRDefault="000A284F" w:rsidP="007D12C5">
      <w:pPr>
        <w:spacing w:after="0"/>
        <w:jc w:val="both"/>
        <w:rPr>
          <w:rFonts w:ascii="Arial" w:hAnsi="Arial" w:cs="Arial"/>
          <w:iCs/>
          <w:noProof/>
          <w:sz w:val="24"/>
          <w:szCs w:val="24"/>
          <w:lang w:eastAsia="es-MX"/>
        </w:rPr>
      </w:pPr>
    </w:p>
    <w:p w14:paraId="15ADC2FB" w14:textId="461DCEEE" w:rsidR="000A284F" w:rsidRDefault="000A284F" w:rsidP="007D12C5">
      <w:pPr>
        <w:spacing w:after="0"/>
        <w:jc w:val="both"/>
        <w:rPr>
          <w:rFonts w:ascii="Arial" w:hAnsi="Arial" w:cs="Arial"/>
          <w:iCs/>
          <w:noProof/>
          <w:sz w:val="24"/>
          <w:szCs w:val="24"/>
          <w:lang w:eastAsia="es-MX"/>
        </w:rPr>
      </w:pPr>
    </w:p>
    <w:p w14:paraId="00985FB3" w14:textId="709C0455" w:rsidR="000A284F" w:rsidRDefault="000A284F" w:rsidP="007D12C5">
      <w:pPr>
        <w:spacing w:after="0"/>
        <w:jc w:val="both"/>
        <w:rPr>
          <w:rFonts w:ascii="Arial" w:hAnsi="Arial" w:cs="Arial"/>
          <w:iCs/>
          <w:noProof/>
          <w:sz w:val="24"/>
          <w:szCs w:val="24"/>
          <w:lang w:eastAsia="es-MX"/>
        </w:rPr>
      </w:pPr>
    </w:p>
    <w:p w14:paraId="2C5F1476" w14:textId="56A0C151" w:rsidR="000A284F" w:rsidRDefault="000A284F" w:rsidP="007D12C5">
      <w:pPr>
        <w:spacing w:after="0"/>
        <w:jc w:val="both"/>
        <w:rPr>
          <w:rFonts w:ascii="Arial" w:hAnsi="Arial" w:cs="Arial"/>
          <w:iCs/>
          <w:noProof/>
          <w:sz w:val="24"/>
          <w:szCs w:val="24"/>
          <w:lang w:eastAsia="es-MX"/>
        </w:rPr>
      </w:pPr>
    </w:p>
    <w:p w14:paraId="0A2684E2" w14:textId="1B1E0509" w:rsidR="00EE34AB" w:rsidRDefault="00EE34AB" w:rsidP="00EE34AB">
      <w:pPr>
        <w:pStyle w:val="NormalWeb"/>
        <w:spacing w:before="0" w:beforeAutospacing="0" w:after="0" w:afterAutospacing="0"/>
        <w:ind w:right="21"/>
        <w:contextualSpacing/>
        <w:jc w:val="both"/>
        <w:rPr>
          <w:rFonts w:ascii="Arial" w:hAnsi="Arial" w:cs="Arial"/>
          <w:sz w:val="22"/>
          <w:szCs w:val="22"/>
        </w:rPr>
      </w:pPr>
      <w:r w:rsidRPr="003871C0">
        <w:rPr>
          <w:rFonts w:ascii="Arial" w:hAnsi="Arial" w:cs="Arial"/>
          <w:sz w:val="22"/>
          <w:szCs w:val="22"/>
        </w:rPr>
        <w:lastRenderedPageBreak/>
        <w:t xml:space="preserve">En cuanto al Sistema Integral de Justicia Penal para Adolescentes, Aguascalientes, Hidalgo, Michoacán de Ocampo, Querétaro, Quintana Roo, Tabasco, Tlaxcala y Yucatán fueron </w:t>
      </w:r>
      <w:r w:rsidR="0043057F">
        <w:rPr>
          <w:rFonts w:ascii="Arial" w:hAnsi="Arial" w:cs="Arial"/>
          <w:sz w:val="22"/>
          <w:szCs w:val="22"/>
        </w:rPr>
        <w:t xml:space="preserve">las </w:t>
      </w:r>
      <w:r w:rsidRPr="003871C0">
        <w:rPr>
          <w:rFonts w:ascii="Arial" w:hAnsi="Arial" w:cs="Arial"/>
          <w:sz w:val="22"/>
          <w:szCs w:val="22"/>
        </w:rPr>
        <w:t xml:space="preserve">entidades </w:t>
      </w:r>
      <w:r w:rsidR="0043057F">
        <w:rPr>
          <w:rFonts w:ascii="Arial" w:hAnsi="Arial" w:cs="Arial"/>
          <w:sz w:val="22"/>
          <w:szCs w:val="22"/>
        </w:rPr>
        <w:t xml:space="preserve">en </w:t>
      </w:r>
      <w:r w:rsidRPr="003871C0">
        <w:rPr>
          <w:rFonts w:ascii="Arial" w:hAnsi="Arial" w:cs="Arial"/>
          <w:sz w:val="22"/>
          <w:szCs w:val="22"/>
        </w:rPr>
        <w:t>donde la totalidad de las personas imputadas se vincularon a proceso.</w:t>
      </w:r>
    </w:p>
    <w:p w14:paraId="671E0463" w14:textId="059B4141" w:rsidR="000A284F" w:rsidRDefault="000A284F" w:rsidP="007D12C5">
      <w:pPr>
        <w:spacing w:after="0"/>
        <w:jc w:val="both"/>
        <w:rPr>
          <w:rFonts w:ascii="Arial" w:hAnsi="Arial" w:cs="Arial"/>
          <w:iCs/>
          <w:noProof/>
          <w:sz w:val="24"/>
          <w:szCs w:val="24"/>
          <w:lang w:eastAsia="es-MX"/>
        </w:rPr>
      </w:pPr>
    </w:p>
    <w:p w14:paraId="5F06C734" w14:textId="70C824E3" w:rsidR="00111B47" w:rsidRPr="00963A3F" w:rsidRDefault="00111B47" w:rsidP="00111B47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F53C86">
        <w:rPr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2</w:t>
      </w:r>
      <w:r w:rsidR="008E34A3">
        <w:rPr>
          <w:bCs/>
          <w:iCs/>
          <w:color w:val="000000" w:themeColor="text1"/>
          <w:sz w:val="20"/>
          <w:szCs w:val="20"/>
        </w:rPr>
        <w:t>8</w:t>
      </w:r>
    </w:p>
    <w:p w14:paraId="2214FBB8" w14:textId="4CE6E3BE" w:rsidR="00111B47" w:rsidRDefault="00335153" w:rsidP="00111B47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  <w:r w:rsidRPr="00335153">
        <w:rPr>
          <w:rFonts w:ascii="Arial" w:eastAsiaTheme="minorHAnsi" w:hAnsi="Arial" w:cs="Arial"/>
          <w:b/>
          <w:bCs/>
          <w:iCs/>
          <w:smallCaps/>
          <w:color w:val="000000" w:themeColor="text1"/>
          <w:sz w:val="22"/>
          <w:szCs w:val="22"/>
          <w:lang w:eastAsia="en-US"/>
        </w:rPr>
        <w:t>Distribución porcentual de procesados y/</w:t>
      </w:r>
      <w:r w:rsidR="0043057F">
        <w:rPr>
          <w:rFonts w:ascii="Arial" w:eastAsiaTheme="minorHAnsi" w:hAnsi="Arial" w:cs="Arial"/>
          <w:b/>
          <w:bCs/>
          <w:iCs/>
          <w:smallCaps/>
          <w:color w:val="000000" w:themeColor="text1"/>
          <w:sz w:val="22"/>
          <w:szCs w:val="22"/>
          <w:lang w:eastAsia="en-US"/>
        </w:rPr>
        <w:t xml:space="preserve"> </w:t>
      </w:r>
      <w:r w:rsidRPr="00335153">
        <w:rPr>
          <w:rFonts w:ascii="Arial" w:eastAsiaTheme="minorHAnsi" w:hAnsi="Arial" w:cs="Arial"/>
          <w:b/>
          <w:bCs/>
          <w:iCs/>
          <w:smallCaps/>
          <w:color w:val="000000" w:themeColor="text1"/>
          <w:sz w:val="22"/>
          <w:szCs w:val="22"/>
          <w:lang w:eastAsia="en-US"/>
        </w:rPr>
        <w:t>o imputados con resoluciones sobre vinculación a proceso (Sistema Integral de Justicia Penal para Adolescentes), por entidad federativa y tipo, 2021</w:t>
      </w:r>
    </w:p>
    <w:p w14:paraId="0706D8E1" w14:textId="42F3A4CF" w:rsidR="00335153" w:rsidRDefault="00335153" w:rsidP="00335153">
      <w:pPr>
        <w:tabs>
          <w:tab w:val="left" w:pos="5509"/>
        </w:tabs>
        <w:spacing w:after="0"/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  <w:r w:rsidRPr="00335153">
        <w:rPr>
          <w:rFonts w:ascii="Arial" w:hAnsi="Arial" w:cs="Arial"/>
          <w:iCs/>
          <w:noProof/>
          <w:sz w:val="16"/>
          <w:szCs w:val="16"/>
          <w:lang w:eastAsia="es-MX"/>
        </w:rPr>
        <w:drawing>
          <wp:inline distT="0" distB="0" distL="0" distR="0" wp14:anchorId="268F0F47" wp14:editId="3A1CA0B1">
            <wp:extent cx="5858539" cy="6155690"/>
            <wp:effectExtent l="0" t="0" r="8890" b="0"/>
            <wp:docPr id="142" name="Gráfico 142">
              <a:extLst xmlns:a="http://schemas.openxmlformats.org/drawingml/2006/main">
                <a:ext uri="{FF2B5EF4-FFF2-40B4-BE49-F238E27FC236}">
                  <a16:creationId xmlns:a16="http://schemas.microsoft.com/office/drawing/2014/main" id="{5A9FA40A-86D1-27B6-E22E-E7B622EA16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18EDA3AE" w14:textId="77777777" w:rsidR="00335153" w:rsidRDefault="00335153" w:rsidP="006B06B0">
      <w:pPr>
        <w:spacing w:after="0"/>
        <w:jc w:val="both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5D86D856" w14:textId="35E77E34" w:rsidR="00335153" w:rsidRDefault="0022090D" w:rsidP="0022090D">
      <w:pPr>
        <w:spacing w:after="0"/>
        <w:ind w:right="21"/>
        <w:jc w:val="both"/>
        <w:rPr>
          <w:rFonts w:ascii="Arial" w:hAnsi="Arial" w:cs="Arial"/>
          <w:iCs/>
          <w:noProof/>
          <w:sz w:val="16"/>
          <w:szCs w:val="16"/>
          <w:lang w:eastAsia="es-MX"/>
        </w:rPr>
      </w:pPr>
      <w:r w:rsidRPr="0022090D">
        <w:rPr>
          <w:rFonts w:ascii="Arial" w:hAnsi="Arial" w:cs="Arial"/>
          <w:iCs/>
          <w:noProof/>
          <w:sz w:val="16"/>
          <w:szCs w:val="16"/>
          <w:lang w:eastAsia="es-MX"/>
        </w:rPr>
        <w:t>Nota: No se incluyen Baja California Sur, Jalisco, estado de México y Nuevo León,</w:t>
      </w:r>
      <w:r w:rsidR="0043057F">
        <w:rPr>
          <w:rFonts w:ascii="Arial" w:hAnsi="Arial" w:cs="Arial"/>
          <w:iCs/>
          <w:noProof/>
          <w:sz w:val="16"/>
          <w:szCs w:val="16"/>
          <w:lang w:eastAsia="es-MX"/>
        </w:rPr>
        <w:t xml:space="preserve"> porque </w:t>
      </w:r>
      <w:r w:rsidRPr="0022090D">
        <w:rPr>
          <w:rFonts w:ascii="Arial" w:hAnsi="Arial" w:cs="Arial"/>
          <w:iCs/>
          <w:noProof/>
          <w:sz w:val="16"/>
          <w:szCs w:val="16"/>
          <w:lang w:eastAsia="es-MX"/>
        </w:rPr>
        <w:t>los poderes judiciales no contaron con datos o elementos para responder sobre el tema.</w:t>
      </w:r>
    </w:p>
    <w:p w14:paraId="6CD195A4" w14:textId="77777777" w:rsidR="00335153" w:rsidRDefault="00335153" w:rsidP="006B06B0">
      <w:pPr>
        <w:spacing w:after="0"/>
        <w:jc w:val="both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5D97A36D" w14:textId="62D9CD15" w:rsidR="00335153" w:rsidRDefault="00335153" w:rsidP="006B06B0">
      <w:pPr>
        <w:spacing w:after="0"/>
        <w:jc w:val="both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589D837B" w14:textId="77777777" w:rsidR="00E44614" w:rsidRDefault="00E44614" w:rsidP="006B06B0">
      <w:pPr>
        <w:spacing w:after="0"/>
        <w:jc w:val="both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1851B64B" w14:textId="54B53E04" w:rsidR="001D2519" w:rsidRPr="002570E4" w:rsidRDefault="001D2519" w:rsidP="001D2519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 Negrita" w:hAnsi="Arial Negrita" w:cs="Arial"/>
          <w:b/>
          <w:bCs/>
          <w:sz w:val="24"/>
          <w:szCs w:val="24"/>
        </w:rPr>
      </w:pPr>
      <w:r w:rsidRPr="002570E4">
        <w:rPr>
          <w:rFonts w:ascii="Arial Negrita" w:hAnsi="Arial Negrita" w:cs="Arial"/>
          <w:b/>
          <w:bCs/>
          <w:sz w:val="24"/>
          <w:szCs w:val="24"/>
        </w:rPr>
        <w:lastRenderedPageBreak/>
        <w:t>Personas sentenciadas</w:t>
      </w:r>
    </w:p>
    <w:p w14:paraId="4818FA1E" w14:textId="77777777" w:rsidR="001D2519" w:rsidRPr="001D2519" w:rsidRDefault="001D2519" w:rsidP="001D2519">
      <w:pPr>
        <w:spacing w:after="0" w:line="240" w:lineRule="auto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0966BCF8" w14:textId="00D60813" w:rsidR="00335153" w:rsidRPr="008F4938" w:rsidRDefault="00285A00" w:rsidP="006B06B0">
      <w:pPr>
        <w:spacing w:after="0"/>
        <w:jc w:val="both"/>
        <w:rPr>
          <w:rFonts w:ascii="Arial" w:eastAsiaTheme="minorEastAsia" w:hAnsi="Arial" w:cs="Arial"/>
          <w:lang w:eastAsia="es-MX"/>
        </w:rPr>
      </w:pPr>
      <w:r>
        <w:rPr>
          <w:rFonts w:ascii="Arial" w:eastAsiaTheme="minorEastAsia" w:hAnsi="Arial" w:cs="Arial"/>
          <w:lang w:eastAsia="es-MX"/>
        </w:rPr>
        <w:t>En</w:t>
      </w:r>
      <w:r w:rsidRPr="00285A00">
        <w:rPr>
          <w:rFonts w:ascii="Arial" w:eastAsiaTheme="minorEastAsia" w:hAnsi="Arial" w:cs="Arial"/>
          <w:lang w:eastAsia="es-MX"/>
        </w:rPr>
        <w:t xml:space="preserve"> 2021, los poderes judiciales estatales</w:t>
      </w:r>
      <w:r w:rsidR="0043057F">
        <w:rPr>
          <w:rFonts w:ascii="Arial" w:eastAsiaTheme="minorEastAsia" w:hAnsi="Arial" w:cs="Arial"/>
          <w:lang w:eastAsia="es-MX"/>
        </w:rPr>
        <w:t xml:space="preserve"> registr</w:t>
      </w:r>
      <w:r w:rsidR="007E26CC">
        <w:rPr>
          <w:rFonts w:ascii="Arial" w:eastAsiaTheme="minorEastAsia" w:hAnsi="Arial" w:cs="Arial"/>
          <w:lang w:eastAsia="es-MX"/>
        </w:rPr>
        <w:t>a</w:t>
      </w:r>
      <w:r w:rsidR="0043057F">
        <w:rPr>
          <w:rFonts w:ascii="Arial" w:eastAsiaTheme="minorEastAsia" w:hAnsi="Arial" w:cs="Arial"/>
          <w:lang w:eastAsia="es-MX"/>
        </w:rPr>
        <w:t xml:space="preserve">ron </w:t>
      </w:r>
      <w:r w:rsidRPr="00285A00">
        <w:rPr>
          <w:rFonts w:ascii="Arial" w:eastAsiaTheme="minorEastAsia" w:hAnsi="Arial" w:cs="Arial"/>
          <w:lang w:eastAsia="es-MX"/>
        </w:rPr>
        <w:t>35 052 personas sentenciadas</w:t>
      </w:r>
      <w:r w:rsidR="0043057F">
        <w:rPr>
          <w:rFonts w:ascii="Arial" w:eastAsiaTheme="minorEastAsia" w:hAnsi="Arial" w:cs="Arial"/>
          <w:lang w:eastAsia="es-MX"/>
        </w:rPr>
        <w:t xml:space="preserve">. De estas, 7.6 % </w:t>
      </w:r>
      <w:r w:rsidR="007E26CC">
        <w:rPr>
          <w:rFonts w:ascii="Arial" w:eastAsiaTheme="minorEastAsia" w:hAnsi="Arial" w:cs="Arial"/>
          <w:lang w:eastAsia="es-MX"/>
        </w:rPr>
        <w:t xml:space="preserve"> </w:t>
      </w:r>
      <w:proofErr w:type="gramStart"/>
      <w:r w:rsidR="007E26CC">
        <w:rPr>
          <w:rFonts w:ascii="Arial" w:eastAsiaTheme="minorEastAsia" w:hAnsi="Arial" w:cs="Arial"/>
          <w:lang w:eastAsia="es-MX"/>
        </w:rPr>
        <w:t xml:space="preserve">  </w:t>
      </w:r>
      <w:r w:rsidR="0043057F">
        <w:rPr>
          <w:rFonts w:ascii="Arial" w:eastAsiaTheme="minorEastAsia" w:hAnsi="Arial" w:cs="Arial"/>
          <w:lang w:eastAsia="es-MX"/>
        </w:rPr>
        <w:t xml:space="preserve"> </w:t>
      </w:r>
      <w:r w:rsidR="0043057F" w:rsidRPr="00285A00">
        <w:rPr>
          <w:rFonts w:ascii="Arial" w:eastAsiaTheme="minorEastAsia" w:hAnsi="Arial" w:cs="Arial"/>
          <w:lang w:eastAsia="es-MX"/>
        </w:rPr>
        <w:t>(</w:t>
      </w:r>
      <w:proofErr w:type="gramEnd"/>
      <w:r w:rsidR="0043057F" w:rsidRPr="00285A00">
        <w:rPr>
          <w:rFonts w:ascii="Arial" w:eastAsiaTheme="minorEastAsia" w:hAnsi="Arial" w:cs="Arial"/>
          <w:lang w:eastAsia="es-MX"/>
        </w:rPr>
        <w:t>2 686</w:t>
      </w:r>
      <w:r w:rsidR="0043057F">
        <w:rPr>
          <w:rFonts w:ascii="Arial" w:eastAsiaTheme="minorEastAsia" w:hAnsi="Arial" w:cs="Arial"/>
          <w:lang w:eastAsia="es-MX"/>
        </w:rPr>
        <w:t>) correspondió a mujeres</w:t>
      </w:r>
      <w:r w:rsidR="0043057F" w:rsidRPr="00285A00">
        <w:rPr>
          <w:rFonts w:ascii="Arial" w:eastAsiaTheme="minorEastAsia" w:hAnsi="Arial" w:cs="Arial"/>
          <w:lang w:eastAsia="es-MX"/>
        </w:rPr>
        <w:t>,</w:t>
      </w:r>
      <w:r w:rsidR="0043057F">
        <w:rPr>
          <w:rFonts w:ascii="Arial" w:eastAsiaTheme="minorEastAsia" w:hAnsi="Arial" w:cs="Arial"/>
          <w:lang w:eastAsia="es-MX"/>
        </w:rPr>
        <w:t xml:space="preserve"> y </w:t>
      </w:r>
      <w:r w:rsidRPr="00285A00">
        <w:rPr>
          <w:rFonts w:ascii="Arial" w:eastAsiaTheme="minorEastAsia" w:hAnsi="Arial" w:cs="Arial"/>
          <w:lang w:eastAsia="es-MX"/>
        </w:rPr>
        <w:t>90.5 % (31 710)</w:t>
      </w:r>
      <w:r w:rsidR="0043057F">
        <w:rPr>
          <w:rFonts w:ascii="Arial" w:eastAsiaTheme="minorEastAsia" w:hAnsi="Arial" w:cs="Arial"/>
          <w:lang w:eastAsia="es-MX"/>
        </w:rPr>
        <w:t xml:space="preserve">, a </w:t>
      </w:r>
      <w:r w:rsidRPr="00285A00">
        <w:rPr>
          <w:rFonts w:ascii="Arial" w:eastAsiaTheme="minorEastAsia" w:hAnsi="Arial" w:cs="Arial"/>
          <w:lang w:eastAsia="es-MX"/>
        </w:rPr>
        <w:t>hombres</w:t>
      </w:r>
      <w:r w:rsidR="0043057F">
        <w:rPr>
          <w:rFonts w:ascii="Arial" w:eastAsiaTheme="minorEastAsia" w:hAnsi="Arial" w:cs="Arial"/>
          <w:lang w:eastAsia="es-MX"/>
        </w:rPr>
        <w:t>.</w:t>
      </w:r>
      <w:r w:rsidR="00343845">
        <w:rPr>
          <w:rStyle w:val="Refdenotaalpie"/>
          <w:rFonts w:ascii="Arial" w:eastAsiaTheme="minorEastAsia" w:hAnsi="Arial" w:cs="Arial"/>
          <w:lang w:eastAsia="es-MX"/>
        </w:rPr>
        <w:footnoteReference w:id="18"/>
      </w:r>
      <w:r w:rsidRPr="00285A00">
        <w:rPr>
          <w:rFonts w:ascii="Arial" w:eastAsiaTheme="minorEastAsia" w:hAnsi="Arial" w:cs="Arial"/>
          <w:lang w:eastAsia="es-MX"/>
        </w:rPr>
        <w:t xml:space="preserve"> L</w:t>
      </w:r>
      <w:r w:rsidR="0043057F">
        <w:rPr>
          <w:rFonts w:ascii="Arial" w:eastAsiaTheme="minorEastAsia" w:hAnsi="Arial" w:cs="Arial"/>
          <w:lang w:eastAsia="es-MX"/>
        </w:rPr>
        <w:t>as personas</w:t>
      </w:r>
      <w:r w:rsidRPr="00285A00">
        <w:rPr>
          <w:rFonts w:ascii="Arial" w:eastAsiaTheme="minorEastAsia" w:hAnsi="Arial" w:cs="Arial"/>
          <w:lang w:eastAsia="es-MX"/>
        </w:rPr>
        <w:t xml:space="preserve"> adult</w:t>
      </w:r>
      <w:r w:rsidR="0043057F">
        <w:rPr>
          <w:rFonts w:ascii="Arial" w:eastAsiaTheme="minorEastAsia" w:hAnsi="Arial" w:cs="Arial"/>
          <w:lang w:eastAsia="es-MX"/>
        </w:rPr>
        <w:t>a</w:t>
      </w:r>
      <w:r w:rsidRPr="00285A00">
        <w:rPr>
          <w:rFonts w:ascii="Arial" w:eastAsiaTheme="minorEastAsia" w:hAnsi="Arial" w:cs="Arial"/>
          <w:lang w:eastAsia="es-MX"/>
        </w:rPr>
        <w:t>s representaron 97.2 % y l</w:t>
      </w:r>
      <w:r w:rsidR="0043057F">
        <w:rPr>
          <w:rFonts w:ascii="Arial" w:eastAsiaTheme="minorEastAsia" w:hAnsi="Arial" w:cs="Arial"/>
          <w:lang w:eastAsia="es-MX"/>
        </w:rPr>
        <w:t>a</w:t>
      </w:r>
      <w:r w:rsidRPr="00285A00">
        <w:rPr>
          <w:rFonts w:ascii="Arial" w:eastAsiaTheme="minorEastAsia" w:hAnsi="Arial" w:cs="Arial"/>
          <w:lang w:eastAsia="es-MX"/>
        </w:rPr>
        <w:t>s adolescentes</w:t>
      </w:r>
      <w:r w:rsidR="0043057F">
        <w:rPr>
          <w:rFonts w:ascii="Arial" w:eastAsiaTheme="minorEastAsia" w:hAnsi="Arial" w:cs="Arial"/>
          <w:lang w:eastAsia="es-MX"/>
        </w:rPr>
        <w:t>,</w:t>
      </w:r>
      <w:r w:rsidRPr="00285A00">
        <w:rPr>
          <w:rFonts w:ascii="Arial" w:eastAsiaTheme="minorEastAsia" w:hAnsi="Arial" w:cs="Arial"/>
          <w:lang w:eastAsia="es-MX"/>
        </w:rPr>
        <w:t xml:space="preserve"> 2.8 </w:t>
      </w:r>
      <w:r w:rsidR="0043057F">
        <w:rPr>
          <w:rFonts w:ascii="Arial" w:eastAsiaTheme="minorEastAsia" w:hAnsi="Arial" w:cs="Arial"/>
          <w:lang w:eastAsia="es-MX"/>
        </w:rPr>
        <w:t>por ciento</w:t>
      </w:r>
      <w:r w:rsidRPr="00285A00">
        <w:rPr>
          <w:rFonts w:ascii="Arial" w:eastAsiaTheme="minorEastAsia" w:hAnsi="Arial" w:cs="Arial"/>
          <w:lang w:eastAsia="es-MX"/>
        </w:rPr>
        <w:t>. En contraste con 2020, la cantidad total de personas sentenciadas aumentó 42.1 % en 2021.</w:t>
      </w:r>
      <w:r w:rsidR="0085289E">
        <w:rPr>
          <w:rFonts w:ascii="Arial" w:eastAsiaTheme="minorEastAsia" w:hAnsi="Arial" w:cs="Arial"/>
          <w:lang w:eastAsia="es-MX"/>
        </w:rPr>
        <w:t xml:space="preserve"> </w:t>
      </w:r>
      <w:r w:rsidR="008F4938" w:rsidRPr="008F4938">
        <w:rPr>
          <w:rFonts w:ascii="Arial" w:eastAsiaTheme="minorEastAsia" w:hAnsi="Arial" w:cs="Arial"/>
          <w:lang w:eastAsia="es-MX"/>
        </w:rPr>
        <w:t>De acuerdo con el tipo de sentencia, 94.0 % fue condenatoria, 5.4</w:t>
      </w:r>
      <w:r w:rsidR="0094707A">
        <w:rPr>
          <w:rFonts w:ascii="Arial" w:eastAsiaTheme="minorEastAsia" w:hAnsi="Arial" w:cs="Arial"/>
          <w:lang w:eastAsia="es-MX"/>
        </w:rPr>
        <w:t xml:space="preserve"> </w:t>
      </w:r>
      <w:r w:rsidR="008F4938" w:rsidRPr="008F4938">
        <w:rPr>
          <w:rFonts w:ascii="Arial" w:eastAsiaTheme="minorEastAsia" w:hAnsi="Arial" w:cs="Arial"/>
          <w:lang w:eastAsia="es-MX"/>
        </w:rPr>
        <w:t>% fue absolutoria</w:t>
      </w:r>
      <w:r w:rsidR="0043057F">
        <w:rPr>
          <w:rFonts w:ascii="Arial" w:eastAsiaTheme="minorEastAsia" w:hAnsi="Arial" w:cs="Arial"/>
          <w:lang w:eastAsia="es-MX"/>
        </w:rPr>
        <w:t>;</w:t>
      </w:r>
      <w:r w:rsidR="008F4938" w:rsidRPr="008F4938">
        <w:rPr>
          <w:rFonts w:ascii="Arial" w:eastAsiaTheme="minorEastAsia" w:hAnsi="Arial" w:cs="Arial"/>
          <w:lang w:eastAsia="es-MX"/>
        </w:rPr>
        <w:t xml:space="preserve"> 0.5 %</w:t>
      </w:r>
      <w:r w:rsidR="0043057F">
        <w:rPr>
          <w:rFonts w:ascii="Arial" w:eastAsiaTheme="minorEastAsia" w:hAnsi="Arial" w:cs="Arial"/>
          <w:lang w:eastAsia="es-MX"/>
        </w:rPr>
        <w:t>,</w:t>
      </w:r>
      <w:r w:rsidR="008F4938" w:rsidRPr="008F4938">
        <w:rPr>
          <w:rFonts w:ascii="Arial" w:eastAsiaTheme="minorEastAsia" w:hAnsi="Arial" w:cs="Arial"/>
          <w:lang w:eastAsia="es-MX"/>
        </w:rPr>
        <w:t xml:space="preserve"> mixta y en 0.1 % no se especificó </w:t>
      </w:r>
      <w:r w:rsidR="0088622B">
        <w:rPr>
          <w:rFonts w:ascii="Arial" w:eastAsiaTheme="minorEastAsia" w:hAnsi="Arial" w:cs="Arial"/>
          <w:lang w:eastAsia="es-MX"/>
        </w:rPr>
        <w:t>el tipo de</w:t>
      </w:r>
      <w:r w:rsidR="0088622B" w:rsidRPr="008F4938">
        <w:rPr>
          <w:rFonts w:ascii="Arial" w:eastAsiaTheme="minorEastAsia" w:hAnsi="Arial" w:cs="Arial"/>
          <w:lang w:eastAsia="es-MX"/>
        </w:rPr>
        <w:t xml:space="preserve"> </w:t>
      </w:r>
      <w:r w:rsidR="008F4938" w:rsidRPr="008F4938">
        <w:rPr>
          <w:rFonts w:ascii="Arial" w:eastAsiaTheme="minorEastAsia" w:hAnsi="Arial" w:cs="Arial"/>
          <w:lang w:eastAsia="es-MX"/>
        </w:rPr>
        <w:t>sentencia.</w:t>
      </w:r>
    </w:p>
    <w:p w14:paraId="60CE7FDB" w14:textId="77777777" w:rsidR="00335153" w:rsidRDefault="00335153" w:rsidP="006B06B0">
      <w:pPr>
        <w:spacing w:after="0"/>
        <w:jc w:val="both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1359374F" w14:textId="64412A06" w:rsidR="00266DC5" w:rsidRPr="00963A3F" w:rsidRDefault="00266DC5" w:rsidP="00266DC5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>
        <w:rPr>
          <w:bCs/>
          <w:iCs/>
          <w:color w:val="000000" w:themeColor="text1"/>
          <w:sz w:val="20"/>
          <w:szCs w:val="20"/>
        </w:rPr>
        <w:t>Tabla 6</w:t>
      </w:r>
    </w:p>
    <w:p w14:paraId="30AD8F2C" w14:textId="7A28F975" w:rsidR="00266DC5" w:rsidRDefault="001D28A5" w:rsidP="00266DC5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  <w:r w:rsidRPr="001D28A5">
        <w:rPr>
          <w:rFonts w:ascii="Arial" w:eastAsiaTheme="minorHAnsi" w:hAnsi="Arial" w:cs="Arial"/>
          <w:b/>
          <w:bCs/>
          <w:iCs/>
          <w:smallCaps/>
          <w:color w:val="000000" w:themeColor="text1"/>
          <w:sz w:val="22"/>
          <w:szCs w:val="22"/>
          <w:lang w:eastAsia="en-US"/>
        </w:rPr>
        <w:t>Personas sentenciadas registradas en las conclusiones efectuadas a las causas penales, por tipo de sentencia y entidad federativa, 2021</w:t>
      </w:r>
    </w:p>
    <w:p w14:paraId="2BB23A27" w14:textId="77777777" w:rsidR="00335153" w:rsidRDefault="00335153" w:rsidP="006B06B0">
      <w:pPr>
        <w:spacing w:after="0"/>
        <w:jc w:val="both"/>
        <w:rPr>
          <w:rFonts w:ascii="Arial" w:hAnsi="Arial" w:cs="Arial"/>
          <w:iCs/>
          <w:noProof/>
          <w:sz w:val="16"/>
          <w:szCs w:val="16"/>
          <w:lang w:eastAsia="es-MX"/>
        </w:rPr>
      </w:pPr>
    </w:p>
    <w:tbl>
      <w:tblPr>
        <w:tblW w:w="708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17"/>
        <w:gridCol w:w="1417"/>
        <w:gridCol w:w="1417"/>
        <w:gridCol w:w="1417"/>
        <w:gridCol w:w="1417"/>
      </w:tblGrid>
      <w:tr w:rsidR="001D5221" w:rsidRPr="001D5221" w14:paraId="55DE2E95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67705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62853" w14:textId="77777777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color w:val="FFFFFF" w:themeColor="background1"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color w:val="FFFFFF" w:themeColor="background1"/>
                <w:sz w:val="18"/>
                <w:szCs w:val="18"/>
                <w:lang w:eastAsia="es-MX"/>
              </w:rPr>
              <w:t>Entidad</w:t>
            </w:r>
          </w:p>
        </w:tc>
        <w:tc>
          <w:tcPr>
            <w:tcW w:w="1417" w:type="dxa"/>
            <w:shd w:val="clear" w:color="auto" w:fill="67705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5D835" w14:textId="77777777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color w:val="FFFFFF" w:themeColor="background1"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color w:val="FFFFFF" w:themeColor="background1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417" w:type="dxa"/>
            <w:shd w:val="clear" w:color="auto" w:fill="67705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46436" w14:textId="77777777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color w:val="FFFFFF" w:themeColor="background1"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color w:val="FFFFFF" w:themeColor="background1"/>
                <w:sz w:val="18"/>
                <w:szCs w:val="18"/>
                <w:lang w:eastAsia="es-MX"/>
              </w:rPr>
              <w:t>Condenatoria</w:t>
            </w:r>
          </w:p>
        </w:tc>
        <w:tc>
          <w:tcPr>
            <w:tcW w:w="1417" w:type="dxa"/>
            <w:shd w:val="clear" w:color="auto" w:fill="67705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5484E" w14:textId="77777777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color w:val="FFFFFF" w:themeColor="background1"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color w:val="FFFFFF" w:themeColor="background1"/>
                <w:sz w:val="18"/>
                <w:szCs w:val="18"/>
                <w:lang w:eastAsia="es-MX"/>
              </w:rPr>
              <w:t>Absolutoria</w:t>
            </w:r>
          </w:p>
        </w:tc>
        <w:tc>
          <w:tcPr>
            <w:tcW w:w="1417" w:type="dxa"/>
            <w:shd w:val="clear" w:color="auto" w:fill="67705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3A643" w14:textId="77777777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color w:val="FFFFFF" w:themeColor="background1"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color w:val="FFFFFF" w:themeColor="background1"/>
                <w:sz w:val="18"/>
                <w:szCs w:val="18"/>
                <w:lang w:eastAsia="es-MX"/>
              </w:rPr>
              <w:t>Mixta</w:t>
            </w:r>
          </w:p>
        </w:tc>
      </w:tr>
      <w:tr w:rsidR="001D5221" w:rsidRPr="001D5221" w14:paraId="3D4D55B1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E7E6E6" w:themeFill="background2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47ADE697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NACIONAL</w:t>
            </w:r>
          </w:p>
        </w:tc>
        <w:tc>
          <w:tcPr>
            <w:tcW w:w="1417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40E3C" w14:textId="4C9A4EE5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35 052</w:t>
            </w:r>
          </w:p>
        </w:tc>
        <w:tc>
          <w:tcPr>
            <w:tcW w:w="1417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31CC5" w14:textId="56D18740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32 945</w:t>
            </w:r>
          </w:p>
        </w:tc>
        <w:tc>
          <w:tcPr>
            <w:tcW w:w="1417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3668B" w14:textId="3F3E76D8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1 908</w:t>
            </w:r>
          </w:p>
        </w:tc>
        <w:tc>
          <w:tcPr>
            <w:tcW w:w="1417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1A615" w14:textId="5A621914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175</w:t>
            </w:r>
          </w:p>
        </w:tc>
      </w:tr>
      <w:tr w:rsidR="001D5221" w:rsidRPr="001D5221" w14:paraId="5B2E7488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ADD4017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CDMX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0958F" w14:textId="00690197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11 853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67BAB" w14:textId="576EB1DB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11 590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33E8B" w14:textId="4CA9FAA5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263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311CC" w14:textId="77777777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-</w:t>
            </w:r>
          </w:p>
        </w:tc>
      </w:tr>
      <w:tr w:rsidR="001D5221" w:rsidRPr="001D5221" w14:paraId="607F9CE9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03972CE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MEX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603CE" w14:textId="30017D3C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7 192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CCDCD" w14:textId="442E32D9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6 977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014C1" w14:textId="3B6196AF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8FD71" w14:textId="29DE87F9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94</w:t>
            </w:r>
          </w:p>
        </w:tc>
      </w:tr>
      <w:tr w:rsidR="001D5221" w:rsidRPr="001D5221" w14:paraId="55967C43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AB36DB7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SON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4BB80" w14:textId="59133179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4 000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A1C48" w14:textId="505DDCE0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3 998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BB686" w14:textId="3BEF691F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5E748" w14:textId="6AA0ABBE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0</w:t>
            </w:r>
          </w:p>
        </w:tc>
      </w:tr>
      <w:tr w:rsidR="001D5221" w:rsidRPr="001D5221" w14:paraId="27ED8889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929FEA5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NL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AAD6D" w14:textId="30E97DED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1 423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BEBE4" w14:textId="0890C824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1 032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553A1" w14:textId="355AB4CB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391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64477" w14:textId="77777777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-</w:t>
            </w:r>
          </w:p>
        </w:tc>
      </w:tr>
      <w:tr w:rsidR="001D5221" w:rsidRPr="001D5221" w14:paraId="2761A23C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E9BBA8C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AGS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07157" w14:textId="73D68D8F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1 272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8E057" w14:textId="0901A189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1 218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312E4" w14:textId="1E9EBE8B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891E3" w14:textId="4B008FB2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10</w:t>
            </w:r>
          </w:p>
        </w:tc>
      </w:tr>
      <w:tr w:rsidR="001D5221" w:rsidRPr="001D5221" w14:paraId="3442F509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7999982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TAMPS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2F588" w14:textId="6F957827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1 271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22C10" w14:textId="542F5DDD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1 055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12A7E" w14:textId="3830BE21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156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804F6" w14:textId="40FABF78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60</w:t>
            </w:r>
          </w:p>
        </w:tc>
      </w:tr>
      <w:tr w:rsidR="001D5221" w:rsidRPr="001D5221" w14:paraId="5F4DE707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7BF1F6F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QRO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5A28A" w14:textId="6E90435F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970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97156" w14:textId="2F75791E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927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DA49E" w14:textId="48B43310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40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119F6" w14:textId="4417CB5F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3</w:t>
            </w:r>
          </w:p>
        </w:tc>
      </w:tr>
      <w:tr w:rsidR="001D5221" w:rsidRPr="001D5221" w14:paraId="22E4C0B8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AA4F0A0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HGO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01858" w14:textId="5FE1DE31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766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2C939" w14:textId="7715E01B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678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E8712" w14:textId="1D4351A3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88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07E94" w14:textId="3A9FAE5C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0</w:t>
            </w:r>
          </w:p>
        </w:tc>
      </w:tr>
      <w:tr w:rsidR="001D5221" w:rsidRPr="001D5221" w14:paraId="1ECEF1D1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CC21B3A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SIN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B4560" w14:textId="1AF0D897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713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174C0" w14:textId="24B1D22D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668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8D3C6" w14:textId="54D8E076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12D98" w14:textId="1F280016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0</w:t>
            </w:r>
          </w:p>
        </w:tc>
      </w:tr>
      <w:tr w:rsidR="001D5221" w:rsidRPr="001D5221" w14:paraId="541612B8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41FB15A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ZAC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375AD" w14:textId="5C981113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706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65F98" w14:textId="50D3F1E0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597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DF35A" w14:textId="6DF2EE65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109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DB930" w14:textId="1BB09899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0</w:t>
            </w:r>
          </w:p>
        </w:tc>
      </w:tr>
      <w:tr w:rsidR="001D5221" w:rsidRPr="001D5221" w14:paraId="211FF179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DD90418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GTO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EF219" w14:textId="60DADB74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691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A79C7" w14:textId="4721E1FC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673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EB92F" w14:textId="79E74926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31D83" w14:textId="38EE3762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0</w:t>
            </w:r>
          </w:p>
        </w:tc>
      </w:tr>
      <w:tr w:rsidR="001D5221" w:rsidRPr="001D5221" w14:paraId="2B7759CD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17F825A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PUE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896E7" w14:textId="25CF78C1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680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1FE74" w14:textId="235848E6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597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B5639" w14:textId="0CF16FA8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83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79761" w14:textId="25553A2D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0</w:t>
            </w:r>
          </w:p>
        </w:tc>
      </w:tr>
      <w:tr w:rsidR="001D5221" w:rsidRPr="001D5221" w14:paraId="29B05442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1CBCE72A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BC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CF9FF" w14:textId="51A5A863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535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F66E8" w14:textId="5B39C836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482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B9FC1" w14:textId="52C2AF2F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CA846" w14:textId="11C789AD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0</w:t>
            </w:r>
          </w:p>
        </w:tc>
      </w:tr>
      <w:tr w:rsidR="001D5221" w:rsidRPr="001D5221" w14:paraId="5FFBAFAF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C9D1EBF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YUC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17D1F" w14:textId="2EF95F08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375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9F24A" w14:textId="2FBF7DB0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333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0ED87" w14:textId="6045A339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38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53C6C" w14:textId="6A93BD30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4</w:t>
            </w:r>
          </w:p>
        </w:tc>
      </w:tr>
      <w:tr w:rsidR="001D5221" w:rsidRPr="001D5221" w14:paraId="15F6BA08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58FAC1B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DGO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A785B" w14:textId="40CDC177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328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7E7CB" w14:textId="3083C2B4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310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41B14" w14:textId="49D15060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FC148" w14:textId="7E055CAC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0</w:t>
            </w:r>
          </w:p>
        </w:tc>
      </w:tr>
      <w:tr w:rsidR="001D5221" w:rsidRPr="001D5221" w14:paraId="0FAC42DD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54B7456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JAL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AE042" w14:textId="2EC11E9B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301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A15B9" w14:textId="41BFFE58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240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03A90" w14:textId="7D8D4E3B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61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396C9" w14:textId="30FF2C97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0</w:t>
            </w:r>
          </w:p>
        </w:tc>
      </w:tr>
      <w:tr w:rsidR="001D5221" w:rsidRPr="001D5221" w14:paraId="16D54C52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5E8DC158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TAB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F3B7C" w14:textId="485E59C6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266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A012E" w14:textId="66A6CE41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240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C0260" w14:textId="28437ED6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3ED59" w14:textId="4065AECF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2</w:t>
            </w:r>
          </w:p>
        </w:tc>
      </w:tr>
      <w:tr w:rsidR="001D5221" w:rsidRPr="001D5221" w14:paraId="775E7407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FDDA93A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MOR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1DBD4" w14:textId="17F01797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235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B31FA" w14:textId="70C5ADE8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160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9151F" w14:textId="6AAD8401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74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BFCCF" w14:textId="1DAE1BC4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</w:t>
            </w:r>
          </w:p>
        </w:tc>
      </w:tr>
      <w:tr w:rsidR="001D5221" w:rsidRPr="001D5221" w14:paraId="23431950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D9620DB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CHIS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77C8E" w14:textId="3B6BFC47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234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204F7" w14:textId="38BA13F9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190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5461A" w14:textId="559D0BAD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F537F" w14:textId="04D5CBFC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0</w:t>
            </w:r>
          </w:p>
        </w:tc>
      </w:tr>
      <w:tr w:rsidR="001D5221" w:rsidRPr="001D5221" w14:paraId="22C47E1D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02ED44C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QROO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35753" w14:textId="18FF37C0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A04AF" w14:textId="120A72E1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150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29F65" w14:textId="35E5E912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995CB" w14:textId="77777777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-</w:t>
            </w:r>
          </w:p>
        </w:tc>
      </w:tr>
      <w:tr w:rsidR="001D5221" w:rsidRPr="001D5221" w14:paraId="3822E04D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726F1A1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CHIH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0982F" w14:textId="502B2E61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175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B3618" w14:textId="239F2D16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150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6E33A" w14:textId="2C916369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7FDDC" w14:textId="77777777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-</w:t>
            </w:r>
          </w:p>
        </w:tc>
      </w:tr>
      <w:tr w:rsidR="001D5221" w:rsidRPr="001D5221" w14:paraId="2D533AF8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D03BBB9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OAX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56235" w14:textId="609F7262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154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52EFF" w14:textId="5FF3FF21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117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8B8C4" w14:textId="2E8F738D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516A9" w14:textId="5050A48A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</w:t>
            </w:r>
          </w:p>
        </w:tc>
      </w:tr>
      <w:tr w:rsidR="001D5221" w:rsidRPr="001D5221" w14:paraId="31AAE473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D0A1362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GRO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687E5" w14:textId="40C52470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151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8283E" w14:textId="6613C283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123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CBA60" w14:textId="1F1A1606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6C545" w14:textId="46CBB660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0</w:t>
            </w:r>
          </w:p>
        </w:tc>
      </w:tr>
      <w:tr w:rsidR="001D5221" w:rsidRPr="001D5221" w14:paraId="04F27F1C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40AD756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MICH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3C3A1" w14:textId="102064AF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116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4B29B" w14:textId="45C33EF4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58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4CA36" w14:textId="6E52E503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58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E54A7" w14:textId="7D28A424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0</w:t>
            </w:r>
          </w:p>
        </w:tc>
      </w:tr>
      <w:tr w:rsidR="001D5221" w:rsidRPr="001D5221" w14:paraId="1678EFC7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60312FC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COAH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C4822" w14:textId="1B2DE341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7FA1F" w14:textId="4A73F6ED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99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352D3" w14:textId="5DD4B26B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D4125" w14:textId="43CDA849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0</w:t>
            </w:r>
          </w:p>
        </w:tc>
      </w:tr>
      <w:tr w:rsidR="001D5221" w:rsidRPr="001D5221" w14:paraId="7DE15B33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89355C6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VER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E546A" w14:textId="43BDC432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924EC" w14:textId="621C9D89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63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A5756" w14:textId="7ED475C5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563C6" w14:textId="77777777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-</w:t>
            </w:r>
          </w:p>
        </w:tc>
      </w:tr>
      <w:tr w:rsidR="001D5221" w:rsidRPr="001D5221" w14:paraId="0FC41FF1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49749D2E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SLP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EBC9D" w14:textId="37B70113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690C7" w14:textId="02B10F25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62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CEF8C" w14:textId="5D9EBEBA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E8BC1" w14:textId="2E07DFEF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0</w:t>
            </w:r>
          </w:p>
        </w:tc>
      </w:tr>
      <w:tr w:rsidR="001D5221" w:rsidRPr="001D5221" w14:paraId="720987F9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20A1632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COL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27E78" w14:textId="7F268FB0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54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A7046" w14:textId="0563582A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20D7D" w14:textId="4F39F53C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C4902" w14:textId="7D81DE8D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0</w:t>
            </w:r>
          </w:p>
        </w:tc>
      </w:tr>
      <w:tr w:rsidR="001D5221" w:rsidRPr="001D5221" w14:paraId="02EC379D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72B248C6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BCS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ED4BB" w14:textId="7A43CCAB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3ED11" w14:textId="160FA94B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39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A6491" w14:textId="71DE6EBF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0DBC8" w14:textId="77777777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-</w:t>
            </w:r>
          </w:p>
        </w:tc>
      </w:tr>
      <w:tr w:rsidR="001D5221" w:rsidRPr="001D5221" w14:paraId="114F558F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3B1E3F1A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TLAX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7A3B7" w14:textId="7D4B80AE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41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050BD" w14:textId="5494979C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6316A" w14:textId="63891403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25F50" w14:textId="1CD196DA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0</w:t>
            </w:r>
          </w:p>
        </w:tc>
      </w:tr>
      <w:tr w:rsidR="001D5221" w:rsidRPr="001D5221" w14:paraId="08A024E3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2B921A7A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CAMP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E97C2" w14:textId="2F94E1EB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0B45D" w14:textId="7DABBB1A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400D2" w14:textId="4035C044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03221" w14:textId="691DD93A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0</w:t>
            </w:r>
          </w:p>
        </w:tc>
      </w:tr>
      <w:tr w:rsidR="001D5221" w:rsidRPr="001D5221" w14:paraId="259529E2" w14:textId="77777777" w:rsidTr="001D5221">
        <w:trPr>
          <w:trHeight w:val="20"/>
          <w:jc w:val="center"/>
        </w:trPr>
        <w:tc>
          <w:tcPr>
            <w:tcW w:w="1417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02B3D217" w14:textId="77777777" w:rsidR="001D5221" w:rsidRPr="001D5221" w:rsidRDefault="001D5221" w:rsidP="001D5221">
            <w:pPr>
              <w:spacing w:after="0"/>
              <w:jc w:val="both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NAY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F639E" w14:textId="39236ED2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D8522" w14:textId="1F5F4595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946F0" w14:textId="24FD300F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33A01" w14:textId="20297B81" w:rsidR="001D5221" w:rsidRPr="001D5221" w:rsidRDefault="001D5221" w:rsidP="001D5221">
            <w:pPr>
              <w:spacing w:after="0"/>
              <w:jc w:val="center"/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</w:pPr>
            <w:r w:rsidRPr="001D5221">
              <w:rPr>
                <w:rFonts w:ascii="Arial" w:hAnsi="Arial" w:cs="Arial"/>
                <w:iCs/>
                <w:noProof/>
                <w:sz w:val="18"/>
                <w:szCs w:val="18"/>
                <w:lang w:eastAsia="es-MX"/>
              </w:rPr>
              <w:t>0</w:t>
            </w:r>
          </w:p>
        </w:tc>
      </w:tr>
    </w:tbl>
    <w:p w14:paraId="5C0BEBB0" w14:textId="77777777" w:rsidR="00335153" w:rsidRDefault="00335153" w:rsidP="006B06B0">
      <w:pPr>
        <w:spacing w:after="0"/>
        <w:jc w:val="both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179E6B82" w14:textId="77777777" w:rsidR="00335153" w:rsidRDefault="00335153" w:rsidP="006B06B0">
      <w:pPr>
        <w:spacing w:after="0"/>
        <w:jc w:val="both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14B3E58B" w14:textId="617D9901" w:rsidR="00335153" w:rsidRDefault="0085289E" w:rsidP="006B06B0">
      <w:pPr>
        <w:spacing w:after="0"/>
        <w:jc w:val="both"/>
        <w:rPr>
          <w:rFonts w:ascii="Arial" w:hAnsi="Arial" w:cs="Arial"/>
          <w:iCs/>
          <w:noProof/>
          <w:sz w:val="16"/>
          <w:szCs w:val="16"/>
          <w:lang w:eastAsia="es-MX"/>
        </w:rPr>
      </w:pPr>
      <w:r w:rsidRPr="0085289E">
        <w:rPr>
          <w:rFonts w:ascii="Arial" w:hAnsi="Arial" w:cs="Arial"/>
          <w:iCs/>
          <w:noProof/>
          <w:sz w:val="16"/>
          <w:szCs w:val="16"/>
          <w:lang w:eastAsia="es-MX"/>
        </w:rPr>
        <w:t>(-): No contó con datos o elementos para responder.</w:t>
      </w:r>
    </w:p>
    <w:p w14:paraId="3855BFC5" w14:textId="6650568B" w:rsidR="0085289E" w:rsidRDefault="0085289E" w:rsidP="006B06B0">
      <w:pPr>
        <w:spacing w:after="0"/>
        <w:jc w:val="both"/>
        <w:rPr>
          <w:rFonts w:ascii="Arial" w:hAnsi="Arial" w:cs="Arial"/>
          <w:iCs/>
          <w:noProof/>
          <w:sz w:val="16"/>
          <w:szCs w:val="16"/>
          <w:lang w:eastAsia="es-MX"/>
        </w:rPr>
      </w:pPr>
      <w:r w:rsidRPr="0085289E">
        <w:rPr>
          <w:rFonts w:ascii="Arial" w:hAnsi="Arial" w:cs="Arial"/>
          <w:iCs/>
          <w:noProof/>
          <w:sz w:val="16"/>
          <w:szCs w:val="16"/>
          <w:lang w:eastAsia="es-MX"/>
        </w:rPr>
        <w:t xml:space="preserve">Nota: Incluye Sistema Tradicional, Sistema Penal Acusatorio (juzgados de control o garantías y tribunales de enjuiciamiento), Sistema Escrito o Mixto, Sistema Oral y Sistema Integral de Justicia Penal para Adolescentes (juzgados de control o garantías y tribunales de enjuiciamiento). No se incluye la categoría </w:t>
      </w:r>
      <w:r w:rsidR="0043057F">
        <w:rPr>
          <w:rFonts w:ascii="Arial" w:hAnsi="Arial" w:cs="Arial"/>
          <w:iCs/>
          <w:noProof/>
          <w:sz w:val="16"/>
          <w:szCs w:val="16"/>
          <w:lang w:eastAsia="es-MX"/>
        </w:rPr>
        <w:t>«</w:t>
      </w:r>
      <w:r w:rsidRPr="0085289E">
        <w:rPr>
          <w:rFonts w:ascii="Arial" w:hAnsi="Arial" w:cs="Arial"/>
          <w:iCs/>
          <w:noProof/>
          <w:sz w:val="16"/>
          <w:szCs w:val="16"/>
          <w:lang w:eastAsia="es-MX"/>
        </w:rPr>
        <w:t>No especificado</w:t>
      </w:r>
      <w:r w:rsidR="0043057F">
        <w:rPr>
          <w:rFonts w:ascii="Arial" w:hAnsi="Arial" w:cs="Arial"/>
          <w:iCs/>
          <w:noProof/>
          <w:sz w:val="16"/>
          <w:szCs w:val="16"/>
          <w:lang w:eastAsia="es-MX"/>
        </w:rPr>
        <w:t>»</w:t>
      </w:r>
      <w:r w:rsidRPr="0085289E">
        <w:rPr>
          <w:rFonts w:ascii="Arial" w:hAnsi="Arial" w:cs="Arial"/>
          <w:iCs/>
          <w:noProof/>
          <w:sz w:val="16"/>
          <w:szCs w:val="16"/>
          <w:lang w:eastAsia="es-MX"/>
        </w:rPr>
        <w:t xml:space="preserve"> que</w:t>
      </w:r>
      <w:r w:rsidR="0043057F">
        <w:rPr>
          <w:rFonts w:ascii="Arial" w:hAnsi="Arial" w:cs="Arial"/>
          <w:iCs/>
          <w:noProof/>
          <w:sz w:val="16"/>
          <w:szCs w:val="16"/>
          <w:lang w:eastAsia="es-MX"/>
        </w:rPr>
        <w:t>,</w:t>
      </w:r>
      <w:r w:rsidRPr="0085289E">
        <w:rPr>
          <w:rFonts w:ascii="Arial" w:hAnsi="Arial" w:cs="Arial"/>
          <w:iCs/>
          <w:noProof/>
          <w:sz w:val="16"/>
          <w:szCs w:val="16"/>
          <w:lang w:eastAsia="es-MX"/>
        </w:rPr>
        <w:t xml:space="preserve"> para el Poder Judicial de Chihuahua</w:t>
      </w:r>
      <w:r w:rsidR="0043057F">
        <w:rPr>
          <w:rFonts w:ascii="Arial" w:hAnsi="Arial" w:cs="Arial"/>
          <w:iCs/>
          <w:noProof/>
          <w:sz w:val="16"/>
          <w:szCs w:val="16"/>
          <w:lang w:eastAsia="es-MX"/>
        </w:rPr>
        <w:t>,</w:t>
      </w:r>
      <w:r w:rsidRPr="0085289E">
        <w:rPr>
          <w:rFonts w:ascii="Arial" w:hAnsi="Arial" w:cs="Arial"/>
          <w:iCs/>
          <w:noProof/>
          <w:sz w:val="16"/>
          <w:szCs w:val="16"/>
          <w:lang w:eastAsia="es-MX"/>
        </w:rPr>
        <w:t xml:space="preserve"> registró 24 personas</w:t>
      </w:r>
      <w:r w:rsidR="0057492B">
        <w:rPr>
          <w:rFonts w:ascii="Arial" w:hAnsi="Arial" w:cs="Arial"/>
          <w:iCs/>
          <w:noProof/>
          <w:sz w:val="16"/>
          <w:szCs w:val="16"/>
          <w:lang w:eastAsia="es-MX"/>
        </w:rPr>
        <w:t>.</w:t>
      </w:r>
    </w:p>
    <w:p w14:paraId="33150BF5" w14:textId="77777777" w:rsidR="0057492B" w:rsidRDefault="0057492B" w:rsidP="006B06B0">
      <w:pPr>
        <w:spacing w:after="0"/>
        <w:jc w:val="both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4BF41858" w14:textId="77777777" w:rsidR="0085289E" w:rsidRDefault="0085289E" w:rsidP="006B06B0">
      <w:pPr>
        <w:spacing w:after="0"/>
        <w:jc w:val="both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0B062BF2" w14:textId="7D214AD7" w:rsidR="008C73AB" w:rsidRPr="002570E4" w:rsidRDefault="000539CE" w:rsidP="008C73AB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 Negrita" w:hAnsi="Arial Negrita" w:cs="Arial"/>
          <w:b/>
          <w:bCs/>
          <w:sz w:val="24"/>
          <w:szCs w:val="24"/>
        </w:rPr>
      </w:pPr>
      <w:r w:rsidRPr="002570E4">
        <w:rPr>
          <w:rFonts w:ascii="Arial Negrita" w:hAnsi="Arial Negrita" w:cs="Arial"/>
          <w:b/>
          <w:bCs/>
          <w:sz w:val="24"/>
          <w:szCs w:val="24"/>
        </w:rPr>
        <w:t>Justicia alternativa y/</w:t>
      </w:r>
      <w:r w:rsidR="0043057F" w:rsidRPr="002570E4">
        <w:rPr>
          <w:rFonts w:ascii="Arial Negrita" w:hAnsi="Arial Negrita" w:cs="Arial"/>
          <w:b/>
          <w:bCs/>
          <w:sz w:val="24"/>
          <w:szCs w:val="24"/>
        </w:rPr>
        <w:t xml:space="preserve"> </w:t>
      </w:r>
      <w:r w:rsidRPr="002570E4">
        <w:rPr>
          <w:rFonts w:ascii="Arial Negrita" w:hAnsi="Arial Negrita" w:cs="Arial"/>
          <w:b/>
          <w:bCs/>
          <w:sz w:val="24"/>
          <w:szCs w:val="24"/>
        </w:rPr>
        <w:t>o mecanismos alternativos de soluci</w:t>
      </w:r>
      <w:r w:rsidRPr="002570E4">
        <w:rPr>
          <w:rFonts w:ascii="Arial Negrita" w:hAnsi="Arial Negrita" w:cs="Arial" w:hint="eastAsia"/>
          <w:b/>
          <w:bCs/>
          <w:sz w:val="24"/>
          <w:szCs w:val="24"/>
        </w:rPr>
        <w:t>ó</w:t>
      </w:r>
      <w:r w:rsidRPr="002570E4">
        <w:rPr>
          <w:rFonts w:ascii="Arial Negrita" w:hAnsi="Arial Negrita" w:cs="Arial"/>
          <w:b/>
          <w:bCs/>
          <w:sz w:val="24"/>
          <w:szCs w:val="24"/>
        </w:rPr>
        <w:t>n de controversias</w:t>
      </w:r>
    </w:p>
    <w:p w14:paraId="48DC3285" w14:textId="396F52AF" w:rsidR="008C73AB" w:rsidRDefault="008C73AB" w:rsidP="008C73AB">
      <w:pPr>
        <w:spacing w:after="0" w:line="240" w:lineRule="auto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4F36FE8E" w14:textId="472C73CF" w:rsidR="002F3829" w:rsidRDefault="0088622B" w:rsidP="005B7A73">
      <w:pPr>
        <w:pStyle w:val="Default"/>
        <w:spacing w:after="10"/>
        <w:ind w:right="284"/>
        <w:jc w:val="both"/>
        <w:rPr>
          <w:bCs/>
          <w:iCs/>
          <w:color w:val="000000" w:themeColor="text1"/>
          <w:sz w:val="20"/>
          <w:szCs w:val="20"/>
        </w:rPr>
      </w:pPr>
      <w:r>
        <w:rPr>
          <w:iCs/>
          <w:noProof/>
          <w:color w:val="auto"/>
          <w:lang w:eastAsia="es-MX"/>
        </w:rPr>
        <w:t>Durante 2021, l</w:t>
      </w:r>
      <w:r w:rsidR="005B7A73">
        <w:rPr>
          <w:iCs/>
          <w:noProof/>
          <w:color w:val="auto"/>
          <w:lang w:eastAsia="es-MX"/>
        </w:rPr>
        <w:t xml:space="preserve">os </w:t>
      </w:r>
      <w:r w:rsidRPr="005B7A73">
        <w:rPr>
          <w:iCs/>
          <w:noProof/>
          <w:color w:val="auto"/>
          <w:lang w:eastAsia="es-MX"/>
        </w:rPr>
        <w:t>órganos o centros encargados de la aplicación de justicia alternativa y/</w:t>
      </w:r>
      <w:r w:rsidR="0043057F">
        <w:rPr>
          <w:iCs/>
          <w:noProof/>
          <w:color w:val="auto"/>
          <w:lang w:eastAsia="es-MX"/>
        </w:rPr>
        <w:t xml:space="preserve"> </w:t>
      </w:r>
      <w:r w:rsidRPr="005B7A73">
        <w:rPr>
          <w:iCs/>
          <w:noProof/>
          <w:color w:val="auto"/>
          <w:lang w:eastAsia="es-MX"/>
        </w:rPr>
        <w:t xml:space="preserve">o mecanismos alternativos de solución de controversias </w:t>
      </w:r>
      <w:r>
        <w:rPr>
          <w:iCs/>
          <w:noProof/>
          <w:color w:val="auto"/>
          <w:lang w:eastAsia="es-MX"/>
        </w:rPr>
        <w:t xml:space="preserve">de los </w:t>
      </w:r>
      <w:r w:rsidR="005B7A73" w:rsidRPr="005B7A73">
        <w:rPr>
          <w:iCs/>
          <w:noProof/>
          <w:color w:val="auto"/>
          <w:lang w:eastAsia="es-MX"/>
        </w:rPr>
        <w:t xml:space="preserve">poderes judiciales estatales reportaron </w:t>
      </w:r>
      <w:r w:rsidR="005B7A73">
        <w:rPr>
          <w:iCs/>
          <w:noProof/>
          <w:color w:val="auto"/>
          <w:lang w:eastAsia="es-MX"/>
        </w:rPr>
        <w:t xml:space="preserve">un total de </w:t>
      </w:r>
      <w:r w:rsidR="005B7A73" w:rsidRPr="005B7A73">
        <w:rPr>
          <w:iCs/>
          <w:noProof/>
          <w:color w:val="auto"/>
          <w:lang w:eastAsia="es-MX"/>
        </w:rPr>
        <w:t xml:space="preserve">182 927 expedientes abiertos, 170 341 expedientes concluidos y </w:t>
      </w:r>
      <w:r>
        <w:rPr>
          <w:iCs/>
          <w:noProof/>
          <w:color w:val="auto"/>
          <w:lang w:eastAsia="es-MX"/>
        </w:rPr>
        <w:br/>
      </w:r>
      <w:r w:rsidR="005B7A73" w:rsidRPr="005B7A73">
        <w:rPr>
          <w:iCs/>
          <w:noProof/>
          <w:color w:val="auto"/>
          <w:lang w:eastAsia="es-MX"/>
        </w:rPr>
        <w:t>19 866 expedientes pendientes de concluir en todas las materias. En contraste con 2020, dichos expedientes aumentaron 50.5, 49.5 y 42.0 %, respectivamente.</w:t>
      </w:r>
    </w:p>
    <w:p w14:paraId="5D3AD359" w14:textId="77777777" w:rsidR="005209FA" w:rsidRDefault="005209FA" w:rsidP="002F3829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6908D27A" w14:textId="77777777" w:rsidR="005209FA" w:rsidRDefault="005209FA" w:rsidP="002F3829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62E1D258" w14:textId="1F6EC22F" w:rsidR="002F3829" w:rsidRPr="00963A3F" w:rsidRDefault="002F3829" w:rsidP="002F3829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F53C86">
        <w:rPr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2</w:t>
      </w:r>
      <w:r w:rsidR="008E34A3">
        <w:rPr>
          <w:bCs/>
          <w:iCs/>
          <w:color w:val="000000" w:themeColor="text1"/>
          <w:sz w:val="20"/>
          <w:szCs w:val="20"/>
        </w:rPr>
        <w:t>9</w:t>
      </w:r>
    </w:p>
    <w:p w14:paraId="6FA643CA" w14:textId="745FD610" w:rsidR="00A0655E" w:rsidRDefault="00A0655E" w:rsidP="002F3829">
      <w:pPr>
        <w:pStyle w:val="NormalWeb"/>
        <w:spacing w:before="0" w:beforeAutospacing="0" w:after="0" w:afterAutospacing="0"/>
        <w:contextualSpacing/>
        <w:jc w:val="center"/>
        <w:rPr>
          <w:rFonts w:ascii="Arial" w:eastAsiaTheme="minorHAnsi" w:hAnsi="Arial" w:cs="Arial"/>
          <w:b/>
          <w:bCs/>
          <w:iCs/>
          <w:smallCaps/>
          <w:color w:val="000000" w:themeColor="text1"/>
          <w:sz w:val="22"/>
          <w:szCs w:val="22"/>
          <w:lang w:eastAsia="en-US"/>
        </w:rPr>
      </w:pPr>
      <w:r w:rsidRPr="00A0655E">
        <w:rPr>
          <w:rFonts w:ascii="Arial" w:eastAsiaTheme="minorHAnsi" w:hAnsi="Arial" w:cs="Arial"/>
          <w:b/>
          <w:bCs/>
          <w:iCs/>
          <w:smallCaps/>
          <w:color w:val="000000" w:themeColor="text1"/>
          <w:sz w:val="22"/>
          <w:szCs w:val="22"/>
          <w:lang w:eastAsia="en-US"/>
        </w:rPr>
        <w:t>Expedientes abiertos, concluidos y pendientes de concluir en los órganos o centros encargados de la aplicación de justicia alternativa y/</w:t>
      </w:r>
      <w:r w:rsidR="004C1AFD">
        <w:rPr>
          <w:rFonts w:ascii="Arial" w:eastAsiaTheme="minorHAnsi" w:hAnsi="Arial" w:cs="Arial"/>
          <w:b/>
          <w:bCs/>
          <w:iCs/>
          <w:smallCaps/>
          <w:color w:val="000000" w:themeColor="text1"/>
          <w:sz w:val="22"/>
          <w:szCs w:val="22"/>
          <w:lang w:eastAsia="en-US"/>
        </w:rPr>
        <w:t xml:space="preserve"> </w:t>
      </w:r>
      <w:r w:rsidRPr="00A0655E">
        <w:rPr>
          <w:rFonts w:ascii="Arial" w:eastAsiaTheme="minorHAnsi" w:hAnsi="Arial" w:cs="Arial"/>
          <w:b/>
          <w:bCs/>
          <w:iCs/>
          <w:smallCaps/>
          <w:color w:val="000000" w:themeColor="text1"/>
          <w:sz w:val="22"/>
          <w:szCs w:val="22"/>
          <w:lang w:eastAsia="en-US"/>
        </w:rPr>
        <w:t xml:space="preserve">o mecanismos alternativos </w:t>
      </w:r>
    </w:p>
    <w:p w14:paraId="4B578108" w14:textId="0DF0AAF8" w:rsidR="00A0655E" w:rsidRDefault="00A0655E" w:rsidP="00A0655E">
      <w:pPr>
        <w:pStyle w:val="NormalWeb"/>
        <w:spacing w:before="0" w:beforeAutospacing="0" w:after="0" w:afterAutospacing="0"/>
        <w:contextualSpacing/>
        <w:jc w:val="center"/>
        <w:rPr>
          <w:rFonts w:ascii="Arial" w:eastAsiaTheme="minorHAnsi" w:hAnsi="Arial" w:cs="Arial"/>
          <w:b/>
          <w:bCs/>
          <w:iCs/>
          <w:smallCaps/>
          <w:color w:val="000000" w:themeColor="text1"/>
          <w:sz w:val="22"/>
          <w:szCs w:val="22"/>
          <w:lang w:eastAsia="en-US"/>
        </w:rPr>
      </w:pPr>
      <w:r w:rsidRPr="00A0655E">
        <w:rPr>
          <w:rFonts w:ascii="Arial" w:eastAsiaTheme="minorHAnsi" w:hAnsi="Arial" w:cs="Arial"/>
          <w:b/>
          <w:bCs/>
          <w:iCs/>
          <w:smallCaps/>
          <w:color w:val="000000" w:themeColor="text1"/>
          <w:sz w:val="22"/>
          <w:szCs w:val="22"/>
          <w:lang w:eastAsia="en-US"/>
        </w:rPr>
        <w:t>de solución de controversias, por estatus</w:t>
      </w:r>
    </w:p>
    <w:p w14:paraId="64DB9394" w14:textId="77777777" w:rsidR="00FC2E82" w:rsidRPr="00A0655E" w:rsidRDefault="00FC2E82" w:rsidP="00A0655E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</w:p>
    <w:p w14:paraId="08B796A3" w14:textId="17901DC2" w:rsidR="00A0655E" w:rsidRDefault="00A0655E" w:rsidP="0017099A">
      <w:pPr>
        <w:spacing w:after="0"/>
        <w:jc w:val="both"/>
        <w:rPr>
          <w:rFonts w:ascii="Arial" w:hAnsi="Arial" w:cs="Arial"/>
          <w:iCs/>
          <w:noProof/>
          <w:sz w:val="16"/>
          <w:szCs w:val="16"/>
          <w:lang w:eastAsia="es-MX"/>
        </w:rPr>
      </w:pPr>
      <w:r w:rsidRPr="00A0655E">
        <w:rPr>
          <w:rFonts w:ascii="Arial" w:hAnsi="Arial" w:cs="Arial"/>
          <w:iCs/>
          <w:noProof/>
          <w:sz w:val="16"/>
          <w:szCs w:val="16"/>
          <w:lang w:eastAsia="es-MX"/>
        </w:rPr>
        <w:drawing>
          <wp:inline distT="0" distB="0" distL="0" distR="0" wp14:anchorId="0ED266DC" wp14:editId="4D568A5C">
            <wp:extent cx="6404610" cy="2083981"/>
            <wp:effectExtent l="0" t="0" r="0" b="0"/>
            <wp:docPr id="143" name="Gráfico 143">
              <a:extLst xmlns:a="http://schemas.openxmlformats.org/drawingml/2006/main">
                <a:ext uri="{FF2B5EF4-FFF2-40B4-BE49-F238E27FC236}">
                  <a16:creationId xmlns:a16="http://schemas.microsoft.com/office/drawing/2014/main" id="{56E4C909-7020-4DD1-B922-F50340A87E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45A00579" w14:textId="77777777" w:rsidR="00A0655E" w:rsidRDefault="00A0655E" w:rsidP="0017099A">
      <w:pPr>
        <w:spacing w:after="0"/>
        <w:jc w:val="both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1945714D" w14:textId="77777777" w:rsidR="00A0655E" w:rsidRDefault="00A0655E" w:rsidP="0017099A">
      <w:pPr>
        <w:spacing w:after="0"/>
        <w:jc w:val="both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76ADB24B" w14:textId="77777777" w:rsidR="00A0655E" w:rsidRDefault="00A0655E" w:rsidP="0017099A">
      <w:pPr>
        <w:spacing w:after="0"/>
        <w:jc w:val="both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72C50A2B" w14:textId="75DDC857" w:rsidR="00A0655E" w:rsidRDefault="007938EB" w:rsidP="0017099A">
      <w:pPr>
        <w:spacing w:after="0"/>
        <w:jc w:val="both"/>
        <w:rPr>
          <w:rFonts w:ascii="Arial" w:hAnsi="Arial" w:cs="Arial"/>
          <w:iCs/>
          <w:noProof/>
          <w:sz w:val="24"/>
          <w:szCs w:val="24"/>
          <w:lang w:eastAsia="es-MX"/>
        </w:rPr>
      </w:pPr>
      <w:r w:rsidRPr="007938EB">
        <w:rPr>
          <w:rFonts w:ascii="Arial" w:hAnsi="Arial" w:cs="Arial"/>
          <w:iCs/>
          <w:noProof/>
          <w:sz w:val="24"/>
          <w:szCs w:val="24"/>
          <w:lang w:eastAsia="es-MX"/>
        </w:rPr>
        <w:t>Del total de expedientes conocidos en todas las materias por los órganos o centros encargados de la aplicación de justicia alternativa, la materia familiar concentró 40.0 % de los expedientes abiertos.</w:t>
      </w:r>
    </w:p>
    <w:p w14:paraId="4C6248BA" w14:textId="77777777" w:rsidR="007938EB" w:rsidRPr="007938EB" w:rsidRDefault="007938EB" w:rsidP="0017099A">
      <w:pPr>
        <w:spacing w:after="0"/>
        <w:jc w:val="both"/>
        <w:rPr>
          <w:rFonts w:ascii="Arial" w:hAnsi="Arial" w:cs="Arial"/>
          <w:iCs/>
          <w:noProof/>
          <w:sz w:val="24"/>
          <w:szCs w:val="24"/>
          <w:lang w:eastAsia="es-MX"/>
        </w:rPr>
      </w:pPr>
    </w:p>
    <w:p w14:paraId="2A42519C" w14:textId="56E0F424" w:rsidR="004A061D" w:rsidRDefault="0048023B" w:rsidP="004A061D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F53C86">
        <w:rPr>
          <w:bCs/>
          <w:iCs/>
          <w:color w:val="000000" w:themeColor="text1"/>
          <w:sz w:val="20"/>
          <w:szCs w:val="20"/>
        </w:rPr>
        <w:t xml:space="preserve">Gráfica </w:t>
      </w:r>
      <w:r w:rsidR="008E34A3">
        <w:rPr>
          <w:bCs/>
          <w:iCs/>
          <w:color w:val="000000" w:themeColor="text1"/>
          <w:sz w:val="20"/>
          <w:szCs w:val="20"/>
        </w:rPr>
        <w:t>30</w:t>
      </w:r>
    </w:p>
    <w:p w14:paraId="113BEC32" w14:textId="4D418D5C" w:rsidR="00F548B2" w:rsidRDefault="004A061D" w:rsidP="004A061D">
      <w:pPr>
        <w:pStyle w:val="Default"/>
        <w:ind w:right="284"/>
        <w:jc w:val="center"/>
        <w:rPr>
          <w:rFonts w:ascii="Arial Negrita" w:hAnsi="Arial Negrita"/>
          <w:b/>
          <w:bCs/>
          <w:smallCaps/>
        </w:rPr>
      </w:pPr>
      <w:r w:rsidRPr="004A061D">
        <w:rPr>
          <w:b/>
          <w:bCs/>
          <w:iCs/>
          <w:smallCaps/>
          <w:color w:val="000000" w:themeColor="text1"/>
        </w:rPr>
        <w:t>Expedientes abiertos, concluidos y pendientes de concluir por los órganos o centros encargados de la aplicación de justicia alternativa, según materia y estatus, 2021</w:t>
      </w:r>
    </w:p>
    <w:p w14:paraId="730180C6" w14:textId="6E0A286C" w:rsidR="00455FDD" w:rsidRDefault="00455FDD" w:rsidP="008C73AB">
      <w:pPr>
        <w:spacing w:after="0" w:line="240" w:lineRule="auto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29DB485C" w14:textId="3CEB1731" w:rsidR="00F64FD0" w:rsidRDefault="005E2578" w:rsidP="00F64FD0">
      <w:pPr>
        <w:spacing w:after="0"/>
        <w:jc w:val="center"/>
        <w:rPr>
          <w:rFonts w:ascii="Arial" w:hAnsi="Arial" w:cs="Arial"/>
          <w:b/>
          <w:bCs/>
          <w:i/>
          <w:iCs/>
          <w:color w:val="706F6F"/>
          <w:sz w:val="18"/>
          <w:szCs w:val="24"/>
        </w:rPr>
      </w:pPr>
      <w:r w:rsidRPr="005E2578">
        <w:rPr>
          <w:rFonts w:ascii="Arial" w:hAnsi="Arial" w:cs="Arial"/>
          <w:b/>
          <w:bCs/>
          <w:i/>
          <w:iCs/>
          <w:noProof/>
          <w:color w:val="706F6F"/>
          <w:sz w:val="18"/>
          <w:szCs w:val="18"/>
        </w:rPr>
        <w:drawing>
          <wp:inline distT="0" distB="0" distL="0" distR="0" wp14:anchorId="7EF765F9" wp14:editId="01CEF597">
            <wp:extent cx="6404610" cy="1658679"/>
            <wp:effectExtent l="0" t="0" r="0" b="0"/>
            <wp:docPr id="144" name="Gráfico 144">
              <a:extLst xmlns:a="http://schemas.openxmlformats.org/drawingml/2006/main">
                <a:ext uri="{FF2B5EF4-FFF2-40B4-BE49-F238E27FC236}">
                  <a16:creationId xmlns:a16="http://schemas.microsoft.com/office/drawing/2014/main" id="{15D15B8A-A26D-4CB2-B004-A0D329D9CC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1A6BDB9E" w14:textId="0F63A571" w:rsidR="00455FDD" w:rsidRDefault="002C7864" w:rsidP="001F7C30">
      <w:pPr>
        <w:spacing w:after="0"/>
        <w:jc w:val="both"/>
        <w:rPr>
          <w:rFonts w:ascii="Arial" w:hAnsi="Arial" w:cs="Arial"/>
          <w:iCs/>
          <w:noProof/>
          <w:sz w:val="16"/>
          <w:szCs w:val="16"/>
          <w:lang w:eastAsia="es-MX"/>
        </w:rPr>
      </w:pPr>
      <w:r w:rsidRPr="002C7864">
        <w:rPr>
          <w:rFonts w:ascii="Arial" w:hAnsi="Arial" w:cs="Arial"/>
          <w:iCs/>
          <w:noProof/>
          <w:sz w:val="16"/>
          <w:szCs w:val="16"/>
          <w:lang w:eastAsia="es-MX"/>
        </w:rPr>
        <w:t>Nota: No se incluye la materia indígena</w:t>
      </w:r>
      <w:r w:rsidR="00EB0076">
        <w:rPr>
          <w:rFonts w:ascii="Arial" w:hAnsi="Arial" w:cs="Arial"/>
          <w:iCs/>
          <w:noProof/>
          <w:sz w:val="16"/>
          <w:szCs w:val="16"/>
          <w:lang w:eastAsia="es-MX"/>
        </w:rPr>
        <w:t xml:space="preserve">. Esta </w:t>
      </w:r>
      <w:r w:rsidRPr="002C7864">
        <w:rPr>
          <w:rFonts w:ascii="Arial" w:hAnsi="Arial" w:cs="Arial"/>
          <w:iCs/>
          <w:noProof/>
          <w:sz w:val="16"/>
          <w:szCs w:val="16"/>
          <w:lang w:eastAsia="es-MX"/>
        </w:rPr>
        <w:t>presentó la siguiente distribución de expedientes: 503 abiertos, 573 concluidos y 97 pendientes de concluir</w:t>
      </w:r>
      <w:r w:rsidR="00EB0076">
        <w:rPr>
          <w:rFonts w:ascii="Arial" w:hAnsi="Arial" w:cs="Arial"/>
          <w:iCs/>
          <w:noProof/>
          <w:sz w:val="16"/>
          <w:szCs w:val="16"/>
          <w:lang w:eastAsia="es-MX"/>
        </w:rPr>
        <w:t>.</w:t>
      </w:r>
    </w:p>
    <w:p w14:paraId="52F619CF" w14:textId="77777777" w:rsidR="0018307F" w:rsidRDefault="0018307F" w:rsidP="00C942AB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</w:p>
    <w:p w14:paraId="477F0931" w14:textId="7CCEA056" w:rsidR="00A056F0" w:rsidRPr="00270E17" w:rsidRDefault="00A056F0" w:rsidP="00C942AB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  <w:r w:rsidRPr="00270E17">
        <w:rPr>
          <w:rFonts w:ascii="Arial" w:hAnsi="Arial" w:cs="Arial"/>
          <w:sz w:val="22"/>
          <w:szCs w:val="22"/>
        </w:rPr>
        <w:t>Para consultas de medios y periodistas</w:t>
      </w:r>
      <w:r w:rsidR="00F42B68">
        <w:rPr>
          <w:rFonts w:ascii="Arial" w:hAnsi="Arial" w:cs="Arial"/>
          <w:sz w:val="22"/>
          <w:szCs w:val="22"/>
        </w:rPr>
        <w:t xml:space="preserve"> </w:t>
      </w:r>
      <w:r w:rsidR="00EB0076">
        <w:rPr>
          <w:rFonts w:ascii="Arial" w:hAnsi="Arial" w:cs="Arial"/>
          <w:sz w:val="22"/>
          <w:szCs w:val="22"/>
        </w:rPr>
        <w:t>escribir</w:t>
      </w:r>
      <w:r w:rsidRPr="00270E17">
        <w:rPr>
          <w:rFonts w:ascii="Arial" w:hAnsi="Arial" w:cs="Arial"/>
          <w:sz w:val="22"/>
          <w:szCs w:val="22"/>
        </w:rPr>
        <w:t xml:space="preserve"> a: </w:t>
      </w:r>
      <w:hyperlink r:id="rId40" w:history="1">
        <w:r w:rsidRPr="00270E17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270E17">
        <w:rPr>
          <w:rFonts w:ascii="Arial" w:hAnsi="Arial" w:cs="Arial"/>
          <w:sz w:val="22"/>
          <w:szCs w:val="22"/>
        </w:rPr>
        <w:t xml:space="preserve"> </w:t>
      </w:r>
    </w:p>
    <w:p w14:paraId="12D3F262" w14:textId="77777777" w:rsidR="00A056F0" w:rsidRPr="00270E17" w:rsidRDefault="00A056F0" w:rsidP="00A056F0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  <w:r w:rsidRPr="00270E17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270E17">
        <w:rPr>
          <w:rFonts w:ascii="Arial" w:hAnsi="Arial" w:cs="Arial"/>
          <w:sz w:val="22"/>
          <w:szCs w:val="22"/>
        </w:rPr>
        <w:t>exts</w:t>
      </w:r>
      <w:proofErr w:type="spellEnd"/>
      <w:r w:rsidRPr="00270E17">
        <w:rPr>
          <w:rFonts w:ascii="Arial" w:hAnsi="Arial" w:cs="Arial"/>
          <w:sz w:val="22"/>
          <w:szCs w:val="22"/>
        </w:rPr>
        <w:t>. 1134, 1260 y 1241.</w:t>
      </w:r>
    </w:p>
    <w:p w14:paraId="57FDE4F3" w14:textId="71886B19" w:rsidR="00A056F0" w:rsidRDefault="00A056F0" w:rsidP="00A056F0">
      <w:pPr>
        <w:contextualSpacing/>
        <w:jc w:val="center"/>
        <w:rPr>
          <w:rFonts w:ascii="Arial" w:hAnsi="Arial" w:cs="Arial"/>
        </w:rPr>
      </w:pPr>
      <w:r w:rsidRPr="00270E17">
        <w:rPr>
          <w:rFonts w:ascii="Arial" w:hAnsi="Arial" w:cs="Arial"/>
        </w:rPr>
        <w:t>Dirección de Atención a Medios/</w:t>
      </w:r>
      <w:r w:rsidR="00756D5C">
        <w:rPr>
          <w:rFonts w:ascii="Arial" w:hAnsi="Arial" w:cs="Arial"/>
        </w:rPr>
        <w:t xml:space="preserve"> </w:t>
      </w:r>
      <w:r w:rsidRPr="00270E17">
        <w:rPr>
          <w:rFonts w:ascii="Arial" w:hAnsi="Arial" w:cs="Arial"/>
        </w:rPr>
        <w:t>Dirección General Adjunta de Comunicación</w:t>
      </w:r>
    </w:p>
    <w:p w14:paraId="19819C57" w14:textId="1C576BA2" w:rsidR="002C7864" w:rsidRDefault="002C7864" w:rsidP="00A056F0">
      <w:pPr>
        <w:contextualSpacing/>
        <w:jc w:val="center"/>
        <w:rPr>
          <w:rFonts w:ascii="Arial" w:hAnsi="Arial" w:cs="Arial"/>
        </w:rPr>
      </w:pPr>
    </w:p>
    <w:p w14:paraId="366C57E8" w14:textId="77777777" w:rsidR="002C7864" w:rsidRDefault="002C7864" w:rsidP="00A056F0">
      <w:pPr>
        <w:contextualSpacing/>
        <w:jc w:val="center"/>
        <w:rPr>
          <w:rFonts w:ascii="Arial" w:hAnsi="Arial" w:cs="Arial"/>
        </w:rPr>
      </w:pPr>
    </w:p>
    <w:p w14:paraId="7141F6FB" w14:textId="77777777" w:rsidR="00A056F0" w:rsidRPr="00270E17" w:rsidRDefault="00A056F0" w:rsidP="00A056F0">
      <w:pPr>
        <w:ind w:left="-425" w:right="-516"/>
        <w:contextualSpacing/>
        <w:jc w:val="center"/>
        <w:rPr>
          <w:noProof/>
          <w:lang w:eastAsia="es-MX"/>
        </w:rPr>
        <w:sectPr w:rsidR="00A056F0" w:rsidRPr="00270E17" w:rsidSect="006F29EB">
          <w:headerReference w:type="default" r:id="rId41"/>
          <w:footerReference w:type="default" r:id="rId42"/>
          <w:type w:val="continuous"/>
          <w:pgSz w:w="12240" w:h="15840"/>
          <w:pgMar w:top="1702" w:right="1020" w:bottom="851" w:left="1134" w:header="426" w:footer="413" w:gutter="0"/>
          <w:pgNumType w:start="1"/>
          <w:cols w:space="720"/>
        </w:sectPr>
      </w:pPr>
      <w:r w:rsidRPr="00270E17">
        <w:rPr>
          <w:noProof/>
          <w:lang w:eastAsia="es-MX"/>
        </w:rPr>
        <w:drawing>
          <wp:inline distT="0" distB="0" distL="0" distR="0" wp14:anchorId="0AACE390" wp14:editId="45D034FA">
            <wp:extent cx="165918" cy="173133"/>
            <wp:effectExtent l="0" t="0" r="5715" b="0"/>
            <wp:docPr id="83" name="Imagen 83" descr="C:\Users\saladeprensa\Desktop\NVOS LOGOS\F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33" cy="18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</w:t>
      </w:r>
      <w:r w:rsidRPr="00270E17">
        <w:rPr>
          <w:noProof/>
          <w:lang w:eastAsia="es-MX"/>
        </w:rPr>
        <w:drawing>
          <wp:inline distT="0" distB="0" distL="0" distR="0" wp14:anchorId="6FA65B3E" wp14:editId="113E7A8D">
            <wp:extent cx="164679" cy="164679"/>
            <wp:effectExtent l="0" t="0" r="6985" b="6985"/>
            <wp:docPr id="4" name="Imagen 4" descr="C:\Users\saladeprensa\Desktop\NVOS LOGOS\I.jp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36" cy="165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</w:t>
      </w:r>
      <w:r w:rsidRPr="00270E17">
        <w:rPr>
          <w:noProof/>
          <w:lang w:eastAsia="es-MX"/>
        </w:rPr>
        <w:drawing>
          <wp:inline distT="0" distB="0" distL="0" distR="0" wp14:anchorId="1E132876" wp14:editId="46FBF395">
            <wp:extent cx="173346" cy="173346"/>
            <wp:effectExtent l="0" t="0" r="0" b="0"/>
            <wp:docPr id="84" name="Imagen 84" descr="C:\Users\saladeprensa\Desktop\NVOS LOGOS\T.jp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89" cy="179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</w:t>
      </w:r>
      <w:r w:rsidRPr="00270E17">
        <w:rPr>
          <w:noProof/>
          <w:lang w:eastAsia="es-MX"/>
        </w:rPr>
        <w:drawing>
          <wp:inline distT="0" distB="0" distL="0" distR="0" wp14:anchorId="144D0099" wp14:editId="3918D61C">
            <wp:extent cx="169012" cy="169012"/>
            <wp:effectExtent l="0" t="0" r="2540" b="2540"/>
            <wp:docPr id="85" name="Imagen 85" descr="C:\Users\saladeprensa\Desktop\NVOS LOGOS\Y.jp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72" cy="17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 </w:t>
      </w:r>
      <w:r w:rsidRPr="00270E17">
        <w:rPr>
          <w:noProof/>
          <w:sz w:val="14"/>
          <w:szCs w:val="18"/>
          <w:lang w:eastAsia="es-MX"/>
        </w:rPr>
        <w:drawing>
          <wp:inline distT="0" distB="0" distL="0" distR="0" wp14:anchorId="09A67646" wp14:editId="356EE797">
            <wp:extent cx="1799177" cy="215900"/>
            <wp:effectExtent l="0" t="0" r="0" b="0"/>
            <wp:docPr id="86" name="Imagen 86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318" cy="228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AF674" w14:textId="7CBD79E8" w:rsidR="0050509E" w:rsidRDefault="0050509E" w:rsidP="00797111">
      <w:pPr>
        <w:spacing w:after="0" w:line="240" w:lineRule="auto"/>
        <w:ind w:left="-567"/>
        <w:jc w:val="both"/>
        <w:rPr>
          <w:rFonts w:ascii="Arial" w:hAnsi="Arial" w:cs="Arial"/>
          <w:color w:val="FF0000"/>
          <w:spacing w:val="-2"/>
          <w:sz w:val="24"/>
          <w:szCs w:val="24"/>
        </w:rPr>
      </w:pPr>
    </w:p>
    <w:p w14:paraId="061E3E85" w14:textId="77777777" w:rsidR="002C7864" w:rsidRDefault="002C7864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2F094418" w14:textId="603DD91E" w:rsidR="002C7864" w:rsidRDefault="002C7864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3FBF4078" w14:textId="27191D01" w:rsidR="00D8367C" w:rsidRDefault="00D8367C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097A67F0" w14:textId="77777777" w:rsidR="00D8367C" w:rsidRDefault="00D8367C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44D7D9A6" w14:textId="6CD7CF39" w:rsidR="00DD75E7" w:rsidRDefault="00DD75E7">
      <w:pPr>
        <w:spacing w:before="46" w:after="0" w:line="276" w:lineRule="auto"/>
        <w:ind w:left="567" w:right="601" w:hanging="2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</w:rPr>
        <w:br w:type="page"/>
      </w:r>
    </w:p>
    <w:p w14:paraId="2E35BE23" w14:textId="77777777" w:rsidR="00D115C8" w:rsidRPr="001D0E9F" w:rsidRDefault="00D115C8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5EFAA82B" w14:textId="3D1AB624" w:rsidR="00D115C8" w:rsidRPr="001D0E9F" w:rsidRDefault="00D115C8" w:rsidP="00462B4C">
      <w:pPr>
        <w:pStyle w:val="Default"/>
        <w:ind w:left="-567"/>
        <w:jc w:val="center"/>
        <w:rPr>
          <w:b/>
          <w:bCs/>
          <w:color w:val="000000" w:themeColor="text1"/>
        </w:rPr>
      </w:pPr>
      <w:r w:rsidRPr="001D0E9F">
        <w:rPr>
          <w:b/>
          <w:bCs/>
          <w:color w:val="000000" w:themeColor="text1"/>
        </w:rPr>
        <w:t>NOTA TÉCNICA</w:t>
      </w:r>
    </w:p>
    <w:p w14:paraId="6098E72B" w14:textId="77777777" w:rsidR="00BF58D2" w:rsidRPr="001D0E9F" w:rsidRDefault="00BF58D2" w:rsidP="00BF58D2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B0DB45" w14:textId="1DE9FD9A" w:rsidR="00EB0076" w:rsidRPr="00272C71" w:rsidRDefault="00027B7E" w:rsidP="002570E4">
      <w:pPr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El </w:t>
      </w:r>
      <w:r w:rsidR="00696BE2" w:rsidRPr="00696BE2">
        <w:rPr>
          <w:rFonts w:ascii="Arial" w:hAnsi="Arial" w:cs="Arial"/>
          <w:bCs/>
          <w:sz w:val="24"/>
          <w:szCs w:val="24"/>
        </w:rPr>
        <w:t>CN</w:t>
      </w:r>
      <w:r w:rsidR="002C7864">
        <w:rPr>
          <w:rFonts w:ascii="Arial" w:hAnsi="Arial" w:cs="Arial"/>
          <w:bCs/>
          <w:sz w:val="24"/>
          <w:szCs w:val="24"/>
        </w:rPr>
        <w:t>IJE</w:t>
      </w:r>
      <w:r w:rsidR="00696BE2" w:rsidRPr="00696BE2">
        <w:rPr>
          <w:rFonts w:ascii="Arial" w:hAnsi="Arial" w:cs="Arial"/>
          <w:bCs/>
          <w:sz w:val="24"/>
          <w:szCs w:val="24"/>
        </w:rPr>
        <w:t xml:space="preserve"> 202</w:t>
      </w:r>
      <w:r w:rsidR="00696BE2">
        <w:rPr>
          <w:rFonts w:ascii="Arial" w:hAnsi="Arial" w:cs="Arial"/>
          <w:bCs/>
          <w:sz w:val="24"/>
          <w:szCs w:val="24"/>
        </w:rPr>
        <w:t xml:space="preserve">2 </w:t>
      </w:r>
      <w:r w:rsidR="005243FD">
        <w:rPr>
          <w:rFonts w:ascii="Arial" w:hAnsi="Arial" w:cs="Arial"/>
          <w:bCs/>
          <w:sz w:val="24"/>
          <w:szCs w:val="24"/>
        </w:rPr>
        <w:t xml:space="preserve">es un </w:t>
      </w:r>
      <w:r w:rsidR="00696BE2" w:rsidRPr="00696BE2">
        <w:rPr>
          <w:rFonts w:ascii="Arial" w:hAnsi="Arial" w:cs="Arial"/>
          <w:bCs/>
          <w:sz w:val="24"/>
          <w:szCs w:val="24"/>
        </w:rPr>
        <w:t xml:space="preserve">programa estadístico que se realiza en </w:t>
      </w:r>
      <w:r w:rsidR="005243FD">
        <w:rPr>
          <w:rFonts w:ascii="Arial" w:hAnsi="Arial" w:cs="Arial"/>
          <w:bCs/>
          <w:sz w:val="24"/>
          <w:szCs w:val="24"/>
        </w:rPr>
        <w:t>el</w:t>
      </w:r>
      <w:r w:rsidR="00696BE2" w:rsidRPr="00696BE2">
        <w:rPr>
          <w:rFonts w:ascii="Arial" w:hAnsi="Arial" w:cs="Arial"/>
          <w:bCs/>
          <w:sz w:val="24"/>
          <w:szCs w:val="24"/>
        </w:rPr>
        <w:t xml:space="preserve"> ámbito estatal </w:t>
      </w:r>
      <w:r w:rsidR="008220F8">
        <w:rPr>
          <w:rFonts w:ascii="Arial" w:hAnsi="Arial" w:cs="Arial"/>
          <w:bCs/>
          <w:sz w:val="24"/>
          <w:szCs w:val="24"/>
        </w:rPr>
        <w:t>m</w:t>
      </w:r>
      <w:r w:rsidR="00696BE2" w:rsidRPr="00696BE2">
        <w:rPr>
          <w:rFonts w:ascii="Arial" w:hAnsi="Arial" w:cs="Arial"/>
          <w:bCs/>
          <w:sz w:val="24"/>
          <w:szCs w:val="24"/>
        </w:rPr>
        <w:t>exicano</w:t>
      </w:r>
      <w:r w:rsidR="003A06AA">
        <w:rPr>
          <w:rFonts w:ascii="Arial" w:hAnsi="Arial" w:cs="Arial"/>
          <w:bCs/>
          <w:sz w:val="24"/>
          <w:szCs w:val="24"/>
        </w:rPr>
        <w:t>. Este programa</w:t>
      </w:r>
      <w:r w:rsidR="008220F8">
        <w:rPr>
          <w:rFonts w:ascii="Arial" w:hAnsi="Arial" w:cs="Arial"/>
          <w:bCs/>
          <w:sz w:val="24"/>
          <w:szCs w:val="24"/>
        </w:rPr>
        <w:t xml:space="preserve"> ofrece in</w:t>
      </w:r>
      <w:r w:rsidR="00696BE2" w:rsidRPr="00696BE2">
        <w:rPr>
          <w:rFonts w:ascii="Arial" w:hAnsi="Arial" w:cs="Arial"/>
          <w:bCs/>
          <w:sz w:val="24"/>
          <w:szCs w:val="24"/>
        </w:rPr>
        <w:t>formación sobre la</w:t>
      </w:r>
      <w:r w:rsidR="00696BE2">
        <w:rPr>
          <w:rFonts w:ascii="Arial" w:hAnsi="Arial" w:cs="Arial"/>
          <w:bCs/>
          <w:sz w:val="24"/>
          <w:szCs w:val="24"/>
        </w:rPr>
        <w:t xml:space="preserve"> </w:t>
      </w:r>
      <w:r w:rsidR="00696BE2" w:rsidRPr="00696BE2">
        <w:rPr>
          <w:rFonts w:ascii="Arial" w:hAnsi="Arial" w:cs="Arial"/>
          <w:bCs/>
          <w:sz w:val="24"/>
          <w:szCs w:val="24"/>
        </w:rPr>
        <w:t xml:space="preserve">estructura, organización, recursos y ejercicio de la función </w:t>
      </w:r>
      <w:r w:rsidR="002C7864">
        <w:rPr>
          <w:rFonts w:ascii="Arial" w:hAnsi="Arial" w:cs="Arial"/>
          <w:bCs/>
          <w:sz w:val="24"/>
          <w:szCs w:val="24"/>
        </w:rPr>
        <w:t>de</w:t>
      </w:r>
      <w:r w:rsidR="00B97C34">
        <w:rPr>
          <w:rFonts w:ascii="Arial" w:hAnsi="Arial" w:cs="Arial"/>
          <w:bCs/>
          <w:sz w:val="24"/>
          <w:szCs w:val="24"/>
        </w:rPr>
        <w:t xml:space="preserve"> los poderes judiciales </w:t>
      </w:r>
      <w:r w:rsidR="003A06AA">
        <w:rPr>
          <w:rFonts w:ascii="Arial" w:hAnsi="Arial" w:cs="Arial"/>
          <w:bCs/>
          <w:sz w:val="24"/>
          <w:szCs w:val="24"/>
        </w:rPr>
        <w:t>de</w:t>
      </w:r>
      <w:r w:rsidR="003A06AA" w:rsidRPr="00696BE2">
        <w:rPr>
          <w:rFonts w:ascii="Arial" w:hAnsi="Arial" w:cs="Arial"/>
          <w:bCs/>
          <w:sz w:val="24"/>
          <w:szCs w:val="24"/>
        </w:rPr>
        <w:t xml:space="preserve"> </w:t>
      </w:r>
      <w:r w:rsidR="00696BE2" w:rsidRPr="00696BE2">
        <w:rPr>
          <w:rFonts w:ascii="Arial" w:hAnsi="Arial" w:cs="Arial"/>
          <w:bCs/>
          <w:sz w:val="24"/>
          <w:szCs w:val="24"/>
        </w:rPr>
        <w:t>cada</w:t>
      </w:r>
      <w:r w:rsidR="00696BE2">
        <w:rPr>
          <w:rFonts w:ascii="Arial" w:hAnsi="Arial" w:cs="Arial"/>
          <w:bCs/>
          <w:sz w:val="24"/>
          <w:szCs w:val="24"/>
        </w:rPr>
        <w:t xml:space="preserve"> </w:t>
      </w:r>
      <w:r w:rsidR="00696BE2" w:rsidRPr="00696BE2">
        <w:rPr>
          <w:rFonts w:ascii="Arial" w:hAnsi="Arial" w:cs="Arial"/>
          <w:bCs/>
          <w:sz w:val="24"/>
          <w:szCs w:val="24"/>
        </w:rPr>
        <w:t>entidad federativa.</w:t>
      </w:r>
      <w:r w:rsidR="00EB0076">
        <w:rPr>
          <w:rFonts w:ascii="Arial" w:hAnsi="Arial" w:cs="Arial"/>
          <w:bCs/>
          <w:sz w:val="24"/>
          <w:szCs w:val="24"/>
        </w:rPr>
        <w:t xml:space="preserve"> </w:t>
      </w:r>
      <w:r w:rsidR="00EB0076" w:rsidRPr="00272C71">
        <w:rPr>
          <w:rFonts w:ascii="Arial" w:hAnsi="Arial" w:cs="Arial"/>
          <w:sz w:val="24"/>
          <w:szCs w:val="24"/>
        </w:rPr>
        <w:t xml:space="preserve">Los resultados del </w:t>
      </w:r>
      <w:r w:rsidR="00EB0076" w:rsidRPr="00696BE2">
        <w:rPr>
          <w:rFonts w:ascii="Arial" w:hAnsi="Arial" w:cs="Arial"/>
          <w:bCs/>
          <w:sz w:val="24"/>
          <w:szCs w:val="24"/>
        </w:rPr>
        <w:t>CN</w:t>
      </w:r>
      <w:r w:rsidR="00EB0076">
        <w:rPr>
          <w:rFonts w:ascii="Arial" w:hAnsi="Arial" w:cs="Arial"/>
          <w:bCs/>
          <w:sz w:val="24"/>
          <w:szCs w:val="24"/>
        </w:rPr>
        <w:t>IJ</w:t>
      </w:r>
      <w:r w:rsidR="00EB0076" w:rsidRPr="00696BE2">
        <w:rPr>
          <w:rFonts w:ascii="Arial" w:hAnsi="Arial" w:cs="Arial"/>
          <w:bCs/>
          <w:sz w:val="24"/>
          <w:szCs w:val="24"/>
        </w:rPr>
        <w:t>E</w:t>
      </w:r>
      <w:r w:rsidR="00EB0076" w:rsidRPr="00272C71">
        <w:rPr>
          <w:rFonts w:ascii="Arial" w:hAnsi="Arial" w:cs="Arial"/>
          <w:sz w:val="24"/>
          <w:szCs w:val="24"/>
        </w:rPr>
        <w:t xml:space="preserve"> 2022 integran información correspondiente a 2021 y 2022</w:t>
      </w:r>
      <w:r w:rsidR="00EB0076">
        <w:rPr>
          <w:rFonts w:ascii="Arial" w:hAnsi="Arial" w:cs="Arial"/>
          <w:sz w:val="24"/>
          <w:szCs w:val="24"/>
        </w:rPr>
        <w:t>, e</w:t>
      </w:r>
      <w:r w:rsidR="00EB0076" w:rsidRPr="00272C71">
        <w:rPr>
          <w:rFonts w:ascii="Arial" w:hAnsi="Arial" w:cs="Arial"/>
          <w:sz w:val="24"/>
          <w:szCs w:val="24"/>
        </w:rPr>
        <w:t>ste último solo para las preguntas que solicitan datos al momento de la aplicación del cuestionario.</w:t>
      </w:r>
      <w:r w:rsidR="00EB0076" w:rsidRPr="00EB0076">
        <w:rPr>
          <w:rFonts w:ascii="Arial" w:hAnsi="Arial" w:cs="Arial"/>
          <w:sz w:val="24"/>
          <w:szCs w:val="24"/>
        </w:rPr>
        <w:t xml:space="preserve"> </w:t>
      </w:r>
      <w:r w:rsidR="00EB0076" w:rsidRPr="00696BE2">
        <w:rPr>
          <w:rFonts w:ascii="Arial" w:hAnsi="Arial" w:cs="Arial"/>
          <w:sz w:val="24"/>
          <w:szCs w:val="24"/>
        </w:rPr>
        <w:t xml:space="preserve">Las unidades de análisis son </w:t>
      </w:r>
      <w:r w:rsidR="00EB0076">
        <w:rPr>
          <w:rFonts w:ascii="Arial" w:hAnsi="Arial" w:cs="Arial"/>
          <w:sz w:val="24"/>
          <w:szCs w:val="24"/>
        </w:rPr>
        <w:t xml:space="preserve">los poderes judiciales de cada entidad federativa. </w:t>
      </w:r>
      <w:r w:rsidR="00EB0076" w:rsidRPr="00AB1FA2">
        <w:rPr>
          <w:rFonts w:ascii="Arial" w:hAnsi="Arial" w:cs="Arial"/>
          <w:sz w:val="24"/>
          <w:szCs w:val="24"/>
        </w:rPr>
        <w:t xml:space="preserve">El levantamiento fue del </w:t>
      </w:r>
      <w:r w:rsidR="00EB0076" w:rsidRPr="00292CD8">
        <w:rPr>
          <w:rFonts w:ascii="Arial" w:hAnsi="Arial" w:cs="Arial"/>
          <w:sz w:val="24"/>
          <w:szCs w:val="24"/>
        </w:rPr>
        <w:t>25 de abril al 12 de agosto del 2022</w:t>
      </w:r>
      <w:r w:rsidR="00EB0076">
        <w:rPr>
          <w:rFonts w:ascii="Arial" w:hAnsi="Arial" w:cs="Arial"/>
          <w:sz w:val="24"/>
          <w:szCs w:val="24"/>
        </w:rPr>
        <w:t>.</w:t>
      </w:r>
    </w:p>
    <w:p w14:paraId="525B8740" w14:textId="59D8C48D" w:rsidR="00EB0076" w:rsidRPr="00272C71" w:rsidRDefault="00EB0076" w:rsidP="00EB0076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2D2509A0" w14:textId="71AC4DE8" w:rsidR="00044658" w:rsidRDefault="00D115C8" w:rsidP="00EB0076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1704A2">
        <w:rPr>
          <w:rFonts w:ascii="Arial" w:hAnsi="Arial" w:cs="Arial"/>
          <w:sz w:val="24"/>
          <w:szCs w:val="24"/>
        </w:rPr>
        <w:t xml:space="preserve">Los resultados se </w:t>
      </w:r>
      <w:r w:rsidR="008828B3" w:rsidRPr="001704A2">
        <w:rPr>
          <w:rFonts w:ascii="Arial" w:hAnsi="Arial" w:cs="Arial"/>
          <w:sz w:val="24"/>
          <w:szCs w:val="24"/>
        </w:rPr>
        <w:t>presenta</w:t>
      </w:r>
      <w:r w:rsidRPr="001704A2">
        <w:rPr>
          <w:rFonts w:ascii="Arial" w:hAnsi="Arial" w:cs="Arial"/>
          <w:sz w:val="24"/>
          <w:szCs w:val="24"/>
        </w:rPr>
        <w:t>n</w:t>
      </w:r>
      <w:r w:rsidR="008828B3" w:rsidRPr="001704A2">
        <w:rPr>
          <w:rFonts w:ascii="Arial" w:hAnsi="Arial" w:cs="Arial"/>
          <w:sz w:val="24"/>
          <w:szCs w:val="24"/>
        </w:rPr>
        <w:t xml:space="preserve"> </w:t>
      </w:r>
      <w:r w:rsidR="00590A70" w:rsidRPr="001704A2">
        <w:rPr>
          <w:rFonts w:ascii="Arial" w:hAnsi="Arial" w:cs="Arial"/>
          <w:sz w:val="24"/>
          <w:szCs w:val="24"/>
        </w:rPr>
        <w:t>en</w:t>
      </w:r>
      <w:r w:rsidR="00590A70" w:rsidRPr="001704A2">
        <w:rPr>
          <w:rFonts w:ascii="Arial" w:eastAsia="Times New Roman" w:hAnsi="Arial" w:cs="Arial"/>
          <w:sz w:val="24"/>
          <w:szCs w:val="24"/>
        </w:rPr>
        <w:t xml:space="preserve"> la página del Instituto</w:t>
      </w:r>
      <w:r w:rsidR="00590A70" w:rsidRPr="001704A2">
        <w:rPr>
          <w:rFonts w:ascii="Arial" w:hAnsi="Arial" w:cs="Arial"/>
          <w:spacing w:val="-2"/>
          <w:sz w:val="24"/>
          <w:szCs w:val="24"/>
        </w:rPr>
        <w:t xml:space="preserve">: </w:t>
      </w:r>
      <w:hyperlink r:id="rId53" w:history="1">
        <w:r w:rsidR="00292CD8" w:rsidRPr="00CF397E">
          <w:rPr>
            <w:rStyle w:val="Hipervnculo"/>
            <w:rFonts w:ascii="Arial" w:eastAsia="Times New Roman" w:hAnsi="Arial" w:cs="Arial"/>
            <w:sz w:val="24"/>
            <w:szCs w:val="24"/>
          </w:rPr>
          <w:t>https://www.inegi.org.mx/programas/cnije/2022/</w:t>
        </w:r>
      </w:hyperlink>
      <w:r w:rsidR="004972EA" w:rsidRPr="001704A2">
        <w:rPr>
          <w:rFonts w:ascii="Arial" w:eastAsia="Times New Roman" w:hAnsi="Arial" w:cs="Arial"/>
          <w:sz w:val="24"/>
          <w:szCs w:val="24"/>
        </w:rPr>
        <w:t xml:space="preserve"> </w:t>
      </w:r>
      <w:r w:rsidR="008828B3" w:rsidRPr="001704A2">
        <w:rPr>
          <w:rFonts w:ascii="Arial" w:hAnsi="Arial" w:cs="Arial"/>
          <w:sz w:val="24"/>
          <w:szCs w:val="24"/>
        </w:rPr>
        <w:t xml:space="preserve">mediante </w:t>
      </w:r>
      <w:r w:rsidR="00AB1FA2" w:rsidRPr="001704A2">
        <w:rPr>
          <w:rFonts w:ascii="Arial" w:hAnsi="Arial" w:cs="Arial"/>
          <w:sz w:val="24"/>
          <w:szCs w:val="24"/>
        </w:rPr>
        <w:t xml:space="preserve">cuadros estadísticos organizados </w:t>
      </w:r>
      <w:r w:rsidR="00AB1FA2" w:rsidRPr="00A202AD">
        <w:rPr>
          <w:rFonts w:ascii="Arial" w:hAnsi="Arial" w:cs="Arial"/>
          <w:sz w:val="24"/>
          <w:szCs w:val="24"/>
        </w:rPr>
        <w:t>en los siguientes apartados:</w:t>
      </w:r>
      <w:r w:rsidR="00F9530F" w:rsidRPr="00A202AD">
        <w:rPr>
          <w:rFonts w:ascii="Arial" w:hAnsi="Arial" w:cs="Arial"/>
          <w:sz w:val="24"/>
          <w:szCs w:val="24"/>
        </w:rPr>
        <w:t xml:space="preserve"> </w:t>
      </w:r>
      <w:r w:rsidR="00756D5C" w:rsidRPr="007E30B9">
        <w:rPr>
          <w:rFonts w:ascii="Arial" w:hAnsi="Arial" w:cs="Arial"/>
          <w:sz w:val="24"/>
          <w:szCs w:val="24"/>
        </w:rPr>
        <w:t>«</w:t>
      </w:r>
      <w:r w:rsidR="0024531A" w:rsidRPr="007E30B9">
        <w:rPr>
          <w:rFonts w:ascii="Arial" w:hAnsi="Arial" w:cs="Arial"/>
          <w:sz w:val="24"/>
          <w:szCs w:val="24"/>
        </w:rPr>
        <w:t>E</w:t>
      </w:r>
      <w:r w:rsidR="00F9530F" w:rsidRPr="007E30B9">
        <w:rPr>
          <w:rFonts w:ascii="Arial" w:hAnsi="Arial" w:cs="Arial"/>
          <w:sz w:val="24"/>
          <w:szCs w:val="24"/>
        </w:rPr>
        <w:t>structura organizacional y recursos</w:t>
      </w:r>
      <w:r w:rsidR="00756D5C" w:rsidRPr="007E30B9">
        <w:rPr>
          <w:rFonts w:ascii="Arial" w:hAnsi="Arial" w:cs="Arial"/>
          <w:sz w:val="24"/>
          <w:szCs w:val="24"/>
        </w:rPr>
        <w:t>»</w:t>
      </w:r>
      <w:r w:rsidR="00F9530F" w:rsidRPr="007E30B9">
        <w:rPr>
          <w:rFonts w:ascii="Arial" w:hAnsi="Arial" w:cs="Arial"/>
          <w:sz w:val="24"/>
          <w:szCs w:val="24"/>
        </w:rPr>
        <w:t xml:space="preserve"> y </w:t>
      </w:r>
      <w:r w:rsidR="00756D5C" w:rsidRPr="007E30B9">
        <w:rPr>
          <w:rFonts w:ascii="Arial" w:hAnsi="Arial" w:cs="Arial"/>
          <w:sz w:val="24"/>
          <w:szCs w:val="24"/>
        </w:rPr>
        <w:t>«</w:t>
      </w:r>
      <w:r w:rsidR="0024531A" w:rsidRPr="007E30B9">
        <w:rPr>
          <w:rFonts w:ascii="Arial" w:hAnsi="Arial" w:cs="Arial"/>
          <w:sz w:val="24"/>
          <w:szCs w:val="24"/>
        </w:rPr>
        <w:t>E</w:t>
      </w:r>
      <w:r w:rsidR="00F9530F" w:rsidRPr="007E30B9">
        <w:rPr>
          <w:rFonts w:ascii="Arial" w:hAnsi="Arial" w:cs="Arial"/>
          <w:sz w:val="24"/>
          <w:szCs w:val="24"/>
        </w:rPr>
        <w:t>jercicio de la función</w:t>
      </w:r>
      <w:r w:rsidR="00756D5C" w:rsidRPr="007E30B9">
        <w:rPr>
          <w:rFonts w:ascii="Arial" w:hAnsi="Arial" w:cs="Arial"/>
          <w:sz w:val="24"/>
          <w:szCs w:val="24"/>
        </w:rPr>
        <w:t>»</w:t>
      </w:r>
      <w:r w:rsidR="00F9530F" w:rsidRPr="007E30B9">
        <w:rPr>
          <w:rFonts w:ascii="Arial" w:hAnsi="Arial" w:cs="Arial"/>
          <w:sz w:val="24"/>
          <w:szCs w:val="24"/>
        </w:rPr>
        <w:t>.</w:t>
      </w:r>
    </w:p>
    <w:p w14:paraId="489DC8D4" w14:textId="682E4A73" w:rsidR="00F9530F" w:rsidRDefault="00F9530F" w:rsidP="00F9530F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52EB0B06" w14:textId="77777777" w:rsidR="00F9530F" w:rsidRPr="00272C71" w:rsidRDefault="00F9530F" w:rsidP="00F9530F">
      <w:pPr>
        <w:spacing w:after="0" w:line="240" w:lineRule="auto"/>
        <w:ind w:left="-567"/>
        <w:jc w:val="both"/>
        <w:rPr>
          <w:rFonts w:ascii="Arial" w:hAnsi="Arial" w:cs="Arial"/>
          <w:sz w:val="16"/>
          <w:szCs w:val="16"/>
        </w:rPr>
      </w:pPr>
    </w:p>
    <w:p w14:paraId="4D11DA55" w14:textId="24279582" w:rsidR="00462B4C" w:rsidRPr="002570E4" w:rsidRDefault="00462B4C" w:rsidP="002B77CF">
      <w:pPr>
        <w:spacing w:after="0"/>
        <w:ind w:left="-567"/>
        <w:rPr>
          <w:rFonts w:ascii="Arial Negrita" w:hAnsi="Arial Negrita" w:cs="Arial"/>
          <w:b/>
          <w:bCs/>
          <w:iCs/>
          <w:noProof/>
          <w:sz w:val="24"/>
          <w:szCs w:val="24"/>
          <w:lang w:eastAsia="es-MX"/>
        </w:rPr>
      </w:pPr>
      <w:r w:rsidRPr="002570E4">
        <w:rPr>
          <w:rFonts w:ascii="Arial Negrita" w:hAnsi="Arial Negrita" w:cs="Arial"/>
          <w:b/>
          <w:bCs/>
          <w:iCs/>
          <w:noProof/>
          <w:sz w:val="24"/>
          <w:szCs w:val="24"/>
          <w:lang w:eastAsia="es-MX"/>
        </w:rPr>
        <w:t>Productos y documentos del</w:t>
      </w:r>
      <w:r w:rsidR="002B77CF" w:rsidRPr="002570E4">
        <w:rPr>
          <w:rFonts w:ascii="Arial Negrita" w:hAnsi="Arial Negrita" w:cs="Arial"/>
          <w:b/>
          <w:bCs/>
          <w:iCs/>
          <w:noProof/>
          <w:sz w:val="24"/>
          <w:szCs w:val="24"/>
          <w:lang w:eastAsia="es-MX"/>
        </w:rPr>
        <w:t xml:space="preserve"> </w:t>
      </w:r>
      <w:r w:rsidR="00F9530F" w:rsidRPr="002570E4">
        <w:rPr>
          <w:rFonts w:ascii="Arial Negrita" w:hAnsi="Arial Negrita" w:cs="Arial"/>
          <w:b/>
          <w:bCs/>
          <w:iCs/>
          <w:noProof/>
          <w:sz w:val="24"/>
          <w:szCs w:val="24"/>
          <w:lang w:eastAsia="es-MX"/>
        </w:rPr>
        <w:t>CN</w:t>
      </w:r>
      <w:r w:rsidR="00292CD8" w:rsidRPr="002570E4">
        <w:rPr>
          <w:rFonts w:ascii="Arial Negrita" w:hAnsi="Arial Negrita" w:cs="Arial"/>
          <w:b/>
          <w:bCs/>
          <w:iCs/>
          <w:noProof/>
          <w:sz w:val="24"/>
          <w:szCs w:val="24"/>
          <w:lang w:eastAsia="es-MX"/>
        </w:rPr>
        <w:t>IJ</w:t>
      </w:r>
      <w:r w:rsidR="00F9530F" w:rsidRPr="002570E4">
        <w:rPr>
          <w:rFonts w:ascii="Arial Negrita" w:hAnsi="Arial Negrita" w:cs="Arial"/>
          <w:b/>
          <w:bCs/>
          <w:iCs/>
          <w:noProof/>
          <w:sz w:val="24"/>
          <w:szCs w:val="24"/>
          <w:lang w:eastAsia="es-MX"/>
        </w:rPr>
        <w:t>E 2022</w:t>
      </w:r>
    </w:p>
    <w:p w14:paraId="40F1D1B6" w14:textId="77777777" w:rsidR="00462B4C" w:rsidRPr="00272C71" w:rsidRDefault="00462B4C" w:rsidP="00462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806FD00" w14:textId="29151DA1" w:rsidR="00462B4C" w:rsidRPr="00272C71" w:rsidRDefault="00462B4C" w:rsidP="00462B4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272C71">
        <w:rPr>
          <w:rFonts w:ascii="Arial" w:hAnsi="Arial" w:cs="Arial"/>
          <w:sz w:val="24"/>
          <w:szCs w:val="24"/>
        </w:rPr>
        <w:t xml:space="preserve">Los productos y documentos derivados del </w:t>
      </w:r>
      <w:r w:rsidR="00F9530F" w:rsidRPr="00F9530F">
        <w:rPr>
          <w:rFonts w:ascii="Arial" w:hAnsi="Arial" w:cs="Arial"/>
          <w:sz w:val="24"/>
          <w:szCs w:val="24"/>
        </w:rPr>
        <w:t>CN</w:t>
      </w:r>
      <w:r w:rsidR="00292CD8">
        <w:rPr>
          <w:rFonts w:ascii="Arial" w:hAnsi="Arial" w:cs="Arial"/>
          <w:sz w:val="24"/>
          <w:szCs w:val="24"/>
        </w:rPr>
        <w:t>IJ</w:t>
      </w:r>
      <w:r w:rsidR="00F9530F" w:rsidRPr="00F9530F">
        <w:rPr>
          <w:rFonts w:ascii="Arial" w:hAnsi="Arial" w:cs="Arial"/>
          <w:sz w:val="24"/>
          <w:szCs w:val="24"/>
        </w:rPr>
        <w:t xml:space="preserve">E 2022 </w:t>
      </w:r>
      <w:r w:rsidRPr="00272C71">
        <w:rPr>
          <w:rFonts w:ascii="Arial" w:hAnsi="Arial" w:cs="Arial"/>
          <w:sz w:val="24"/>
          <w:szCs w:val="24"/>
        </w:rPr>
        <w:t xml:space="preserve">que el INEGI pone a disposición de </w:t>
      </w:r>
      <w:r w:rsidR="00231479" w:rsidRPr="00272C71">
        <w:rPr>
          <w:rFonts w:ascii="Arial" w:hAnsi="Arial" w:cs="Arial"/>
          <w:sz w:val="24"/>
          <w:szCs w:val="24"/>
        </w:rPr>
        <w:t xml:space="preserve">las y </w:t>
      </w:r>
      <w:r w:rsidRPr="00272C71">
        <w:rPr>
          <w:rFonts w:ascii="Arial" w:hAnsi="Arial" w:cs="Arial"/>
          <w:sz w:val="24"/>
          <w:szCs w:val="24"/>
        </w:rPr>
        <w:t xml:space="preserve">los usuarios son los siguientes: </w:t>
      </w:r>
    </w:p>
    <w:p w14:paraId="5F24A038" w14:textId="77777777" w:rsidR="00462B4C" w:rsidRPr="00272C71" w:rsidRDefault="00462B4C" w:rsidP="00462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2C71">
        <w:rPr>
          <w:rFonts w:ascii="Arial" w:hAnsi="Arial" w:cs="Arial"/>
          <w:sz w:val="24"/>
          <w:szCs w:val="24"/>
        </w:rPr>
        <w:t xml:space="preserve"> </w:t>
      </w:r>
    </w:p>
    <w:p w14:paraId="1B237F87" w14:textId="77777777" w:rsidR="00462B4C" w:rsidRPr="00272C71" w:rsidRDefault="00462B4C" w:rsidP="00462B4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2C71">
        <w:rPr>
          <w:rFonts w:ascii="Arial" w:hAnsi="Arial" w:cs="Arial"/>
          <w:sz w:val="24"/>
          <w:szCs w:val="24"/>
        </w:rPr>
        <w:t>Presentación de resultados</w:t>
      </w:r>
    </w:p>
    <w:p w14:paraId="3BE02932" w14:textId="77777777" w:rsidR="00462B4C" w:rsidRPr="00272C71" w:rsidRDefault="00462B4C" w:rsidP="00462B4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2C71">
        <w:rPr>
          <w:rFonts w:ascii="Arial" w:hAnsi="Arial" w:cs="Arial"/>
          <w:sz w:val="24"/>
          <w:szCs w:val="24"/>
        </w:rPr>
        <w:t>Cuestionarios</w:t>
      </w:r>
    </w:p>
    <w:p w14:paraId="21994420" w14:textId="77777777" w:rsidR="00462B4C" w:rsidRPr="00272C71" w:rsidRDefault="00462B4C" w:rsidP="00462B4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2C71">
        <w:rPr>
          <w:rFonts w:ascii="Arial" w:hAnsi="Arial" w:cs="Arial"/>
          <w:sz w:val="24"/>
          <w:szCs w:val="24"/>
        </w:rPr>
        <w:t>Glosario</w:t>
      </w:r>
    </w:p>
    <w:p w14:paraId="0A34DD50" w14:textId="7FCD9FAE" w:rsidR="00EE0193" w:rsidRPr="0024531A" w:rsidRDefault="00462B4C" w:rsidP="0024531A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2C71">
        <w:rPr>
          <w:rFonts w:ascii="Arial" w:hAnsi="Arial" w:cs="Arial"/>
          <w:sz w:val="24"/>
          <w:szCs w:val="24"/>
        </w:rPr>
        <w:t>Documento de diseño</w:t>
      </w:r>
    </w:p>
    <w:p w14:paraId="4E0F7B45" w14:textId="4396F5E0" w:rsidR="00462B4C" w:rsidRPr="00272C71" w:rsidRDefault="00462B4C" w:rsidP="00462B4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2C71">
        <w:rPr>
          <w:rFonts w:ascii="Arial" w:hAnsi="Arial" w:cs="Arial"/>
          <w:sz w:val="24"/>
          <w:szCs w:val="24"/>
        </w:rPr>
        <w:t>Tabulados predefinidos</w:t>
      </w:r>
    </w:p>
    <w:p w14:paraId="11637429" w14:textId="291E1B57" w:rsidR="00EE0193" w:rsidRPr="00272C71" w:rsidRDefault="00EE0193" w:rsidP="00462B4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2C71">
        <w:rPr>
          <w:rFonts w:ascii="Arial" w:hAnsi="Arial" w:cs="Arial"/>
          <w:sz w:val="24"/>
          <w:szCs w:val="24"/>
        </w:rPr>
        <w:t>Datos abiertos</w:t>
      </w:r>
    </w:p>
    <w:p w14:paraId="3EEBA7A4" w14:textId="081BAE34" w:rsidR="00AD7337" w:rsidRPr="00272C71" w:rsidRDefault="00EE0193" w:rsidP="0099461B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</w:pPr>
      <w:r w:rsidRPr="00272C71">
        <w:rPr>
          <w:rFonts w:ascii="Arial" w:hAnsi="Arial" w:cs="Arial"/>
          <w:sz w:val="24"/>
          <w:szCs w:val="24"/>
        </w:rPr>
        <w:t>Metadatos</w:t>
      </w:r>
    </w:p>
    <w:sectPr w:rsidR="00AD7337" w:rsidRPr="00272C71" w:rsidSect="00EC31DB">
      <w:headerReference w:type="default" r:id="rId54"/>
      <w:footerReference w:type="default" r:id="rId55"/>
      <w:type w:val="continuous"/>
      <w:pgSz w:w="12240" w:h="15840"/>
      <w:pgMar w:top="993" w:right="1183" w:bottom="1135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A484A" w14:textId="77777777" w:rsidR="001B41FD" w:rsidRDefault="001B41FD" w:rsidP="00462B4C">
      <w:pPr>
        <w:spacing w:after="0" w:line="240" w:lineRule="auto"/>
      </w:pPr>
      <w:r>
        <w:separator/>
      </w:r>
    </w:p>
  </w:endnote>
  <w:endnote w:type="continuationSeparator" w:id="0">
    <w:p w14:paraId="23A397D5" w14:textId="77777777" w:rsidR="001B41FD" w:rsidRDefault="001B41FD" w:rsidP="00462B4C">
      <w:pPr>
        <w:spacing w:after="0" w:line="240" w:lineRule="auto"/>
      </w:pPr>
      <w:r>
        <w:continuationSeparator/>
      </w:r>
    </w:p>
  </w:endnote>
  <w:endnote w:type="continuationNotice" w:id="1">
    <w:p w14:paraId="07027E5E" w14:textId="77777777" w:rsidR="001B41FD" w:rsidRDefault="001B41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Helvetica Neue Medium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52907" w14:textId="77777777" w:rsidR="0097157B" w:rsidRDefault="0097157B" w:rsidP="001D0E9F">
    <w:pPr>
      <w:pStyle w:val="Piedepgina"/>
      <w:tabs>
        <w:tab w:val="clear" w:pos="4419"/>
        <w:tab w:val="clear" w:pos="8838"/>
        <w:tab w:val="left" w:pos="9781"/>
        <w:tab w:val="left" w:pos="10065"/>
      </w:tabs>
      <w:ind w:left="-709" w:firstLine="142"/>
      <w:jc w:val="center"/>
      <w:rPr>
        <w:rFonts w:ascii="Arial" w:hAnsi="Arial" w:cs="Arial"/>
        <w:b/>
        <w:color w:val="002060"/>
        <w:sz w:val="20"/>
        <w:szCs w:val="20"/>
      </w:rPr>
    </w:pPr>
  </w:p>
  <w:p w14:paraId="3B878F0D" w14:textId="65778423" w:rsidR="0097157B" w:rsidRPr="007A0634" w:rsidRDefault="0097157B" w:rsidP="001D0E9F">
    <w:pPr>
      <w:pStyle w:val="Piedepgina"/>
      <w:tabs>
        <w:tab w:val="clear" w:pos="4419"/>
        <w:tab w:val="clear" w:pos="8838"/>
        <w:tab w:val="left" w:pos="9781"/>
        <w:tab w:val="left" w:pos="10065"/>
      </w:tabs>
      <w:ind w:left="-709" w:firstLine="4537"/>
      <w:jc w:val="center"/>
      <w:rPr>
        <w:rFonts w:ascii="Arial" w:hAnsi="Arial" w:cs="Arial"/>
        <w:b/>
        <w:color w:val="002060"/>
        <w:sz w:val="20"/>
        <w:szCs w:val="20"/>
      </w:rPr>
    </w:pPr>
    <w:r w:rsidRPr="007A0634">
      <w:rPr>
        <w:rFonts w:ascii="Arial" w:hAnsi="Arial" w:cs="Arial"/>
        <w:b/>
        <w:color w:val="002060"/>
        <w:sz w:val="20"/>
        <w:szCs w:val="20"/>
      </w:rPr>
      <w:t>COMUNICACIÓN SOCIAL</w:t>
    </w:r>
    <w:r>
      <w:rPr>
        <w:rFonts w:ascii="Arial" w:hAnsi="Arial" w:cs="Arial"/>
        <w:b/>
        <w:color w:val="00206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815D" w14:textId="77777777" w:rsidR="0097157B" w:rsidRDefault="0097157B" w:rsidP="001D0E9F">
    <w:pPr>
      <w:pStyle w:val="Piedepgina"/>
      <w:tabs>
        <w:tab w:val="clear" w:pos="4419"/>
        <w:tab w:val="clear" w:pos="8838"/>
        <w:tab w:val="left" w:pos="9781"/>
        <w:tab w:val="left" w:pos="10065"/>
      </w:tabs>
      <w:ind w:left="-709" w:firstLine="142"/>
      <w:jc w:val="center"/>
      <w:rPr>
        <w:rFonts w:ascii="Arial" w:hAnsi="Arial" w:cs="Arial"/>
        <w:b/>
        <w:color w:val="002060"/>
        <w:sz w:val="20"/>
        <w:szCs w:val="20"/>
      </w:rPr>
    </w:pPr>
  </w:p>
  <w:p w14:paraId="0B987566" w14:textId="77777777" w:rsidR="0097157B" w:rsidRPr="007A0634" w:rsidRDefault="0097157B" w:rsidP="001D0E9F">
    <w:pPr>
      <w:pStyle w:val="Piedepgina"/>
      <w:tabs>
        <w:tab w:val="clear" w:pos="4419"/>
        <w:tab w:val="clear" w:pos="8838"/>
        <w:tab w:val="left" w:pos="9781"/>
        <w:tab w:val="left" w:pos="10065"/>
      </w:tabs>
      <w:ind w:left="-709" w:firstLine="142"/>
      <w:jc w:val="center"/>
      <w:rPr>
        <w:rFonts w:ascii="Arial" w:hAnsi="Arial" w:cs="Arial"/>
        <w:b/>
        <w:color w:val="002060"/>
        <w:sz w:val="20"/>
        <w:szCs w:val="20"/>
      </w:rPr>
    </w:pPr>
    <w:r w:rsidRPr="007A0634">
      <w:rPr>
        <w:rFonts w:ascii="Arial" w:hAnsi="Arial" w:cs="Arial"/>
        <w:b/>
        <w:color w:val="002060"/>
        <w:sz w:val="20"/>
        <w:szCs w:val="20"/>
      </w:rPr>
      <w:t>COMUNICACIÓN SOCIAL</w:t>
    </w:r>
    <w:r>
      <w:rPr>
        <w:rFonts w:ascii="Arial" w:hAnsi="Arial" w:cs="Arial"/>
        <w:b/>
        <w:color w:val="00206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66531" w14:textId="77777777" w:rsidR="001B41FD" w:rsidRDefault="001B41FD" w:rsidP="00462B4C">
      <w:pPr>
        <w:spacing w:after="0" w:line="240" w:lineRule="auto"/>
      </w:pPr>
      <w:r>
        <w:separator/>
      </w:r>
    </w:p>
  </w:footnote>
  <w:footnote w:type="continuationSeparator" w:id="0">
    <w:p w14:paraId="047AA597" w14:textId="77777777" w:rsidR="001B41FD" w:rsidRDefault="001B41FD" w:rsidP="00462B4C">
      <w:pPr>
        <w:spacing w:after="0" w:line="240" w:lineRule="auto"/>
      </w:pPr>
      <w:r>
        <w:continuationSeparator/>
      </w:r>
    </w:p>
  </w:footnote>
  <w:footnote w:type="continuationNotice" w:id="1">
    <w:p w14:paraId="61F66EDE" w14:textId="77777777" w:rsidR="001B41FD" w:rsidRDefault="001B41FD">
      <w:pPr>
        <w:spacing w:after="0" w:line="240" w:lineRule="auto"/>
      </w:pPr>
    </w:p>
  </w:footnote>
  <w:footnote w:id="2">
    <w:p w14:paraId="300A5740" w14:textId="579DCF99" w:rsidR="00B90C2F" w:rsidRPr="00B90C2F" w:rsidRDefault="00B90C2F" w:rsidP="00B90C2F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90C2F">
        <w:rPr>
          <w:rStyle w:val="Refdenotaalpie"/>
          <w:rFonts w:ascii="Arial" w:hAnsi="Arial" w:cs="Arial"/>
          <w:sz w:val="16"/>
          <w:szCs w:val="16"/>
        </w:rPr>
        <w:footnoteRef/>
      </w:r>
      <w:r w:rsidRPr="00B90C2F">
        <w:rPr>
          <w:rFonts w:ascii="Arial" w:hAnsi="Arial" w:cs="Arial"/>
          <w:sz w:val="16"/>
          <w:szCs w:val="16"/>
        </w:rPr>
        <w:t xml:space="preserve"> Se </w:t>
      </w:r>
      <w:r w:rsidR="004F08DB" w:rsidRPr="004F08DB">
        <w:rPr>
          <w:rFonts w:ascii="Arial" w:hAnsi="Arial" w:cs="Arial"/>
          <w:sz w:val="16"/>
          <w:szCs w:val="16"/>
        </w:rPr>
        <w:t xml:space="preserve">refiere a </w:t>
      </w:r>
      <w:r w:rsidR="002F4F34">
        <w:rPr>
          <w:rFonts w:ascii="Arial" w:hAnsi="Arial" w:cs="Arial"/>
          <w:sz w:val="16"/>
          <w:szCs w:val="16"/>
        </w:rPr>
        <w:t xml:space="preserve">los lugares en </w:t>
      </w:r>
      <w:r w:rsidR="004F08DB" w:rsidRPr="004F08DB">
        <w:rPr>
          <w:rFonts w:ascii="Arial" w:hAnsi="Arial" w:cs="Arial"/>
          <w:sz w:val="16"/>
          <w:szCs w:val="16"/>
        </w:rPr>
        <w:t xml:space="preserve">donde se plantean, desarrollan y deciden los procesos de asuntos civiles, mercantiles, familiares, penales, o de cualquier otra materia que requiera de la intervención judicial; presididos en forma unipersonal por un </w:t>
      </w:r>
      <w:r w:rsidR="00A03246">
        <w:rPr>
          <w:rFonts w:ascii="Arial" w:hAnsi="Arial" w:cs="Arial"/>
          <w:sz w:val="16"/>
          <w:szCs w:val="16"/>
        </w:rPr>
        <w:t>j</w:t>
      </w:r>
      <w:r w:rsidR="004F08DB" w:rsidRPr="004F08DB">
        <w:rPr>
          <w:rFonts w:ascii="Arial" w:hAnsi="Arial" w:cs="Arial"/>
          <w:sz w:val="16"/>
          <w:szCs w:val="16"/>
        </w:rPr>
        <w:t xml:space="preserve">uez, o en forma colegiada por más de un </w:t>
      </w:r>
      <w:r w:rsidR="00A03246">
        <w:rPr>
          <w:rFonts w:ascii="Arial" w:hAnsi="Arial" w:cs="Arial"/>
          <w:sz w:val="16"/>
          <w:szCs w:val="16"/>
        </w:rPr>
        <w:t>j</w:t>
      </w:r>
      <w:r w:rsidR="004F08DB" w:rsidRPr="004F08DB">
        <w:rPr>
          <w:rFonts w:ascii="Arial" w:hAnsi="Arial" w:cs="Arial"/>
          <w:sz w:val="16"/>
          <w:szCs w:val="16"/>
        </w:rPr>
        <w:t xml:space="preserve">uez o </w:t>
      </w:r>
      <w:r w:rsidR="00A03246">
        <w:rPr>
          <w:rFonts w:ascii="Arial" w:hAnsi="Arial" w:cs="Arial"/>
          <w:sz w:val="16"/>
          <w:szCs w:val="16"/>
        </w:rPr>
        <w:t>m</w:t>
      </w:r>
      <w:r w:rsidR="004F08DB" w:rsidRPr="004F08DB">
        <w:rPr>
          <w:rFonts w:ascii="Arial" w:hAnsi="Arial" w:cs="Arial"/>
          <w:sz w:val="16"/>
          <w:szCs w:val="16"/>
        </w:rPr>
        <w:t>agistrado, según sea el caso. En primera instancia</w:t>
      </w:r>
      <w:r w:rsidR="002F4F34">
        <w:rPr>
          <w:rFonts w:ascii="Arial" w:hAnsi="Arial" w:cs="Arial"/>
          <w:sz w:val="16"/>
          <w:szCs w:val="16"/>
        </w:rPr>
        <w:t>,</w:t>
      </w:r>
      <w:r w:rsidR="004F08DB" w:rsidRPr="004F08DB">
        <w:rPr>
          <w:rFonts w:ascii="Arial" w:hAnsi="Arial" w:cs="Arial"/>
          <w:sz w:val="16"/>
          <w:szCs w:val="16"/>
        </w:rPr>
        <w:t xml:space="preserve"> reciben el nombre de juzgados o tribunales, mientras </w:t>
      </w:r>
      <w:proofErr w:type="gramStart"/>
      <w:r w:rsidR="004F08DB" w:rsidRPr="004F08DB">
        <w:rPr>
          <w:rFonts w:ascii="Arial" w:hAnsi="Arial" w:cs="Arial"/>
          <w:sz w:val="16"/>
          <w:szCs w:val="16"/>
        </w:rPr>
        <w:t>que</w:t>
      </w:r>
      <w:proofErr w:type="gramEnd"/>
      <w:r w:rsidR="004F08DB" w:rsidRPr="004F08DB">
        <w:rPr>
          <w:rFonts w:ascii="Arial" w:hAnsi="Arial" w:cs="Arial"/>
          <w:sz w:val="16"/>
          <w:szCs w:val="16"/>
        </w:rPr>
        <w:t xml:space="preserve"> en segunda instancia</w:t>
      </w:r>
      <w:r w:rsidR="002F4F34">
        <w:rPr>
          <w:rFonts w:ascii="Arial" w:hAnsi="Arial" w:cs="Arial"/>
          <w:sz w:val="16"/>
          <w:szCs w:val="16"/>
        </w:rPr>
        <w:t>,</w:t>
      </w:r>
      <w:r w:rsidR="004F08DB" w:rsidRPr="004F08DB">
        <w:rPr>
          <w:rFonts w:ascii="Arial" w:hAnsi="Arial" w:cs="Arial"/>
          <w:sz w:val="16"/>
          <w:szCs w:val="16"/>
        </w:rPr>
        <w:t xml:space="preserve"> se l</w:t>
      </w:r>
      <w:r w:rsidR="002F4F34">
        <w:rPr>
          <w:rFonts w:ascii="Arial" w:hAnsi="Arial" w:cs="Arial"/>
          <w:sz w:val="16"/>
          <w:szCs w:val="16"/>
        </w:rPr>
        <w:t>o</w:t>
      </w:r>
      <w:r w:rsidR="004F08DB" w:rsidRPr="004F08DB">
        <w:rPr>
          <w:rFonts w:ascii="Arial" w:hAnsi="Arial" w:cs="Arial"/>
          <w:sz w:val="16"/>
          <w:szCs w:val="16"/>
        </w:rPr>
        <w:t>s denomina salas o tribunales.</w:t>
      </w:r>
    </w:p>
  </w:footnote>
  <w:footnote w:id="3">
    <w:p w14:paraId="37AF643F" w14:textId="58775230" w:rsidR="00B90C2F" w:rsidRDefault="00B90C2F" w:rsidP="004F08DB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4F08DB" w:rsidRPr="00B90C2F">
        <w:rPr>
          <w:rFonts w:ascii="Arial" w:hAnsi="Arial" w:cs="Arial"/>
          <w:sz w:val="16"/>
          <w:szCs w:val="16"/>
        </w:rPr>
        <w:t xml:space="preserve">Se refiere a </w:t>
      </w:r>
      <w:r w:rsidR="002F4F34">
        <w:rPr>
          <w:rFonts w:ascii="Arial" w:hAnsi="Arial" w:cs="Arial"/>
          <w:sz w:val="16"/>
          <w:szCs w:val="16"/>
        </w:rPr>
        <w:t xml:space="preserve">los lugares en donde se </w:t>
      </w:r>
      <w:r w:rsidR="004F08DB" w:rsidRPr="00B90C2F">
        <w:rPr>
          <w:rFonts w:ascii="Arial" w:hAnsi="Arial" w:cs="Arial"/>
          <w:sz w:val="16"/>
          <w:szCs w:val="16"/>
        </w:rPr>
        <w:t>desarrollan actividades asociadas con la administración interna (recursos financieros, humanos, materiales, tecnológicos, organizacionales, etc.)</w:t>
      </w:r>
      <w:r w:rsidR="002F4F34">
        <w:rPr>
          <w:rFonts w:ascii="Arial" w:hAnsi="Arial" w:cs="Arial"/>
          <w:sz w:val="16"/>
          <w:szCs w:val="16"/>
        </w:rPr>
        <w:t xml:space="preserve">, </w:t>
      </w:r>
      <w:r w:rsidR="004F08DB" w:rsidRPr="00B90C2F">
        <w:rPr>
          <w:rFonts w:ascii="Arial" w:hAnsi="Arial" w:cs="Arial"/>
          <w:sz w:val="16"/>
          <w:szCs w:val="16"/>
        </w:rPr>
        <w:t>trámites y servicios, entre otras</w:t>
      </w:r>
      <w:r w:rsidR="002F4F34">
        <w:rPr>
          <w:rFonts w:ascii="Arial" w:hAnsi="Arial" w:cs="Arial"/>
          <w:sz w:val="16"/>
          <w:szCs w:val="16"/>
        </w:rPr>
        <w:t>. A</w:t>
      </w:r>
      <w:r w:rsidR="004F08DB" w:rsidRPr="00B90C2F">
        <w:rPr>
          <w:rFonts w:ascii="Arial" w:hAnsi="Arial" w:cs="Arial"/>
          <w:sz w:val="16"/>
          <w:szCs w:val="16"/>
        </w:rPr>
        <w:t>demás</w:t>
      </w:r>
      <w:r w:rsidR="002F4F34">
        <w:rPr>
          <w:rFonts w:ascii="Arial" w:hAnsi="Arial" w:cs="Arial"/>
          <w:sz w:val="16"/>
          <w:szCs w:val="16"/>
        </w:rPr>
        <w:t xml:space="preserve">, apoyan en </w:t>
      </w:r>
      <w:r w:rsidR="004F08DB" w:rsidRPr="00B90C2F">
        <w:rPr>
          <w:rFonts w:ascii="Arial" w:hAnsi="Arial" w:cs="Arial"/>
          <w:sz w:val="16"/>
          <w:szCs w:val="16"/>
        </w:rPr>
        <w:t xml:space="preserve">las atribuciones y despacho de los asuntos que integran </w:t>
      </w:r>
      <w:r w:rsidR="002F4F34">
        <w:rPr>
          <w:rFonts w:ascii="Arial" w:hAnsi="Arial" w:cs="Arial"/>
          <w:sz w:val="16"/>
          <w:szCs w:val="16"/>
        </w:rPr>
        <w:t>e</w:t>
      </w:r>
      <w:r w:rsidR="004F08DB" w:rsidRPr="00B90C2F">
        <w:rPr>
          <w:rFonts w:ascii="Arial" w:hAnsi="Arial" w:cs="Arial"/>
          <w:sz w:val="16"/>
          <w:szCs w:val="16"/>
        </w:rPr>
        <w:t>l Poder Judicial y sus órganos jurisdiccionales, sin que ejerzan funciones jurisdiccionales. Para efectos del presente censo, se consideran también como órganos administrativos y/</w:t>
      </w:r>
      <w:r w:rsidR="002F4F34">
        <w:rPr>
          <w:rFonts w:ascii="Arial" w:hAnsi="Arial" w:cs="Arial"/>
          <w:sz w:val="16"/>
          <w:szCs w:val="16"/>
        </w:rPr>
        <w:t xml:space="preserve"> </w:t>
      </w:r>
      <w:r w:rsidR="004F08DB" w:rsidRPr="00B90C2F">
        <w:rPr>
          <w:rFonts w:ascii="Arial" w:hAnsi="Arial" w:cs="Arial"/>
          <w:sz w:val="16"/>
          <w:szCs w:val="16"/>
        </w:rPr>
        <w:t>o unidades administrativas a los órganos auxiliares del Poder Judicial.</w:t>
      </w:r>
    </w:p>
  </w:footnote>
  <w:footnote w:id="4">
    <w:p w14:paraId="45DC4324" w14:textId="5D23B1D9" w:rsidR="00655882" w:rsidRPr="00017CA1" w:rsidRDefault="00655882">
      <w:pPr>
        <w:pStyle w:val="Textonotapie"/>
        <w:rPr>
          <w:rFonts w:ascii="Arial" w:hAnsi="Arial" w:cs="Arial"/>
          <w:sz w:val="16"/>
          <w:szCs w:val="16"/>
        </w:rPr>
      </w:pPr>
      <w:r w:rsidRPr="00017CA1">
        <w:rPr>
          <w:rStyle w:val="Refdenotaalpie"/>
          <w:rFonts w:ascii="Arial" w:hAnsi="Arial" w:cs="Arial"/>
          <w:sz w:val="16"/>
          <w:szCs w:val="16"/>
        </w:rPr>
        <w:footnoteRef/>
      </w:r>
      <w:r w:rsidRPr="00017CA1">
        <w:rPr>
          <w:rFonts w:ascii="Arial" w:hAnsi="Arial" w:cs="Arial"/>
          <w:sz w:val="16"/>
          <w:szCs w:val="16"/>
        </w:rPr>
        <w:t xml:space="preserve"> No se incluyen las vacantes</w:t>
      </w:r>
      <w:r w:rsidR="008351A1">
        <w:rPr>
          <w:rFonts w:ascii="Arial" w:hAnsi="Arial" w:cs="Arial"/>
          <w:sz w:val="16"/>
          <w:szCs w:val="16"/>
        </w:rPr>
        <w:t>. En el caso de magistradas o magistrados hubo 24 y en el de consejeras o consejeros, cinco.</w:t>
      </w:r>
    </w:p>
  </w:footnote>
  <w:footnote w:id="5">
    <w:p w14:paraId="7714B118" w14:textId="3C7CA7E2" w:rsidR="00187471" w:rsidRPr="00632F14" w:rsidRDefault="00187471">
      <w:pPr>
        <w:pStyle w:val="Textonotapie"/>
        <w:rPr>
          <w:rFonts w:ascii="Arial" w:hAnsi="Arial" w:cs="Arial"/>
          <w:sz w:val="16"/>
          <w:szCs w:val="16"/>
        </w:rPr>
      </w:pPr>
      <w:r w:rsidRPr="00632F14">
        <w:rPr>
          <w:rStyle w:val="Refdenotaalpie"/>
          <w:rFonts w:ascii="Arial" w:hAnsi="Arial" w:cs="Arial"/>
          <w:sz w:val="16"/>
          <w:szCs w:val="16"/>
        </w:rPr>
        <w:footnoteRef/>
      </w:r>
      <w:r w:rsidRPr="00632F14">
        <w:rPr>
          <w:rFonts w:ascii="Arial" w:hAnsi="Arial" w:cs="Arial"/>
          <w:sz w:val="16"/>
          <w:szCs w:val="16"/>
        </w:rPr>
        <w:t xml:space="preserve"> </w:t>
      </w:r>
      <w:r w:rsidR="00632F14" w:rsidRPr="00632F14">
        <w:rPr>
          <w:rFonts w:ascii="Arial" w:hAnsi="Arial" w:cs="Arial"/>
          <w:sz w:val="16"/>
          <w:szCs w:val="16"/>
        </w:rPr>
        <w:t>En el periodo referido, se reportaron 178 fallecimientos.</w:t>
      </w:r>
    </w:p>
  </w:footnote>
  <w:footnote w:id="6">
    <w:p w14:paraId="3E6C87C0" w14:textId="77777777" w:rsidR="008B3D3E" w:rsidRPr="004E3FCC" w:rsidRDefault="008B3D3E" w:rsidP="008B3D3E">
      <w:pPr>
        <w:pStyle w:val="Textonotapie"/>
        <w:rPr>
          <w:rFonts w:ascii="Arial" w:hAnsi="Arial" w:cs="Arial"/>
          <w:sz w:val="16"/>
          <w:szCs w:val="16"/>
        </w:rPr>
      </w:pPr>
      <w:r w:rsidRPr="004E3FCC">
        <w:rPr>
          <w:rStyle w:val="Refdenotaalpie"/>
          <w:rFonts w:ascii="Arial" w:hAnsi="Arial" w:cs="Arial"/>
          <w:sz w:val="16"/>
          <w:szCs w:val="16"/>
        </w:rPr>
        <w:footnoteRef/>
      </w:r>
      <w:r w:rsidRPr="004E3FCC">
        <w:rPr>
          <w:rFonts w:ascii="Arial" w:hAnsi="Arial" w:cs="Arial"/>
          <w:sz w:val="16"/>
          <w:szCs w:val="16"/>
        </w:rPr>
        <w:t xml:space="preserve"> Incluye todos los conceptos del clasificador por objeto del gasto. </w:t>
      </w:r>
    </w:p>
  </w:footnote>
  <w:footnote w:id="7">
    <w:p w14:paraId="5A769A8B" w14:textId="297F9080" w:rsidR="00036F52" w:rsidRPr="00036F52" w:rsidRDefault="00036F52">
      <w:pPr>
        <w:pStyle w:val="Textonotapie"/>
        <w:rPr>
          <w:rFonts w:ascii="Arial" w:hAnsi="Arial" w:cs="Arial"/>
          <w:sz w:val="16"/>
          <w:szCs w:val="16"/>
        </w:rPr>
      </w:pPr>
      <w:r w:rsidRPr="00036F52">
        <w:rPr>
          <w:rStyle w:val="Refdenotaalpie"/>
          <w:rFonts w:ascii="Arial" w:hAnsi="Arial" w:cs="Arial"/>
          <w:sz w:val="16"/>
          <w:szCs w:val="16"/>
        </w:rPr>
        <w:footnoteRef/>
      </w:r>
      <w:r w:rsidRPr="00036F52">
        <w:rPr>
          <w:rFonts w:ascii="Arial" w:hAnsi="Arial" w:cs="Arial"/>
          <w:sz w:val="16"/>
          <w:szCs w:val="16"/>
        </w:rPr>
        <w:t xml:space="preserve"> En el periodo referido se publicaron 137 423 sentencias emitidas.</w:t>
      </w:r>
    </w:p>
  </w:footnote>
  <w:footnote w:id="8">
    <w:p w14:paraId="1E5A5230" w14:textId="1DE1AEED" w:rsidR="008D014B" w:rsidRPr="00847C36" w:rsidRDefault="008D014B" w:rsidP="008D014B">
      <w:pPr>
        <w:pStyle w:val="Textonotapie"/>
        <w:rPr>
          <w:rFonts w:ascii="Arial" w:hAnsi="Arial" w:cs="Arial"/>
          <w:sz w:val="16"/>
          <w:szCs w:val="16"/>
        </w:rPr>
      </w:pPr>
      <w:r w:rsidRPr="00847C36">
        <w:rPr>
          <w:rStyle w:val="Refdenotaalpie"/>
          <w:rFonts w:ascii="Arial" w:hAnsi="Arial" w:cs="Arial"/>
          <w:sz w:val="16"/>
          <w:szCs w:val="16"/>
        </w:rPr>
        <w:footnoteRef/>
      </w:r>
      <w:r w:rsidRPr="00847C36">
        <w:rPr>
          <w:rFonts w:ascii="Arial" w:hAnsi="Arial" w:cs="Arial"/>
          <w:sz w:val="16"/>
          <w:szCs w:val="16"/>
        </w:rPr>
        <w:t xml:space="preserve"> La cantidad de sentencias por instancia es mayor al total</w:t>
      </w:r>
      <w:r>
        <w:rPr>
          <w:rFonts w:ascii="Arial" w:hAnsi="Arial" w:cs="Arial"/>
          <w:sz w:val="16"/>
          <w:szCs w:val="16"/>
        </w:rPr>
        <w:t xml:space="preserve"> porque </w:t>
      </w:r>
      <w:r w:rsidRPr="00847C36">
        <w:rPr>
          <w:rFonts w:ascii="Arial" w:hAnsi="Arial" w:cs="Arial"/>
          <w:sz w:val="16"/>
          <w:szCs w:val="16"/>
        </w:rPr>
        <w:t>una sentencia pudo emitirse en más de una materia.</w:t>
      </w:r>
    </w:p>
  </w:footnote>
  <w:footnote w:id="9">
    <w:p w14:paraId="7E4455E1" w14:textId="3225D775" w:rsidR="00383387" w:rsidRPr="00383387" w:rsidRDefault="00383387" w:rsidP="00070D37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383387">
        <w:rPr>
          <w:rStyle w:val="Refdenotaalpie"/>
          <w:rFonts w:ascii="Arial" w:hAnsi="Arial" w:cs="Arial"/>
          <w:sz w:val="16"/>
          <w:szCs w:val="16"/>
        </w:rPr>
        <w:footnoteRef/>
      </w:r>
      <w:r w:rsidRPr="00383387">
        <w:rPr>
          <w:rFonts w:ascii="Arial" w:hAnsi="Arial" w:cs="Arial"/>
          <w:sz w:val="16"/>
          <w:szCs w:val="16"/>
        </w:rPr>
        <w:t xml:space="preserve"> No se incluyen los órganos jurisdiccionales de ejecución de sentencia</w:t>
      </w:r>
      <w:r w:rsidR="008D014B">
        <w:rPr>
          <w:rFonts w:ascii="Arial" w:hAnsi="Arial" w:cs="Arial"/>
          <w:sz w:val="16"/>
          <w:szCs w:val="16"/>
        </w:rPr>
        <w:t xml:space="preserve">. Para estos, </w:t>
      </w:r>
      <w:r w:rsidRPr="00383387">
        <w:rPr>
          <w:rFonts w:ascii="Arial" w:hAnsi="Arial" w:cs="Arial"/>
          <w:sz w:val="16"/>
          <w:szCs w:val="16"/>
        </w:rPr>
        <w:t>la totalidad de las sentencias correspond</w:t>
      </w:r>
      <w:r w:rsidR="008D014B">
        <w:rPr>
          <w:rFonts w:ascii="Arial" w:hAnsi="Arial" w:cs="Arial"/>
          <w:sz w:val="16"/>
          <w:szCs w:val="16"/>
        </w:rPr>
        <w:t>ió</w:t>
      </w:r>
      <w:r w:rsidRPr="00383387">
        <w:rPr>
          <w:rFonts w:ascii="Arial" w:hAnsi="Arial" w:cs="Arial"/>
          <w:sz w:val="16"/>
          <w:szCs w:val="16"/>
        </w:rPr>
        <w:t xml:space="preserve"> a la materia </w:t>
      </w:r>
      <w:r w:rsidR="008D014B">
        <w:rPr>
          <w:rFonts w:ascii="Arial" w:hAnsi="Arial" w:cs="Arial"/>
          <w:sz w:val="16"/>
          <w:szCs w:val="16"/>
        </w:rPr>
        <w:t>p</w:t>
      </w:r>
      <w:r w:rsidRPr="00383387">
        <w:rPr>
          <w:rFonts w:ascii="Arial" w:hAnsi="Arial" w:cs="Arial"/>
          <w:sz w:val="16"/>
          <w:szCs w:val="16"/>
        </w:rPr>
        <w:t>enal.</w:t>
      </w:r>
    </w:p>
  </w:footnote>
  <w:footnote w:id="10">
    <w:p w14:paraId="2333C8FE" w14:textId="3489DBDD" w:rsidR="00BD3186" w:rsidRPr="00BD3186" w:rsidRDefault="00BD3186" w:rsidP="00BD318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D3186">
        <w:rPr>
          <w:rStyle w:val="Refdenotaalpie"/>
          <w:rFonts w:ascii="Arial" w:hAnsi="Arial" w:cs="Arial"/>
          <w:sz w:val="16"/>
          <w:szCs w:val="16"/>
        </w:rPr>
        <w:footnoteRef/>
      </w:r>
      <w:r w:rsidRPr="00BD3186">
        <w:rPr>
          <w:rFonts w:ascii="Arial" w:hAnsi="Arial" w:cs="Arial"/>
          <w:sz w:val="16"/>
          <w:szCs w:val="16"/>
        </w:rPr>
        <w:t xml:space="preserve"> Para la presente sección se incluye información de Coahuila, Chiapas, Chihuahua, Durango, Guerrero, Quintana Roo y Veracruz de Ignacio de la Llave</w:t>
      </w:r>
      <w:r w:rsidR="001D1811">
        <w:rPr>
          <w:rFonts w:ascii="Arial" w:hAnsi="Arial" w:cs="Arial"/>
          <w:sz w:val="16"/>
          <w:szCs w:val="16"/>
        </w:rPr>
        <w:t xml:space="preserve"> porque </w:t>
      </w:r>
      <w:r w:rsidR="0015148A" w:rsidRPr="00BD3186">
        <w:rPr>
          <w:rFonts w:ascii="Arial" w:hAnsi="Arial" w:cs="Arial"/>
          <w:sz w:val="16"/>
          <w:szCs w:val="16"/>
        </w:rPr>
        <w:t xml:space="preserve">la defensoría pública o de oficio </w:t>
      </w:r>
      <w:r w:rsidRPr="00BD3186">
        <w:rPr>
          <w:rFonts w:ascii="Arial" w:hAnsi="Arial" w:cs="Arial"/>
          <w:sz w:val="16"/>
          <w:szCs w:val="16"/>
        </w:rPr>
        <w:t>se encontraba a cargo del Poder Judicial de cada entidad. Para el resto de las entidades, e</w:t>
      </w:r>
      <w:r w:rsidR="0015148A">
        <w:rPr>
          <w:rFonts w:ascii="Arial" w:hAnsi="Arial" w:cs="Arial"/>
          <w:sz w:val="16"/>
          <w:szCs w:val="16"/>
        </w:rPr>
        <w:t xml:space="preserve">se </w:t>
      </w:r>
      <w:r w:rsidRPr="00BD3186">
        <w:rPr>
          <w:rFonts w:ascii="Arial" w:hAnsi="Arial" w:cs="Arial"/>
          <w:sz w:val="16"/>
          <w:szCs w:val="16"/>
        </w:rPr>
        <w:t xml:space="preserve">ejercicio </w:t>
      </w:r>
      <w:r w:rsidR="0015148A">
        <w:rPr>
          <w:rFonts w:ascii="Arial" w:hAnsi="Arial" w:cs="Arial"/>
          <w:sz w:val="16"/>
          <w:szCs w:val="16"/>
        </w:rPr>
        <w:t xml:space="preserve">está a cargo </w:t>
      </w:r>
      <w:r w:rsidRPr="00BD3186">
        <w:rPr>
          <w:rFonts w:ascii="Arial" w:hAnsi="Arial" w:cs="Arial"/>
          <w:sz w:val="16"/>
          <w:szCs w:val="16"/>
        </w:rPr>
        <w:t xml:space="preserve">del gobierno estatal. Para </w:t>
      </w:r>
      <w:proofErr w:type="gramStart"/>
      <w:r w:rsidRPr="00BD3186">
        <w:rPr>
          <w:rFonts w:ascii="Arial" w:hAnsi="Arial" w:cs="Arial"/>
          <w:sz w:val="16"/>
          <w:szCs w:val="16"/>
        </w:rPr>
        <w:t>mayor información</w:t>
      </w:r>
      <w:proofErr w:type="gramEnd"/>
      <w:r w:rsidRPr="00BD3186">
        <w:rPr>
          <w:rFonts w:ascii="Arial" w:hAnsi="Arial" w:cs="Arial"/>
          <w:sz w:val="16"/>
          <w:szCs w:val="16"/>
        </w:rPr>
        <w:t>, se sugiere consultar el Censo Nacional de Gobiernos Estatales (CNGE) 2022, disponible en</w:t>
      </w:r>
      <w:r w:rsidR="0015148A">
        <w:rPr>
          <w:rFonts w:ascii="Arial" w:hAnsi="Arial" w:cs="Arial"/>
          <w:sz w:val="16"/>
          <w:szCs w:val="16"/>
        </w:rPr>
        <w:t>:</w:t>
      </w:r>
      <w:r w:rsidRPr="00BD3186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Pr="00CF397E">
          <w:rPr>
            <w:rStyle w:val="Hipervnculo"/>
            <w:rFonts w:ascii="Arial" w:hAnsi="Arial" w:cs="Arial"/>
            <w:sz w:val="16"/>
            <w:szCs w:val="16"/>
          </w:rPr>
          <w:t>https://www.inegi.org.mx/programas/cnge/2022/</w:t>
        </w:r>
      </w:hyperlink>
      <w:r w:rsidRPr="00BD3186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11">
    <w:p w14:paraId="062B1DF0" w14:textId="082B5F06" w:rsidR="00A32257" w:rsidRPr="00A32257" w:rsidRDefault="00A32257" w:rsidP="00A32257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32257">
        <w:rPr>
          <w:rStyle w:val="Refdenotaalpie"/>
          <w:rFonts w:ascii="Arial" w:hAnsi="Arial" w:cs="Arial"/>
          <w:sz w:val="16"/>
          <w:szCs w:val="16"/>
        </w:rPr>
        <w:footnoteRef/>
      </w:r>
      <w:r w:rsidRPr="00A32257">
        <w:rPr>
          <w:rFonts w:ascii="Arial" w:hAnsi="Arial" w:cs="Arial"/>
          <w:sz w:val="16"/>
          <w:szCs w:val="16"/>
        </w:rPr>
        <w:t xml:space="preserve"> Para los sistemas Penal Acusatorio e Integral de Justicia Penal para Adolescentes solo se incluyen las causas penales ingresadas en los juzgados de control o garantías. Los ingresos para las materias penal y justicia para adolescentes solo consideran las causas penales competentes</w:t>
      </w:r>
      <w:r w:rsidR="00EB3B88">
        <w:rPr>
          <w:rFonts w:ascii="Arial" w:hAnsi="Arial" w:cs="Arial"/>
          <w:sz w:val="16"/>
          <w:szCs w:val="16"/>
        </w:rPr>
        <w:t>.</w:t>
      </w:r>
    </w:p>
  </w:footnote>
  <w:footnote w:id="12">
    <w:p w14:paraId="6761398F" w14:textId="4704BBEF" w:rsidR="00A32257" w:rsidRDefault="00A32257" w:rsidP="00A32257">
      <w:pPr>
        <w:pStyle w:val="Textonotapie"/>
        <w:jc w:val="both"/>
      </w:pPr>
      <w:r w:rsidRPr="00A32257">
        <w:rPr>
          <w:rStyle w:val="Refdenotaalpie"/>
          <w:rFonts w:ascii="Arial" w:hAnsi="Arial" w:cs="Arial"/>
          <w:sz w:val="16"/>
          <w:szCs w:val="16"/>
        </w:rPr>
        <w:footnoteRef/>
      </w:r>
      <w:r w:rsidRPr="00A32257">
        <w:rPr>
          <w:rFonts w:ascii="Arial" w:hAnsi="Arial" w:cs="Arial"/>
          <w:sz w:val="16"/>
          <w:szCs w:val="16"/>
        </w:rPr>
        <w:t xml:space="preserve"> </w:t>
      </w:r>
      <w:r w:rsidR="0015148A">
        <w:rPr>
          <w:rFonts w:ascii="Arial" w:hAnsi="Arial" w:cs="Arial"/>
          <w:sz w:val="16"/>
          <w:szCs w:val="16"/>
        </w:rPr>
        <w:t xml:space="preserve">Las </w:t>
      </w:r>
      <w:r w:rsidRPr="00A32257">
        <w:rPr>
          <w:rFonts w:ascii="Arial" w:hAnsi="Arial" w:cs="Arial"/>
          <w:sz w:val="16"/>
          <w:szCs w:val="16"/>
        </w:rPr>
        <w:t>materias penal y justicia para adolescentes se refiere</w:t>
      </w:r>
      <w:r w:rsidR="0015148A">
        <w:rPr>
          <w:rFonts w:ascii="Arial" w:hAnsi="Arial" w:cs="Arial"/>
          <w:sz w:val="16"/>
          <w:szCs w:val="16"/>
        </w:rPr>
        <w:t>n</w:t>
      </w:r>
      <w:r w:rsidRPr="00A32257">
        <w:rPr>
          <w:rFonts w:ascii="Arial" w:hAnsi="Arial" w:cs="Arial"/>
          <w:sz w:val="16"/>
          <w:szCs w:val="16"/>
        </w:rPr>
        <w:t xml:space="preserve"> a las determinaciones y/</w:t>
      </w:r>
      <w:r w:rsidR="0015148A">
        <w:rPr>
          <w:rFonts w:ascii="Arial" w:hAnsi="Arial" w:cs="Arial"/>
          <w:sz w:val="16"/>
          <w:szCs w:val="16"/>
        </w:rPr>
        <w:t xml:space="preserve"> </w:t>
      </w:r>
      <w:r w:rsidRPr="00A32257">
        <w:rPr>
          <w:rFonts w:ascii="Arial" w:hAnsi="Arial" w:cs="Arial"/>
          <w:sz w:val="16"/>
          <w:szCs w:val="16"/>
        </w:rPr>
        <w:t xml:space="preserve">o conclusiones efectuadas a las casusas penales; en los sistemas Penal Acusatorio e Integral de Justicia Penal para Adolescentes se incluyen los juzgados de control o garantías y los tribunales de enjuiciamiento o juzgados de juicio oral. Para el resto de las materias, los asuntos concluidos se refieren a </w:t>
      </w:r>
      <w:r w:rsidR="0015148A">
        <w:rPr>
          <w:rFonts w:ascii="Arial" w:hAnsi="Arial" w:cs="Arial"/>
          <w:sz w:val="16"/>
          <w:szCs w:val="16"/>
        </w:rPr>
        <w:t>los</w:t>
      </w:r>
      <w:r w:rsidRPr="00A32257">
        <w:rPr>
          <w:rFonts w:ascii="Arial" w:hAnsi="Arial" w:cs="Arial"/>
          <w:sz w:val="16"/>
          <w:szCs w:val="16"/>
        </w:rPr>
        <w:t xml:space="preserve"> expedientes concluidos durante el año en los que se puso fin al juicio o procedimiento, independientemente de que hayan ingresado durante el año o en ejercicios anteriores.</w:t>
      </w:r>
    </w:p>
  </w:footnote>
  <w:footnote w:id="13">
    <w:p w14:paraId="348E867C" w14:textId="07F96DF2" w:rsidR="00FA464A" w:rsidRPr="00FA464A" w:rsidRDefault="00FA464A" w:rsidP="00FA464A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FA464A">
        <w:rPr>
          <w:rStyle w:val="Refdenotaalpie"/>
          <w:rFonts w:ascii="Arial" w:hAnsi="Arial" w:cs="Arial"/>
          <w:sz w:val="16"/>
          <w:szCs w:val="16"/>
        </w:rPr>
        <w:footnoteRef/>
      </w:r>
      <w:r w:rsidRPr="00FA464A">
        <w:rPr>
          <w:rFonts w:ascii="Arial" w:hAnsi="Arial" w:cs="Arial"/>
          <w:sz w:val="16"/>
          <w:szCs w:val="16"/>
        </w:rPr>
        <w:t xml:space="preserve"> Se incluye información del Sistema Tradicional, Sistema Penal Acusatorio (juzgados de control o garantías), Sistema Escrito o Mixto, Sistema Oral y Sistema Integral de Justicia Penal para Adolescentes (juzgados de control o garantías). Los ingresos consideran únicamente las causas penales competentes.</w:t>
      </w:r>
    </w:p>
  </w:footnote>
  <w:footnote w:id="14">
    <w:p w14:paraId="7782CAF1" w14:textId="70C76A89" w:rsidR="00E73665" w:rsidRPr="00FA464A" w:rsidRDefault="00E73665" w:rsidP="00E73665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FA464A">
        <w:rPr>
          <w:rStyle w:val="Refdenotaalpie"/>
          <w:rFonts w:ascii="Arial" w:hAnsi="Arial" w:cs="Arial"/>
          <w:sz w:val="16"/>
          <w:szCs w:val="16"/>
        </w:rPr>
        <w:footnoteRef/>
      </w:r>
      <w:r w:rsidRPr="00FA464A">
        <w:rPr>
          <w:rFonts w:ascii="Arial" w:hAnsi="Arial" w:cs="Arial"/>
          <w:sz w:val="16"/>
          <w:szCs w:val="16"/>
        </w:rPr>
        <w:t xml:space="preserve"> </w:t>
      </w:r>
      <w:r w:rsidR="004802A7" w:rsidRPr="004802A7">
        <w:rPr>
          <w:rFonts w:ascii="Arial" w:hAnsi="Arial" w:cs="Arial"/>
          <w:sz w:val="16"/>
          <w:szCs w:val="16"/>
        </w:rPr>
        <w:t>Se incluye información de los sistemas Tradicional, Penal Acusatorio, Escrito o Mixto, Oral e Integral de Justicia Penal para Adolescentes. En los sistemas Penal Acusatorio e Integral de Justicia Penal para Adolescentes se incluyen los juzgados de control o garantías y los tribunales de enjuiciamiento o juzgados de juicio oral. La medición se hace a nivel de procesado y/</w:t>
      </w:r>
      <w:r w:rsidR="00EB3B3F">
        <w:rPr>
          <w:rFonts w:ascii="Arial" w:hAnsi="Arial" w:cs="Arial"/>
          <w:sz w:val="16"/>
          <w:szCs w:val="16"/>
        </w:rPr>
        <w:t xml:space="preserve"> </w:t>
      </w:r>
      <w:r w:rsidR="004802A7" w:rsidRPr="004802A7">
        <w:rPr>
          <w:rFonts w:ascii="Arial" w:hAnsi="Arial" w:cs="Arial"/>
          <w:sz w:val="16"/>
          <w:szCs w:val="16"/>
        </w:rPr>
        <w:t>o imputado</w:t>
      </w:r>
      <w:r w:rsidR="00EB3B3F">
        <w:rPr>
          <w:rFonts w:ascii="Arial" w:hAnsi="Arial" w:cs="Arial"/>
          <w:sz w:val="16"/>
          <w:szCs w:val="16"/>
        </w:rPr>
        <w:t xml:space="preserve"> porque </w:t>
      </w:r>
      <w:r w:rsidR="004802A7" w:rsidRPr="004802A7">
        <w:rPr>
          <w:rFonts w:ascii="Arial" w:hAnsi="Arial" w:cs="Arial"/>
          <w:sz w:val="16"/>
          <w:szCs w:val="16"/>
        </w:rPr>
        <w:t>la causa penal se individualiza de acuerdo con la resolución que el juzgador emite a cada persona. Para ambos sistemas, las causas penales pudieron haber ingresado durante el año o en ejercicios anteriores.</w:t>
      </w:r>
    </w:p>
  </w:footnote>
  <w:footnote w:id="15">
    <w:p w14:paraId="52F878B8" w14:textId="7D2008C7" w:rsidR="00DD056C" w:rsidRPr="000543F2" w:rsidRDefault="00DD056C" w:rsidP="000543F2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0543F2">
        <w:rPr>
          <w:rStyle w:val="Refdenotaalpie"/>
          <w:rFonts w:ascii="Arial" w:hAnsi="Arial" w:cs="Arial"/>
          <w:sz w:val="16"/>
          <w:szCs w:val="16"/>
        </w:rPr>
        <w:footnoteRef/>
      </w:r>
      <w:r w:rsidRPr="000543F2">
        <w:rPr>
          <w:rFonts w:ascii="Arial" w:hAnsi="Arial" w:cs="Arial"/>
          <w:sz w:val="16"/>
          <w:szCs w:val="16"/>
        </w:rPr>
        <w:t xml:space="preserve"> </w:t>
      </w:r>
      <w:r w:rsidR="000543F2" w:rsidRPr="000543F2">
        <w:rPr>
          <w:rFonts w:ascii="Arial" w:hAnsi="Arial" w:cs="Arial"/>
          <w:sz w:val="16"/>
          <w:szCs w:val="16"/>
        </w:rPr>
        <w:t>Se incluye información de los sistemas Tradicional, Penal Acusatorio, Escrito o Mixto, Oral e Integral de Justicia Penal para Adolescentes. En los sistemas Penal Acusatorio e Integral de Justicia Penal para Adolescentes se incluyen únicamente los juzgados de control o garantías.</w:t>
      </w:r>
    </w:p>
  </w:footnote>
  <w:footnote w:id="16">
    <w:p w14:paraId="3ADDBA8E" w14:textId="2D4EEB1A" w:rsidR="00AD415B" w:rsidRPr="00AD415B" w:rsidRDefault="00AD415B">
      <w:pPr>
        <w:pStyle w:val="Textonotapie"/>
        <w:rPr>
          <w:rFonts w:ascii="Arial" w:hAnsi="Arial" w:cs="Arial"/>
          <w:sz w:val="16"/>
          <w:szCs w:val="16"/>
        </w:rPr>
      </w:pPr>
      <w:r w:rsidRPr="00AD415B">
        <w:rPr>
          <w:rStyle w:val="Refdenotaalpie"/>
          <w:rFonts w:ascii="Arial" w:hAnsi="Arial" w:cs="Arial"/>
          <w:sz w:val="16"/>
          <w:szCs w:val="16"/>
        </w:rPr>
        <w:footnoteRef/>
      </w:r>
      <w:r w:rsidRPr="00AD415B">
        <w:rPr>
          <w:rFonts w:ascii="Arial" w:hAnsi="Arial" w:cs="Arial"/>
          <w:sz w:val="16"/>
          <w:szCs w:val="16"/>
        </w:rPr>
        <w:t xml:space="preserve"> Incluye </w:t>
      </w:r>
      <w:r w:rsidR="0043057F">
        <w:rPr>
          <w:rFonts w:ascii="Arial" w:hAnsi="Arial" w:cs="Arial"/>
          <w:sz w:val="16"/>
          <w:szCs w:val="16"/>
        </w:rPr>
        <w:t xml:space="preserve">personas </w:t>
      </w:r>
      <w:r w:rsidRPr="00AD415B">
        <w:rPr>
          <w:rFonts w:ascii="Arial" w:hAnsi="Arial" w:cs="Arial"/>
          <w:sz w:val="16"/>
          <w:szCs w:val="16"/>
        </w:rPr>
        <w:t>adult</w:t>
      </w:r>
      <w:r w:rsidR="0043057F">
        <w:rPr>
          <w:rFonts w:ascii="Arial" w:hAnsi="Arial" w:cs="Arial"/>
          <w:sz w:val="16"/>
          <w:szCs w:val="16"/>
        </w:rPr>
        <w:t>a</w:t>
      </w:r>
      <w:r w:rsidRPr="00AD415B">
        <w:rPr>
          <w:rFonts w:ascii="Arial" w:hAnsi="Arial" w:cs="Arial"/>
          <w:sz w:val="16"/>
          <w:szCs w:val="16"/>
        </w:rPr>
        <w:t>s y adolescentes.</w:t>
      </w:r>
    </w:p>
  </w:footnote>
  <w:footnote w:id="17">
    <w:p w14:paraId="225B1BEC" w14:textId="423F2CE2" w:rsidR="00E90937" w:rsidRPr="00CE29E2" w:rsidRDefault="00E90937">
      <w:pPr>
        <w:pStyle w:val="Textonotapie"/>
        <w:rPr>
          <w:rFonts w:ascii="Arial" w:hAnsi="Arial" w:cs="Arial"/>
          <w:sz w:val="16"/>
          <w:szCs w:val="16"/>
        </w:rPr>
      </w:pPr>
      <w:r w:rsidRPr="00CE29E2">
        <w:rPr>
          <w:rStyle w:val="Refdenotaalpie"/>
          <w:rFonts w:ascii="Arial" w:hAnsi="Arial" w:cs="Arial"/>
          <w:sz w:val="16"/>
          <w:szCs w:val="16"/>
        </w:rPr>
        <w:footnoteRef/>
      </w:r>
      <w:r w:rsidRPr="00CE29E2">
        <w:rPr>
          <w:rFonts w:ascii="Arial" w:hAnsi="Arial" w:cs="Arial"/>
          <w:sz w:val="16"/>
          <w:szCs w:val="16"/>
        </w:rPr>
        <w:t xml:space="preserve"> En el periodo referido</w:t>
      </w:r>
      <w:r w:rsidR="0043057F">
        <w:rPr>
          <w:rFonts w:ascii="Arial" w:hAnsi="Arial" w:cs="Arial"/>
          <w:sz w:val="16"/>
          <w:szCs w:val="16"/>
        </w:rPr>
        <w:t>,</w:t>
      </w:r>
      <w:r w:rsidRPr="00CE29E2">
        <w:rPr>
          <w:rFonts w:ascii="Arial" w:hAnsi="Arial" w:cs="Arial"/>
          <w:sz w:val="16"/>
          <w:szCs w:val="16"/>
        </w:rPr>
        <w:t xml:space="preserve"> se reportó que 63 759</w:t>
      </w:r>
      <w:r w:rsidR="00CE29E2" w:rsidRPr="00CE29E2">
        <w:rPr>
          <w:rFonts w:ascii="Arial" w:hAnsi="Arial" w:cs="Arial"/>
          <w:sz w:val="16"/>
          <w:szCs w:val="16"/>
        </w:rPr>
        <w:t xml:space="preserve"> personas (adultas y adolescentes) fueron vinculadas a proceso.</w:t>
      </w:r>
    </w:p>
  </w:footnote>
  <w:footnote w:id="18">
    <w:p w14:paraId="793B61A6" w14:textId="1E0354D6" w:rsidR="00343845" w:rsidRPr="00F151B9" w:rsidRDefault="00343845">
      <w:pPr>
        <w:pStyle w:val="Textonotapie"/>
        <w:rPr>
          <w:rFonts w:ascii="Arial" w:hAnsi="Arial" w:cs="Arial"/>
          <w:sz w:val="16"/>
          <w:szCs w:val="16"/>
        </w:rPr>
      </w:pPr>
      <w:r w:rsidRPr="00F151B9">
        <w:rPr>
          <w:rStyle w:val="Refdenotaalpie"/>
          <w:rFonts w:ascii="Arial" w:hAnsi="Arial" w:cs="Arial"/>
          <w:sz w:val="16"/>
          <w:szCs w:val="16"/>
        </w:rPr>
        <w:footnoteRef/>
      </w:r>
      <w:r w:rsidRPr="00F151B9">
        <w:rPr>
          <w:rFonts w:ascii="Arial" w:hAnsi="Arial" w:cs="Arial"/>
          <w:sz w:val="16"/>
          <w:szCs w:val="16"/>
        </w:rPr>
        <w:t xml:space="preserve"> </w:t>
      </w:r>
      <w:r w:rsidR="00F151B9" w:rsidRPr="00F151B9">
        <w:rPr>
          <w:rFonts w:ascii="Arial" w:hAnsi="Arial" w:cs="Arial"/>
          <w:sz w:val="16"/>
          <w:szCs w:val="16"/>
        </w:rPr>
        <w:t>No se incluye</w:t>
      </w:r>
      <w:r w:rsidR="00F151B9">
        <w:rPr>
          <w:rFonts w:ascii="Arial" w:hAnsi="Arial" w:cs="Arial"/>
          <w:sz w:val="16"/>
          <w:szCs w:val="16"/>
        </w:rPr>
        <w:t>n</w:t>
      </w:r>
      <w:r w:rsidR="00F151B9" w:rsidRPr="00F151B9">
        <w:rPr>
          <w:rFonts w:ascii="Arial" w:hAnsi="Arial" w:cs="Arial"/>
          <w:sz w:val="16"/>
          <w:szCs w:val="16"/>
        </w:rPr>
        <w:t xml:space="preserve"> la</w:t>
      </w:r>
      <w:r w:rsidR="00F151B9">
        <w:rPr>
          <w:rFonts w:ascii="Arial" w:hAnsi="Arial" w:cs="Arial"/>
          <w:sz w:val="16"/>
          <w:szCs w:val="16"/>
        </w:rPr>
        <w:t>s</w:t>
      </w:r>
      <w:r w:rsidR="00F151B9" w:rsidRPr="00F151B9">
        <w:rPr>
          <w:rFonts w:ascii="Arial" w:hAnsi="Arial" w:cs="Arial"/>
          <w:sz w:val="16"/>
          <w:szCs w:val="16"/>
        </w:rPr>
        <w:t xml:space="preserve"> categoría</w:t>
      </w:r>
      <w:r w:rsidR="00F151B9">
        <w:rPr>
          <w:rFonts w:ascii="Arial" w:hAnsi="Arial" w:cs="Arial"/>
          <w:sz w:val="16"/>
          <w:szCs w:val="16"/>
        </w:rPr>
        <w:t>s</w:t>
      </w:r>
      <w:r w:rsidR="00F151B9" w:rsidRPr="00F151B9">
        <w:rPr>
          <w:rFonts w:ascii="Arial" w:hAnsi="Arial" w:cs="Arial"/>
          <w:sz w:val="16"/>
          <w:szCs w:val="16"/>
        </w:rPr>
        <w:t xml:space="preserve"> </w:t>
      </w:r>
      <w:r w:rsidR="00CB7477" w:rsidRPr="002570E4">
        <w:rPr>
          <w:rFonts w:ascii="Arial" w:hAnsi="Arial" w:cs="Arial"/>
          <w:i/>
          <w:iCs/>
          <w:sz w:val="16"/>
          <w:szCs w:val="16"/>
        </w:rPr>
        <w:t>n</w:t>
      </w:r>
      <w:r w:rsidR="00F151B9" w:rsidRPr="002570E4">
        <w:rPr>
          <w:rFonts w:ascii="Arial" w:hAnsi="Arial" w:cs="Arial"/>
          <w:i/>
          <w:iCs/>
          <w:sz w:val="16"/>
          <w:szCs w:val="16"/>
        </w:rPr>
        <w:t>o identificado</w:t>
      </w:r>
      <w:r w:rsidR="00F151B9">
        <w:rPr>
          <w:rFonts w:ascii="Arial" w:hAnsi="Arial" w:cs="Arial"/>
          <w:sz w:val="16"/>
          <w:szCs w:val="16"/>
        </w:rPr>
        <w:t xml:space="preserve"> y </w:t>
      </w:r>
      <w:r w:rsidR="00CB7477" w:rsidRPr="002570E4">
        <w:rPr>
          <w:rFonts w:ascii="Arial" w:hAnsi="Arial" w:cs="Arial"/>
          <w:i/>
          <w:iCs/>
          <w:sz w:val="16"/>
          <w:szCs w:val="16"/>
        </w:rPr>
        <w:t>n</w:t>
      </w:r>
      <w:r w:rsidR="00F151B9" w:rsidRPr="002570E4">
        <w:rPr>
          <w:rFonts w:ascii="Arial" w:hAnsi="Arial" w:cs="Arial"/>
          <w:i/>
          <w:iCs/>
          <w:sz w:val="16"/>
          <w:szCs w:val="16"/>
        </w:rPr>
        <w:t>o especificado</w:t>
      </w:r>
      <w:r w:rsidR="00F151B9">
        <w:rPr>
          <w:rFonts w:ascii="Arial" w:hAnsi="Arial" w:cs="Arial"/>
          <w:sz w:val="16"/>
          <w:szCs w:val="16"/>
        </w:rPr>
        <w:t xml:space="preserve"> que corresponden a 1.8 % (628) y 0.1 % (28).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55C1E" w14:textId="39EF02F5" w:rsidR="0097157B" w:rsidRPr="00CE3882" w:rsidRDefault="0097157B" w:rsidP="00A056F0">
    <w:pPr>
      <w:tabs>
        <w:tab w:val="left" w:pos="5103"/>
      </w:tabs>
      <w:spacing w:after="0" w:line="240" w:lineRule="auto"/>
      <w:ind w:right="51"/>
      <w:jc w:val="right"/>
      <w:rPr>
        <w:rFonts w:ascii="Arial" w:eastAsia="Arial" w:hAnsi="Arial" w:cs="Arial"/>
        <w:sz w:val="24"/>
        <w:szCs w:val="24"/>
      </w:rPr>
    </w:pPr>
    <w:r w:rsidRPr="00CE3882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688FFF" wp14:editId="0F090B2C">
          <wp:simplePos x="0" y="0"/>
          <wp:positionH relativeFrom="margin">
            <wp:align>left</wp:align>
          </wp:positionH>
          <wp:positionV relativeFrom="margin">
            <wp:posOffset>-951783</wp:posOffset>
          </wp:positionV>
          <wp:extent cx="847725" cy="828675"/>
          <wp:effectExtent l="0" t="0" r="9525" b="9525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91" r="-1191"/>
                  <a:stretch/>
                </pic:blipFill>
                <pic:spPr bwMode="auto">
                  <a:xfrm>
                    <a:off x="0" y="0"/>
                    <a:ext cx="8477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3882">
      <w:rPr>
        <w:rFonts w:ascii="Arial" w:hAnsi="Arial"/>
        <w:b/>
        <w:color w:val="002060"/>
        <w:sz w:val="24"/>
      </w:rPr>
      <w:t>COMUNICADO</w:t>
    </w:r>
    <w:r w:rsidRPr="00CE3882">
      <w:rPr>
        <w:rFonts w:ascii="Arial" w:hAnsi="Arial"/>
        <w:b/>
        <w:color w:val="002060"/>
        <w:spacing w:val="-11"/>
        <w:sz w:val="24"/>
      </w:rPr>
      <w:t xml:space="preserve"> </w:t>
    </w:r>
    <w:r w:rsidRPr="00CE3882">
      <w:rPr>
        <w:rFonts w:ascii="Arial" w:hAnsi="Arial"/>
        <w:b/>
        <w:color w:val="002060"/>
        <w:sz w:val="24"/>
      </w:rPr>
      <w:t>DE</w:t>
    </w:r>
    <w:r w:rsidRPr="00CE3882">
      <w:rPr>
        <w:rFonts w:ascii="Arial" w:hAnsi="Arial"/>
        <w:b/>
        <w:color w:val="002060"/>
        <w:spacing w:val="-11"/>
        <w:sz w:val="24"/>
      </w:rPr>
      <w:t xml:space="preserve"> P</w:t>
    </w:r>
    <w:r w:rsidRPr="00CE3882">
      <w:rPr>
        <w:rFonts w:ascii="Arial" w:hAnsi="Arial"/>
        <w:b/>
        <w:color w:val="002060"/>
        <w:spacing w:val="-1"/>
        <w:sz w:val="24"/>
      </w:rPr>
      <w:t>RENSA</w:t>
    </w:r>
    <w:r w:rsidRPr="00CE3882">
      <w:rPr>
        <w:rFonts w:ascii="Arial" w:hAnsi="Arial"/>
        <w:b/>
        <w:color w:val="002060"/>
        <w:spacing w:val="-11"/>
        <w:sz w:val="24"/>
      </w:rPr>
      <w:t xml:space="preserve"> </w:t>
    </w:r>
    <w:r w:rsidRPr="00CE3882">
      <w:rPr>
        <w:rFonts w:ascii="Arial" w:hAnsi="Arial"/>
        <w:b/>
        <w:color w:val="002060"/>
        <w:sz w:val="24"/>
      </w:rPr>
      <w:t>NÚM.</w:t>
    </w:r>
    <w:r w:rsidRPr="00DE6EFC">
      <w:rPr>
        <w:rFonts w:ascii="Arial" w:hAnsi="Arial"/>
        <w:b/>
        <w:color w:val="002060"/>
        <w:sz w:val="24"/>
      </w:rPr>
      <w:t xml:space="preserve"> </w:t>
    </w:r>
    <w:r w:rsidR="00AA5B1B">
      <w:rPr>
        <w:rFonts w:ascii="Arial" w:hAnsi="Arial"/>
        <w:b/>
        <w:color w:val="002060"/>
        <w:sz w:val="24"/>
      </w:rPr>
      <w:t>604</w:t>
    </w:r>
    <w:r>
      <w:rPr>
        <w:rFonts w:ascii="Arial" w:hAnsi="Arial"/>
        <w:b/>
        <w:color w:val="002060"/>
        <w:sz w:val="24"/>
      </w:rPr>
      <w:t>/</w:t>
    </w:r>
    <w:r w:rsidR="00AA5B1B">
      <w:rPr>
        <w:rFonts w:ascii="Arial" w:hAnsi="Arial"/>
        <w:b/>
        <w:color w:val="002060"/>
        <w:sz w:val="24"/>
      </w:rPr>
      <w:t>22</w:t>
    </w:r>
  </w:p>
  <w:p w14:paraId="654BD4B2" w14:textId="62C316EF" w:rsidR="0097157B" w:rsidRPr="00BA6E95" w:rsidRDefault="0097157B" w:rsidP="00A056F0">
    <w:pPr>
      <w:tabs>
        <w:tab w:val="center" w:pos="5018"/>
        <w:tab w:val="right" w:pos="10037"/>
      </w:tabs>
      <w:spacing w:after="0" w:line="240" w:lineRule="auto"/>
      <w:ind w:right="51"/>
      <w:jc w:val="right"/>
      <w:rPr>
        <w:rFonts w:ascii="Arial"/>
        <w:b/>
        <w:color w:val="002060"/>
        <w:sz w:val="24"/>
      </w:rPr>
    </w:pPr>
    <w:r>
      <w:rPr>
        <w:rFonts w:ascii="Arial"/>
        <w:b/>
        <w:color w:val="002060"/>
        <w:sz w:val="24"/>
      </w:rPr>
      <w:t>2</w:t>
    </w:r>
    <w:r w:rsidR="00434C6F">
      <w:rPr>
        <w:rFonts w:ascii="Arial"/>
        <w:b/>
        <w:color w:val="002060"/>
        <w:sz w:val="24"/>
      </w:rPr>
      <w:t>7</w:t>
    </w:r>
    <w:r w:rsidRPr="00DE6EFC">
      <w:rPr>
        <w:rFonts w:ascii="Arial"/>
        <w:b/>
        <w:color w:val="002060"/>
        <w:spacing w:val="-6"/>
        <w:sz w:val="24"/>
      </w:rPr>
      <w:t xml:space="preserve"> </w:t>
    </w:r>
    <w:r w:rsidRPr="00CE3882">
      <w:rPr>
        <w:rFonts w:ascii="Arial"/>
        <w:b/>
        <w:color w:val="002060"/>
        <w:sz w:val="24"/>
      </w:rPr>
      <w:t>DE</w:t>
    </w:r>
    <w:r w:rsidRPr="00CE3882">
      <w:rPr>
        <w:rFonts w:ascii="Arial"/>
        <w:b/>
        <w:color w:val="002060"/>
        <w:spacing w:val="-5"/>
        <w:sz w:val="24"/>
      </w:rPr>
      <w:t xml:space="preserve"> </w:t>
    </w:r>
    <w:r w:rsidR="00434C6F">
      <w:rPr>
        <w:rFonts w:ascii="Arial"/>
        <w:b/>
        <w:color w:val="002060"/>
        <w:spacing w:val="-5"/>
        <w:sz w:val="24"/>
      </w:rPr>
      <w:t>OCTUBRE</w:t>
    </w:r>
    <w:r w:rsidRPr="00CE3882">
      <w:rPr>
        <w:rFonts w:ascii="Arial"/>
        <w:b/>
        <w:color w:val="002060"/>
        <w:spacing w:val="-6"/>
        <w:sz w:val="24"/>
      </w:rPr>
      <w:t xml:space="preserve"> </w:t>
    </w:r>
    <w:r w:rsidRPr="00CE3882">
      <w:rPr>
        <w:rFonts w:ascii="Arial"/>
        <w:b/>
        <w:color w:val="002060"/>
        <w:sz w:val="24"/>
      </w:rPr>
      <w:t>DE</w:t>
    </w:r>
    <w:r w:rsidRPr="00CE3882">
      <w:rPr>
        <w:rFonts w:ascii="Arial"/>
        <w:b/>
        <w:color w:val="002060"/>
        <w:spacing w:val="-5"/>
        <w:sz w:val="24"/>
      </w:rPr>
      <w:t xml:space="preserve"> </w:t>
    </w:r>
    <w:r w:rsidRPr="00CE3882">
      <w:rPr>
        <w:rFonts w:ascii="Arial"/>
        <w:b/>
        <w:color w:val="002060"/>
        <w:sz w:val="24"/>
      </w:rPr>
      <w:t>202</w:t>
    </w:r>
    <w:r>
      <w:rPr>
        <w:rFonts w:ascii="Arial"/>
        <w:b/>
        <w:color w:val="002060"/>
        <w:sz w:val="24"/>
      </w:rPr>
      <w:t>2</w:t>
    </w:r>
  </w:p>
  <w:p w14:paraId="292B9CCA" w14:textId="08846917" w:rsidR="0097157B" w:rsidRDefault="0097157B" w:rsidP="00A056F0">
    <w:pPr>
      <w:spacing w:after="0" w:line="240" w:lineRule="auto"/>
      <w:ind w:right="51"/>
      <w:jc w:val="right"/>
      <w:rPr>
        <w:rFonts w:ascii="Arial" w:hAnsi="Arial"/>
        <w:b/>
        <w:color w:val="002060"/>
        <w:sz w:val="24"/>
      </w:rPr>
    </w:pPr>
    <w:r w:rsidRPr="00CE3882">
      <w:rPr>
        <w:rFonts w:ascii="Arial" w:hAnsi="Arial"/>
        <w:b/>
        <w:color w:val="002060"/>
        <w:sz w:val="24"/>
      </w:rPr>
      <w:t>PÁGINA</w:t>
    </w:r>
    <w:r w:rsidRPr="00CE3882">
      <w:rPr>
        <w:rFonts w:ascii="Arial" w:hAnsi="Arial"/>
        <w:b/>
        <w:color w:val="002060"/>
        <w:spacing w:val="-13"/>
        <w:sz w:val="24"/>
      </w:rPr>
      <w:t xml:space="preserve"> </w:t>
    </w:r>
    <w:r w:rsidRPr="00CE3882">
      <w:fldChar w:fldCharType="begin"/>
    </w:r>
    <w:r w:rsidRPr="00CE3882">
      <w:rPr>
        <w:rFonts w:ascii="Arial" w:hAnsi="Arial"/>
        <w:b/>
        <w:color w:val="002060"/>
        <w:sz w:val="24"/>
      </w:rPr>
      <w:instrText xml:space="preserve"> PAGE </w:instrText>
    </w:r>
    <w:r w:rsidRPr="00CE3882">
      <w:fldChar w:fldCharType="separate"/>
    </w:r>
    <w:r>
      <w:rPr>
        <w:rFonts w:ascii="Arial" w:hAnsi="Arial"/>
        <w:b/>
        <w:noProof/>
        <w:color w:val="002060"/>
        <w:sz w:val="24"/>
      </w:rPr>
      <w:t>1</w:t>
    </w:r>
    <w:r w:rsidRPr="00CE3882">
      <w:fldChar w:fldCharType="end"/>
    </w:r>
    <w:r w:rsidRPr="00CE3882">
      <w:rPr>
        <w:rFonts w:ascii="Arial" w:hAnsi="Arial"/>
        <w:b/>
        <w:color w:val="002060"/>
        <w:sz w:val="24"/>
      </w:rPr>
      <w:t>/</w:t>
    </w:r>
    <w:r>
      <w:rPr>
        <w:rFonts w:ascii="Arial" w:hAnsi="Arial"/>
        <w:b/>
        <w:color w:val="002060"/>
        <w:sz w:val="24"/>
      </w:rPr>
      <w:t>3</w:t>
    </w:r>
    <w:r w:rsidR="00BC0256">
      <w:rPr>
        <w:rFonts w:ascii="Arial" w:hAnsi="Arial"/>
        <w:b/>
        <w:color w:val="002060"/>
        <w:sz w:val="24"/>
      </w:rPr>
      <w:t>0</w:t>
    </w:r>
  </w:p>
  <w:p w14:paraId="092AA8FC" w14:textId="122FC5A2" w:rsidR="0097157B" w:rsidRDefault="0097157B" w:rsidP="0005255F">
    <w:pPr>
      <w:tabs>
        <w:tab w:val="left" w:pos="555"/>
        <w:tab w:val="left" w:pos="2790"/>
      </w:tabs>
      <w:ind w:right="49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sz w:val="24"/>
        <w:szCs w:val="24"/>
      </w:rPr>
      <w:tab/>
    </w:r>
  </w:p>
  <w:p w14:paraId="44A1767B" w14:textId="77777777" w:rsidR="0097157B" w:rsidRDefault="0097157B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6892E" w14:textId="456C346F" w:rsidR="0097157B" w:rsidRDefault="0097157B" w:rsidP="00EC31DB">
    <w:pPr>
      <w:pStyle w:val="Encabezado"/>
      <w:ind w:left="-567"/>
      <w:jc w:val="center"/>
      <w:rPr>
        <w:noProof/>
      </w:rPr>
    </w:pPr>
    <w:r>
      <w:rPr>
        <w:noProof/>
        <w:lang w:eastAsia="es-MX"/>
      </w:rPr>
      <w:drawing>
        <wp:inline distT="0" distB="0" distL="0" distR="0" wp14:anchorId="2DBA87B7" wp14:editId="67F537D7">
          <wp:extent cx="678606" cy="704850"/>
          <wp:effectExtent l="0" t="0" r="7620" b="0"/>
          <wp:docPr id="100" name="Imagen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623" cy="713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595FBD" w14:textId="77777777" w:rsidR="0097157B" w:rsidRDefault="0097157B" w:rsidP="00E92F6E">
    <w:pPr>
      <w:pStyle w:val="Encabezado"/>
      <w:tabs>
        <w:tab w:val="clear" w:pos="4419"/>
        <w:tab w:val="clear" w:pos="8838"/>
      </w:tabs>
      <w:rPr>
        <w:b/>
        <w:color w:val="000000"/>
        <w:spacing w:val="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72D"/>
    <w:multiLevelType w:val="hybridMultilevel"/>
    <w:tmpl w:val="B9BA8B7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B5812"/>
    <w:multiLevelType w:val="hybridMultilevel"/>
    <w:tmpl w:val="315AD490"/>
    <w:lvl w:ilvl="0" w:tplc="08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08D03E5D"/>
    <w:multiLevelType w:val="hybridMultilevel"/>
    <w:tmpl w:val="26EA66C0"/>
    <w:lvl w:ilvl="0" w:tplc="2EA499D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C444AC2"/>
    <w:multiLevelType w:val="hybridMultilevel"/>
    <w:tmpl w:val="C63A34B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A211631"/>
    <w:multiLevelType w:val="hybridMultilevel"/>
    <w:tmpl w:val="1BF841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76589"/>
    <w:multiLevelType w:val="hybridMultilevel"/>
    <w:tmpl w:val="E9B2FCFE"/>
    <w:lvl w:ilvl="0" w:tplc="08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BC7633C"/>
    <w:multiLevelType w:val="hybridMultilevel"/>
    <w:tmpl w:val="2BC0C7F6"/>
    <w:lvl w:ilvl="0" w:tplc="1A964CEC">
      <w:numFmt w:val="bullet"/>
      <w:lvlText w:val="-"/>
      <w:lvlJc w:val="left"/>
      <w:pPr>
        <w:ind w:left="153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2228235E"/>
    <w:multiLevelType w:val="hybridMultilevel"/>
    <w:tmpl w:val="2A42B02A"/>
    <w:lvl w:ilvl="0" w:tplc="1A964CEC">
      <w:numFmt w:val="bullet"/>
      <w:lvlText w:val="-"/>
      <w:lvlJc w:val="left"/>
      <w:pPr>
        <w:ind w:left="153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22611C4C"/>
    <w:multiLevelType w:val="hybridMultilevel"/>
    <w:tmpl w:val="E2C09E50"/>
    <w:lvl w:ilvl="0" w:tplc="076AA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54B8B"/>
    <w:multiLevelType w:val="hybridMultilevel"/>
    <w:tmpl w:val="D07CB886"/>
    <w:lvl w:ilvl="0" w:tplc="08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60D69EC"/>
    <w:multiLevelType w:val="hybridMultilevel"/>
    <w:tmpl w:val="46DA711E"/>
    <w:lvl w:ilvl="0" w:tplc="60EA4F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47891"/>
    <w:multiLevelType w:val="hybridMultilevel"/>
    <w:tmpl w:val="4CD4E8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0614A"/>
    <w:multiLevelType w:val="hybridMultilevel"/>
    <w:tmpl w:val="60F05A54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9504AB"/>
    <w:multiLevelType w:val="hybridMultilevel"/>
    <w:tmpl w:val="FC24B15A"/>
    <w:lvl w:ilvl="0" w:tplc="5CB857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A0623"/>
    <w:multiLevelType w:val="hybridMultilevel"/>
    <w:tmpl w:val="45CE8512"/>
    <w:lvl w:ilvl="0" w:tplc="7DEE96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20D48"/>
    <w:multiLevelType w:val="hybridMultilevel"/>
    <w:tmpl w:val="6D5488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B7FDA"/>
    <w:multiLevelType w:val="hybridMultilevel"/>
    <w:tmpl w:val="25FA3FF2"/>
    <w:lvl w:ilvl="0" w:tplc="1A964C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560FF"/>
    <w:multiLevelType w:val="hybridMultilevel"/>
    <w:tmpl w:val="C7EAD7F0"/>
    <w:lvl w:ilvl="0" w:tplc="78F0162E">
      <w:start w:val="2"/>
      <w:numFmt w:val="bullet"/>
      <w:lvlText w:val="•"/>
      <w:lvlJc w:val="left"/>
      <w:pPr>
        <w:ind w:left="0" w:hanging="51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F3DCA"/>
    <w:multiLevelType w:val="hybridMultilevel"/>
    <w:tmpl w:val="4B240908"/>
    <w:lvl w:ilvl="0" w:tplc="959E4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268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95A99"/>
    <w:multiLevelType w:val="hybridMultilevel"/>
    <w:tmpl w:val="8CDEAE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625D8"/>
    <w:multiLevelType w:val="hybridMultilevel"/>
    <w:tmpl w:val="F4FADA3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8F4B3B"/>
    <w:multiLevelType w:val="hybridMultilevel"/>
    <w:tmpl w:val="4F609E86"/>
    <w:lvl w:ilvl="0" w:tplc="60EA4F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64197"/>
    <w:multiLevelType w:val="hybridMultilevel"/>
    <w:tmpl w:val="8CDEAE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CFA"/>
    <w:multiLevelType w:val="hybridMultilevel"/>
    <w:tmpl w:val="BDB08A04"/>
    <w:lvl w:ilvl="0" w:tplc="60EA4F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41103"/>
    <w:multiLevelType w:val="hybridMultilevel"/>
    <w:tmpl w:val="B8FAC8A8"/>
    <w:lvl w:ilvl="0" w:tplc="08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C335FBA"/>
    <w:multiLevelType w:val="hybridMultilevel"/>
    <w:tmpl w:val="1C0C548E"/>
    <w:lvl w:ilvl="0" w:tplc="5DF266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F384F"/>
    <w:multiLevelType w:val="hybridMultilevel"/>
    <w:tmpl w:val="C3AC319C"/>
    <w:lvl w:ilvl="0" w:tplc="60EA4F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02D98"/>
    <w:multiLevelType w:val="hybridMultilevel"/>
    <w:tmpl w:val="926E08C8"/>
    <w:lvl w:ilvl="0" w:tplc="60EA4F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C62B1"/>
    <w:multiLevelType w:val="hybridMultilevel"/>
    <w:tmpl w:val="F96684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D2DF2"/>
    <w:multiLevelType w:val="hybridMultilevel"/>
    <w:tmpl w:val="CE007318"/>
    <w:lvl w:ilvl="0" w:tplc="1A964CEC">
      <w:numFmt w:val="bullet"/>
      <w:lvlText w:val="-"/>
      <w:lvlJc w:val="left"/>
      <w:pPr>
        <w:ind w:left="436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75A806B4"/>
    <w:multiLevelType w:val="hybridMultilevel"/>
    <w:tmpl w:val="E2300E20"/>
    <w:lvl w:ilvl="0" w:tplc="5932247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smallCap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A2D0F"/>
    <w:multiLevelType w:val="hybridMultilevel"/>
    <w:tmpl w:val="C0D2AE0E"/>
    <w:lvl w:ilvl="0" w:tplc="1A964CEC">
      <w:numFmt w:val="bullet"/>
      <w:lvlText w:val="-"/>
      <w:lvlJc w:val="left"/>
      <w:pPr>
        <w:ind w:left="436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29232250">
    <w:abstractNumId w:val="28"/>
  </w:num>
  <w:num w:numId="2" w16cid:durableId="1770657049">
    <w:abstractNumId w:val="11"/>
  </w:num>
  <w:num w:numId="3" w16cid:durableId="1428623235">
    <w:abstractNumId w:val="16"/>
  </w:num>
  <w:num w:numId="4" w16cid:durableId="1398557158">
    <w:abstractNumId w:val="19"/>
  </w:num>
  <w:num w:numId="5" w16cid:durableId="1354840863">
    <w:abstractNumId w:val="10"/>
  </w:num>
  <w:num w:numId="6" w16cid:durableId="658463309">
    <w:abstractNumId w:val="26"/>
  </w:num>
  <w:num w:numId="7" w16cid:durableId="577790293">
    <w:abstractNumId w:val="23"/>
  </w:num>
  <w:num w:numId="8" w16cid:durableId="1619139365">
    <w:abstractNumId w:val="21"/>
  </w:num>
  <w:num w:numId="9" w16cid:durableId="517549790">
    <w:abstractNumId w:val="5"/>
  </w:num>
  <w:num w:numId="10" w16cid:durableId="2017341754">
    <w:abstractNumId w:val="9"/>
  </w:num>
  <w:num w:numId="11" w16cid:durableId="1096096463">
    <w:abstractNumId w:val="27"/>
  </w:num>
  <w:num w:numId="12" w16cid:durableId="1457218922">
    <w:abstractNumId w:val="24"/>
  </w:num>
  <w:num w:numId="13" w16cid:durableId="1556970692">
    <w:abstractNumId w:val="17"/>
  </w:num>
  <w:num w:numId="14" w16cid:durableId="1388917143">
    <w:abstractNumId w:val="6"/>
  </w:num>
  <w:num w:numId="15" w16cid:durableId="15353813">
    <w:abstractNumId w:val="29"/>
  </w:num>
  <w:num w:numId="16" w16cid:durableId="1491405815">
    <w:abstractNumId w:val="7"/>
  </w:num>
  <w:num w:numId="17" w16cid:durableId="189757270">
    <w:abstractNumId w:val="2"/>
  </w:num>
  <w:num w:numId="18" w16cid:durableId="1940985091">
    <w:abstractNumId w:val="22"/>
  </w:num>
  <w:num w:numId="19" w16cid:durableId="52823385">
    <w:abstractNumId w:val="31"/>
  </w:num>
  <w:num w:numId="20" w16cid:durableId="1567181426">
    <w:abstractNumId w:val="3"/>
  </w:num>
  <w:num w:numId="21" w16cid:durableId="576982367">
    <w:abstractNumId w:val="4"/>
  </w:num>
  <w:num w:numId="22" w16cid:durableId="2009164907">
    <w:abstractNumId w:val="13"/>
  </w:num>
  <w:num w:numId="23" w16cid:durableId="1994404392">
    <w:abstractNumId w:val="14"/>
  </w:num>
  <w:num w:numId="24" w16cid:durableId="1881090229">
    <w:abstractNumId w:val="18"/>
  </w:num>
  <w:num w:numId="25" w16cid:durableId="619603423">
    <w:abstractNumId w:val="25"/>
  </w:num>
  <w:num w:numId="26" w16cid:durableId="781070979">
    <w:abstractNumId w:val="8"/>
  </w:num>
  <w:num w:numId="27" w16cid:durableId="1723558430">
    <w:abstractNumId w:val="0"/>
  </w:num>
  <w:num w:numId="28" w16cid:durableId="998775860">
    <w:abstractNumId w:val="12"/>
  </w:num>
  <w:num w:numId="29" w16cid:durableId="271212566">
    <w:abstractNumId w:val="20"/>
  </w:num>
  <w:num w:numId="30" w16cid:durableId="1971747157">
    <w:abstractNumId w:val="15"/>
  </w:num>
  <w:num w:numId="31" w16cid:durableId="1419406884">
    <w:abstractNumId w:val="30"/>
  </w:num>
  <w:num w:numId="32" w16cid:durableId="410737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4C"/>
    <w:rsid w:val="00000424"/>
    <w:rsid w:val="00002AF8"/>
    <w:rsid w:val="00002CDD"/>
    <w:rsid w:val="00003AC2"/>
    <w:rsid w:val="00004767"/>
    <w:rsid w:val="000055EE"/>
    <w:rsid w:val="0000610B"/>
    <w:rsid w:val="00006764"/>
    <w:rsid w:val="00006A55"/>
    <w:rsid w:val="00007D39"/>
    <w:rsid w:val="000107E8"/>
    <w:rsid w:val="00011010"/>
    <w:rsid w:val="00011744"/>
    <w:rsid w:val="0001317A"/>
    <w:rsid w:val="000145D3"/>
    <w:rsid w:val="000150C6"/>
    <w:rsid w:val="000150DC"/>
    <w:rsid w:val="00015675"/>
    <w:rsid w:val="000156A1"/>
    <w:rsid w:val="00016B69"/>
    <w:rsid w:val="0001725F"/>
    <w:rsid w:val="00017925"/>
    <w:rsid w:val="00017CA1"/>
    <w:rsid w:val="000201B5"/>
    <w:rsid w:val="00021552"/>
    <w:rsid w:val="000220EA"/>
    <w:rsid w:val="00022982"/>
    <w:rsid w:val="00023369"/>
    <w:rsid w:val="0002368F"/>
    <w:rsid w:val="00024609"/>
    <w:rsid w:val="0002474A"/>
    <w:rsid w:val="00025559"/>
    <w:rsid w:val="0002586E"/>
    <w:rsid w:val="00025B7E"/>
    <w:rsid w:val="00025E4A"/>
    <w:rsid w:val="00026F86"/>
    <w:rsid w:val="0002721A"/>
    <w:rsid w:val="00027B5B"/>
    <w:rsid w:val="00027B7E"/>
    <w:rsid w:val="00027C25"/>
    <w:rsid w:val="00030E59"/>
    <w:rsid w:val="00030FF2"/>
    <w:rsid w:val="000325AE"/>
    <w:rsid w:val="000326DE"/>
    <w:rsid w:val="00032DDB"/>
    <w:rsid w:val="00032FDA"/>
    <w:rsid w:val="00033791"/>
    <w:rsid w:val="00033D2D"/>
    <w:rsid w:val="000346AB"/>
    <w:rsid w:val="00034E0F"/>
    <w:rsid w:val="00034F68"/>
    <w:rsid w:val="00035BF0"/>
    <w:rsid w:val="00035EF4"/>
    <w:rsid w:val="00036F16"/>
    <w:rsid w:val="00036F52"/>
    <w:rsid w:val="00040D12"/>
    <w:rsid w:val="000417A0"/>
    <w:rsid w:val="00042D1A"/>
    <w:rsid w:val="00043E92"/>
    <w:rsid w:val="00044658"/>
    <w:rsid w:val="000448DA"/>
    <w:rsid w:val="00044EF3"/>
    <w:rsid w:val="00044F1F"/>
    <w:rsid w:val="00045D1B"/>
    <w:rsid w:val="00047B98"/>
    <w:rsid w:val="00047BDB"/>
    <w:rsid w:val="00050129"/>
    <w:rsid w:val="0005255F"/>
    <w:rsid w:val="00052760"/>
    <w:rsid w:val="00052D31"/>
    <w:rsid w:val="0005371D"/>
    <w:rsid w:val="000539CE"/>
    <w:rsid w:val="00053CA3"/>
    <w:rsid w:val="000543F2"/>
    <w:rsid w:val="00054656"/>
    <w:rsid w:val="0005473B"/>
    <w:rsid w:val="00056897"/>
    <w:rsid w:val="00057450"/>
    <w:rsid w:val="00057789"/>
    <w:rsid w:val="00061667"/>
    <w:rsid w:val="0006241F"/>
    <w:rsid w:val="0006387F"/>
    <w:rsid w:val="00064212"/>
    <w:rsid w:val="00065A38"/>
    <w:rsid w:val="00066358"/>
    <w:rsid w:val="00067081"/>
    <w:rsid w:val="00067F9A"/>
    <w:rsid w:val="0007094E"/>
    <w:rsid w:val="00070D37"/>
    <w:rsid w:val="0007141C"/>
    <w:rsid w:val="000714CA"/>
    <w:rsid w:val="000717F3"/>
    <w:rsid w:val="0007309B"/>
    <w:rsid w:val="00074074"/>
    <w:rsid w:val="00074162"/>
    <w:rsid w:val="000744B9"/>
    <w:rsid w:val="0007632A"/>
    <w:rsid w:val="00080747"/>
    <w:rsid w:val="00080A4B"/>
    <w:rsid w:val="00080F0B"/>
    <w:rsid w:val="00081222"/>
    <w:rsid w:val="0008123A"/>
    <w:rsid w:val="000830D9"/>
    <w:rsid w:val="00083B75"/>
    <w:rsid w:val="00084B52"/>
    <w:rsid w:val="00084DC3"/>
    <w:rsid w:val="00085047"/>
    <w:rsid w:val="00085928"/>
    <w:rsid w:val="00087330"/>
    <w:rsid w:val="000922D6"/>
    <w:rsid w:val="000924F1"/>
    <w:rsid w:val="000925A0"/>
    <w:rsid w:val="00093A3D"/>
    <w:rsid w:val="000941ED"/>
    <w:rsid w:val="00094C83"/>
    <w:rsid w:val="000951B2"/>
    <w:rsid w:val="000959B2"/>
    <w:rsid w:val="00096014"/>
    <w:rsid w:val="0009639D"/>
    <w:rsid w:val="0009661B"/>
    <w:rsid w:val="00096C2C"/>
    <w:rsid w:val="00096ECC"/>
    <w:rsid w:val="00096EE1"/>
    <w:rsid w:val="000970AF"/>
    <w:rsid w:val="00097674"/>
    <w:rsid w:val="00097695"/>
    <w:rsid w:val="000A0124"/>
    <w:rsid w:val="000A06DC"/>
    <w:rsid w:val="000A0998"/>
    <w:rsid w:val="000A0BF8"/>
    <w:rsid w:val="000A11A6"/>
    <w:rsid w:val="000A1D50"/>
    <w:rsid w:val="000A20BD"/>
    <w:rsid w:val="000A284F"/>
    <w:rsid w:val="000A2C8B"/>
    <w:rsid w:val="000A361F"/>
    <w:rsid w:val="000A4384"/>
    <w:rsid w:val="000A5BE1"/>
    <w:rsid w:val="000A7192"/>
    <w:rsid w:val="000B1940"/>
    <w:rsid w:val="000B1A99"/>
    <w:rsid w:val="000B1E2E"/>
    <w:rsid w:val="000B2CE2"/>
    <w:rsid w:val="000B42CC"/>
    <w:rsid w:val="000B4C41"/>
    <w:rsid w:val="000B4C94"/>
    <w:rsid w:val="000B4DB5"/>
    <w:rsid w:val="000B5202"/>
    <w:rsid w:val="000C032B"/>
    <w:rsid w:val="000C0B5B"/>
    <w:rsid w:val="000C107E"/>
    <w:rsid w:val="000C154E"/>
    <w:rsid w:val="000C286D"/>
    <w:rsid w:val="000C2976"/>
    <w:rsid w:val="000C30D2"/>
    <w:rsid w:val="000C3568"/>
    <w:rsid w:val="000C4770"/>
    <w:rsid w:val="000C51CA"/>
    <w:rsid w:val="000C5DAE"/>
    <w:rsid w:val="000C5E9C"/>
    <w:rsid w:val="000C64FF"/>
    <w:rsid w:val="000C6F07"/>
    <w:rsid w:val="000C6FAD"/>
    <w:rsid w:val="000C6FE6"/>
    <w:rsid w:val="000C70C9"/>
    <w:rsid w:val="000C7D81"/>
    <w:rsid w:val="000D159F"/>
    <w:rsid w:val="000D1BB1"/>
    <w:rsid w:val="000D2A09"/>
    <w:rsid w:val="000D2A75"/>
    <w:rsid w:val="000D38B5"/>
    <w:rsid w:val="000D4095"/>
    <w:rsid w:val="000D48F4"/>
    <w:rsid w:val="000D49C6"/>
    <w:rsid w:val="000D4D4A"/>
    <w:rsid w:val="000D5ED7"/>
    <w:rsid w:val="000D670E"/>
    <w:rsid w:val="000D7533"/>
    <w:rsid w:val="000D7A90"/>
    <w:rsid w:val="000E0A39"/>
    <w:rsid w:val="000E19F7"/>
    <w:rsid w:val="000E1EA1"/>
    <w:rsid w:val="000E3ED3"/>
    <w:rsid w:val="000E5D13"/>
    <w:rsid w:val="000E6128"/>
    <w:rsid w:val="000E6C7B"/>
    <w:rsid w:val="000F0009"/>
    <w:rsid w:val="000F1099"/>
    <w:rsid w:val="000F121F"/>
    <w:rsid w:val="000F1AFE"/>
    <w:rsid w:val="000F210F"/>
    <w:rsid w:val="000F274F"/>
    <w:rsid w:val="000F3463"/>
    <w:rsid w:val="000F37A7"/>
    <w:rsid w:val="000F3AB5"/>
    <w:rsid w:val="000F697C"/>
    <w:rsid w:val="000F69B7"/>
    <w:rsid w:val="000F7CD7"/>
    <w:rsid w:val="001025D8"/>
    <w:rsid w:val="00102F27"/>
    <w:rsid w:val="001031EA"/>
    <w:rsid w:val="00103E3D"/>
    <w:rsid w:val="00104A43"/>
    <w:rsid w:val="00104C25"/>
    <w:rsid w:val="001057A1"/>
    <w:rsid w:val="00107F3E"/>
    <w:rsid w:val="00111B47"/>
    <w:rsid w:val="00113525"/>
    <w:rsid w:val="00113916"/>
    <w:rsid w:val="00113D4B"/>
    <w:rsid w:val="0011489A"/>
    <w:rsid w:val="001148C6"/>
    <w:rsid w:val="001148D4"/>
    <w:rsid w:val="001152A8"/>
    <w:rsid w:val="00115CA8"/>
    <w:rsid w:val="001169D7"/>
    <w:rsid w:val="00117077"/>
    <w:rsid w:val="00120135"/>
    <w:rsid w:val="001209BE"/>
    <w:rsid w:val="001214D8"/>
    <w:rsid w:val="001215FE"/>
    <w:rsid w:val="0012391C"/>
    <w:rsid w:val="00124900"/>
    <w:rsid w:val="00124D53"/>
    <w:rsid w:val="00125870"/>
    <w:rsid w:val="0012761F"/>
    <w:rsid w:val="00132174"/>
    <w:rsid w:val="00132BBC"/>
    <w:rsid w:val="00132CAB"/>
    <w:rsid w:val="00132F2B"/>
    <w:rsid w:val="00133253"/>
    <w:rsid w:val="001334A9"/>
    <w:rsid w:val="001334F3"/>
    <w:rsid w:val="00133E8B"/>
    <w:rsid w:val="001343BD"/>
    <w:rsid w:val="0013511D"/>
    <w:rsid w:val="00135313"/>
    <w:rsid w:val="00136CA7"/>
    <w:rsid w:val="00136E4F"/>
    <w:rsid w:val="00136E5B"/>
    <w:rsid w:val="00136F02"/>
    <w:rsid w:val="00137C7B"/>
    <w:rsid w:val="00137EFF"/>
    <w:rsid w:val="00140693"/>
    <w:rsid w:val="00140A10"/>
    <w:rsid w:val="00141F28"/>
    <w:rsid w:val="0014218E"/>
    <w:rsid w:val="00142305"/>
    <w:rsid w:val="00143761"/>
    <w:rsid w:val="001437EA"/>
    <w:rsid w:val="0014386D"/>
    <w:rsid w:val="001438E6"/>
    <w:rsid w:val="00144B16"/>
    <w:rsid w:val="0014542A"/>
    <w:rsid w:val="00145F8E"/>
    <w:rsid w:val="00146DA5"/>
    <w:rsid w:val="00147167"/>
    <w:rsid w:val="001512AD"/>
    <w:rsid w:val="0015148A"/>
    <w:rsid w:val="001517A7"/>
    <w:rsid w:val="00152336"/>
    <w:rsid w:val="00152589"/>
    <w:rsid w:val="00154244"/>
    <w:rsid w:val="00155C44"/>
    <w:rsid w:val="00156F62"/>
    <w:rsid w:val="00157063"/>
    <w:rsid w:val="00160141"/>
    <w:rsid w:val="001611FC"/>
    <w:rsid w:val="00161BE7"/>
    <w:rsid w:val="00162318"/>
    <w:rsid w:val="00164E86"/>
    <w:rsid w:val="00166360"/>
    <w:rsid w:val="00167FAB"/>
    <w:rsid w:val="001704A2"/>
    <w:rsid w:val="0017099A"/>
    <w:rsid w:val="0017112E"/>
    <w:rsid w:val="001736A3"/>
    <w:rsid w:val="001742A9"/>
    <w:rsid w:val="00174907"/>
    <w:rsid w:val="00174B71"/>
    <w:rsid w:val="0017613C"/>
    <w:rsid w:val="001768B4"/>
    <w:rsid w:val="00177647"/>
    <w:rsid w:val="00177F58"/>
    <w:rsid w:val="0018307F"/>
    <w:rsid w:val="00187471"/>
    <w:rsid w:val="001876AD"/>
    <w:rsid w:val="0018784F"/>
    <w:rsid w:val="00187866"/>
    <w:rsid w:val="00187D15"/>
    <w:rsid w:val="00190563"/>
    <w:rsid w:val="00193E5E"/>
    <w:rsid w:val="00194214"/>
    <w:rsid w:val="0019487C"/>
    <w:rsid w:val="00194CCC"/>
    <w:rsid w:val="0019515A"/>
    <w:rsid w:val="001954A6"/>
    <w:rsid w:val="0019576A"/>
    <w:rsid w:val="001974AD"/>
    <w:rsid w:val="00197664"/>
    <w:rsid w:val="00197895"/>
    <w:rsid w:val="001A00C9"/>
    <w:rsid w:val="001A07B0"/>
    <w:rsid w:val="001A0984"/>
    <w:rsid w:val="001A0F10"/>
    <w:rsid w:val="001A1119"/>
    <w:rsid w:val="001A2570"/>
    <w:rsid w:val="001A34F9"/>
    <w:rsid w:val="001A3B97"/>
    <w:rsid w:val="001A3C70"/>
    <w:rsid w:val="001A4537"/>
    <w:rsid w:val="001A52EA"/>
    <w:rsid w:val="001A5FA1"/>
    <w:rsid w:val="001A64C6"/>
    <w:rsid w:val="001A793D"/>
    <w:rsid w:val="001B04C7"/>
    <w:rsid w:val="001B0DB8"/>
    <w:rsid w:val="001B0ED6"/>
    <w:rsid w:val="001B119A"/>
    <w:rsid w:val="001B1BA0"/>
    <w:rsid w:val="001B41FD"/>
    <w:rsid w:val="001B5642"/>
    <w:rsid w:val="001B72FC"/>
    <w:rsid w:val="001B7668"/>
    <w:rsid w:val="001B79F7"/>
    <w:rsid w:val="001B7F80"/>
    <w:rsid w:val="001C014F"/>
    <w:rsid w:val="001C06A1"/>
    <w:rsid w:val="001C08FA"/>
    <w:rsid w:val="001C0B1D"/>
    <w:rsid w:val="001C21E2"/>
    <w:rsid w:val="001C4720"/>
    <w:rsid w:val="001C4D64"/>
    <w:rsid w:val="001C54BA"/>
    <w:rsid w:val="001C5A26"/>
    <w:rsid w:val="001C7766"/>
    <w:rsid w:val="001D0E9F"/>
    <w:rsid w:val="001D1100"/>
    <w:rsid w:val="001D169E"/>
    <w:rsid w:val="001D1811"/>
    <w:rsid w:val="001D1D42"/>
    <w:rsid w:val="001D2519"/>
    <w:rsid w:val="001D28A5"/>
    <w:rsid w:val="001D290E"/>
    <w:rsid w:val="001D3C6A"/>
    <w:rsid w:val="001D440F"/>
    <w:rsid w:val="001D4F6F"/>
    <w:rsid w:val="001D5221"/>
    <w:rsid w:val="001D69ED"/>
    <w:rsid w:val="001D7577"/>
    <w:rsid w:val="001D7D6A"/>
    <w:rsid w:val="001E1767"/>
    <w:rsid w:val="001E1818"/>
    <w:rsid w:val="001E1BB1"/>
    <w:rsid w:val="001E1D7C"/>
    <w:rsid w:val="001E2DF3"/>
    <w:rsid w:val="001E2E7A"/>
    <w:rsid w:val="001E36E3"/>
    <w:rsid w:val="001E3C93"/>
    <w:rsid w:val="001E44E4"/>
    <w:rsid w:val="001E48BA"/>
    <w:rsid w:val="001E5232"/>
    <w:rsid w:val="001E6113"/>
    <w:rsid w:val="001E6791"/>
    <w:rsid w:val="001E7220"/>
    <w:rsid w:val="001E7447"/>
    <w:rsid w:val="001F0D06"/>
    <w:rsid w:val="001F2277"/>
    <w:rsid w:val="001F271C"/>
    <w:rsid w:val="001F31B0"/>
    <w:rsid w:val="001F36B5"/>
    <w:rsid w:val="001F3B80"/>
    <w:rsid w:val="001F51C9"/>
    <w:rsid w:val="001F560F"/>
    <w:rsid w:val="001F5A1D"/>
    <w:rsid w:val="001F6507"/>
    <w:rsid w:val="001F681F"/>
    <w:rsid w:val="001F6E11"/>
    <w:rsid w:val="001F76E0"/>
    <w:rsid w:val="001F7C30"/>
    <w:rsid w:val="001F7CC5"/>
    <w:rsid w:val="00200655"/>
    <w:rsid w:val="00200F59"/>
    <w:rsid w:val="00201106"/>
    <w:rsid w:val="00201F92"/>
    <w:rsid w:val="00202F60"/>
    <w:rsid w:val="00203AD2"/>
    <w:rsid w:val="00203EF8"/>
    <w:rsid w:val="00205AE3"/>
    <w:rsid w:val="002069F3"/>
    <w:rsid w:val="00206C5E"/>
    <w:rsid w:val="00206DF4"/>
    <w:rsid w:val="00210D8E"/>
    <w:rsid w:val="00211FDE"/>
    <w:rsid w:val="0021373E"/>
    <w:rsid w:val="002146F1"/>
    <w:rsid w:val="00214D52"/>
    <w:rsid w:val="00215340"/>
    <w:rsid w:val="00216F44"/>
    <w:rsid w:val="002177F7"/>
    <w:rsid w:val="00217D18"/>
    <w:rsid w:val="002204B6"/>
    <w:rsid w:val="002206C6"/>
    <w:rsid w:val="0022090D"/>
    <w:rsid w:val="002209BC"/>
    <w:rsid w:val="00220E39"/>
    <w:rsid w:val="002218F5"/>
    <w:rsid w:val="00221D87"/>
    <w:rsid w:val="002226E2"/>
    <w:rsid w:val="00223F97"/>
    <w:rsid w:val="00224804"/>
    <w:rsid w:val="00225472"/>
    <w:rsid w:val="002258A4"/>
    <w:rsid w:val="00226199"/>
    <w:rsid w:val="00226238"/>
    <w:rsid w:val="00227631"/>
    <w:rsid w:val="00227FB8"/>
    <w:rsid w:val="0023058A"/>
    <w:rsid w:val="002313E9"/>
    <w:rsid w:val="00231479"/>
    <w:rsid w:val="00232001"/>
    <w:rsid w:val="00232313"/>
    <w:rsid w:val="00232676"/>
    <w:rsid w:val="00232915"/>
    <w:rsid w:val="002336B6"/>
    <w:rsid w:val="00234BDF"/>
    <w:rsid w:val="00234C3B"/>
    <w:rsid w:val="00235042"/>
    <w:rsid w:val="00235372"/>
    <w:rsid w:val="00235691"/>
    <w:rsid w:val="002357FB"/>
    <w:rsid w:val="00236341"/>
    <w:rsid w:val="0023725C"/>
    <w:rsid w:val="00237A2D"/>
    <w:rsid w:val="00237C38"/>
    <w:rsid w:val="00237F05"/>
    <w:rsid w:val="002403A6"/>
    <w:rsid w:val="00240B46"/>
    <w:rsid w:val="0024196D"/>
    <w:rsid w:val="00241E34"/>
    <w:rsid w:val="00242447"/>
    <w:rsid w:val="002428AD"/>
    <w:rsid w:val="00243DE5"/>
    <w:rsid w:val="00243E34"/>
    <w:rsid w:val="00244C05"/>
    <w:rsid w:val="0024531A"/>
    <w:rsid w:val="00245B8E"/>
    <w:rsid w:val="00246059"/>
    <w:rsid w:val="0025020B"/>
    <w:rsid w:val="002504F1"/>
    <w:rsid w:val="00250594"/>
    <w:rsid w:val="00251230"/>
    <w:rsid w:val="00252CD7"/>
    <w:rsid w:val="002532D0"/>
    <w:rsid w:val="0025370D"/>
    <w:rsid w:val="002549A4"/>
    <w:rsid w:val="00256060"/>
    <w:rsid w:val="002563D4"/>
    <w:rsid w:val="00256B7F"/>
    <w:rsid w:val="002570E4"/>
    <w:rsid w:val="00262920"/>
    <w:rsid w:val="00263007"/>
    <w:rsid w:val="00266964"/>
    <w:rsid w:val="00266DC5"/>
    <w:rsid w:val="002676A8"/>
    <w:rsid w:val="00267985"/>
    <w:rsid w:val="00270200"/>
    <w:rsid w:val="00270645"/>
    <w:rsid w:val="00270681"/>
    <w:rsid w:val="002709D5"/>
    <w:rsid w:val="00272C0D"/>
    <w:rsid w:val="00272C71"/>
    <w:rsid w:val="0027360F"/>
    <w:rsid w:val="00274C7A"/>
    <w:rsid w:val="00274DD5"/>
    <w:rsid w:val="002754A1"/>
    <w:rsid w:val="0027570B"/>
    <w:rsid w:val="00275C00"/>
    <w:rsid w:val="00275D9D"/>
    <w:rsid w:val="002766AD"/>
    <w:rsid w:val="00276C8A"/>
    <w:rsid w:val="00277C48"/>
    <w:rsid w:val="00280F88"/>
    <w:rsid w:val="00282366"/>
    <w:rsid w:val="002824E0"/>
    <w:rsid w:val="002841F9"/>
    <w:rsid w:val="0028427B"/>
    <w:rsid w:val="00284859"/>
    <w:rsid w:val="00284AF6"/>
    <w:rsid w:val="002856BB"/>
    <w:rsid w:val="00285A00"/>
    <w:rsid w:val="00285BF4"/>
    <w:rsid w:val="0028651B"/>
    <w:rsid w:val="00286AC3"/>
    <w:rsid w:val="0029095E"/>
    <w:rsid w:val="00290CA3"/>
    <w:rsid w:val="00291060"/>
    <w:rsid w:val="00291995"/>
    <w:rsid w:val="00291B89"/>
    <w:rsid w:val="0029243D"/>
    <w:rsid w:val="00292CD8"/>
    <w:rsid w:val="0029375D"/>
    <w:rsid w:val="00293F4D"/>
    <w:rsid w:val="002946A4"/>
    <w:rsid w:val="002961A3"/>
    <w:rsid w:val="0029759E"/>
    <w:rsid w:val="0029799F"/>
    <w:rsid w:val="002A0153"/>
    <w:rsid w:val="002A0EFE"/>
    <w:rsid w:val="002A16AD"/>
    <w:rsid w:val="002A17FC"/>
    <w:rsid w:val="002A2D6D"/>
    <w:rsid w:val="002A36FF"/>
    <w:rsid w:val="002A3760"/>
    <w:rsid w:val="002A440B"/>
    <w:rsid w:val="002A51DF"/>
    <w:rsid w:val="002A5FB9"/>
    <w:rsid w:val="002A6232"/>
    <w:rsid w:val="002A6561"/>
    <w:rsid w:val="002A7F86"/>
    <w:rsid w:val="002B037B"/>
    <w:rsid w:val="002B043C"/>
    <w:rsid w:val="002B0880"/>
    <w:rsid w:val="002B11AE"/>
    <w:rsid w:val="002B12FC"/>
    <w:rsid w:val="002B1EB5"/>
    <w:rsid w:val="002B2B8F"/>
    <w:rsid w:val="002B2BCF"/>
    <w:rsid w:val="002B340D"/>
    <w:rsid w:val="002B41A7"/>
    <w:rsid w:val="002B6FA8"/>
    <w:rsid w:val="002B77CF"/>
    <w:rsid w:val="002B7E3D"/>
    <w:rsid w:val="002C13A8"/>
    <w:rsid w:val="002C2B54"/>
    <w:rsid w:val="002C3641"/>
    <w:rsid w:val="002C41ED"/>
    <w:rsid w:val="002C4C41"/>
    <w:rsid w:val="002C52F3"/>
    <w:rsid w:val="002C606F"/>
    <w:rsid w:val="002C6E81"/>
    <w:rsid w:val="002C774E"/>
    <w:rsid w:val="002C7864"/>
    <w:rsid w:val="002D18BB"/>
    <w:rsid w:val="002D2044"/>
    <w:rsid w:val="002D2220"/>
    <w:rsid w:val="002D2711"/>
    <w:rsid w:val="002D2DB7"/>
    <w:rsid w:val="002D3678"/>
    <w:rsid w:val="002D515C"/>
    <w:rsid w:val="002D51D7"/>
    <w:rsid w:val="002D5239"/>
    <w:rsid w:val="002D5BA5"/>
    <w:rsid w:val="002D6590"/>
    <w:rsid w:val="002D6C52"/>
    <w:rsid w:val="002D7A1A"/>
    <w:rsid w:val="002E088E"/>
    <w:rsid w:val="002E1623"/>
    <w:rsid w:val="002E291A"/>
    <w:rsid w:val="002E2F97"/>
    <w:rsid w:val="002E43C4"/>
    <w:rsid w:val="002E4430"/>
    <w:rsid w:val="002E4912"/>
    <w:rsid w:val="002E5218"/>
    <w:rsid w:val="002E5B57"/>
    <w:rsid w:val="002E5E58"/>
    <w:rsid w:val="002E5F19"/>
    <w:rsid w:val="002E750B"/>
    <w:rsid w:val="002E783A"/>
    <w:rsid w:val="002E7AE0"/>
    <w:rsid w:val="002E7D37"/>
    <w:rsid w:val="002F02AB"/>
    <w:rsid w:val="002F0467"/>
    <w:rsid w:val="002F26EB"/>
    <w:rsid w:val="002F306F"/>
    <w:rsid w:val="002F3337"/>
    <w:rsid w:val="002F3829"/>
    <w:rsid w:val="002F38D4"/>
    <w:rsid w:val="002F496C"/>
    <w:rsid w:val="002F4C8A"/>
    <w:rsid w:val="002F4F34"/>
    <w:rsid w:val="002F5F12"/>
    <w:rsid w:val="002F5F9C"/>
    <w:rsid w:val="002F6130"/>
    <w:rsid w:val="002F6B53"/>
    <w:rsid w:val="00302749"/>
    <w:rsid w:val="00302B3C"/>
    <w:rsid w:val="00303670"/>
    <w:rsid w:val="003036A8"/>
    <w:rsid w:val="00304174"/>
    <w:rsid w:val="00304933"/>
    <w:rsid w:val="00305889"/>
    <w:rsid w:val="00306AB2"/>
    <w:rsid w:val="00306B87"/>
    <w:rsid w:val="00306E96"/>
    <w:rsid w:val="003102D0"/>
    <w:rsid w:val="003110A5"/>
    <w:rsid w:val="003119F1"/>
    <w:rsid w:val="003144F5"/>
    <w:rsid w:val="00316A1A"/>
    <w:rsid w:val="00316D9C"/>
    <w:rsid w:val="00317211"/>
    <w:rsid w:val="003179F6"/>
    <w:rsid w:val="00317E3E"/>
    <w:rsid w:val="0032002F"/>
    <w:rsid w:val="0032003B"/>
    <w:rsid w:val="00320096"/>
    <w:rsid w:val="003203B4"/>
    <w:rsid w:val="00321742"/>
    <w:rsid w:val="00321DCA"/>
    <w:rsid w:val="00321F87"/>
    <w:rsid w:val="00322FDE"/>
    <w:rsid w:val="00324448"/>
    <w:rsid w:val="0032486D"/>
    <w:rsid w:val="00325006"/>
    <w:rsid w:val="0032533C"/>
    <w:rsid w:val="00325A64"/>
    <w:rsid w:val="0032606F"/>
    <w:rsid w:val="00326402"/>
    <w:rsid w:val="003266EF"/>
    <w:rsid w:val="00327DBD"/>
    <w:rsid w:val="00330A19"/>
    <w:rsid w:val="0033179D"/>
    <w:rsid w:val="00331F39"/>
    <w:rsid w:val="003321BF"/>
    <w:rsid w:val="003328F7"/>
    <w:rsid w:val="00332B46"/>
    <w:rsid w:val="0033314E"/>
    <w:rsid w:val="003332BC"/>
    <w:rsid w:val="00333460"/>
    <w:rsid w:val="00333EFB"/>
    <w:rsid w:val="00334763"/>
    <w:rsid w:val="00334CA5"/>
    <w:rsid w:val="00335153"/>
    <w:rsid w:val="0033539D"/>
    <w:rsid w:val="0033548D"/>
    <w:rsid w:val="003354DE"/>
    <w:rsid w:val="00335815"/>
    <w:rsid w:val="003363B1"/>
    <w:rsid w:val="0033674E"/>
    <w:rsid w:val="00340CA7"/>
    <w:rsid w:val="00340E76"/>
    <w:rsid w:val="003412BB"/>
    <w:rsid w:val="0034360C"/>
    <w:rsid w:val="00343845"/>
    <w:rsid w:val="003440CC"/>
    <w:rsid w:val="003440D0"/>
    <w:rsid w:val="00344F41"/>
    <w:rsid w:val="00346473"/>
    <w:rsid w:val="003478A9"/>
    <w:rsid w:val="00347ADD"/>
    <w:rsid w:val="0035006E"/>
    <w:rsid w:val="00350C28"/>
    <w:rsid w:val="003510A9"/>
    <w:rsid w:val="00351C9A"/>
    <w:rsid w:val="00354280"/>
    <w:rsid w:val="00354745"/>
    <w:rsid w:val="003561BF"/>
    <w:rsid w:val="00356E28"/>
    <w:rsid w:val="00356FC1"/>
    <w:rsid w:val="00357681"/>
    <w:rsid w:val="003601C2"/>
    <w:rsid w:val="00360517"/>
    <w:rsid w:val="00360FF4"/>
    <w:rsid w:val="003611A8"/>
    <w:rsid w:val="003619ED"/>
    <w:rsid w:val="003629F3"/>
    <w:rsid w:val="0036347A"/>
    <w:rsid w:val="003639A6"/>
    <w:rsid w:val="003644B2"/>
    <w:rsid w:val="0036487A"/>
    <w:rsid w:val="00364E83"/>
    <w:rsid w:val="00364F68"/>
    <w:rsid w:val="003650F7"/>
    <w:rsid w:val="00367A7A"/>
    <w:rsid w:val="0037036E"/>
    <w:rsid w:val="003703A1"/>
    <w:rsid w:val="0037151D"/>
    <w:rsid w:val="00371E78"/>
    <w:rsid w:val="00372EBD"/>
    <w:rsid w:val="00373E2A"/>
    <w:rsid w:val="00375F89"/>
    <w:rsid w:val="003767CE"/>
    <w:rsid w:val="00377E61"/>
    <w:rsid w:val="003809FA"/>
    <w:rsid w:val="00380B69"/>
    <w:rsid w:val="00380CE2"/>
    <w:rsid w:val="0038250C"/>
    <w:rsid w:val="003827AC"/>
    <w:rsid w:val="00382BEE"/>
    <w:rsid w:val="00382F57"/>
    <w:rsid w:val="00383387"/>
    <w:rsid w:val="00383CF0"/>
    <w:rsid w:val="00384D02"/>
    <w:rsid w:val="00385969"/>
    <w:rsid w:val="00385FB4"/>
    <w:rsid w:val="00387069"/>
    <w:rsid w:val="003871C0"/>
    <w:rsid w:val="00387530"/>
    <w:rsid w:val="00387E40"/>
    <w:rsid w:val="00387F5B"/>
    <w:rsid w:val="003907CB"/>
    <w:rsid w:val="00390C9F"/>
    <w:rsid w:val="0039104A"/>
    <w:rsid w:val="003912F1"/>
    <w:rsid w:val="00392912"/>
    <w:rsid w:val="00392D59"/>
    <w:rsid w:val="00393017"/>
    <w:rsid w:val="00394621"/>
    <w:rsid w:val="00394663"/>
    <w:rsid w:val="003949B3"/>
    <w:rsid w:val="00394C43"/>
    <w:rsid w:val="00394CEA"/>
    <w:rsid w:val="00394F51"/>
    <w:rsid w:val="00395AAB"/>
    <w:rsid w:val="00395E65"/>
    <w:rsid w:val="00396996"/>
    <w:rsid w:val="0039721C"/>
    <w:rsid w:val="0039779B"/>
    <w:rsid w:val="00397AEB"/>
    <w:rsid w:val="003A06AA"/>
    <w:rsid w:val="003A0A26"/>
    <w:rsid w:val="003A1FFC"/>
    <w:rsid w:val="003A2027"/>
    <w:rsid w:val="003A3D39"/>
    <w:rsid w:val="003A48DA"/>
    <w:rsid w:val="003A5753"/>
    <w:rsid w:val="003A5C46"/>
    <w:rsid w:val="003A77B1"/>
    <w:rsid w:val="003B0879"/>
    <w:rsid w:val="003B09EE"/>
    <w:rsid w:val="003B1035"/>
    <w:rsid w:val="003B1268"/>
    <w:rsid w:val="003B319A"/>
    <w:rsid w:val="003B3E1C"/>
    <w:rsid w:val="003B57C5"/>
    <w:rsid w:val="003B5819"/>
    <w:rsid w:val="003B5A71"/>
    <w:rsid w:val="003B5C47"/>
    <w:rsid w:val="003B5D3E"/>
    <w:rsid w:val="003B6046"/>
    <w:rsid w:val="003B60FE"/>
    <w:rsid w:val="003B6124"/>
    <w:rsid w:val="003B64C1"/>
    <w:rsid w:val="003B687A"/>
    <w:rsid w:val="003B695F"/>
    <w:rsid w:val="003B69AD"/>
    <w:rsid w:val="003B6D79"/>
    <w:rsid w:val="003B7243"/>
    <w:rsid w:val="003B7857"/>
    <w:rsid w:val="003B78BC"/>
    <w:rsid w:val="003B7F14"/>
    <w:rsid w:val="003C04E9"/>
    <w:rsid w:val="003C49B9"/>
    <w:rsid w:val="003C5E56"/>
    <w:rsid w:val="003C61DB"/>
    <w:rsid w:val="003C651A"/>
    <w:rsid w:val="003C6F85"/>
    <w:rsid w:val="003C7B7C"/>
    <w:rsid w:val="003D0C08"/>
    <w:rsid w:val="003D1EB6"/>
    <w:rsid w:val="003D266E"/>
    <w:rsid w:val="003D2709"/>
    <w:rsid w:val="003D2B32"/>
    <w:rsid w:val="003D3004"/>
    <w:rsid w:val="003D3C7E"/>
    <w:rsid w:val="003D46F0"/>
    <w:rsid w:val="003D7199"/>
    <w:rsid w:val="003E0BD0"/>
    <w:rsid w:val="003E0FB1"/>
    <w:rsid w:val="003E1161"/>
    <w:rsid w:val="003E2CB0"/>
    <w:rsid w:val="003E2D8A"/>
    <w:rsid w:val="003E2ECF"/>
    <w:rsid w:val="003E32A5"/>
    <w:rsid w:val="003E4507"/>
    <w:rsid w:val="003E4F85"/>
    <w:rsid w:val="003E56F6"/>
    <w:rsid w:val="003E5A57"/>
    <w:rsid w:val="003E6074"/>
    <w:rsid w:val="003E6E51"/>
    <w:rsid w:val="003E7C88"/>
    <w:rsid w:val="003F060F"/>
    <w:rsid w:val="003F13EB"/>
    <w:rsid w:val="003F187B"/>
    <w:rsid w:val="003F2147"/>
    <w:rsid w:val="003F2191"/>
    <w:rsid w:val="003F2304"/>
    <w:rsid w:val="003F2D19"/>
    <w:rsid w:val="003F3144"/>
    <w:rsid w:val="003F3211"/>
    <w:rsid w:val="003F3356"/>
    <w:rsid w:val="003F3725"/>
    <w:rsid w:val="003F3ECA"/>
    <w:rsid w:val="003F3F48"/>
    <w:rsid w:val="003F5692"/>
    <w:rsid w:val="003F5ED3"/>
    <w:rsid w:val="003F617C"/>
    <w:rsid w:val="003F7729"/>
    <w:rsid w:val="003F7BD7"/>
    <w:rsid w:val="00400079"/>
    <w:rsid w:val="00400A63"/>
    <w:rsid w:val="00400CE9"/>
    <w:rsid w:val="00402B43"/>
    <w:rsid w:val="00403321"/>
    <w:rsid w:val="00404C34"/>
    <w:rsid w:val="0041079A"/>
    <w:rsid w:val="00412421"/>
    <w:rsid w:val="00413759"/>
    <w:rsid w:val="00413A6E"/>
    <w:rsid w:val="00413A99"/>
    <w:rsid w:val="00414994"/>
    <w:rsid w:val="00414AD3"/>
    <w:rsid w:val="00415214"/>
    <w:rsid w:val="00415467"/>
    <w:rsid w:val="00415C02"/>
    <w:rsid w:val="00416247"/>
    <w:rsid w:val="00416356"/>
    <w:rsid w:val="0041655B"/>
    <w:rsid w:val="0041659F"/>
    <w:rsid w:val="00420095"/>
    <w:rsid w:val="004200B8"/>
    <w:rsid w:val="004204E7"/>
    <w:rsid w:val="00421804"/>
    <w:rsid w:val="00422BC6"/>
    <w:rsid w:val="0042325A"/>
    <w:rsid w:val="00423CD9"/>
    <w:rsid w:val="00423DE4"/>
    <w:rsid w:val="004249E0"/>
    <w:rsid w:val="00424BC7"/>
    <w:rsid w:val="00424D13"/>
    <w:rsid w:val="00424DBF"/>
    <w:rsid w:val="00425AC1"/>
    <w:rsid w:val="00426BFA"/>
    <w:rsid w:val="00426E72"/>
    <w:rsid w:val="00427FDD"/>
    <w:rsid w:val="0043057F"/>
    <w:rsid w:val="00433853"/>
    <w:rsid w:val="00433B64"/>
    <w:rsid w:val="00433DAC"/>
    <w:rsid w:val="00433E9F"/>
    <w:rsid w:val="00434765"/>
    <w:rsid w:val="0043493C"/>
    <w:rsid w:val="00434C6F"/>
    <w:rsid w:val="00435E14"/>
    <w:rsid w:val="00437BFD"/>
    <w:rsid w:val="00440795"/>
    <w:rsid w:val="00440839"/>
    <w:rsid w:val="0044167A"/>
    <w:rsid w:val="00442249"/>
    <w:rsid w:val="004428A8"/>
    <w:rsid w:val="00442FDB"/>
    <w:rsid w:val="00444235"/>
    <w:rsid w:val="00444EB9"/>
    <w:rsid w:val="004450F9"/>
    <w:rsid w:val="00446323"/>
    <w:rsid w:val="00451CAC"/>
    <w:rsid w:val="004527DA"/>
    <w:rsid w:val="00452B7B"/>
    <w:rsid w:val="0045354A"/>
    <w:rsid w:val="00454C8A"/>
    <w:rsid w:val="00455FDD"/>
    <w:rsid w:val="00456892"/>
    <w:rsid w:val="00456E06"/>
    <w:rsid w:val="0045707C"/>
    <w:rsid w:val="00457367"/>
    <w:rsid w:val="004575FC"/>
    <w:rsid w:val="004620B8"/>
    <w:rsid w:val="00462847"/>
    <w:rsid w:val="00462B4C"/>
    <w:rsid w:val="00462E96"/>
    <w:rsid w:val="00463620"/>
    <w:rsid w:val="004636D2"/>
    <w:rsid w:val="00465ECE"/>
    <w:rsid w:val="00466FBB"/>
    <w:rsid w:val="00467392"/>
    <w:rsid w:val="00467E33"/>
    <w:rsid w:val="004710FB"/>
    <w:rsid w:val="00471A95"/>
    <w:rsid w:val="0047280B"/>
    <w:rsid w:val="0047481C"/>
    <w:rsid w:val="004753B7"/>
    <w:rsid w:val="004761FF"/>
    <w:rsid w:val="00476682"/>
    <w:rsid w:val="00477536"/>
    <w:rsid w:val="00477B77"/>
    <w:rsid w:val="00477EFD"/>
    <w:rsid w:val="0048023B"/>
    <w:rsid w:val="004802A7"/>
    <w:rsid w:val="00480527"/>
    <w:rsid w:val="00480A11"/>
    <w:rsid w:val="00481689"/>
    <w:rsid w:val="00481759"/>
    <w:rsid w:val="00481EAA"/>
    <w:rsid w:val="0048275D"/>
    <w:rsid w:val="00482EE9"/>
    <w:rsid w:val="0048402F"/>
    <w:rsid w:val="00484D7F"/>
    <w:rsid w:val="0048564E"/>
    <w:rsid w:val="00486FD5"/>
    <w:rsid w:val="0048706C"/>
    <w:rsid w:val="00490776"/>
    <w:rsid w:val="00490ECD"/>
    <w:rsid w:val="004917B4"/>
    <w:rsid w:val="00494AC3"/>
    <w:rsid w:val="00494C6D"/>
    <w:rsid w:val="0049577F"/>
    <w:rsid w:val="00495BE7"/>
    <w:rsid w:val="004961B6"/>
    <w:rsid w:val="00496814"/>
    <w:rsid w:val="0049695C"/>
    <w:rsid w:val="004972EA"/>
    <w:rsid w:val="004A061D"/>
    <w:rsid w:val="004A075A"/>
    <w:rsid w:val="004A20FF"/>
    <w:rsid w:val="004A23CB"/>
    <w:rsid w:val="004A3334"/>
    <w:rsid w:val="004A37FD"/>
    <w:rsid w:val="004A3C52"/>
    <w:rsid w:val="004A4D53"/>
    <w:rsid w:val="004A62EE"/>
    <w:rsid w:val="004A6A58"/>
    <w:rsid w:val="004A75BF"/>
    <w:rsid w:val="004A77F5"/>
    <w:rsid w:val="004B2379"/>
    <w:rsid w:val="004B2DEE"/>
    <w:rsid w:val="004B3922"/>
    <w:rsid w:val="004B3CFF"/>
    <w:rsid w:val="004B3DE2"/>
    <w:rsid w:val="004B4647"/>
    <w:rsid w:val="004B5990"/>
    <w:rsid w:val="004B6C81"/>
    <w:rsid w:val="004B6D8B"/>
    <w:rsid w:val="004C00E9"/>
    <w:rsid w:val="004C041F"/>
    <w:rsid w:val="004C1639"/>
    <w:rsid w:val="004C1AFD"/>
    <w:rsid w:val="004C2ED7"/>
    <w:rsid w:val="004C4A72"/>
    <w:rsid w:val="004C56F9"/>
    <w:rsid w:val="004C6811"/>
    <w:rsid w:val="004C6E7E"/>
    <w:rsid w:val="004C7885"/>
    <w:rsid w:val="004C7BA6"/>
    <w:rsid w:val="004C7F9B"/>
    <w:rsid w:val="004D01D5"/>
    <w:rsid w:val="004D0391"/>
    <w:rsid w:val="004D2046"/>
    <w:rsid w:val="004D2615"/>
    <w:rsid w:val="004D4CB2"/>
    <w:rsid w:val="004D56DE"/>
    <w:rsid w:val="004D5F79"/>
    <w:rsid w:val="004D6796"/>
    <w:rsid w:val="004D67E9"/>
    <w:rsid w:val="004D69C9"/>
    <w:rsid w:val="004D6A38"/>
    <w:rsid w:val="004D6AA5"/>
    <w:rsid w:val="004D6E31"/>
    <w:rsid w:val="004D6F80"/>
    <w:rsid w:val="004D6FA4"/>
    <w:rsid w:val="004D7023"/>
    <w:rsid w:val="004D70BE"/>
    <w:rsid w:val="004D774B"/>
    <w:rsid w:val="004D78F3"/>
    <w:rsid w:val="004E1FD6"/>
    <w:rsid w:val="004E201E"/>
    <w:rsid w:val="004E266F"/>
    <w:rsid w:val="004E295A"/>
    <w:rsid w:val="004E2E07"/>
    <w:rsid w:val="004E4A00"/>
    <w:rsid w:val="004E4E61"/>
    <w:rsid w:val="004E6F83"/>
    <w:rsid w:val="004F0108"/>
    <w:rsid w:val="004F0217"/>
    <w:rsid w:val="004F058E"/>
    <w:rsid w:val="004F08DB"/>
    <w:rsid w:val="004F1125"/>
    <w:rsid w:val="004F1717"/>
    <w:rsid w:val="004F21E9"/>
    <w:rsid w:val="004F254F"/>
    <w:rsid w:val="004F28EE"/>
    <w:rsid w:val="004F3626"/>
    <w:rsid w:val="004F5426"/>
    <w:rsid w:val="004F5D95"/>
    <w:rsid w:val="004F5E1B"/>
    <w:rsid w:val="004F62C0"/>
    <w:rsid w:val="004F6DE7"/>
    <w:rsid w:val="004F761A"/>
    <w:rsid w:val="005001CC"/>
    <w:rsid w:val="005007CE"/>
    <w:rsid w:val="0050106E"/>
    <w:rsid w:val="00501D8E"/>
    <w:rsid w:val="005023FB"/>
    <w:rsid w:val="00502A35"/>
    <w:rsid w:val="005043B1"/>
    <w:rsid w:val="0050509E"/>
    <w:rsid w:val="0050774D"/>
    <w:rsid w:val="00510D00"/>
    <w:rsid w:val="00510F87"/>
    <w:rsid w:val="00511256"/>
    <w:rsid w:val="005118F3"/>
    <w:rsid w:val="00511B07"/>
    <w:rsid w:val="00514679"/>
    <w:rsid w:val="005153BC"/>
    <w:rsid w:val="0051585D"/>
    <w:rsid w:val="00515AD7"/>
    <w:rsid w:val="0051623F"/>
    <w:rsid w:val="00516740"/>
    <w:rsid w:val="00516893"/>
    <w:rsid w:val="00517A70"/>
    <w:rsid w:val="00517C84"/>
    <w:rsid w:val="00517C86"/>
    <w:rsid w:val="005209FA"/>
    <w:rsid w:val="00520F1F"/>
    <w:rsid w:val="00521312"/>
    <w:rsid w:val="005227A3"/>
    <w:rsid w:val="005230D8"/>
    <w:rsid w:val="00523451"/>
    <w:rsid w:val="00524113"/>
    <w:rsid w:val="005243FD"/>
    <w:rsid w:val="005244A4"/>
    <w:rsid w:val="0052504F"/>
    <w:rsid w:val="00525EF9"/>
    <w:rsid w:val="00527595"/>
    <w:rsid w:val="0053035F"/>
    <w:rsid w:val="00531931"/>
    <w:rsid w:val="00532289"/>
    <w:rsid w:val="00534BA1"/>
    <w:rsid w:val="00535568"/>
    <w:rsid w:val="00535978"/>
    <w:rsid w:val="00535E19"/>
    <w:rsid w:val="00536449"/>
    <w:rsid w:val="005367AC"/>
    <w:rsid w:val="00536BBB"/>
    <w:rsid w:val="005409BA"/>
    <w:rsid w:val="00540ADE"/>
    <w:rsid w:val="00540BCA"/>
    <w:rsid w:val="0054138E"/>
    <w:rsid w:val="00541644"/>
    <w:rsid w:val="00542166"/>
    <w:rsid w:val="00542C81"/>
    <w:rsid w:val="00542C8D"/>
    <w:rsid w:val="00542CCA"/>
    <w:rsid w:val="00543030"/>
    <w:rsid w:val="00543921"/>
    <w:rsid w:val="00544097"/>
    <w:rsid w:val="00545426"/>
    <w:rsid w:val="00546874"/>
    <w:rsid w:val="00546EEE"/>
    <w:rsid w:val="00547F9B"/>
    <w:rsid w:val="00550B0C"/>
    <w:rsid w:val="00551845"/>
    <w:rsid w:val="00551F1D"/>
    <w:rsid w:val="005537FE"/>
    <w:rsid w:val="005543E7"/>
    <w:rsid w:val="00554DBA"/>
    <w:rsid w:val="00555BCF"/>
    <w:rsid w:val="005561E4"/>
    <w:rsid w:val="005567B9"/>
    <w:rsid w:val="00556A0F"/>
    <w:rsid w:val="00556F22"/>
    <w:rsid w:val="0056165D"/>
    <w:rsid w:val="00561A9D"/>
    <w:rsid w:val="005641E3"/>
    <w:rsid w:val="0056585E"/>
    <w:rsid w:val="005658F4"/>
    <w:rsid w:val="00566C70"/>
    <w:rsid w:val="005677E5"/>
    <w:rsid w:val="0056782F"/>
    <w:rsid w:val="00567830"/>
    <w:rsid w:val="00567E40"/>
    <w:rsid w:val="005705A1"/>
    <w:rsid w:val="00570D16"/>
    <w:rsid w:val="00570DEF"/>
    <w:rsid w:val="005720F3"/>
    <w:rsid w:val="00572606"/>
    <w:rsid w:val="00572800"/>
    <w:rsid w:val="0057288B"/>
    <w:rsid w:val="00572A98"/>
    <w:rsid w:val="0057338A"/>
    <w:rsid w:val="00573F56"/>
    <w:rsid w:val="00574134"/>
    <w:rsid w:val="005741D0"/>
    <w:rsid w:val="00574357"/>
    <w:rsid w:val="0057492B"/>
    <w:rsid w:val="00575793"/>
    <w:rsid w:val="00576475"/>
    <w:rsid w:val="00576916"/>
    <w:rsid w:val="00580375"/>
    <w:rsid w:val="0058060D"/>
    <w:rsid w:val="00581A0B"/>
    <w:rsid w:val="00581E98"/>
    <w:rsid w:val="00583032"/>
    <w:rsid w:val="00583F12"/>
    <w:rsid w:val="00585DF3"/>
    <w:rsid w:val="00586787"/>
    <w:rsid w:val="00587069"/>
    <w:rsid w:val="00587C1F"/>
    <w:rsid w:val="00590068"/>
    <w:rsid w:val="005905BB"/>
    <w:rsid w:val="005907FE"/>
    <w:rsid w:val="00590A70"/>
    <w:rsid w:val="00590B88"/>
    <w:rsid w:val="00590CCD"/>
    <w:rsid w:val="0059108B"/>
    <w:rsid w:val="00591576"/>
    <w:rsid w:val="00591C6E"/>
    <w:rsid w:val="0059257A"/>
    <w:rsid w:val="005927BC"/>
    <w:rsid w:val="005930B8"/>
    <w:rsid w:val="00593C21"/>
    <w:rsid w:val="00594703"/>
    <w:rsid w:val="00596713"/>
    <w:rsid w:val="00596B89"/>
    <w:rsid w:val="00596DDC"/>
    <w:rsid w:val="00596E3D"/>
    <w:rsid w:val="00597BF5"/>
    <w:rsid w:val="005A0B9E"/>
    <w:rsid w:val="005A1227"/>
    <w:rsid w:val="005A125B"/>
    <w:rsid w:val="005A1C06"/>
    <w:rsid w:val="005A3119"/>
    <w:rsid w:val="005A3136"/>
    <w:rsid w:val="005A34C6"/>
    <w:rsid w:val="005A378D"/>
    <w:rsid w:val="005A3A02"/>
    <w:rsid w:val="005A3C10"/>
    <w:rsid w:val="005A5EFB"/>
    <w:rsid w:val="005A606A"/>
    <w:rsid w:val="005A61B1"/>
    <w:rsid w:val="005B0293"/>
    <w:rsid w:val="005B0A34"/>
    <w:rsid w:val="005B1764"/>
    <w:rsid w:val="005B19A2"/>
    <w:rsid w:val="005B1A32"/>
    <w:rsid w:val="005B2077"/>
    <w:rsid w:val="005B20DE"/>
    <w:rsid w:val="005B24E1"/>
    <w:rsid w:val="005B2D84"/>
    <w:rsid w:val="005B46CA"/>
    <w:rsid w:val="005B4C3F"/>
    <w:rsid w:val="005B529F"/>
    <w:rsid w:val="005B5626"/>
    <w:rsid w:val="005B6196"/>
    <w:rsid w:val="005B6311"/>
    <w:rsid w:val="005B6510"/>
    <w:rsid w:val="005B7272"/>
    <w:rsid w:val="005B780A"/>
    <w:rsid w:val="005B7A73"/>
    <w:rsid w:val="005C1835"/>
    <w:rsid w:val="005C1CC2"/>
    <w:rsid w:val="005C1CFD"/>
    <w:rsid w:val="005C1F8A"/>
    <w:rsid w:val="005C2379"/>
    <w:rsid w:val="005C2BFC"/>
    <w:rsid w:val="005C3044"/>
    <w:rsid w:val="005C3C37"/>
    <w:rsid w:val="005C4321"/>
    <w:rsid w:val="005C43D6"/>
    <w:rsid w:val="005C498A"/>
    <w:rsid w:val="005C6000"/>
    <w:rsid w:val="005C62E5"/>
    <w:rsid w:val="005C6D5B"/>
    <w:rsid w:val="005C7D32"/>
    <w:rsid w:val="005D0E0F"/>
    <w:rsid w:val="005D113B"/>
    <w:rsid w:val="005D2649"/>
    <w:rsid w:val="005D4359"/>
    <w:rsid w:val="005D5072"/>
    <w:rsid w:val="005D5CCD"/>
    <w:rsid w:val="005D5F6B"/>
    <w:rsid w:val="005D60F4"/>
    <w:rsid w:val="005D617A"/>
    <w:rsid w:val="005D6A9A"/>
    <w:rsid w:val="005D6F76"/>
    <w:rsid w:val="005D7679"/>
    <w:rsid w:val="005E02F0"/>
    <w:rsid w:val="005E17BE"/>
    <w:rsid w:val="005E17F0"/>
    <w:rsid w:val="005E2578"/>
    <w:rsid w:val="005E2CE9"/>
    <w:rsid w:val="005E3384"/>
    <w:rsid w:val="005E3446"/>
    <w:rsid w:val="005E34F7"/>
    <w:rsid w:val="005E35AB"/>
    <w:rsid w:val="005E3724"/>
    <w:rsid w:val="005E5359"/>
    <w:rsid w:val="005E567D"/>
    <w:rsid w:val="005E5AA3"/>
    <w:rsid w:val="005E6200"/>
    <w:rsid w:val="005E6FCC"/>
    <w:rsid w:val="005E73FA"/>
    <w:rsid w:val="005E7B3A"/>
    <w:rsid w:val="005F0A27"/>
    <w:rsid w:val="005F26AF"/>
    <w:rsid w:val="005F27D4"/>
    <w:rsid w:val="005F34FB"/>
    <w:rsid w:val="005F4197"/>
    <w:rsid w:val="005F5E68"/>
    <w:rsid w:val="005F6B76"/>
    <w:rsid w:val="005F7176"/>
    <w:rsid w:val="005F738E"/>
    <w:rsid w:val="006019D0"/>
    <w:rsid w:val="00601FFE"/>
    <w:rsid w:val="006023A5"/>
    <w:rsid w:val="006026E6"/>
    <w:rsid w:val="00602EC2"/>
    <w:rsid w:val="0060313B"/>
    <w:rsid w:val="006035BE"/>
    <w:rsid w:val="006041D2"/>
    <w:rsid w:val="00604328"/>
    <w:rsid w:val="0060566A"/>
    <w:rsid w:val="00605A52"/>
    <w:rsid w:val="00607093"/>
    <w:rsid w:val="00607951"/>
    <w:rsid w:val="00610222"/>
    <w:rsid w:val="006106E6"/>
    <w:rsid w:val="006109A2"/>
    <w:rsid w:val="00612545"/>
    <w:rsid w:val="00612899"/>
    <w:rsid w:val="00612E71"/>
    <w:rsid w:val="00613BC5"/>
    <w:rsid w:val="00614051"/>
    <w:rsid w:val="0061469C"/>
    <w:rsid w:val="006148D1"/>
    <w:rsid w:val="00614A7A"/>
    <w:rsid w:val="006154D2"/>
    <w:rsid w:val="0061596D"/>
    <w:rsid w:val="00616962"/>
    <w:rsid w:val="00617A01"/>
    <w:rsid w:val="00620324"/>
    <w:rsid w:val="006206E4"/>
    <w:rsid w:val="00621477"/>
    <w:rsid w:val="0062157E"/>
    <w:rsid w:val="006221FC"/>
    <w:rsid w:val="0062239E"/>
    <w:rsid w:val="006236C7"/>
    <w:rsid w:val="00624353"/>
    <w:rsid w:val="006256BF"/>
    <w:rsid w:val="006259FF"/>
    <w:rsid w:val="00625A3C"/>
    <w:rsid w:val="00626E24"/>
    <w:rsid w:val="006277DA"/>
    <w:rsid w:val="00627F6E"/>
    <w:rsid w:val="00631362"/>
    <w:rsid w:val="006319D6"/>
    <w:rsid w:val="00631AFC"/>
    <w:rsid w:val="00632CF8"/>
    <w:rsid w:val="00632F14"/>
    <w:rsid w:val="00633DEE"/>
    <w:rsid w:val="00635323"/>
    <w:rsid w:val="0063577A"/>
    <w:rsid w:val="006357FD"/>
    <w:rsid w:val="00636233"/>
    <w:rsid w:val="006362A7"/>
    <w:rsid w:val="00636492"/>
    <w:rsid w:val="0063675B"/>
    <w:rsid w:val="00640161"/>
    <w:rsid w:val="00640DF7"/>
    <w:rsid w:val="0064229E"/>
    <w:rsid w:val="0064285A"/>
    <w:rsid w:val="006429B9"/>
    <w:rsid w:val="00642A24"/>
    <w:rsid w:val="00642A89"/>
    <w:rsid w:val="00642BFA"/>
    <w:rsid w:val="00642C2B"/>
    <w:rsid w:val="006435B5"/>
    <w:rsid w:val="00643CA4"/>
    <w:rsid w:val="00643CE5"/>
    <w:rsid w:val="006450C0"/>
    <w:rsid w:val="00646F33"/>
    <w:rsid w:val="00647055"/>
    <w:rsid w:val="00647895"/>
    <w:rsid w:val="006503A8"/>
    <w:rsid w:val="00650B66"/>
    <w:rsid w:val="006516FE"/>
    <w:rsid w:val="00651BA8"/>
    <w:rsid w:val="00653B02"/>
    <w:rsid w:val="00653F01"/>
    <w:rsid w:val="00655882"/>
    <w:rsid w:val="006567E1"/>
    <w:rsid w:val="00660080"/>
    <w:rsid w:val="00660C43"/>
    <w:rsid w:val="00661055"/>
    <w:rsid w:val="00661DE4"/>
    <w:rsid w:val="006622A9"/>
    <w:rsid w:val="00662A94"/>
    <w:rsid w:val="00663EE6"/>
    <w:rsid w:val="006649A5"/>
    <w:rsid w:val="00664E15"/>
    <w:rsid w:val="00665A3C"/>
    <w:rsid w:val="00667247"/>
    <w:rsid w:val="00667D78"/>
    <w:rsid w:val="0067017C"/>
    <w:rsid w:val="00671A8A"/>
    <w:rsid w:val="00671EFC"/>
    <w:rsid w:val="00674A94"/>
    <w:rsid w:val="00674C12"/>
    <w:rsid w:val="00675A60"/>
    <w:rsid w:val="00676130"/>
    <w:rsid w:val="00676162"/>
    <w:rsid w:val="0067684F"/>
    <w:rsid w:val="00677157"/>
    <w:rsid w:val="00677FE1"/>
    <w:rsid w:val="006814BE"/>
    <w:rsid w:val="00681C79"/>
    <w:rsid w:val="00682C96"/>
    <w:rsid w:val="00682D74"/>
    <w:rsid w:val="0068346E"/>
    <w:rsid w:val="006844D3"/>
    <w:rsid w:val="006849DB"/>
    <w:rsid w:val="00684BBD"/>
    <w:rsid w:val="00684EC0"/>
    <w:rsid w:val="00684EF2"/>
    <w:rsid w:val="006866B1"/>
    <w:rsid w:val="00686705"/>
    <w:rsid w:val="00686C92"/>
    <w:rsid w:val="00691371"/>
    <w:rsid w:val="0069257A"/>
    <w:rsid w:val="0069330B"/>
    <w:rsid w:val="00695059"/>
    <w:rsid w:val="006950B4"/>
    <w:rsid w:val="00695248"/>
    <w:rsid w:val="00695BFC"/>
    <w:rsid w:val="006962BC"/>
    <w:rsid w:val="00696BE2"/>
    <w:rsid w:val="0069778E"/>
    <w:rsid w:val="00697A01"/>
    <w:rsid w:val="006A06C9"/>
    <w:rsid w:val="006A22E3"/>
    <w:rsid w:val="006A23F0"/>
    <w:rsid w:val="006A25A6"/>
    <w:rsid w:val="006A3232"/>
    <w:rsid w:val="006A4670"/>
    <w:rsid w:val="006A4B36"/>
    <w:rsid w:val="006A598A"/>
    <w:rsid w:val="006A606B"/>
    <w:rsid w:val="006A6153"/>
    <w:rsid w:val="006B06B0"/>
    <w:rsid w:val="006B10E3"/>
    <w:rsid w:val="006B1714"/>
    <w:rsid w:val="006B20FB"/>
    <w:rsid w:val="006B2530"/>
    <w:rsid w:val="006B2808"/>
    <w:rsid w:val="006B2F88"/>
    <w:rsid w:val="006B3154"/>
    <w:rsid w:val="006B3FCC"/>
    <w:rsid w:val="006B42A8"/>
    <w:rsid w:val="006B486D"/>
    <w:rsid w:val="006B4A07"/>
    <w:rsid w:val="006B5295"/>
    <w:rsid w:val="006B6289"/>
    <w:rsid w:val="006B683D"/>
    <w:rsid w:val="006B6983"/>
    <w:rsid w:val="006B699C"/>
    <w:rsid w:val="006B7003"/>
    <w:rsid w:val="006B7F26"/>
    <w:rsid w:val="006C0CAC"/>
    <w:rsid w:val="006C1678"/>
    <w:rsid w:val="006C20E2"/>
    <w:rsid w:val="006C2338"/>
    <w:rsid w:val="006C4844"/>
    <w:rsid w:val="006C4F05"/>
    <w:rsid w:val="006C7459"/>
    <w:rsid w:val="006C7637"/>
    <w:rsid w:val="006C768B"/>
    <w:rsid w:val="006D0A10"/>
    <w:rsid w:val="006D1DE2"/>
    <w:rsid w:val="006D26E3"/>
    <w:rsid w:val="006D3042"/>
    <w:rsid w:val="006D39A7"/>
    <w:rsid w:val="006D3A43"/>
    <w:rsid w:val="006D49CF"/>
    <w:rsid w:val="006D4EBE"/>
    <w:rsid w:val="006D54DB"/>
    <w:rsid w:val="006D5928"/>
    <w:rsid w:val="006D62BB"/>
    <w:rsid w:val="006D6518"/>
    <w:rsid w:val="006D67C1"/>
    <w:rsid w:val="006D77B6"/>
    <w:rsid w:val="006E0139"/>
    <w:rsid w:val="006E2EAA"/>
    <w:rsid w:val="006E34AC"/>
    <w:rsid w:val="006E3666"/>
    <w:rsid w:val="006E3B14"/>
    <w:rsid w:val="006E4716"/>
    <w:rsid w:val="006E5F91"/>
    <w:rsid w:val="006E65D2"/>
    <w:rsid w:val="006E6A5F"/>
    <w:rsid w:val="006E760A"/>
    <w:rsid w:val="006F1E99"/>
    <w:rsid w:val="006F1F97"/>
    <w:rsid w:val="006F29EB"/>
    <w:rsid w:val="006F3917"/>
    <w:rsid w:val="006F3C9E"/>
    <w:rsid w:val="006F4419"/>
    <w:rsid w:val="006F48DB"/>
    <w:rsid w:val="006F5294"/>
    <w:rsid w:val="006F5FD7"/>
    <w:rsid w:val="006F6A35"/>
    <w:rsid w:val="006F7C8C"/>
    <w:rsid w:val="0070001B"/>
    <w:rsid w:val="0070062F"/>
    <w:rsid w:val="007021F3"/>
    <w:rsid w:val="007022F1"/>
    <w:rsid w:val="007023C9"/>
    <w:rsid w:val="007029D3"/>
    <w:rsid w:val="00703017"/>
    <w:rsid w:val="0070423B"/>
    <w:rsid w:val="007044A8"/>
    <w:rsid w:val="007048AA"/>
    <w:rsid w:val="00705DC8"/>
    <w:rsid w:val="00705E1A"/>
    <w:rsid w:val="0070674D"/>
    <w:rsid w:val="00706894"/>
    <w:rsid w:val="007077E2"/>
    <w:rsid w:val="00711B79"/>
    <w:rsid w:val="00711C1E"/>
    <w:rsid w:val="00712BB7"/>
    <w:rsid w:val="00712D4C"/>
    <w:rsid w:val="007131E7"/>
    <w:rsid w:val="00713231"/>
    <w:rsid w:val="00713804"/>
    <w:rsid w:val="00714010"/>
    <w:rsid w:val="0071600D"/>
    <w:rsid w:val="0071630A"/>
    <w:rsid w:val="0071717C"/>
    <w:rsid w:val="007203C6"/>
    <w:rsid w:val="007206E7"/>
    <w:rsid w:val="00721DA6"/>
    <w:rsid w:val="00722E37"/>
    <w:rsid w:val="00723111"/>
    <w:rsid w:val="007244D2"/>
    <w:rsid w:val="00725F60"/>
    <w:rsid w:val="00725FC9"/>
    <w:rsid w:val="007266E3"/>
    <w:rsid w:val="00726865"/>
    <w:rsid w:val="00726D69"/>
    <w:rsid w:val="0072720B"/>
    <w:rsid w:val="00727282"/>
    <w:rsid w:val="00727939"/>
    <w:rsid w:val="00730739"/>
    <w:rsid w:val="00730779"/>
    <w:rsid w:val="007313F9"/>
    <w:rsid w:val="00732A69"/>
    <w:rsid w:val="007333A9"/>
    <w:rsid w:val="00734FD0"/>
    <w:rsid w:val="00736DBE"/>
    <w:rsid w:val="00737EBC"/>
    <w:rsid w:val="00740CCC"/>
    <w:rsid w:val="00741486"/>
    <w:rsid w:val="0074164C"/>
    <w:rsid w:val="0074186A"/>
    <w:rsid w:val="00742AA7"/>
    <w:rsid w:val="007432A6"/>
    <w:rsid w:val="00744AC3"/>
    <w:rsid w:val="00744CA9"/>
    <w:rsid w:val="00745659"/>
    <w:rsid w:val="0074620B"/>
    <w:rsid w:val="00746553"/>
    <w:rsid w:val="00746EF4"/>
    <w:rsid w:val="00747074"/>
    <w:rsid w:val="00747177"/>
    <w:rsid w:val="00747A36"/>
    <w:rsid w:val="00747EDF"/>
    <w:rsid w:val="00750393"/>
    <w:rsid w:val="0075043C"/>
    <w:rsid w:val="007504F1"/>
    <w:rsid w:val="00751DDB"/>
    <w:rsid w:val="00751E33"/>
    <w:rsid w:val="007520A9"/>
    <w:rsid w:val="007524BE"/>
    <w:rsid w:val="007527EC"/>
    <w:rsid w:val="00752DB7"/>
    <w:rsid w:val="00752E61"/>
    <w:rsid w:val="0075376E"/>
    <w:rsid w:val="00753BE4"/>
    <w:rsid w:val="00754451"/>
    <w:rsid w:val="00754A34"/>
    <w:rsid w:val="007550D9"/>
    <w:rsid w:val="00755699"/>
    <w:rsid w:val="007565F1"/>
    <w:rsid w:val="00756D5C"/>
    <w:rsid w:val="00756E37"/>
    <w:rsid w:val="00757867"/>
    <w:rsid w:val="00760087"/>
    <w:rsid w:val="007601FE"/>
    <w:rsid w:val="0076025E"/>
    <w:rsid w:val="0076070E"/>
    <w:rsid w:val="0076191F"/>
    <w:rsid w:val="00765880"/>
    <w:rsid w:val="00766673"/>
    <w:rsid w:val="00766796"/>
    <w:rsid w:val="0077003B"/>
    <w:rsid w:val="0077270A"/>
    <w:rsid w:val="007750DF"/>
    <w:rsid w:val="0077519D"/>
    <w:rsid w:val="0077534E"/>
    <w:rsid w:val="00775E95"/>
    <w:rsid w:val="007773EE"/>
    <w:rsid w:val="00777898"/>
    <w:rsid w:val="0078145C"/>
    <w:rsid w:val="00781DDE"/>
    <w:rsid w:val="007821A2"/>
    <w:rsid w:val="00782983"/>
    <w:rsid w:val="00782E63"/>
    <w:rsid w:val="0078343C"/>
    <w:rsid w:val="00783CE0"/>
    <w:rsid w:val="00783E99"/>
    <w:rsid w:val="00784DA2"/>
    <w:rsid w:val="00784E93"/>
    <w:rsid w:val="0078559D"/>
    <w:rsid w:val="00786284"/>
    <w:rsid w:val="00786CA5"/>
    <w:rsid w:val="00786F89"/>
    <w:rsid w:val="007874F5"/>
    <w:rsid w:val="007875D3"/>
    <w:rsid w:val="00787FC7"/>
    <w:rsid w:val="00790186"/>
    <w:rsid w:val="00791635"/>
    <w:rsid w:val="007916A6"/>
    <w:rsid w:val="00791A77"/>
    <w:rsid w:val="00792C46"/>
    <w:rsid w:val="007930F0"/>
    <w:rsid w:val="007938EB"/>
    <w:rsid w:val="00795394"/>
    <w:rsid w:val="00797111"/>
    <w:rsid w:val="007975F5"/>
    <w:rsid w:val="007A0B82"/>
    <w:rsid w:val="007A0BD2"/>
    <w:rsid w:val="007A18A5"/>
    <w:rsid w:val="007A328C"/>
    <w:rsid w:val="007A5263"/>
    <w:rsid w:val="007A69EA"/>
    <w:rsid w:val="007A6DE4"/>
    <w:rsid w:val="007A6F0F"/>
    <w:rsid w:val="007A7235"/>
    <w:rsid w:val="007B1881"/>
    <w:rsid w:val="007B1AC6"/>
    <w:rsid w:val="007B26A0"/>
    <w:rsid w:val="007B40CA"/>
    <w:rsid w:val="007B5133"/>
    <w:rsid w:val="007B52DE"/>
    <w:rsid w:val="007B6C8A"/>
    <w:rsid w:val="007B7B6F"/>
    <w:rsid w:val="007C08FF"/>
    <w:rsid w:val="007C0EA4"/>
    <w:rsid w:val="007C1BB2"/>
    <w:rsid w:val="007C26FF"/>
    <w:rsid w:val="007C2A14"/>
    <w:rsid w:val="007C2EB5"/>
    <w:rsid w:val="007C3873"/>
    <w:rsid w:val="007C459B"/>
    <w:rsid w:val="007C4785"/>
    <w:rsid w:val="007C4BAC"/>
    <w:rsid w:val="007C4FC3"/>
    <w:rsid w:val="007C59E4"/>
    <w:rsid w:val="007C6031"/>
    <w:rsid w:val="007C6255"/>
    <w:rsid w:val="007C6348"/>
    <w:rsid w:val="007C64AC"/>
    <w:rsid w:val="007C65FA"/>
    <w:rsid w:val="007C6B37"/>
    <w:rsid w:val="007C7B82"/>
    <w:rsid w:val="007D0F9F"/>
    <w:rsid w:val="007D12C5"/>
    <w:rsid w:val="007D3309"/>
    <w:rsid w:val="007D3E05"/>
    <w:rsid w:val="007D46FC"/>
    <w:rsid w:val="007D62DF"/>
    <w:rsid w:val="007D648C"/>
    <w:rsid w:val="007D6A3E"/>
    <w:rsid w:val="007D738B"/>
    <w:rsid w:val="007D7522"/>
    <w:rsid w:val="007E0D54"/>
    <w:rsid w:val="007E1956"/>
    <w:rsid w:val="007E1D6F"/>
    <w:rsid w:val="007E1E21"/>
    <w:rsid w:val="007E25A5"/>
    <w:rsid w:val="007E26CC"/>
    <w:rsid w:val="007E2895"/>
    <w:rsid w:val="007E2F12"/>
    <w:rsid w:val="007E30B9"/>
    <w:rsid w:val="007E6D98"/>
    <w:rsid w:val="007E7805"/>
    <w:rsid w:val="007E7A49"/>
    <w:rsid w:val="007F1A2D"/>
    <w:rsid w:val="007F23F1"/>
    <w:rsid w:val="007F4D19"/>
    <w:rsid w:val="007F50AE"/>
    <w:rsid w:val="007F61E0"/>
    <w:rsid w:val="007F658C"/>
    <w:rsid w:val="007F66F8"/>
    <w:rsid w:val="007F68C9"/>
    <w:rsid w:val="007F6C95"/>
    <w:rsid w:val="007F78D3"/>
    <w:rsid w:val="00800836"/>
    <w:rsid w:val="00800F43"/>
    <w:rsid w:val="008012D3"/>
    <w:rsid w:val="00802739"/>
    <w:rsid w:val="00802CAD"/>
    <w:rsid w:val="0080449E"/>
    <w:rsid w:val="008046A1"/>
    <w:rsid w:val="00804DAD"/>
    <w:rsid w:val="00807B87"/>
    <w:rsid w:val="0081026B"/>
    <w:rsid w:val="00810B87"/>
    <w:rsid w:val="00810BBB"/>
    <w:rsid w:val="00812765"/>
    <w:rsid w:val="0081286B"/>
    <w:rsid w:val="00814437"/>
    <w:rsid w:val="00814B52"/>
    <w:rsid w:val="0081548A"/>
    <w:rsid w:val="00815BA7"/>
    <w:rsid w:val="00815EB6"/>
    <w:rsid w:val="008172B7"/>
    <w:rsid w:val="008176B6"/>
    <w:rsid w:val="00821A96"/>
    <w:rsid w:val="008220F8"/>
    <w:rsid w:val="0082251A"/>
    <w:rsid w:val="00822B48"/>
    <w:rsid w:val="008239B8"/>
    <w:rsid w:val="00823D4E"/>
    <w:rsid w:val="00824565"/>
    <w:rsid w:val="008257BC"/>
    <w:rsid w:val="00826F27"/>
    <w:rsid w:val="008271D2"/>
    <w:rsid w:val="00827613"/>
    <w:rsid w:val="00830F80"/>
    <w:rsid w:val="008315E1"/>
    <w:rsid w:val="00831B83"/>
    <w:rsid w:val="008349E4"/>
    <w:rsid w:val="00834A05"/>
    <w:rsid w:val="008351A1"/>
    <w:rsid w:val="00836B96"/>
    <w:rsid w:val="00836DFE"/>
    <w:rsid w:val="0084107F"/>
    <w:rsid w:val="008413E3"/>
    <w:rsid w:val="00842444"/>
    <w:rsid w:val="008430C5"/>
    <w:rsid w:val="008437CA"/>
    <w:rsid w:val="00843B57"/>
    <w:rsid w:val="0084406B"/>
    <w:rsid w:val="008447C1"/>
    <w:rsid w:val="008450E2"/>
    <w:rsid w:val="00846499"/>
    <w:rsid w:val="00846BAE"/>
    <w:rsid w:val="00847B16"/>
    <w:rsid w:val="00847C36"/>
    <w:rsid w:val="00850019"/>
    <w:rsid w:val="0085289E"/>
    <w:rsid w:val="00853CF1"/>
    <w:rsid w:val="00854915"/>
    <w:rsid w:val="0085505D"/>
    <w:rsid w:val="00855A6C"/>
    <w:rsid w:val="008576C5"/>
    <w:rsid w:val="00857C80"/>
    <w:rsid w:val="00860C72"/>
    <w:rsid w:val="00861944"/>
    <w:rsid w:val="008619E3"/>
    <w:rsid w:val="008627C9"/>
    <w:rsid w:val="008645A5"/>
    <w:rsid w:val="00865E7C"/>
    <w:rsid w:val="00866104"/>
    <w:rsid w:val="008668C9"/>
    <w:rsid w:val="0086697F"/>
    <w:rsid w:val="00866E70"/>
    <w:rsid w:val="008678BA"/>
    <w:rsid w:val="00867F2B"/>
    <w:rsid w:val="008705D3"/>
    <w:rsid w:val="008707A8"/>
    <w:rsid w:val="00871072"/>
    <w:rsid w:val="0087144A"/>
    <w:rsid w:val="00871923"/>
    <w:rsid w:val="00872131"/>
    <w:rsid w:val="00873989"/>
    <w:rsid w:val="00874A21"/>
    <w:rsid w:val="008757D7"/>
    <w:rsid w:val="00875ACE"/>
    <w:rsid w:val="00877BB9"/>
    <w:rsid w:val="00877E8F"/>
    <w:rsid w:val="008804CE"/>
    <w:rsid w:val="00881516"/>
    <w:rsid w:val="00881C0E"/>
    <w:rsid w:val="008828B3"/>
    <w:rsid w:val="00882F54"/>
    <w:rsid w:val="00883283"/>
    <w:rsid w:val="00883855"/>
    <w:rsid w:val="0088495D"/>
    <w:rsid w:val="008850A2"/>
    <w:rsid w:val="0088541A"/>
    <w:rsid w:val="00885E5A"/>
    <w:rsid w:val="00885F96"/>
    <w:rsid w:val="0088622B"/>
    <w:rsid w:val="00886EB6"/>
    <w:rsid w:val="00890840"/>
    <w:rsid w:val="008908F7"/>
    <w:rsid w:val="008915A3"/>
    <w:rsid w:val="00891C44"/>
    <w:rsid w:val="00892DC2"/>
    <w:rsid w:val="00893529"/>
    <w:rsid w:val="008940F8"/>
    <w:rsid w:val="0089552F"/>
    <w:rsid w:val="008958AA"/>
    <w:rsid w:val="0089592A"/>
    <w:rsid w:val="008959D0"/>
    <w:rsid w:val="00897C90"/>
    <w:rsid w:val="008A07B8"/>
    <w:rsid w:val="008A1695"/>
    <w:rsid w:val="008A2817"/>
    <w:rsid w:val="008A2838"/>
    <w:rsid w:val="008A30B2"/>
    <w:rsid w:val="008A4AD6"/>
    <w:rsid w:val="008A655E"/>
    <w:rsid w:val="008A66BF"/>
    <w:rsid w:val="008A73DF"/>
    <w:rsid w:val="008A79E4"/>
    <w:rsid w:val="008B0990"/>
    <w:rsid w:val="008B1840"/>
    <w:rsid w:val="008B286B"/>
    <w:rsid w:val="008B3652"/>
    <w:rsid w:val="008B3D3E"/>
    <w:rsid w:val="008B4288"/>
    <w:rsid w:val="008B4756"/>
    <w:rsid w:val="008B6912"/>
    <w:rsid w:val="008B70EC"/>
    <w:rsid w:val="008C06D5"/>
    <w:rsid w:val="008C0A6E"/>
    <w:rsid w:val="008C168C"/>
    <w:rsid w:val="008C2CAF"/>
    <w:rsid w:val="008C340A"/>
    <w:rsid w:val="008C3906"/>
    <w:rsid w:val="008C47F5"/>
    <w:rsid w:val="008C4C35"/>
    <w:rsid w:val="008C57E3"/>
    <w:rsid w:val="008C58E4"/>
    <w:rsid w:val="008C6527"/>
    <w:rsid w:val="008C6661"/>
    <w:rsid w:val="008C73AB"/>
    <w:rsid w:val="008D014B"/>
    <w:rsid w:val="008D0ACD"/>
    <w:rsid w:val="008D1190"/>
    <w:rsid w:val="008D119D"/>
    <w:rsid w:val="008D1B1D"/>
    <w:rsid w:val="008D2168"/>
    <w:rsid w:val="008D36EA"/>
    <w:rsid w:val="008D434D"/>
    <w:rsid w:val="008D47F2"/>
    <w:rsid w:val="008D6F3F"/>
    <w:rsid w:val="008E0128"/>
    <w:rsid w:val="008E0EEB"/>
    <w:rsid w:val="008E1A38"/>
    <w:rsid w:val="008E1E7F"/>
    <w:rsid w:val="008E244C"/>
    <w:rsid w:val="008E34A3"/>
    <w:rsid w:val="008E34F8"/>
    <w:rsid w:val="008E3B42"/>
    <w:rsid w:val="008E3DB2"/>
    <w:rsid w:val="008E4FEA"/>
    <w:rsid w:val="008E55BB"/>
    <w:rsid w:val="008E5D46"/>
    <w:rsid w:val="008E7311"/>
    <w:rsid w:val="008E7484"/>
    <w:rsid w:val="008E7C43"/>
    <w:rsid w:val="008F0753"/>
    <w:rsid w:val="008F0A7B"/>
    <w:rsid w:val="008F168A"/>
    <w:rsid w:val="008F34CC"/>
    <w:rsid w:val="008F3EB3"/>
    <w:rsid w:val="008F4938"/>
    <w:rsid w:val="008F4A47"/>
    <w:rsid w:val="008F514B"/>
    <w:rsid w:val="008F52BA"/>
    <w:rsid w:val="008F53FE"/>
    <w:rsid w:val="008F57FF"/>
    <w:rsid w:val="008F5B13"/>
    <w:rsid w:val="008F6045"/>
    <w:rsid w:val="008F751C"/>
    <w:rsid w:val="008F7EED"/>
    <w:rsid w:val="00900835"/>
    <w:rsid w:val="009010F1"/>
    <w:rsid w:val="009011CB"/>
    <w:rsid w:val="0090133B"/>
    <w:rsid w:val="00901427"/>
    <w:rsid w:val="00901508"/>
    <w:rsid w:val="009026B0"/>
    <w:rsid w:val="00903DD3"/>
    <w:rsid w:val="00904646"/>
    <w:rsid w:val="00905691"/>
    <w:rsid w:val="009057A5"/>
    <w:rsid w:val="009058FD"/>
    <w:rsid w:val="00906D84"/>
    <w:rsid w:val="0090773B"/>
    <w:rsid w:val="00910BC0"/>
    <w:rsid w:val="00911C32"/>
    <w:rsid w:val="0091238A"/>
    <w:rsid w:val="0091343E"/>
    <w:rsid w:val="00913F90"/>
    <w:rsid w:val="00914CE5"/>
    <w:rsid w:val="009154C8"/>
    <w:rsid w:val="0091550C"/>
    <w:rsid w:val="0091602A"/>
    <w:rsid w:val="0091790B"/>
    <w:rsid w:val="00917EBD"/>
    <w:rsid w:val="0092025D"/>
    <w:rsid w:val="00920A1F"/>
    <w:rsid w:val="009224F5"/>
    <w:rsid w:val="00922BCC"/>
    <w:rsid w:val="00922F57"/>
    <w:rsid w:val="00923621"/>
    <w:rsid w:val="00924087"/>
    <w:rsid w:val="009246E7"/>
    <w:rsid w:val="00931027"/>
    <w:rsid w:val="00931D2D"/>
    <w:rsid w:val="009331D4"/>
    <w:rsid w:val="0093401C"/>
    <w:rsid w:val="00934F66"/>
    <w:rsid w:val="00935332"/>
    <w:rsid w:val="009362E4"/>
    <w:rsid w:val="0093656A"/>
    <w:rsid w:val="00936C9E"/>
    <w:rsid w:val="00937A0C"/>
    <w:rsid w:val="00937D21"/>
    <w:rsid w:val="009401DB"/>
    <w:rsid w:val="009426C1"/>
    <w:rsid w:val="00942AF8"/>
    <w:rsid w:val="00942ECA"/>
    <w:rsid w:val="009432B7"/>
    <w:rsid w:val="00943802"/>
    <w:rsid w:val="009443E6"/>
    <w:rsid w:val="00944863"/>
    <w:rsid w:val="009457FB"/>
    <w:rsid w:val="0094707A"/>
    <w:rsid w:val="00950BE1"/>
    <w:rsid w:val="00950CF4"/>
    <w:rsid w:val="0095155F"/>
    <w:rsid w:val="009525B6"/>
    <w:rsid w:val="0095280B"/>
    <w:rsid w:val="00952C39"/>
    <w:rsid w:val="009542E5"/>
    <w:rsid w:val="009545B3"/>
    <w:rsid w:val="00954E7A"/>
    <w:rsid w:val="00955454"/>
    <w:rsid w:val="00955775"/>
    <w:rsid w:val="00955D19"/>
    <w:rsid w:val="00955EA5"/>
    <w:rsid w:val="00955EEF"/>
    <w:rsid w:val="00955F06"/>
    <w:rsid w:val="00957B98"/>
    <w:rsid w:val="00960A24"/>
    <w:rsid w:val="00960E1C"/>
    <w:rsid w:val="00961185"/>
    <w:rsid w:val="00962069"/>
    <w:rsid w:val="009626E4"/>
    <w:rsid w:val="00963767"/>
    <w:rsid w:val="009637FB"/>
    <w:rsid w:val="00963A3F"/>
    <w:rsid w:val="009640D3"/>
    <w:rsid w:val="00964FC1"/>
    <w:rsid w:val="009652DB"/>
    <w:rsid w:val="00965F1F"/>
    <w:rsid w:val="00966124"/>
    <w:rsid w:val="009661DB"/>
    <w:rsid w:val="00966DA8"/>
    <w:rsid w:val="0097157B"/>
    <w:rsid w:val="00971E9C"/>
    <w:rsid w:val="00972069"/>
    <w:rsid w:val="009722C1"/>
    <w:rsid w:val="0097250E"/>
    <w:rsid w:val="00972751"/>
    <w:rsid w:val="00974884"/>
    <w:rsid w:val="00975192"/>
    <w:rsid w:val="00975B1D"/>
    <w:rsid w:val="0097631A"/>
    <w:rsid w:val="009800B3"/>
    <w:rsid w:val="009801A4"/>
    <w:rsid w:val="00980632"/>
    <w:rsid w:val="00980EA2"/>
    <w:rsid w:val="00981301"/>
    <w:rsid w:val="009815E5"/>
    <w:rsid w:val="00981C01"/>
    <w:rsid w:val="00982B9E"/>
    <w:rsid w:val="00982BAD"/>
    <w:rsid w:val="00982E8C"/>
    <w:rsid w:val="00983466"/>
    <w:rsid w:val="00983BDB"/>
    <w:rsid w:val="00985895"/>
    <w:rsid w:val="00986F81"/>
    <w:rsid w:val="00987445"/>
    <w:rsid w:val="00990255"/>
    <w:rsid w:val="009902F3"/>
    <w:rsid w:val="00990577"/>
    <w:rsid w:val="0099191C"/>
    <w:rsid w:val="009920E2"/>
    <w:rsid w:val="00992833"/>
    <w:rsid w:val="0099288A"/>
    <w:rsid w:val="00993659"/>
    <w:rsid w:val="0099461B"/>
    <w:rsid w:val="00994C30"/>
    <w:rsid w:val="009952A7"/>
    <w:rsid w:val="00995A7B"/>
    <w:rsid w:val="009A000F"/>
    <w:rsid w:val="009A0078"/>
    <w:rsid w:val="009A015D"/>
    <w:rsid w:val="009A10D3"/>
    <w:rsid w:val="009A1401"/>
    <w:rsid w:val="009A1ED8"/>
    <w:rsid w:val="009A285C"/>
    <w:rsid w:val="009A2D7B"/>
    <w:rsid w:val="009A2E84"/>
    <w:rsid w:val="009A3553"/>
    <w:rsid w:val="009A3731"/>
    <w:rsid w:val="009A3854"/>
    <w:rsid w:val="009A4EDB"/>
    <w:rsid w:val="009A57ED"/>
    <w:rsid w:val="009A631C"/>
    <w:rsid w:val="009B0421"/>
    <w:rsid w:val="009B1E76"/>
    <w:rsid w:val="009B2BBA"/>
    <w:rsid w:val="009B2D3D"/>
    <w:rsid w:val="009B3280"/>
    <w:rsid w:val="009B353D"/>
    <w:rsid w:val="009B430B"/>
    <w:rsid w:val="009B4E68"/>
    <w:rsid w:val="009B5999"/>
    <w:rsid w:val="009B5EC5"/>
    <w:rsid w:val="009B79C5"/>
    <w:rsid w:val="009B7F1E"/>
    <w:rsid w:val="009C0E52"/>
    <w:rsid w:val="009C240C"/>
    <w:rsid w:val="009C274B"/>
    <w:rsid w:val="009C2B09"/>
    <w:rsid w:val="009C2D80"/>
    <w:rsid w:val="009C3771"/>
    <w:rsid w:val="009C56F0"/>
    <w:rsid w:val="009C6220"/>
    <w:rsid w:val="009C6482"/>
    <w:rsid w:val="009C79F3"/>
    <w:rsid w:val="009C7A70"/>
    <w:rsid w:val="009D10C1"/>
    <w:rsid w:val="009D1E25"/>
    <w:rsid w:val="009D2A93"/>
    <w:rsid w:val="009D45E0"/>
    <w:rsid w:val="009D532C"/>
    <w:rsid w:val="009D576A"/>
    <w:rsid w:val="009D5F2B"/>
    <w:rsid w:val="009D76CD"/>
    <w:rsid w:val="009E003E"/>
    <w:rsid w:val="009E09F6"/>
    <w:rsid w:val="009E3479"/>
    <w:rsid w:val="009E62BC"/>
    <w:rsid w:val="009E6CB9"/>
    <w:rsid w:val="009F0042"/>
    <w:rsid w:val="009F09A0"/>
    <w:rsid w:val="009F0A36"/>
    <w:rsid w:val="009F1DDC"/>
    <w:rsid w:val="009F1F5A"/>
    <w:rsid w:val="009F2CCC"/>
    <w:rsid w:val="009F2E3A"/>
    <w:rsid w:val="009F4C30"/>
    <w:rsid w:val="009F4CBE"/>
    <w:rsid w:val="009F57F8"/>
    <w:rsid w:val="009F58E3"/>
    <w:rsid w:val="009F5D7E"/>
    <w:rsid w:val="00A01012"/>
    <w:rsid w:val="00A01415"/>
    <w:rsid w:val="00A01823"/>
    <w:rsid w:val="00A02ECE"/>
    <w:rsid w:val="00A03246"/>
    <w:rsid w:val="00A04340"/>
    <w:rsid w:val="00A045F3"/>
    <w:rsid w:val="00A04C7C"/>
    <w:rsid w:val="00A0512E"/>
    <w:rsid w:val="00A053A2"/>
    <w:rsid w:val="00A0560A"/>
    <w:rsid w:val="00A05628"/>
    <w:rsid w:val="00A056F0"/>
    <w:rsid w:val="00A05E5C"/>
    <w:rsid w:val="00A061B2"/>
    <w:rsid w:val="00A0655E"/>
    <w:rsid w:val="00A075AF"/>
    <w:rsid w:val="00A07CD2"/>
    <w:rsid w:val="00A111B0"/>
    <w:rsid w:val="00A122F9"/>
    <w:rsid w:val="00A12AC9"/>
    <w:rsid w:val="00A12F4B"/>
    <w:rsid w:val="00A13EE5"/>
    <w:rsid w:val="00A142BD"/>
    <w:rsid w:val="00A1457B"/>
    <w:rsid w:val="00A154A8"/>
    <w:rsid w:val="00A15905"/>
    <w:rsid w:val="00A15CA4"/>
    <w:rsid w:val="00A16BC4"/>
    <w:rsid w:val="00A174A1"/>
    <w:rsid w:val="00A17DE0"/>
    <w:rsid w:val="00A202AD"/>
    <w:rsid w:val="00A20986"/>
    <w:rsid w:val="00A25517"/>
    <w:rsid w:val="00A26342"/>
    <w:rsid w:val="00A26B36"/>
    <w:rsid w:val="00A26BD5"/>
    <w:rsid w:val="00A26C1B"/>
    <w:rsid w:val="00A27684"/>
    <w:rsid w:val="00A27F6F"/>
    <w:rsid w:val="00A300D4"/>
    <w:rsid w:val="00A30607"/>
    <w:rsid w:val="00A30851"/>
    <w:rsid w:val="00A30FB1"/>
    <w:rsid w:val="00A32257"/>
    <w:rsid w:val="00A32E55"/>
    <w:rsid w:val="00A32FC9"/>
    <w:rsid w:val="00A34AB1"/>
    <w:rsid w:val="00A34F81"/>
    <w:rsid w:val="00A352E6"/>
    <w:rsid w:val="00A354C1"/>
    <w:rsid w:val="00A3554F"/>
    <w:rsid w:val="00A35EDB"/>
    <w:rsid w:val="00A36724"/>
    <w:rsid w:val="00A36D33"/>
    <w:rsid w:val="00A370F3"/>
    <w:rsid w:val="00A40A95"/>
    <w:rsid w:val="00A411E5"/>
    <w:rsid w:val="00A41423"/>
    <w:rsid w:val="00A41D02"/>
    <w:rsid w:val="00A41E8B"/>
    <w:rsid w:val="00A43B54"/>
    <w:rsid w:val="00A448C4"/>
    <w:rsid w:val="00A448EC"/>
    <w:rsid w:val="00A45B73"/>
    <w:rsid w:val="00A4721A"/>
    <w:rsid w:val="00A47FF7"/>
    <w:rsid w:val="00A500E9"/>
    <w:rsid w:val="00A50D54"/>
    <w:rsid w:val="00A518D8"/>
    <w:rsid w:val="00A51941"/>
    <w:rsid w:val="00A51DE6"/>
    <w:rsid w:val="00A52601"/>
    <w:rsid w:val="00A526D0"/>
    <w:rsid w:val="00A52DDC"/>
    <w:rsid w:val="00A5406F"/>
    <w:rsid w:val="00A54D28"/>
    <w:rsid w:val="00A54E17"/>
    <w:rsid w:val="00A559EF"/>
    <w:rsid w:val="00A579D4"/>
    <w:rsid w:val="00A60CFF"/>
    <w:rsid w:val="00A6150B"/>
    <w:rsid w:val="00A61A5A"/>
    <w:rsid w:val="00A61B58"/>
    <w:rsid w:val="00A6372F"/>
    <w:rsid w:val="00A646C1"/>
    <w:rsid w:val="00A64C7F"/>
    <w:rsid w:val="00A6519D"/>
    <w:rsid w:val="00A65240"/>
    <w:rsid w:val="00A656F3"/>
    <w:rsid w:val="00A65BF5"/>
    <w:rsid w:val="00A66599"/>
    <w:rsid w:val="00A66840"/>
    <w:rsid w:val="00A672DF"/>
    <w:rsid w:val="00A71B89"/>
    <w:rsid w:val="00A71D14"/>
    <w:rsid w:val="00A722AC"/>
    <w:rsid w:val="00A73859"/>
    <w:rsid w:val="00A748B1"/>
    <w:rsid w:val="00A74C13"/>
    <w:rsid w:val="00A75216"/>
    <w:rsid w:val="00A7571C"/>
    <w:rsid w:val="00A75BA4"/>
    <w:rsid w:val="00A76590"/>
    <w:rsid w:val="00A7711A"/>
    <w:rsid w:val="00A77627"/>
    <w:rsid w:val="00A804FC"/>
    <w:rsid w:val="00A8231F"/>
    <w:rsid w:val="00A825FD"/>
    <w:rsid w:val="00A8265F"/>
    <w:rsid w:val="00A82A32"/>
    <w:rsid w:val="00A85429"/>
    <w:rsid w:val="00A85EEC"/>
    <w:rsid w:val="00A86A39"/>
    <w:rsid w:val="00A86F45"/>
    <w:rsid w:val="00A8794C"/>
    <w:rsid w:val="00A908A9"/>
    <w:rsid w:val="00A90F03"/>
    <w:rsid w:val="00A9121C"/>
    <w:rsid w:val="00A9170D"/>
    <w:rsid w:val="00A9192D"/>
    <w:rsid w:val="00A92626"/>
    <w:rsid w:val="00A92A04"/>
    <w:rsid w:val="00A9375A"/>
    <w:rsid w:val="00A93937"/>
    <w:rsid w:val="00A93D7E"/>
    <w:rsid w:val="00A93DB7"/>
    <w:rsid w:val="00A93F5D"/>
    <w:rsid w:val="00A952FE"/>
    <w:rsid w:val="00A95346"/>
    <w:rsid w:val="00A9556F"/>
    <w:rsid w:val="00A95BF0"/>
    <w:rsid w:val="00A95C6F"/>
    <w:rsid w:val="00A96D0E"/>
    <w:rsid w:val="00AA1617"/>
    <w:rsid w:val="00AA3057"/>
    <w:rsid w:val="00AA3568"/>
    <w:rsid w:val="00AA37EA"/>
    <w:rsid w:val="00AA4134"/>
    <w:rsid w:val="00AA5B1B"/>
    <w:rsid w:val="00AA660F"/>
    <w:rsid w:val="00AA6F87"/>
    <w:rsid w:val="00AB08DD"/>
    <w:rsid w:val="00AB0BE3"/>
    <w:rsid w:val="00AB1FA2"/>
    <w:rsid w:val="00AB2D93"/>
    <w:rsid w:val="00AB3377"/>
    <w:rsid w:val="00AB36C3"/>
    <w:rsid w:val="00AB42CD"/>
    <w:rsid w:val="00AB438D"/>
    <w:rsid w:val="00AB61EF"/>
    <w:rsid w:val="00AB6AB6"/>
    <w:rsid w:val="00AB72BC"/>
    <w:rsid w:val="00AC01D2"/>
    <w:rsid w:val="00AC02DE"/>
    <w:rsid w:val="00AC0AF7"/>
    <w:rsid w:val="00AC1269"/>
    <w:rsid w:val="00AC24EB"/>
    <w:rsid w:val="00AC34DE"/>
    <w:rsid w:val="00AC384B"/>
    <w:rsid w:val="00AC3891"/>
    <w:rsid w:val="00AC4384"/>
    <w:rsid w:val="00AC4590"/>
    <w:rsid w:val="00AC53F1"/>
    <w:rsid w:val="00AC7442"/>
    <w:rsid w:val="00AC76E9"/>
    <w:rsid w:val="00AC7793"/>
    <w:rsid w:val="00AC7B71"/>
    <w:rsid w:val="00AC7DE5"/>
    <w:rsid w:val="00AD1BBD"/>
    <w:rsid w:val="00AD20ED"/>
    <w:rsid w:val="00AD38C4"/>
    <w:rsid w:val="00AD3AF7"/>
    <w:rsid w:val="00AD415B"/>
    <w:rsid w:val="00AD57D8"/>
    <w:rsid w:val="00AD5B13"/>
    <w:rsid w:val="00AD5FBE"/>
    <w:rsid w:val="00AD697D"/>
    <w:rsid w:val="00AD7337"/>
    <w:rsid w:val="00AD740D"/>
    <w:rsid w:val="00AE1C76"/>
    <w:rsid w:val="00AE2097"/>
    <w:rsid w:val="00AE21ED"/>
    <w:rsid w:val="00AE2D9F"/>
    <w:rsid w:val="00AE4146"/>
    <w:rsid w:val="00AE4484"/>
    <w:rsid w:val="00AE44E5"/>
    <w:rsid w:val="00AE5297"/>
    <w:rsid w:val="00AF1C82"/>
    <w:rsid w:val="00AF2BBD"/>
    <w:rsid w:val="00AF3262"/>
    <w:rsid w:val="00AF3B21"/>
    <w:rsid w:val="00AF3C18"/>
    <w:rsid w:val="00AF3CDB"/>
    <w:rsid w:val="00AF419A"/>
    <w:rsid w:val="00AF4A37"/>
    <w:rsid w:val="00AF557A"/>
    <w:rsid w:val="00AF5DA3"/>
    <w:rsid w:val="00AF6A45"/>
    <w:rsid w:val="00AF70AA"/>
    <w:rsid w:val="00AF735C"/>
    <w:rsid w:val="00AF73E6"/>
    <w:rsid w:val="00AF7AA6"/>
    <w:rsid w:val="00AF7C20"/>
    <w:rsid w:val="00AF7C47"/>
    <w:rsid w:val="00B00F0D"/>
    <w:rsid w:val="00B010C2"/>
    <w:rsid w:val="00B01327"/>
    <w:rsid w:val="00B015A2"/>
    <w:rsid w:val="00B02B61"/>
    <w:rsid w:val="00B030C4"/>
    <w:rsid w:val="00B03EA5"/>
    <w:rsid w:val="00B047F6"/>
    <w:rsid w:val="00B04EC3"/>
    <w:rsid w:val="00B06711"/>
    <w:rsid w:val="00B071EB"/>
    <w:rsid w:val="00B07BDD"/>
    <w:rsid w:val="00B07D21"/>
    <w:rsid w:val="00B07EF3"/>
    <w:rsid w:val="00B10E41"/>
    <w:rsid w:val="00B11ADA"/>
    <w:rsid w:val="00B12526"/>
    <w:rsid w:val="00B12C7F"/>
    <w:rsid w:val="00B14406"/>
    <w:rsid w:val="00B146D0"/>
    <w:rsid w:val="00B14DE5"/>
    <w:rsid w:val="00B15983"/>
    <w:rsid w:val="00B169F9"/>
    <w:rsid w:val="00B21676"/>
    <w:rsid w:val="00B21725"/>
    <w:rsid w:val="00B21B18"/>
    <w:rsid w:val="00B22081"/>
    <w:rsid w:val="00B22454"/>
    <w:rsid w:val="00B228FE"/>
    <w:rsid w:val="00B236A5"/>
    <w:rsid w:val="00B2421F"/>
    <w:rsid w:val="00B24319"/>
    <w:rsid w:val="00B26201"/>
    <w:rsid w:val="00B26696"/>
    <w:rsid w:val="00B26BA0"/>
    <w:rsid w:val="00B26EC7"/>
    <w:rsid w:val="00B271BD"/>
    <w:rsid w:val="00B307F0"/>
    <w:rsid w:val="00B335C3"/>
    <w:rsid w:val="00B336DF"/>
    <w:rsid w:val="00B33BF2"/>
    <w:rsid w:val="00B342E4"/>
    <w:rsid w:val="00B3444D"/>
    <w:rsid w:val="00B34FED"/>
    <w:rsid w:val="00B35BAA"/>
    <w:rsid w:val="00B36272"/>
    <w:rsid w:val="00B36417"/>
    <w:rsid w:val="00B3655C"/>
    <w:rsid w:val="00B36663"/>
    <w:rsid w:val="00B369CA"/>
    <w:rsid w:val="00B37811"/>
    <w:rsid w:val="00B37942"/>
    <w:rsid w:val="00B37FA1"/>
    <w:rsid w:val="00B40E6C"/>
    <w:rsid w:val="00B41485"/>
    <w:rsid w:val="00B41A14"/>
    <w:rsid w:val="00B42BA9"/>
    <w:rsid w:val="00B43070"/>
    <w:rsid w:val="00B43640"/>
    <w:rsid w:val="00B43D94"/>
    <w:rsid w:val="00B447CA"/>
    <w:rsid w:val="00B45849"/>
    <w:rsid w:val="00B465D7"/>
    <w:rsid w:val="00B46B7B"/>
    <w:rsid w:val="00B46C11"/>
    <w:rsid w:val="00B46CFE"/>
    <w:rsid w:val="00B47B66"/>
    <w:rsid w:val="00B500B9"/>
    <w:rsid w:val="00B50769"/>
    <w:rsid w:val="00B50E08"/>
    <w:rsid w:val="00B512EA"/>
    <w:rsid w:val="00B51A2A"/>
    <w:rsid w:val="00B51E99"/>
    <w:rsid w:val="00B52647"/>
    <w:rsid w:val="00B5292C"/>
    <w:rsid w:val="00B52BF4"/>
    <w:rsid w:val="00B537E1"/>
    <w:rsid w:val="00B541B9"/>
    <w:rsid w:val="00B54CD1"/>
    <w:rsid w:val="00B55551"/>
    <w:rsid w:val="00B56E7E"/>
    <w:rsid w:val="00B56F49"/>
    <w:rsid w:val="00B602F8"/>
    <w:rsid w:val="00B61D3F"/>
    <w:rsid w:val="00B61FE2"/>
    <w:rsid w:val="00B6214B"/>
    <w:rsid w:val="00B63471"/>
    <w:rsid w:val="00B638CE"/>
    <w:rsid w:val="00B64DEB"/>
    <w:rsid w:val="00B65219"/>
    <w:rsid w:val="00B65F8E"/>
    <w:rsid w:val="00B664D3"/>
    <w:rsid w:val="00B67178"/>
    <w:rsid w:val="00B67887"/>
    <w:rsid w:val="00B70341"/>
    <w:rsid w:val="00B70DEA"/>
    <w:rsid w:val="00B70EEF"/>
    <w:rsid w:val="00B7265D"/>
    <w:rsid w:val="00B7382C"/>
    <w:rsid w:val="00B74B23"/>
    <w:rsid w:val="00B75081"/>
    <w:rsid w:val="00B764A6"/>
    <w:rsid w:val="00B76612"/>
    <w:rsid w:val="00B76CE9"/>
    <w:rsid w:val="00B76E83"/>
    <w:rsid w:val="00B8038D"/>
    <w:rsid w:val="00B80F3D"/>
    <w:rsid w:val="00B81745"/>
    <w:rsid w:val="00B81915"/>
    <w:rsid w:val="00B81965"/>
    <w:rsid w:val="00B82134"/>
    <w:rsid w:val="00B82A7F"/>
    <w:rsid w:val="00B835EF"/>
    <w:rsid w:val="00B84FF2"/>
    <w:rsid w:val="00B852F2"/>
    <w:rsid w:val="00B85694"/>
    <w:rsid w:val="00B86014"/>
    <w:rsid w:val="00B8621D"/>
    <w:rsid w:val="00B864A1"/>
    <w:rsid w:val="00B90C2F"/>
    <w:rsid w:val="00B9105C"/>
    <w:rsid w:val="00B9114F"/>
    <w:rsid w:val="00B91158"/>
    <w:rsid w:val="00B922DE"/>
    <w:rsid w:val="00B9375D"/>
    <w:rsid w:val="00B93D45"/>
    <w:rsid w:val="00B9528D"/>
    <w:rsid w:val="00B964FC"/>
    <w:rsid w:val="00B96681"/>
    <w:rsid w:val="00B96C40"/>
    <w:rsid w:val="00B96E38"/>
    <w:rsid w:val="00B97852"/>
    <w:rsid w:val="00B97C34"/>
    <w:rsid w:val="00BA17D8"/>
    <w:rsid w:val="00BA256D"/>
    <w:rsid w:val="00BA306B"/>
    <w:rsid w:val="00BA32F0"/>
    <w:rsid w:val="00BA3651"/>
    <w:rsid w:val="00BA3E1F"/>
    <w:rsid w:val="00BA4BAC"/>
    <w:rsid w:val="00BA548C"/>
    <w:rsid w:val="00BA56AA"/>
    <w:rsid w:val="00BA590C"/>
    <w:rsid w:val="00BA609C"/>
    <w:rsid w:val="00BA6B7F"/>
    <w:rsid w:val="00BA77BF"/>
    <w:rsid w:val="00BA7826"/>
    <w:rsid w:val="00BA7CC2"/>
    <w:rsid w:val="00BA7E9E"/>
    <w:rsid w:val="00BB00D8"/>
    <w:rsid w:val="00BB05FB"/>
    <w:rsid w:val="00BB0615"/>
    <w:rsid w:val="00BB191B"/>
    <w:rsid w:val="00BB2CB7"/>
    <w:rsid w:val="00BB2EA5"/>
    <w:rsid w:val="00BB397B"/>
    <w:rsid w:val="00BB6F79"/>
    <w:rsid w:val="00BB712B"/>
    <w:rsid w:val="00BB7B0F"/>
    <w:rsid w:val="00BB7B15"/>
    <w:rsid w:val="00BC004A"/>
    <w:rsid w:val="00BC0256"/>
    <w:rsid w:val="00BC12F9"/>
    <w:rsid w:val="00BC1528"/>
    <w:rsid w:val="00BC1C62"/>
    <w:rsid w:val="00BC1F85"/>
    <w:rsid w:val="00BC2821"/>
    <w:rsid w:val="00BC2B34"/>
    <w:rsid w:val="00BC2B62"/>
    <w:rsid w:val="00BC2C5E"/>
    <w:rsid w:val="00BC3CC0"/>
    <w:rsid w:val="00BC42CF"/>
    <w:rsid w:val="00BC4D40"/>
    <w:rsid w:val="00BC6DFB"/>
    <w:rsid w:val="00BD0C52"/>
    <w:rsid w:val="00BD15F1"/>
    <w:rsid w:val="00BD173F"/>
    <w:rsid w:val="00BD1C16"/>
    <w:rsid w:val="00BD3186"/>
    <w:rsid w:val="00BD3E57"/>
    <w:rsid w:val="00BD3EE9"/>
    <w:rsid w:val="00BD4A3B"/>
    <w:rsid w:val="00BD6130"/>
    <w:rsid w:val="00BD6E28"/>
    <w:rsid w:val="00BD70B9"/>
    <w:rsid w:val="00BD76BF"/>
    <w:rsid w:val="00BD78E4"/>
    <w:rsid w:val="00BE0D3A"/>
    <w:rsid w:val="00BE4DAA"/>
    <w:rsid w:val="00BE7477"/>
    <w:rsid w:val="00BF149A"/>
    <w:rsid w:val="00BF2110"/>
    <w:rsid w:val="00BF2776"/>
    <w:rsid w:val="00BF405D"/>
    <w:rsid w:val="00BF4B3B"/>
    <w:rsid w:val="00BF5494"/>
    <w:rsid w:val="00BF5620"/>
    <w:rsid w:val="00BF58D2"/>
    <w:rsid w:val="00BF5FCB"/>
    <w:rsid w:val="00BF7EA0"/>
    <w:rsid w:val="00C005AC"/>
    <w:rsid w:val="00C009EE"/>
    <w:rsid w:val="00C00ECD"/>
    <w:rsid w:val="00C01AAB"/>
    <w:rsid w:val="00C01C01"/>
    <w:rsid w:val="00C022BE"/>
    <w:rsid w:val="00C02DB3"/>
    <w:rsid w:val="00C03159"/>
    <w:rsid w:val="00C062B3"/>
    <w:rsid w:val="00C07AF8"/>
    <w:rsid w:val="00C07DB4"/>
    <w:rsid w:val="00C07E27"/>
    <w:rsid w:val="00C10AC4"/>
    <w:rsid w:val="00C10F3F"/>
    <w:rsid w:val="00C115E7"/>
    <w:rsid w:val="00C1215F"/>
    <w:rsid w:val="00C12DD0"/>
    <w:rsid w:val="00C1371B"/>
    <w:rsid w:val="00C13E14"/>
    <w:rsid w:val="00C14EB6"/>
    <w:rsid w:val="00C14FDC"/>
    <w:rsid w:val="00C1525D"/>
    <w:rsid w:val="00C15729"/>
    <w:rsid w:val="00C15999"/>
    <w:rsid w:val="00C15CBD"/>
    <w:rsid w:val="00C20E89"/>
    <w:rsid w:val="00C223C4"/>
    <w:rsid w:val="00C22F22"/>
    <w:rsid w:val="00C25E45"/>
    <w:rsid w:val="00C264F7"/>
    <w:rsid w:val="00C271AC"/>
    <w:rsid w:val="00C300D2"/>
    <w:rsid w:val="00C304B4"/>
    <w:rsid w:val="00C3116D"/>
    <w:rsid w:val="00C31601"/>
    <w:rsid w:val="00C31B55"/>
    <w:rsid w:val="00C327C4"/>
    <w:rsid w:val="00C32822"/>
    <w:rsid w:val="00C32CA5"/>
    <w:rsid w:val="00C32D7F"/>
    <w:rsid w:val="00C33921"/>
    <w:rsid w:val="00C3409E"/>
    <w:rsid w:val="00C34209"/>
    <w:rsid w:val="00C344C0"/>
    <w:rsid w:val="00C34AF7"/>
    <w:rsid w:val="00C3515F"/>
    <w:rsid w:val="00C357E9"/>
    <w:rsid w:val="00C35DD5"/>
    <w:rsid w:val="00C371BD"/>
    <w:rsid w:val="00C400B1"/>
    <w:rsid w:val="00C40C0B"/>
    <w:rsid w:val="00C41B76"/>
    <w:rsid w:val="00C41C5C"/>
    <w:rsid w:val="00C4275B"/>
    <w:rsid w:val="00C427A1"/>
    <w:rsid w:val="00C428A9"/>
    <w:rsid w:val="00C43255"/>
    <w:rsid w:val="00C4331E"/>
    <w:rsid w:val="00C43763"/>
    <w:rsid w:val="00C43B82"/>
    <w:rsid w:val="00C44F27"/>
    <w:rsid w:val="00C458CF"/>
    <w:rsid w:val="00C46C9B"/>
    <w:rsid w:val="00C46C9C"/>
    <w:rsid w:val="00C46EED"/>
    <w:rsid w:val="00C471E4"/>
    <w:rsid w:val="00C47488"/>
    <w:rsid w:val="00C4788E"/>
    <w:rsid w:val="00C51969"/>
    <w:rsid w:val="00C51A80"/>
    <w:rsid w:val="00C52DD6"/>
    <w:rsid w:val="00C536B2"/>
    <w:rsid w:val="00C561B4"/>
    <w:rsid w:val="00C572EF"/>
    <w:rsid w:val="00C5731D"/>
    <w:rsid w:val="00C60394"/>
    <w:rsid w:val="00C60C74"/>
    <w:rsid w:val="00C62218"/>
    <w:rsid w:val="00C627D8"/>
    <w:rsid w:val="00C63242"/>
    <w:rsid w:val="00C638FA"/>
    <w:rsid w:val="00C64648"/>
    <w:rsid w:val="00C6583E"/>
    <w:rsid w:val="00C65F72"/>
    <w:rsid w:val="00C660F4"/>
    <w:rsid w:val="00C661C6"/>
    <w:rsid w:val="00C669D0"/>
    <w:rsid w:val="00C670C3"/>
    <w:rsid w:val="00C675D2"/>
    <w:rsid w:val="00C675D7"/>
    <w:rsid w:val="00C67F4B"/>
    <w:rsid w:val="00C70190"/>
    <w:rsid w:val="00C7043F"/>
    <w:rsid w:val="00C707DE"/>
    <w:rsid w:val="00C7102D"/>
    <w:rsid w:val="00C710DA"/>
    <w:rsid w:val="00C711F4"/>
    <w:rsid w:val="00C7159E"/>
    <w:rsid w:val="00C7226C"/>
    <w:rsid w:val="00C76AA8"/>
    <w:rsid w:val="00C76CD3"/>
    <w:rsid w:val="00C7706E"/>
    <w:rsid w:val="00C803B4"/>
    <w:rsid w:val="00C80E04"/>
    <w:rsid w:val="00C812DC"/>
    <w:rsid w:val="00C81CB0"/>
    <w:rsid w:val="00C81DE5"/>
    <w:rsid w:val="00C83EC0"/>
    <w:rsid w:val="00C8483A"/>
    <w:rsid w:val="00C84BE0"/>
    <w:rsid w:val="00C84F08"/>
    <w:rsid w:val="00C8596F"/>
    <w:rsid w:val="00C8681A"/>
    <w:rsid w:val="00C8693E"/>
    <w:rsid w:val="00C869B2"/>
    <w:rsid w:val="00C869D6"/>
    <w:rsid w:val="00C90311"/>
    <w:rsid w:val="00C9031E"/>
    <w:rsid w:val="00C90B4F"/>
    <w:rsid w:val="00C91390"/>
    <w:rsid w:val="00C91FFB"/>
    <w:rsid w:val="00C921AA"/>
    <w:rsid w:val="00C93EBD"/>
    <w:rsid w:val="00C942AB"/>
    <w:rsid w:val="00C9589F"/>
    <w:rsid w:val="00C95E37"/>
    <w:rsid w:val="00C96112"/>
    <w:rsid w:val="00C965AE"/>
    <w:rsid w:val="00C966B5"/>
    <w:rsid w:val="00C969F2"/>
    <w:rsid w:val="00C96AD7"/>
    <w:rsid w:val="00CA18A7"/>
    <w:rsid w:val="00CA1A8F"/>
    <w:rsid w:val="00CA2436"/>
    <w:rsid w:val="00CA2D75"/>
    <w:rsid w:val="00CA337D"/>
    <w:rsid w:val="00CA4044"/>
    <w:rsid w:val="00CA6D48"/>
    <w:rsid w:val="00CA72D6"/>
    <w:rsid w:val="00CA73D4"/>
    <w:rsid w:val="00CA7C34"/>
    <w:rsid w:val="00CA7C8A"/>
    <w:rsid w:val="00CA7D64"/>
    <w:rsid w:val="00CB0B69"/>
    <w:rsid w:val="00CB0DCC"/>
    <w:rsid w:val="00CB0E45"/>
    <w:rsid w:val="00CB18EB"/>
    <w:rsid w:val="00CB1A2D"/>
    <w:rsid w:val="00CB2116"/>
    <w:rsid w:val="00CB257F"/>
    <w:rsid w:val="00CB294B"/>
    <w:rsid w:val="00CB38E6"/>
    <w:rsid w:val="00CB5094"/>
    <w:rsid w:val="00CB532A"/>
    <w:rsid w:val="00CB5BE5"/>
    <w:rsid w:val="00CB5F44"/>
    <w:rsid w:val="00CB5F94"/>
    <w:rsid w:val="00CB6AE3"/>
    <w:rsid w:val="00CB7477"/>
    <w:rsid w:val="00CB7877"/>
    <w:rsid w:val="00CB7D4D"/>
    <w:rsid w:val="00CB7D6E"/>
    <w:rsid w:val="00CC190F"/>
    <w:rsid w:val="00CC26B3"/>
    <w:rsid w:val="00CC2EB7"/>
    <w:rsid w:val="00CC374D"/>
    <w:rsid w:val="00CC3E3F"/>
    <w:rsid w:val="00CC4A16"/>
    <w:rsid w:val="00CC534E"/>
    <w:rsid w:val="00CC5B57"/>
    <w:rsid w:val="00CC62F9"/>
    <w:rsid w:val="00CC65C2"/>
    <w:rsid w:val="00CC66F9"/>
    <w:rsid w:val="00CC67C8"/>
    <w:rsid w:val="00CD0533"/>
    <w:rsid w:val="00CD0A5F"/>
    <w:rsid w:val="00CD0B93"/>
    <w:rsid w:val="00CD0D39"/>
    <w:rsid w:val="00CD0E7E"/>
    <w:rsid w:val="00CD1592"/>
    <w:rsid w:val="00CD3B90"/>
    <w:rsid w:val="00CD4FC2"/>
    <w:rsid w:val="00CD51F0"/>
    <w:rsid w:val="00CD54A9"/>
    <w:rsid w:val="00CD5F29"/>
    <w:rsid w:val="00CD5FF0"/>
    <w:rsid w:val="00CD75E0"/>
    <w:rsid w:val="00CE08FD"/>
    <w:rsid w:val="00CE113D"/>
    <w:rsid w:val="00CE130F"/>
    <w:rsid w:val="00CE2179"/>
    <w:rsid w:val="00CE2576"/>
    <w:rsid w:val="00CE29E2"/>
    <w:rsid w:val="00CE2E45"/>
    <w:rsid w:val="00CE30D8"/>
    <w:rsid w:val="00CE315D"/>
    <w:rsid w:val="00CE3693"/>
    <w:rsid w:val="00CE4BCF"/>
    <w:rsid w:val="00CE5E54"/>
    <w:rsid w:val="00CE6BEF"/>
    <w:rsid w:val="00CE7321"/>
    <w:rsid w:val="00CE758A"/>
    <w:rsid w:val="00CE78FE"/>
    <w:rsid w:val="00CF046C"/>
    <w:rsid w:val="00CF0893"/>
    <w:rsid w:val="00CF188F"/>
    <w:rsid w:val="00CF2C2B"/>
    <w:rsid w:val="00CF2C56"/>
    <w:rsid w:val="00CF3C5C"/>
    <w:rsid w:val="00CF4F26"/>
    <w:rsid w:val="00CF52F4"/>
    <w:rsid w:val="00CF6DAE"/>
    <w:rsid w:val="00CF6F7E"/>
    <w:rsid w:val="00CF77CC"/>
    <w:rsid w:val="00D00298"/>
    <w:rsid w:val="00D00EBC"/>
    <w:rsid w:val="00D01FE1"/>
    <w:rsid w:val="00D021F7"/>
    <w:rsid w:val="00D030A4"/>
    <w:rsid w:val="00D03D31"/>
    <w:rsid w:val="00D051BB"/>
    <w:rsid w:val="00D0549D"/>
    <w:rsid w:val="00D05549"/>
    <w:rsid w:val="00D055E9"/>
    <w:rsid w:val="00D0678D"/>
    <w:rsid w:val="00D0686D"/>
    <w:rsid w:val="00D10C1D"/>
    <w:rsid w:val="00D1139C"/>
    <w:rsid w:val="00D115C8"/>
    <w:rsid w:val="00D12641"/>
    <w:rsid w:val="00D138DB"/>
    <w:rsid w:val="00D146C5"/>
    <w:rsid w:val="00D147D6"/>
    <w:rsid w:val="00D14E4B"/>
    <w:rsid w:val="00D16FDE"/>
    <w:rsid w:val="00D2445B"/>
    <w:rsid w:val="00D2528E"/>
    <w:rsid w:val="00D265DB"/>
    <w:rsid w:val="00D26ADA"/>
    <w:rsid w:val="00D26DE5"/>
    <w:rsid w:val="00D278F3"/>
    <w:rsid w:val="00D27BB8"/>
    <w:rsid w:val="00D304BC"/>
    <w:rsid w:val="00D306BB"/>
    <w:rsid w:val="00D30DF7"/>
    <w:rsid w:val="00D31A4A"/>
    <w:rsid w:val="00D323A9"/>
    <w:rsid w:val="00D3291D"/>
    <w:rsid w:val="00D3377A"/>
    <w:rsid w:val="00D3447C"/>
    <w:rsid w:val="00D34ACC"/>
    <w:rsid w:val="00D35075"/>
    <w:rsid w:val="00D355F3"/>
    <w:rsid w:val="00D35908"/>
    <w:rsid w:val="00D35A3E"/>
    <w:rsid w:val="00D3649B"/>
    <w:rsid w:val="00D36824"/>
    <w:rsid w:val="00D3784C"/>
    <w:rsid w:val="00D37C3B"/>
    <w:rsid w:val="00D37E42"/>
    <w:rsid w:val="00D40377"/>
    <w:rsid w:val="00D41E24"/>
    <w:rsid w:val="00D42030"/>
    <w:rsid w:val="00D42031"/>
    <w:rsid w:val="00D42204"/>
    <w:rsid w:val="00D43BA0"/>
    <w:rsid w:val="00D45A26"/>
    <w:rsid w:val="00D4657C"/>
    <w:rsid w:val="00D46882"/>
    <w:rsid w:val="00D4732F"/>
    <w:rsid w:val="00D47367"/>
    <w:rsid w:val="00D475B1"/>
    <w:rsid w:val="00D475D0"/>
    <w:rsid w:val="00D51CE9"/>
    <w:rsid w:val="00D52506"/>
    <w:rsid w:val="00D529D8"/>
    <w:rsid w:val="00D538CB"/>
    <w:rsid w:val="00D53D95"/>
    <w:rsid w:val="00D55055"/>
    <w:rsid w:val="00D5588F"/>
    <w:rsid w:val="00D55A6F"/>
    <w:rsid w:val="00D56220"/>
    <w:rsid w:val="00D57627"/>
    <w:rsid w:val="00D57DC7"/>
    <w:rsid w:val="00D57ED6"/>
    <w:rsid w:val="00D607C2"/>
    <w:rsid w:val="00D61E77"/>
    <w:rsid w:val="00D61F5B"/>
    <w:rsid w:val="00D628BA"/>
    <w:rsid w:val="00D62B23"/>
    <w:rsid w:val="00D62F85"/>
    <w:rsid w:val="00D634AD"/>
    <w:rsid w:val="00D637AC"/>
    <w:rsid w:val="00D63B3C"/>
    <w:rsid w:val="00D645A1"/>
    <w:rsid w:val="00D65446"/>
    <w:rsid w:val="00D65AA4"/>
    <w:rsid w:val="00D65D91"/>
    <w:rsid w:val="00D66F8C"/>
    <w:rsid w:val="00D673A5"/>
    <w:rsid w:val="00D7007A"/>
    <w:rsid w:val="00D70BE1"/>
    <w:rsid w:val="00D711F6"/>
    <w:rsid w:val="00D714C0"/>
    <w:rsid w:val="00D72914"/>
    <w:rsid w:val="00D77073"/>
    <w:rsid w:val="00D777A7"/>
    <w:rsid w:val="00D77C3B"/>
    <w:rsid w:val="00D80033"/>
    <w:rsid w:val="00D803E6"/>
    <w:rsid w:val="00D80A38"/>
    <w:rsid w:val="00D80B8A"/>
    <w:rsid w:val="00D8150B"/>
    <w:rsid w:val="00D82A03"/>
    <w:rsid w:val="00D8367C"/>
    <w:rsid w:val="00D849AC"/>
    <w:rsid w:val="00D855E7"/>
    <w:rsid w:val="00D85743"/>
    <w:rsid w:val="00D85D44"/>
    <w:rsid w:val="00D86FBA"/>
    <w:rsid w:val="00D86FFB"/>
    <w:rsid w:val="00D901B2"/>
    <w:rsid w:val="00D90793"/>
    <w:rsid w:val="00D92571"/>
    <w:rsid w:val="00D92B32"/>
    <w:rsid w:val="00D92C60"/>
    <w:rsid w:val="00D93626"/>
    <w:rsid w:val="00D93AE3"/>
    <w:rsid w:val="00D94F02"/>
    <w:rsid w:val="00D95136"/>
    <w:rsid w:val="00D958AF"/>
    <w:rsid w:val="00D9625A"/>
    <w:rsid w:val="00D975B2"/>
    <w:rsid w:val="00DA0144"/>
    <w:rsid w:val="00DA0921"/>
    <w:rsid w:val="00DA19B2"/>
    <w:rsid w:val="00DA1B6D"/>
    <w:rsid w:val="00DA1D98"/>
    <w:rsid w:val="00DA25CB"/>
    <w:rsid w:val="00DA25DE"/>
    <w:rsid w:val="00DA3443"/>
    <w:rsid w:val="00DA3F3A"/>
    <w:rsid w:val="00DA4765"/>
    <w:rsid w:val="00DA63D2"/>
    <w:rsid w:val="00DA65B3"/>
    <w:rsid w:val="00DA7E74"/>
    <w:rsid w:val="00DB0BDA"/>
    <w:rsid w:val="00DB1AC8"/>
    <w:rsid w:val="00DB380E"/>
    <w:rsid w:val="00DB6A7A"/>
    <w:rsid w:val="00DB6B79"/>
    <w:rsid w:val="00DB71E5"/>
    <w:rsid w:val="00DB7EC8"/>
    <w:rsid w:val="00DC048D"/>
    <w:rsid w:val="00DC0E53"/>
    <w:rsid w:val="00DC1BBF"/>
    <w:rsid w:val="00DC2367"/>
    <w:rsid w:val="00DC25E0"/>
    <w:rsid w:val="00DC3237"/>
    <w:rsid w:val="00DC3520"/>
    <w:rsid w:val="00DC3A35"/>
    <w:rsid w:val="00DC4839"/>
    <w:rsid w:val="00DC671C"/>
    <w:rsid w:val="00DC6B49"/>
    <w:rsid w:val="00DC7970"/>
    <w:rsid w:val="00DC7DA4"/>
    <w:rsid w:val="00DD056C"/>
    <w:rsid w:val="00DD17DB"/>
    <w:rsid w:val="00DD25DF"/>
    <w:rsid w:val="00DD2EA8"/>
    <w:rsid w:val="00DD49C8"/>
    <w:rsid w:val="00DD4DE7"/>
    <w:rsid w:val="00DD72F0"/>
    <w:rsid w:val="00DD75E7"/>
    <w:rsid w:val="00DE01E8"/>
    <w:rsid w:val="00DE30F9"/>
    <w:rsid w:val="00DE3FBE"/>
    <w:rsid w:val="00DE68D5"/>
    <w:rsid w:val="00DE6A28"/>
    <w:rsid w:val="00DE6BD1"/>
    <w:rsid w:val="00DE7248"/>
    <w:rsid w:val="00DE7C9F"/>
    <w:rsid w:val="00DF00A0"/>
    <w:rsid w:val="00DF0FA7"/>
    <w:rsid w:val="00DF14F3"/>
    <w:rsid w:val="00DF1960"/>
    <w:rsid w:val="00DF2FC8"/>
    <w:rsid w:val="00DF4164"/>
    <w:rsid w:val="00DF4410"/>
    <w:rsid w:val="00DF50D7"/>
    <w:rsid w:val="00DF52FB"/>
    <w:rsid w:val="00DF5489"/>
    <w:rsid w:val="00DF54B4"/>
    <w:rsid w:val="00DF594D"/>
    <w:rsid w:val="00DF65AE"/>
    <w:rsid w:val="00DF7736"/>
    <w:rsid w:val="00DF7900"/>
    <w:rsid w:val="00DF7DDE"/>
    <w:rsid w:val="00E0135D"/>
    <w:rsid w:val="00E02644"/>
    <w:rsid w:val="00E027DC"/>
    <w:rsid w:val="00E03375"/>
    <w:rsid w:val="00E03708"/>
    <w:rsid w:val="00E045A6"/>
    <w:rsid w:val="00E05483"/>
    <w:rsid w:val="00E05F6C"/>
    <w:rsid w:val="00E061EE"/>
    <w:rsid w:val="00E071C8"/>
    <w:rsid w:val="00E102A3"/>
    <w:rsid w:val="00E10C2B"/>
    <w:rsid w:val="00E12DEF"/>
    <w:rsid w:val="00E1382A"/>
    <w:rsid w:val="00E13E58"/>
    <w:rsid w:val="00E14FE4"/>
    <w:rsid w:val="00E15B22"/>
    <w:rsid w:val="00E16DAF"/>
    <w:rsid w:val="00E174A3"/>
    <w:rsid w:val="00E17731"/>
    <w:rsid w:val="00E218B6"/>
    <w:rsid w:val="00E21CA4"/>
    <w:rsid w:val="00E22BE7"/>
    <w:rsid w:val="00E2338D"/>
    <w:rsid w:val="00E23EDC"/>
    <w:rsid w:val="00E245A4"/>
    <w:rsid w:val="00E24BB3"/>
    <w:rsid w:val="00E24C8A"/>
    <w:rsid w:val="00E25783"/>
    <w:rsid w:val="00E25CB3"/>
    <w:rsid w:val="00E25EFB"/>
    <w:rsid w:val="00E26399"/>
    <w:rsid w:val="00E2694C"/>
    <w:rsid w:val="00E321E3"/>
    <w:rsid w:val="00E32F17"/>
    <w:rsid w:val="00E35461"/>
    <w:rsid w:val="00E36074"/>
    <w:rsid w:val="00E36C81"/>
    <w:rsid w:val="00E377E2"/>
    <w:rsid w:val="00E37DA8"/>
    <w:rsid w:val="00E40669"/>
    <w:rsid w:val="00E40DE4"/>
    <w:rsid w:val="00E41392"/>
    <w:rsid w:val="00E4192F"/>
    <w:rsid w:val="00E42035"/>
    <w:rsid w:val="00E4288B"/>
    <w:rsid w:val="00E43DEB"/>
    <w:rsid w:val="00E44391"/>
    <w:rsid w:val="00E44614"/>
    <w:rsid w:val="00E448D9"/>
    <w:rsid w:val="00E44BB2"/>
    <w:rsid w:val="00E467ED"/>
    <w:rsid w:val="00E46A78"/>
    <w:rsid w:val="00E46CDC"/>
    <w:rsid w:val="00E46EC1"/>
    <w:rsid w:val="00E5085D"/>
    <w:rsid w:val="00E50CF4"/>
    <w:rsid w:val="00E53293"/>
    <w:rsid w:val="00E537F8"/>
    <w:rsid w:val="00E54423"/>
    <w:rsid w:val="00E54A8B"/>
    <w:rsid w:val="00E54C87"/>
    <w:rsid w:val="00E55699"/>
    <w:rsid w:val="00E559D9"/>
    <w:rsid w:val="00E55BB4"/>
    <w:rsid w:val="00E561EC"/>
    <w:rsid w:val="00E563F2"/>
    <w:rsid w:val="00E56A31"/>
    <w:rsid w:val="00E56B57"/>
    <w:rsid w:val="00E57270"/>
    <w:rsid w:val="00E5746B"/>
    <w:rsid w:val="00E6017E"/>
    <w:rsid w:val="00E605D2"/>
    <w:rsid w:val="00E615CA"/>
    <w:rsid w:val="00E62055"/>
    <w:rsid w:val="00E63CB2"/>
    <w:rsid w:val="00E644F6"/>
    <w:rsid w:val="00E64A84"/>
    <w:rsid w:val="00E666C2"/>
    <w:rsid w:val="00E71B38"/>
    <w:rsid w:val="00E72697"/>
    <w:rsid w:val="00E72820"/>
    <w:rsid w:val="00E72DCB"/>
    <w:rsid w:val="00E73665"/>
    <w:rsid w:val="00E73E02"/>
    <w:rsid w:val="00E74BF4"/>
    <w:rsid w:val="00E75831"/>
    <w:rsid w:val="00E7604F"/>
    <w:rsid w:val="00E76086"/>
    <w:rsid w:val="00E76D66"/>
    <w:rsid w:val="00E76EBE"/>
    <w:rsid w:val="00E7773C"/>
    <w:rsid w:val="00E77FA1"/>
    <w:rsid w:val="00E809EC"/>
    <w:rsid w:val="00E81B3F"/>
    <w:rsid w:val="00E81C2D"/>
    <w:rsid w:val="00E8354E"/>
    <w:rsid w:val="00E83B58"/>
    <w:rsid w:val="00E84547"/>
    <w:rsid w:val="00E84C0B"/>
    <w:rsid w:val="00E854DE"/>
    <w:rsid w:val="00E85791"/>
    <w:rsid w:val="00E85AA5"/>
    <w:rsid w:val="00E85AC4"/>
    <w:rsid w:val="00E85CF0"/>
    <w:rsid w:val="00E85F39"/>
    <w:rsid w:val="00E86412"/>
    <w:rsid w:val="00E8677F"/>
    <w:rsid w:val="00E87493"/>
    <w:rsid w:val="00E87969"/>
    <w:rsid w:val="00E90937"/>
    <w:rsid w:val="00E90B9A"/>
    <w:rsid w:val="00E91001"/>
    <w:rsid w:val="00E92F6E"/>
    <w:rsid w:val="00E9311C"/>
    <w:rsid w:val="00E94C8E"/>
    <w:rsid w:val="00E96185"/>
    <w:rsid w:val="00E96AB7"/>
    <w:rsid w:val="00EA05E9"/>
    <w:rsid w:val="00EA07D5"/>
    <w:rsid w:val="00EA0DC8"/>
    <w:rsid w:val="00EA1A5E"/>
    <w:rsid w:val="00EA1FEC"/>
    <w:rsid w:val="00EA248E"/>
    <w:rsid w:val="00EA2F2D"/>
    <w:rsid w:val="00EA3A51"/>
    <w:rsid w:val="00EA3E73"/>
    <w:rsid w:val="00EA4068"/>
    <w:rsid w:val="00EA4354"/>
    <w:rsid w:val="00EA6967"/>
    <w:rsid w:val="00EA71C2"/>
    <w:rsid w:val="00EA776C"/>
    <w:rsid w:val="00EB0076"/>
    <w:rsid w:val="00EB0149"/>
    <w:rsid w:val="00EB1188"/>
    <w:rsid w:val="00EB22BA"/>
    <w:rsid w:val="00EB25C3"/>
    <w:rsid w:val="00EB2E12"/>
    <w:rsid w:val="00EB2FAE"/>
    <w:rsid w:val="00EB3279"/>
    <w:rsid w:val="00EB3531"/>
    <w:rsid w:val="00EB3553"/>
    <w:rsid w:val="00EB3B3F"/>
    <w:rsid w:val="00EB3B88"/>
    <w:rsid w:val="00EB3F32"/>
    <w:rsid w:val="00EB50B6"/>
    <w:rsid w:val="00EB545C"/>
    <w:rsid w:val="00EB56D4"/>
    <w:rsid w:val="00EB6201"/>
    <w:rsid w:val="00EB65A5"/>
    <w:rsid w:val="00EB7359"/>
    <w:rsid w:val="00EB751A"/>
    <w:rsid w:val="00EB7592"/>
    <w:rsid w:val="00EB79DE"/>
    <w:rsid w:val="00EC0255"/>
    <w:rsid w:val="00EC0716"/>
    <w:rsid w:val="00EC1662"/>
    <w:rsid w:val="00EC16D1"/>
    <w:rsid w:val="00EC1DA2"/>
    <w:rsid w:val="00EC1FF0"/>
    <w:rsid w:val="00EC26F9"/>
    <w:rsid w:val="00EC279F"/>
    <w:rsid w:val="00EC31DB"/>
    <w:rsid w:val="00EC3BFF"/>
    <w:rsid w:val="00EC58D1"/>
    <w:rsid w:val="00EC5C22"/>
    <w:rsid w:val="00EC7361"/>
    <w:rsid w:val="00ED0353"/>
    <w:rsid w:val="00ED07CF"/>
    <w:rsid w:val="00ED1431"/>
    <w:rsid w:val="00ED15BD"/>
    <w:rsid w:val="00ED1752"/>
    <w:rsid w:val="00ED216C"/>
    <w:rsid w:val="00ED3476"/>
    <w:rsid w:val="00ED4E22"/>
    <w:rsid w:val="00ED53B3"/>
    <w:rsid w:val="00ED5DA7"/>
    <w:rsid w:val="00ED705B"/>
    <w:rsid w:val="00ED70F1"/>
    <w:rsid w:val="00ED774B"/>
    <w:rsid w:val="00ED777F"/>
    <w:rsid w:val="00ED7978"/>
    <w:rsid w:val="00EE0193"/>
    <w:rsid w:val="00EE03BD"/>
    <w:rsid w:val="00EE0691"/>
    <w:rsid w:val="00EE1B15"/>
    <w:rsid w:val="00EE2CCB"/>
    <w:rsid w:val="00EE34AB"/>
    <w:rsid w:val="00EE4031"/>
    <w:rsid w:val="00EE4B20"/>
    <w:rsid w:val="00EE5168"/>
    <w:rsid w:val="00EE6EDC"/>
    <w:rsid w:val="00EF01FC"/>
    <w:rsid w:val="00EF07C4"/>
    <w:rsid w:val="00EF20CA"/>
    <w:rsid w:val="00EF3095"/>
    <w:rsid w:val="00EF481C"/>
    <w:rsid w:val="00EF4978"/>
    <w:rsid w:val="00EF4D03"/>
    <w:rsid w:val="00EF4E13"/>
    <w:rsid w:val="00EF4ED0"/>
    <w:rsid w:val="00EF554A"/>
    <w:rsid w:val="00EF59F8"/>
    <w:rsid w:val="00EF6C50"/>
    <w:rsid w:val="00EF7262"/>
    <w:rsid w:val="00EF78FF"/>
    <w:rsid w:val="00EF79BD"/>
    <w:rsid w:val="00F00FA2"/>
    <w:rsid w:val="00F02FB9"/>
    <w:rsid w:val="00F030A8"/>
    <w:rsid w:val="00F06428"/>
    <w:rsid w:val="00F1177E"/>
    <w:rsid w:val="00F1187B"/>
    <w:rsid w:val="00F11A1F"/>
    <w:rsid w:val="00F11BC2"/>
    <w:rsid w:val="00F12E1C"/>
    <w:rsid w:val="00F13355"/>
    <w:rsid w:val="00F139A3"/>
    <w:rsid w:val="00F13F70"/>
    <w:rsid w:val="00F14AC1"/>
    <w:rsid w:val="00F151B9"/>
    <w:rsid w:val="00F152C8"/>
    <w:rsid w:val="00F16078"/>
    <w:rsid w:val="00F20B91"/>
    <w:rsid w:val="00F20D21"/>
    <w:rsid w:val="00F220A7"/>
    <w:rsid w:val="00F23103"/>
    <w:rsid w:val="00F2350D"/>
    <w:rsid w:val="00F2376F"/>
    <w:rsid w:val="00F239E3"/>
    <w:rsid w:val="00F23EBA"/>
    <w:rsid w:val="00F23F1D"/>
    <w:rsid w:val="00F2445F"/>
    <w:rsid w:val="00F24ACA"/>
    <w:rsid w:val="00F250F5"/>
    <w:rsid w:val="00F252B3"/>
    <w:rsid w:val="00F25387"/>
    <w:rsid w:val="00F25C8E"/>
    <w:rsid w:val="00F26017"/>
    <w:rsid w:val="00F26B1C"/>
    <w:rsid w:val="00F27CA0"/>
    <w:rsid w:val="00F27CF0"/>
    <w:rsid w:val="00F27D25"/>
    <w:rsid w:val="00F27DC6"/>
    <w:rsid w:val="00F3058D"/>
    <w:rsid w:val="00F31D4F"/>
    <w:rsid w:val="00F326FF"/>
    <w:rsid w:val="00F327C3"/>
    <w:rsid w:val="00F331D6"/>
    <w:rsid w:val="00F3343E"/>
    <w:rsid w:val="00F33CD9"/>
    <w:rsid w:val="00F34715"/>
    <w:rsid w:val="00F34BCB"/>
    <w:rsid w:val="00F3539A"/>
    <w:rsid w:val="00F35D8A"/>
    <w:rsid w:val="00F376E6"/>
    <w:rsid w:val="00F40B95"/>
    <w:rsid w:val="00F4129E"/>
    <w:rsid w:val="00F41BB3"/>
    <w:rsid w:val="00F42B68"/>
    <w:rsid w:val="00F43094"/>
    <w:rsid w:val="00F452B0"/>
    <w:rsid w:val="00F46DE1"/>
    <w:rsid w:val="00F50271"/>
    <w:rsid w:val="00F50399"/>
    <w:rsid w:val="00F50502"/>
    <w:rsid w:val="00F51FAF"/>
    <w:rsid w:val="00F52E29"/>
    <w:rsid w:val="00F52E7A"/>
    <w:rsid w:val="00F53654"/>
    <w:rsid w:val="00F53C86"/>
    <w:rsid w:val="00F548B2"/>
    <w:rsid w:val="00F562D4"/>
    <w:rsid w:val="00F56822"/>
    <w:rsid w:val="00F56894"/>
    <w:rsid w:val="00F56B94"/>
    <w:rsid w:val="00F56FFF"/>
    <w:rsid w:val="00F60791"/>
    <w:rsid w:val="00F61446"/>
    <w:rsid w:val="00F62307"/>
    <w:rsid w:val="00F62A7A"/>
    <w:rsid w:val="00F62B33"/>
    <w:rsid w:val="00F63C72"/>
    <w:rsid w:val="00F6409A"/>
    <w:rsid w:val="00F64229"/>
    <w:rsid w:val="00F64412"/>
    <w:rsid w:val="00F64CD8"/>
    <w:rsid w:val="00F64DB9"/>
    <w:rsid w:val="00F64FD0"/>
    <w:rsid w:val="00F65CD5"/>
    <w:rsid w:val="00F66634"/>
    <w:rsid w:val="00F667A2"/>
    <w:rsid w:val="00F66A65"/>
    <w:rsid w:val="00F67D3E"/>
    <w:rsid w:val="00F70895"/>
    <w:rsid w:val="00F714D3"/>
    <w:rsid w:val="00F7213F"/>
    <w:rsid w:val="00F73875"/>
    <w:rsid w:val="00F73B07"/>
    <w:rsid w:val="00F74233"/>
    <w:rsid w:val="00F766D7"/>
    <w:rsid w:val="00F77280"/>
    <w:rsid w:val="00F80247"/>
    <w:rsid w:val="00F8215E"/>
    <w:rsid w:val="00F82DB4"/>
    <w:rsid w:val="00F82EC0"/>
    <w:rsid w:val="00F8382B"/>
    <w:rsid w:val="00F84035"/>
    <w:rsid w:val="00F8481D"/>
    <w:rsid w:val="00F86C4B"/>
    <w:rsid w:val="00F86C95"/>
    <w:rsid w:val="00F87E28"/>
    <w:rsid w:val="00F90A12"/>
    <w:rsid w:val="00F91B63"/>
    <w:rsid w:val="00F91BB7"/>
    <w:rsid w:val="00F921B8"/>
    <w:rsid w:val="00F9229C"/>
    <w:rsid w:val="00F939BF"/>
    <w:rsid w:val="00F93A3C"/>
    <w:rsid w:val="00F93F1C"/>
    <w:rsid w:val="00F943F2"/>
    <w:rsid w:val="00F94B3C"/>
    <w:rsid w:val="00F9530F"/>
    <w:rsid w:val="00F95542"/>
    <w:rsid w:val="00F962A2"/>
    <w:rsid w:val="00F9697F"/>
    <w:rsid w:val="00F96AD7"/>
    <w:rsid w:val="00FA06F6"/>
    <w:rsid w:val="00FA0FD7"/>
    <w:rsid w:val="00FA3627"/>
    <w:rsid w:val="00FA3CD8"/>
    <w:rsid w:val="00FA464A"/>
    <w:rsid w:val="00FA51EB"/>
    <w:rsid w:val="00FA649E"/>
    <w:rsid w:val="00FA7905"/>
    <w:rsid w:val="00FA7F62"/>
    <w:rsid w:val="00FB07FA"/>
    <w:rsid w:val="00FB0F70"/>
    <w:rsid w:val="00FB2831"/>
    <w:rsid w:val="00FB291A"/>
    <w:rsid w:val="00FB3236"/>
    <w:rsid w:val="00FB380D"/>
    <w:rsid w:val="00FB52AF"/>
    <w:rsid w:val="00FB5670"/>
    <w:rsid w:val="00FB78A9"/>
    <w:rsid w:val="00FC0BBF"/>
    <w:rsid w:val="00FC1143"/>
    <w:rsid w:val="00FC195A"/>
    <w:rsid w:val="00FC1972"/>
    <w:rsid w:val="00FC1CBD"/>
    <w:rsid w:val="00FC2014"/>
    <w:rsid w:val="00FC2E82"/>
    <w:rsid w:val="00FC3158"/>
    <w:rsid w:val="00FC42B1"/>
    <w:rsid w:val="00FC53CA"/>
    <w:rsid w:val="00FC6D6C"/>
    <w:rsid w:val="00FC740E"/>
    <w:rsid w:val="00FC7CDC"/>
    <w:rsid w:val="00FD11FD"/>
    <w:rsid w:val="00FD2373"/>
    <w:rsid w:val="00FD32C7"/>
    <w:rsid w:val="00FD3A65"/>
    <w:rsid w:val="00FD3BCA"/>
    <w:rsid w:val="00FD455F"/>
    <w:rsid w:val="00FD45F0"/>
    <w:rsid w:val="00FD5943"/>
    <w:rsid w:val="00FD6DC2"/>
    <w:rsid w:val="00FD6E91"/>
    <w:rsid w:val="00FD786A"/>
    <w:rsid w:val="00FD7C50"/>
    <w:rsid w:val="00FD7CA2"/>
    <w:rsid w:val="00FE0C72"/>
    <w:rsid w:val="00FE122F"/>
    <w:rsid w:val="00FE2C48"/>
    <w:rsid w:val="00FE4B0E"/>
    <w:rsid w:val="00FE61BF"/>
    <w:rsid w:val="00FF1911"/>
    <w:rsid w:val="00FF2705"/>
    <w:rsid w:val="00FF30B0"/>
    <w:rsid w:val="00FF36F4"/>
    <w:rsid w:val="00FF3D79"/>
    <w:rsid w:val="00FF4A17"/>
    <w:rsid w:val="00FF5E9B"/>
    <w:rsid w:val="00FF65CA"/>
    <w:rsid w:val="00FF68C0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5ECBA"/>
  <w15:chartTrackingRefBased/>
  <w15:docId w15:val="{B5CEE323-112C-4873-96A0-B4CCB0DF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46" w:line="276" w:lineRule="auto"/>
        <w:ind w:left="567" w:right="601" w:hanging="2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91C"/>
    <w:pPr>
      <w:spacing w:before="0" w:after="160" w:line="259" w:lineRule="auto"/>
      <w:ind w:left="0" w:right="0" w:firstLine="0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62B4C"/>
    <w:pPr>
      <w:autoSpaceDE w:val="0"/>
      <w:autoSpaceDN w:val="0"/>
      <w:adjustRightInd w:val="0"/>
      <w:spacing w:before="0" w:line="240" w:lineRule="auto"/>
      <w:ind w:left="0" w:right="0"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62B4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462B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62B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462B4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62B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rsid w:val="00462B4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2B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2B4C"/>
  </w:style>
  <w:style w:type="paragraph" w:styleId="Piedepgina">
    <w:name w:val="footer"/>
    <w:basedOn w:val="Normal"/>
    <w:link w:val="PiedepginaCar"/>
    <w:uiPriority w:val="99"/>
    <w:unhideWhenUsed/>
    <w:rsid w:val="00462B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2B4C"/>
  </w:style>
  <w:style w:type="paragraph" w:styleId="Textocomentario">
    <w:name w:val="annotation text"/>
    <w:basedOn w:val="Normal"/>
    <w:link w:val="TextocomentarioCar"/>
    <w:uiPriority w:val="99"/>
    <w:unhideWhenUsed/>
    <w:rsid w:val="00462B4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62B4C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2B4C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2B4C"/>
    <w:rPr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B4C"/>
    <w:rPr>
      <w:rFonts w:ascii="Segoe UI" w:hAnsi="Segoe UI" w:cs="Segoe UI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462B4C"/>
    <w:rPr>
      <w:color w:val="605E5C"/>
      <w:shd w:val="clear" w:color="auto" w:fill="E1DFDD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62B4C"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62B4C"/>
    <w:pPr>
      <w:spacing w:after="0" w:line="240" w:lineRule="auto"/>
    </w:pPr>
    <w:rPr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642A2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371BD"/>
    <w:pPr>
      <w:spacing w:before="0" w:line="240" w:lineRule="auto"/>
      <w:ind w:left="0" w:right="0" w:firstLine="0"/>
      <w:jc w:val="left"/>
    </w:pPr>
  </w:style>
  <w:style w:type="character" w:styleId="Refdecomentario">
    <w:name w:val="annotation reference"/>
    <w:basedOn w:val="Fuentedeprrafopredeter"/>
    <w:uiPriority w:val="99"/>
    <w:semiHidden/>
    <w:unhideWhenUsed/>
    <w:rsid w:val="00C371BD"/>
    <w:rPr>
      <w:sz w:val="16"/>
      <w:szCs w:val="16"/>
    </w:rPr>
  </w:style>
  <w:style w:type="paragraph" w:customStyle="1" w:styleId="Prrafodelista1">
    <w:name w:val="Párrafo de lista1"/>
    <w:basedOn w:val="Normal"/>
    <w:rsid w:val="00454C8A"/>
    <w:pPr>
      <w:ind w:left="720"/>
    </w:pPr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uiPriority w:val="39"/>
    <w:rsid w:val="0062239E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-nfasis5">
    <w:name w:val="Grid Table 6 Colorful Accent 5"/>
    <w:basedOn w:val="Tablanormal"/>
    <w:uiPriority w:val="51"/>
    <w:rsid w:val="00697A01"/>
    <w:pPr>
      <w:spacing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media2-nfasis1">
    <w:name w:val="Medium List 2 Accent 1"/>
    <w:basedOn w:val="Tablanormal"/>
    <w:uiPriority w:val="66"/>
    <w:rsid w:val="00C4331E"/>
    <w:pPr>
      <w:spacing w:before="0" w:line="240" w:lineRule="auto"/>
      <w:ind w:left="0" w:right="0" w:firstLine="0"/>
      <w:jc w:val="left"/>
    </w:pPr>
    <w:rPr>
      <w:rFonts w:asciiTheme="majorHAnsi" w:eastAsiaTheme="majorEastAsia" w:hAnsiTheme="majorHAnsi" w:cstheme="majorBidi"/>
      <w:color w:val="000000" w:themeColor="text1"/>
      <w:lang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chart" Target="charts/chart10.xml"/><Relationship Id="rId26" Type="http://schemas.openxmlformats.org/officeDocument/2006/relationships/chart" Target="charts/chart17.xml"/><Relationship Id="rId39" Type="http://schemas.openxmlformats.org/officeDocument/2006/relationships/chart" Target="charts/chart30.xml"/><Relationship Id="rId21" Type="http://schemas.openxmlformats.org/officeDocument/2006/relationships/chart" Target="charts/chart13.xml"/><Relationship Id="rId34" Type="http://schemas.openxmlformats.org/officeDocument/2006/relationships/chart" Target="charts/chart25.xml"/><Relationship Id="rId42" Type="http://schemas.openxmlformats.org/officeDocument/2006/relationships/footer" Target="footer1.xml"/><Relationship Id="rId47" Type="http://schemas.openxmlformats.org/officeDocument/2006/relationships/hyperlink" Target="https://twitter.com/INEGI_INFORMA" TargetMode="External"/><Relationship Id="rId50" Type="http://schemas.openxmlformats.org/officeDocument/2006/relationships/image" Target="media/image7.jpeg"/><Relationship Id="rId55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9" Type="http://schemas.openxmlformats.org/officeDocument/2006/relationships/chart" Target="charts/chart20.xml"/><Relationship Id="rId11" Type="http://schemas.openxmlformats.org/officeDocument/2006/relationships/chart" Target="charts/chart4.xml"/><Relationship Id="rId24" Type="http://schemas.openxmlformats.org/officeDocument/2006/relationships/image" Target="media/image2.png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hyperlink" Target="mailto:comunicacionsocial@inegi.org.mx" TargetMode="External"/><Relationship Id="rId45" Type="http://schemas.openxmlformats.org/officeDocument/2006/relationships/hyperlink" Target="https://www.instagram.com/inegi_informa/" TargetMode="External"/><Relationship Id="rId53" Type="http://schemas.openxmlformats.org/officeDocument/2006/relationships/hyperlink" Target="https://www.inegi.org.mx/programas/cnije/2022/" TargetMode="External"/><Relationship Id="rId5" Type="http://schemas.openxmlformats.org/officeDocument/2006/relationships/webSettings" Target="webSettings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Relationship Id="rId43" Type="http://schemas.openxmlformats.org/officeDocument/2006/relationships/hyperlink" Target="https://www.facebook.com/INEGIInforma/" TargetMode="External"/><Relationship Id="rId48" Type="http://schemas.openxmlformats.org/officeDocument/2006/relationships/image" Target="media/image6.jpeg"/><Relationship Id="rId56" Type="http://schemas.openxmlformats.org/officeDocument/2006/relationships/fontTable" Target="fontTable.xml"/><Relationship Id="rId8" Type="http://schemas.openxmlformats.org/officeDocument/2006/relationships/chart" Target="charts/chart1.xml"/><Relationship Id="rId51" Type="http://schemas.openxmlformats.org/officeDocument/2006/relationships/hyperlink" Target="http://www.inegi.org.mx/" TargetMode="External"/><Relationship Id="rId3" Type="http://schemas.openxmlformats.org/officeDocument/2006/relationships/styles" Target="styl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46" Type="http://schemas.openxmlformats.org/officeDocument/2006/relationships/image" Target="media/image5.jpeg"/><Relationship Id="rId20" Type="http://schemas.openxmlformats.org/officeDocument/2006/relationships/chart" Target="charts/chart12.xml"/><Relationship Id="rId41" Type="http://schemas.openxmlformats.org/officeDocument/2006/relationships/header" Target="header1.xm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49" Type="http://schemas.openxmlformats.org/officeDocument/2006/relationships/hyperlink" Target="https://www.youtube.com/user/INEGIInforma" TargetMode="External"/><Relationship Id="rId57" Type="http://schemas.openxmlformats.org/officeDocument/2006/relationships/theme" Target="theme/theme1.xml"/><Relationship Id="rId10" Type="http://schemas.openxmlformats.org/officeDocument/2006/relationships/chart" Target="charts/chart3.xml"/><Relationship Id="rId31" Type="http://schemas.openxmlformats.org/officeDocument/2006/relationships/chart" Target="charts/chart22.xml"/><Relationship Id="rId44" Type="http://schemas.openxmlformats.org/officeDocument/2006/relationships/image" Target="media/image4.jpeg"/><Relationship Id="rId52" Type="http://schemas.openxmlformats.org/officeDocument/2006/relationships/image" Target="media/image8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egi.org.mx/programas/cnge/202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2/CNIJE%202022/BD%20CNIJE%202022%20(version%20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alma_patricio_inegi_org_mx/Documents/Documents/Respaldo/Censos%202022_/CNIJE%202022/BD%20CNIJE_2022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a.medina\Documents\2022\BD_CNIJE_2022_Mara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a.medina\Documents\2022\BD_CNIJE_2022_Mara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2/CNIJE%202022/BD%20CNIJE%202022%20(version%201)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2/CNIJE%202022/BD%20CNIJE%202022%20(version%201)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2/CNIJE%202022/BD%20CNIJE%202022%20(version%201)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2/CNIJE%202022/BD%20CNIJE%202022%20(version%201)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2/CNIJE%202022/BD%20CNIJE%202022%20(version%201)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2/CNIJE%202022/BD%20CNIJE%202022%20(version%201)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2/CNIJE%202022/BD%20CNIJE%202022%20(version%201)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2/CNIJE%202022/BD%20CNIJE%202022%20(version%201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2/CNIJE%202022/BD%20CNIJE%202022%20(version%201)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2/CNIJE%202022/BD%20CNIJE%202022%20(version%201)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2/CNIJE%202022/BD%20CNIJE%202022%20(version%201)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2/CNIJE%202022/BD%20CNIJE%202022%20(version%201).xlsx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2/CNIJE%202022/BD%20CNIJE%202022%20(version%201).xlsx" TargetMode="External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2/CNIJE%202022/BD%20CNIJE%202022%20(version%201).xlsx" TargetMode="External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2/CNIJE%202022/BD%20CNIJE%202022%20(version%201).xlsx" TargetMode="External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2/CNIJE%202022/BD%20CNIJE%202022%20(version%201).xlsx" TargetMode="External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2/CNIJE%202022/BD%20CNIJE%202022%20(version%201).xlsx" TargetMode="External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erick_aguilar_inegi_org_mx/Documents/Presentaciones/2022/IJE%202022/IJE_MASC_Datos_2022.xlsx" TargetMode="External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2/CNIJE%202022/BD%20CNIJE%202022%20(version%201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erick_aguilar_inegi_org_mx/Documents/Presentaciones/2022/IJE%202022/IJE_MASC_Datos_2022.xlsx" TargetMode="External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2/CNIJE%202022/BD%20CNIJE%202022%20(version%201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2/CNIJE%202022/BD%20CNIJE%202022%20(version%201)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2/CNIJE%202022/BD%20CNIJE%202022%20(version%201)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2/CNIJE%202022/BD%20CNIJE%20202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alma_patricio_inegi_org_mx/Documents/Documents/Respaldo/Censos%202022_/CNIJE%202022/BD%20CNIJE_202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alma_patricio_inegi_org_mx/Documents/Documents/Respaldo/Censos%202022_/CNIJE%202022/BD%20CNIJE_2022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868937832266464E-2"/>
          <c:y val="5.7955742887249737E-2"/>
          <c:w val="0.95226212433546709"/>
          <c:h val="0.6351351297488724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'[BD%20CNIJE%202022 (version 1).xlsx]ÓRGANOS'!$P$5</c:f>
              <c:strCache>
                <c:ptCount val="1"/>
                <c:pt idx="0">
                  <c:v>Órganos 
jurisdiccionales </c:v>
                </c:pt>
              </c:strCache>
            </c:strRef>
          </c:tx>
          <c:spPr>
            <a:solidFill>
              <a:srgbClr val="6C2927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'[BD%20CNIJE%202022 (version 1).xlsx]ÓRGANOS'!$O$6:$O$17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'[BD%20CNIJE%202022 (version 1).xlsx]ÓRGANOS'!$P$6:$P$17</c:f>
              <c:numCache>
                <c:formatCode>#\ ###\ ##0</c:formatCode>
                <c:ptCount val="12"/>
                <c:pt idx="0">
                  <c:v>3597</c:v>
                </c:pt>
                <c:pt idx="1">
                  <c:v>6490</c:v>
                </c:pt>
                <c:pt idx="2">
                  <c:v>4787</c:v>
                </c:pt>
                <c:pt idx="3">
                  <c:v>4861</c:v>
                </c:pt>
                <c:pt idx="4">
                  <c:v>4235</c:v>
                </c:pt>
                <c:pt idx="5">
                  <c:v>4631</c:v>
                </c:pt>
                <c:pt idx="6">
                  <c:v>4589</c:v>
                </c:pt>
                <c:pt idx="7">
                  <c:v>3984</c:v>
                </c:pt>
                <c:pt idx="8">
                  <c:v>4099</c:v>
                </c:pt>
                <c:pt idx="9">
                  <c:v>4388</c:v>
                </c:pt>
                <c:pt idx="10">
                  <c:v>3721</c:v>
                </c:pt>
                <c:pt idx="11">
                  <c:v>3721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18-4E86-B791-A38D4B87E455}"/>
            </c:ext>
          </c:extLst>
        </c:ser>
        <c:ser>
          <c:idx val="1"/>
          <c:order val="1"/>
          <c:tx>
            <c:strRef>
              <c:f>'[BD%20CNIJE%202022 (version 1).xlsx]ÓRGANOS'!$Q$5</c:f>
              <c:strCache>
                <c:ptCount val="1"/>
                <c:pt idx="0">
                  <c:v>Órganos administrativos 
y/o unidades administrativas</c:v>
                </c:pt>
              </c:strCache>
            </c:strRef>
          </c:tx>
          <c:spPr>
            <a:solidFill>
              <a:srgbClr val="9C5A6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'[BD%20CNIJE%202022 (version 1).xlsx]ÓRGANOS'!$O$6:$O$17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'[BD%20CNIJE%202022 (version 1).xlsx]ÓRGANOS'!$Q$6:$Q$17</c:f>
              <c:numCache>
                <c:formatCode>#\ ###\ ##0</c:formatCode>
                <c:ptCount val="12"/>
                <c:pt idx="0">
                  <c:v>728</c:v>
                </c:pt>
                <c:pt idx="1">
                  <c:v>763</c:v>
                </c:pt>
                <c:pt idx="2">
                  <c:v>987</c:v>
                </c:pt>
                <c:pt idx="3">
                  <c:v>1006</c:v>
                </c:pt>
                <c:pt idx="4">
                  <c:v>1039</c:v>
                </c:pt>
                <c:pt idx="5">
                  <c:v>1170</c:v>
                </c:pt>
                <c:pt idx="6">
                  <c:v>1204</c:v>
                </c:pt>
                <c:pt idx="7">
                  <c:v>1230</c:v>
                </c:pt>
                <c:pt idx="8">
                  <c:v>1191</c:v>
                </c:pt>
                <c:pt idx="9">
                  <c:v>1370</c:v>
                </c:pt>
                <c:pt idx="10">
                  <c:v>1450</c:v>
                </c:pt>
                <c:pt idx="11">
                  <c:v>1601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18-4E86-B791-A38D4B87E4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2068137424"/>
        <c:axId val="2068136176"/>
      </c:barChart>
      <c:lineChart>
        <c:grouping val="standard"/>
        <c:varyColors val="0"/>
        <c:ser>
          <c:idx val="2"/>
          <c:order val="2"/>
          <c:tx>
            <c:strRef>
              <c:f>'[BD%20CNIJE%202022 (version 1).xlsx]ÓRGANOS'!$R$5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rgbClr val="677053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677053"/>
              </a:solidFill>
              <a:ln w="9525">
                <a:solidFill>
                  <a:srgbClr val="677053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0"/>
              <c:layout>
                <c:manualLayout>
                  <c:x val="-6.7288705652598466E-2"/>
                  <c:y val="-3.92895648863938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F18-4E86-B791-A38D4B87E4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'[BD%20CNIJE%202022 (version 1).xlsx]ÓRGANOS'!$O$6:$O$17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'[BD%20CNIJE%202022 (version 1).xlsx]ÓRGANOS'!$R$6:$R$17</c:f>
              <c:numCache>
                <c:formatCode>#\ ###\ ##0</c:formatCode>
                <c:ptCount val="12"/>
                <c:pt idx="0">
                  <c:v>4325</c:v>
                </c:pt>
                <c:pt idx="1">
                  <c:v>7253</c:v>
                </c:pt>
                <c:pt idx="2">
                  <c:v>5774</c:v>
                </c:pt>
                <c:pt idx="3">
                  <c:v>5867</c:v>
                </c:pt>
                <c:pt idx="4">
                  <c:v>5274</c:v>
                </c:pt>
                <c:pt idx="5">
                  <c:v>5801</c:v>
                </c:pt>
                <c:pt idx="6">
                  <c:v>5793</c:v>
                </c:pt>
                <c:pt idx="7">
                  <c:v>5214</c:v>
                </c:pt>
                <c:pt idx="8">
                  <c:v>5290</c:v>
                </c:pt>
                <c:pt idx="9">
                  <c:v>5758</c:v>
                </c:pt>
                <c:pt idx="10">
                  <c:v>5171</c:v>
                </c:pt>
                <c:pt idx="11">
                  <c:v>5322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F18-4E86-B791-A38D4B87E4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68137424"/>
        <c:axId val="2068136176"/>
      </c:lineChart>
      <c:catAx>
        <c:axId val="2068137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068136176"/>
        <c:crosses val="autoZero"/>
        <c:auto val="1"/>
        <c:lblAlgn val="ctr"/>
        <c:lblOffset val="100"/>
        <c:noMultiLvlLbl val="0"/>
      </c:catAx>
      <c:valAx>
        <c:axId val="2068136176"/>
        <c:scaling>
          <c:orientation val="minMax"/>
        </c:scaling>
        <c:delete val="1"/>
        <c:axPos val="l"/>
        <c:numFmt formatCode="#\ ###\ ##0" sourceLinked="1"/>
        <c:majorTickMark val="none"/>
        <c:minorTickMark val="none"/>
        <c:tickLblPos val="nextTo"/>
        <c:crossAx val="2068137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chemeClr val="bg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720249944961525E-2"/>
          <c:y val="0.16078294302691368"/>
          <c:w val="0.94935991418681231"/>
          <c:h val="0.566317597227994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Presupuesto!$C$30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BD9B94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31"/>
            <c:invertIfNegative val="0"/>
            <c:bubble3D val="0"/>
            <c:spPr>
              <a:solidFill>
                <a:srgbClr val="6C2927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BC8-4CDF-9B83-ED2D3C2F1A3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Presupuesto!$B$31:$B$62</c:f>
              <c:strCache>
                <c:ptCount val="32"/>
                <c:pt idx="0">
                  <c:v>COL</c:v>
                </c:pt>
                <c:pt idx="1">
                  <c:v>CAMP</c:v>
                </c:pt>
                <c:pt idx="2">
                  <c:v>BCS</c:v>
                </c:pt>
                <c:pt idx="3">
                  <c:v>TLAX</c:v>
                </c:pt>
                <c:pt idx="4">
                  <c:v>DGO</c:v>
                </c:pt>
                <c:pt idx="5">
                  <c:v>NAY</c:v>
                </c:pt>
                <c:pt idx="6">
                  <c:v>AGS</c:v>
                </c:pt>
                <c:pt idx="7">
                  <c:v>HGO</c:v>
                </c:pt>
                <c:pt idx="8">
                  <c:v>ZAC</c:v>
                </c:pt>
                <c:pt idx="9">
                  <c:v>YUC</c:v>
                </c:pt>
                <c:pt idx="10">
                  <c:v>MOR</c:v>
                </c:pt>
                <c:pt idx="11">
                  <c:v>SIN</c:v>
                </c:pt>
                <c:pt idx="12">
                  <c:v>QROO</c:v>
                </c:pt>
                <c:pt idx="13">
                  <c:v>GRO</c:v>
                </c:pt>
                <c:pt idx="14">
                  <c:v>TAB</c:v>
                </c:pt>
                <c:pt idx="15">
                  <c:v>PUE</c:v>
                </c:pt>
                <c:pt idx="16">
                  <c:v>TAMPS</c:v>
                </c:pt>
                <c:pt idx="17">
                  <c:v>OAX</c:v>
                </c:pt>
                <c:pt idx="18">
                  <c:v>COAH</c:v>
                </c:pt>
                <c:pt idx="19">
                  <c:v>CHIS</c:v>
                </c:pt>
                <c:pt idx="20">
                  <c:v>BC</c:v>
                </c:pt>
                <c:pt idx="21">
                  <c:v>QRO</c:v>
                </c:pt>
                <c:pt idx="22">
                  <c:v>SLP</c:v>
                </c:pt>
                <c:pt idx="23">
                  <c:v>MICH</c:v>
                </c:pt>
                <c:pt idx="24">
                  <c:v>SON</c:v>
                </c:pt>
                <c:pt idx="25">
                  <c:v>VER</c:v>
                </c:pt>
                <c:pt idx="26">
                  <c:v>JAL</c:v>
                </c:pt>
                <c:pt idx="27">
                  <c:v>GTO</c:v>
                </c:pt>
                <c:pt idx="28">
                  <c:v>NL</c:v>
                </c:pt>
                <c:pt idx="29">
                  <c:v>CHIH</c:v>
                </c:pt>
                <c:pt idx="30">
                  <c:v>MEX</c:v>
                </c:pt>
                <c:pt idx="31">
                  <c:v>CDMX</c:v>
                </c:pt>
              </c:strCache>
            </c:strRef>
          </c:cat>
          <c:val>
            <c:numRef>
              <c:f>Presupuesto!$C$31:$C$62</c:f>
              <c:numCache>
                <c:formatCode>#\ ###\ ##0.0</c:formatCode>
                <c:ptCount val="32"/>
                <c:pt idx="0">
                  <c:v>243.15932900000001</c:v>
                </c:pt>
                <c:pt idx="1">
                  <c:v>349.32197200000002</c:v>
                </c:pt>
                <c:pt idx="2">
                  <c:v>410.78034000000002</c:v>
                </c:pt>
                <c:pt idx="3">
                  <c:v>418.12224892</c:v>
                </c:pt>
                <c:pt idx="4">
                  <c:v>484.34666941</c:v>
                </c:pt>
                <c:pt idx="5">
                  <c:v>486.26299999999998</c:v>
                </c:pt>
                <c:pt idx="6">
                  <c:v>519.80032300999994</c:v>
                </c:pt>
                <c:pt idx="7">
                  <c:v>558.35207339999999</c:v>
                </c:pt>
                <c:pt idx="8">
                  <c:v>559.26784652999993</c:v>
                </c:pt>
                <c:pt idx="9">
                  <c:v>614.94197167999994</c:v>
                </c:pt>
                <c:pt idx="10">
                  <c:v>708.33513722999999</c:v>
                </c:pt>
                <c:pt idx="11">
                  <c:v>735.59966709000003</c:v>
                </c:pt>
                <c:pt idx="12">
                  <c:v>747.49039555999991</c:v>
                </c:pt>
                <c:pt idx="13">
                  <c:v>844.93092849000004</c:v>
                </c:pt>
                <c:pt idx="14">
                  <c:v>919.17070307000006</c:v>
                </c:pt>
                <c:pt idx="15">
                  <c:v>938.25070087000006</c:v>
                </c:pt>
                <c:pt idx="16">
                  <c:v>966.79932200999997</c:v>
                </c:pt>
                <c:pt idx="17">
                  <c:v>1047.0437846299999</c:v>
                </c:pt>
                <c:pt idx="18">
                  <c:v>1053.4070434499999</c:v>
                </c:pt>
                <c:pt idx="19">
                  <c:v>1069.6482590000001</c:v>
                </c:pt>
                <c:pt idx="20">
                  <c:v>1185.27369271</c:v>
                </c:pt>
                <c:pt idx="21">
                  <c:v>1191.4561325699999</c:v>
                </c:pt>
                <c:pt idx="22">
                  <c:v>1321.5030839999999</c:v>
                </c:pt>
                <c:pt idx="23">
                  <c:v>1370.7019940099999</c:v>
                </c:pt>
                <c:pt idx="24">
                  <c:v>1375.8698179999999</c:v>
                </c:pt>
                <c:pt idx="25">
                  <c:v>1748.299696</c:v>
                </c:pt>
                <c:pt idx="26">
                  <c:v>1772.6017220000001</c:v>
                </c:pt>
                <c:pt idx="27">
                  <c:v>1983.3566566</c:v>
                </c:pt>
                <c:pt idx="28">
                  <c:v>2393.7421039999999</c:v>
                </c:pt>
                <c:pt idx="29">
                  <c:v>2463.7977602399997</c:v>
                </c:pt>
                <c:pt idx="30">
                  <c:v>5153.43284804</c:v>
                </c:pt>
                <c:pt idx="31">
                  <c:v>6454.8486543400004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BC8-4CDF-9B83-ED2D3C2F1A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282937824"/>
        <c:axId val="282942816"/>
      </c:barChart>
      <c:catAx>
        <c:axId val="282937824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82942816"/>
        <c:crosses val="autoZero"/>
        <c:auto val="1"/>
        <c:lblAlgn val="ctr"/>
        <c:lblOffset val="100"/>
        <c:noMultiLvlLbl val="0"/>
      </c:catAx>
      <c:valAx>
        <c:axId val="282942816"/>
        <c:scaling>
          <c:orientation val="minMax"/>
        </c:scaling>
        <c:delete val="1"/>
        <c:axPos val="r"/>
        <c:numFmt formatCode="#\ ###\ ##0.0" sourceLinked="1"/>
        <c:majorTickMark val="none"/>
        <c:minorTickMark val="none"/>
        <c:tickLblPos val="nextTo"/>
        <c:crossAx val="282937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Hoja3!$C$3</c:f>
              <c:strCache>
                <c:ptCount val="1"/>
                <c:pt idx="0">
                  <c:v>Defensores públicos</c:v>
                </c:pt>
              </c:strCache>
            </c:strRef>
          </c:tx>
          <c:spPr>
            <a:solidFill>
              <a:srgbClr val="7F685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Hoja3!$B$4:$B$12</c:f>
              <c:numCache>
                <c:formatCode>General</c:formatCode>
                <c:ptCount val="9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</c:numCache>
            </c:numRef>
          </c:cat>
          <c:val>
            <c:numRef>
              <c:f>Hoja3!$C$4:$C$12</c:f>
              <c:numCache>
                <c:formatCode>General</c:formatCode>
                <c:ptCount val="9"/>
                <c:pt idx="0">
                  <c:v>241</c:v>
                </c:pt>
                <c:pt idx="1">
                  <c:v>265</c:v>
                </c:pt>
                <c:pt idx="2">
                  <c:v>595</c:v>
                </c:pt>
                <c:pt idx="3">
                  <c:v>616</c:v>
                </c:pt>
                <c:pt idx="4">
                  <c:v>593</c:v>
                </c:pt>
                <c:pt idx="5">
                  <c:v>624</c:v>
                </c:pt>
                <c:pt idx="6">
                  <c:v>541</c:v>
                </c:pt>
                <c:pt idx="7">
                  <c:v>548</c:v>
                </c:pt>
                <c:pt idx="8">
                  <c:v>639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D7-417B-87F0-3956F0533E66}"/>
            </c:ext>
          </c:extLst>
        </c:ser>
        <c:ser>
          <c:idx val="1"/>
          <c:order val="1"/>
          <c:tx>
            <c:strRef>
              <c:f>Hoja3!$D$3</c:f>
              <c:strCache>
                <c:ptCount val="1"/>
                <c:pt idx="0">
                  <c:v>Asesores jurídicos</c:v>
                </c:pt>
              </c:strCache>
            </c:strRef>
          </c:tx>
          <c:spPr>
            <a:solidFill>
              <a:srgbClr val="677053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Hoja3!$B$4:$B$12</c:f>
              <c:numCache>
                <c:formatCode>General</c:formatCode>
                <c:ptCount val="9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</c:numCache>
            </c:numRef>
          </c:cat>
          <c:val>
            <c:numRef>
              <c:f>Hoja3!$D$4:$D$12</c:f>
              <c:numCache>
                <c:formatCode>General</c:formatCode>
                <c:ptCount val="9"/>
                <c:pt idx="0">
                  <c:v>58</c:v>
                </c:pt>
                <c:pt idx="1">
                  <c:v>62</c:v>
                </c:pt>
                <c:pt idx="2">
                  <c:v>81</c:v>
                </c:pt>
                <c:pt idx="3">
                  <c:v>67</c:v>
                </c:pt>
                <c:pt idx="4">
                  <c:v>67</c:v>
                </c:pt>
                <c:pt idx="5">
                  <c:v>69</c:v>
                </c:pt>
                <c:pt idx="6">
                  <c:v>73</c:v>
                </c:pt>
                <c:pt idx="7">
                  <c:v>73</c:v>
                </c:pt>
                <c:pt idx="8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5D7-417B-87F0-3956F0533E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0"/>
        <c:overlap val="-27"/>
        <c:axId val="1435825632"/>
        <c:axId val="1435826048"/>
      </c:barChart>
      <c:lineChart>
        <c:grouping val="standard"/>
        <c:varyColors val="0"/>
        <c:ser>
          <c:idx val="2"/>
          <c:order val="2"/>
          <c:tx>
            <c:strRef>
              <c:f>Hoja3!$E$3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rgbClr val="C29B61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29B61"/>
              </a:solidFill>
              <a:ln w="28575">
                <a:solidFill>
                  <a:srgbClr val="C29B6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Hoja3!$B$4:$B$12</c:f>
              <c:numCache>
                <c:formatCode>General</c:formatCode>
                <c:ptCount val="9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</c:numCache>
            </c:numRef>
          </c:cat>
          <c:val>
            <c:numRef>
              <c:f>Hoja3!$E$4:$E$12</c:f>
              <c:numCache>
                <c:formatCode>General</c:formatCode>
                <c:ptCount val="9"/>
                <c:pt idx="0">
                  <c:v>299</c:v>
                </c:pt>
                <c:pt idx="1">
                  <c:v>327</c:v>
                </c:pt>
                <c:pt idx="2">
                  <c:v>676</c:v>
                </c:pt>
                <c:pt idx="3">
                  <c:v>683</c:v>
                </c:pt>
                <c:pt idx="4">
                  <c:v>660</c:v>
                </c:pt>
                <c:pt idx="5">
                  <c:v>693</c:v>
                </c:pt>
                <c:pt idx="6">
                  <c:v>614</c:v>
                </c:pt>
                <c:pt idx="7">
                  <c:v>621</c:v>
                </c:pt>
                <c:pt idx="8">
                  <c:v>711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5D7-417B-87F0-3956F0533E6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35825632"/>
        <c:axId val="1435826048"/>
      </c:lineChart>
      <c:catAx>
        <c:axId val="1435825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35826048"/>
        <c:crosses val="autoZero"/>
        <c:auto val="1"/>
        <c:lblAlgn val="ctr"/>
        <c:lblOffset val="100"/>
        <c:noMultiLvlLbl val="0"/>
      </c:catAx>
      <c:valAx>
        <c:axId val="14358260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35825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181241324608368E-2"/>
          <c:y val="0"/>
          <c:w val="0.91473329367440026"/>
          <c:h val="0.721693859064077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Hoja4!$B$10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C9E71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Hoja4!$C$9:$D$9</c:f>
              <c:strCache>
                <c:ptCount val="2"/>
                <c:pt idx="0">
                  <c:v>Atendidos</c:v>
                </c:pt>
                <c:pt idx="1">
                  <c:v>Concluidos y/o resueltos</c:v>
                </c:pt>
              </c:strCache>
            </c:strRef>
          </c:cat>
          <c:val>
            <c:numRef>
              <c:f>Hoja4!$C$10:$D$10</c:f>
              <c:numCache>
                <c:formatCode>#\ ##0</c:formatCode>
                <c:ptCount val="2"/>
                <c:pt idx="0">
                  <c:v>207984</c:v>
                </c:pt>
                <c:pt idx="1">
                  <c:v>70882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B9-4A1C-BC37-E49B7449B77E}"/>
            </c:ext>
          </c:extLst>
        </c:ser>
        <c:ser>
          <c:idx val="1"/>
          <c:order val="1"/>
          <c:tx>
            <c:strRef>
              <c:f>Hoja4!$B$11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677053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Hoja4!$C$9:$D$9</c:f>
              <c:strCache>
                <c:ptCount val="2"/>
                <c:pt idx="0">
                  <c:v>Atendidos</c:v>
                </c:pt>
                <c:pt idx="1">
                  <c:v>Concluidos y/o resueltos</c:v>
                </c:pt>
              </c:strCache>
            </c:strRef>
          </c:cat>
          <c:val>
            <c:numRef>
              <c:f>Hoja4!$C$11:$D$11</c:f>
              <c:numCache>
                <c:formatCode>#\ ##0</c:formatCode>
                <c:ptCount val="2"/>
                <c:pt idx="0">
                  <c:v>390343</c:v>
                </c:pt>
                <c:pt idx="1">
                  <c:v>194365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B9-4A1C-BC37-E49B7449B77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-27"/>
        <c:axId val="1429877264"/>
        <c:axId val="1429874352"/>
      </c:barChart>
      <c:catAx>
        <c:axId val="1429877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29874352"/>
        <c:crosses val="autoZero"/>
        <c:auto val="1"/>
        <c:lblAlgn val="ctr"/>
        <c:lblOffset val="100"/>
        <c:noMultiLvlLbl val="0"/>
      </c:catAx>
      <c:valAx>
        <c:axId val="1429874352"/>
        <c:scaling>
          <c:orientation val="minMax"/>
        </c:scaling>
        <c:delete val="1"/>
        <c:axPos val="l"/>
        <c:numFmt formatCode="#\ ##0" sourceLinked="1"/>
        <c:majorTickMark val="none"/>
        <c:minorTickMark val="none"/>
        <c:tickLblPos val="nextTo"/>
        <c:crossAx val="1429877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8023970455797473"/>
          <c:y val="0.91488891856439192"/>
          <c:w val="0.23952059088405056"/>
          <c:h val="8.51110814356080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6757757302942723E-2"/>
          <c:y val="0"/>
          <c:w val="0.9504504504504504"/>
          <c:h val="0.78628816931024847"/>
        </c:manualLayout>
      </c:layout>
      <c:lineChart>
        <c:grouping val="standard"/>
        <c:varyColors val="0"/>
        <c:ser>
          <c:idx val="0"/>
          <c:order val="0"/>
          <c:tx>
            <c:strRef>
              <c:f>'[BD%20CNIJE%202022 (version 1).xlsx]HIST EXP_CAU ING_CONC MATERIA'!$B$4</c:f>
              <c:strCache>
                <c:ptCount val="1"/>
                <c:pt idx="0">
                  <c:v>Ingresados</c:v>
                </c:pt>
              </c:strCache>
            </c:strRef>
          </c:tx>
          <c:spPr>
            <a:ln w="28575" cap="rnd">
              <a:solidFill>
                <a:srgbClr val="677053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677053"/>
              </a:solidFill>
              <a:ln w="9525">
                <a:solidFill>
                  <a:srgbClr val="677053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1"/>
              <c:layout>
                <c:manualLayout>
                  <c:x val="-5.6345853727743492E-2"/>
                  <c:y val="-4.89050223207163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722-49D5-BB29-785BB35E013A}"/>
                </c:ext>
              </c:extLst>
            </c:dLbl>
            <c:dLbl>
              <c:idx val="2"/>
              <c:layout>
                <c:manualLayout>
                  <c:x val="-4.5084592466482269E-2"/>
                  <c:y val="-4.5045882738676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722-49D5-BB29-785BB35E013A}"/>
                </c:ext>
              </c:extLst>
            </c:dLbl>
            <c:dLbl>
              <c:idx val="3"/>
              <c:layout>
                <c:manualLayout>
                  <c:x val="-4.9589096970986735E-2"/>
                  <c:y val="-3.3468463992556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722-49D5-BB29-785BB35E013A}"/>
                </c:ext>
              </c:extLst>
            </c:dLbl>
            <c:dLbl>
              <c:idx val="4"/>
              <c:layout>
                <c:manualLayout>
                  <c:x val="-4.9589096970986735E-2"/>
                  <c:y val="3.599604848416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722-49D5-BB29-785BB35E013A}"/>
                </c:ext>
              </c:extLst>
            </c:dLbl>
            <c:dLbl>
              <c:idx val="5"/>
              <c:layout>
                <c:manualLayout>
                  <c:x val="-3.3823292909326251E-2"/>
                  <c:y val="3.7380966887559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722-49D5-BB29-785BB35E013A}"/>
                </c:ext>
              </c:extLst>
            </c:dLbl>
            <c:dLbl>
              <c:idx val="6"/>
              <c:layout>
                <c:manualLayout>
                  <c:x val="-6.3102610484500249E-2"/>
                  <c:y val="-4.89050223207163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722-49D5-BB29-785BB35E013A}"/>
                </c:ext>
              </c:extLst>
            </c:dLbl>
            <c:dLbl>
              <c:idx val="7"/>
              <c:layout>
                <c:manualLayout>
                  <c:x val="-5.6345853727743492E-2"/>
                  <c:y val="-4.5045882738676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722-49D5-BB29-785BB35E013A}"/>
                </c:ext>
              </c:extLst>
            </c:dLbl>
            <c:dLbl>
              <c:idx val="8"/>
              <c:layout>
                <c:manualLayout>
                  <c:x val="-2.481432219621196E-2"/>
                  <c:y val="-3.73276035745964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722-49D5-BB29-785BB35E013A}"/>
                </c:ext>
              </c:extLst>
            </c:dLbl>
            <c:dLbl>
              <c:idx val="9"/>
              <c:layout>
                <c:manualLayout>
                  <c:x val="-4.4020478998721232E-2"/>
                  <c:y val="4.11304494719139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722-49D5-BB29-785BB35E013A}"/>
                </c:ext>
              </c:extLst>
            </c:dLbl>
            <c:dLbl>
              <c:idx val="10"/>
              <c:layout>
                <c:manualLayout>
                  <c:x val="-1.1631375469958313E-2"/>
                  <c:y val="-4.5045882738676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722-49D5-BB29-785BB35E01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'[BD%20CNIJE%202022 (version 1).xlsx]HIST EXP_CAU ING_CONC MATERIA'!$A$5:$A$15</c:f>
              <c:numCache>
                <c:formatCode>General</c:formatCode>
                <c:ptCount val="11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</c:numCache>
            </c:numRef>
          </c:cat>
          <c:val>
            <c:numRef>
              <c:f>'[BD%20CNIJE%202022 (version 1).xlsx]HIST EXP_CAU ING_CONC MATERIA'!$B$5:$B$15</c:f>
              <c:numCache>
                <c:formatCode>#\ ###\ ##0</c:formatCode>
                <c:ptCount val="11"/>
                <c:pt idx="0">
                  <c:v>1907368</c:v>
                </c:pt>
                <c:pt idx="1">
                  <c:v>1991421</c:v>
                </c:pt>
                <c:pt idx="2">
                  <c:v>1968227</c:v>
                </c:pt>
                <c:pt idx="3">
                  <c:v>1816412</c:v>
                </c:pt>
                <c:pt idx="4">
                  <c:v>1821628</c:v>
                </c:pt>
                <c:pt idx="5">
                  <c:v>1941712</c:v>
                </c:pt>
                <c:pt idx="6">
                  <c:v>2001255</c:v>
                </c:pt>
                <c:pt idx="7">
                  <c:v>2126936</c:v>
                </c:pt>
                <c:pt idx="8">
                  <c:v>2280802</c:v>
                </c:pt>
                <c:pt idx="9">
                  <c:v>1577327</c:v>
                </c:pt>
                <c:pt idx="10">
                  <c:v>2130586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1722-49D5-BB29-785BB35E013A}"/>
            </c:ext>
          </c:extLst>
        </c:ser>
        <c:ser>
          <c:idx val="1"/>
          <c:order val="1"/>
          <c:tx>
            <c:strRef>
              <c:f>'[BD%20CNIJE%202022 (version 1).xlsx]HIST EXP_CAU ING_CONC MATERIA'!$C$4</c:f>
              <c:strCache>
                <c:ptCount val="1"/>
                <c:pt idx="0">
                  <c:v>Determinados y/o concluidos</c:v>
                </c:pt>
              </c:strCache>
            </c:strRef>
          </c:tx>
          <c:spPr>
            <a:ln w="28575" cap="rnd">
              <a:solidFill>
                <a:srgbClr val="6C2927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6C2927"/>
              </a:solidFill>
              <a:ln w="9525">
                <a:solidFill>
                  <a:srgbClr val="6C2927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3"/>
              <c:layout>
                <c:manualLayout>
                  <c:x val="-9.0129637511527277E-2"/>
                  <c:y val="5.66233014847962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722-49D5-BB29-785BB35E013A}"/>
                </c:ext>
              </c:extLst>
            </c:dLbl>
            <c:dLbl>
              <c:idx val="4"/>
              <c:layout>
                <c:manualLayout>
                  <c:x val="-7.2111619493509263E-2"/>
                  <c:y val="4.11867431566363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722-49D5-BB29-785BB35E013A}"/>
                </c:ext>
              </c:extLst>
            </c:dLbl>
            <c:dLbl>
              <c:idx val="5"/>
              <c:layout>
                <c:manualLayout>
                  <c:x val="-5.8598105979995742E-2"/>
                  <c:y val="4.11867431566363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722-49D5-BB29-785BB35E013A}"/>
                </c:ext>
              </c:extLst>
            </c:dLbl>
            <c:dLbl>
              <c:idx val="6"/>
              <c:layout>
                <c:manualLayout>
                  <c:x val="-6.7607114989004749E-2"/>
                  <c:y val="5.66233014847962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722-49D5-BB29-785BB35E013A}"/>
                </c:ext>
              </c:extLst>
            </c:dLbl>
            <c:dLbl>
              <c:idx val="7"/>
              <c:layout>
                <c:manualLayout>
                  <c:x val="-3.8327835709725554E-2"/>
                  <c:y val="5.27641619027562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722-49D5-BB29-785BB35E013A}"/>
                </c:ext>
              </c:extLst>
            </c:dLbl>
            <c:dLbl>
              <c:idx val="8"/>
              <c:layout>
                <c:manualLayout>
                  <c:x val="-5.9206259241390183E-2"/>
                  <c:y val="-4.49895492170107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722-49D5-BB29-785BB35E013A}"/>
                </c:ext>
              </c:extLst>
            </c:dLbl>
            <c:dLbl>
              <c:idx val="10"/>
              <c:layout>
                <c:manualLayout>
                  <c:x val="-5.2228004515497434E-4"/>
                  <c:y val="6.5145819308609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1722-49D5-BB29-785BB35E01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'[BD%20CNIJE%202022 (version 1).xlsx]HIST EXP_CAU ING_CONC MATERIA'!$A$5:$A$15</c:f>
              <c:numCache>
                <c:formatCode>General</c:formatCode>
                <c:ptCount val="11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</c:numCache>
            </c:numRef>
          </c:cat>
          <c:val>
            <c:numRef>
              <c:f>'[BD%20CNIJE%202022 (version 1).xlsx]HIST EXP_CAU ING_CONC MATERIA'!$C$5:$C$15</c:f>
              <c:numCache>
                <c:formatCode>#\ ###\ ##0</c:formatCode>
                <c:ptCount val="11"/>
                <c:pt idx="0">
                  <c:v>1559359</c:v>
                </c:pt>
                <c:pt idx="1">
                  <c:v>1834911</c:v>
                </c:pt>
                <c:pt idx="2">
                  <c:v>1648034</c:v>
                </c:pt>
                <c:pt idx="3">
                  <c:v>1418973</c:v>
                </c:pt>
                <c:pt idx="4">
                  <c:v>1422580</c:v>
                </c:pt>
                <c:pt idx="5">
                  <c:v>1408894</c:v>
                </c:pt>
                <c:pt idx="6">
                  <c:v>1317371</c:v>
                </c:pt>
                <c:pt idx="7">
                  <c:v>1262746</c:v>
                </c:pt>
                <c:pt idx="8">
                  <c:v>1332589</c:v>
                </c:pt>
                <c:pt idx="9">
                  <c:v>871054</c:v>
                </c:pt>
                <c:pt idx="10">
                  <c:v>1194988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1722-49D5-BB29-785BB35E01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15297984"/>
        <c:axId val="1915300896"/>
      </c:lineChart>
      <c:catAx>
        <c:axId val="1915297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15300896"/>
        <c:crosses val="autoZero"/>
        <c:auto val="1"/>
        <c:lblAlgn val="ctr"/>
        <c:lblOffset val="100"/>
        <c:noMultiLvlLbl val="0"/>
      </c:catAx>
      <c:valAx>
        <c:axId val="1915300896"/>
        <c:scaling>
          <c:orientation val="minMax"/>
        </c:scaling>
        <c:delete val="1"/>
        <c:axPos val="l"/>
        <c:numFmt formatCode="#\ ###\ ##0" sourceLinked="1"/>
        <c:majorTickMark val="none"/>
        <c:minorTickMark val="none"/>
        <c:tickLblPos val="nextTo"/>
        <c:crossAx val="1915297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418749931689831"/>
          <c:y val="0.90005193125626526"/>
          <c:w val="0.61828198750587471"/>
          <c:h val="9.99480687437345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333333333333333E-2"/>
          <c:y val="0.13707103743235358"/>
          <c:w val="0.93888888888888888"/>
          <c:h val="0.66995616030661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'[BD%20CNIJE%202022 (version 1).xlsx]HIST EXP_CAU ING_CONC MATERIA'!$M$4</c:f>
              <c:strCache>
                <c:ptCount val="1"/>
                <c:pt idx="0">
                  <c:v>Ingresados</c:v>
                </c:pt>
              </c:strCache>
            </c:strRef>
          </c:tx>
          <c:spPr>
            <a:solidFill>
              <a:srgbClr val="677053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'[BD%20CNIJE%202022 (version 1).xlsx]HIST EXP_CAU ING_CONC MATERIA'!$N$3:$R$3</c:f>
              <c:strCache>
                <c:ptCount val="5"/>
                <c:pt idx="0">
                  <c:v>Familiar</c:v>
                </c:pt>
                <c:pt idx="1">
                  <c:v>Civil</c:v>
                </c:pt>
                <c:pt idx="2">
                  <c:v>Mercantil</c:v>
                </c:pt>
                <c:pt idx="3">
                  <c:v>Penal</c:v>
                </c:pt>
                <c:pt idx="4">
                  <c:v>Justicia para adolescentes</c:v>
                </c:pt>
              </c:strCache>
            </c:strRef>
          </c:cat>
          <c:val>
            <c:numRef>
              <c:f>'[BD%20CNIJE%202022 (version 1).xlsx]HIST EXP_CAU ING_CONC MATERIA'!$N$4:$R$4</c:f>
              <c:numCache>
                <c:formatCode>#\ ###\ ##0</c:formatCode>
                <c:ptCount val="5"/>
                <c:pt idx="0">
                  <c:v>950699</c:v>
                </c:pt>
                <c:pt idx="1">
                  <c:v>539117</c:v>
                </c:pt>
                <c:pt idx="2">
                  <c:v>418981</c:v>
                </c:pt>
                <c:pt idx="3">
                  <c:v>215475</c:v>
                </c:pt>
                <c:pt idx="4">
                  <c:v>6314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01-4526-BAAB-51085EB03354}"/>
            </c:ext>
          </c:extLst>
        </c:ser>
        <c:ser>
          <c:idx val="1"/>
          <c:order val="1"/>
          <c:tx>
            <c:strRef>
              <c:f>'[BD%20CNIJE%202022 (version 1).xlsx]HIST EXP_CAU ING_CONC MATERIA'!$M$5</c:f>
              <c:strCache>
                <c:ptCount val="1"/>
                <c:pt idx="0">
                  <c:v>Determinados y/o concluidos</c:v>
                </c:pt>
              </c:strCache>
            </c:strRef>
          </c:tx>
          <c:spPr>
            <a:solidFill>
              <a:srgbClr val="6C292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'[BD%20CNIJE%202022 (version 1).xlsx]HIST EXP_CAU ING_CONC MATERIA'!$N$3:$R$3</c:f>
              <c:strCache>
                <c:ptCount val="5"/>
                <c:pt idx="0">
                  <c:v>Familiar</c:v>
                </c:pt>
                <c:pt idx="1">
                  <c:v>Civil</c:v>
                </c:pt>
                <c:pt idx="2">
                  <c:v>Mercantil</c:v>
                </c:pt>
                <c:pt idx="3">
                  <c:v>Penal</c:v>
                </c:pt>
                <c:pt idx="4">
                  <c:v>Justicia para adolescentes</c:v>
                </c:pt>
              </c:strCache>
            </c:strRef>
          </c:cat>
          <c:val>
            <c:numRef>
              <c:f>'[BD%20CNIJE%202022 (version 1).xlsx]HIST EXP_CAU ING_CONC MATERIA'!$N$5:$R$5</c:f>
              <c:numCache>
                <c:formatCode>#\ ###\ ##0</c:formatCode>
                <c:ptCount val="5"/>
                <c:pt idx="0">
                  <c:v>498515</c:v>
                </c:pt>
                <c:pt idx="1">
                  <c:v>262758</c:v>
                </c:pt>
                <c:pt idx="2">
                  <c:v>296171</c:v>
                </c:pt>
                <c:pt idx="3">
                  <c:v>132224</c:v>
                </c:pt>
                <c:pt idx="4">
                  <c:v>5320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01-4526-BAAB-51085EB033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744886399"/>
        <c:axId val="744887647"/>
      </c:barChart>
      <c:catAx>
        <c:axId val="7448863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44887647"/>
        <c:crosses val="autoZero"/>
        <c:auto val="1"/>
        <c:lblAlgn val="ctr"/>
        <c:lblOffset val="100"/>
        <c:noMultiLvlLbl val="0"/>
      </c:catAx>
      <c:valAx>
        <c:axId val="744887647"/>
        <c:scaling>
          <c:orientation val="minMax"/>
        </c:scaling>
        <c:delete val="1"/>
        <c:axPos val="l"/>
        <c:numFmt formatCode="#\ ###\ ##0" sourceLinked="1"/>
        <c:majorTickMark val="none"/>
        <c:minorTickMark val="none"/>
        <c:tickLblPos val="nextTo"/>
        <c:crossAx val="7448863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139155918393638"/>
          <c:y val="0.92854683103429203"/>
          <c:w val="0.4372168816321273"/>
          <c:h val="7.14531689657079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809523809523808E-2"/>
          <c:y val="0.1388888888888889"/>
          <c:w val="0.95238095238095233"/>
          <c:h val="0.585918392981609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'[BD%20CNIJE%202022 (version 1).xlsx]EXP_CAUPEN ING'!$BE$3</c:f>
              <c:strCache>
                <c:ptCount val="1"/>
                <c:pt idx="0">
                  <c:v>Penal</c:v>
                </c:pt>
              </c:strCache>
            </c:strRef>
          </c:tx>
          <c:spPr>
            <a:solidFill>
              <a:srgbClr val="C29B61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'[BD%20CNIJE%202022 (version 1).xlsx]EXP_CAUPEN ING'!$BD$4:$BD$15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'[BD%20CNIJE%202022 (version 1).xlsx]EXP_CAUPEN ING'!$BE$4:$BE$15</c:f>
              <c:numCache>
                <c:formatCode>#\ ###\ ##0</c:formatCode>
                <c:ptCount val="12"/>
                <c:pt idx="0">
                  <c:v>229203</c:v>
                </c:pt>
                <c:pt idx="1">
                  <c:v>236844</c:v>
                </c:pt>
                <c:pt idx="2">
                  <c:v>240108</c:v>
                </c:pt>
                <c:pt idx="3">
                  <c:v>215638</c:v>
                </c:pt>
                <c:pt idx="4">
                  <c:v>164636</c:v>
                </c:pt>
                <c:pt idx="5">
                  <c:v>172695</c:v>
                </c:pt>
                <c:pt idx="6">
                  <c:v>122220</c:v>
                </c:pt>
                <c:pt idx="7">
                  <c:v>131719</c:v>
                </c:pt>
                <c:pt idx="8">
                  <c:v>160937</c:v>
                </c:pt>
                <c:pt idx="9">
                  <c:v>189411</c:v>
                </c:pt>
                <c:pt idx="10">
                  <c:v>166712</c:v>
                </c:pt>
                <c:pt idx="11">
                  <c:v>215475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B5-424A-BD56-D458E5BBA3FE}"/>
            </c:ext>
          </c:extLst>
        </c:ser>
        <c:ser>
          <c:idx val="1"/>
          <c:order val="1"/>
          <c:tx>
            <c:strRef>
              <c:f>'[BD%20CNIJE%202022 (version 1).xlsx]EXP_CAUPEN ING'!$BF$3</c:f>
              <c:strCache>
                <c:ptCount val="1"/>
                <c:pt idx="0">
                  <c:v>Justicia para adolescentes</c:v>
                </c:pt>
              </c:strCache>
            </c:strRef>
          </c:tx>
          <c:spPr>
            <a:solidFill>
              <a:srgbClr val="D89191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'[BD%20CNIJE%202022 (version 1).xlsx]EXP_CAUPEN ING'!$BD$4:$BD$15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'[BD%20CNIJE%202022 (version 1).xlsx]EXP_CAUPEN ING'!$BF$4:$BF$15</c:f>
              <c:numCache>
                <c:formatCode>#\ ###\ ##0</c:formatCode>
                <c:ptCount val="12"/>
                <c:pt idx="0">
                  <c:v>17050</c:v>
                </c:pt>
                <c:pt idx="1">
                  <c:v>19922</c:v>
                </c:pt>
                <c:pt idx="2">
                  <c:v>16928</c:v>
                </c:pt>
                <c:pt idx="3">
                  <c:v>13890</c:v>
                </c:pt>
                <c:pt idx="4">
                  <c:v>10012</c:v>
                </c:pt>
                <c:pt idx="5">
                  <c:v>10647</c:v>
                </c:pt>
                <c:pt idx="6">
                  <c:v>5774</c:v>
                </c:pt>
                <c:pt idx="7">
                  <c:v>5616</c:v>
                </c:pt>
                <c:pt idx="8">
                  <c:v>4482</c:v>
                </c:pt>
                <c:pt idx="9">
                  <c:v>5441</c:v>
                </c:pt>
                <c:pt idx="10">
                  <c:v>5354</c:v>
                </c:pt>
                <c:pt idx="11">
                  <c:v>6314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B5-424A-BD56-D458E5BBA3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724664079"/>
        <c:axId val="724652015"/>
      </c:barChart>
      <c:lineChart>
        <c:grouping val="standard"/>
        <c:varyColors val="0"/>
        <c:ser>
          <c:idx val="2"/>
          <c:order val="2"/>
          <c:tx>
            <c:strRef>
              <c:f>'[BD%20CNIJE%202022 (version 1).xlsx]EXP_CAUPEN ING'!$BG$3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rgbClr val="6C2927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6C2927"/>
              </a:solidFill>
              <a:ln w="9525">
                <a:solidFill>
                  <a:srgbClr val="6C2927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1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94B5-424A-BD56-D458E5BBA3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'[BD%20CNIJE%202022 (version 1).xlsx]EXP_CAUPEN ING'!$BD$4:$BD$15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'[BD%20CNIJE%202022 (version 1).xlsx]EXP_CAUPEN ING'!$BG$4:$BG$15</c:f>
              <c:numCache>
                <c:formatCode>#\ ###\ ##0</c:formatCode>
                <c:ptCount val="12"/>
                <c:pt idx="0">
                  <c:v>246253</c:v>
                </c:pt>
                <c:pt idx="1">
                  <c:v>256766</c:v>
                </c:pt>
                <c:pt idx="2">
                  <c:v>257036</c:v>
                </c:pt>
                <c:pt idx="3">
                  <c:v>229528</c:v>
                </c:pt>
                <c:pt idx="4">
                  <c:v>174648</c:v>
                </c:pt>
                <c:pt idx="5">
                  <c:v>183342</c:v>
                </c:pt>
                <c:pt idx="6">
                  <c:v>127994</c:v>
                </c:pt>
                <c:pt idx="7">
                  <c:v>137335</c:v>
                </c:pt>
                <c:pt idx="8">
                  <c:v>165419</c:v>
                </c:pt>
                <c:pt idx="9">
                  <c:v>194852</c:v>
                </c:pt>
                <c:pt idx="10">
                  <c:v>172066</c:v>
                </c:pt>
                <c:pt idx="11">
                  <c:v>221789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4B5-424A-BD56-D458E5BBA3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4664079"/>
        <c:axId val="724652015"/>
      </c:lineChart>
      <c:catAx>
        <c:axId val="7246640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24652015"/>
        <c:crosses val="autoZero"/>
        <c:auto val="1"/>
        <c:lblAlgn val="ctr"/>
        <c:lblOffset val="100"/>
        <c:noMultiLvlLbl val="0"/>
      </c:catAx>
      <c:valAx>
        <c:axId val="724652015"/>
        <c:scaling>
          <c:orientation val="minMax"/>
          <c:max val="260000"/>
          <c:min val="0"/>
        </c:scaling>
        <c:delete val="1"/>
        <c:axPos val="l"/>
        <c:numFmt formatCode="#\ ###\ ##0" sourceLinked="1"/>
        <c:majorTickMark val="none"/>
        <c:minorTickMark val="none"/>
        <c:tickLblPos val="nextTo"/>
        <c:crossAx val="7246640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28757200804445"/>
          <c:y val="0.87637031764523332"/>
          <c:w val="0.57424855983911105"/>
          <c:h val="8.29417114939840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59297031169197E-3"/>
          <c:y val="0.22117022664984554"/>
          <c:w val="0.9868814059376616"/>
          <c:h val="0.3854253853627412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2D9B1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F2D9B1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F47-4ED6-90AB-B988DEB866A8}"/>
              </c:ext>
            </c:extLst>
          </c:dPt>
          <c:dPt>
            <c:idx val="10"/>
            <c:invertIfNegative val="0"/>
            <c:bubble3D val="0"/>
            <c:spPr>
              <a:solidFill>
                <a:srgbClr val="8A5252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F47-4ED6-90AB-B988DEB866A8}"/>
              </c:ext>
            </c:extLst>
          </c:dPt>
          <c:dLbls>
            <c:dLbl>
              <c:idx val="31"/>
              <c:numFmt formatCode="0.00\ %" sourceLinked="0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0F47-4ED6-90AB-B988DEB866A8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'[BD%20CNIJE%202022 (version 1).xlsx]EXP_CAUPEN ING'!$CN$5:$CN$36</c:f>
              <c:strCache>
                <c:ptCount val="32"/>
                <c:pt idx="0">
                  <c:v>MEX</c:v>
                </c:pt>
                <c:pt idx="1">
                  <c:v>OAX</c:v>
                </c:pt>
                <c:pt idx="2">
                  <c:v>SLP</c:v>
                </c:pt>
                <c:pt idx="3">
                  <c:v>CDMX</c:v>
                </c:pt>
                <c:pt idx="4">
                  <c:v>VER</c:v>
                </c:pt>
                <c:pt idx="5">
                  <c:v>NL</c:v>
                </c:pt>
                <c:pt idx="6">
                  <c:v>HGO</c:v>
                </c:pt>
                <c:pt idx="7">
                  <c:v>YUC</c:v>
                </c:pt>
                <c:pt idx="8">
                  <c:v>MICH</c:v>
                </c:pt>
                <c:pt idx="9">
                  <c:v>QROO</c:v>
                </c:pt>
                <c:pt idx="10">
                  <c:v>NACIONAL</c:v>
                </c:pt>
                <c:pt idx="11">
                  <c:v>MOR</c:v>
                </c:pt>
                <c:pt idx="12">
                  <c:v>CAMP</c:v>
                </c:pt>
                <c:pt idx="13">
                  <c:v>AGS</c:v>
                </c:pt>
                <c:pt idx="14">
                  <c:v>GRO</c:v>
                </c:pt>
                <c:pt idx="15">
                  <c:v>JAL</c:v>
                </c:pt>
                <c:pt idx="16">
                  <c:v>CHIH</c:v>
                </c:pt>
                <c:pt idx="17">
                  <c:v>QRO</c:v>
                </c:pt>
                <c:pt idx="18">
                  <c:v>SIN</c:v>
                </c:pt>
                <c:pt idx="19">
                  <c:v>DGO</c:v>
                </c:pt>
                <c:pt idx="20">
                  <c:v>GTO</c:v>
                </c:pt>
                <c:pt idx="21">
                  <c:v>ZAC</c:v>
                </c:pt>
                <c:pt idx="22">
                  <c:v>PUE</c:v>
                </c:pt>
                <c:pt idx="23">
                  <c:v>NAY</c:v>
                </c:pt>
                <c:pt idx="24">
                  <c:v>TAMPS</c:v>
                </c:pt>
                <c:pt idx="25">
                  <c:v>CHIS</c:v>
                </c:pt>
                <c:pt idx="26">
                  <c:v>BC</c:v>
                </c:pt>
                <c:pt idx="27">
                  <c:v>TAB</c:v>
                </c:pt>
                <c:pt idx="28">
                  <c:v>COL</c:v>
                </c:pt>
                <c:pt idx="29">
                  <c:v>SON</c:v>
                </c:pt>
                <c:pt idx="30">
                  <c:v>COAH</c:v>
                </c:pt>
                <c:pt idx="31">
                  <c:v>BCS</c:v>
                </c:pt>
              </c:strCache>
            </c:strRef>
          </c:cat>
          <c:val>
            <c:numRef>
              <c:f>'[BD%20CNIJE%202022 (version 1).xlsx]EXP_CAUPEN ING'!$CO$5:$CO$36</c:f>
              <c:numCache>
                <c:formatCode>0.0%</c:formatCode>
                <c:ptCount val="32"/>
                <c:pt idx="0">
                  <c:v>0.25478393106070207</c:v>
                </c:pt>
                <c:pt idx="1">
                  <c:v>0.23922413793103448</c:v>
                </c:pt>
                <c:pt idx="2">
                  <c:v>0.18091286307053941</c:v>
                </c:pt>
                <c:pt idx="3">
                  <c:v>0.10090984284532671</c:v>
                </c:pt>
                <c:pt idx="4">
                  <c:v>0.10049349484073576</c:v>
                </c:pt>
                <c:pt idx="5">
                  <c:v>9.4849113302577559E-2</c:v>
                </c:pt>
                <c:pt idx="6">
                  <c:v>9.1331582137805623E-2</c:v>
                </c:pt>
                <c:pt idx="7">
                  <c:v>8.9983022071307303E-2</c:v>
                </c:pt>
                <c:pt idx="8">
                  <c:v>8.5624509033778481E-2</c:v>
                </c:pt>
                <c:pt idx="9">
                  <c:v>7.4385964912280708E-2</c:v>
                </c:pt>
                <c:pt idx="10">
                  <c:v>6.5296295127350773E-2</c:v>
                </c:pt>
                <c:pt idx="11">
                  <c:v>5.2424122979897514E-2</c:v>
                </c:pt>
                <c:pt idx="12">
                  <c:v>5.114638447971781E-2</c:v>
                </c:pt>
                <c:pt idx="13">
                  <c:v>5.0755137410250062E-2</c:v>
                </c:pt>
                <c:pt idx="14">
                  <c:v>4.4812768569674644E-2</c:v>
                </c:pt>
                <c:pt idx="15">
                  <c:v>4.0756411363440118E-2</c:v>
                </c:pt>
                <c:pt idx="16">
                  <c:v>3.9574559982723245E-2</c:v>
                </c:pt>
                <c:pt idx="17">
                  <c:v>3.5265363128491621E-2</c:v>
                </c:pt>
                <c:pt idx="18">
                  <c:v>3.0107526881720432E-2</c:v>
                </c:pt>
                <c:pt idx="19">
                  <c:v>2.8928658985045354E-2</c:v>
                </c:pt>
                <c:pt idx="20">
                  <c:v>2.8873990553100717E-2</c:v>
                </c:pt>
                <c:pt idx="21">
                  <c:v>2.8176100628930816E-2</c:v>
                </c:pt>
                <c:pt idx="22">
                  <c:v>1.795109873104302E-2</c:v>
                </c:pt>
                <c:pt idx="23">
                  <c:v>1.4814814814814815E-2</c:v>
                </c:pt>
                <c:pt idx="24">
                  <c:v>1.4622641509433962E-2</c:v>
                </c:pt>
                <c:pt idx="25">
                  <c:v>1.3780431786862656E-2</c:v>
                </c:pt>
                <c:pt idx="26">
                  <c:v>1.1246135806417226E-2</c:v>
                </c:pt>
                <c:pt idx="27">
                  <c:v>8.3958556627366909E-3</c:v>
                </c:pt>
                <c:pt idx="28">
                  <c:v>2.871500358937545E-3</c:v>
                </c:pt>
                <c:pt idx="29">
                  <c:v>2.0818320121707102E-3</c:v>
                </c:pt>
                <c:pt idx="30">
                  <c:v>5.3596312573694926E-4</c:v>
                </c:pt>
                <c:pt idx="31" formatCode="0.00%">
                  <c:v>4.662004662004662E-4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F47-4ED6-90AB-B988DEB866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498304543"/>
        <c:axId val="498188479"/>
      </c:barChart>
      <c:catAx>
        <c:axId val="4983045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8188479"/>
        <c:crosses val="autoZero"/>
        <c:auto val="1"/>
        <c:lblAlgn val="ctr"/>
        <c:lblOffset val="100"/>
        <c:noMultiLvlLbl val="0"/>
      </c:catAx>
      <c:valAx>
        <c:axId val="498188479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extTo"/>
        <c:crossAx val="4983045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388822070885996E-3"/>
          <c:y val="8.9142522233264535E-2"/>
          <c:w val="0.98652223558582275"/>
          <c:h val="0.675534999872588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'EXP_CAUPEN CONC'!$BR$4</c:f>
              <c:strCache>
                <c:ptCount val="1"/>
                <c:pt idx="0">
                  <c:v>Penal</c:v>
                </c:pt>
              </c:strCache>
            </c:strRef>
          </c:tx>
          <c:spPr>
            <a:solidFill>
              <a:srgbClr val="C29B61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'EXP_CAUPEN CONC'!$BQ$5:$BQ$16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'EXP_CAUPEN CONC'!$BR$5:$BR$16</c:f>
              <c:numCache>
                <c:formatCode>#\ ###\ ##0</c:formatCode>
                <c:ptCount val="12"/>
                <c:pt idx="0">
                  <c:v>185874</c:v>
                </c:pt>
                <c:pt idx="1">
                  <c:v>187747</c:v>
                </c:pt>
                <c:pt idx="2">
                  <c:v>187077</c:v>
                </c:pt>
                <c:pt idx="3">
                  <c:v>190805</c:v>
                </c:pt>
                <c:pt idx="4">
                  <c:v>117901</c:v>
                </c:pt>
                <c:pt idx="5">
                  <c:v>141083</c:v>
                </c:pt>
                <c:pt idx="6">
                  <c:v>96433</c:v>
                </c:pt>
                <c:pt idx="7">
                  <c:v>108739</c:v>
                </c:pt>
                <c:pt idx="8">
                  <c:v>104491</c:v>
                </c:pt>
                <c:pt idx="9">
                  <c:v>112712</c:v>
                </c:pt>
                <c:pt idx="10">
                  <c:v>104705</c:v>
                </c:pt>
                <c:pt idx="11">
                  <c:v>132224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57-4903-A60D-998665E5A56F}"/>
            </c:ext>
          </c:extLst>
        </c:ser>
        <c:ser>
          <c:idx val="1"/>
          <c:order val="1"/>
          <c:tx>
            <c:strRef>
              <c:f>'EXP_CAUPEN CONC'!$BS$4</c:f>
              <c:strCache>
                <c:ptCount val="1"/>
                <c:pt idx="0">
                  <c:v>Justicia para adolescentes</c:v>
                </c:pt>
              </c:strCache>
            </c:strRef>
          </c:tx>
          <c:spPr>
            <a:solidFill>
              <a:srgbClr val="E5C2C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'EXP_CAUPEN CONC'!$BQ$5:$BQ$16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'EXP_CAUPEN CONC'!$BS$5:$BS$16</c:f>
              <c:numCache>
                <c:formatCode>#\ ###\ ##0</c:formatCode>
                <c:ptCount val="12"/>
                <c:pt idx="0">
                  <c:v>8496</c:v>
                </c:pt>
                <c:pt idx="1">
                  <c:v>9626</c:v>
                </c:pt>
                <c:pt idx="2">
                  <c:v>11348</c:v>
                </c:pt>
                <c:pt idx="3">
                  <c:v>9558</c:v>
                </c:pt>
                <c:pt idx="4">
                  <c:v>6911</c:v>
                </c:pt>
                <c:pt idx="5">
                  <c:v>8991</c:v>
                </c:pt>
                <c:pt idx="6">
                  <c:v>7725</c:v>
                </c:pt>
                <c:pt idx="7">
                  <c:v>5686</c:v>
                </c:pt>
                <c:pt idx="8">
                  <c:v>5127</c:v>
                </c:pt>
                <c:pt idx="9">
                  <c:v>4671</c:v>
                </c:pt>
                <c:pt idx="10">
                  <c:v>4599</c:v>
                </c:pt>
                <c:pt idx="11">
                  <c:v>5320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57-4903-A60D-998665E5A5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865571311"/>
        <c:axId val="865588783"/>
      </c:barChart>
      <c:lineChart>
        <c:grouping val="standard"/>
        <c:varyColors val="0"/>
        <c:ser>
          <c:idx val="2"/>
          <c:order val="2"/>
          <c:tx>
            <c:strRef>
              <c:f>'EXP_CAUPEN CONC'!$BT$4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rgbClr val="7F6858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10"/>
            <c:spPr>
              <a:solidFill>
                <a:srgbClr val="7F6858"/>
              </a:solidFill>
              <a:ln w="9525">
                <a:solidFill>
                  <a:srgbClr val="7F6858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0"/>
              <c:layout>
                <c:manualLayout>
                  <c:x val="-5.6459834412590316E-2"/>
                  <c:y val="-8.20227811329409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657-4903-A60D-998665E5A56F}"/>
                </c:ext>
              </c:extLst>
            </c:dLbl>
            <c:dLbl>
              <c:idx val="1"/>
              <c:layout>
                <c:manualLayout>
                  <c:x val="-5.6459834412590316E-2"/>
                  <c:y val="-8.20227811329409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657-4903-A60D-998665E5A56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'EXP_CAUPEN CONC'!$BQ$5:$BQ$16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'EXP_CAUPEN CONC'!$BT$5:$BT$16</c:f>
              <c:numCache>
                <c:formatCode>#\ ###\ ##0</c:formatCode>
                <c:ptCount val="12"/>
                <c:pt idx="0">
                  <c:v>194370</c:v>
                </c:pt>
                <c:pt idx="1">
                  <c:v>197373</c:v>
                </c:pt>
                <c:pt idx="2">
                  <c:v>198425</c:v>
                </c:pt>
                <c:pt idx="3">
                  <c:v>200363</c:v>
                </c:pt>
                <c:pt idx="4">
                  <c:v>124812</c:v>
                </c:pt>
                <c:pt idx="5">
                  <c:v>150074</c:v>
                </c:pt>
                <c:pt idx="6">
                  <c:v>104158</c:v>
                </c:pt>
                <c:pt idx="7">
                  <c:v>114425</c:v>
                </c:pt>
                <c:pt idx="8">
                  <c:v>109618</c:v>
                </c:pt>
                <c:pt idx="9">
                  <c:v>117383</c:v>
                </c:pt>
                <c:pt idx="10">
                  <c:v>109304</c:v>
                </c:pt>
                <c:pt idx="11">
                  <c:v>137544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657-4903-A60D-998665E5A5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65571311"/>
        <c:axId val="865588783"/>
      </c:lineChart>
      <c:catAx>
        <c:axId val="8655713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65588783"/>
        <c:crosses val="autoZero"/>
        <c:auto val="1"/>
        <c:lblAlgn val="ctr"/>
        <c:lblOffset val="100"/>
        <c:noMultiLvlLbl val="0"/>
      </c:catAx>
      <c:valAx>
        <c:axId val="865588783"/>
        <c:scaling>
          <c:orientation val="minMax"/>
        </c:scaling>
        <c:delete val="1"/>
        <c:axPos val="l"/>
        <c:numFmt formatCode="#\ ###\ ##0" sourceLinked="1"/>
        <c:majorTickMark val="none"/>
        <c:minorTickMark val="none"/>
        <c:tickLblPos val="nextTo"/>
        <c:crossAx val="8655713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734985309788459"/>
          <c:y val="0.88865949347954543"/>
          <c:w val="0.52530013789856311"/>
          <c:h val="0.111340506520454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7936507936507936E-2"/>
          <c:y val="0.21248745124159427"/>
          <c:w val="0.94412698412698415"/>
          <c:h val="0.368786273819456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'EXP_CAUPEN CONC'!$CD$3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BCBF9D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'EXP_CAUPEN CONC'!$CB$4:$CC$8</c:f>
              <c:multiLvlStrCache>
                <c:ptCount val="5"/>
                <c:lvl>
                  <c:pt idx="0">
                    <c:v>Sistema Tradicional</c:v>
                  </c:pt>
                  <c:pt idx="1">
                    <c:v>Sistema Penal Acusatorio</c:v>
                  </c:pt>
                  <c:pt idx="2">
                    <c:v>Sistema Escrito o Mixto</c:v>
                  </c:pt>
                  <c:pt idx="3">
                    <c:v>Sistema Oral</c:v>
                  </c:pt>
                  <c:pt idx="4">
                    <c:v>Sistema Integral de Justicia Penal para Adolescentes</c:v>
                  </c:pt>
                </c:lvl>
                <c:lvl>
                  <c:pt idx="0">
                    <c:v>Adultos</c:v>
                  </c:pt>
                  <c:pt idx="2">
                    <c:v>Adolescentes</c:v>
                  </c:pt>
                </c:lvl>
              </c:multiLvlStrCache>
            </c:multiLvlStrRef>
          </c:cat>
          <c:val>
            <c:numRef>
              <c:f>'EXP_CAUPEN CONC'!$CD$4:$CD$8</c:f>
              <c:numCache>
                <c:formatCode>#\ ###\ ##0</c:formatCode>
                <c:ptCount val="5"/>
                <c:pt idx="0">
                  <c:v>11158</c:v>
                </c:pt>
                <c:pt idx="1">
                  <c:v>93547</c:v>
                </c:pt>
                <c:pt idx="2">
                  <c:v>123</c:v>
                </c:pt>
                <c:pt idx="3">
                  <c:v>23</c:v>
                </c:pt>
                <c:pt idx="4">
                  <c:v>4453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17-4E4B-AA2A-C52724083E80}"/>
            </c:ext>
          </c:extLst>
        </c:ser>
        <c:ser>
          <c:idx val="1"/>
          <c:order val="1"/>
          <c:tx>
            <c:strRef>
              <c:f>'EXP_CAUPEN CONC'!$CE$3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677053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'EXP_CAUPEN CONC'!$CB$4:$CC$8</c:f>
              <c:multiLvlStrCache>
                <c:ptCount val="5"/>
                <c:lvl>
                  <c:pt idx="0">
                    <c:v>Sistema Tradicional</c:v>
                  </c:pt>
                  <c:pt idx="1">
                    <c:v>Sistema Penal Acusatorio</c:v>
                  </c:pt>
                  <c:pt idx="2">
                    <c:v>Sistema Escrito o Mixto</c:v>
                  </c:pt>
                  <c:pt idx="3">
                    <c:v>Sistema Oral</c:v>
                  </c:pt>
                  <c:pt idx="4">
                    <c:v>Sistema Integral de Justicia Penal para Adolescentes</c:v>
                  </c:pt>
                </c:lvl>
                <c:lvl>
                  <c:pt idx="0">
                    <c:v>Adultos</c:v>
                  </c:pt>
                  <c:pt idx="2">
                    <c:v>Adolescentes</c:v>
                  </c:pt>
                </c:lvl>
              </c:multiLvlStrCache>
            </c:multiLvlStrRef>
          </c:cat>
          <c:val>
            <c:numRef>
              <c:f>'EXP_CAUPEN CONC'!$CE$4:$CE$8</c:f>
              <c:numCache>
                <c:formatCode>#\ ###\ ##0</c:formatCode>
                <c:ptCount val="5"/>
                <c:pt idx="0">
                  <c:v>10984</c:v>
                </c:pt>
                <c:pt idx="1">
                  <c:v>121240</c:v>
                </c:pt>
                <c:pt idx="2">
                  <c:v>185</c:v>
                </c:pt>
                <c:pt idx="3">
                  <c:v>3</c:v>
                </c:pt>
                <c:pt idx="4">
                  <c:v>5132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17-4E4B-AA2A-C52724083E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39294447"/>
        <c:axId val="1839294863"/>
      </c:barChart>
      <c:catAx>
        <c:axId val="18392944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839294863"/>
        <c:crosses val="autoZero"/>
        <c:auto val="1"/>
        <c:lblAlgn val="ctr"/>
        <c:lblOffset val="100"/>
        <c:noMultiLvlLbl val="0"/>
      </c:catAx>
      <c:valAx>
        <c:axId val="1839294863"/>
        <c:scaling>
          <c:orientation val="minMax"/>
        </c:scaling>
        <c:delete val="1"/>
        <c:axPos val="l"/>
        <c:numFmt formatCode="#\ ###\ ##0" sourceLinked="1"/>
        <c:majorTickMark val="none"/>
        <c:minorTickMark val="none"/>
        <c:tickLblPos val="nextTo"/>
        <c:crossAx val="18392944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1142037245344332"/>
          <c:y val="0.92152996500437445"/>
          <c:w val="0.17715925509311337"/>
          <c:h val="7.38404053659959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867507182399643E-3"/>
          <c:y val="6.8100146489951205E-2"/>
          <c:w val="0.98442649856352005"/>
          <c:h val="0.48002402512661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'TIPO CONC'!$M$3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BCBF9D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'TIPO CONC'!$K$4:$L$9</c:f>
              <c:multiLvlStrCache>
                <c:ptCount val="6"/>
                <c:lvl>
                  <c:pt idx="0">
                    <c:v>Sobreseimiento</c:v>
                  </c:pt>
                  <c:pt idx="1">
                    <c:v>Condenatoria/
Sancionatoria 
(de medidas)</c:v>
                  </c:pt>
                  <c:pt idx="2">
                    <c:v>Absolutoria</c:v>
                  </c:pt>
                  <c:pt idx="3">
                    <c:v>Mixta</c:v>
                  </c:pt>
                  <c:pt idx="4">
                    <c:v>No especificado</c:v>
                  </c:pt>
                </c:lvl>
                <c:lvl>
                  <c:pt idx="0">
                    <c:v>Sobreseimiento</c:v>
                  </c:pt>
                  <c:pt idx="1">
                    <c:v>Sentencia</c:v>
                  </c:pt>
                  <c:pt idx="5">
                    <c:v>Otro tipo de 
determinación 
y/o conclusión</c:v>
                  </c:pt>
                </c:lvl>
              </c:multiLvlStrCache>
            </c:multiLvlStrRef>
          </c:cat>
          <c:val>
            <c:numRef>
              <c:f>'TIPO CONC'!$M$4:$M$9</c:f>
              <c:numCache>
                <c:formatCode>#\ ###\ ##0</c:formatCode>
                <c:ptCount val="6"/>
                <c:pt idx="0">
                  <c:v>6427</c:v>
                </c:pt>
                <c:pt idx="1">
                  <c:v>2769</c:v>
                </c:pt>
                <c:pt idx="2">
                  <c:v>389</c:v>
                </c:pt>
                <c:pt idx="3">
                  <c:v>42</c:v>
                </c:pt>
                <c:pt idx="4">
                  <c:v>11</c:v>
                </c:pt>
                <c:pt idx="5">
                  <c:v>1666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7D-408D-BA5F-CCF64038DDA1}"/>
            </c:ext>
          </c:extLst>
        </c:ser>
        <c:ser>
          <c:idx val="1"/>
          <c:order val="1"/>
          <c:tx>
            <c:strRef>
              <c:f>'TIPO CONC'!$N$3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677053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'TIPO CONC'!$K$4:$L$9</c:f>
              <c:multiLvlStrCache>
                <c:ptCount val="6"/>
                <c:lvl>
                  <c:pt idx="0">
                    <c:v>Sobreseimiento</c:v>
                  </c:pt>
                  <c:pt idx="1">
                    <c:v>Condenatoria/
Sancionatoria 
(de medidas)</c:v>
                  </c:pt>
                  <c:pt idx="2">
                    <c:v>Absolutoria</c:v>
                  </c:pt>
                  <c:pt idx="3">
                    <c:v>Mixta</c:v>
                  </c:pt>
                  <c:pt idx="4">
                    <c:v>No especificado</c:v>
                  </c:pt>
                </c:lvl>
                <c:lvl>
                  <c:pt idx="0">
                    <c:v>Sobreseimiento</c:v>
                  </c:pt>
                  <c:pt idx="1">
                    <c:v>Sentencia</c:v>
                  </c:pt>
                  <c:pt idx="5">
                    <c:v>Otro tipo de 
determinación 
y/o conclusión</c:v>
                  </c:pt>
                </c:lvl>
              </c:multiLvlStrCache>
            </c:multiLvlStrRef>
          </c:cat>
          <c:val>
            <c:numRef>
              <c:f>'TIPO CONC'!$N$4:$N$9</c:f>
              <c:numCache>
                <c:formatCode>#\ ###\ ##0</c:formatCode>
                <c:ptCount val="6"/>
                <c:pt idx="0">
                  <c:v>6537</c:v>
                </c:pt>
                <c:pt idx="1">
                  <c:v>2915</c:v>
                </c:pt>
                <c:pt idx="2">
                  <c:v>453</c:v>
                </c:pt>
                <c:pt idx="3">
                  <c:v>94</c:v>
                </c:pt>
                <c:pt idx="4">
                  <c:v>24</c:v>
                </c:pt>
                <c:pt idx="5">
                  <c:v>1139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7D-408D-BA5F-CCF64038DD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547138495"/>
        <c:axId val="547134751"/>
      </c:barChart>
      <c:catAx>
        <c:axId val="5471384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47134751"/>
        <c:crosses val="autoZero"/>
        <c:auto val="1"/>
        <c:lblAlgn val="ctr"/>
        <c:lblOffset val="100"/>
        <c:noMultiLvlLbl val="0"/>
      </c:catAx>
      <c:valAx>
        <c:axId val="547134751"/>
        <c:scaling>
          <c:orientation val="minMax"/>
        </c:scaling>
        <c:delete val="1"/>
        <c:axPos val="l"/>
        <c:numFmt formatCode="#\ ###\ ##0" sourceLinked="1"/>
        <c:majorTickMark val="none"/>
        <c:minorTickMark val="none"/>
        <c:tickLblPos val="nextTo"/>
        <c:crossAx val="5471384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952529994783515E-2"/>
          <c:y val="0.13966173268524423"/>
          <c:w val="0.95409494001043293"/>
          <c:h val="0.323862980293399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'[BD%20CNIJE%202022 (version 1).xlsx]ÓRGANOS'!$EZ$22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BCBF9D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*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C168-4691-AE52-18D376A8C6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'[BD%20CNIJE%202022 (version 1).xlsx]ÓRGANOS'!$EY$23:$EY$34</c:f>
              <c:strCache>
                <c:ptCount val="12"/>
                <c:pt idx="0">
                  <c:v>Penal</c:v>
                </c:pt>
                <c:pt idx="1">
                  <c:v>Civil</c:v>
                </c:pt>
                <c:pt idx="2">
                  <c:v>Mercantil</c:v>
                </c:pt>
                <c:pt idx="3">
                  <c:v>Familiar</c:v>
                </c:pt>
                <c:pt idx="4">
                  <c:v>Menor cuantía 
y/o paz</c:v>
                </c:pt>
                <c:pt idx="5">
                  <c:v>Ejecución de 
sanciones</c:v>
                </c:pt>
                <c:pt idx="6">
                  <c:v>Justicia para 
adolescentes</c:v>
                </c:pt>
                <c:pt idx="7">
                  <c:v>De extinción 
de dominio</c:v>
                </c:pt>
                <c:pt idx="8">
                  <c:v>Laboral</c:v>
                </c:pt>
                <c:pt idx="9">
                  <c:v>Indígena</c:v>
                </c:pt>
                <c:pt idx="10">
                  <c:v>Constitucional</c:v>
                </c:pt>
                <c:pt idx="11">
                  <c:v>Otra materia</c:v>
                </c:pt>
              </c:strCache>
            </c:strRef>
          </c:cat>
          <c:val>
            <c:numRef>
              <c:f>'[BD%20CNIJE%202022 (version 1).xlsx]ÓRGANOS'!$EZ$23:$EZ$34</c:f>
              <c:numCache>
                <c:formatCode>#\ ###\ ##0</c:formatCode>
                <c:ptCount val="12"/>
                <c:pt idx="0">
                  <c:v>1481</c:v>
                </c:pt>
                <c:pt idx="1">
                  <c:v>1247</c:v>
                </c:pt>
                <c:pt idx="2">
                  <c:v>1086</c:v>
                </c:pt>
                <c:pt idx="3">
                  <c:v>1000</c:v>
                </c:pt>
                <c:pt idx="4">
                  <c:v>1210</c:v>
                </c:pt>
                <c:pt idx="5">
                  <c:v>537</c:v>
                </c:pt>
                <c:pt idx="6">
                  <c:v>276</c:v>
                </c:pt>
                <c:pt idx="7">
                  <c:v>132</c:v>
                </c:pt>
                <c:pt idx="8">
                  <c:v>23</c:v>
                </c:pt>
                <c:pt idx="9">
                  <c:v>53</c:v>
                </c:pt>
                <c:pt idx="10">
                  <c:v>0</c:v>
                </c:pt>
                <c:pt idx="11">
                  <c:v>212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68-4691-AE52-18D376A8C68A}"/>
            </c:ext>
          </c:extLst>
        </c:ser>
        <c:ser>
          <c:idx val="1"/>
          <c:order val="1"/>
          <c:tx>
            <c:strRef>
              <c:f>'[BD%20CNIJE%202022 (version 1).xlsx]ÓRGANOS'!$FA$22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677053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'[BD%20CNIJE%202022 (version 1).xlsx]ÓRGANOS'!$EY$23:$EY$34</c:f>
              <c:strCache>
                <c:ptCount val="12"/>
                <c:pt idx="0">
                  <c:v>Penal</c:v>
                </c:pt>
                <c:pt idx="1">
                  <c:v>Civil</c:v>
                </c:pt>
                <c:pt idx="2">
                  <c:v>Mercantil</c:v>
                </c:pt>
                <c:pt idx="3">
                  <c:v>Familiar</c:v>
                </c:pt>
                <c:pt idx="4">
                  <c:v>Menor cuantía 
y/o paz</c:v>
                </c:pt>
                <c:pt idx="5">
                  <c:v>Ejecución de 
sanciones</c:v>
                </c:pt>
                <c:pt idx="6">
                  <c:v>Justicia para 
adolescentes</c:v>
                </c:pt>
                <c:pt idx="7">
                  <c:v>De extinción 
de dominio</c:v>
                </c:pt>
                <c:pt idx="8">
                  <c:v>Laboral</c:v>
                </c:pt>
                <c:pt idx="9">
                  <c:v>Indígena</c:v>
                </c:pt>
                <c:pt idx="10">
                  <c:v>Constitucional</c:v>
                </c:pt>
                <c:pt idx="11">
                  <c:v>Otra materia</c:v>
                </c:pt>
              </c:strCache>
            </c:strRef>
          </c:cat>
          <c:val>
            <c:numRef>
              <c:f>'[BD%20CNIJE%202022 (version 1).xlsx]ÓRGANOS'!$FA$23:$FA$34</c:f>
              <c:numCache>
                <c:formatCode>#\ ###\ ##0</c:formatCode>
                <c:ptCount val="12"/>
                <c:pt idx="0">
                  <c:v>1713</c:v>
                </c:pt>
                <c:pt idx="1">
                  <c:v>1550</c:v>
                </c:pt>
                <c:pt idx="2">
                  <c:v>1453</c:v>
                </c:pt>
                <c:pt idx="3">
                  <c:v>1147</c:v>
                </c:pt>
                <c:pt idx="4">
                  <c:v>1037</c:v>
                </c:pt>
                <c:pt idx="5">
                  <c:v>433</c:v>
                </c:pt>
                <c:pt idx="6">
                  <c:v>269</c:v>
                </c:pt>
                <c:pt idx="7">
                  <c:v>96</c:v>
                </c:pt>
                <c:pt idx="8">
                  <c:v>64</c:v>
                </c:pt>
                <c:pt idx="9">
                  <c:v>53</c:v>
                </c:pt>
                <c:pt idx="10">
                  <c:v>8</c:v>
                </c:pt>
                <c:pt idx="11">
                  <c:v>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168-4691-AE52-18D376A8C6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454413408"/>
        <c:axId val="454421312"/>
      </c:barChart>
      <c:catAx>
        <c:axId val="454413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 algn="r"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54421312"/>
        <c:crosses val="autoZero"/>
        <c:auto val="1"/>
        <c:lblAlgn val="ctr"/>
        <c:lblOffset val="100"/>
        <c:noMultiLvlLbl val="0"/>
      </c:catAx>
      <c:valAx>
        <c:axId val="454421312"/>
        <c:scaling>
          <c:orientation val="minMax"/>
        </c:scaling>
        <c:delete val="1"/>
        <c:axPos val="l"/>
        <c:numFmt formatCode="#\ ###\ ##0" sourceLinked="1"/>
        <c:majorTickMark val="none"/>
        <c:minorTickMark val="none"/>
        <c:tickLblPos val="nextTo"/>
        <c:crossAx val="454413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3155905511811021"/>
          <c:y val="0.89402307269730807"/>
          <c:w val="0.14092213473315834"/>
          <c:h val="0.105976927302691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0.11534090011323836"/>
          <c:w val="0.99238095238095236"/>
          <c:h val="0.315275590551181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'TIPO CONC'!$AC$4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BCBF9D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'TIPO CONC'!$AA$5:$AB$14</c:f>
              <c:multiLvlStrCache>
                <c:ptCount val="10"/>
                <c:lvl>
                  <c:pt idx="0">
                    <c:v>Condenatoria</c:v>
                  </c:pt>
                  <c:pt idx="1">
                    <c:v>Absolutoria</c:v>
                  </c:pt>
                  <c:pt idx="2">
                    <c:v>Mixta</c:v>
                  </c:pt>
                  <c:pt idx="3">
                    <c:v>Acuerdos 
reparatorios 
(cumplidos)</c:v>
                  </c:pt>
                  <c:pt idx="4">
                    <c:v>Suspensión 
condicional 
del proceso 
(cumplidos)</c:v>
                  </c:pt>
                  <c:pt idx="6">
                    <c:v>Extinción 
de la acción 
penal</c:v>
                  </c:pt>
                  <c:pt idx="7">
                    <c:v>Otra causal 
de sobre-
seimiento</c:v>
                  </c:pt>
                  <c:pt idx="8">
                    <c:v>No especificado</c:v>
                  </c:pt>
                </c:lvl>
                <c:lvl>
                  <c:pt idx="0">
                    <c:v>Sentencias definitivas 
en procedimiento abreviado</c:v>
                  </c:pt>
                  <c:pt idx="3">
                    <c:v>Soluciones alternas</c:v>
                  </c:pt>
                  <c:pt idx="5">
                    <c:v>Apertura de 
juicio oral</c:v>
                  </c:pt>
                  <c:pt idx="6">
                    <c:v>Sobreseimiento</c:v>
                  </c:pt>
                  <c:pt idx="9">
                    <c:v>Otro tipo de 
determinación 
y/o conclusión</c:v>
                  </c:pt>
                </c:lvl>
              </c:multiLvlStrCache>
            </c:multiLvlStrRef>
          </c:cat>
          <c:val>
            <c:numRef>
              <c:f>'TIPO CONC'!$AC$5:$AC$14</c:f>
              <c:numCache>
                <c:formatCode>#\ ###\ ##0</c:formatCode>
                <c:ptCount val="10"/>
                <c:pt idx="0">
                  <c:v>15937</c:v>
                </c:pt>
                <c:pt idx="1">
                  <c:v>7</c:v>
                </c:pt>
                <c:pt idx="2">
                  <c:v>16</c:v>
                </c:pt>
                <c:pt idx="3">
                  <c:v>3310</c:v>
                </c:pt>
                <c:pt idx="4">
                  <c:v>10147</c:v>
                </c:pt>
                <c:pt idx="5">
                  <c:v>6614</c:v>
                </c:pt>
                <c:pt idx="6">
                  <c:v>2700</c:v>
                </c:pt>
                <c:pt idx="7">
                  <c:v>3593</c:v>
                </c:pt>
                <c:pt idx="8">
                  <c:v>851</c:v>
                </c:pt>
                <c:pt idx="9">
                  <c:v>34584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7F-489A-8A94-E16B38B615AB}"/>
            </c:ext>
          </c:extLst>
        </c:ser>
        <c:ser>
          <c:idx val="1"/>
          <c:order val="1"/>
          <c:tx>
            <c:strRef>
              <c:f>'TIPO CONC'!$AD$4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677053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'TIPO CONC'!$AA$5:$AB$14</c:f>
              <c:multiLvlStrCache>
                <c:ptCount val="10"/>
                <c:lvl>
                  <c:pt idx="0">
                    <c:v>Condenatoria</c:v>
                  </c:pt>
                  <c:pt idx="1">
                    <c:v>Absolutoria</c:v>
                  </c:pt>
                  <c:pt idx="2">
                    <c:v>Mixta</c:v>
                  </c:pt>
                  <c:pt idx="3">
                    <c:v>Acuerdos 
reparatorios 
(cumplidos)</c:v>
                  </c:pt>
                  <c:pt idx="4">
                    <c:v>Suspensión 
condicional 
del proceso 
(cumplidos)</c:v>
                  </c:pt>
                  <c:pt idx="6">
                    <c:v>Extinción 
de la acción 
penal</c:v>
                  </c:pt>
                  <c:pt idx="7">
                    <c:v>Otra causal 
de sobre-
seimiento</c:v>
                  </c:pt>
                  <c:pt idx="8">
                    <c:v>No especificado</c:v>
                  </c:pt>
                </c:lvl>
                <c:lvl>
                  <c:pt idx="0">
                    <c:v>Sentencias definitivas 
en procedimiento abreviado</c:v>
                  </c:pt>
                  <c:pt idx="3">
                    <c:v>Soluciones alternas</c:v>
                  </c:pt>
                  <c:pt idx="5">
                    <c:v>Apertura de 
juicio oral</c:v>
                  </c:pt>
                  <c:pt idx="6">
                    <c:v>Sobreseimiento</c:v>
                  </c:pt>
                  <c:pt idx="9">
                    <c:v>Otro tipo de 
determinación 
y/o conclusión</c:v>
                  </c:pt>
                </c:lvl>
              </c:multiLvlStrCache>
            </c:multiLvlStrRef>
          </c:cat>
          <c:val>
            <c:numRef>
              <c:f>'TIPO CONC'!$AD$5:$AD$14</c:f>
              <c:numCache>
                <c:formatCode>#\ ###\ ##0</c:formatCode>
                <c:ptCount val="10"/>
                <c:pt idx="0">
                  <c:v>21956</c:v>
                </c:pt>
                <c:pt idx="1">
                  <c:v>21</c:v>
                </c:pt>
                <c:pt idx="2">
                  <c:v>1</c:v>
                </c:pt>
                <c:pt idx="3">
                  <c:v>3497</c:v>
                </c:pt>
                <c:pt idx="4">
                  <c:v>11119</c:v>
                </c:pt>
                <c:pt idx="5">
                  <c:v>12421</c:v>
                </c:pt>
                <c:pt idx="6">
                  <c:v>4455</c:v>
                </c:pt>
                <c:pt idx="7">
                  <c:v>2535</c:v>
                </c:pt>
                <c:pt idx="9">
                  <c:v>40354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37F-489A-8A94-E16B38B615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2050426991"/>
        <c:axId val="2050421167"/>
      </c:barChart>
      <c:catAx>
        <c:axId val="20504269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050421167"/>
        <c:crosses val="autoZero"/>
        <c:auto val="1"/>
        <c:lblAlgn val="ctr"/>
        <c:lblOffset val="100"/>
        <c:noMultiLvlLbl val="0"/>
      </c:catAx>
      <c:valAx>
        <c:axId val="2050421167"/>
        <c:scaling>
          <c:orientation val="minMax"/>
        </c:scaling>
        <c:delete val="1"/>
        <c:axPos val="l"/>
        <c:numFmt formatCode="#\ ###\ ##0" sourceLinked="1"/>
        <c:majorTickMark val="none"/>
        <c:minorTickMark val="none"/>
        <c:tickLblPos val="nextTo"/>
        <c:crossAx val="20504269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3356520434945622"/>
          <c:y val="0.92887613128626478"/>
          <c:w val="0.13286944131983502"/>
          <c:h val="7.11238687137352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8.3333333333333329E-2"/>
          <c:w val="0.99962121034692186"/>
          <c:h val="0.425065459819914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'TIPO CONC'!$BC$5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BCBF9D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4"/>
              <c:tx>
                <c:rich>
                  <a:bodyPr/>
                  <a:lstStyle/>
                  <a:p>
                    <a:r>
                      <a:rPr lang="en-US" dirty="0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F3F4-46FA-9584-4C6268D3AA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'TIPO CONC'!$BA$6:$BB$11</c:f>
              <c:multiLvlStrCache>
                <c:ptCount val="6"/>
                <c:lvl>
                  <c:pt idx="0">
                    <c:v>Condenatoria</c:v>
                  </c:pt>
                  <c:pt idx="1">
                    <c:v>Absolutoria</c:v>
                  </c:pt>
                  <c:pt idx="2">
                    <c:v>Mixta</c:v>
                  </c:pt>
                </c:lvl>
                <c:lvl>
                  <c:pt idx="0">
                    <c:v>Sentencias definitivas</c:v>
                  </c:pt>
                  <c:pt idx="3">
                    <c:v>Sobreseimiento 
(sin incluir 
amnistía)</c:v>
                  </c:pt>
                  <c:pt idx="4">
                    <c:v>Amnistía</c:v>
                  </c:pt>
                  <c:pt idx="5">
                    <c:v>Otro tipo de 
determinación 
y/o conclusión</c:v>
                  </c:pt>
                </c:lvl>
              </c:multiLvlStrCache>
            </c:multiLvlStrRef>
          </c:cat>
          <c:val>
            <c:numRef>
              <c:f>'TIPO CONC'!$BC$6:$BC$11</c:f>
              <c:numCache>
                <c:formatCode>#\ ###\ ##0</c:formatCode>
                <c:ptCount val="6"/>
                <c:pt idx="0">
                  <c:v>4237</c:v>
                </c:pt>
                <c:pt idx="1">
                  <c:v>827</c:v>
                </c:pt>
                <c:pt idx="2">
                  <c:v>48</c:v>
                </c:pt>
                <c:pt idx="3">
                  <c:v>127</c:v>
                </c:pt>
                <c:pt idx="4">
                  <c:v>0</c:v>
                </c:pt>
                <c:pt idx="5">
                  <c:v>651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3F4-46FA-9584-4C6268D3AA59}"/>
            </c:ext>
          </c:extLst>
        </c:ser>
        <c:ser>
          <c:idx val="1"/>
          <c:order val="1"/>
          <c:tx>
            <c:strRef>
              <c:f>'TIPO CONC'!$BD$5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677053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'TIPO CONC'!$BA$6:$BB$11</c:f>
              <c:multiLvlStrCache>
                <c:ptCount val="6"/>
                <c:lvl>
                  <c:pt idx="0">
                    <c:v>Condenatoria</c:v>
                  </c:pt>
                  <c:pt idx="1">
                    <c:v>Absolutoria</c:v>
                  </c:pt>
                  <c:pt idx="2">
                    <c:v>Mixta</c:v>
                  </c:pt>
                </c:lvl>
                <c:lvl>
                  <c:pt idx="0">
                    <c:v>Sentencias definitivas</c:v>
                  </c:pt>
                  <c:pt idx="3">
                    <c:v>Sobreseimiento 
(sin incluir 
amnistía)</c:v>
                  </c:pt>
                  <c:pt idx="4">
                    <c:v>Amnistía</c:v>
                  </c:pt>
                  <c:pt idx="5">
                    <c:v>Otro tipo de 
determinación 
y/o conclusión</c:v>
                  </c:pt>
                </c:lvl>
              </c:multiLvlStrCache>
            </c:multiLvlStrRef>
          </c:cat>
          <c:val>
            <c:numRef>
              <c:f>'TIPO CONC'!$BD$6:$BD$11</c:f>
              <c:numCache>
                <c:formatCode>#\ ###\ ##0</c:formatCode>
                <c:ptCount val="6"/>
                <c:pt idx="0">
                  <c:v>7571</c:v>
                </c:pt>
                <c:pt idx="1">
                  <c:v>1434</c:v>
                </c:pt>
                <c:pt idx="2">
                  <c:v>80</c:v>
                </c:pt>
                <c:pt idx="3">
                  <c:v>174</c:v>
                </c:pt>
                <c:pt idx="4">
                  <c:v>71</c:v>
                </c:pt>
                <c:pt idx="5">
                  <c:v>1663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3F4-46FA-9584-4C6268D3AA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7126015"/>
        <c:axId val="547124351"/>
      </c:barChart>
      <c:catAx>
        <c:axId val="5471260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47124351"/>
        <c:crosses val="autoZero"/>
        <c:auto val="1"/>
        <c:lblAlgn val="ctr"/>
        <c:lblOffset val="100"/>
        <c:noMultiLvlLbl val="0"/>
      </c:catAx>
      <c:valAx>
        <c:axId val="547124351"/>
        <c:scaling>
          <c:orientation val="minMax"/>
        </c:scaling>
        <c:delete val="1"/>
        <c:axPos val="l"/>
        <c:numFmt formatCode="#\ ###\ ##0" sourceLinked="1"/>
        <c:majorTickMark val="none"/>
        <c:minorTickMark val="none"/>
        <c:tickLblPos val="nextTo"/>
        <c:crossAx val="5471260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181241324608368E-2"/>
          <c:y val="9.4623655913978491E-2"/>
          <c:w val="0.95637517350783263"/>
          <c:h val="0.630713741427482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'[BD%20CNIJE%202022 (version 1).xlsx]DELITOS'!$A$7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BCBF9D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'[BD%20CNIJE%202022 (version 1).xlsx]DELITOS'!$B$6:$C$6</c:f>
              <c:strCache>
                <c:ptCount val="2"/>
                <c:pt idx="0">
                  <c:v>Adultos</c:v>
                </c:pt>
                <c:pt idx="1">
                  <c:v>Adolescentes</c:v>
                </c:pt>
              </c:strCache>
            </c:strRef>
          </c:cat>
          <c:val>
            <c:numRef>
              <c:f>'[BD%20CNIJE%202022 (version 1).xlsx]DELITOS'!$B$7:$C$7</c:f>
              <c:numCache>
                <c:formatCode>#\ ###\ ##0</c:formatCode>
                <c:ptCount val="2"/>
                <c:pt idx="0">
                  <c:v>198132</c:v>
                </c:pt>
                <c:pt idx="1">
                  <c:v>5880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1E-4C7F-BDCF-80B9E17A055A}"/>
            </c:ext>
          </c:extLst>
        </c:ser>
        <c:ser>
          <c:idx val="1"/>
          <c:order val="1"/>
          <c:tx>
            <c:strRef>
              <c:f>'[BD%20CNIJE%202022 (version 1).xlsx]DELITOS'!$A$8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677053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'[BD%20CNIJE%202022 (version 1).xlsx]DELITOS'!$B$6:$C$6</c:f>
              <c:strCache>
                <c:ptCount val="2"/>
                <c:pt idx="0">
                  <c:v>Adultos</c:v>
                </c:pt>
                <c:pt idx="1">
                  <c:v>Adolescentes</c:v>
                </c:pt>
              </c:strCache>
            </c:strRef>
          </c:cat>
          <c:val>
            <c:numRef>
              <c:f>'[BD%20CNIJE%202022 (version 1).xlsx]DELITOS'!$B$8:$C$8</c:f>
              <c:numCache>
                <c:formatCode>#\ ###\ ##0</c:formatCode>
                <c:ptCount val="2"/>
                <c:pt idx="0">
                  <c:v>258951</c:v>
                </c:pt>
                <c:pt idx="1">
                  <c:v>6978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1E-4C7F-BDCF-80B9E17A05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817622943"/>
        <c:axId val="817621279"/>
      </c:barChart>
      <c:catAx>
        <c:axId val="8176229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17621279"/>
        <c:crosses val="autoZero"/>
        <c:auto val="1"/>
        <c:lblAlgn val="ctr"/>
        <c:lblOffset val="100"/>
        <c:noMultiLvlLbl val="0"/>
      </c:catAx>
      <c:valAx>
        <c:axId val="817621279"/>
        <c:scaling>
          <c:orientation val="minMax"/>
        </c:scaling>
        <c:delete val="1"/>
        <c:axPos val="l"/>
        <c:numFmt formatCode="#\ ###\ ##0" sourceLinked="1"/>
        <c:majorTickMark val="none"/>
        <c:minorTickMark val="none"/>
        <c:tickLblPos val="nextTo"/>
        <c:crossAx val="8176229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299967641031179"/>
          <c:y val="0.8627997629328592"/>
          <c:w val="0.19616198660098996"/>
          <c:h val="0.13720023706714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065725255417453E-2"/>
          <c:y val="0.11237796233517525"/>
          <c:w val="0.95868544600938965"/>
          <c:h val="0.436656473077305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'[BD%20CNIJE%202022 (version 1).xlsx]DELITOS'!$CI$5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BCBF9D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'[BD%20CNIJE%202022 (version 1).xlsx]DELITOS'!$CH$6:$CH$15</c:f>
              <c:strCache>
                <c:ptCount val="10"/>
                <c:pt idx="0">
                  <c:v>Robo*</c:v>
                </c:pt>
                <c:pt idx="1">
                  <c:v>Violencia familiar</c:v>
                </c:pt>
                <c:pt idx="2">
                  <c:v>Delitos contra la salud 
relacionados con 
narcóticos en su 
modalidad de 
narcomenudeo</c:v>
                </c:pt>
                <c:pt idx="3">
                  <c:v>Lesiones</c:v>
                </c:pt>
                <c:pt idx="4">
                  <c:v>Daño a la propiedad</c:v>
                </c:pt>
                <c:pt idx="5">
                  <c:v>Homicidio</c:v>
                </c:pt>
                <c:pt idx="6">
                  <c:v>Incumplimiento 
de obligaciones 
familiares</c:v>
                </c:pt>
                <c:pt idx="7">
                  <c:v>Violación</c:v>
                </c:pt>
                <c:pt idx="8">
                  <c:v>Amenazas</c:v>
                </c:pt>
                <c:pt idx="9">
                  <c:v>Delitos federales 
contra la salud 
relacionados con 
narcóticos</c:v>
                </c:pt>
              </c:strCache>
            </c:strRef>
          </c:cat>
          <c:val>
            <c:numRef>
              <c:f>'[BD%20CNIJE%202022 (version 1).xlsx]DELITOS'!$CI$6:$CI$15</c:f>
              <c:numCache>
                <c:formatCode>#\ ###\ ##0</c:formatCode>
                <c:ptCount val="10"/>
                <c:pt idx="0">
                  <c:v>43587</c:v>
                </c:pt>
                <c:pt idx="1">
                  <c:v>24257</c:v>
                </c:pt>
                <c:pt idx="2">
                  <c:v>27613</c:v>
                </c:pt>
                <c:pt idx="3">
                  <c:v>13553</c:v>
                </c:pt>
                <c:pt idx="4">
                  <c:v>9054</c:v>
                </c:pt>
                <c:pt idx="5">
                  <c:v>18852</c:v>
                </c:pt>
                <c:pt idx="6">
                  <c:v>4114</c:v>
                </c:pt>
                <c:pt idx="7">
                  <c:v>5739</c:v>
                </c:pt>
                <c:pt idx="8">
                  <c:v>2666</c:v>
                </c:pt>
                <c:pt idx="9">
                  <c:v>5739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D1-4C98-8EC5-1C60E14A842D}"/>
            </c:ext>
          </c:extLst>
        </c:ser>
        <c:ser>
          <c:idx val="1"/>
          <c:order val="1"/>
          <c:tx>
            <c:strRef>
              <c:f>'[BD%20CNIJE%202022 (version 1).xlsx]DELITOS'!$CJ$5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677053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'[BD%20CNIJE%202022 (version 1).xlsx]DELITOS'!$CH$6:$CH$15</c:f>
              <c:strCache>
                <c:ptCount val="10"/>
                <c:pt idx="0">
                  <c:v>Robo*</c:v>
                </c:pt>
                <c:pt idx="1">
                  <c:v>Violencia familiar</c:v>
                </c:pt>
                <c:pt idx="2">
                  <c:v>Delitos contra la salud 
relacionados con 
narcóticos en su 
modalidad de 
narcomenudeo</c:v>
                </c:pt>
                <c:pt idx="3">
                  <c:v>Lesiones</c:v>
                </c:pt>
                <c:pt idx="4">
                  <c:v>Daño a la propiedad</c:v>
                </c:pt>
                <c:pt idx="5">
                  <c:v>Homicidio</c:v>
                </c:pt>
                <c:pt idx="6">
                  <c:v>Incumplimiento 
de obligaciones 
familiares</c:v>
                </c:pt>
                <c:pt idx="7">
                  <c:v>Violación</c:v>
                </c:pt>
                <c:pt idx="8">
                  <c:v>Amenazas</c:v>
                </c:pt>
                <c:pt idx="9">
                  <c:v>Delitos federales 
contra la salud 
relacionados con 
narcóticos</c:v>
                </c:pt>
              </c:strCache>
            </c:strRef>
          </c:cat>
          <c:val>
            <c:numRef>
              <c:f>'[BD%20CNIJE%202022 (version 1).xlsx]DELITOS'!$CJ$6:$CJ$15</c:f>
              <c:numCache>
                <c:formatCode>#\ ###\ ##0</c:formatCode>
                <c:ptCount val="10"/>
                <c:pt idx="0">
                  <c:v>45690</c:v>
                </c:pt>
                <c:pt idx="1">
                  <c:v>37510</c:v>
                </c:pt>
                <c:pt idx="2">
                  <c:v>35656</c:v>
                </c:pt>
                <c:pt idx="3">
                  <c:v>21696</c:v>
                </c:pt>
                <c:pt idx="4">
                  <c:v>12409</c:v>
                </c:pt>
                <c:pt idx="5">
                  <c:v>10171</c:v>
                </c:pt>
                <c:pt idx="6">
                  <c:v>7160</c:v>
                </c:pt>
                <c:pt idx="7">
                  <c:v>6285</c:v>
                </c:pt>
                <c:pt idx="8">
                  <c:v>5842</c:v>
                </c:pt>
                <c:pt idx="9">
                  <c:v>5589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D1-4C98-8EC5-1C60E14A84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865619983"/>
        <c:axId val="865621231"/>
      </c:barChart>
      <c:catAx>
        <c:axId val="8656199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 algn="r"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65621231"/>
        <c:crosses val="autoZero"/>
        <c:auto val="1"/>
        <c:lblAlgn val="ctr"/>
        <c:lblOffset val="100"/>
        <c:noMultiLvlLbl val="0"/>
      </c:catAx>
      <c:valAx>
        <c:axId val="865621231"/>
        <c:scaling>
          <c:orientation val="minMax"/>
        </c:scaling>
        <c:delete val="1"/>
        <c:axPos val="l"/>
        <c:numFmt formatCode="#\ ###\ ##0" sourceLinked="1"/>
        <c:majorTickMark val="none"/>
        <c:minorTickMark val="none"/>
        <c:tickLblPos val="nextTo"/>
        <c:crossAx val="8656199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2488941559283078"/>
          <c:y val="3.2106240915345287E-3"/>
          <c:w val="0.13832333272439695"/>
          <c:h val="4.41733838058001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7670680495755559E-2"/>
          <c:y val="0.11437131708062713"/>
          <c:w val="0.96465863900848892"/>
          <c:h val="0.433821638674018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'[BD%20CNIJE%202022 (version 1).xlsx]DELITOS'!$DV$5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BCBF9D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'[BD%20CNIJE%202022 (version 1).xlsx]DELITOS'!$DU$6:$DU$15</c:f>
              <c:strCache>
                <c:ptCount val="10"/>
                <c:pt idx="0">
                  <c:v>Delitos contra 
la salud relacionados 
con narcóticos en su 
modalidad de 
narcomenudeo</c:v>
                </c:pt>
                <c:pt idx="1">
                  <c:v>Robo*</c:v>
                </c:pt>
                <c:pt idx="2">
                  <c:v>Violación</c:v>
                </c:pt>
                <c:pt idx="3">
                  <c:v>Delitos federales 
contra la salud 
relacionados con 
narcóticos</c:v>
                </c:pt>
                <c:pt idx="4">
                  <c:v>Abuso sexual</c:v>
                </c:pt>
                <c:pt idx="5">
                  <c:v>Lesiones</c:v>
                </c:pt>
                <c:pt idx="6">
                  <c:v>Delitos en materia 
de armas, explosivos 
y otros materiales 
destructivos</c:v>
                </c:pt>
                <c:pt idx="7">
                  <c:v>Homicidio</c:v>
                </c:pt>
                <c:pt idx="8">
                  <c:v>Violencia familiar</c:v>
                </c:pt>
                <c:pt idx="9">
                  <c:v>Delitos en materia 
de armas y objetos 
prohibidos</c:v>
                </c:pt>
              </c:strCache>
            </c:strRef>
          </c:cat>
          <c:val>
            <c:numRef>
              <c:f>'[BD%20CNIJE%202022 (version 1).xlsx]DELITOS'!$DV$6:$DV$15</c:f>
              <c:numCache>
                <c:formatCode>#\ ###\ ##0</c:formatCode>
                <c:ptCount val="10"/>
                <c:pt idx="0">
                  <c:v>1899</c:v>
                </c:pt>
                <c:pt idx="1">
                  <c:v>998</c:v>
                </c:pt>
                <c:pt idx="2">
                  <c:v>378</c:v>
                </c:pt>
                <c:pt idx="3">
                  <c:v>250</c:v>
                </c:pt>
                <c:pt idx="4">
                  <c:v>220</c:v>
                </c:pt>
                <c:pt idx="5">
                  <c:v>381</c:v>
                </c:pt>
                <c:pt idx="6">
                  <c:v>195</c:v>
                </c:pt>
                <c:pt idx="7">
                  <c:v>245</c:v>
                </c:pt>
                <c:pt idx="8">
                  <c:v>230</c:v>
                </c:pt>
                <c:pt idx="9">
                  <c:v>195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80-46EF-932A-8A4B864CFEA1}"/>
            </c:ext>
          </c:extLst>
        </c:ser>
        <c:ser>
          <c:idx val="1"/>
          <c:order val="1"/>
          <c:tx>
            <c:strRef>
              <c:f>'[BD%20CNIJE%202022 (version 1).xlsx]DELITOS'!$DW$5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677053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'[BD%20CNIJE%202022 (version 1).xlsx]DELITOS'!$DU$6:$DU$15</c:f>
              <c:strCache>
                <c:ptCount val="10"/>
                <c:pt idx="0">
                  <c:v>Delitos contra 
la salud relacionados 
con narcóticos en su 
modalidad de 
narcomenudeo</c:v>
                </c:pt>
                <c:pt idx="1">
                  <c:v>Robo*</c:v>
                </c:pt>
                <c:pt idx="2">
                  <c:v>Violación</c:v>
                </c:pt>
                <c:pt idx="3">
                  <c:v>Delitos federales 
contra la salud 
relacionados con 
narcóticos</c:v>
                </c:pt>
                <c:pt idx="4">
                  <c:v>Abuso sexual</c:v>
                </c:pt>
                <c:pt idx="5">
                  <c:v>Lesiones</c:v>
                </c:pt>
                <c:pt idx="6">
                  <c:v>Delitos en materia 
de armas, explosivos 
y otros materiales 
destructivos</c:v>
                </c:pt>
                <c:pt idx="7">
                  <c:v>Homicidio</c:v>
                </c:pt>
                <c:pt idx="8">
                  <c:v>Violencia familiar</c:v>
                </c:pt>
                <c:pt idx="9">
                  <c:v>Delitos en materia 
de armas y objetos 
prohibidos</c:v>
                </c:pt>
              </c:strCache>
            </c:strRef>
          </c:cat>
          <c:val>
            <c:numRef>
              <c:f>'[BD%20CNIJE%202022 (version 1).xlsx]DELITOS'!$DW$6:$DW$15</c:f>
              <c:numCache>
                <c:formatCode>#\ ###\ ##0</c:formatCode>
                <c:ptCount val="10"/>
                <c:pt idx="0">
                  <c:v>1573</c:v>
                </c:pt>
                <c:pt idx="1">
                  <c:v>1344</c:v>
                </c:pt>
                <c:pt idx="2">
                  <c:v>646</c:v>
                </c:pt>
                <c:pt idx="3">
                  <c:v>604</c:v>
                </c:pt>
                <c:pt idx="4">
                  <c:v>436</c:v>
                </c:pt>
                <c:pt idx="5">
                  <c:v>377</c:v>
                </c:pt>
                <c:pt idx="6">
                  <c:v>287</c:v>
                </c:pt>
                <c:pt idx="7">
                  <c:v>264</c:v>
                </c:pt>
                <c:pt idx="8">
                  <c:v>260</c:v>
                </c:pt>
                <c:pt idx="9">
                  <c:v>225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80-46EF-932A-8A4B864CFE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498368607"/>
        <c:axId val="498361951"/>
      </c:barChart>
      <c:catAx>
        <c:axId val="4983686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 algn="r"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8361951"/>
        <c:crosses val="autoZero"/>
        <c:auto val="1"/>
        <c:lblAlgn val="ctr"/>
        <c:lblOffset val="100"/>
        <c:noMultiLvlLbl val="0"/>
      </c:catAx>
      <c:valAx>
        <c:axId val="498361951"/>
        <c:scaling>
          <c:orientation val="minMax"/>
        </c:scaling>
        <c:delete val="1"/>
        <c:axPos val="l"/>
        <c:numFmt formatCode="#\ ###\ ##0" sourceLinked="1"/>
        <c:majorTickMark val="none"/>
        <c:minorTickMark val="none"/>
        <c:tickLblPos val="nextTo"/>
        <c:crossAx val="4983686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3057750589028843"/>
          <c:y val="4.457013295873234E-3"/>
          <c:w val="0.12298141494954416"/>
          <c:h val="7.74417869127861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8120152826691958E-2"/>
          <c:y val="0.1388888888888889"/>
          <c:w val="0.96375969434661612"/>
          <c:h val="0.41513998250218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'[BD%20CNIJE%202022 (version 1).xlsx]PROCESADOS_IMPUTAD'!$AQ$6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BCBF9D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'[BD%20CNIJE%202022 (version 1).xlsx]PROCESADOS_IMPUTAD'!$AR$3:$BA$5</c:f>
              <c:multiLvlStrCache>
                <c:ptCount val="10"/>
                <c:lvl>
                  <c:pt idx="0">
                    <c:v>Hombres</c:v>
                  </c:pt>
                  <c:pt idx="1">
                    <c:v>Mujeres</c:v>
                  </c:pt>
                  <c:pt idx="2">
                    <c:v>Hombres</c:v>
                  </c:pt>
                  <c:pt idx="3">
                    <c:v>Mujeres</c:v>
                  </c:pt>
                  <c:pt idx="4">
                    <c:v>Hombres</c:v>
                  </c:pt>
                  <c:pt idx="5">
                    <c:v>Mujeres</c:v>
                  </c:pt>
                  <c:pt idx="6">
                    <c:v>Hombres</c:v>
                  </c:pt>
                  <c:pt idx="7">
                    <c:v>Mujeres</c:v>
                  </c:pt>
                  <c:pt idx="8">
                    <c:v>Hombres</c:v>
                  </c:pt>
                  <c:pt idx="9">
                    <c:v>Mujeres</c:v>
                  </c:pt>
                </c:lvl>
                <c:lvl>
                  <c:pt idx="0">
                    <c:v>Sistema 
Tradicional</c:v>
                  </c:pt>
                  <c:pt idx="2">
                    <c:v>Sistema Penal 
Acusatorio</c:v>
                  </c:pt>
                  <c:pt idx="4">
                    <c:v>Sistema Escrito 
o Mixto </c:v>
                  </c:pt>
                  <c:pt idx="6">
                    <c:v>Sistema 
Oral</c:v>
                  </c:pt>
                  <c:pt idx="8">
                    <c:v>Sistema Integral 
de Justicia Penal 
Acusatorio</c:v>
                  </c:pt>
                </c:lvl>
                <c:lvl>
                  <c:pt idx="0">
                    <c:v>Adultos</c:v>
                  </c:pt>
                  <c:pt idx="4">
                    <c:v>Adolescentes</c:v>
                  </c:pt>
                </c:lvl>
              </c:multiLvlStrCache>
            </c:multiLvlStrRef>
          </c:cat>
          <c:val>
            <c:numRef>
              <c:f>'[BD%20CNIJE%202022 (version 1).xlsx]PROCESADOS_IMPUTAD'!$AR$6:$BA$6</c:f>
              <c:numCache>
                <c:formatCode>#\ ###\ ##0</c:formatCode>
                <c:ptCount val="10"/>
                <c:pt idx="0">
                  <c:v>5048</c:v>
                </c:pt>
                <c:pt idx="1">
                  <c:v>714</c:v>
                </c:pt>
                <c:pt idx="2">
                  <c:v>161793</c:v>
                </c:pt>
                <c:pt idx="3">
                  <c:v>19281</c:v>
                </c:pt>
                <c:pt idx="4">
                  <c:v>19</c:v>
                </c:pt>
                <c:pt idx="5">
                  <c:v>4</c:v>
                </c:pt>
                <c:pt idx="6">
                  <c:v>3</c:v>
                </c:pt>
                <c:pt idx="7">
                  <c:v>0</c:v>
                </c:pt>
                <c:pt idx="8">
                  <c:v>5046</c:v>
                </c:pt>
                <c:pt idx="9">
                  <c:v>478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3D-43D0-A094-19A7F6848636}"/>
            </c:ext>
          </c:extLst>
        </c:ser>
        <c:ser>
          <c:idx val="1"/>
          <c:order val="1"/>
          <c:tx>
            <c:strRef>
              <c:f>'[BD%20CNIJE%202022 (version 1).xlsx]PROCESADOS_IMPUTAD'!$AQ$7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677053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'[BD%20CNIJE%202022 (version 1).xlsx]PROCESADOS_IMPUTAD'!$AR$3:$BA$5</c:f>
              <c:multiLvlStrCache>
                <c:ptCount val="10"/>
                <c:lvl>
                  <c:pt idx="0">
                    <c:v>Hombres</c:v>
                  </c:pt>
                  <c:pt idx="1">
                    <c:v>Mujeres</c:v>
                  </c:pt>
                  <c:pt idx="2">
                    <c:v>Hombres</c:v>
                  </c:pt>
                  <c:pt idx="3">
                    <c:v>Mujeres</c:v>
                  </c:pt>
                  <c:pt idx="4">
                    <c:v>Hombres</c:v>
                  </c:pt>
                  <c:pt idx="5">
                    <c:v>Mujeres</c:v>
                  </c:pt>
                  <c:pt idx="6">
                    <c:v>Hombres</c:v>
                  </c:pt>
                  <c:pt idx="7">
                    <c:v>Mujeres</c:v>
                  </c:pt>
                  <c:pt idx="8">
                    <c:v>Hombres</c:v>
                  </c:pt>
                  <c:pt idx="9">
                    <c:v>Mujeres</c:v>
                  </c:pt>
                </c:lvl>
                <c:lvl>
                  <c:pt idx="0">
                    <c:v>Sistema 
Tradicional</c:v>
                  </c:pt>
                  <c:pt idx="2">
                    <c:v>Sistema Penal 
Acusatorio</c:v>
                  </c:pt>
                  <c:pt idx="4">
                    <c:v>Sistema Escrito 
o Mixto </c:v>
                  </c:pt>
                  <c:pt idx="6">
                    <c:v>Sistema 
Oral</c:v>
                  </c:pt>
                  <c:pt idx="8">
                    <c:v>Sistema Integral 
de Justicia Penal 
Acusatorio</c:v>
                  </c:pt>
                </c:lvl>
                <c:lvl>
                  <c:pt idx="0">
                    <c:v>Adultos</c:v>
                  </c:pt>
                  <c:pt idx="4">
                    <c:v>Adolescentes</c:v>
                  </c:pt>
                </c:lvl>
              </c:multiLvlStrCache>
            </c:multiLvlStrRef>
          </c:cat>
          <c:val>
            <c:numRef>
              <c:f>'[BD%20CNIJE%202022 (version 1).xlsx]PROCESADOS_IMPUTAD'!$AR$7:$BA$7</c:f>
              <c:numCache>
                <c:formatCode>#\ ###\ ##0</c:formatCode>
                <c:ptCount val="10"/>
                <c:pt idx="0">
                  <c:v>6054</c:v>
                </c:pt>
                <c:pt idx="1">
                  <c:v>663</c:v>
                </c:pt>
                <c:pt idx="2">
                  <c:v>202541</c:v>
                </c:pt>
                <c:pt idx="3">
                  <c:v>27034</c:v>
                </c:pt>
                <c:pt idx="4">
                  <c:v>52</c:v>
                </c:pt>
                <c:pt idx="5">
                  <c:v>2</c:v>
                </c:pt>
                <c:pt idx="6">
                  <c:v>1</c:v>
                </c:pt>
                <c:pt idx="7">
                  <c:v>0</c:v>
                </c:pt>
                <c:pt idx="8">
                  <c:v>5012</c:v>
                </c:pt>
                <c:pt idx="9">
                  <c:v>540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3D-43D0-A094-19A7F68486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1887615503"/>
        <c:axId val="1887608015"/>
      </c:barChart>
      <c:catAx>
        <c:axId val="18876155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887608015"/>
        <c:crosses val="autoZero"/>
        <c:auto val="1"/>
        <c:lblAlgn val="ctr"/>
        <c:lblOffset val="100"/>
        <c:noMultiLvlLbl val="0"/>
      </c:catAx>
      <c:valAx>
        <c:axId val="1887608015"/>
        <c:scaling>
          <c:orientation val="minMax"/>
        </c:scaling>
        <c:delete val="1"/>
        <c:axPos val="l"/>
        <c:numFmt formatCode="#\ ###\ ##0" sourceLinked="1"/>
        <c:majorTickMark val="none"/>
        <c:minorTickMark val="none"/>
        <c:tickLblPos val="nextTo"/>
        <c:crossAx val="18876155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3609712379051963"/>
          <c:y val="1.0760725285771083E-3"/>
          <c:w val="0.14925030563921926"/>
          <c:h val="9.15610998706994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0.12962962962962962"/>
          <c:w val="0.93888888888888888"/>
          <c:h val="0.547432195975503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'[BD%20CNIJE%202022 (version 1).xlsx]VINCULADAS A PROCESO'!$R$7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BCBF9D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'[BD%20CNIJE%202022 (version 1).xlsx]VINCULADAS A PROCESO'!$S$4:$V$5</c:f>
              <c:multiLvlStrCache>
                <c:ptCount val="4"/>
                <c:lvl>
                  <c:pt idx="0">
                    <c:v>Vinculados a proceso</c:v>
                  </c:pt>
                  <c:pt idx="1">
                    <c:v>No vinculados a proceso</c:v>
                  </c:pt>
                  <c:pt idx="2">
                    <c:v>Vinculados a proceso</c:v>
                  </c:pt>
                  <c:pt idx="3">
                    <c:v>No vinculados a proceso</c:v>
                  </c:pt>
                </c:lvl>
                <c:lvl>
                  <c:pt idx="0">
                    <c:v>Adultos</c:v>
                  </c:pt>
                  <c:pt idx="2">
                    <c:v>Adolescentes</c:v>
                  </c:pt>
                </c:lvl>
              </c:multiLvlStrCache>
            </c:multiLvlStrRef>
          </c:cat>
          <c:val>
            <c:numRef>
              <c:f>'[BD%20CNIJE%202022 (version 1).xlsx]VINCULADAS A PROCESO'!$S$7:$V$7</c:f>
              <c:numCache>
                <c:formatCode>#\ ###\ ##0</c:formatCode>
                <c:ptCount val="4"/>
                <c:pt idx="0">
                  <c:v>61388</c:v>
                </c:pt>
                <c:pt idx="1">
                  <c:v>4599</c:v>
                </c:pt>
                <c:pt idx="2">
                  <c:v>2371</c:v>
                </c:pt>
                <c:pt idx="3">
                  <c:v>185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54-4A55-AC6F-04F527C22AFA}"/>
            </c:ext>
          </c:extLst>
        </c:ser>
        <c:ser>
          <c:idx val="1"/>
          <c:order val="1"/>
          <c:tx>
            <c:strRef>
              <c:f>'[BD%20CNIJE%202022 (version 1).xlsx]VINCULADAS A PROCESO'!$R$8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677053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'[BD%20CNIJE%202022 (version 1).xlsx]VINCULADAS A PROCESO'!$S$4:$V$5</c:f>
              <c:multiLvlStrCache>
                <c:ptCount val="4"/>
                <c:lvl>
                  <c:pt idx="0">
                    <c:v>Vinculados a proceso</c:v>
                  </c:pt>
                  <c:pt idx="1">
                    <c:v>No vinculados a proceso</c:v>
                  </c:pt>
                  <c:pt idx="2">
                    <c:v>Vinculados a proceso</c:v>
                  </c:pt>
                  <c:pt idx="3">
                    <c:v>No vinculados a proceso</c:v>
                  </c:pt>
                </c:lvl>
                <c:lvl>
                  <c:pt idx="0">
                    <c:v>Adultos</c:v>
                  </c:pt>
                  <c:pt idx="2">
                    <c:v>Adolescentes</c:v>
                  </c:pt>
                </c:lvl>
              </c:multiLvlStrCache>
            </c:multiLvlStrRef>
          </c:cat>
          <c:val>
            <c:numRef>
              <c:f>'[BD%20CNIJE%202022 (version 1).xlsx]VINCULADAS A PROCESO'!$S$8:$V$8</c:f>
              <c:numCache>
                <c:formatCode>#\ ###\ ##0</c:formatCode>
                <c:ptCount val="4"/>
                <c:pt idx="0">
                  <c:v>69964</c:v>
                </c:pt>
                <c:pt idx="1">
                  <c:v>9520</c:v>
                </c:pt>
                <c:pt idx="2">
                  <c:v>3115</c:v>
                </c:pt>
                <c:pt idx="3">
                  <c:v>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54-4A55-AC6F-04F527C22A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62707167"/>
        <c:axId val="662689695"/>
      </c:barChart>
      <c:catAx>
        <c:axId val="6627071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62689695"/>
        <c:crosses val="autoZero"/>
        <c:auto val="1"/>
        <c:lblAlgn val="ctr"/>
        <c:lblOffset val="100"/>
        <c:noMultiLvlLbl val="0"/>
      </c:catAx>
      <c:valAx>
        <c:axId val="662689695"/>
        <c:scaling>
          <c:orientation val="minMax"/>
        </c:scaling>
        <c:delete val="1"/>
        <c:axPos val="l"/>
        <c:numFmt formatCode="#\ ###\ ##0" sourceLinked="1"/>
        <c:majorTickMark val="none"/>
        <c:minorTickMark val="none"/>
        <c:tickLblPos val="nextTo"/>
        <c:crossAx val="6627071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2687236225156566"/>
          <c:y val="3.8153149005840862E-3"/>
          <c:w val="0.13832333272439695"/>
          <c:h val="8.10855493597108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48865564056638"/>
          <c:y val="1.6306381619754791E-2"/>
          <c:w val="0.75915879666229125"/>
          <c:h val="0.9200855402198011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'[BD%20CNIJE%202022 (version 1).xlsx]VINCULADAS A PROCESO'!$AJ$3</c:f>
              <c:strCache>
                <c:ptCount val="1"/>
                <c:pt idx="0">
                  <c:v>Vinculados a proceso</c:v>
                </c:pt>
              </c:strCache>
            </c:strRef>
          </c:tx>
          <c:spPr>
            <a:solidFill>
              <a:srgbClr val="56402E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15"/>
            <c:invertIfNegative val="0"/>
            <c:bubble3D val="0"/>
            <c:spPr>
              <a:solidFill>
                <a:srgbClr val="677053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D17-4AFA-BC54-0F51F9E0F751}"/>
              </c:ext>
            </c:extLst>
          </c:dPt>
          <c:dLbls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'[BD%20CNIJE%202022 (version 1).xlsx]VINCULADAS A PROCESO'!$AI$4:$AI$28</c:f>
              <c:strCache>
                <c:ptCount val="25"/>
                <c:pt idx="0">
                  <c:v>ZAC</c:v>
                </c:pt>
                <c:pt idx="1">
                  <c:v>HGO</c:v>
                </c:pt>
                <c:pt idx="2">
                  <c:v>SON</c:v>
                </c:pt>
                <c:pt idx="3">
                  <c:v>BC</c:v>
                </c:pt>
                <c:pt idx="4">
                  <c:v>SIN</c:v>
                </c:pt>
                <c:pt idx="5">
                  <c:v>QRO</c:v>
                </c:pt>
                <c:pt idx="6">
                  <c:v>COAH</c:v>
                </c:pt>
                <c:pt idx="7">
                  <c:v>GTO</c:v>
                </c:pt>
                <c:pt idx="8">
                  <c:v>PUE</c:v>
                </c:pt>
                <c:pt idx="9">
                  <c:v>CAMP</c:v>
                </c:pt>
                <c:pt idx="10">
                  <c:v>CHIS</c:v>
                </c:pt>
                <c:pt idx="11">
                  <c:v>TAB</c:v>
                </c:pt>
                <c:pt idx="12">
                  <c:v>CDMX</c:v>
                </c:pt>
                <c:pt idx="13">
                  <c:v>DGO</c:v>
                </c:pt>
                <c:pt idx="14">
                  <c:v>VER</c:v>
                </c:pt>
                <c:pt idx="15">
                  <c:v>NACIONAL</c:v>
                </c:pt>
                <c:pt idx="16">
                  <c:v>YUC</c:v>
                </c:pt>
                <c:pt idx="17">
                  <c:v>SLP</c:v>
                </c:pt>
                <c:pt idx="18">
                  <c:v>GRO</c:v>
                </c:pt>
                <c:pt idx="19">
                  <c:v>JAL</c:v>
                </c:pt>
                <c:pt idx="20">
                  <c:v>QROO</c:v>
                </c:pt>
                <c:pt idx="21">
                  <c:v>MOR</c:v>
                </c:pt>
                <c:pt idx="22">
                  <c:v>AGS</c:v>
                </c:pt>
                <c:pt idx="23">
                  <c:v>TLAX</c:v>
                </c:pt>
                <c:pt idx="24">
                  <c:v>OAX</c:v>
                </c:pt>
              </c:strCache>
            </c:strRef>
          </c:cat>
          <c:val>
            <c:numRef>
              <c:f>'[BD%20CNIJE%202022 (version 1).xlsx]VINCULADAS A PROCESO'!$AJ$4:$AJ$28</c:f>
              <c:numCache>
                <c:formatCode>0.0%</c:formatCode>
                <c:ptCount val="25"/>
                <c:pt idx="0">
                  <c:v>0.9908088235294118</c:v>
                </c:pt>
                <c:pt idx="1">
                  <c:v>0.98145506419400852</c:v>
                </c:pt>
                <c:pt idx="2">
                  <c:v>0.97518937314743659</c:v>
                </c:pt>
                <c:pt idx="3">
                  <c:v>0.96474863718958204</c:v>
                </c:pt>
                <c:pt idx="4">
                  <c:v>0.95757318625371235</c:v>
                </c:pt>
                <c:pt idx="5">
                  <c:v>0.95216606498194944</c:v>
                </c:pt>
                <c:pt idx="6">
                  <c:v>0.94483504597079504</c:v>
                </c:pt>
                <c:pt idx="7">
                  <c:v>0.94275909402882641</c:v>
                </c:pt>
                <c:pt idx="8">
                  <c:v>0.92124005027230838</c:v>
                </c:pt>
                <c:pt idx="9">
                  <c:v>0.91798941798941802</c:v>
                </c:pt>
                <c:pt idx="10">
                  <c:v>0.91589571068124476</c:v>
                </c:pt>
                <c:pt idx="11">
                  <c:v>0.90455927051671736</c:v>
                </c:pt>
                <c:pt idx="12">
                  <c:v>0.90162797151049856</c:v>
                </c:pt>
                <c:pt idx="13">
                  <c:v>0.89542483660130723</c:v>
                </c:pt>
                <c:pt idx="14">
                  <c:v>0.89094650205761317</c:v>
                </c:pt>
                <c:pt idx="15">
                  <c:v>0.88022746716320266</c:v>
                </c:pt>
                <c:pt idx="16">
                  <c:v>0.86903304773561807</c:v>
                </c:pt>
                <c:pt idx="17">
                  <c:v>0.86538461538461542</c:v>
                </c:pt>
                <c:pt idx="18">
                  <c:v>0.86267605633802813</c:v>
                </c:pt>
                <c:pt idx="19">
                  <c:v>0.86232980332829046</c:v>
                </c:pt>
                <c:pt idx="20">
                  <c:v>0.85768500948766602</c:v>
                </c:pt>
                <c:pt idx="21">
                  <c:v>0.84507042253521125</c:v>
                </c:pt>
                <c:pt idx="22">
                  <c:v>0.79532710280373831</c:v>
                </c:pt>
                <c:pt idx="23">
                  <c:v>0.75477239353891334</c:v>
                </c:pt>
                <c:pt idx="24">
                  <c:v>0.19463224749026839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D17-4AFA-BC54-0F51F9E0F751}"/>
            </c:ext>
          </c:extLst>
        </c:ser>
        <c:ser>
          <c:idx val="1"/>
          <c:order val="1"/>
          <c:tx>
            <c:strRef>
              <c:f>'[BD%20CNIJE%202022 (version 1).xlsx]VINCULADAS A PROCESO'!$AK$3</c:f>
              <c:strCache>
                <c:ptCount val="1"/>
                <c:pt idx="0">
                  <c:v>No vinculados a proceso</c:v>
                </c:pt>
              </c:strCache>
            </c:strRef>
          </c:tx>
          <c:spPr>
            <a:solidFill>
              <a:srgbClr val="B2A499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15"/>
            <c:invertIfNegative val="0"/>
            <c:bubble3D val="0"/>
            <c:spPr>
              <a:solidFill>
                <a:srgbClr val="9C9E71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9D17-4AFA-BC54-0F51F9E0F751}"/>
              </c:ext>
            </c:extLst>
          </c:dPt>
          <c:dLbls>
            <c:dLbl>
              <c:idx val="0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D17-4AFA-BC54-0F51F9E0F751}"/>
                </c:ext>
              </c:extLst>
            </c:dLbl>
            <c:dLbl>
              <c:idx val="1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D17-4AFA-BC54-0F51F9E0F751}"/>
                </c:ext>
              </c:extLst>
            </c:dLbl>
            <c:dLbl>
              <c:idx val="2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D17-4AFA-BC54-0F51F9E0F751}"/>
                </c:ext>
              </c:extLst>
            </c:dLbl>
            <c:dLbl>
              <c:idx val="3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D17-4AFA-BC54-0F51F9E0F751}"/>
                </c:ext>
              </c:extLst>
            </c:dLbl>
            <c:dLbl>
              <c:idx val="4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D17-4AFA-BC54-0F51F9E0F751}"/>
                </c:ext>
              </c:extLst>
            </c:dLbl>
            <c:dLbl>
              <c:idx val="5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D17-4AFA-BC54-0F51F9E0F751}"/>
                </c:ext>
              </c:extLst>
            </c:dLbl>
            <c:dLbl>
              <c:idx val="6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D17-4AFA-BC54-0F51F9E0F751}"/>
                </c:ext>
              </c:extLst>
            </c:dLbl>
            <c:dLbl>
              <c:idx val="7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D17-4AFA-BC54-0F51F9E0F751}"/>
                </c:ext>
              </c:extLst>
            </c:dLbl>
            <c:dLbl>
              <c:idx val="8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D17-4AFA-BC54-0F51F9E0F751}"/>
                </c:ext>
              </c:extLst>
            </c:dLbl>
            <c:dLbl>
              <c:idx val="9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D17-4AFA-BC54-0F51F9E0F751}"/>
                </c:ext>
              </c:extLst>
            </c:dLbl>
            <c:dLbl>
              <c:idx val="10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D17-4AFA-BC54-0F51F9E0F751}"/>
                </c:ext>
              </c:extLst>
            </c:dLbl>
            <c:dLbl>
              <c:idx val="11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D17-4AFA-BC54-0F51F9E0F751}"/>
                </c:ext>
              </c:extLst>
            </c:dLbl>
            <c:dLbl>
              <c:idx val="12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D17-4AFA-BC54-0F51F9E0F751}"/>
                </c:ext>
              </c:extLst>
            </c:dLbl>
            <c:dLbl>
              <c:idx val="13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D17-4AFA-BC54-0F51F9E0F751}"/>
                </c:ext>
              </c:extLst>
            </c:dLbl>
            <c:dLbl>
              <c:idx val="14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D17-4AFA-BC54-0F51F9E0F751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'[BD%20CNIJE%202022 (version 1).xlsx]VINCULADAS A PROCESO'!$AI$4:$AI$28</c:f>
              <c:strCache>
                <c:ptCount val="25"/>
                <c:pt idx="0">
                  <c:v>ZAC</c:v>
                </c:pt>
                <c:pt idx="1">
                  <c:v>HGO</c:v>
                </c:pt>
                <c:pt idx="2">
                  <c:v>SON</c:v>
                </c:pt>
                <c:pt idx="3">
                  <c:v>BC</c:v>
                </c:pt>
                <c:pt idx="4">
                  <c:v>SIN</c:v>
                </c:pt>
                <c:pt idx="5">
                  <c:v>QRO</c:v>
                </c:pt>
                <c:pt idx="6">
                  <c:v>COAH</c:v>
                </c:pt>
                <c:pt idx="7">
                  <c:v>GTO</c:v>
                </c:pt>
                <c:pt idx="8">
                  <c:v>PUE</c:v>
                </c:pt>
                <c:pt idx="9">
                  <c:v>CAMP</c:v>
                </c:pt>
                <c:pt idx="10">
                  <c:v>CHIS</c:v>
                </c:pt>
                <c:pt idx="11">
                  <c:v>TAB</c:v>
                </c:pt>
                <c:pt idx="12">
                  <c:v>CDMX</c:v>
                </c:pt>
                <c:pt idx="13">
                  <c:v>DGO</c:v>
                </c:pt>
                <c:pt idx="14">
                  <c:v>VER</c:v>
                </c:pt>
                <c:pt idx="15">
                  <c:v>NACIONAL</c:v>
                </c:pt>
                <c:pt idx="16">
                  <c:v>YUC</c:v>
                </c:pt>
                <c:pt idx="17">
                  <c:v>SLP</c:v>
                </c:pt>
                <c:pt idx="18">
                  <c:v>GRO</c:v>
                </c:pt>
                <c:pt idx="19">
                  <c:v>JAL</c:v>
                </c:pt>
                <c:pt idx="20">
                  <c:v>QROO</c:v>
                </c:pt>
                <c:pt idx="21">
                  <c:v>MOR</c:v>
                </c:pt>
                <c:pt idx="22">
                  <c:v>AGS</c:v>
                </c:pt>
                <c:pt idx="23">
                  <c:v>TLAX</c:v>
                </c:pt>
                <c:pt idx="24">
                  <c:v>OAX</c:v>
                </c:pt>
              </c:strCache>
            </c:strRef>
          </c:cat>
          <c:val>
            <c:numRef>
              <c:f>'[BD%20CNIJE%202022 (version 1).xlsx]VINCULADAS A PROCESO'!$AK$4:$AK$28</c:f>
              <c:numCache>
                <c:formatCode>0.0%</c:formatCode>
                <c:ptCount val="25"/>
                <c:pt idx="0">
                  <c:v>9.1911764705882356E-3</c:v>
                </c:pt>
                <c:pt idx="1">
                  <c:v>1.8544935805991442E-2</c:v>
                </c:pt>
                <c:pt idx="2">
                  <c:v>2.4810626852563397E-2</c:v>
                </c:pt>
                <c:pt idx="3">
                  <c:v>3.5251362810417929E-2</c:v>
                </c:pt>
                <c:pt idx="4">
                  <c:v>4.242681374628765E-2</c:v>
                </c:pt>
                <c:pt idx="5">
                  <c:v>4.7833935018050541E-2</c:v>
                </c:pt>
                <c:pt idx="6">
                  <c:v>5.5164954029204974E-2</c:v>
                </c:pt>
                <c:pt idx="7">
                  <c:v>5.7240905971173643E-2</c:v>
                </c:pt>
                <c:pt idx="8">
                  <c:v>7.8759949727691667E-2</c:v>
                </c:pt>
                <c:pt idx="9">
                  <c:v>8.2010582010582006E-2</c:v>
                </c:pt>
                <c:pt idx="10">
                  <c:v>8.4104289318755257E-2</c:v>
                </c:pt>
                <c:pt idx="11">
                  <c:v>9.544072948328268E-2</c:v>
                </c:pt>
                <c:pt idx="12">
                  <c:v>9.837202848950144E-2</c:v>
                </c:pt>
                <c:pt idx="13">
                  <c:v>0.10457516339869281</c:v>
                </c:pt>
                <c:pt idx="14">
                  <c:v>0.10905349794238683</c:v>
                </c:pt>
                <c:pt idx="15">
                  <c:v>0.11977253283679734</c:v>
                </c:pt>
                <c:pt idx="16">
                  <c:v>0.13096695226438188</c:v>
                </c:pt>
                <c:pt idx="17">
                  <c:v>0.13461538461538461</c:v>
                </c:pt>
                <c:pt idx="18">
                  <c:v>0.13732394366197184</c:v>
                </c:pt>
                <c:pt idx="19">
                  <c:v>0.13767019667170954</c:v>
                </c:pt>
                <c:pt idx="20">
                  <c:v>0.14231499051233396</c:v>
                </c:pt>
                <c:pt idx="21">
                  <c:v>0.15492957746478872</c:v>
                </c:pt>
                <c:pt idx="22">
                  <c:v>0.20467289719626169</c:v>
                </c:pt>
                <c:pt idx="23">
                  <c:v>0.24522760646108663</c:v>
                </c:pt>
                <c:pt idx="24">
                  <c:v>0.80536775250973158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9D17-4AFA-BC54-0F51F9E0F7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100"/>
        <c:axId val="589640783"/>
        <c:axId val="589621647"/>
      </c:barChart>
      <c:catAx>
        <c:axId val="589640783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89621647"/>
        <c:crosses val="autoZero"/>
        <c:auto val="1"/>
        <c:lblAlgn val="ctr"/>
        <c:lblOffset val="100"/>
        <c:noMultiLvlLbl val="0"/>
      </c:catAx>
      <c:valAx>
        <c:axId val="589621647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5896407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551779900164338"/>
          <c:y val="0.94448406585210243"/>
          <c:w val="0.79700422634784862"/>
          <c:h val="5.55159341478975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73753280839895"/>
          <c:y val="2.9187393302527436E-2"/>
          <c:w val="0.7381802274715662"/>
          <c:h val="0.88338435033396268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'[BD%20CNIJE%202022 (version 1).xlsx]VINCULADAS A PROCESO'!$AO$3</c:f>
              <c:strCache>
                <c:ptCount val="1"/>
                <c:pt idx="0">
                  <c:v>Vinculados a proceso</c:v>
                </c:pt>
              </c:strCache>
            </c:strRef>
          </c:tx>
          <c:spPr>
            <a:solidFill>
              <a:srgbClr val="6C2927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16"/>
            <c:invertIfNegative val="0"/>
            <c:bubble3D val="0"/>
            <c:spPr>
              <a:solidFill>
                <a:srgbClr val="C29B61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F14-4D8C-8D88-E80AABB37E33}"/>
              </c:ext>
            </c:extLst>
          </c:dPt>
          <c:dLbls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'[BD%20CNIJE%202022 (version 1).xlsx]VINCULADAS A PROCESO'!$AN$4:$AN$32</c:f>
              <c:strCache>
                <c:ptCount val="29"/>
                <c:pt idx="0">
                  <c:v>AGS</c:v>
                </c:pt>
                <c:pt idx="1">
                  <c:v>HGO</c:v>
                </c:pt>
                <c:pt idx="2">
                  <c:v>MICH</c:v>
                </c:pt>
                <c:pt idx="3">
                  <c:v>QRO</c:v>
                </c:pt>
                <c:pt idx="4">
                  <c:v>QROO</c:v>
                </c:pt>
                <c:pt idx="5">
                  <c:v>TAB</c:v>
                </c:pt>
                <c:pt idx="6">
                  <c:v>TLAX</c:v>
                </c:pt>
                <c:pt idx="7">
                  <c:v>YUC</c:v>
                </c:pt>
                <c:pt idx="8">
                  <c:v>CHIS</c:v>
                </c:pt>
                <c:pt idx="9">
                  <c:v>GTO</c:v>
                </c:pt>
                <c:pt idx="10">
                  <c:v>OAX</c:v>
                </c:pt>
                <c:pt idx="11">
                  <c:v>SON</c:v>
                </c:pt>
                <c:pt idx="12">
                  <c:v>NAY</c:v>
                </c:pt>
                <c:pt idx="13">
                  <c:v>ZAC</c:v>
                </c:pt>
                <c:pt idx="14">
                  <c:v>PUE</c:v>
                </c:pt>
                <c:pt idx="15">
                  <c:v>COAH</c:v>
                </c:pt>
                <c:pt idx="16">
                  <c:v>NACIONAL</c:v>
                </c:pt>
                <c:pt idx="17">
                  <c:v>CDMX</c:v>
                </c:pt>
                <c:pt idx="18">
                  <c:v>BC</c:v>
                </c:pt>
                <c:pt idx="19">
                  <c:v>TAMPS</c:v>
                </c:pt>
                <c:pt idx="20">
                  <c:v>CHIH</c:v>
                </c:pt>
                <c:pt idx="21">
                  <c:v>SLP</c:v>
                </c:pt>
                <c:pt idx="22">
                  <c:v>VER</c:v>
                </c:pt>
                <c:pt idx="23">
                  <c:v>GRO</c:v>
                </c:pt>
                <c:pt idx="24">
                  <c:v>SIN</c:v>
                </c:pt>
                <c:pt idx="25">
                  <c:v>DGO</c:v>
                </c:pt>
                <c:pt idx="26">
                  <c:v>MOR</c:v>
                </c:pt>
                <c:pt idx="27">
                  <c:v>COL</c:v>
                </c:pt>
                <c:pt idx="28">
                  <c:v>CAMP</c:v>
                </c:pt>
              </c:strCache>
            </c:strRef>
          </c:cat>
          <c:val>
            <c:numRef>
              <c:f>'[BD%20CNIJE%202022 (version 1).xlsx]VINCULADAS A PROCESO'!$AO$4:$AO$32</c:f>
              <c:numCache>
                <c:formatCode>0.0%</c:formatCode>
                <c:ptCount val="2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0.98571428571428577</c:v>
                </c:pt>
                <c:pt idx="9">
                  <c:v>0.98493150684931507</c:v>
                </c:pt>
                <c:pt idx="10">
                  <c:v>0.97777777777777775</c:v>
                </c:pt>
                <c:pt idx="11">
                  <c:v>0.97472924187725629</c:v>
                </c:pt>
                <c:pt idx="12">
                  <c:v>0.97368421052631582</c:v>
                </c:pt>
                <c:pt idx="13">
                  <c:v>0.97014925373134331</c:v>
                </c:pt>
                <c:pt idx="14">
                  <c:v>0.96551724137931039</c:v>
                </c:pt>
                <c:pt idx="15">
                  <c:v>0.96153846153846156</c:v>
                </c:pt>
                <c:pt idx="16">
                  <c:v>0.9614197530864198</c:v>
                </c:pt>
                <c:pt idx="17">
                  <c:v>0.95356037151702788</c:v>
                </c:pt>
                <c:pt idx="18">
                  <c:v>0.95</c:v>
                </c:pt>
                <c:pt idx="19">
                  <c:v>0.94117647058823528</c:v>
                </c:pt>
                <c:pt idx="20">
                  <c:v>0.94057377049180324</c:v>
                </c:pt>
                <c:pt idx="21">
                  <c:v>0.92307692307692313</c:v>
                </c:pt>
                <c:pt idx="22">
                  <c:v>0.92307692307692313</c:v>
                </c:pt>
                <c:pt idx="23">
                  <c:v>0.921875</c:v>
                </c:pt>
                <c:pt idx="24">
                  <c:v>0.92035398230088494</c:v>
                </c:pt>
                <c:pt idx="25">
                  <c:v>0.890625</c:v>
                </c:pt>
                <c:pt idx="26">
                  <c:v>0.88421052631578945</c:v>
                </c:pt>
                <c:pt idx="27">
                  <c:v>0.8666666666666667</c:v>
                </c:pt>
                <c:pt idx="28">
                  <c:v>0.66666666666666663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F14-4D8C-8D88-E80AABB37E33}"/>
            </c:ext>
          </c:extLst>
        </c:ser>
        <c:ser>
          <c:idx val="1"/>
          <c:order val="1"/>
          <c:tx>
            <c:strRef>
              <c:f>'[BD%20CNIJE%202022 (version 1).xlsx]VINCULADAS A PROCESO'!$AP$3</c:f>
              <c:strCache>
                <c:ptCount val="1"/>
                <c:pt idx="0">
                  <c:v>No vinculados a proceso</c:v>
                </c:pt>
              </c:strCache>
            </c:strRef>
          </c:tx>
          <c:spPr>
            <a:solidFill>
              <a:srgbClr val="BD9B94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16"/>
            <c:invertIfNegative val="0"/>
            <c:bubble3D val="0"/>
            <c:spPr>
              <a:solidFill>
                <a:srgbClr val="F2D9B1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3F14-4D8C-8D88-E80AABB37E33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F14-4D8C-8D88-E80AABB37E33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F14-4D8C-8D88-E80AABB37E33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F14-4D8C-8D88-E80AABB37E33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F14-4D8C-8D88-E80AABB37E33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F14-4D8C-8D88-E80AABB37E33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F14-4D8C-8D88-E80AABB37E33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F14-4D8C-8D88-E80AABB37E33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F14-4D8C-8D88-E80AABB37E33}"/>
                </c:ext>
              </c:extLst>
            </c:dLbl>
            <c:dLbl>
              <c:idx val="8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F14-4D8C-8D88-E80AABB37E33}"/>
                </c:ext>
              </c:extLst>
            </c:dLbl>
            <c:dLbl>
              <c:idx val="9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F14-4D8C-8D88-E80AABB37E33}"/>
                </c:ext>
              </c:extLst>
            </c:dLbl>
            <c:dLbl>
              <c:idx val="10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F14-4D8C-8D88-E80AABB37E33}"/>
                </c:ext>
              </c:extLst>
            </c:dLbl>
            <c:dLbl>
              <c:idx val="11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F14-4D8C-8D88-E80AABB37E33}"/>
                </c:ext>
              </c:extLst>
            </c:dLbl>
            <c:dLbl>
              <c:idx val="12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F14-4D8C-8D88-E80AABB37E33}"/>
                </c:ext>
              </c:extLst>
            </c:dLbl>
            <c:dLbl>
              <c:idx val="13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F14-4D8C-8D88-E80AABB37E33}"/>
                </c:ext>
              </c:extLst>
            </c:dLbl>
            <c:dLbl>
              <c:idx val="14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F14-4D8C-8D88-E80AABB37E33}"/>
                </c:ext>
              </c:extLst>
            </c:dLbl>
            <c:dLbl>
              <c:idx val="15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3F14-4D8C-8D88-E80AABB37E33}"/>
                </c:ext>
              </c:extLst>
            </c:dLbl>
            <c:dLbl>
              <c:idx val="16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F14-4D8C-8D88-E80AABB37E33}"/>
                </c:ext>
              </c:extLst>
            </c:dLbl>
            <c:dLbl>
              <c:idx val="17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3F14-4D8C-8D88-E80AABB37E33}"/>
                </c:ext>
              </c:extLst>
            </c:dLbl>
            <c:dLbl>
              <c:idx val="18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3F14-4D8C-8D88-E80AABB37E33}"/>
                </c:ext>
              </c:extLst>
            </c:dLbl>
            <c:dLbl>
              <c:idx val="19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3F14-4D8C-8D88-E80AABB37E33}"/>
                </c:ext>
              </c:extLst>
            </c:dLbl>
            <c:dLbl>
              <c:idx val="20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3F14-4D8C-8D88-E80AABB37E33}"/>
                </c:ext>
              </c:extLst>
            </c:dLbl>
            <c:dLbl>
              <c:idx val="21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3F14-4D8C-8D88-E80AABB37E33}"/>
                </c:ext>
              </c:extLst>
            </c:dLbl>
            <c:dLbl>
              <c:idx val="22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3F14-4D8C-8D88-E80AABB37E33}"/>
                </c:ext>
              </c:extLst>
            </c:dLbl>
            <c:dLbl>
              <c:idx val="23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3F14-4D8C-8D88-E80AABB37E33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'[BD%20CNIJE%202022 (version 1).xlsx]VINCULADAS A PROCESO'!$AN$4:$AN$32</c:f>
              <c:strCache>
                <c:ptCount val="29"/>
                <c:pt idx="0">
                  <c:v>AGS</c:v>
                </c:pt>
                <c:pt idx="1">
                  <c:v>HGO</c:v>
                </c:pt>
                <c:pt idx="2">
                  <c:v>MICH</c:v>
                </c:pt>
                <c:pt idx="3">
                  <c:v>QRO</c:v>
                </c:pt>
                <c:pt idx="4">
                  <c:v>QROO</c:v>
                </c:pt>
                <c:pt idx="5">
                  <c:v>TAB</c:v>
                </c:pt>
                <c:pt idx="6">
                  <c:v>TLAX</c:v>
                </c:pt>
                <c:pt idx="7">
                  <c:v>YUC</c:v>
                </c:pt>
                <c:pt idx="8">
                  <c:v>CHIS</c:v>
                </c:pt>
                <c:pt idx="9">
                  <c:v>GTO</c:v>
                </c:pt>
                <c:pt idx="10">
                  <c:v>OAX</c:v>
                </c:pt>
                <c:pt idx="11">
                  <c:v>SON</c:v>
                </c:pt>
                <c:pt idx="12">
                  <c:v>NAY</c:v>
                </c:pt>
                <c:pt idx="13">
                  <c:v>ZAC</c:v>
                </c:pt>
                <c:pt idx="14">
                  <c:v>PUE</c:v>
                </c:pt>
                <c:pt idx="15">
                  <c:v>COAH</c:v>
                </c:pt>
                <c:pt idx="16">
                  <c:v>NACIONAL</c:v>
                </c:pt>
                <c:pt idx="17">
                  <c:v>CDMX</c:v>
                </c:pt>
                <c:pt idx="18">
                  <c:v>BC</c:v>
                </c:pt>
                <c:pt idx="19">
                  <c:v>TAMPS</c:v>
                </c:pt>
                <c:pt idx="20">
                  <c:v>CHIH</c:v>
                </c:pt>
                <c:pt idx="21">
                  <c:v>SLP</c:v>
                </c:pt>
                <c:pt idx="22">
                  <c:v>VER</c:v>
                </c:pt>
                <c:pt idx="23">
                  <c:v>GRO</c:v>
                </c:pt>
                <c:pt idx="24">
                  <c:v>SIN</c:v>
                </c:pt>
                <c:pt idx="25">
                  <c:v>DGO</c:v>
                </c:pt>
                <c:pt idx="26">
                  <c:v>MOR</c:v>
                </c:pt>
                <c:pt idx="27">
                  <c:v>COL</c:v>
                </c:pt>
                <c:pt idx="28">
                  <c:v>CAMP</c:v>
                </c:pt>
              </c:strCache>
            </c:strRef>
          </c:cat>
          <c:val>
            <c:numRef>
              <c:f>'[BD%20CNIJE%202022 (version 1).xlsx]VINCULADAS A PROCESO'!$AP$4:$AP$32</c:f>
              <c:numCache>
                <c:formatCode>0.0%</c:formatCode>
                <c:ptCount val="2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1.4285714285714285E-2</c:v>
                </c:pt>
                <c:pt idx="9">
                  <c:v>1.5068493150684932E-2</c:v>
                </c:pt>
                <c:pt idx="10">
                  <c:v>2.2222222222222223E-2</c:v>
                </c:pt>
                <c:pt idx="11">
                  <c:v>2.5270758122743681E-2</c:v>
                </c:pt>
                <c:pt idx="12">
                  <c:v>2.6315789473684209E-2</c:v>
                </c:pt>
                <c:pt idx="13">
                  <c:v>2.9850746268656716E-2</c:v>
                </c:pt>
                <c:pt idx="14">
                  <c:v>3.4482758620689655E-2</c:v>
                </c:pt>
                <c:pt idx="15">
                  <c:v>3.8461538461538464E-2</c:v>
                </c:pt>
                <c:pt idx="16">
                  <c:v>3.8580246913580245E-2</c:v>
                </c:pt>
                <c:pt idx="17">
                  <c:v>4.6439628482972138E-2</c:v>
                </c:pt>
                <c:pt idx="18">
                  <c:v>0.05</c:v>
                </c:pt>
                <c:pt idx="19">
                  <c:v>5.8823529411764705E-2</c:v>
                </c:pt>
                <c:pt idx="20">
                  <c:v>5.9426229508196718E-2</c:v>
                </c:pt>
                <c:pt idx="21">
                  <c:v>7.6923076923076927E-2</c:v>
                </c:pt>
                <c:pt idx="22">
                  <c:v>7.6923076923076927E-2</c:v>
                </c:pt>
                <c:pt idx="23">
                  <c:v>7.8125E-2</c:v>
                </c:pt>
                <c:pt idx="24">
                  <c:v>7.9646017699115043E-2</c:v>
                </c:pt>
                <c:pt idx="25">
                  <c:v>0.109375</c:v>
                </c:pt>
                <c:pt idx="26">
                  <c:v>0.11578947368421053</c:v>
                </c:pt>
                <c:pt idx="27">
                  <c:v>0.13333333333333333</c:v>
                </c:pt>
                <c:pt idx="28">
                  <c:v>0.33333333333333331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3F14-4D8C-8D88-E80AABB37E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100"/>
        <c:axId val="498333247"/>
        <c:axId val="498324095"/>
      </c:barChart>
      <c:catAx>
        <c:axId val="498333247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8324095"/>
        <c:crosses val="autoZero"/>
        <c:auto val="1"/>
        <c:lblAlgn val="ctr"/>
        <c:lblOffset val="100"/>
        <c:noMultiLvlLbl val="0"/>
      </c:catAx>
      <c:valAx>
        <c:axId val="498324095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4983332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560634005566222"/>
          <c:y val="0.92059858575592524"/>
          <c:w val="0.70558129548820914"/>
          <c:h val="3.74657514983488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1.929505840115002E-2"/>
          <c:w val="0.99216160525714914"/>
          <c:h val="0.78314562249362241"/>
        </c:manualLayout>
      </c:layout>
      <c:lineChart>
        <c:grouping val="standard"/>
        <c:varyColors val="0"/>
        <c:ser>
          <c:idx val="0"/>
          <c:order val="0"/>
          <c:tx>
            <c:strRef>
              <c:f>Expedientes!$C$4</c:f>
              <c:strCache>
                <c:ptCount val="1"/>
                <c:pt idx="0">
                  <c:v>Abiertos</c:v>
                </c:pt>
              </c:strCache>
            </c:strRef>
          </c:tx>
          <c:spPr>
            <a:ln w="28575" cap="rnd">
              <a:solidFill>
                <a:srgbClr val="7F6858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2"/>
            <c:spPr>
              <a:solidFill>
                <a:srgbClr val="7F6858"/>
              </a:solidFill>
              <a:ln w="57150">
                <a:solidFill>
                  <a:srgbClr val="7F6858"/>
                </a:solidFill>
              </a:ln>
              <a:effectLst/>
            </c:spPr>
          </c:marker>
          <c:dLbls>
            <c:dLbl>
              <c:idx val="6"/>
              <c:layout>
                <c:manualLayout>
                  <c:x val="-4.9107752072335399E-2"/>
                  <c:y val="-8.59186791292933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573-4959-89F2-A7EC0253D2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MX" sz="900" b="0" i="0" u="none" strike="noStrike" kern="1200" baseline="0">
                    <a:solidFill>
                      <a:srgbClr val="7F6858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Expedientes!$B$5:$B$12</c:f>
              <c:numCache>
                <c:formatCode>General</c:formatCode>
                <c:ptCount val="8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</c:numCache>
            </c:numRef>
          </c:cat>
          <c:val>
            <c:numRef>
              <c:f>Expedientes!$C$5:$C$12</c:f>
              <c:numCache>
                <c:formatCode>#\ ###\ ###\ ##0</c:formatCode>
                <c:ptCount val="8"/>
                <c:pt idx="0">
                  <c:v>122595</c:v>
                </c:pt>
                <c:pt idx="1">
                  <c:v>138186</c:v>
                </c:pt>
                <c:pt idx="2">
                  <c:v>156899</c:v>
                </c:pt>
                <c:pt idx="3">
                  <c:v>158120</c:v>
                </c:pt>
                <c:pt idx="4">
                  <c:v>176682</c:v>
                </c:pt>
                <c:pt idx="5">
                  <c:v>192844</c:v>
                </c:pt>
                <c:pt idx="6">
                  <c:v>121572</c:v>
                </c:pt>
                <c:pt idx="7">
                  <c:v>182927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573-4959-89F2-A7EC0253D2A4}"/>
            </c:ext>
          </c:extLst>
        </c:ser>
        <c:ser>
          <c:idx val="1"/>
          <c:order val="1"/>
          <c:tx>
            <c:strRef>
              <c:f>Expedientes!$D$4</c:f>
              <c:strCache>
                <c:ptCount val="1"/>
                <c:pt idx="0">
                  <c:v>Concluidos</c:v>
                </c:pt>
              </c:strCache>
            </c:strRef>
          </c:tx>
          <c:spPr>
            <a:ln w="28575" cap="rnd">
              <a:solidFill>
                <a:srgbClr val="C29B61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29B61"/>
              </a:solidFill>
              <a:ln w="9525">
                <a:solidFill>
                  <a:srgbClr val="C29B6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MX" sz="900" b="0" i="0" u="none" strike="noStrike" kern="1200" baseline="0">
                    <a:solidFill>
                      <a:srgbClr val="C29B6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Expedientes!$B$5:$B$12</c:f>
              <c:numCache>
                <c:formatCode>General</c:formatCode>
                <c:ptCount val="8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</c:numCache>
            </c:numRef>
          </c:cat>
          <c:val>
            <c:numRef>
              <c:f>Expedientes!$D$5:$D$12</c:f>
              <c:numCache>
                <c:formatCode>#\ ###\ ###\ ##0</c:formatCode>
                <c:ptCount val="8"/>
                <c:pt idx="0">
                  <c:v>72821</c:v>
                </c:pt>
                <c:pt idx="1">
                  <c:v>125707</c:v>
                </c:pt>
                <c:pt idx="2">
                  <c:v>139893</c:v>
                </c:pt>
                <c:pt idx="3">
                  <c:v>146260</c:v>
                </c:pt>
                <c:pt idx="4">
                  <c:v>158748</c:v>
                </c:pt>
                <c:pt idx="5">
                  <c:v>167142</c:v>
                </c:pt>
                <c:pt idx="6">
                  <c:v>113961</c:v>
                </c:pt>
                <c:pt idx="7">
                  <c:v>170341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573-4959-89F2-A7EC0253D2A4}"/>
            </c:ext>
          </c:extLst>
        </c:ser>
        <c:ser>
          <c:idx val="2"/>
          <c:order val="2"/>
          <c:tx>
            <c:strRef>
              <c:f>Expedientes!$E$4</c:f>
              <c:strCache>
                <c:ptCount val="1"/>
                <c:pt idx="0">
                  <c:v>Pendientes de concluir</c:v>
                </c:pt>
              </c:strCache>
            </c:strRef>
          </c:tx>
          <c:spPr>
            <a:ln w="28575" cap="rnd">
              <a:solidFill>
                <a:srgbClr val="677053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677053"/>
              </a:solidFill>
              <a:ln w="9525">
                <a:solidFill>
                  <a:srgbClr val="67705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MX" sz="900" b="0" i="0" u="none" strike="noStrike" kern="1200" baseline="0">
                    <a:solidFill>
                      <a:srgbClr val="677053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Expedientes!$B$5:$B$12</c:f>
              <c:numCache>
                <c:formatCode>General</c:formatCode>
                <c:ptCount val="8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</c:numCache>
            </c:numRef>
          </c:cat>
          <c:val>
            <c:numRef>
              <c:f>Expedientes!$E$5:$E$12</c:f>
              <c:numCache>
                <c:formatCode>#\ ###\ ###\ ##0</c:formatCode>
                <c:ptCount val="8"/>
                <c:pt idx="0">
                  <c:v>9863</c:v>
                </c:pt>
                <c:pt idx="1">
                  <c:v>14115</c:v>
                </c:pt>
                <c:pt idx="2">
                  <c:v>5936</c:v>
                </c:pt>
                <c:pt idx="3">
                  <c:v>24162</c:v>
                </c:pt>
                <c:pt idx="4">
                  <c:v>22415</c:v>
                </c:pt>
                <c:pt idx="5">
                  <c:v>20273</c:v>
                </c:pt>
                <c:pt idx="6">
                  <c:v>13991</c:v>
                </c:pt>
                <c:pt idx="7">
                  <c:v>19866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573-4959-89F2-A7EC0253D2A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79382000"/>
        <c:axId val="881752016"/>
      </c:lineChart>
      <c:catAx>
        <c:axId val="1079382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MX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81752016"/>
        <c:crosses val="autoZero"/>
        <c:auto val="1"/>
        <c:lblAlgn val="ctr"/>
        <c:lblOffset val="100"/>
        <c:noMultiLvlLbl val="0"/>
      </c:catAx>
      <c:valAx>
        <c:axId val="881752016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079382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374666060853043"/>
          <c:y val="0.91780712414813137"/>
          <c:w val="0.57250652264540702"/>
          <c:h val="8.21928758518686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es-MX" sz="9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800398733434971E-2"/>
          <c:y val="6.535947712418301E-2"/>
          <c:w val="0.94839920253313004"/>
          <c:h val="0.715213739993730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'[BD%20CNIJE%202022 (version 1).xlsx]MAGIST_CONSEJ'!$BS$4</c:f>
              <c:strCache>
                <c:ptCount val="1"/>
                <c:pt idx="0">
                  <c:v>Magistrados</c:v>
                </c:pt>
              </c:strCache>
            </c:strRef>
          </c:tx>
          <c:spPr>
            <a:solidFill>
              <a:srgbClr val="C29B61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'[BD%20CNIJE%202022 (version 1).xlsx]MAGIST_CONSEJ'!$BR$5:$BR$16</c:f>
              <c:strCache>
                <c:ptCount val="12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2019*</c:v>
                </c:pt>
                <c:pt idx="10">
                  <c:v>2020</c:v>
                </c:pt>
                <c:pt idx="11">
                  <c:v>2021</c:v>
                </c:pt>
              </c:strCache>
            </c:strRef>
          </c:cat>
          <c:val>
            <c:numRef>
              <c:f>'[BD%20CNIJE%202022 (version 1).xlsx]MAGIST_CONSEJ'!$BS$5:$BS$16</c:f>
              <c:numCache>
                <c:formatCode>General</c:formatCode>
                <c:ptCount val="12"/>
                <c:pt idx="0">
                  <c:v>578</c:v>
                </c:pt>
                <c:pt idx="1">
                  <c:v>590</c:v>
                </c:pt>
                <c:pt idx="2">
                  <c:v>595</c:v>
                </c:pt>
                <c:pt idx="3">
                  <c:v>606</c:v>
                </c:pt>
                <c:pt idx="4">
                  <c:v>604</c:v>
                </c:pt>
                <c:pt idx="5">
                  <c:v>577</c:v>
                </c:pt>
                <c:pt idx="6">
                  <c:v>592</c:v>
                </c:pt>
                <c:pt idx="7">
                  <c:v>590</c:v>
                </c:pt>
                <c:pt idx="8">
                  <c:v>592</c:v>
                </c:pt>
                <c:pt idx="9">
                  <c:v>571</c:v>
                </c:pt>
                <c:pt idx="10">
                  <c:v>570</c:v>
                </c:pt>
                <c:pt idx="11">
                  <c:v>604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7A-4246-BAEB-0A70D76E585D}"/>
            </c:ext>
          </c:extLst>
        </c:ser>
        <c:ser>
          <c:idx val="1"/>
          <c:order val="1"/>
          <c:tx>
            <c:strRef>
              <c:f>'[BD%20CNIJE%202022 (version 1).xlsx]MAGIST_CONSEJ'!$BT$4</c:f>
              <c:strCache>
                <c:ptCount val="1"/>
                <c:pt idx="0">
                  <c:v>Consejeros</c:v>
                </c:pt>
              </c:strCache>
            </c:strRef>
          </c:tx>
          <c:spPr>
            <a:solidFill>
              <a:srgbClr val="9C5A6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'[BD%20CNIJE%202022 (version 1).xlsx]MAGIST_CONSEJ'!$BR$5:$BR$16</c:f>
              <c:strCache>
                <c:ptCount val="12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2019*</c:v>
                </c:pt>
                <c:pt idx="10">
                  <c:v>2020</c:v>
                </c:pt>
                <c:pt idx="11">
                  <c:v>2021</c:v>
                </c:pt>
              </c:strCache>
            </c:strRef>
          </c:cat>
          <c:val>
            <c:numRef>
              <c:f>'[BD%20CNIJE%202022 (version 1).xlsx]MAGIST_CONSEJ'!$BT$5:$BT$16</c:f>
              <c:numCache>
                <c:formatCode>General</c:formatCode>
                <c:ptCount val="12"/>
                <c:pt idx="0">
                  <c:v>140</c:v>
                </c:pt>
                <c:pt idx="1">
                  <c:v>144</c:v>
                </c:pt>
                <c:pt idx="2">
                  <c:v>156</c:v>
                </c:pt>
                <c:pt idx="3">
                  <c:v>156</c:v>
                </c:pt>
                <c:pt idx="4">
                  <c:v>155</c:v>
                </c:pt>
                <c:pt idx="5">
                  <c:v>151</c:v>
                </c:pt>
                <c:pt idx="6">
                  <c:v>151</c:v>
                </c:pt>
                <c:pt idx="7">
                  <c:v>162</c:v>
                </c:pt>
                <c:pt idx="8">
                  <c:v>149</c:v>
                </c:pt>
                <c:pt idx="9">
                  <c:v>148</c:v>
                </c:pt>
                <c:pt idx="10">
                  <c:v>145</c:v>
                </c:pt>
                <c:pt idx="11">
                  <c:v>152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7A-4246-BAEB-0A70D76E58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1866030544"/>
        <c:axId val="1866026384"/>
      </c:barChart>
      <c:lineChart>
        <c:grouping val="standard"/>
        <c:varyColors val="0"/>
        <c:ser>
          <c:idx val="2"/>
          <c:order val="2"/>
          <c:tx>
            <c:strRef>
              <c:f>'[BD%20CNIJE%202022 (version 1).xlsx]MAGIST_CONSEJ'!$BU$4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rgbClr val="677053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677053"/>
              </a:solidFill>
              <a:ln w="9525">
                <a:solidFill>
                  <a:srgbClr val="677053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'[BD%20CNIJE%202022 (version 1).xlsx]MAGIST_CONSEJ'!$BR$5:$BR$16</c:f>
              <c:strCache>
                <c:ptCount val="12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2019*</c:v>
                </c:pt>
                <c:pt idx="10">
                  <c:v>2020</c:v>
                </c:pt>
                <c:pt idx="11">
                  <c:v>2021</c:v>
                </c:pt>
              </c:strCache>
            </c:strRef>
          </c:cat>
          <c:val>
            <c:numRef>
              <c:f>'[BD%20CNIJE%202022 (version 1).xlsx]MAGIST_CONSEJ'!$BU$5:$BU$16</c:f>
              <c:numCache>
                <c:formatCode>General</c:formatCode>
                <c:ptCount val="12"/>
                <c:pt idx="0">
                  <c:v>718</c:v>
                </c:pt>
                <c:pt idx="1">
                  <c:v>734</c:v>
                </c:pt>
                <c:pt idx="2">
                  <c:v>751</c:v>
                </c:pt>
                <c:pt idx="3">
                  <c:v>762</c:v>
                </c:pt>
                <c:pt idx="4">
                  <c:v>759</c:v>
                </c:pt>
                <c:pt idx="5">
                  <c:v>728</c:v>
                </c:pt>
                <c:pt idx="6">
                  <c:v>743</c:v>
                </c:pt>
                <c:pt idx="7">
                  <c:v>752</c:v>
                </c:pt>
                <c:pt idx="8">
                  <c:v>741</c:v>
                </c:pt>
                <c:pt idx="9">
                  <c:v>719</c:v>
                </c:pt>
                <c:pt idx="10">
                  <c:v>715</c:v>
                </c:pt>
                <c:pt idx="11">
                  <c:v>756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77A-4246-BAEB-0A70D76E58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66030544"/>
        <c:axId val="1866026384"/>
      </c:lineChart>
      <c:catAx>
        <c:axId val="1866030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866026384"/>
        <c:crosses val="autoZero"/>
        <c:auto val="1"/>
        <c:lblAlgn val="ctr"/>
        <c:lblOffset val="100"/>
        <c:noMultiLvlLbl val="0"/>
      </c:catAx>
      <c:valAx>
        <c:axId val="18660263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866030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747540235786466"/>
          <c:y val="0.90523156530567372"/>
          <c:w val="0.52504901059995623"/>
          <c:h val="9.47684346943263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0344932091629757E-2"/>
          <c:y val="7.12894282827137E-3"/>
          <c:w val="0.97654422961604148"/>
          <c:h val="0.689085504817257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Expedientes!$C$24</c:f>
              <c:strCache>
                <c:ptCount val="1"/>
                <c:pt idx="0">
                  <c:v>Abiertos</c:v>
                </c:pt>
              </c:strCache>
            </c:strRef>
          </c:tx>
          <c:spPr>
            <a:solidFill>
              <a:srgbClr val="7F685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4.5442002646115385E-18"/>
                  <c:y val="6.742653531248869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B7A-4EA5-81CD-4A6C88333FBF}"/>
                </c:ext>
              </c:extLst>
            </c:dLbl>
            <c:dLbl>
              <c:idx val="3"/>
              <c:layout>
                <c:manualLayout>
                  <c:x val="-7.2707204233784617E-17"/>
                  <c:y val="8.165945183345191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C13-4B89-810C-0BAAFE637392}"/>
                </c:ext>
              </c:extLst>
            </c:dLbl>
            <c:dLbl>
              <c:idx val="4"/>
              <c:layout>
                <c:manualLayout>
                  <c:x val="0"/>
                  <c:y val="6.829050656569912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B7A-4EA5-81CD-4A6C88333F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Expedientes!$B$25:$B$29</c:f>
              <c:strCache>
                <c:ptCount val="5"/>
                <c:pt idx="0">
                  <c:v>Penal</c:v>
                </c:pt>
                <c:pt idx="1">
                  <c:v>Civil</c:v>
                </c:pt>
                <c:pt idx="2">
                  <c:v>Familiar</c:v>
                </c:pt>
                <c:pt idx="3">
                  <c:v>Mercantil</c:v>
                </c:pt>
                <c:pt idx="4">
                  <c:v>Otra materia</c:v>
                </c:pt>
              </c:strCache>
            </c:strRef>
          </c:cat>
          <c:val>
            <c:numRef>
              <c:f>Expedientes!$C$25:$C$29</c:f>
              <c:numCache>
                <c:formatCode>#\ ###\ ###\ ##0</c:formatCode>
                <c:ptCount val="5"/>
                <c:pt idx="0">
                  <c:v>14483</c:v>
                </c:pt>
                <c:pt idx="1">
                  <c:v>61256</c:v>
                </c:pt>
                <c:pt idx="2">
                  <c:v>73125</c:v>
                </c:pt>
                <c:pt idx="3">
                  <c:v>22502</c:v>
                </c:pt>
                <c:pt idx="4">
                  <c:v>11058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B7A-4EA5-81CD-4A6C88333FBF}"/>
            </c:ext>
          </c:extLst>
        </c:ser>
        <c:ser>
          <c:idx val="1"/>
          <c:order val="1"/>
          <c:tx>
            <c:strRef>
              <c:f>Expedientes!$D$24</c:f>
              <c:strCache>
                <c:ptCount val="1"/>
                <c:pt idx="0">
                  <c:v>Concluidos</c:v>
                </c:pt>
              </c:strCache>
            </c:strRef>
          </c:tx>
          <c:spPr>
            <a:solidFill>
              <a:srgbClr val="C29B61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1.7699750648361102E-3"/>
                  <c:y val="5.764551253451664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B7A-4EA5-81CD-4A6C88333FBF}"/>
                </c:ext>
              </c:extLst>
            </c:dLbl>
            <c:dLbl>
              <c:idx val="3"/>
              <c:layout>
                <c:manualLayout>
                  <c:x val="0"/>
                  <c:y val="7.537470909551313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C13-4B89-810C-0BAAFE637392}"/>
                </c:ext>
              </c:extLst>
            </c:dLbl>
            <c:dLbl>
              <c:idx val="4"/>
              <c:layout>
                <c:manualLayout>
                  <c:x val="-3.9658933174699052E-3"/>
                  <c:y val="7.720574935789986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B7A-4EA5-81CD-4A6C88333F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Expedientes!$B$25:$B$29</c:f>
              <c:strCache>
                <c:ptCount val="5"/>
                <c:pt idx="0">
                  <c:v>Penal</c:v>
                </c:pt>
                <c:pt idx="1">
                  <c:v>Civil</c:v>
                </c:pt>
                <c:pt idx="2">
                  <c:v>Familiar</c:v>
                </c:pt>
                <c:pt idx="3">
                  <c:v>Mercantil</c:v>
                </c:pt>
                <c:pt idx="4">
                  <c:v>Otra materia</c:v>
                </c:pt>
              </c:strCache>
            </c:strRef>
          </c:cat>
          <c:val>
            <c:numRef>
              <c:f>Expedientes!$D$25:$D$29</c:f>
              <c:numCache>
                <c:formatCode>#\ ###\ ###\ ##0</c:formatCode>
                <c:ptCount val="5"/>
                <c:pt idx="0">
                  <c:v>13701</c:v>
                </c:pt>
                <c:pt idx="1">
                  <c:v>56959</c:v>
                </c:pt>
                <c:pt idx="2">
                  <c:v>67348</c:v>
                </c:pt>
                <c:pt idx="3">
                  <c:v>21021</c:v>
                </c:pt>
                <c:pt idx="4">
                  <c:v>10739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B7A-4EA5-81CD-4A6C88333FBF}"/>
            </c:ext>
          </c:extLst>
        </c:ser>
        <c:ser>
          <c:idx val="2"/>
          <c:order val="2"/>
          <c:tx>
            <c:strRef>
              <c:f>Expedientes!$E$24</c:f>
              <c:strCache>
                <c:ptCount val="1"/>
                <c:pt idx="0">
                  <c:v>Pendientes de concluir</c:v>
                </c:pt>
              </c:strCache>
            </c:strRef>
          </c:tx>
          <c:spPr>
            <a:solidFill>
              <a:srgbClr val="677053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Expedientes!$B$25:$B$29</c:f>
              <c:strCache>
                <c:ptCount val="5"/>
                <c:pt idx="0">
                  <c:v>Penal</c:v>
                </c:pt>
                <c:pt idx="1">
                  <c:v>Civil</c:v>
                </c:pt>
                <c:pt idx="2">
                  <c:v>Familiar</c:v>
                </c:pt>
                <c:pt idx="3">
                  <c:v>Mercantil</c:v>
                </c:pt>
                <c:pt idx="4">
                  <c:v>Otra materia</c:v>
                </c:pt>
              </c:strCache>
            </c:strRef>
          </c:cat>
          <c:val>
            <c:numRef>
              <c:f>Expedientes!$E$25:$E$29</c:f>
              <c:numCache>
                <c:formatCode>#\ ###\ ###\ ##0</c:formatCode>
                <c:ptCount val="5"/>
                <c:pt idx="0">
                  <c:v>1416</c:v>
                </c:pt>
                <c:pt idx="1">
                  <c:v>5746</c:v>
                </c:pt>
                <c:pt idx="2">
                  <c:v>9995</c:v>
                </c:pt>
                <c:pt idx="3">
                  <c:v>2306</c:v>
                </c:pt>
                <c:pt idx="4">
                  <c:v>306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B7A-4EA5-81CD-4A6C88333FB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70"/>
        <c:overlap val="-27"/>
        <c:axId val="1376291136"/>
        <c:axId val="1032372480"/>
      </c:barChart>
      <c:catAx>
        <c:axId val="1376291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32372480"/>
        <c:crosses val="autoZero"/>
        <c:auto val="1"/>
        <c:lblAlgn val="ctr"/>
        <c:lblOffset val="100"/>
        <c:noMultiLvlLbl val="0"/>
      </c:catAx>
      <c:valAx>
        <c:axId val="1032372480"/>
        <c:scaling>
          <c:orientation val="minMax"/>
          <c:max val="73200"/>
          <c:min val="0"/>
        </c:scaling>
        <c:delete val="1"/>
        <c:axPos val="l"/>
        <c:numFmt formatCode="#\ ###\ ###\ ##0" sourceLinked="1"/>
        <c:majorTickMark val="out"/>
        <c:minorTickMark val="none"/>
        <c:tickLblPos val="nextTo"/>
        <c:crossAx val="1376291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514260821502011"/>
          <c:y val="0.87787498040539724"/>
          <c:w val="0.46574889025249"/>
          <c:h val="0.122125019594602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0.10485162380833331"/>
          <c:w val="0.93888888888888888"/>
          <c:h val="0.646814441816576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'[BD%20CNIJE%202022 (version 1).xlsx]PERSONAL'!$B$6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9C5A6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'[BD%20CNIJE%202022 (version 1).xlsx]PERSONAL'!$A$7:$A$18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'[BD%20CNIJE%202022 (version 1).xlsx]PERSONAL'!$B$7:$B$18</c:f>
              <c:numCache>
                <c:formatCode>#\ ###\ ##0</c:formatCode>
                <c:ptCount val="12"/>
                <c:pt idx="0">
                  <c:v>20112</c:v>
                </c:pt>
                <c:pt idx="1">
                  <c:v>21630</c:v>
                </c:pt>
                <c:pt idx="2">
                  <c:v>22683</c:v>
                </c:pt>
                <c:pt idx="3">
                  <c:v>23620</c:v>
                </c:pt>
                <c:pt idx="4">
                  <c:v>24375</c:v>
                </c:pt>
                <c:pt idx="5">
                  <c:v>24981</c:v>
                </c:pt>
                <c:pt idx="6">
                  <c:v>26141</c:v>
                </c:pt>
                <c:pt idx="7">
                  <c:v>26433</c:v>
                </c:pt>
                <c:pt idx="8">
                  <c:v>27071</c:v>
                </c:pt>
                <c:pt idx="9">
                  <c:v>27927</c:v>
                </c:pt>
                <c:pt idx="10">
                  <c:v>28724</c:v>
                </c:pt>
                <c:pt idx="11">
                  <c:v>29198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48-48A8-88E7-17452C436A2A}"/>
            </c:ext>
          </c:extLst>
        </c:ser>
        <c:ser>
          <c:idx val="1"/>
          <c:order val="1"/>
          <c:tx>
            <c:strRef>
              <c:f>'[BD%20CNIJE%202022 (version 1).xlsx]PERSONAL'!$C$6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E5C2C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'[BD%20CNIJE%202022 (version 1).xlsx]PERSONAL'!$A$7:$A$18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'[BD%20CNIJE%202022 (version 1).xlsx]PERSONAL'!$C$7:$C$18</c:f>
              <c:numCache>
                <c:formatCode>#\ ###\ ##0</c:formatCode>
                <c:ptCount val="12"/>
                <c:pt idx="0">
                  <c:v>30888</c:v>
                </c:pt>
                <c:pt idx="1">
                  <c:v>33021</c:v>
                </c:pt>
                <c:pt idx="2">
                  <c:v>34482</c:v>
                </c:pt>
                <c:pt idx="3">
                  <c:v>35302</c:v>
                </c:pt>
                <c:pt idx="4">
                  <c:v>36161</c:v>
                </c:pt>
                <c:pt idx="5">
                  <c:v>37171</c:v>
                </c:pt>
                <c:pt idx="6">
                  <c:v>38356</c:v>
                </c:pt>
                <c:pt idx="7">
                  <c:v>38659</c:v>
                </c:pt>
                <c:pt idx="8">
                  <c:v>39577</c:v>
                </c:pt>
                <c:pt idx="9">
                  <c:v>40697</c:v>
                </c:pt>
                <c:pt idx="10">
                  <c:v>41498</c:v>
                </c:pt>
                <c:pt idx="11">
                  <c:v>42457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48-48A8-88E7-17452C436A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456422671"/>
        <c:axId val="456423087"/>
      </c:barChart>
      <c:lineChart>
        <c:grouping val="standard"/>
        <c:varyColors val="0"/>
        <c:ser>
          <c:idx val="2"/>
          <c:order val="2"/>
          <c:tx>
            <c:strRef>
              <c:f>'[BD%20CNIJE%202022 (version 1).xlsx]PERSONAL'!$D$6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rgbClr val="C29B61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29B61"/>
              </a:solidFill>
              <a:ln w="9525">
                <a:solidFill>
                  <a:srgbClr val="C29B6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'[BD%20CNIJE%202022 (version 1).xlsx]PERSONAL'!$A$7:$A$18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'[BD%20CNIJE%202022 (version 1).xlsx]PERSONAL'!$D$7:$D$18</c:f>
              <c:numCache>
                <c:formatCode>#\ ###\ ##0</c:formatCode>
                <c:ptCount val="12"/>
                <c:pt idx="0">
                  <c:v>51614</c:v>
                </c:pt>
                <c:pt idx="1">
                  <c:v>57255</c:v>
                </c:pt>
                <c:pt idx="2">
                  <c:v>57165</c:v>
                </c:pt>
                <c:pt idx="3">
                  <c:v>58922</c:v>
                </c:pt>
                <c:pt idx="4">
                  <c:v>60536</c:v>
                </c:pt>
                <c:pt idx="5">
                  <c:v>62152</c:v>
                </c:pt>
                <c:pt idx="6">
                  <c:v>64497</c:v>
                </c:pt>
                <c:pt idx="7">
                  <c:v>65092</c:v>
                </c:pt>
                <c:pt idx="8">
                  <c:v>66648</c:v>
                </c:pt>
                <c:pt idx="9">
                  <c:v>68624</c:v>
                </c:pt>
                <c:pt idx="10">
                  <c:v>70294</c:v>
                </c:pt>
                <c:pt idx="11">
                  <c:v>71655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348-48A8-88E7-17452C436A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6422671"/>
        <c:axId val="456423087"/>
      </c:lineChart>
      <c:catAx>
        <c:axId val="4564226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56423087"/>
        <c:crosses val="autoZero"/>
        <c:auto val="1"/>
        <c:lblAlgn val="ctr"/>
        <c:lblOffset val="100"/>
        <c:noMultiLvlLbl val="0"/>
      </c:catAx>
      <c:valAx>
        <c:axId val="456423087"/>
        <c:scaling>
          <c:orientation val="minMax"/>
        </c:scaling>
        <c:delete val="1"/>
        <c:axPos val="l"/>
        <c:numFmt formatCode="#\ ###\ ##0" sourceLinked="1"/>
        <c:majorTickMark val="none"/>
        <c:minorTickMark val="none"/>
        <c:tickLblPos val="nextTo"/>
        <c:crossAx val="4564226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1617323295069549"/>
          <c:y val="0.91037073582997974"/>
          <c:w val="0.37544989168528187"/>
          <c:h val="8.96292641700203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181241324608368E-2"/>
          <c:y val="0.11046949535525985"/>
          <c:w val="0.95637517350783263"/>
          <c:h val="0.384709378414916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'[BD%20CNIJE%202022 (version 1).xlsx]PERSONAL'!$ED$9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9C5A6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'[BD%20CNIJE%202022 (version 1).xlsx]PERSONAL'!$EC$10:$EC$17</c:f>
              <c:strCache>
                <c:ptCount val="8"/>
                <c:pt idx="0">
                  <c:v>Magistrados</c:v>
                </c:pt>
                <c:pt idx="1">
                  <c:v>Jueces</c:v>
                </c:pt>
                <c:pt idx="2">
                  <c:v>Secretarios</c:v>
                </c:pt>
                <c:pt idx="3">
                  <c:v>Actuarios
y/o notificadores</c:v>
                </c:pt>
                <c:pt idx="4">
                  <c:v>Secretarios de 
estudio y cuenta 
y/o proyectistas</c:v>
                </c:pt>
                <c:pt idx="5">
                  <c:v>Personal administrativo 
y de apoyo</c:v>
                </c:pt>
                <c:pt idx="6">
                  <c:v>Otros servidores 
de carrera judicial</c:v>
                </c:pt>
                <c:pt idx="7">
                  <c:v>Otro</c:v>
                </c:pt>
              </c:strCache>
            </c:strRef>
          </c:cat>
          <c:val>
            <c:numRef>
              <c:f>'[BD%20CNIJE%202022 (version 1).xlsx]PERSONAL'!$ED$10:$ED$17</c:f>
              <c:numCache>
                <c:formatCode>#\ ###\ ##0</c:formatCode>
                <c:ptCount val="8"/>
                <c:pt idx="0">
                  <c:v>392</c:v>
                </c:pt>
                <c:pt idx="1">
                  <c:v>2356</c:v>
                </c:pt>
                <c:pt idx="2">
                  <c:v>2212</c:v>
                </c:pt>
                <c:pt idx="3">
                  <c:v>1925</c:v>
                </c:pt>
                <c:pt idx="4">
                  <c:v>1498</c:v>
                </c:pt>
                <c:pt idx="5">
                  <c:v>6436</c:v>
                </c:pt>
                <c:pt idx="6">
                  <c:v>2261</c:v>
                </c:pt>
                <c:pt idx="7">
                  <c:v>577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FB-4237-A593-75CBB76733CD}"/>
            </c:ext>
          </c:extLst>
        </c:ser>
        <c:ser>
          <c:idx val="1"/>
          <c:order val="1"/>
          <c:tx>
            <c:strRef>
              <c:f>'[BD%20CNIJE%202022 (version 1).xlsx]PERSONAL'!$EE$9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E5C2C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'[BD%20CNIJE%202022 (version 1).xlsx]PERSONAL'!$EC$10:$EC$17</c:f>
              <c:strCache>
                <c:ptCount val="8"/>
                <c:pt idx="0">
                  <c:v>Magistrados</c:v>
                </c:pt>
                <c:pt idx="1">
                  <c:v>Jueces</c:v>
                </c:pt>
                <c:pt idx="2">
                  <c:v>Secretarios</c:v>
                </c:pt>
                <c:pt idx="3">
                  <c:v>Actuarios
y/o notificadores</c:v>
                </c:pt>
                <c:pt idx="4">
                  <c:v>Secretarios de 
estudio y cuenta 
y/o proyectistas</c:v>
                </c:pt>
                <c:pt idx="5">
                  <c:v>Personal administrativo 
y de apoyo</c:v>
                </c:pt>
                <c:pt idx="6">
                  <c:v>Otros servidores 
de carrera judicial</c:v>
                </c:pt>
                <c:pt idx="7">
                  <c:v>Otro</c:v>
                </c:pt>
              </c:strCache>
            </c:strRef>
          </c:cat>
          <c:val>
            <c:numRef>
              <c:f>'[BD%20CNIJE%202022 (version 1).xlsx]PERSONAL'!$EE$10:$EE$17</c:f>
              <c:numCache>
                <c:formatCode>#\ ###\ ##0</c:formatCode>
                <c:ptCount val="8"/>
                <c:pt idx="0">
                  <c:v>234</c:v>
                </c:pt>
                <c:pt idx="1">
                  <c:v>1819</c:v>
                </c:pt>
                <c:pt idx="2">
                  <c:v>3974</c:v>
                </c:pt>
                <c:pt idx="3">
                  <c:v>2558</c:v>
                </c:pt>
                <c:pt idx="4">
                  <c:v>2644</c:v>
                </c:pt>
                <c:pt idx="5">
                  <c:v>12515</c:v>
                </c:pt>
                <c:pt idx="6">
                  <c:v>5533</c:v>
                </c:pt>
                <c:pt idx="7">
                  <c:v>772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FB-4237-A593-75CBB76733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729695248"/>
        <c:axId val="729702320"/>
      </c:barChart>
      <c:catAx>
        <c:axId val="729695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 algn="r"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29702320"/>
        <c:crosses val="autoZero"/>
        <c:auto val="1"/>
        <c:lblAlgn val="ctr"/>
        <c:lblOffset val="100"/>
        <c:noMultiLvlLbl val="0"/>
      </c:catAx>
      <c:valAx>
        <c:axId val="729702320"/>
        <c:scaling>
          <c:orientation val="minMax"/>
        </c:scaling>
        <c:delete val="1"/>
        <c:axPos val="l"/>
        <c:numFmt formatCode="#\ ###\ ##0" sourceLinked="1"/>
        <c:majorTickMark val="none"/>
        <c:minorTickMark val="none"/>
        <c:tickLblPos val="nextTo"/>
        <c:crossAx val="72969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1390591616976463"/>
          <c:y val="0.92152996500437445"/>
          <c:w val="0.17218803719433087"/>
          <c:h val="7.38404053659959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7085259627821E-2"/>
          <c:y val="3.13353502104518E-2"/>
          <c:w val="0.94582948074435802"/>
          <c:h val="0.724349584308167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'[BD%20CNIJE%202022 (version 1).xlsx]MAGIST JUECES'!$B$4</c:f>
              <c:strCache>
                <c:ptCount val="1"/>
                <c:pt idx="0">
                  <c:v>Magistrados</c:v>
                </c:pt>
              </c:strCache>
            </c:strRef>
          </c:tx>
          <c:spPr>
            <a:solidFill>
              <a:srgbClr val="B2A499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'[BD%20CNIJE%202022 (version 1).xlsx]MAGIST JUECES'!$A$5:$A$16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'[BD%20CNIJE%202022 (version 1).xlsx]MAGIST JUECES'!$B$5:$B$16</c:f>
              <c:numCache>
                <c:formatCode>#\ ###\ ##0</c:formatCode>
                <c:ptCount val="12"/>
                <c:pt idx="0">
                  <c:v>609</c:v>
                </c:pt>
                <c:pt idx="1">
                  <c:v>636</c:v>
                </c:pt>
                <c:pt idx="2">
                  <c:v>642</c:v>
                </c:pt>
                <c:pt idx="3">
                  <c:v>644</c:v>
                </c:pt>
                <c:pt idx="4">
                  <c:v>634</c:v>
                </c:pt>
                <c:pt idx="5">
                  <c:v>621</c:v>
                </c:pt>
                <c:pt idx="6">
                  <c:v>644</c:v>
                </c:pt>
                <c:pt idx="7">
                  <c:v>648</c:v>
                </c:pt>
                <c:pt idx="8">
                  <c:v>631</c:v>
                </c:pt>
                <c:pt idx="9">
                  <c:v>617</c:v>
                </c:pt>
                <c:pt idx="10">
                  <c:v>591</c:v>
                </c:pt>
                <c:pt idx="11">
                  <c:v>626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D7-4DAB-B135-1D0F93B0D4B0}"/>
            </c:ext>
          </c:extLst>
        </c:ser>
        <c:ser>
          <c:idx val="1"/>
          <c:order val="1"/>
          <c:tx>
            <c:strRef>
              <c:f>'[BD%20CNIJE%202022 (version 1).xlsx]MAGIST JUECES'!$C$4</c:f>
              <c:strCache>
                <c:ptCount val="1"/>
                <c:pt idx="0">
                  <c:v>Jueces</c:v>
                </c:pt>
              </c:strCache>
            </c:strRef>
          </c:tx>
          <c:spPr>
            <a:solidFill>
              <a:srgbClr val="C29B61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'[BD%20CNIJE%202022 (version 1).xlsx]MAGIST JUECES'!$A$5:$A$16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'[BD%20CNIJE%202022 (version 1).xlsx]MAGIST JUECES'!$C$5:$C$16</c:f>
              <c:numCache>
                <c:formatCode>#\ ###\ ##0</c:formatCode>
                <c:ptCount val="12"/>
                <c:pt idx="0">
                  <c:v>3260</c:v>
                </c:pt>
                <c:pt idx="1">
                  <c:v>3248</c:v>
                </c:pt>
                <c:pt idx="2">
                  <c:v>3398</c:v>
                </c:pt>
                <c:pt idx="3">
                  <c:v>3527</c:v>
                </c:pt>
                <c:pt idx="4">
                  <c:v>3644</c:v>
                </c:pt>
                <c:pt idx="5">
                  <c:v>3728</c:v>
                </c:pt>
                <c:pt idx="6">
                  <c:v>4022</c:v>
                </c:pt>
                <c:pt idx="7">
                  <c:v>4038</c:v>
                </c:pt>
                <c:pt idx="8">
                  <c:v>4094</c:v>
                </c:pt>
                <c:pt idx="9">
                  <c:v>4211</c:v>
                </c:pt>
                <c:pt idx="10">
                  <c:v>4192</c:v>
                </c:pt>
                <c:pt idx="11">
                  <c:v>4175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D7-4DAB-B135-1D0F93B0D4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475760544"/>
        <c:axId val="475753888"/>
      </c:barChart>
      <c:lineChart>
        <c:grouping val="standard"/>
        <c:varyColors val="0"/>
        <c:ser>
          <c:idx val="2"/>
          <c:order val="2"/>
          <c:tx>
            <c:strRef>
              <c:f>'[BD%20CNIJE%202022 (version 1).xlsx]MAGIST JUECES'!$D$4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rgbClr val="6C2927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6C2927"/>
              </a:solidFill>
              <a:ln w="9525">
                <a:solidFill>
                  <a:srgbClr val="6C2927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'[BD%20CNIJE%202022 (version 1).xlsx]MAGIST JUECES'!$A$5:$A$16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'[BD%20CNIJE%202022 (version 1).xlsx]MAGIST JUECES'!$D$5:$D$16</c:f>
              <c:numCache>
                <c:formatCode>#\ ###\ ##0</c:formatCode>
                <c:ptCount val="12"/>
                <c:pt idx="0">
                  <c:v>3260</c:v>
                </c:pt>
                <c:pt idx="1">
                  <c:v>3248</c:v>
                </c:pt>
                <c:pt idx="2">
                  <c:v>3398</c:v>
                </c:pt>
                <c:pt idx="3">
                  <c:v>3527</c:v>
                </c:pt>
                <c:pt idx="4">
                  <c:v>3644</c:v>
                </c:pt>
                <c:pt idx="5">
                  <c:v>3728</c:v>
                </c:pt>
                <c:pt idx="6">
                  <c:v>4022</c:v>
                </c:pt>
                <c:pt idx="7">
                  <c:v>4038</c:v>
                </c:pt>
                <c:pt idx="8">
                  <c:v>4094</c:v>
                </c:pt>
                <c:pt idx="9">
                  <c:v>4211</c:v>
                </c:pt>
                <c:pt idx="10">
                  <c:v>4192</c:v>
                </c:pt>
                <c:pt idx="11">
                  <c:v>4801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9D7-4DAB-B135-1D0F93B0D4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5760544"/>
        <c:axId val="475753888"/>
      </c:lineChart>
      <c:catAx>
        <c:axId val="475760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75753888"/>
        <c:crosses val="autoZero"/>
        <c:auto val="1"/>
        <c:lblAlgn val="ctr"/>
        <c:lblOffset val="100"/>
        <c:noMultiLvlLbl val="0"/>
      </c:catAx>
      <c:valAx>
        <c:axId val="475753888"/>
        <c:scaling>
          <c:orientation val="minMax"/>
        </c:scaling>
        <c:delete val="1"/>
        <c:axPos val="l"/>
        <c:numFmt formatCode="#\ ###\ ##0" sourceLinked="1"/>
        <c:majorTickMark val="none"/>
        <c:minorTickMark val="none"/>
        <c:tickLblPos val="nextTo"/>
        <c:crossAx val="475760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624868256250491"/>
          <c:y val="0.8866012971272299"/>
          <c:w val="0.42750263487499029"/>
          <c:h val="0.113398702872770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044232628816135"/>
          <c:y val="3.3004866068143353E-2"/>
          <c:w val="0.77096118248376844"/>
          <c:h val="0.9139973048053572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'MAGIST JUECES'!$AJ$4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9C5A6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18"/>
            <c:invertIfNegative val="0"/>
            <c:bubble3D val="0"/>
            <c:spPr>
              <a:solidFill>
                <a:srgbClr val="C29B61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094-4E5A-A6F2-172894CCDF1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'MAGIST JUECES'!$AI$5:$AI$37</c:f>
              <c:strCache>
                <c:ptCount val="33"/>
                <c:pt idx="0">
                  <c:v>CHIS</c:v>
                </c:pt>
                <c:pt idx="1">
                  <c:v>COAH</c:v>
                </c:pt>
                <c:pt idx="2">
                  <c:v>QROO</c:v>
                </c:pt>
                <c:pt idx="3">
                  <c:v>CHIH</c:v>
                </c:pt>
                <c:pt idx="4">
                  <c:v>NAY</c:v>
                </c:pt>
                <c:pt idx="5">
                  <c:v>PUE</c:v>
                </c:pt>
                <c:pt idx="6">
                  <c:v>TAMPS</c:v>
                </c:pt>
                <c:pt idx="7">
                  <c:v>MICH</c:v>
                </c:pt>
                <c:pt idx="8">
                  <c:v>SON</c:v>
                </c:pt>
                <c:pt idx="9">
                  <c:v>COL</c:v>
                </c:pt>
                <c:pt idx="10">
                  <c:v>MEX</c:v>
                </c:pt>
                <c:pt idx="11">
                  <c:v>JAL</c:v>
                </c:pt>
                <c:pt idx="12">
                  <c:v>AGS</c:v>
                </c:pt>
                <c:pt idx="13">
                  <c:v>BCS</c:v>
                </c:pt>
                <c:pt idx="14">
                  <c:v>NL</c:v>
                </c:pt>
                <c:pt idx="15">
                  <c:v>OAX</c:v>
                </c:pt>
                <c:pt idx="16">
                  <c:v>GRO</c:v>
                </c:pt>
                <c:pt idx="17">
                  <c:v>DGO</c:v>
                </c:pt>
                <c:pt idx="18">
                  <c:v>NACIONAL</c:v>
                </c:pt>
                <c:pt idx="19">
                  <c:v>QRO</c:v>
                </c:pt>
                <c:pt idx="20">
                  <c:v>CDMX</c:v>
                </c:pt>
                <c:pt idx="21">
                  <c:v>MOR</c:v>
                </c:pt>
                <c:pt idx="22">
                  <c:v>GTO</c:v>
                </c:pt>
                <c:pt idx="23">
                  <c:v>CAMP</c:v>
                </c:pt>
                <c:pt idx="24">
                  <c:v>SIN</c:v>
                </c:pt>
                <c:pt idx="25">
                  <c:v>YUC</c:v>
                </c:pt>
                <c:pt idx="26">
                  <c:v>VER</c:v>
                </c:pt>
                <c:pt idx="27">
                  <c:v>TAB</c:v>
                </c:pt>
                <c:pt idx="28">
                  <c:v>ZAC</c:v>
                </c:pt>
                <c:pt idx="29">
                  <c:v>BC</c:v>
                </c:pt>
                <c:pt idx="30">
                  <c:v>SLP</c:v>
                </c:pt>
                <c:pt idx="31">
                  <c:v>HGO</c:v>
                </c:pt>
                <c:pt idx="32">
                  <c:v>TLAX</c:v>
                </c:pt>
              </c:strCache>
            </c:strRef>
          </c:cat>
          <c:val>
            <c:numRef>
              <c:f>'MAGIST JUECES'!$AJ$5:$AJ$37</c:f>
              <c:numCache>
                <c:formatCode>0.0%</c:formatCode>
                <c:ptCount val="33"/>
                <c:pt idx="0">
                  <c:v>0.8571428571428571</c:v>
                </c:pt>
                <c:pt idx="1">
                  <c:v>0.84210526315789469</c:v>
                </c:pt>
                <c:pt idx="2">
                  <c:v>0.76923076923076927</c:v>
                </c:pt>
                <c:pt idx="3">
                  <c:v>0.76666666666666672</c:v>
                </c:pt>
                <c:pt idx="4">
                  <c:v>0.75</c:v>
                </c:pt>
                <c:pt idx="5">
                  <c:v>0.75</c:v>
                </c:pt>
                <c:pt idx="6">
                  <c:v>0.75</c:v>
                </c:pt>
                <c:pt idx="7">
                  <c:v>0.72222222222222221</c:v>
                </c:pt>
                <c:pt idx="8">
                  <c:v>0.72222222222222221</c:v>
                </c:pt>
                <c:pt idx="9">
                  <c:v>0.7</c:v>
                </c:pt>
                <c:pt idx="10">
                  <c:v>0.6785714285714286</c:v>
                </c:pt>
                <c:pt idx="11">
                  <c:v>0.67647058823529416</c:v>
                </c:pt>
                <c:pt idx="12">
                  <c:v>0.66666666666666663</c:v>
                </c:pt>
                <c:pt idx="13">
                  <c:v>0.66666666666666663</c:v>
                </c:pt>
                <c:pt idx="14">
                  <c:v>0.66666666666666663</c:v>
                </c:pt>
                <c:pt idx="15">
                  <c:v>0.66666666666666663</c:v>
                </c:pt>
                <c:pt idx="16">
                  <c:v>0.65217391304347827</c:v>
                </c:pt>
                <c:pt idx="17">
                  <c:v>0.63157894736842102</c:v>
                </c:pt>
                <c:pt idx="18">
                  <c:v>0.62619808306709268</c:v>
                </c:pt>
                <c:pt idx="19">
                  <c:v>0.58333333333333337</c:v>
                </c:pt>
                <c:pt idx="20">
                  <c:v>0.5757575757575758</c:v>
                </c:pt>
                <c:pt idx="21">
                  <c:v>0.55555555555555558</c:v>
                </c:pt>
                <c:pt idx="22">
                  <c:v>0.55000000000000004</c:v>
                </c:pt>
                <c:pt idx="23">
                  <c:v>0.5</c:v>
                </c:pt>
                <c:pt idx="24">
                  <c:v>0.5</c:v>
                </c:pt>
                <c:pt idx="25">
                  <c:v>0.5</c:v>
                </c:pt>
                <c:pt idx="26">
                  <c:v>0.48</c:v>
                </c:pt>
                <c:pt idx="27">
                  <c:v>0.47368421052631576</c:v>
                </c:pt>
                <c:pt idx="28">
                  <c:v>0.46153846153846156</c:v>
                </c:pt>
                <c:pt idx="29">
                  <c:v>0.4375</c:v>
                </c:pt>
                <c:pt idx="30">
                  <c:v>0.4</c:v>
                </c:pt>
                <c:pt idx="31">
                  <c:v>0.35714285714285715</c:v>
                </c:pt>
                <c:pt idx="32">
                  <c:v>0.33333333333333331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094-4E5A-A6F2-172894CCDF13}"/>
            </c:ext>
          </c:extLst>
        </c:ser>
        <c:ser>
          <c:idx val="1"/>
          <c:order val="1"/>
          <c:tx>
            <c:strRef>
              <c:f>'MAGIST JUECES'!$AK$4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E5C2C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18"/>
            <c:invertIfNegative val="0"/>
            <c:bubble3D val="0"/>
            <c:spPr>
              <a:solidFill>
                <a:srgbClr val="F2D9B1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D094-4E5A-A6F2-172894CCDF1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'MAGIST JUECES'!$AI$5:$AI$37</c:f>
              <c:strCache>
                <c:ptCount val="33"/>
                <c:pt idx="0">
                  <c:v>CHIS</c:v>
                </c:pt>
                <c:pt idx="1">
                  <c:v>COAH</c:v>
                </c:pt>
                <c:pt idx="2">
                  <c:v>QROO</c:v>
                </c:pt>
                <c:pt idx="3">
                  <c:v>CHIH</c:v>
                </c:pt>
                <c:pt idx="4">
                  <c:v>NAY</c:v>
                </c:pt>
                <c:pt idx="5">
                  <c:v>PUE</c:v>
                </c:pt>
                <c:pt idx="6">
                  <c:v>TAMPS</c:v>
                </c:pt>
                <c:pt idx="7">
                  <c:v>MICH</c:v>
                </c:pt>
                <c:pt idx="8">
                  <c:v>SON</c:v>
                </c:pt>
                <c:pt idx="9">
                  <c:v>COL</c:v>
                </c:pt>
                <c:pt idx="10">
                  <c:v>MEX</c:v>
                </c:pt>
                <c:pt idx="11">
                  <c:v>JAL</c:v>
                </c:pt>
                <c:pt idx="12">
                  <c:v>AGS</c:v>
                </c:pt>
                <c:pt idx="13">
                  <c:v>BCS</c:v>
                </c:pt>
                <c:pt idx="14">
                  <c:v>NL</c:v>
                </c:pt>
                <c:pt idx="15">
                  <c:v>OAX</c:v>
                </c:pt>
                <c:pt idx="16">
                  <c:v>GRO</c:v>
                </c:pt>
                <c:pt idx="17">
                  <c:v>DGO</c:v>
                </c:pt>
                <c:pt idx="18">
                  <c:v>NACIONAL</c:v>
                </c:pt>
                <c:pt idx="19">
                  <c:v>QRO</c:v>
                </c:pt>
                <c:pt idx="20">
                  <c:v>CDMX</c:v>
                </c:pt>
                <c:pt idx="21">
                  <c:v>MOR</c:v>
                </c:pt>
                <c:pt idx="22">
                  <c:v>GTO</c:v>
                </c:pt>
                <c:pt idx="23">
                  <c:v>CAMP</c:v>
                </c:pt>
                <c:pt idx="24">
                  <c:v>SIN</c:v>
                </c:pt>
                <c:pt idx="25">
                  <c:v>YUC</c:v>
                </c:pt>
                <c:pt idx="26">
                  <c:v>VER</c:v>
                </c:pt>
                <c:pt idx="27">
                  <c:v>TAB</c:v>
                </c:pt>
                <c:pt idx="28">
                  <c:v>ZAC</c:v>
                </c:pt>
                <c:pt idx="29">
                  <c:v>BC</c:v>
                </c:pt>
                <c:pt idx="30">
                  <c:v>SLP</c:v>
                </c:pt>
                <c:pt idx="31">
                  <c:v>HGO</c:v>
                </c:pt>
                <c:pt idx="32">
                  <c:v>TLAX</c:v>
                </c:pt>
              </c:strCache>
            </c:strRef>
          </c:cat>
          <c:val>
            <c:numRef>
              <c:f>'MAGIST JUECES'!$AK$5:$AK$37</c:f>
              <c:numCache>
                <c:formatCode>0.0%</c:formatCode>
                <c:ptCount val="33"/>
                <c:pt idx="0">
                  <c:v>0.14285714285714285</c:v>
                </c:pt>
                <c:pt idx="1">
                  <c:v>0.15789473684210525</c:v>
                </c:pt>
                <c:pt idx="2">
                  <c:v>0.23076923076923078</c:v>
                </c:pt>
                <c:pt idx="3">
                  <c:v>0.23333333333333334</c:v>
                </c:pt>
                <c:pt idx="4">
                  <c:v>0.25</c:v>
                </c:pt>
                <c:pt idx="5">
                  <c:v>0.25</c:v>
                </c:pt>
                <c:pt idx="6">
                  <c:v>0.25</c:v>
                </c:pt>
                <c:pt idx="7">
                  <c:v>0.27777777777777779</c:v>
                </c:pt>
                <c:pt idx="8">
                  <c:v>0.27777777777777779</c:v>
                </c:pt>
                <c:pt idx="9">
                  <c:v>0.3</c:v>
                </c:pt>
                <c:pt idx="10">
                  <c:v>0.32142857142857145</c:v>
                </c:pt>
                <c:pt idx="11">
                  <c:v>0.3235294117647059</c:v>
                </c:pt>
                <c:pt idx="12">
                  <c:v>0.33333333333333331</c:v>
                </c:pt>
                <c:pt idx="13">
                  <c:v>0.33333333333333331</c:v>
                </c:pt>
                <c:pt idx="14">
                  <c:v>0.33333333333333331</c:v>
                </c:pt>
                <c:pt idx="15">
                  <c:v>0.33333333333333331</c:v>
                </c:pt>
                <c:pt idx="16">
                  <c:v>0.34782608695652173</c:v>
                </c:pt>
                <c:pt idx="17">
                  <c:v>0.36842105263157893</c:v>
                </c:pt>
                <c:pt idx="18">
                  <c:v>0.37380191693290737</c:v>
                </c:pt>
                <c:pt idx="19">
                  <c:v>0.41666666666666669</c:v>
                </c:pt>
                <c:pt idx="20">
                  <c:v>0.42424242424242425</c:v>
                </c:pt>
                <c:pt idx="21">
                  <c:v>0.44444444444444442</c:v>
                </c:pt>
                <c:pt idx="22">
                  <c:v>0.45</c:v>
                </c:pt>
                <c:pt idx="23">
                  <c:v>0.5</c:v>
                </c:pt>
                <c:pt idx="24">
                  <c:v>0.5</c:v>
                </c:pt>
                <c:pt idx="25">
                  <c:v>0.5</c:v>
                </c:pt>
                <c:pt idx="26">
                  <c:v>0.52</c:v>
                </c:pt>
                <c:pt idx="27">
                  <c:v>0.52631578947368418</c:v>
                </c:pt>
                <c:pt idx="28">
                  <c:v>0.53846153846153844</c:v>
                </c:pt>
                <c:pt idx="29">
                  <c:v>0.5625</c:v>
                </c:pt>
                <c:pt idx="30">
                  <c:v>0.6</c:v>
                </c:pt>
                <c:pt idx="31">
                  <c:v>0.6428571428571429</c:v>
                </c:pt>
                <c:pt idx="32">
                  <c:v>0.66666666666666663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094-4E5A-A6F2-172894CCDF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075776432"/>
        <c:axId val="1075806384"/>
      </c:barChart>
      <c:catAx>
        <c:axId val="107577643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75806384"/>
        <c:crosses val="autoZero"/>
        <c:auto val="1"/>
        <c:lblAlgn val="ctr"/>
        <c:lblOffset val="100"/>
        <c:noMultiLvlLbl val="0"/>
      </c:catAx>
      <c:valAx>
        <c:axId val="1075806384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1075776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4141787539715429"/>
          <c:y val="0.95951688865994555"/>
          <c:w val="0.32418179306534051"/>
          <c:h val="3.75695066460359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B2A499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28"/>
            <c:invertIfNegative val="0"/>
            <c:bubble3D val="0"/>
            <c:spPr>
              <a:solidFill>
                <a:srgbClr val="7F6858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5C4-4445-A619-446C033C61E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Fallecidos!$B$5:$B$33</c:f>
              <c:strCache>
                <c:ptCount val="29"/>
                <c:pt idx="0">
                  <c:v>COAH</c:v>
                </c:pt>
                <c:pt idx="1">
                  <c:v>JAL</c:v>
                </c:pt>
                <c:pt idx="2">
                  <c:v>NL</c:v>
                </c:pt>
                <c:pt idx="3">
                  <c:v>QRO</c:v>
                </c:pt>
                <c:pt idx="4">
                  <c:v>SIN</c:v>
                </c:pt>
                <c:pt idx="5">
                  <c:v>TLAX</c:v>
                </c:pt>
                <c:pt idx="6">
                  <c:v>YUC</c:v>
                </c:pt>
                <c:pt idx="7">
                  <c:v>CAMP</c:v>
                </c:pt>
                <c:pt idx="8">
                  <c:v>GTO</c:v>
                </c:pt>
                <c:pt idx="9">
                  <c:v>NAY</c:v>
                </c:pt>
                <c:pt idx="10">
                  <c:v>QROO</c:v>
                </c:pt>
                <c:pt idx="11">
                  <c:v>ZAC</c:v>
                </c:pt>
                <c:pt idx="12">
                  <c:v>DGO</c:v>
                </c:pt>
                <c:pt idx="13">
                  <c:v>HGO</c:v>
                </c:pt>
                <c:pt idx="14">
                  <c:v>OAX</c:v>
                </c:pt>
                <c:pt idx="15">
                  <c:v>BC</c:v>
                </c:pt>
                <c:pt idx="16">
                  <c:v>CHIH</c:v>
                </c:pt>
                <c:pt idx="17">
                  <c:v>SLP</c:v>
                </c:pt>
                <c:pt idx="18">
                  <c:v>SON</c:v>
                </c:pt>
                <c:pt idx="19">
                  <c:v>CHIS</c:v>
                </c:pt>
                <c:pt idx="20">
                  <c:v>TAMPS</c:v>
                </c:pt>
                <c:pt idx="21">
                  <c:v>MICH</c:v>
                </c:pt>
                <c:pt idx="22">
                  <c:v>GRO</c:v>
                </c:pt>
                <c:pt idx="23">
                  <c:v>MOR</c:v>
                </c:pt>
                <c:pt idx="24">
                  <c:v>TAB</c:v>
                </c:pt>
                <c:pt idx="25">
                  <c:v>PUE</c:v>
                </c:pt>
                <c:pt idx="26">
                  <c:v>VER</c:v>
                </c:pt>
                <c:pt idx="27">
                  <c:v>MEX</c:v>
                </c:pt>
                <c:pt idx="28">
                  <c:v>CDMX</c:v>
                </c:pt>
              </c:strCache>
            </c:strRef>
          </c:cat>
          <c:val>
            <c:numRef>
              <c:f>Fallecidos!$C$5:$C$33</c:f>
              <c:numCache>
                <c:formatCode>General</c:formatCode>
                <c:ptCount val="2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3</c:v>
                </c:pt>
                <c:pt idx="13">
                  <c:v>4</c:v>
                </c:pt>
                <c:pt idx="14">
                  <c:v>4</c:v>
                </c:pt>
                <c:pt idx="15">
                  <c:v>5</c:v>
                </c:pt>
                <c:pt idx="16">
                  <c:v>5</c:v>
                </c:pt>
                <c:pt idx="17">
                  <c:v>5</c:v>
                </c:pt>
                <c:pt idx="18">
                  <c:v>5</c:v>
                </c:pt>
                <c:pt idx="19">
                  <c:v>7</c:v>
                </c:pt>
                <c:pt idx="20">
                  <c:v>7</c:v>
                </c:pt>
                <c:pt idx="21">
                  <c:v>8</c:v>
                </c:pt>
                <c:pt idx="22">
                  <c:v>9</c:v>
                </c:pt>
                <c:pt idx="23">
                  <c:v>9</c:v>
                </c:pt>
                <c:pt idx="24">
                  <c:v>9</c:v>
                </c:pt>
                <c:pt idx="25">
                  <c:v>10</c:v>
                </c:pt>
                <c:pt idx="26">
                  <c:v>10</c:v>
                </c:pt>
                <c:pt idx="27">
                  <c:v>27</c:v>
                </c:pt>
                <c:pt idx="28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C4-4445-A619-446C033C61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73973904"/>
        <c:axId val="273975152"/>
      </c:barChart>
      <c:catAx>
        <c:axId val="273973904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73975152"/>
        <c:crosses val="autoZero"/>
        <c:auto val="1"/>
        <c:lblAlgn val="ctr"/>
        <c:lblOffset val="100"/>
        <c:noMultiLvlLbl val="0"/>
      </c:catAx>
      <c:valAx>
        <c:axId val="273975152"/>
        <c:scaling>
          <c:orientation val="minMax"/>
        </c:scaling>
        <c:delete val="1"/>
        <c:axPos val="r"/>
        <c:numFmt formatCode="General" sourceLinked="1"/>
        <c:majorTickMark val="none"/>
        <c:minorTickMark val="none"/>
        <c:tickLblPos val="nextTo"/>
        <c:crossAx val="273973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rgbClr val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181241324608368E-2"/>
          <c:y val="0.26743075453677173"/>
          <c:w val="0.95637517350783263"/>
          <c:h val="0.5926138172556511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C29B61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29B61"/>
              </a:solidFill>
              <a:ln w="9525">
                <a:solidFill>
                  <a:srgbClr val="C29B6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1"/>
              <c:layout>
                <c:manualLayout>
                  <c:x val="-3.0952548242594007E-2"/>
                  <c:y val="-0.1586114056659823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D58-45CB-881E-108BC42FC0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Presupuesto!$B$3:$B$14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Presupuesto!$C$3:$C$14</c:f>
              <c:numCache>
                <c:formatCode>#\ ###\ ##0.0</c:formatCode>
                <c:ptCount val="12"/>
                <c:pt idx="0">
                  <c:v>18222</c:v>
                </c:pt>
                <c:pt idx="1">
                  <c:v>17935.599999999999</c:v>
                </c:pt>
                <c:pt idx="2">
                  <c:v>22689.31192462</c:v>
                </c:pt>
                <c:pt idx="3">
                  <c:v>24451.110137810003</c:v>
                </c:pt>
                <c:pt idx="4">
                  <c:v>27169.519367159999</c:v>
                </c:pt>
                <c:pt idx="5">
                  <c:v>29379.522597560004</c:v>
                </c:pt>
                <c:pt idx="6">
                  <c:v>31512.803695079998</c:v>
                </c:pt>
                <c:pt idx="7">
                  <c:v>32573.300737319998</c:v>
                </c:pt>
                <c:pt idx="8">
                  <c:v>35124.938273989996</c:v>
                </c:pt>
                <c:pt idx="9">
                  <c:v>37316.797010000002</c:v>
                </c:pt>
                <c:pt idx="10">
                  <c:v>39410.231048000001</c:v>
                </c:pt>
                <c:pt idx="11">
                  <c:v>42089.915877860003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D58-45CB-881E-108BC42FC017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64578351"/>
        <c:axId val="1064561295"/>
      </c:lineChart>
      <c:catAx>
        <c:axId val="10645783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64561295"/>
        <c:crosses val="autoZero"/>
        <c:auto val="1"/>
        <c:lblAlgn val="ctr"/>
        <c:lblOffset val="100"/>
        <c:noMultiLvlLbl val="0"/>
      </c:catAx>
      <c:valAx>
        <c:axId val="1064561295"/>
        <c:scaling>
          <c:orientation val="minMax"/>
        </c:scaling>
        <c:delete val="1"/>
        <c:axPos val="l"/>
        <c:numFmt formatCode="#\ ###\ ##0.0" sourceLinked="1"/>
        <c:majorTickMark val="none"/>
        <c:minorTickMark val="none"/>
        <c:tickLblPos val="nextTo"/>
        <c:crossAx val="10645783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2D12E-16E3-4172-A92E-2C39DA02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4570</Words>
  <Characters>25140</Characters>
  <Application>Microsoft Office Word</Application>
  <DocSecurity>0</DocSecurity>
  <Lines>209</Lines>
  <Paragraphs>59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29651</CharactersWithSpaces>
  <SharedDoc>false</SharedDoc>
  <HLinks>
    <vt:vector size="18" baseType="variant">
      <vt:variant>
        <vt:i4>8061052</vt:i4>
      </vt:variant>
      <vt:variant>
        <vt:i4>6</vt:i4>
      </vt:variant>
      <vt:variant>
        <vt:i4>0</vt:i4>
      </vt:variant>
      <vt:variant>
        <vt:i4>5</vt:i4>
      </vt:variant>
      <vt:variant>
        <vt:lpwstr>https://www.inegi.org.mx/programas/cnijf/2022/</vt:lpwstr>
      </vt:variant>
      <vt:variant>
        <vt:lpwstr/>
      </vt:variant>
      <vt:variant>
        <vt:i4>6225973</vt:i4>
      </vt:variant>
      <vt:variant>
        <vt:i4>3</vt:i4>
      </vt:variant>
      <vt:variant>
        <vt:i4>0</vt:i4>
      </vt:variant>
      <vt:variant>
        <vt:i4>5</vt:i4>
      </vt:variant>
      <vt:variant>
        <vt:lpwstr>mailto:comunicacionsocial@inegi.org.mx</vt:lpwstr>
      </vt:variant>
      <vt:variant>
        <vt:lpwstr/>
      </vt:variant>
      <vt:variant>
        <vt:i4>8061052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https://www.inegi.org.mx/programas/cnijf/2022/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ACUNDO GARCIA IVONNE ERENDIRA</dc:creator>
  <cp:keywords/>
  <dc:description/>
  <cp:lastModifiedBy>MORONES RUIZ FABIOLA CRISTINA</cp:lastModifiedBy>
  <cp:revision>2</cp:revision>
  <cp:lastPrinted>2022-08-24T00:56:00Z</cp:lastPrinted>
  <dcterms:created xsi:type="dcterms:W3CDTF">2022-10-27T16:44:00Z</dcterms:created>
  <dcterms:modified xsi:type="dcterms:W3CDTF">2022-10-27T16:44:00Z</dcterms:modified>
</cp:coreProperties>
</file>