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61875621"/>
    <w:p w14:paraId="2E5DDAA9" w14:textId="77777777" w:rsidR="00493661" w:rsidRDefault="00493661" w:rsidP="00493661">
      <w:pPr>
        <w:pStyle w:val="Ttulo"/>
        <w:ind w:left="709"/>
        <w:rPr>
          <w:rFonts w:cs="Arial"/>
          <w:szCs w:val="24"/>
        </w:rPr>
      </w:pPr>
      <w:r>
        <w:rPr>
          <w:noProof/>
          <w:lang w:eastAsia="es-MX"/>
        </w:rPr>
        <mc:AlternateContent>
          <mc:Choice Requires="wps">
            <w:drawing>
              <wp:anchor distT="45720" distB="45720" distL="114300" distR="114300" simplePos="0" relativeHeight="251659264" behindDoc="0" locked="0" layoutInCell="1" allowOverlap="1" wp14:anchorId="357CBA2D" wp14:editId="0CFF21B9">
                <wp:simplePos x="0" y="0"/>
                <wp:positionH relativeFrom="column">
                  <wp:posOffset>3084479</wp:posOffset>
                </wp:positionH>
                <wp:positionV relativeFrom="paragraph">
                  <wp:posOffset>433</wp:posOffset>
                </wp:positionV>
                <wp:extent cx="3336290" cy="26670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1ECBF42F" w14:textId="6900D10B" w:rsidR="00493661" w:rsidRPr="003D4E37" w:rsidRDefault="00493661" w:rsidP="00493661">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w:t>
                            </w:r>
                            <w:r w:rsidR="00340587">
                              <w:rPr>
                                <w:b/>
                                <w:color w:val="FFFFFF" w:themeColor="background1"/>
                                <w:shd w:val="clear" w:color="auto" w:fill="365F91" w:themeFill="accent1" w:themeFillShade="BF"/>
                                <w:lang w:val="pt-BR"/>
                              </w:rPr>
                              <w:t>16</w:t>
                            </w:r>
                            <w:r>
                              <w:rPr>
                                <w:b/>
                                <w:color w:val="FFFFFF" w:themeColor="background1"/>
                                <w:shd w:val="clear" w:color="auto" w:fill="365F91" w:themeFill="accent1" w:themeFillShade="BF"/>
                                <w:lang w:val="pt-BR"/>
                              </w:rPr>
                              <w:t xml:space="preserve">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CBA2D" id="_x0000_t202" coordsize="21600,21600" o:spt="202" path="m,l,21600r21600,l21600,xe">
                <v:stroke joinstyle="miter"/>
                <v:path gradientshapeok="t" o:connecttype="rect"/>
              </v:shapetype>
              <v:shape id="Cuadro de texto 2"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" stroked="f">
                <v:textbox>
                  <w:txbxContent>
                    <w:p w14:paraId="1ECBF42F" w14:textId="6900D10B" w:rsidR="00493661" w:rsidRPr="003D4E37" w:rsidRDefault="00493661" w:rsidP="00493661">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w:t>
                      </w:r>
                      <w:r w:rsidR="00340587">
                        <w:rPr>
                          <w:b/>
                          <w:color w:val="FFFFFF" w:themeColor="background1"/>
                          <w:shd w:val="clear" w:color="auto" w:fill="365F91" w:themeFill="accent1" w:themeFillShade="BF"/>
                          <w:lang w:val="pt-BR"/>
                        </w:rPr>
                        <w:t>16</w:t>
                      </w:r>
                      <w:r>
                        <w:rPr>
                          <w:b/>
                          <w:color w:val="FFFFFF" w:themeColor="background1"/>
                          <w:shd w:val="clear" w:color="auto" w:fill="365F91" w:themeFill="accent1" w:themeFillShade="BF"/>
                          <w:lang w:val="pt-BR"/>
                        </w:rPr>
                        <w:t xml:space="preserve">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txbxContent>
                </v:textbox>
                <w10:wrap type="square"/>
              </v:shape>
            </w:pict>
          </mc:Fallback>
        </mc:AlternateContent>
      </w:r>
    </w:p>
    <w:p w14:paraId="619A592A" w14:textId="77777777" w:rsidR="00493661" w:rsidRDefault="00493661" w:rsidP="00493661">
      <w:pPr>
        <w:jc w:val="center"/>
        <w:rPr>
          <w:b/>
          <w:bCs/>
          <w:caps/>
          <w:sz w:val="28"/>
          <w:szCs w:val="28"/>
          <w:lang w:val="es-MX"/>
        </w:rPr>
      </w:pPr>
    </w:p>
    <w:p w14:paraId="795B7CF1" w14:textId="77777777" w:rsidR="00493661" w:rsidRPr="00C70BEE" w:rsidRDefault="00493661" w:rsidP="00493661">
      <w:pPr>
        <w:spacing w:before="360"/>
        <w:jc w:val="center"/>
        <w:rPr>
          <w:b/>
          <w:bCs/>
          <w:caps/>
          <w:lang w:val="es-MX"/>
        </w:rPr>
      </w:pPr>
      <w:r w:rsidRPr="00C70BEE">
        <w:rPr>
          <w:b/>
          <w:bCs/>
          <w:caps/>
          <w:lang w:val="es-MX"/>
        </w:rPr>
        <w:t xml:space="preserve">INDICADOR OPORTUNO DEL CONSUMO PRIVADO </w:t>
      </w:r>
    </w:p>
    <w:p w14:paraId="45D51DD7" w14:textId="77777777" w:rsidR="00493661" w:rsidRPr="00C70BEE" w:rsidRDefault="00493661" w:rsidP="00493661">
      <w:pPr>
        <w:jc w:val="center"/>
        <w:rPr>
          <w:b/>
          <w:spacing w:val="25"/>
          <w:lang w:val="es-MX"/>
        </w:rPr>
      </w:pPr>
      <w:r w:rsidRPr="00C70BEE">
        <w:rPr>
          <w:b/>
          <w:spacing w:val="25"/>
          <w:lang w:val="es-MX"/>
        </w:rPr>
        <w:t>OCTUBRE Y NOVIEMBRE DE 2022</w:t>
      </w:r>
    </w:p>
    <w:p w14:paraId="1BE6975A" w14:textId="77777777" w:rsidR="00493661" w:rsidRPr="00F52005" w:rsidRDefault="00493661" w:rsidP="00493661">
      <w:pPr>
        <w:pStyle w:val="bullet"/>
        <w:keepLines w:val="0"/>
        <w:numPr>
          <w:ilvl w:val="0"/>
          <w:numId w:val="27"/>
        </w:numPr>
        <w:spacing w:after="0"/>
        <w:ind w:left="1134" w:right="850" w:hanging="397"/>
        <w:rPr>
          <w:b w:val="0"/>
          <w:color w:val="auto"/>
          <w:szCs w:val="24"/>
        </w:rPr>
      </w:pPr>
      <w:r w:rsidRPr="00F52005">
        <w:rPr>
          <w:b w:val="0"/>
          <w:color w:val="auto"/>
          <w:szCs w:val="24"/>
        </w:rPr>
        <w:t>El Instituto Nacional de Estadística y Geografía (INEGI) presenta, por primera vez, los resultados del Indicador Oportuno del Consumo Privado (IOCP), que se publican como estadística experimental.</w:t>
      </w:r>
    </w:p>
    <w:p w14:paraId="78490DCA" w14:textId="77777777" w:rsidR="00493661" w:rsidRPr="00F52005" w:rsidRDefault="00493661" w:rsidP="00493661">
      <w:pPr>
        <w:pStyle w:val="bullet"/>
        <w:keepLines w:val="0"/>
        <w:numPr>
          <w:ilvl w:val="0"/>
          <w:numId w:val="27"/>
        </w:numPr>
        <w:spacing w:after="0"/>
        <w:ind w:left="1134" w:right="850" w:hanging="397"/>
        <w:rPr>
          <w:b w:val="0"/>
          <w:color w:val="auto"/>
          <w:szCs w:val="24"/>
        </w:rPr>
      </w:pPr>
      <w:r w:rsidRPr="00F52005">
        <w:rPr>
          <w:b w:val="0"/>
          <w:color w:val="auto"/>
          <w:szCs w:val="24"/>
        </w:rPr>
        <w:t>En octubre de 2022 y a tasa anual, el IOCP anticipa un aumento del Indicador Mensual del Consumo Privado en el Mercado Interior (IMCPMI) de 7.2 por ciento.</w:t>
      </w:r>
    </w:p>
    <w:p w14:paraId="25A30422" w14:textId="77777777" w:rsidR="00493661" w:rsidRPr="00F52005" w:rsidRDefault="00493661" w:rsidP="00493661">
      <w:pPr>
        <w:pStyle w:val="bullet"/>
        <w:keepLines w:val="0"/>
        <w:numPr>
          <w:ilvl w:val="0"/>
          <w:numId w:val="27"/>
        </w:numPr>
        <w:spacing w:after="0"/>
        <w:ind w:left="1134" w:right="850" w:hanging="397"/>
        <w:rPr>
          <w:b w:val="0"/>
          <w:color w:val="auto"/>
          <w:szCs w:val="24"/>
        </w:rPr>
      </w:pPr>
      <w:r w:rsidRPr="00F52005">
        <w:rPr>
          <w:b w:val="0"/>
          <w:color w:val="auto"/>
          <w:szCs w:val="24"/>
        </w:rPr>
        <w:t>En noviembre de 2022, el IOCP estima una variación anual del IMCPMI de 6.1 por ciento.</w:t>
      </w:r>
    </w:p>
    <w:p w14:paraId="79E248AA" w14:textId="77777777" w:rsidR="00493661" w:rsidRDefault="00493661" w:rsidP="00493661">
      <w:pPr>
        <w:spacing w:before="240"/>
        <w:ind w:right="49"/>
      </w:pPr>
      <w:r w:rsidRPr="00C70BEE">
        <w:rPr>
          <w:lang w:val="es-MX"/>
        </w:rPr>
        <w:t>Para octubre de 2022, el IOCP estima una variación a tasa anual del IMCPMI de 7.2 %, mientras que para noviembre de 2022 se calcula un alza anual de 6.1 por ciento. Las estimaciones realizadas presentan sus respectivos intervalos de confianza a 95 % para los meses de octubre y noviembre de 2022. Las estimaciones se refieren a cifras desestacionalizadas.</w:t>
      </w:r>
    </w:p>
    <w:p w14:paraId="790AAA6D" w14:textId="77777777" w:rsidR="00493661" w:rsidRPr="00835576" w:rsidRDefault="00493661" w:rsidP="00493661">
      <w:pPr>
        <w:pStyle w:val="Titcuadrograf"/>
        <w:ind w:left="0" w:right="49"/>
        <w:rPr>
          <w:sz w:val="16"/>
          <w:szCs w:val="16"/>
        </w:rPr>
      </w:pPr>
    </w:p>
    <w:p w14:paraId="2938FD6D" w14:textId="77777777" w:rsidR="00493661" w:rsidRPr="00E15E72" w:rsidRDefault="00493661" w:rsidP="00493661">
      <w:pPr>
        <w:pStyle w:val="Titcuadrograf"/>
        <w:spacing w:before="120"/>
        <w:ind w:left="0"/>
        <w:rPr>
          <w:sz w:val="22"/>
          <w:szCs w:val="22"/>
        </w:rPr>
      </w:pPr>
      <w:r>
        <w:rPr>
          <w:sz w:val="22"/>
          <w:szCs w:val="22"/>
        </w:rPr>
        <w:t>Indicador Oportuno</w:t>
      </w:r>
      <w:r w:rsidRPr="00E15E72">
        <w:rPr>
          <w:sz w:val="22"/>
          <w:szCs w:val="22"/>
        </w:rPr>
        <w:t xml:space="preserve"> </w:t>
      </w:r>
      <w:r>
        <w:rPr>
          <w:sz w:val="22"/>
          <w:szCs w:val="22"/>
        </w:rPr>
        <w:t>d</w:t>
      </w:r>
      <w:r w:rsidRPr="00E15E72">
        <w:rPr>
          <w:sz w:val="22"/>
          <w:szCs w:val="22"/>
        </w:rPr>
        <w:t>e</w:t>
      </w:r>
      <w:r>
        <w:rPr>
          <w:sz w:val="22"/>
          <w:szCs w:val="22"/>
        </w:rPr>
        <w:t>l Consumo Privado</w:t>
      </w:r>
    </w:p>
    <w:p w14:paraId="0A5F12BF" w14:textId="77777777" w:rsidR="00493661" w:rsidRPr="0023441F" w:rsidRDefault="00493661" w:rsidP="00493661">
      <w:pPr>
        <w:pStyle w:val="Titcuadrograf"/>
        <w:ind w:left="0"/>
        <w:rPr>
          <w:bCs/>
          <w:sz w:val="20"/>
          <w:szCs w:val="20"/>
        </w:rPr>
      </w:pPr>
      <w:r w:rsidRPr="0023441F">
        <w:rPr>
          <w:bCs/>
          <w:sz w:val="20"/>
          <w:szCs w:val="20"/>
        </w:rPr>
        <w:t>las estimaciones se refieren a cifras desestacionalizadas</w:t>
      </w:r>
    </w:p>
    <w:p w14:paraId="7C5EDC2F" w14:textId="77777777" w:rsidR="00493661" w:rsidRDefault="00493661" w:rsidP="00493661">
      <w:pPr>
        <w:pStyle w:val="Titcuadrograf"/>
        <w:ind w:left="0"/>
        <w:rPr>
          <w:b w:val="0"/>
          <w:smallCaps w:val="0"/>
          <w:sz w:val="18"/>
          <w:szCs w:val="18"/>
        </w:rPr>
      </w:pPr>
      <w:r w:rsidRPr="00F14FF8">
        <w:rPr>
          <w:b w:val="0"/>
          <w:smallCaps w:val="0"/>
          <w:sz w:val="18"/>
          <w:szCs w:val="18"/>
        </w:rPr>
        <w:t>(Variación porcentual real respecto al mismo mes del año anterior)</w:t>
      </w:r>
    </w:p>
    <w:tbl>
      <w:tblPr>
        <w:tblW w:w="6081" w:type="dxa"/>
        <w:jc w:val="center"/>
        <w:tblBorders>
          <w:top w:val="double" w:sz="2" w:space="0" w:color="1D1B11" w:themeColor="background2" w:themeShade="1A"/>
          <w:left w:val="double" w:sz="2" w:space="0" w:color="1D1B11" w:themeColor="background2" w:themeShade="1A"/>
          <w:bottom w:val="double" w:sz="2" w:space="0" w:color="1D1B11" w:themeColor="background2" w:themeShade="1A"/>
          <w:right w:val="double" w:sz="2" w:space="0" w:color="1D1B11" w:themeColor="background2" w:themeShade="1A"/>
          <w:insideH w:val="single" w:sz="2" w:space="0" w:color="4A442A" w:themeColor="background2" w:themeShade="40"/>
          <w:insideV w:val="single" w:sz="2" w:space="0" w:color="4A442A" w:themeColor="background2" w:themeShade="40"/>
        </w:tblBorders>
        <w:tblLayout w:type="fixed"/>
        <w:tblCellMar>
          <w:left w:w="70" w:type="dxa"/>
          <w:right w:w="70" w:type="dxa"/>
        </w:tblCellMar>
        <w:tblLook w:val="04A0" w:firstRow="1" w:lastRow="0" w:firstColumn="1" w:lastColumn="0" w:noHBand="0" w:noVBand="1"/>
      </w:tblPr>
      <w:tblGrid>
        <w:gridCol w:w="1742"/>
        <w:gridCol w:w="1446"/>
        <w:gridCol w:w="1446"/>
        <w:gridCol w:w="1447"/>
      </w:tblGrid>
      <w:tr w:rsidR="00493661" w:rsidRPr="0020223F" w14:paraId="5E4AAFA5" w14:textId="77777777" w:rsidTr="00AB6D3D">
        <w:trPr>
          <w:trHeight w:val="510"/>
          <w:jc w:val="center"/>
        </w:trPr>
        <w:tc>
          <w:tcPr>
            <w:tcW w:w="1742" w:type="dxa"/>
            <w:tcBorders>
              <w:top w:val="double" w:sz="2" w:space="0" w:color="1D1B11" w:themeColor="background2" w:themeShade="1A"/>
            </w:tcBorders>
            <w:shd w:val="clear" w:color="auto" w:fill="DDD9C3" w:themeFill="background2" w:themeFillShade="E6"/>
            <w:noWrap/>
            <w:vAlign w:val="center"/>
            <w:hideMark/>
          </w:tcPr>
          <w:p w14:paraId="5E31FD1F" w14:textId="77777777" w:rsidR="00493661" w:rsidRPr="0056429C" w:rsidRDefault="00493661" w:rsidP="00AB6D3D">
            <w:pPr>
              <w:jc w:val="center"/>
              <w:rPr>
                <w:color w:val="000000"/>
                <w:sz w:val="18"/>
                <w:szCs w:val="18"/>
                <w:lang w:val="es-MX" w:eastAsia="es-MX"/>
              </w:rPr>
            </w:pPr>
            <w:r w:rsidRPr="0056429C">
              <w:rPr>
                <w:color w:val="000000"/>
                <w:sz w:val="18"/>
                <w:szCs w:val="18"/>
                <w:lang w:eastAsia="es-MX"/>
              </w:rPr>
              <w:t>Mes de referencia</w:t>
            </w:r>
          </w:p>
        </w:tc>
        <w:tc>
          <w:tcPr>
            <w:tcW w:w="1446" w:type="dxa"/>
            <w:tcBorders>
              <w:top w:val="double" w:sz="2" w:space="0" w:color="1D1B11" w:themeColor="background2" w:themeShade="1A"/>
            </w:tcBorders>
            <w:shd w:val="clear" w:color="auto" w:fill="DDD9C3" w:themeFill="background2" w:themeFillShade="E6"/>
            <w:noWrap/>
            <w:vAlign w:val="center"/>
            <w:hideMark/>
          </w:tcPr>
          <w:p w14:paraId="3EC86674" w14:textId="77777777" w:rsidR="00493661" w:rsidRPr="0056429C" w:rsidRDefault="00493661" w:rsidP="00AB6D3D">
            <w:pPr>
              <w:jc w:val="center"/>
              <w:rPr>
                <w:color w:val="000000"/>
                <w:sz w:val="18"/>
                <w:szCs w:val="18"/>
                <w:lang w:eastAsia="es-MX"/>
              </w:rPr>
            </w:pPr>
            <w:r w:rsidRPr="0056429C">
              <w:rPr>
                <w:color w:val="000000"/>
                <w:sz w:val="18"/>
                <w:szCs w:val="18"/>
                <w:lang w:eastAsia="es-MX"/>
              </w:rPr>
              <w:t>Inferior</w:t>
            </w:r>
          </w:p>
        </w:tc>
        <w:tc>
          <w:tcPr>
            <w:tcW w:w="1446" w:type="dxa"/>
            <w:tcBorders>
              <w:top w:val="double" w:sz="2" w:space="0" w:color="1D1B11" w:themeColor="background2" w:themeShade="1A"/>
            </w:tcBorders>
            <w:shd w:val="clear" w:color="auto" w:fill="DDD9C3" w:themeFill="background2" w:themeFillShade="E6"/>
            <w:vAlign w:val="center"/>
          </w:tcPr>
          <w:p w14:paraId="290F41F7" w14:textId="77777777" w:rsidR="00493661" w:rsidRPr="0056429C" w:rsidRDefault="00493661" w:rsidP="00AB6D3D">
            <w:pPr>
              <w:jc w:val="center"/>
              <w:rPr>
                <w:color w:val="000000"/>
                <w:sz w:val="18"/>
                <w:szCs w:val="18"/>
                <w:lang w:eastAsia="es-MX"/>
              </w:rPr>
            </w:pPr>
            <w:r w:rsidRPr="0056429C">
              <w:rPr>
                <w:color w:val="000000"/>
                <w:sz w:val="18"/>
                <w:szCs w:val="18"/>
                <w:lang w:eastAsia="es-MX"/>
              </w:rPr>
              <w:t>Nowcast</w:t>
            </w:r>
            <w:r w:rsidRPr="005E39C0">
              <w:rPr>
                <w:color w:val="000000"/>
                <w:sz w:val="20"/>
                <w:szCs w:val="20"/>
                <w:vertAlign w:val="superscript"/>
                <w:lang w:eastAsia="es-MX"/>
              </w:rPr>
              <w:t>1/</w:t>
            </w:r>
          </w:p>
        </w:tc>
        <w:tc>
          <w:tcPr>
            <w:tcW w:w="1447" w:type="dxa"/>
            <w:tcBorders>
              <w:top w:val="double" w:sz="2" w:space="0" w:color="1D1B11" w:themeColor="background2" w:themeShade="1A"/>
            </w:tcBorders>
            <w:shd w:val="clear" w:color="auto" w:fill="DDD9C3" w:themeFill="background2" w:themeFillShade="E6"/>
            <w:vAlign w:val="center"/>
          </w:tcPr>
          <w:p w14:paraId="496261B1" w14:textId="77777777" w:rsidR="00493661" w:rsidRPr="0056429C" w:rsidRDefault="00493661" w:rsidP="00AB6D3D">
            <w:pPr>
              <w:jc w:val="center"/>
              <w:rPr>
                <w:color w:val="000000"/>
                <w:sz w:val="18"/>
                <w:szCs w:val="18"/>
                <w:lang w:eastAsia="es-MX"/>
              </w:rPr>
            </w:pPr>
            <w:r w:rsidRPr="0056429C">
              <w:rPr>
                <w:color w:val="000000"/>
                <w:sz w:val="18"/>
                <w:szCs w:val="18"/>
                <w:lang w:eastAsia="es-MX"/>
              </w:rPr>
              <w:t>Superior</w:t>
            </w:r>
          </w:p>
        </w:tc>
      </w:tr>
      <w:tr w:rsidR="00493661" w:rsidRPr="0020223F" w14:paraId="40F86D39" w14:textId="77777777" w:rsidTr="00AB6D3D">
        <w:trPr>
          <w:trHeight w:val="340"/>
          <w:jc w:val="center"/>
        </w:trPr>
        <w:tc>
          <w:tcPr>
            <w:tcW w:w="1742" w:type="dxa"/>
            <w:tcBorders>
              <w:top w:val="single" w:sz="2" w:space="0" w:color="4A442A" w:themeColor="background2" w:themeShade="40"/>
              <w:bottom w:val="nil"/>
            </w:tcBorders>
            <w:noWrap/>
            <w:vAlign w:val="center"/>
            <w:hideMark/>
          </w:tcPr>
          <w:p w14:paraId="72413FCE" w14:textId="77777777" w:rsidR="00493661" w:rsidRPr="00EC1A1D" w:rsidRDefault="00493661" w:rsidP="00AB6D3D">
            <w:pPr>
              <w:ind w:left="227"/>
              <w:jc w:val="left"/>
              <w:rPr>
                <w:color w:val="000000"/>
                <w:sz w:val="18"/>
                <w:szCs w:val="18"/>
                <w:lang w:eastAsia="es-MX"/>
              </w:rPr>
            </w:pPr>
            <w:r w:rsidRPr="00EC1A1D">
              <w:rPr>
                <w:sz w:val="18"/>
                <w:szCs w:val="18"/>
              </w:rPr>
              <w:t>2022/10</w:t>
            </w:r>
          </w:p>
        </w:tc>
        <w:tc>
          <w:tcPr>
            <w:tcW w:w="1446" w:type="dxa"/>
            <w:tcBorders>
              <w:top w:val="single" w:sz="2" w:space="0" w:color="4A442A" w:themeColor="background2" w:themeShade="40"/>
              <w:bottom w:val="nil"/>
            </w:tcBorders>
            <w:noWrap/>
            <w:vAlign w:val="center"/>
            <w:hideMark/>
          </w:tcPr>
          <w:p w14:paraId="4C39AD22" w14:textId="77777777" w:rsidR="00493661" w:rsidRPr="00EC1A1D" w:rsidRDefault="00493661" w:rsidP="00AB6D3D">
            <w:pPr>
              <w:widowControl w:val="0"/>
              <w:jc w:val="center"/>
              <w:rPr>
                <w:color w:val="000000"/>
                <w:sz w:val="18"/>
                <w:szCs w:val="18"/>
                <w:lang w:eastAsia="es-MX"/>
              </w:rPr>
            </w:pPr>
            <w:r w:rsidRPr="00EC1A1D">
              <w:rPr>
                <w:sz w:val="18"/>
                <w:szCs w:val="18"/>
              </w:rPr>
              <w:t>5.5</w:t>
            </w:r>
          </w:p>
        </w:tc>
        <w:tc>
          <w:tcPr>
            <w:tcW w:w="1446" w:type="dxa"/>
            <w:tcBorders>
              <w:top w:val="single" w:sz="2" w:space="0" w:color="4A442A" w:themeColor="background2" w:themeShade="40"/>
              <w:bottom w:val="nil"/>
            </w:tcBorders>
            <w:noWrap/>
            <w:vAlign w:val="center"/>
            <w:hideMark/>
          </w:tcPr>
          <w:p w14:paraId="5BB3CF63" w14:textId="77777777" w:rsidR="00493661" w:rsidRPr="00EC1A1D" w:rsidRDefault="00493661" w:rsidP="00AB6D3D">
            <w:pPr>
              <w:widowControl w:val="0"/>
              <w:jc w:val="center"/>
              <w:rPr>
                <w:color w:val="000000"/>
                <w:sz w:val="18"/>
                <w:szCs w:val="18"/>
                <w:lang w:eastAsia="es-MX"/>
              </w:rPr>
            </w:pPr>
            <w:r w:rsidRPr="00EC1A1D">
              <w:rPr>
                <w:sz w:val="18"/>
                <w:szCs w:val="18"/>
              </w:rPr>
              <w:t>7.2</w:t>
            </w:r>
          </w:p>
        </w:tc>
        <w:tc>
          <w:tcPr>
            <w:tcW w:w="1447" w:type="dxa"/>
            <w:tcBorders>
              <w:top w:val="single" w:sz="2" w:space="0" w:color="4A442A" w:themeColor="background2" w:themeShade="40"/>
              <w:bottom w:val="nil"/>
            </w:tcBorders>
            <w:noWrap/>
            <w:vAlign w:val="center"/>
            <w:hideMark/>
          </w:tcPr>
          <w:p w14:paraId="1C27E13C" w14:textId="77777777" w:rsidR="00493661" w:rsidRPr="00EC1A1D" w:rsidRDefault="00493661" w:rsidP="00AB6D3D">
            <w:pPr>
              <w:widowControl w:val="0"/>
              <w:jc w:val="center"/>
              <w:rPr>
                <w:color w:val="000000"/>
                <w:sz w:val="18"/>
                <w:szCs w:val="18"/>
                <w:lang w:eastAsia="es-MX"/>
              </w:rPr>
            </w:pPr>
            <w:r w:rsidRPr="00EC1A1D">
              <w:rPr>
                <w:sz w:val="18"/>
                <w:szCs w:val="18"/>
              </w:rPr>
              <w:t>8.7</w:t>
            </w:r>
          </w:p>
        </w:tc>
      </w:tr>
      <w:tr w:rsidR="00493661" w:rsidRPr="0020223F" w14:paraId="3851CB1F" w14:textId="77777777" w:rsidTr="00AB6D3D">
        <w:trPr>
          <w:trHeight w:val="340"/>
          <w:jc w:val="center"/>
        </w:trPr>
        <w:tc>
          <w:tcPr>
            <w:tcW w:w="1742" w:type="dxa"/>
            <w:tcBorders>
              <w:top w:val="nil"/>
              <w:bottom w:val="double" w:sz="2" w:space="0" w:color="1D1B11" w:themeColor="background2" w:themeShade="1A"/>
            </w:tcBorders>
            <w:noWrap/>
            <w:vAlign w:val="center"/>
            <w:hideMark/>
          </w:tcPr>
          <w:p w14:paraId="158306EA" w14:textId="77777777" w:rsidR="00493661" w:rsidRPr="00EC1A1D" w:rsidRDefault="00493661" w:rsidP="00AB6D3D">
            <w:pPr>
              <w:ind w:left="227"/>
              <w:jc w:val="left"/>
              <w:rPr>
                <w:color w:val="000000"/>
                <w:sz w:val="18"/>
                <w:szCs w:val="18"/>
                <w:lang w:eastAsia="es-MX"/>
              </w:rPr>
            </w:pPr>
            <w:r w:rsidRPr="00EC1A1D">
              <w:rPr>
                <w:sz w:val="18"/>
                <w:szCs w:val="18"/>
              </w:rPr>
              <w:t>2022/11</w:t>
            </w:r>
          </w:p>
        </w:tc>
        <w:tc>
          <w:tcPr>
            <w:tcW w:w="1446" w:type="dxa"/>
            <w:tcBorders>
              <w:top w:val="nil"/>
              <w:bottom w:val="double" w:sz="2" w:space="0" w:color="1D1B11" w:themeColor="background2" w:themeShade="1A"/>
            </w:tcBorders>
            <w:noWrap/>
            <w:vAlign w:val="center"/>
            <w:hideMark/>
          </w:tcPr>
          <w:p w14:paraId="5EAD055D" w14:textId="77777777" w:rsidR="00493661" w:rsidRPr="00EC1A1D" w:rsidRDefault="00493661" w:rsidP="00AB6D3D">
            <w:pPr>
              <w:widowControl w:val="0"/>
              <w:jc w:val="center"/>
              <w:rPr>
                <w:color w:val="000000"/>
                <w:sz w:val="18"/>
                <w:szCs w:val="18"/>
                <w:lang w:eastAsia="es-MX"/>
              </w:rPr>
            </w:pPr>
            <w:r w:rsidRPr="00EC1A1D">
              <w:rPr>
                <w:sz w:val="18"/>
                <w:szCs w:val="18"/>
              </w:rPr>
              <w:t>4.4</w:t>
            </w:r>
          </w:p>
        </w:tc>
        <w:tc>
          <w:tcPr>
            <w:tcW w:w="1446" w:type="dxa"/>
            <w:tcBorders>
              <w:top w:val="nil"/>
              <w:bottom w:val="double" w:sz="2" w:space="0" w:color="1D1B11" w:themeColor="background2" w:themeShade="1A"/>
            </w:tcBorders>
            <w:noWrap/>
            <w:vAlign w:val="center"/>
            <w:hideMark/>
          </w:tcPr>
          <w:p w14:paraId="2EB3B021" w14:textId="77777777" w:rsidR="00493661" w:rsidRPr="00EC1A1D" w:rsidRDefault="00493661" w:rsidP="00AB6D3D">
            <w:pPr>
              <w:widowControl w:val="0"/>
              <w:jc w:val="center"/>
              <w:rPr>
                <w:color w:val="000000"/>
                <w:sz w:val="18"/>
                <w:szCs w:val="18"/>
                <w:lang w:eastAsia="es-MX"/>
              </w:rPr>
            </w:pPr>
            <w:r w:rsidRPr="00EC1A1D">
              <w:rPr>
                <w:sz w:val="18"/>
                <w:szCs w:val="18"/>
              </w:rPr>
              <w:t>6.1</w:t>
            </w:r>
          </w:p>
        </w:tc>
        <w:tc>
          <w:tcPr>
            <w:tcW w:w="1447" w:type="dxa"/>
            <w:tcBorders>
              <w:top w:val="nil"/>
              <w:bottom w:val="double" w:sz="2" w:space="0" w:color="1D1B11" w:themeColor="background2" w:themeShade="1A"/>
            </w:tcBorders>
            <w:shd w:val="clear" w:color="auto" w:fill="auto"/>
            <w:noWrap/>
            <w:vAlign w:val="center"/>
            <w:hideMark/>
          </w:tcPr>
          <w:p w14:paraId="3E78B8AE" w14:textId="77777777" w:rsidR="00493661" w:rsidRPr="00EC1A1D" w:rsidRDefault="00493661" w:rsidP="00AB6D3D">
            <w:pPr>
              <w:widowControl w:val="0"/>
              <w:jc w:val="center"/>
              <w:rPr>
                <w:color w:val="000000"/>
                <w:sz w:val="18"/>
                <w:szCs w:val="18"/>
                <w:lang w:eastAsia="es-MX"/>
              </w:rPr>
            </w:pPr>
            <w:r w:rsidRPr="00EC1A1D">
              <w:rPr>
                <w:sz w:val="18"/>
                <w:szCs w:val="18"/>
              </w:rPr>
              <w:t>7.8</w:t>
            </w:r>
          </w:p>
        </w:tc>
      </w:tr>
    </w:tbl>
    <w:p w14:paraId="34EA2AEC" w14:textId="77777777" w:rsidR="00493661" w:rsidRPr="00D61B27" w:rsidRDefault="00493661" w:rsidP="00D13933">
      <w:pPr>
        <w:pStyle w:val="pie"/>
        <w:spacing w:after="0"/>
        <w:ind w:left="2552" w:right="2034" w:hanging="602"/>
        <w:rPr>
          <w:lang w:val="es-MX"/>
        </w:rPr>
      </w:pPr>
      <w:r w:rsidRPr="00D61B27">
        <w:rPr>
          <w:lang w:val="es-MX"/>
        </w:rPr>
        <w:t>Nota:</w:t>
      </w:r>
      <w:r w:rsidRPr="00D61B27">
        <w:rPr>
          <w:lang w:val="es-MX"/>
        </w:rPr>
        <w:tab/>
        <w:t xml:space="preserve">Intervalos de confianza a 95 </w:t>
      </w:r>
      <w:r>
        <w:rPr>
          <w:lang w:val="es-MX"/>
        </w:rPr>
        <w:t>%</w:t>
      </w:r>
    </w:p>
    <w:p w14:paraId="167D5E3A" w14:textId="77777777" w:rsidR="00493661" w:rsidRPr="00D61B27" w:rsidRDefault="00493661" w:rsidP="00D13933">
      <w:pPr>
        <w:pStyle w:val="pie"/>
        <w:spacing w:after="0"/>
        <w:ind w:left="2552" w:right="2034" w:hanging="602"/>
        <w:rPr>
          <w:lang w:val="es-MX"/>
        </w:rPr>
      </w:pPr>
      <w:r w:rsidRPr="00022E0E">
        <w:rPr>
          <w:sz w:val="18"/>
          <w:szCs w:val="18"/>
          <w:vertAlign w:val="superscript"/>
          <w:lang w:val="es-MX"/>
        </w:rPr>
        <w:t>1</w:t>
      </w:r>
      <w:r w:rsidRPr="0023441F">
        <w:rPr>
          <w:sz w:val="18"/>
          <w:szCs w:val="18"/>
          <w:vertAlign w:val="superscript"/>
          <w:lang w:val="es-MX"/>
        </w:rPr>
        <w:t>/</w:t>
      </w:r>
      <w:r>
        <w:rPr>
          <w:vertAlign w:val="superscript"/>
          <w:lang w:val="es-MX"/>
        </w:rPr>
        <w:tab/>
      </w:r>
      <w:r w:rsidRPr="00D61B27">
        <w:rPr>
          <w:lang w:val="es-MX"/>
        </w:rPr>
        <w:t>Estimación oportuna que aprovecha la asociación estadística entre la variable que se desea estimar —en este caso el IMCPMI — y otras variables más oportunas que esta.</w:t>
      </w:r>
    </w:p>
    <w:p w14:paraId="62949D47" w14:textId="77777777" w:rsidR="00493661" w:rsidRPr="00D61B27" w:rsidRDefault="00493661" w:rsidP="00D13933">
      <w:pPr>
        <w:pStyle w:val="pie"/>
        <w:ind w:left="2552" w:right="2034" w:hanging="602"/>
        <w:rPr>
          <w:lang w:val="es-MX"/>
        </w:rPr>
      </w:pPr>
      <w:r w:rsidRPr="00D61B27">
        <w:rPr>
          <w:lang w:val="es-MX"/>
        </w:rPr>
        <w:t>Fuente: INEGI</w:t>
      </w:r>
    </w:p>
    <w:p w14:paraId="7A628E32" w14:textId="77777777" w:rsidR="00493661" w:rsidRDefault="00493661" w:rsidP="00493661">
      <w:pPr>
        <w:pStyle w:val="Titcuadrograf"/>
        <w:ind w:left="0"/>
        <w:rPr>
          <w:sz w:val="22"/>
          <w:szCs w:val="22"/>
        </w:rPr>
      </w:pPr>
    </w:p>
    <w:p w14:paraId="31F61976" w14:textId="77777777" w:rsidR="00493661" w:rsidRDefault="00493661" w:rsidP="00493661">
      <w:pPr>
        <w:pStyle w:val="Titcuadrograf"/>
        <w:spacing w:before="120"/>
        <w:ind w:left="0"/>
        <w:rPr>
          <w:sz w:val="22"/>
          <w:szCs w:val="22"/>
        </w:rPr>
      </w:pPr>
    </w:p>
    <w:p w14:paraId="493BA31A" w14:textId="77777777" w:rsidR="00493661" w:rsidRPr="0015134E" w:rsidRDefault="00493661" w:rsidP="00493661">
      <w:pPr>
        <w:spacing w:before="120"/>
        <w:jc w:val="center"/>
        <w:rPr>
          <w:sz w:val="22"/>
          <w:szCs w:val="22"/>
        </w:rPr>
      </w:pPr>
      <w:r w:rsidRPr="0015134E">
        <w:rPr>
          <w:sz w:val="22"/>
          <w:szCs w:val="22"/>
        </w:rPr>
        <w:t xml:space="preserve">Para consultas de medios y periodistas, escribir a: </w:t>
      </w:r>
      <w:hyperlink r:id="rId8" w:history="1">
        <w:r w:rsidRPr="0015134E">
          <w:rPr>
            <w:rStyle w:val="Hipervnculo"/>
            <w:sz w:val="22"/>
            <w:szCs w:val="22"/>
          </w:rPr>
          <w:t>comunicacionsocial@inegi.org.mx</w:t>
        </w:r>
      </w:hyperlink>
    </w:p>
    <w:p w14:paraId="0FECF11E" w14:textId="77777777" w:rsidR="00493661" w:rsidRPr="0015134E" w:rsidRDefault="00493661" w:rsidP="00493661">
      <w:pPr>
        <w:pStyle w:val="NormalWeb"/>
        <w:spacing w:before="0" w:beforeAutospacing="0" w:after="0" w:afterAutospacing="0"/>
        <w:ind w:left="-426" w:right="-518"/>
        <w:contextualSpacing/>
        <w:jc w:val="center"/>
        <w:rPr>
          <w:rFonts w:ascii="Arial" w:hAnsi="Arial" w:cs="Arial"/>
          <w:sz w:val="22"/>
          <w:szCs w:val="22"/>
        </w:rPr>
      </w:pPr>
      <w:r w:rsidRPr="0015134E">
        <w:rPr>
          <w:rFonts w:ascii="Arial" w:hAnsi="Arial" w:cs="Arial"/>
          <w:sz w:val="22"/>
          <w:szCs w:val="22"/>
        </w:rPr>
        <w:t xml:space="preserve">o llamar al teléfono (55) 52-78-10-00, </w:t>
      </w:r>
      <w:proofErr w:type="spellStart"/>
      <w:r w:rsidRPr="0015134E">
        <w:rPr>
          <w:rFonts w:ascii="Arial" w:hAnsi="Arial" w:cs="Arial"/>
          <w:sz w:val="22"/>
          <w:szCs w:val="22"/>
        </w:rPr>
        <w:t>exts</w:t>
      </w:r>
      <w:proofErr w:type="spellEnd"/>
      <w:r w:rsidRPr="0015134E">
        <w:rPr>
          <w:rFonts w:ascii="Arial" w:hAnsi="Arial" w:cs="Arial"/>
          <w:sz w:val="22"/>
          <w:szCs w:val="22"/>
        </w:rPr>
        <w:t>. 1134, 1260 y 1241.</w:t>
      </w:r>
    </w:p>
    <w:p w14:paraId="0FEAC91E" w14:textId="77777777" w:rsidR="00493661" w:rsidRPr="0015134E" w:rsidRDefault="00493661" w:rsidP="00493661">
      <w:pPr>
        <w:pStyle w:val="NormalWeb"/>
        <w:spacing w:before="0" w:beforeAutospacing="0" w:after="0" w:afterAutospacing="0"/>
        <w:ind w:left="-426" w:right="-518"/>
        <w:contextualSpacing/>
        <w:jc w:val="center"/>
        <w:rPr>
          <w:rFonts w:ascii="Arial" w:hAnsi="Arial" w:cs="Arial"/>
          <w:sz w:val="22"/>
          <w:szCs w:val="22"/>
        </w:rPr>
      </w:pPr>
    </w:p>
    <w:p w14:paraId="3D3246BC" w14:textId="77777777" w:rsidR="00493661" w:rsidRPr="0015134E" w:rsidRDefault="00493661" w:rsidP="00493661">
      <w:pPr>
        <w:pStyle w:val="NormalWeb"/>
        <w:spacing w:before="0" w:beforeAutospacing="0" w:after="0" w:afterAutospacing="0"/>
        <w:ind w:left="-426" w:right="-518"/>
        <w:contextualSpacing/>
        <w:jc w:val="center"/>
        <w:rPr>
          <w:rFonts w:ascii="Arial" w:hAnsi="Arial" w:cs="Arial"/>
          <w:sz w:val="22"/>
          <w:szCs w:val="22"/>
        </w:rPr>
      </w:pPr>
      <w:r w:rsidRPr="0015134E">
        <w:rPr>
          <w:rFonts w:ascii="Arial" w:hAnsi="Arial" w:cs="Arial"/>
          <w:sz w:val="22"/>
          <w:szCs w:val="22"/>
        </w:rPr>
        <w:t>Dirección de Atención a Medios / Dirección General Adjunta de Comunicación</w:t>
      </w:r>
    </w:p>
    <w:p w14:paraId="4CD07509" w14:textId="77777777" w:rsidR="00493661" w:rsidRPr="00732505" w:rsidRDefault="00493661" w:rsidP="00493661">
      <w:pPr>
        <w:pStyle w:val="NormalWeb"/>
        <w:spacing w:before="0" w:beforeAutospacing="0" w:after="0" w:afterAutospacing="0"/>
        <w:ind w:left="-426" w:right="-518"/>
        <w:contextualSpacing/>
        <w:jc w:val="center"/>
        <w:rPr>
          <w:rFonts w:ascii="Arial" w:hAnsi="Arial" w:cs="Arial"/>
          <w:sz w:val="20"/>
          <w:szCs w:val="20"/>
        </w:rPr>
      </w:pPr>
    </w:p>
    <w:p w14:paraId="7426B2D5" w14:textId="77777777" w:rsidR="00493661" w:rsidRPr="008F0992" w:rsidRDefault="00493661" w:rsidP="00493661">
      <w:pPr>
        <w:spacing w:before="120"/>
        <w:ind w:left="-425" w:right="-516"/>
        <w:contextualSpacing/>
        <w:jc w:val="center"/>
        <w:rPr>
          <w:noProof/>
          <w:lang w:eastAsia="es-MX"/>
        </w:rPr>
      </w:pPr>
      <w:r w:rsidRPr="00FF1218">
        <w:rPr>
          <w:noProof/>
          <w:lang w:val="es-MX" w:eastAsia="es-MX"/>
        </w:rPr>
        <w:drawing>
          <wp:inline distT="0" distB="0" distL="0" distR="0" wp14:anchorId="32BD73B9" wp14:editId="290D5EEB">
            <wp:extent cx="274320" cy="365760"/>
            <wp:effectExtent l="0" t="0" r="0" b="0"/>
            <wp:docPr id="11" name="Imagen 1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0FF27A1" wp14:editId="579FFF30">
            <wp:extent cx="365760" cy="365760"/>
            <wp:effectExtent l="0" t="0" r="0" b="0"/>
            <wp:docPr id="12" name="Imagen 1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00DBB04" wp14:editId="19CC60F2">
            <wp:extent cx="365760" cy="365760"/>
            <wp:effectExtent l="0" t="0" r="0" b="0"/>
            <wp:docPr id="13" name="Imagen 13"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0AFEB3F" wp14:editId="07E0A6BB">
            <wp:extent cx="365760" cy="365760"/>
            <wp:effectExtent l="0" t="0" r="0" b="0"/>
            <wp:docPr id="14" name="Imagen 14"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0691B6A" wp14:editId="6B4D9649">
            <wp:extent cx="2286000" cy="274320"/>
            <wp:effectExtent l="0" t="0" r="0" b="0"/>
            <wp:docPr id="16" name="Imagen 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BA78A0C" w14:textId="77777777" w:rsidR="00493661" w:rsidRDefault="00493661" w:rsidP="00493661">
      <w:pPr>
        <w:ind w:left="-567"/>
        <w:jc w:val="center"/>
        <w:rPr>
          <w:noProof/>
          <w:lang w:eastAsia="es-MX"/>
        </w:rPr>
        <w:sectPr w:rsidR="00493661" w:rsidSect="001C1C89">
          <w:headerReference w:type="even" r:id="rId19"/>
          <w:headerReference w:type="default" r:id="rId20"/>
          <w:footerReference w:type="even" r:id="rId21"/>
          <w:footerReference w:type="default" r:id="rId22"/>
          <w:headerReference w:type="first" r:id="rId23"/>
          <w:footerReference w:type="first" r:id="rId24"/>
          <w:pgSz w:w="12240" w:h="15840"/>
          <w:pgMar w:top="1418" w:right="1134" w:bottom="1276" w:left="1134" w:header="709" w:footer="709" w:gutter="0"/>
          <w:cols w:space="708"/>
          <w:docGrid w:linePitch="360"/>
        </w:sectPr>
      </w:pPr>
    </w:p>
    <w:bookmarkEnd w:id="0"/>
    <w:p w14:paraId="35679ACB" w14:textId="77777777" w:rsidR="00493661" w:rsidRPr="00D028D3" w:rsidRDefault="00493661" w:rsidP="00493661">
      <w:pPr>
        <w:pStyle w:val="Profesin"/>
        <w:outlineLvl w:val="0"/>
        <w:rPr>
          <w:sz w:val="24"/>
          <w:szCs w:val="24"/>
          <w:lang w:val="es-MX"/>
        </w:rPr>
      </w:pPr>
      <w:r w:rsidRPr="00D028D3">
        <w:rPr>
          <w:sz w:val="24"/>
          <w:szCs w:val="24"/>
          <w:lang w:val="es-MX"/>
        </w:rPr>
        <w:lastRenderedPageBreak/>
        <w:t>ANEXO</w:t>
      </w:r>
    </w:p>
    <w:p w14:paraId="62AA2C92" w14:textId="77777777" w:rsidR="00493661" w:rsidRPr="00D028D3" w:rsidRDefault="00493661" w:rsidP="00493661">
      <w:pPr>
        <w:pStyle w:val="Profesin"/>
        <w:spacing w:before="360"/>
        <w:outlineLvl w:val="0"/>
        <w:rPr>
          <w:sz w:val="24"/>
          <w:szCs w:val="24"/>
          <w:lang w:val="es-MX"/>
        </w:rPr>
      </w:pPr>
      <w:r w:rsidRPr="00D028D3">
        <w:rPr>
          <w:sz w:val="24"/>
          <w:szCs w:val="24"/>
          <w:lang w:val="es-MX"/>
        </w:rPr>
        <w:t>Nota técnica</w:t>
      </w:r>
    </w:p>
    <w:p w14:paraId="399E50A2" w14:textId="04481560" w:rsidR="00797EBB" w:rsidRPr="00797EBB" w:rsidRDefault="00080BF7" w:rsidP="00493661">
      <w:pPr>
        <w:spacing w:before="480"/>
        <w:rPr>
          <w:lang w:val="es-MX"/>
        </w:rPr>
      </w:pPr>
      <w:bookmarkStart w:id="2" w:name="_Hlk114568992"/>
      <w:bookmarkStart w:id="3" w:name="_Hlk115873333"/>
      <w:r>
        <w:rPr>
          <w:lang w:val="es-MX"/>
        </w:rPr>
        <w:t>El Instituto Nacional de Estadística y Geografía</w:t>
      </w:r>
      <w:r w:rsidR="00F75CD0">
        <w:rPr>
          <w:lang w:val="es-MX"/>
        </w:rPr>
        <w:t xml:space="preserve"> (INEGI)</w:t>
      </w:r>
      <w:r>
        <w:rPr>
          <w:lang w:val="es-MX"/>
        </w:rPr>
        <w:t xml:space="preserve"> </w:t>
      </w:r>
      <w:r w:rsidR="00AD5473" w:rsidRPr="00AD5473">
        <w:rPr>
          <w:lang w:val="es-MX"/>
        </w:rPr>
        <w:t>presenta</w:t>
      </w:r>
      <w:r>
        <w:rPr>
          <w:lang w:val="es-MX"/>
        </w:rPr>
        <w:t>,</w:t>
      </w:r>
      <w:r w:rsidR="00AD5473" w:rsidRPr="00AD5473">
        <w:rPr>
          <w:lang w:val="es-MX"/>
        </w:rPr>
        <w:t xml:space="preserve"> por primera vez</w:t>
      </w:r>
      <w:r>
        <w:rPr>
          <w:lang w:val="es-MX"/>
        </w:rPr>
        <w:t>,</w:t>
      </w:r>
      <w:r w:rsidR="00AD5473" w:rsidRPr="00AD5473">
        <w:rPr>
          <w:lang w:val="es-MX"/>
        </w:rPr>
        <w:t xml:space="preserve"> los resultados del Indicador Oportuno del Consumo Privado (IOCP) que se publican como estadística experimental</w:t>
      </w:r>
      <w:r>
        <w:rPr>
          <w:lang w:val="es-MX"/>
        </w:rPr>
        <w:t xml:space="preserve">. Estos </w:t>
      </w:r>
      <w:r w:rsidR="00AD5473" w:rsidRPr="00AD5473">
        <w:rPr>
          <w:lang w:val="es-MX"/>
        </w:rPr>
        <w:t>permiten</w:t>
      </w:r>
      <w:r w:rsidR="00EC1A1D" w:rsidRPr="00EC1A1D">
        <w:rPr>
          <w:lang w:val="es-MX"/>
        </w:rPr>
        <w:t xml:space="preserve"> contar con estimaciones econométricas oportunas sobre la evolución del Indicador Mensual del Consumo Privado </w:t>
      </w:r>
      <w:r w:rsidR="00884B05">
        <w:rPr>
          <w:lang w:val="es-MX"/>
        </w:rPr>
        <w:t xml:space="preserve">en </w:t>
      </w:r>
      <w:r w:rsidR="00EC1A1D" w:rsidRPr="00EC1A1D">
        <w:rPr>
          <w:lang w:val="es-MX"/>
        </w:rPr>
        <w:t xml:space="preserve">el Mercado Interior (IMCPMI). Así, mientras que el IMCPMI se da a conocer aproximadamente </w:t>
      </w:r>
      <w:r w:rsidR="00884B05">
        <w:rPr>
          <w:lang w:val="es-MX"/>
        </w:rPr>
        <w:t>nueve</w:t>
      </w:r>
      <w:r w:rsidR="00EC1A1D" w:rsidRPr="00EC1A1D">
        <w:rPr>
          <w:lang w:val="es-MX"/>
        </w:rPr>
        <w:t xml:space="preserve"> semanas después de terminado el mes de referencia, el IOCP ofrece una primera estimación</w:t>
      </w:r>
      <w:r>
        <w:rPr>
          <w:lang w:val="es-MX"/>
        </w:rPr>
        <w:t xml:space="preserve"> —con </w:t>
      </w:r>
      <w:r w:rsidR="00EC1A1D" w:rsidRPr="00EC1A1D">
        <w:rPr>
          <w:lang w:val="es-MX"/>
        </w:rPr>
        <w:t>un mayor margen de error estadístico</w:t>
      </w:r>
      <w:r>
        <w:rPr>
          <w:lang w:val="es-MX"/>
        </w:rPr>
        <w:t xml:space="preserve">— apenas </w:t>
      </w:r>
      <w:r w:rsidR="00884B05">
        <w:rPr>
          <w:lang w:val="es-MX"/>
        </w:rPr>
        <w:t>dos</w:t>
      </w:r>
      <w:r w:rsidR="00EC1A1D" w:rsidRPr="00EC1A1D">
        <w:rPr>
          <w:lang w:val="es-MX"/>
        </w:rPr>
        <w:t xml:space="preserve"> semanas después de terminado el mes referencia y una segunda estimación</w:t>
      </w:r>
      <w:r>
        <w:rPr>
          <w:lang w:val="es-MX"/>
        </w:rPr>
        <w:t xml:space="preserve"> —en </w:t>
      </w:r>
      <w:r w:rsidR="00EC1A1D" w:rsidRPr="00EC1A1D">
        <w:rPr>
          <w:lang w:val="es-MX"/>
        </w:rPr>
        <w:t>general más precisa</w:t>
      </w:r>
      <w:r>
        <w:rPr>
          <w:lang w:val="es-MX"/>
        </w:rPr>
        <w:t xml:space="preserve">— seis </w:t>
      </w:r>
      <w:r w:rsidR="00EC1A1D" w:rsidRPr="00EC1A1D">
        <w:rPr>
          <w:lang w:val="es-MX"/>
        </w:rPr>
        <w:t>semanas después del cierre del mes de referencia.</w:t>
      </w:r>
    </w:p>
    <w:bookmarkEnd w:id="2"/>
    <w:bookmarkEnd w:id="3"/>
    <w:p w14:paraId="2B7A093D" w14:textId="426A58D4" w:rsidR="00797EBB" w:rsidRDefault="00EC1A1D" w:rsidP="00503EA8">
      <w:pPr>
        <w:spacing w:before="240"/>
      </w:pPr>
      <w:r w:rsidRPr="00EC1A1D">
        <w:rPr>
          <w:lang w:val="es-MX"/>
        </w:rPr>
        <w:t>Para octubre de 2022, el IOCP estima una variación a tasa anual del IMCPMI de 7.2 %, mientras que para noviembre de 2022 se calcula un</w:t>
      </w:r>
      <w:r w:rsidR="00D72702">
        <w:rPr>
          <w:lang w:val="es-MX"/>
        </w:rPr>
        <w:t xml:space="preserve"> </w:t>
      </w:r>
      <w:r w:rsidRPr="00EC1A1D">
        <w:rPr>
          <w:lang w:val="es-MX"/>
        </w:rPr>
        <w:t>a</w:t>
      </w:r>
      <w:r w:rsidR="00D72702">
        <w:rPr>
          <w:lang w:val="es-MX"/>
        </w:rPr>
        <w:t>lza</w:t>
      </w:r>
      <w:r w:rsidRPr="00EC1A1D">
        <w:rPr>
          <w:lang w:val="es-MX"/>
        </w:rPr>
        <w:t xml:space="preserve"> anual de 6.1 por ciento. Las estimaciones realizadas presentan sus respectivos intervalos de confianza a 95 % para los meses de octubre y noviembre de 2022. Las estimaciones se refieren a cifras desestacionalizadas.</w:t>
      </w:r>
    </w:p>
    <w:p w14:paraId="31FC971A" w14:textId="2F02EB28" w:rsidR="00503EA8" w:rsidRPr="00B17F8A" w:rsidRDefault="00503EA8" w:rsidP="00493661">
      <w:pPr>
        <w:spacing w:before="480"/>
        <w:jc w:val="center"/>
        <w:rPr>
          <w:b/>
          <w:bCs/>
          <w:smallCaps/>
          <w:sz w:val="20"/>
          <w:szCs w:val="20"/>
        </w:rPr>
      </w:pPr>
      <w:r w:rsidRPr="00B17F8A">
        <w:rPr>
          <w:bCs/>
          <w:sz w:val="20"/>
          <w:szCs w:val="20"/>
        </w:rPr>
        <w:t xml:space="preserve">Cuadro </w:t>
      </w:r>
      <w:r>
        <w:rPr>
          <w:bCs/>
          <w:sz w:val="20"/>
          <w:szCs w:val="20"/>
        </w:rPr>
        <w:t>1</w:t>
      </w:r>
    </w:p>
    <w:p w14:paraId="423D956A" w14:textId="77777777" w:rsidR="00503EA8" w:rsidRPr="00E15E72" w:rsidRDefault="00503EA8" w:rsidP="00503EA8">
      <w:pPr>
        <w:pStyle w:val="Titcuadrograf"/>
        <w:ind w:left="0"/>
        <w:rPr>
          <w:sz w:val="22"/>
          <w:szCs w:val="22"/>
        </w:rPr>
      </w:pPr>
      <w:r>
        <w:rPr>
          <w:sz w:val="22"/>
          <w:szCs w:val="22"/>
        </w:rPr>
        <w:t>Indicador Oportuno</w:t>
      </w:r>
      <w:r w:rsidRPr="00E15E72">
        <w:rPr>
          <w:sz w:val="22"/>
          <w:szCs w:val="22"/>
        </w:rPr>
        <w:t xml:space="preserve"> </w:t>
      </w:r>
      <w:r>
        <w:rPr>
          <w:sz w:val="22"/>
          <w:szCs w:val="22"/>
        </w:rPr>
        <w:t>d</w:t>
      </w:r>
      <w:r w:rsidRPr="00E15E72">
        <w:rPr>
          <w:sz w:val="22"/>
          <w:szCs w:val="22"/>
        </w:rPr>
        <w:t>e</w:t>
      </w:r>
      <w:r>
        <w:rPr>
          <w:sz w:val="22"/>
          <w:szCs w:val="22"/>
        </w:rPr>
        <w:t>l Consumo Privado</w:t>
      </w:r>
    </w:p>
    <w:p w14:paraId="4F99DC99" w14:textId="77777777" w:rsidR="00503EA8" w:rsidRPr="0023441F" w:rsidRDefault="00503EA8" w:rsidP="00503EA8">
      <w:pPr>
        <w:pStyle w:val="Titcuadrograf"/>
        <w:ind w:left="0"/>
        <w:rPr>
          <w:bCs/>
          <w:sz w:val="20"/>
          <w:szCs w:val="20"/>
        </w:rPr>
      </w:pPr>
      <w:r w:rsidRPr="0023441F">
        <w:rPr>
          <w:bCs/>
          <w:sz w:val="20"/>
          <w:szCs w:val="20"/>
        </w:rPr>
        <w:t>las estimaciones se refieren a cifras desestacionalizadas</w:t>
      </w:r>
    </w:p>
    <w:p w14:paraId="5CB0B24C" w14:textId="77777777" w:rsidR="00503EA8" w:rsidRDefault="00503EA8" w:rsidP="00503EA8">
      <w:pPr>
        <w:pStyle w:val="Titcuadrograf"/>
        <w:ind w:left="0"/>
        <w:rPr>
          <w:b w:val="0"/>
          <w:smallCaps w:val="0"/>
          <w:sz w:val="18"/>
          <w:szCs w:val="18"/>
        </w:rPr>
      </w:pPr>
      <w:r w:rsidRPr="00F14FF8">
        <w:rPr>
          <w:b w:val="0"/>
          <w:smallCaps w:val="0"/>
          <w:sz w:val="18"/>
          <w:szCs w:val="18"/>
        </w:rPr>
        <w:t>(Variación porcentual real respecto al mismo mes del año anterior)</w:t>
      </w:r>
    </w:p>
    <w:tbl>
      <w:tblPr>
        <w:tblW w:w="6081" w:type="dxa"/>
        <w:jc w:val="center"/>
        <w:tblBorders>
          <w:top w:val="double" w:sz="2" w:space="0" w:color="1D1B11" w:themeColor="background2" w:themeShade="1A"/>
          <w:left w:val="double" w:sz="2" w:space="0" w:color="1D1B11" w:themeColor="background2" w:themeShade="1A"/>
          <w:bottom w:val="double" w:sz="2" w:space="0" w:color="1D1B11" w:themeColor="background2" w:themeShade="1A"/>
          <w:right w:val="double" w:sz="2" w:space="0" w:color="1D1B11" w:themeColor="background2" w:themeShade="1A"/>
          <w:insideH w:val="single" w:sz="2" w:space="0" w:color="4A442A" w:themeColor="background2" w:themeShade="40"/>
          <w:insideV w:val="single" w:sz="2" w:space="0" w:color="4A442A" w:themeColor="background2" w:themeShade="40"/>
        </w:tblBorders>
        <w:tblLayout w:type="fixed"/>
        <w:tblCellMar>
          <w:left w:w="70" w:type="dxa"/>
          <w:right w:w="70" w:type="dxa"/>
        </w:tblCellMar>
        <w:tblLook w:val="04A0" w:firstRow="1" w:lastRow="0" w:firstColumn="1" w:lastColumn="0" w:noHBand="0" w:noVBand="1"/>
      </w:tblPr>
      <w:tblGrid>
        <w:gridCol w:w="1742"/>
        <w:gridCol w:w="1446"/>
        <w:gridCol w:w="1446"/>
        <w:gridCol w:w="1447"/>
      </w:tblGrid>
      <w:tr w:rsidR="002D44F2" w:rsidRPr="0020223F" w14:paraId="725869AB" w14:textId="77777777" w:rsidTr="002D44F2">
        <w:trPr>
          <w:trHeight w:val="510"/>
          <w:jc w:val="center"/>
        </w:trPr>
        <w:tc>
          <w:tcPr>
            <w:tcW w:w="1742" w:type="dxa"/>
            <w:tcBorders>
              <w:top w:val="double" w:sz="2" w:space="0" w:color="1D1B11" w:themeColor="background2" w:themeShade="1A"/>
            </w:tcBorders>
            <w:shd w:val="clear" w:color="auto" w:fill="DDD9C3" w:themeFill="background2" w:themeFillShade="E6"/>
            <w:noWrap/>
            <w:vAlign w:val="center"/>
            <w:hideMark/>
          </w:tcPr>
          <w:p w14:paraId="01B4E9DA" w14:textId="77777777" w:rsidR="002D44F2" w:rsidRPr="0056429C" w:rsidRDefault="002D44F2" w:rsidP="009A560E">
            <w:pPr>
              <w:jc w:val="center"/>
              <w:rPr>
                <w:color w:val="000000"/>
                <w:sz w:val="18"/>
                <w:szCs w:val="18"/>
                <w:lang w:val="es-MX" w:eastAsia="es-MX"/>
              </w:rPr>
            </w:pPr>
            <w:r w:rsidRPr="0056429C">
              <w:rPr>
                <w:color w:val="000000"/>
                <w:sz w:val="18"/>
                <w:szCs w:val="18"/>
                <w:lang w:eastAsia="es-MX"/>
              </w:rPr>
              <w:t>Mes de referencia</w:t>
            </w:r>
          </w:p>
        </w:tc>
        <w:tc>
          <w:tcPr>
            <w:tcW w:w="1446" w:type="dxa"/>
            <w:tcBorders>
              <w:top w:val="double" w:sz="2" w:space="0" w:color="1D1B11" w:themeColor="background2" w:themeShade="1A"/>
            </w:tcBorders>
            <w:shd w:val="clear" w:color="auto" w:fill="DDD9C3" w:themeFill="background2" w:themeFillShade="E6"/>
            <w:noWrap/>
            <w:vAlign w:val="center"/>
            <w:hideMark/>
          </w:tcPr>
          <w:p w14:paraId="728B036B" w14:textId="0CF5789E" w:rsidR="002D44F2" w:rsidRPr="0056429C" w:rsidRDefault="002D44F2" w:rsidP="009A560E">
            <w:pPr>
              <w:jc w:val="center"/>
              <w:rPr>
                <w:color w:val="000000"/>
                <w:sz w:val="18"/>
                <w:szCs w:val="18"/>
                <w:lang w:eastAsia="es-MX"/>
              </w:rPr>
            </w:pPr>
            <w:r w:rsidRPr="0056429C">
              <w:rPr>
                <w:color w:val="000000"/>
                <w:sz w:val="18"/>
                <w:szCs w:val="18"/>
                <w:lang w:eastAsia="es-MX"/>
              </w:rPr>
              <w:t>Inferior</w:t>
            </w:r>
          </w:p>
        </w:tc>
        <w:tc>
          <w:tcPr>
            <w:tcW w:w="1446" w:type="dxa"/>
            <w:tcBorders>
              <w:top w:val="double" w:sz="2" w:space="0" w:color="1D1B11" w:themeColor="background2" w:themeShade="1A"/>
            </w:tcBorders>
            <w:shd w:val="clear" w:color="auto" w:fill="DDD9C3" w:themeFill="background2" w:themeFillShade="E6"/>
            <w:vAlign w:val="center"/>
          </w:tcPr>
          <w:p w14:paraId="5A0F1668" w14:textId="08660C98" w:rsidR="002D44F2" w:rsidRPr="0056429C" w:rsidRDefault="002D44F2" w:rsidP="009A560E">
            <w:pPr>
              <w:jc w:val="center"/>
              <w:rPr>
                <w:color w:val="000000"/>
                <w:sz w:val="18"/>
                <w:szCs w:val="18"/>
                <w:lang w:eastAsia="es-MX"/>
              </w:rPr>
            </w:pPr>
            <w:r w:rsidRPr="0056429C">
              <w:rPr>
                <w:color w:val="000000"/>
                <w:sz w:val="18"/>
                <w:szCs w:val="18"/>
                <w:lang w:eastAsia="es-MX"/>
              </w:rPr>
              <w:t>Nowcast</w:t>
            </w:r>
            <w:r w:rsidRPr="005E39C0">
              <w:rPr>
                <w:color w:val="000000"/>
                <w:sz w:val="20"/>
                <w:szCs w:val="20"/>
                <w:vertAlign w:val="superscript"/>
                <w:lang w:eastAsia="es-MX"/>
              </w:rPr>
              <w:t>1/</w:t>
            </w:r>
          </w:p>
        </w:tc>
        <w:tc>
          <w:tcPr>
            <w:tcW w:w="1447" w:type="dxa"/>
            <w:tcBorders>
              <w:top w:val="double" w:sz="2" w:space="0" w:color="1D1B11" w:themeColor="background2" w:themeShade="1A"/>
            </w:tcBorders>
            <w:shd w:val="clear" w:color="auto" w:fill="DDD9C3" w:themeFill="background2" w:themeFillShade="E6"/>
            <w:vAlign w:val="center"/>
          </w:tcPr>
          <w:p w14:paraId="147BF450" w14:textId="04C082FE" w:rsidR="002D44F2" w:rsidRPr="0056429C" w:rsidRDefault="002D44F2" w:rsidP="009A560E">
            <w:pPr>
              <w:jc w:val="center"/>
              <w:rPr>
                <w:color w:val="000000"/>
                <w:sz w:val="18"/>
                <w:szCs w:val="18"/>
                <w:lang w:eastAsia="es-MX"/>
              </w:rPr>
            </w:pPr>
            <w:r w:rsidRPr="0056429C">
              <w:rPr>
                <w:color w:val="000000"/>
                <w:sz w:val="18"/>
                <w:szCs w:val="18"/>
                <w:lang w:eastAsia="es-MX"/>
              </w:rPr>
              <w:t>Superior</w:t>
            </w:r>
          </w:p>
        </w:tc>
      </w:tr>
      <w:tr w:rsidR="00EC1A1D" w:rsidRPr="0020223F" w14:paraId="171FD093" w14:textId="77777777" w:rsidTr="00EC1A1D">
        <w:trPr>
          <w:trHeight w:val="340"/>
          <w:jc w:val="center"/>
        </w:trPr>
        <w:tc>
          <w:tcPr>
            <w:tcW w:w="1742" w:type="dxa"/>
            <w:tcBorders>
              <w:top w:val="single" w:sz="2" w:space="0" w:color="4A442A" w:themeColor="background2" w:themeShade="40"/>
              <w:bottom w:val="nil"/>
            </w:tcBorders>
            <w:noWrap/>
            <w:vAlign w:val="center"/>
            <w:hideMark/>
          </w:tcPr>
          <w:p w14:paraId="6CF428EC" w14:textId="09D310C9" w:rsidR="00EC1A1D" w:rsidRPr="00EC1A1D" w:rsidRDefault="00EC1A1D" w:rsidP="00EC1A1D">
            <w:pPr>
              <w:ind w:left="227"/>
              <w:jc w:val="left"/>
              <w:rPr>
                <w:color w:val="000000"/>
                <w:sz w:val="18"/>
                <w:szCs w:val="18"/>
                <w:lang w:eastAsia="es-MX"/>
              </w:rPr>
            </w:pPr>
            <w:r w:rsidRPr="00EC1A1D">
              <w:rPr>
                <w:sz w:val="18"/>
                <w:szCs w:val="18"/>
              </w:rPr>
              <w:t>2022/10</w:t>
            </w:r>
          </w:p>
        </w:tc>
        <w:tc>
          <w:tcPr>
            <w:tcW w:w="1446" w:type="dxa"/>
            <w:tcBorders>
              <w:top w:val="single" w:sz="2" w:space="0" w:color="4A442A" w:themeColor="background2" w:themeShade="40"/>
              <w:bottom w:val="nil"/>
            </w:tcBorders>
            <w:noWrap/>
            <w:vAlign w:val="center"/>
            <w:hideMark/>
          </w:tcPr>
          <w:p w14:paraId="6DD2E15D" w14:textId="4C118E73" w:rsidR="00EC1A1D" w:rsidRPr="00EC1A1D" w:rsidRDefault="00EC1A1D" w:rsidP="00EC1A1D">
            <w:pPr>
              <w:widowControl w:val="0"/>
              <w:jc w:val="center"/>
              <w:rPr>
                <w:color w:val="000000"/>
                <w:sz w:val="18"/>
                <w:szCs w:val="18"/>
                <w:lang w:eastAsia="es-MX"/>
              </w:rPr>
            </w:pPr>
            <w:r w:rsidRPr="00EC1A1D">
              <w:rPr>
                <w:sz w:val="18"/>
                <w:szCs w:val="18"/>
              </w:rPr>
              <w:t>5.5</w:t>
            </w:r>
          </w:p>
        </w:tc>
        <w:tc>
          <w:tcPr>
            <w:tcW w:w="1446" w:type="dxa"/>
            <w:tcBorders>
              <w:top w:val="single" w:sz="2" w:space="0" w:color="4A442A" w:themeColor="background2" w:themeShade="40"/>
              <w:bottom w:val="nil"/>
            </w:tcBorders>
            <w:noWrap/>
            <w:vAlign w:val="center"/>
            <w:hideMark/>
          </w:tcPr>
          <w:p w14:paraId="4E1CA1E6" w14:textId="0E7B21C7" w:rsidR="00EC1A1D" w:rsidRPr="00EC1A1D" w:rsidRDefault="00EC1A1D" w:rsidP="00EC1A1D">
            <w:pPr>
              <w:widowControl w:val="0"/>
              <w:jc w:val="center"/>
              <w:rPr>
                <w:color w:val="000000"/>
                <w:sz w:val="18"/>
                <w:szCs w:val="18"/>
                <w:lang w:eastAsia="es-MX"/>
              </w:rPr>
            </w:pPr>
            <w:r w:rsidRPr="00EC1A1D">
              <w:rPr>
                <w:sz w:val="18"/>
                <w:szCs w:val="18"/>
              </w:rPr>
              <w:t>7.2</w:t>
            </w:r>
          </w:p>
        </w:tc>
        <w:tc>
          <w:tcPr>
            <w:tcW w:w="1447" w:type="dxa"/>
            <w:tcBorders>
              <w:top w:val="single" w:sz="2" w:space="0" w:color="4A442A" w:themeColor="background2" w:themeShade="40"/>
              <w:bottom w:val="nil"/>
            </w:tcBorders>
            <w:noWrap/>
            <w:vAlign w:val="center"/>
            <w:hideMark/>
          </w:tcPr>
          <w:p w14:paraId="3B7BCACC" w14:textId="30501B20" w:rsidR="00EC1A1D" w:rsidRPr="00EC1A1D" w:rsidRDefault="00EC1A1D" w:rsidP="00EC1A1D">
            <w:pPr>
              <w:widowControl w:val="0"/>
              <w:jc w:val="center"/>
              <w:rPr>
                <w:color w:val="000000"/>
                <w:sz w:val="18"/>
                <w:szCs w:val="18"/>
                <w:lang w:eastAsia="es-MX"/>
              </w:rPr>
            </w:pPr>
            <w:r w:rsidRPr="00EC1A1D">
              <w:rPr>
                <w:sz w:val="18"/>
                <w:szCs w:val="18"/>
              </w:rPr>
              <w:t>8.7</w:t>
            </w:r>
          </w:p>
        </w:tc>
      </w:tr>
      <w:tr w:rsidR="00EC1A1D" w:rsidRPr="0020223F" w14:paraId="35341891" w14:textId="77777777" w:rsidTr="00EC1A1D">
        <w:trPr>
          <w:trHeight w:val="340"/>
          <w:jc w:val="center"/>
        </w:trPr>
        <w:tc>
          <w:tcPr>
            <w:tcW w:w="1742" w:type="dxa"/>
            <w:tcBorders>
              <w:top w:val="nil"/>
              <w:bottom w:val="double" w:sz="2" w:space="0" w:color="1D1B11" w:themeColor="background2" w:themeShade="1A"/>
            </w:tcBorders>
            <w:noWrap/>
            <w:vAlign w:val="center"/>
            <w:hideMark/>
          </w:tcPr>
          <w:p w14:paraId="3A91506C" w14:textId="44A9441F" w:rsidR="00EC1A1D" w:rsidRPr="00EC1A1D" w:rsidRDefault="00EC1A1D" w:rsidP="00EC1A1D">
            <w:pPr>
              <w:ind w:left="227"/>
              <w:jc w:val="left"/>
              <w:rPr>
                <w:color w:val="000000"/>
                <w:sz w:val="18"/>
                <w:szCs w:val="18"/>
                <w:lang w:eastAsia="es-MX"/>
              </w:rPr>
            </w:pPr>
            <w:r w:rsidRPr="00EC1A1D">
              <w:rPr>
                <w:sz w:val="18"/>
                <w:szCs w:val="18"/>
              </w:rPr>
              <w:t>2022/11</w:t>
            </w:r>
          </w:p>
        </w:tc>
        <w:tc>
          <w:tcPr>
            <w:tcW w:w="1446" w:type="dxa"/>
            <w:tcBorders>
              <w:top w:val="nil"/>
              <w:bottom w:val="double" w:sz="2" w:space="0" w:color="1D1B11" w:themeColor="background2" w:themeShade="1A"/>
            </w:tcBorders>
            <w:noWrap/>
            <w:vAlign w:val="center"/>
            <w:hideMark/>
          </w:tcPr>
          <w:p w14:paraId="73C721D6" w14:textId="25016263" w:rsidR="00EC1A1D" w:rsidRPr="00EC1A1D" w:rsidRDefault="00EC1A1D" w:rsidP="00EC1A1D">
            <w:pPr>
              <w:widowControl w:val="0"/>
              <w:jc w:val="center"/>
              <w:rPr>
                <w:color w:val="000000"/>
                <w:sz w:val="18"/>
                <w:szCs w:val="18"/>
                <w:lang w:eastAsia="es-MX"/>
              </w:rPr>
            </w:pPr>
            <w:r w:rsidRPr="00EC1A1D">
              <w:rPr>
                <w:sz w:val="18"/>
                <w:szCs w:val="18"/>
              </w:rPr>
              <w:t>4.4</w:t>
            </w:r>
          </w:p>
        </w:tc>
        <w:tc>
          <w:tcPr>
            <w:tcW w:w="1446" w:type="dxa"/>
            <w:tcBorders>
              <w:top w:val="nil"/>
              <w:bottom w:val="double" w:sz="2" w:space="0" w:color="1D1B11" w:themeColor="background2" w:themeShade="1A"/>
            </w:tcBorders>
            <w:noWrap/>
            <w:vAlign w:val="center"/>
            <w:hideMark/>
          </w:tcPr>
          <w:p w14:paraId="396A1072" w14:textId="3EF5346B" w:rsidR="00EC1A1D" w:rsidRPr="00EC1A1D" w:rsidRDefault="00EC1A1D" w:rsidP="00EC1A1D">
            <w:pPr>
              <w:widowControl w:val="0"/>
              <w:jc w:val="center"/>
              <w:rPr>
                <w:color w:val="000000"/>
                <w:sz w:val="18"/>
                <w:szCs w:val="18"/>
                <w:lang w:eastAsia="es-MX"/>
              </w:rPr>
            </w:pPr>
            <w:r w:rsidRPr="00EC1A1D">
              <w:rPr>
                <w:sz w:val="18"/>
                <w:szCs w:val="18"/>
              </w:rPr>
              <w:t>6.1</w:t>
            </w:r>
          </w:p>
        </w:tc>
        <w:tc>
          <w:tcPr>
            <w:tcW w:w="1447" w:type="dxa"/>
            <w:tcBorders>
              <w:top w:val="nil"/>
              <w:bottom w:val="double" w:sz="2" w:space="0" w:color="1D1B11" w:themeColor="background2" w:themeShade="1A"/>
            </w:tcBorders>
            <w:shd w:val="clear" w:color="auto" w:fill="auto"/>
            <w:noWrap/>
            <w:vAlign w:val="center"/>
            <w:hideMark/>
          </w:tcPr>
          <w:p w14:paraId="3505A913" w14:textId="7E2ABC29" w:rsidR="00EC1A1D" w:rsidRPr="00EC1A1D" w:rsidRDefault="00EC1A1D" w:rsidP="00EC1A1D">
            <w:pPr>
              <w:widowControl w:val="0"/>
              <w:jc w:val="center"/>
              <w:rPr>
                <w:color w:val="000000"/>
                <w:sz w:val="18"/>
                <w:szCs w:val="18"/>
                <w:lang w:eastAsia="es-MX"/>
              </w:rPr>
            </w:pPr>
            <w:r w:rsidRPr="00EC1A1D">
              <w:rPr>
                <w:sz w:val="18"/>
                <w:szCs w:val="18"/>
              </w:rPr>
              <w:t>7.8</w:t>
            </w:r>
          </w:p>
        </w:tc>
      </w:tr>
    </w:tbl>
    <w:p w14:paraId="3A53ACF4" w14:textId="77777777" w:rsidR="008A5CC0" w:rsidRDefault="00503EA8" w:rsidP="008A5CC0">
      <w:pPr>
        <w:pStyle w:val="pie"/>
        <w:spacing w:after="0"/>
        <w:ind w:left="2310" w:right="1693" w:hanging="602"/>
        <w:rPr>
          <w:lang w:val="es-MX"/>
        </w:rPr>
      </w:pPr>
      <w:r w:rsidRPr="00D61B27">
        <w:rPr>
          <w:lang w:val="es-MX"/>
        </w:rPr>
        <w:t>Nota:</w:t>
      </w:r>
      <w:r w:rsidRPr="00D61B27">
        <w:rPr>
          <w:lang w:val="es-MX"/>
        </w:rPr>
        <w:tab/>
        <w:t xml:space="preserve">Intervalos de confianza a 95 </w:t>
      </w:r>
      <w:r>
        <w:rPr>
          <w:lang w:val="es-MX"/>
        </w:rPr>
        <w:t>%</w:t>
      </w:r>
    </w:p>
    <w:p w14:paraId="3B0B03DA" w14:textId="55124E53" w:rsidR="00503EA8" w:rsidRPr="00D61B27" w:rsidRDefault="00503EA8" w:rsidP="008A5CC0">
      <w:pPr>
        <w:pStyle w:val="pie"/>
        <w:spacing w:after="0"/>
        <w:ind w:left="2310" w:right="1693" w:hanging="602"/>
        <w:rPr>
          <w:lang w:val="es-MX"/>
        </w:rPr>
      </w:pPr>
      <w:r w:rsidRPr="00022E0E">
        <w:rPr>
          <w:sz w:val="18"/>
          <w:szCs w:val="18"/>
          <w:vertAlign w:val="superscript"/>
          <w:lang w:val="es-MX"/>
        </w:rPr>
        <w:t>1</w:t>
      </w:r>
      <w:r w:rsidRPr="0023441F">
        <w:rPr>
          <w:sz w:val="18"/>
          <w:szCs w:val="18"/>
          <w:vertAlign w:val="superscript"/>
          <w:lang w:val="es-MX"/>
        </w:rPr>
        <w:t>/</w:t>
      </w:r>
      <w:r>
        <w:rPr>
          <w:vertAlign w:val="superscript"/>
          <w:lang w:val="es-MX"/>
        </w:rPr>
        <w:tab/>
      </w:r>
      <w:r w:rsidRPr="00D61B27">
        <w:rPr>
          <w:lang w:val="es-MX"/>
        </w:rPr>
        <w:t>Estimación oportuna que aprovecha la asociación estadística entre la variable que se desea estimar —en este caso el IMCPMI — y otras variables más oportunas que esta.</w:t>
      </w:r>
    </w:p>
    <w:p w14:paraId="751263DF" w14:textId="77777777" w:rsidR="00503EA8" w:rsidRPr="00D61B27" w:rsidRDefault="00503EA8" w:rsidP="00503EA8">
      <w:pPr>
        <w:pStyle w:val="pie"/>
        <w:ind w:left="2310" w:right="1693" w:hanging="602"/>
        <w:rPr>
          <w:lang w:val="es-MX"/>
        </w:rPr>
      </w:pPr>
      <w:r w:rsidRPr="00D61B27">
        <w:rPr>
          <w:lang w:val="es-MX"/>
        </w:rPr>
        <w:t>Fuente: INEGI</w:t>
      </w:r>
    </w:p>
    <w:p w14:paraId="71257B69" w14:textId="77777777" w:rsidR="00493661" w:rsidRDefault="00493661" w:rsidP="0056429C">
      <w:pPr>
        <w:spacing w:before="240"/>
        <w:rPr>
          <w:lang w:val="es-MX"/>
        </w:rPr>
      </w:pPr>
    </w:p>
    <w:p w14:paraId="00897D41" w14:textId="77777777" w:rsidR="00493661" w:rsidRDefault="00493661" w:rsidP="0056429C">
      <w:pPr>
        <w:spacing w:before="240"/>
        <w:rPr>
          <w:lang w:val="es-MX"/>
        </w:rPr>
      </w:pPr>
    </w:p>
    <w:p w14:paraId="774215A3" w14:textId="77777777" w:rsidR="00493661" w:rsidRDefault="00493661" w:rsidP="0056429C">
      <w:pPr>
        <w:spacing w:before="240"/>
        <w:rPr>
          <w:lang w:val="es-MX"/>
        </w:rPr>
      </w:pPr>
    </w:p>
    <w:p w14:paraId="1D1332F3" w14:textId="77777777" w:rsidR="00493661" w:rsidRDefault="00493661" w:rsidP="0056429C">
      <w:pPr>
        <w:spacing w:before="240"/>
        <w:rPr>
          <w:lang w:val="es-MX"/>
        </w:rPr>
      </w:pPr>
    </w:p>
    <w:p w14:paraId="14E3E1EF" w14:textId="77777777" w:rsidR="00493661" w:rsidRDefault="00493661" w:rsidP="0056429C">
      <w:pPr>
        <w:spacing w:before="240"/>
        <w:rPr>
          <w:lang w:val="es-MX"/>
        </w:rPr>
      </w:pPr>
    </w:p>
    <w:p w14:paraId="6AD221D6" w14:textId="04964BBA" w:rsidR="00797EBB" w:rsidRDefault="00EC1A1D" w:rsidP="0056429C">
      <w:pPr>
        <w:spacing w:before="240"/>
        <w:rPr>
          <w:lang w:val="es-MX"/>
        </w:rPr>
      </w:pPr>
      <w:r w:rsidRPr="00EC1A1D">
        <w:rPr>
          <w:lang w:val="es-MX"/>
        </w:rPr>
        <w:lastRenderedPageBreak/>
        <w:t>Para octubre de 2022, el IOCP estima que el IMCPMI registr</w:t>
      </w:r>
      <w:r w:rsidR="00A55002">
        <w:rPr>
          <w:lang w:val="es-MX"/>
        </w:rPr>
        <w:t>ó</w:t>
      </w:r>
      <w:r w:rsidRPr="00EC1A1D">
        <w:rPr>
          <w:lang w:val="es-MX"/>
        </w:rPr>
        <w:t xml:space="preserve"> una variación de 1.3 % respecto a septiembre del mismo año. Para noviembre de 2022, se calcula una disminución mensual de 0.7 por ciento</w:t>
      </w:r>
      <w:r w:rsidR="009731F7">
        <w:rPr>
          <w:lang w:val="es-MX"/>
        </w:rPr>
        <w:t>.</w:t>
      </w:r>
    </w:p>
    <w:p w14:paraId="1A68FADE" w14:textId="77777777" w:rsidR="00797EBB" w:rsidRPr="0056429C" w:rsidRDefault="00797EBB" w:rsidP="0056429C">
      <w:pPr>
        <w:spacing w:before="240"/>
        <w:jc w:val="center"/>
        <w:rPr>
          <w:bCs/>
          <w:sz w:val="20"/>
          <w:szCs w:val="20"/>
        </w:rPr>
      </w:pPr>
      <w:r w:rsidRPr="00B17F8A">
        <w:rPr>
          <w:bCs/>
          <w:sz w:val="20"/>
          <w:szCs w:val="20"/>
        </w:rPr>
        <w:t xml:space="preserve">Cuadro </w:t>
      </w:r>
      <w:r>
        <w:rPr>
          <w:bCs/>
          <w:sz w:val="20"/>
          <w:szCs w:val="20"/>
        </w:rPr>
        <w:t>2</w:t>
      </w:r>
    </w:p>
    <w:p w14:paraId="486CCE52" w14:textId="77777777" w:rsidR="00797EBB" w:rsidRPr="00E15E72" w:rsidRDefault="00797EBB" w:rsidP="00797EBB">
      <w:pPr>
        <w:pStyle w:val="Titcuadrograf"/>
        <w:ind w:left="0"/>
        <w:rPr>
          <w:sz w:val="22"/>
          <w:szCs w:val="22"/>
        </w:rPr>
      </w:pPr>
      <w:r w:rsidRPr="00674B83">
        <w:rPr>
          <w:sz w:val="22"/>
          <w:szCs w:val="22"/>
        </w:rPr>
        <w:t xml:space="preserve">Indicador </w:t>
      </w:r>
      <w:r>
        <w:rPr>
          <w:sz w:val="22"/>
          <w:szCs w:val="22"/>
        </w:rPr>
        <w:t>Oportuno</w:t>
      </w:r>
      <w:r w:rsidRPr="00E15E72">
        <w:rPr>
          <w:sz w:val="22"/>
          <w:szCs w:val="22"/>
        </w:rPr>
        <w:t xml:space="preserve"> </w:t>
      </w:r>
      <w:r>
        <w:rPr>
          <w:sz w:val="22"/>
          <w:szCs w:val="22"/>
        </w:rPr>
        <w:t>d</w:t>
      </w:r>
      <w:r w:rsidRPr="00E15E72">
        <w:rPr>
          <w:sz w:val="22"/>
          <w:szCs w:val="22"/>
        </w:rPr>
        <w:t>e</w:t>
      </w:r>
      <w:r>
        <w:rPr>
          <w:sz w:val="22"/>
          <w:szCs w:val="22"/>
        </w:rPr>
        <w:t>l Consumo Privado</w:t>
      </w:r>
    </w:p>
    <w:p w14:paraId="1133F80F" w14:textId="04BAD6E4" w:rsidR="00797EBB" w:rsidRPr="0056429C" w:rsidRDefault="0056429C" w:rsidP="00797EBB">
      <w:pPr>
        <w:pStyle w:val="Titcuadrograf"/>
        <w:ind w:left="0"/>
        <w:rPr>
          <w:bCs/>
          <w:sz w:val="20"/>
          <w:szCs w:val="20"/>
        </w:rPr>
      </w:pPr>
      <w:r w:rsidRPr="0056429C">
        <w:rPr>
          <w:bCs/>
          <w:sz w:val="20"/>
          <w:szCs w:val="20"/>
        </w:rPr>
        <w:t>l</w:t>
      </w:r>
      <w:r w:rsidR="00797EBB" w:rsidRPr="0056429C">
        <w:rPr>
          <w:bCs/>
          <w:sz w:val="20"/>
          <w:szCs w:val="20"/>
        </w:rPr>
        <w:t>as estimaciones se refieren a cifras desestacionalizadas</w:t>
      </w:r>
    </w:p>
    <w:p w14:paraId="11C009E1" w14:textId="6C2F074B" w:rsidR="00797EBB" w:rsidRDefault="00797EBB" w:rsidP="00797EBB">
      <w:pPr>
        <w:pStyle w:val="Titcuadrograf"/>
        <w:ind w:left="0"/>
        <w:rPr>
          <w:b w:val="0"/>
          <w:smallCaps w:val="0"/>
          <w:sz w:val="18"/>
          <w:szCs w:val="18"/>
        </w:rPr>
      </w:pPr>
      <w:r w:rsidRPr="00D4075F">
        <w:rPr>
          <w:b w:val="0"/>
          <w:smallCaps w:val="0"/>
          <w:sz w:val="18"/>
          <w:szCs w:val="18"/>
        </w:rPr>
        <w:t>(Variación porcentual real respecto al mes anterior)</w:t>
      </w:r>
    </w:p>
    <w:tbl>
      <w:tblPr>
        <w:tblW w:w="6081" w:type="dxa"/>
        <w:jc w:val="center"/>
        <w:tblBorders>
          <w:top w:val="double" w:sz="2" w:space="0" w:color="1D1B11" w:themeColor="background2" w:themeShade="1A"/>
          <w:left w:val="double" w:sz="2" w:space="0" w:color="1D1B11" w:themeColor="background2" w:themeShade="1A"/>
          <w:bottom w:val="double" w:sz="2" w:space="0" w:color="1D1B11" w:themeColor="background2" w:themeShade="1A"/>
          <w:right w:val="double" w:sz="2" w:space="0" w:color="1D1B11" w:themeColor="background2" w:themeShade="1A"/>
          <w:insideH w:val="single" w:sz="2" w:space="0" w:color="4A442A" w:themeColor="background2" w:themeShade="40"/>
          <w:insideV w:val="single" w:sz="2" w:space="0" w:color="4A442A" w:themeColor="background2" w:themeShade="40"/>
        </w:tblBorders>
        <w:tblLayout w:type="fixed"/>
        <w:tblCellMar>
          <w:left w:w="70" w:type="dxa"/>
          <w:right w:w="70" w:type="dxa"/>
        </w:tblCellMar>
        <w:tblLook w:val="04A0" w:firstRow="1" w:lastRow="0" w:firstColumn="1" w:lastColumn="0" w:noHBand="0" w:noVBand="1"/>
      </w:tblPr>
      <w:tblGrid>
        <w:gridCol w:w="1742"/>
        <w:gridCol w:w="1446"/>
        <w:gridCol w:w="1446"/>
        <w:gridCol w:w="1447"/>
      </w:tblGrid>
      <w:tr w:rsidR="002D44F2" w:rsidRPr="0020223F" w14:paraId="6108C8BD" w14:textId="77777777" w:rsidTr="002D44F2">
        <w:trPr>
          <w:trHeight w:val="510"/>
          <w:jc w:val="center"/>
        </w:trPr>
        <w:tc>
          <w:tcPr>
            <w:tcW w:w="1742" w:type="dxa"/>
            <w:tcBorders>
              <w:top w:val="double" w:sz="2" w:space="0" w:color="1D1B11" w:themeColor="background2" w:themeShade="1A"/>
            </w:tcBorders>
            <w:shd w:val="clear" w:color="auto" w:fill="DDD9C3" w:themeFill="background2" w:themeFillShade="E6"/>
            <w:noWrap/>
            <w:vAlign w:val="center"/>
            <w:hideMark/>
          </w:tcPr>
          <w:p w14:paraId="37DEBE15" w14:textId="77777777" w:rsidR="002D44F2" w:rsidRPr="0056429C" w:rsidRDefault="002D44F2" w:rsidP="00BD70EA">
            <w:pPr>
              <w:jc w:val="center"/>
              <w:rPr>
                <w:color w:val="000000"/>
                <w:sz w:val="18"/>
                <w:szCs w:val="18"/>
                <w:lang w:val="es-MX" w:eastAsia="es-MX"/>
              </w:rPr>
            </w:pPr>
            <w:r w:rsidRPr="0056429C">
              <w:rPr>
                <w:color w:val="000000"/>
                <w:sz w:val="18"/>
                <w:szCs w:val="18"/>
                <w:lang w:eastAsia="es-MX"/>
              </w:rPr>
              <w:t>Mes de referencia</w:t>
            </w:r>
          </w:p>
        </w:tc>
        <w:tc>
          <w:tcPr>
            <w:tcW w:w="1446" w:type="dxa"/>
            <w:tcBorders>
              <w:top w:val="double" w:sz="2" w:space="0" w:color="1D1B11" w:themeColor="background2" w:themeShade="1A"/>
            </w:tcBorders>
            <w:shd w:val="clear" w:color="auto" w:fill="DDD9C3" w:themeFill="background2" w:themeFillShade="E6"/>
            <w:noWrap/>
            <w:vAlign w:val="center"/>
            <w:hideMark/>
          </w:tcPr>
          <w:p w14:paraId="2FA5A416" w14:textId="09FCFE0A" w:rsidR="002D44F2" w:rsidRPr="0056429C" w:rsidRDefault="002D44F2" w:rsidP="00BD70EA">
            <w:pPr>
              <w:jc w:val="center"/>
              <w:rPr>
                <w:color w:val="000000"/>
                <w:sz w:val="18"/>
                <w:szCs w:val="18"/>
                <w:lang w:eastAsia="es-MX"/>
              </w:rPr>
            </w:pPr>
            <w:r w:rsidRPr="0056429C">
              <w:rPr>
                <w:color w:val="000000"/>
                <w:sz w:val="18"/>
                <w:szCs w:val="18"/>
                <w:lang w:eastAsia="es-MX"/>
              </w:rPr>
              <w:t>Inferior</w:t>
            </w:r>
          </w:p>
        </w:tc>
        <w:tc>
          <w:tcPr>
            <w:tcW w:w="1446" w:type="dxa"/>
            <w:tcBorders>
              <w:top w:val="double" w:sz="2" w:space="0" w:color="1D1B11" w:themeColor="background2" w:themeShade="1A"/>
            </w:tcBorders>
            <w:shd w:val="clear" w:color="auto" w:fill="DDD9C3" w:themeFill="background2" w:themeFillShade="E6"/>
            <w:vAlign w:val="center"/>
          </w:tcPr>
          <w:p w14:paraId="0094A9A7" w14:textId="540BA6C3" w:rsidR="002D44F2" w:rsidRPr="0056429C" w:rsidRDefault="002D44F2" w:rsidP="00BD70EA">
            <w:pPr>
              <w:jc w:val="center"/>
              <w:rPr>
                <w:color w:val="000000"/>
                <w:sz w:val="18"/>
                <w:szCs w:val="18"/>
                <w:lang w:eastAsia="es-MX"/>
              </w:rPr>
            </w:pPr>
            <w:r w:rsidRPr="0056429C">
              <w:rPr>
                <w:color w:val="000000"/>
                <w:sz w:val="18"/>
                <w:szCs w:val="18"/>
                <w:lang w:eastAsia="es-MX"/>
              </w:rPr>
              <w:t>Nowcast</w:t>
            </w:r>
            <w:r w:rsidRPr="005E39C0">
              <w:rPr>
                <w:color w:val="000000"/>
                <w:sz w:val="20"/>
                <w:szCs w:val="20"/>
                <w:vertAlign w:val="superscript"/>
                <w:lang w:eastAsia="es-MX"/>
              </w:rPr>
              <w:t>1/</w:t>
            </w:r>
          </w:p>
        </w:tc>
        <w:tc>
          <w:tcPr>
            <w:tcW w:w="1447" w:type="dxa"/>
            <w:tcBorders>
              <w:top w:val="double" w:sz="2" w:space="0" w:color="1D1B11" w:themeColor="background2" w:themeShade="1A"/>
            </w:tcBorders>
            <w:shd w:val="clear" w:color="auto" w:fill="DDD9C3" w:themeFill="background2" w:themeFillShade="E6"/>
            <w:vAlign w:val="center"/>
          </w:tcPr>
          <w:p w14:paraId="772EFF65" w14:textId="5B7109FE" w:rsidR="002D44F2" w:rsidRPr="0056429C" w:rsidRDefault="002D44F2" w:rsidP="00BD70EA">
            <w:pPr>
              <w:jc w:val="center"/>
              <w:rPr>
                <w:color w:val="000000"/>
                <w:sz w:val="18"/>
                <w:szCs w:val="18"/>
                <w:lang w:eastAsia="es-MX"/>
              </w:rPr>
            </w:pPr>
            <w:r w:rsidRPr="0056429C">
              <w:rPr>
                <w:color w:val="000000"/>
                <w:sz w:val="18"/>
                <w:szCs w:val="18"/>
                <w:lang w:eastAsia="es-MX"/>
              </w:rPr>
              <w:t>Superior</w:t>
            </w:r>
          </w:p>
        </w:tc>
      </w:tr>
      <w:tr w:rsidR="00EC1A1D" w:rsidRPr="0020223F" w14:paraId="209C97A1" w14:textId="77777777" w:rsidTr="00BD70EA">
        <w:trPr>
          <w:trHeight w:val="340"/>
          <w:jc w:val="center"/>
        </w:trPr>
        <w:tc>
          <w:tcPr>
            <w:tcW w:w="1742" w:type="dxa"/>
            <w:tcBorders>
              <w:top w:val="single" w:sz="2" w:space="0" w:color="4A442A" w:themeColor="background2" w:themeShade="40"/>
              <w:bottom w:val="nil"/>
            </w:tcBorders>
            <w:noWrap/>
            <w:vAlign w:val="center"/>
            <w:hideMark/>
          </w:tcPr>
          <w:p w14:paraId="0E329E47" w14:textId="77777777" w:rsidR="00EC1A1D" w:rsidRPr="00EC1A1D" w:rsidRDefault="00EC1A1D" w:rsidP="00BD70EA">
            <w:pPr>
              <w:ind w:left="227"/>
              <w:jc w:val="left"/>
              <w:rPr>
                <w:color w:val="000000"/>
                <w:sz w:val="18"/>
                <w:szCs w:val="18"/>
                <w:lang w:eastAsia="es-MX"/>
              </w:rPr>
            </w:pPr>
            <w:r w:rsidRPr="00EC1A1D">
              <w:rPr>
                <w:sz w:val="18"/>
                <w:szCs w:val="18"/>
              </w:rPr>
              <w:t>2022/10</w:t>
            </w:r>
          </w:p>
        </w:tc>
        <w:tc>
          <w:tcPr>
            <w:tcW w:w="1446" w:type="dxa"/>
            <w:tcBorders>
              <w:top w:val="single" w:sz="2" w:space="0" w:color="4A442A" w:themeColor="background2" w:themeShade="40"/>
              <w:bottom w:val="nil"/>
            </w:tcBorders>
            <w:noWrap/>
            <w:vAlign w:val="center"/>
            <w:hideMark/>
          </w:tcPr>
          <w:p w14:paraId="46EECFA0" w14:textId="572ED0F9" w:rsidR="00EC1A1D" w:rsidRPr="00EC1A1D" w:rsidRDefault="005E39C0" w:rsidP="00BD70EA">
            <w:pPr>
              <w:widowControl w:val="0"/>
              <w:jc w:val="center"/>
              <w:rPr>
                <w:color w:val="000000"/>
                <w:sz w:val="18"/>
                <w:szCs w:val="18"/>
                <w:lang w:eastAsia="es-MX"/>
              </w:rPr>
            </w:pPr>
            <w:r>
              <w:rPr>
                <w:sz w:val="18"/>
                <w:szCs w:val="18"/>
              </w:rPr>
              <w:t>-0.3</w:t>
            </w:r>
          </w:p>
        </w:tc>
        <w:tc>
          <w:tcPr>
            <w:tcW w:w="1446" w:type="dxa"/>
            <w:tcBorders>
              <w:top w:val="single" w:sz="2" w:space="0" w:color="4A442A" w:themeColor="background2" w:themeShade="40"/>
              <w:bottom w:val="nil"/>
            </w:tcBorders>
            <w:noWrap/>
            <w:vAlign w:val="center"/>
            <w:hideMark/>
          </w:tcPr>
          <w:p w14:paraId="52A0120D" w14:textId="3BF712E8" w:rsidR="00EC1A1D" w:rsidRPr="00EC1A1D" w:rsidRDefault="00A55002" w:rsidP="00BD70EA">
            <w:pPr>
              <w:widowControl w:val="0"/>
              <w:jc w:val="center"/>
              <w:rPr>
                <w:color w:val="000000"/>
                <w:sz w:val="18"/>
                <w:szCs w:val="18"/>
                <w:lang w:eastAsia="es-MX"/>
              </w:rPr>
            </w:pPr>
            <w:r>
              <w:rPr>
                <w:sz w:val="18"/>
                <w:szCs w:val="18"/>
              </w:rPr>
              <w:t>1.3</w:t>
            </w:r>
          </w:p>
        </w:tc>
        <w:tc>
          <w:tcPr>
            <w:tcW w:w="1447" w:type="dxa"/>
            <w:tcBorders>
              <w:top w:val="single" w:sz="2" w:space="0" w:color="4A442A" w:themeColor="background2" w:themeShade="40"/>
              <w:bottom w:val="nil"/>
            </w:tcBorders>
            <w:noWrap/>
            <w:vAlign w:val="center"/>
            <w:hideMark/>
          </w:tcPr>
          <w:p w14:paraId="61E17043" w14:textId="49384942" w:rsidR="00EC1A1D" w:rsidRPr="00EC1A1D" w:rsidRDefault="00A55002" w:rsidP="00BD70EA">
            <w:pPr>
              <w:widowControl w:val="0"/>
              <w:jc w:val="center"/>
              <w:rPr>
                <w:color w:val="000000"/>
                <w:sz w:val="18"/>
                <w:szCs w:val="18"/>
                <w:lang w:eastAsia="es-MX"/>
              </w:rPr>
            </w:pPr>
            <w:r>
              <w:rPr>
                <w:sz w:val="18"/>
                <w:szCs w:val="18"/>
              </w:rPr>
              <w:t>2.7</w:t>
            </w:r>
          </w:p>
        </w:tc>
      </w:tr>
      <w:tr w:rsidR="00EC1A1D" w:rsidRPr="0020223F" w14:paraId="72C6F149" w14:textId="77777777" w:rsidTr="00BD70EA">
        <w:trPr>
          <w:trHeight w:val="340"/>
          <w:jc w:val="center"/>
        </w:trPr>
        <w:tc>
          <w:tcPr>
            <w:tcW w:w="1742" w:type="dxa"/>
            <w:tcBorders>
              <w:top w:val="nil"/>
              <w:bottom w:val="double" w:sz="2" w:space="0" w:color="1D1B11" w:themeColor="background2" w:themeShade="1A"/>
            </w:tcBorders>
            <w:noWrap/>
            <w:vAlign w:val="center"/>
            <w:hideMark/>
          </w:tcPr>
          <w:p w14:paraId="3271B46F" w14:textId="77777777" w:rsidR="00EC1A1D" w:rsidRPr="00EC1A1D" w:rsidRDefault="00EC1A1D" w:rsidP="00BD70EA">
            <w:pPr>
              <w:ind w:left="227"/>
              <w:jc w:val="left"/>
              <w:rPr>
                <w:color w:val="000000"/>
                <w:sz w:val="18"/>
                <w:szCs w:val="18"/>
                <w:lang w:eastAsia="es-MX"/>
              </w:rPr>
            </w:pPr>
            <w:r w:rsidRPr="00EC1A1D">
              <w:rPr>
                <w:sz w:val="18"/>
                <w:szCs w:val="18"/>
              </w:rPr>
              <w:t>2022/11</w:t>
            </w:r>
          </w:p>
        </w:tc>
        <w:tc>
          <w:tcPr>
            <w:tcW w:w="1446" w:type="dxa"/>
            <w:tcBorders>
              <w:top w:val="nil"/>
              <w:bottom w:val="double" w:sz="2" w:space="0" w:color="1D1B11" w:themeColor="background2" w:themeShade="1A"/>
            </w:tcBorders>
            <w:noWrap/>
            <w:vAlign w:val="center"/>
            <w:hideMark/>
          </w:tcPr>
          <w:p w14:paraId="4F23E1F6" w14:textId="6C7CACB3" w:rsidR="00EC1A1D" w:rsidRPr="00EC1A1D" w:rsidRDefault="005E39C0" w:rsidP="00BD70EA">
            <w:pPr>
              <w:widowControl w:val="0"/>
              <w:jc w:val="center"/>
              <w:rPr>
                <w:color w:val="000000"/>
                <w:sz w:val="18"/>
                <w:szCs w:val="18"/>
                <w:lang w:eastAsia="es-MX"/>
              </w:rPr>
            </w:pPr>
            <w:r>
              <w:rPr>
                <w:sz w:val="18"/>
                <w:szCs w:val="18"/>
              </w:rPr>
              <w:t>-</w:t>
            </w:r>
            <w:r w:rsidR="00A55002">
              <w:rPr>
                <w:sz w:val="18"/>
                <w:szCs w:val="18"/>
              </w:rPr>
              <w:t>2.3</w:t>
            </w:r>
          </w:p>
        </w:tc>
        <w:tc>
          <w:tcPr>
            <w:tcW w:w="1446" w:type="dxa"/>
            <w:tcBorders>
              <w:top w:val="nil"/>
              <w:bottom w:val="double" w:sz="2" w:space="0" w:color="1D1B11" w:themeColor="background2" w:themeShade="1A"/>
            </w:tcBorders>
            <w:noWrap/>
            <w:vAlign w:val="center"/>
            <w:hideMark/>
          </w:tcPr>
          <w:p w14:paraId="2EA079D4" w14:textId="0E21DDE4" w:rsidR="00EC1A1D" w:rsidRPr="00EC1A1D" w:rsidRDefault="00A55002" w:rsidP="00BD70EA">
            <w:pPr>
              <w:widowControl w:val="0"/>
              <w:jc w:val="center"/>
              <w:rPr>
                <w:color w:val="000000"/>
                <w:sz w:val="18"/>
                <w:szCs w:val="18"/>
                <w:lang w:eastAsia="es-MX"/>
              </w:rPr>
            </w:pPr>
            <w:r>
              <w:rPr>
                <w:sz w:val="18"/>
                <w:szCs w:val="18"/>
              </w:rPr>
              <w:t>-0.7</w:t>
            </w:r>
          </w:p>
        </w:tc>
        <w:tc>
          <w:tcPr>
            <w:tcW w:w="1447" w:type="dxa"/>
            <w:tcBorders>
              <w:top w:val="nil"/>
              <w:bottom w:val="double" w:sz="2" w:space="0" w:color="1D1B11" w:themeColor="background2" w:themeShade="1A"/>
            </w:tcBorders>
            <w:shd w:val="clear" w:color="auto" w:fill="auto"/>
            <w:noWrap/>
            <w:vAlign w:val="center"/>
            <w:hideMark/>
          </w:tcPr>
          <w:p w14:paraId="5D6E7D3A" w14:textId="0FBD4E36" w:rsidR="00EC1A1D" w:rsidRPr="00EC1A1D" w:rsidRDefault="00A55002" w:rsidP="00BD70EA">
            <w:pPr>
              <w:widowControl w:val="0"/>
              <w:jc w:val="center"/>
              <w:rPr>
                <w:color w:val="000000"/>
                <w:sz w:val="18"/>
                <w:szCs w:val="18"/>
                <w:lang w:eastAsia="es-MX"/>
              </w:rPr>
            </w:pPr>
            <w:r>
              <w:rPr>
                <w:sz w:val="18"/>
                <w:szCs w:val="18"/>
              </w:rPr>
              <w:t>0.9</w:t>
            </w:r>
          </w:p>
        </w:tc>
      </w:tr>
    </w:tbl>
    <w:p w14:paraId="695FC8E1" w14:textId="34575ACE" w:rsidR="00797EBB" w:rsidRDefault="00797EBB" w:rsidP="0056429C">
      <w:pPr>
        <w:pStyle w:val="pie"/>
        <w:spacing w:after="0"/>
        <w:ind w:left="2310" w:right="1693" w:hanging="602"/>
        <w:rPr>
          <w:lang w:val="es-MX"/>
        </w:rPr>
      </w:pPr>
      <w:r w:rsidRPr="00D5238C">
        <w:rPr>
          <w:lang w:val="es-MX"/>
        </w:rPr>
        <w:t>Nota:</w:t>
      </w:r>
      <w:r>
        <w:rPr>
          <w:lang w:val="es-MX"/>
        </w:rPr>
        <w:tab/>
      </w:r>
      <w:r w:rsidRPr="00D5238C">
        <w:rPr>
          <w:lang w:val="es-MX"/>
        </w:rPr>
        <w:t>Intervalos de confianza a 95</w:t>
      </w:r>
      <w:r>
        <w:rPr>
          <w:lang w:val="es-MX"/>
        </w:rPr>
        <w:t xml:space="preserve"> </w:t>
      </w:r>
      <w:r w:rsidR="0056429C">
        <w:rPr>
          <w:lang w:val="es-MX"/>
        </w:rPr>
        <w:t>%</w:t>
      </w:r>
    </w:p>
    <w:p w14:paraId="16436F79" w14:textId="1AB34322" w:rsidR="005E39C0" w:rsidRPr="00D5238C" w:rsidRDefault="005E39C0" w:rsidP="0056429C">
      <w:pPr>
        <w:pStyle w:val="pie"/>
        <w:spacing w:after="0"/>
        <w:ind w:left="2310" w:right="1693" w:hanging="602"/>
        <w:rPr>
          <w:lang w:val="es-MX"/>
        </w:rPr>
      </w:pPr>
      <w:r w:rsidRPr="005E39C0">
        <w:rPr>
          <w:sz w:val="18"/>
          <w:szCs w:val="18"/>
          <w:vertAlign w:val="superscript"/>
          <w:lang w:val="es-MX"/>
        </w:rPr>
        <w:t>1/</w:t>
      </w:r>
      <w:r w:rsidRPr="005E39C0">
        <w:rPr>
          <w:sz w:val="18"/>
          <w:szCs w:val="18"/>
          <w:vertAlign w:val="superscript"/>
          <w:lang w:val="es-MX"/>
        </w:rPr>
        <w:tab/>
      </w:r>
      <w:r w:rsidRPr="005E39C0">
        <w:rPr>
          <w:lang w:val="es-MX"/>
        </w:rPr>
        <w:t>Estimación oportuna que aprovecha la asociación estadística entre la variable que se desea estimar —en este caso el IMCPMI — y otras variables más oportunas que esta.</w:t>
      </w:r>
    </w:p>
    <w:p w14:paraId="1AAA5D3F" w14:textId="325C6288" w:rsidR="00797EBB" w:rsidRPr="009B66EB" w:rsidRDefault="00797EBB" w:rsidP="0056429C">
      <w:pPr>
        <w:pStyle w:val="pie"/>
        <w:ind w:left="2310" w:right="1693" w:hanging="602"/>
        <w:rPr>
          <w:lang w:val="es-MX"/>
        </w:rPr>
      </w:pPr>
      <w:r w:rsidRPr="00D5238C">
        <w:rPr>
          <w:lang w:val="es-MX"/>
        </w:rPr>
        <w:t>Fuente: INEGI</w:t>
      </w:r>
    </w:p>
    <w:p w14:paraId="14C7F6E2" w14:textId="63F16A85" w:rsidR="00797EBB" w:rsidRDefault="005E39C0" w:rsidP="0056429C">
      <w:pPr>
        <w:spacing w:before="240"/>
        <w:rPr>
          <w:lang w:val="es-MX"/>
        </w:rPr>
      </w:pPr>
      <w:r w:rsidRPr="005E39C0">
        <w:rPr>
          <w:lang w:val="es-MX"/>
        </w:rPr>
        <w:t>Para octubre de 2022, el IOCP (base 2013=100) adelanta un nivel de 123.3 para el IMCPMI. Para noviembre de 2022 el índice del IOCP es de 122.5.</w:t>
      </w:r>
    </w:p>
    <w:p w14:paraId="5656EA08" w14:textId="77777777" w:rsidR="00797EBB" w:rsidRDefault="00797EBB" w:rsidP="007F3985">
      <w:pPr>
        <w:spacing w:before="240"/>
        <w:jc w:val="center"/>
        <w:rPr>
          <w:sz w:val="22"/>
          <w:szCs w:val="22"/>
        </w:rPr>
      </w:pPr>
      <w:r w:rsidRPr="00B17F8A">
        <w:rPr>
          <w:bCs/>
          <w:sz w:val="20"/>
          <w:szCs w:val="20"/>
        </w:rPr>
        <w:t xml:space="preserve">Cuadro </w:t>
      </w:r>
      <w:r>
        <w:rPr>
          <w:bCs/>
          <w:sz w:val="20"/>
          <w:szCs w:val="20"/>
        </w:rPr>
        <w:t>3</w:t>
      </w:r>
    </w:p>
    <w:p w14:paraId="5F5D1C02" w14:textId="77777777" w:rsidR="00797EBB" w:rsidRDefault="00797EBB" w:rsidP="00797EBB">
      <w:pPr>
        <w:pStyle w:val="Titcuadrograf"/>
        <w:ind w:left="0"/>
        <w:rPr>
          <w:bCs/>
          <w:sz w:val="22"/>
          <w:szCs w:val="22"/>
        </w:rPr>
      </w:pPr>
      <w:r w:rsidRPr="00674B83">
        <w:rPr>
          <w:sz w:val="22"/>
          <w:szCs w:val="22"/>
        </w:rPr>
        <w:t xml:space="preserve">Indicador </w:t>
      </w:r>
      <w:r>
        <w:rPr>
          <w:sz w:val="22"/>
          <w:szCs w:val="22"/>
        </w:rPr>
        <w:t>Oportuno</w:t>
      </w:r>
      <w:r w:rsidRPr="00E15E72">
        <w:rPr>
          <w:sz w:val="22"/>
          <w:szCs w:val="22"/>
        </w:rPr>
        <w:t xml:space="preserve"> </w:t>
      </w:r>
      <w:r>
        <w:rPr>
          <w:sz w:val="22"/>
          <w:szCs w:val="22"/>
        </w:rPr>
        <w:t>d</w:t>
      </w:r>
      <w:r w:rsidRPr="00E15E72">
        <w:rPr>
          <w:sz w:val="22"/>
          <w:szCs w:val="22"/>
        </w:rPr>
        <w:t>e</w:t>
      </w:r>
      <w:r>
        <w:rPr>
          <w:sz w:val="22"/>
          <w:szCs w:val="22"/>
        </w:rPr>
        <w:t>l Consumo Privado</w:t>
      </w:r>
      <w:r>
        <w:rPr>
          <w:bCs/>
          <w:sz w:val="22"/>
          <w:szCs w:val="22"/>
        </w:rPr>
        <w:t xml:space="preserve"> </w:t>
      </w:r>
    </w:p>
    <w:p w14:paraId="1208502C" w14:textId="3ED22ED1" w:rsidR="00797EBB" w:rsidRPr="005E39C0" w:rsidRDefault="005E39C0" w:rsidP="00797EBB">
      <w:pPr>
        <w:pStyle w:val="Titcuadrograf"/>
        <w:ind w:left="0"/>
        <w:rPr>
          <w:bCs/>
          <w:sz w:val="20"/>
          <w:szCs w:val="20"/>
        </w:rPr>
      </w:pPr>
      <w:r w:rsidRPr="005E39C0">
        <w:rPr>
          <w:bCs/>
          <w:sz w:val="20"/>
          <w:szCs w:val="20"/>
        </w:rPr>
        <w:t>l</w:t>
      </w:r>
      <w:r w:rsidR="00797EBB" w:rsidRPr="005E39C0">
        <w:rPr>
          <w:bCs/>
          <w:sz w:val="20"/>
          <w:szCs w:val="20"/>
        </w:rPr>
        <w:t>as estimaciones se refieren a cifras desestacionalizadas</w:t>
      </w:r>
    </w:p>
    <w:p w14:paraId="63F85A7C" w14:textId="0979FC62" w:rsidR="00797EBB" w:rsidRDefault="00797EBB" w:rsidP="00797EBB">
      <w:pPr>
        <w:pStyle w:val="Titcuadrograf"/>
        <w:ind w:left="0"/>
        <w:rPr>
          <w:b w:val="0"/>
          <w:smallCaps w:val="0"/>
          <w:sz w:val="18"/>
          <w:szCs w:val="18"/>
        </w:rPr>
      </w:pPr>
      <w:r w:rsidRPr="00673FED">
        <w:rPr>
          <w:b w:val="0"/>
          <w:smallCaps w:val="0"/>
          <w:sz w:val="18"/>
          <w:szCs w:val="18"/>
        </w:rPr>
        <w:t>(Índice base 2013=100)</w:t>
      </w:r>
    </w:p>
    <w:tbl>
      <w:tblPr>
        <w:tblW w:w="6081" w:type="dxa"/>
        <w:jc w:val="center"/>
        <w:tblBorders>
          <w:top w:val="double" w:sz="2" w:space="0" w:color="4A442A" w:themeColor="background2" w:themeShade="40"/>
          <w:left w:val="double" w:sz="2" w:space="0" w:color="4A442A" w:themeColor="background2" w:themeShade="40"/>
          <w:bottom w:val="double" w:sz="2" w:space="0" w:color="4A442A" w:themeColor="background2" w:themeShade="40"/>
          <w:right w:val="double" w:sz="2" w:space="0" w:color="4A442A" w:themeColor="background2" w:themeShade="40"/>
          <w:insideH w:val="single" w:sz="2" w:space="0" w:color="4A442A" w:themeColor="background2" w:themeShade="40"/>
          <w:insideV w:val="single" w:sz="2" w:space="0" w:color="4A442A" w:themeColor="background2" w:themeShade="40"/>
        </w:tblBorders>
        <w:tblLayout w:type="fixed"/>
        <w:tblCellMar>
          <w:left w:w="70" w:type="dxa"/>
          <w:right w:w="70" w:type="dxa"/>
        </w:tblCellMar>
        <w:tblLook w:val="04A0" w:firstRow="1" w:lastRow="0" w:firstColumn="1" w:lastColumn="0" w:noHBand="0" w:noVBand="1"/>
      </w:tblPr>
      <w:tblGrid>
        <w:gridCol w:w="1742"/>
        <w:gridCol w:w="1446"/>
        <w:gridCol w:w="1446"/>
        <w:gridCol w:w="1447"/>
      </w:tblGrid>
      <w:tr w:rsidR="00BE3EAB" w:rsidRPr="0020223F" w14:paraId="04FBA0C0" w14:textId="77777777" w:rsidTr="00BE3EAB">
        <w:trPr>
          <w:trHeight w:val="510"/>
          <w:jc w:val="center"/>
        </w:trPr>
        <w:tc>
          <w:tcPr>
            <w:tcW w:w="1742" w:type="dxa"/>
            <w:shd w:val="clear" w:color="auto" w:fill="DDD9C3" w:themeFill="background2" w:themeFillShade="E6"/>
            <w:noWrap/>
            <w:vAlign w:val="center"/>
            <w:hideMark/>
          </w:tcPr>
          <w:p w14:paraId="6DAA2352" w14:textId="77777777" w:rsidR="00BE3EAB" w:rsidRPr="0056429C" w:rsidRDefault="00BE3EAB" w:rsidP="009A560E">
            <w:pPr>
              <w:jc w:val="center"/>
              <w:rPr>
                <w:color w:val="000000"/>
                <w:sz w:val="18"/>
                <w:szCs w:val="18"/>
                <w:lang w:val="es-MX" w:eastAsia="es-MX"/>
              </w:rPr>
            </w:pPr>
            <w:r w:rsidRPr="0056429C">
              <w:rPr>
                <w:color w:val="000000"/>
                <w:sz w:val="18"/>
                <w:szCs w:val="18"/>
                <w:lang w:eastAsia="es-MX"/>
              </w:rPr>
              <w:t>Mes de referencia</w:t>
            </w:r>
          </w:p>
        </w:tc>
        <w:tc>
          <w:tcPr>
            <w:tcW w:w="1446" w:type="dxa"/>
            <w:shd w:val="clear" w:color="auto" w:fill="DDD9C3" w:themeFill="background2" w:themeFillShade="E6"/>
            <w:noWrap/>
            <w:vAlign w:val="center"/>
            <w:hideMark/>
          </w:tcPr>
          <w:p w14:paraId="6877C4E6" w14:textId="01F15A49" w:rsidR="00BE3EAB" w:rsidRPr="0056429C" w:rsidRDefault="00BE3EAB" w:rsidP="009A560E">
            <w:pPr>
              <w:jc w:val="center"/>
              <w:rPr>
                <w:color w:val="000000"/>
                <w:sz w:val="18"/>
                <w:szCs w:val="18"/>
                <w:lang w:eastAsia="es-MX"/>
              </w:rPr>
            </w:pPr>
            <w:r w:rsidRPr="0056429C">
              <w:rPr>
                <w:color w:val="000000"/>
                <w:sz w:val="18"/>
                <w:szCs w:val="18"/>
                <w:lang w:eastAsia="es-MX"/>
              </w:rPr>
              <w:t>Inferior</w:t>
            </w:r>
          </w:p>
        </w:tc>
        <w:tc>
          <w:tcPr>
            <w:tcW w:w="1446" w:type="dxa"/>
            <w:shd w:val="clear" w:color="auto" w:fill="DDD9C3" w:themeFill="background2" w:themeFillShade="E6"/>
            <w:vAlign w:val="center"/>
          </w:tcPr>
          <w:p w14:paraId="55C989F7" w14:textId="082F27FF" w:rsidR="00BE3EAB" w:rsidRPr="0056429C" w:rsidRDefault="00BE3EAB" w:rsidP="009A560E">
            <w:pPr>
              <w:jc w:val="center"/>
              <w:rPr>
                <w:color w:val="000000"/>
                <w:sz w:val="18"/>
                <w:szCs w:val="18"/>
                <w:lang w:eastAsia="es-MX"/>
              </w:rPr>
            </w:pPr>
            <w:r w:rsidRPr="0056429C">
              <w:rPr>
                <w:color w:val="000000"/>
                <w:sz w:val="18"/>
                <w:szCs w:val="18"/>
                <w:lang w:eastAsia="es-MX"/>
              </w:rPr>
              <w:t>Nowcast</w:t>
            </w:r>
            <w:r w:rsidRPr="005E39C0">
              <w:rPr>
                <w:color w:val="000000"/>
                <w:sz w:val="20"/>
                <w:szCs w:val="20"/>
                <w:vertAlign w:val="superscript"/>
                <w:lang w:eastAsia="es-MX"/>
              </w:rPr>
              <w:t>1/</w:t>
            </w:r>
          </w:p>
        </w:tc>
        <w:tc>
          <w:tcPr>
            <w:tcW w:w="1447" w:type="dxa"/>
            <w:shd w:val="clear" w:color="auto" w:fill="DDD9C3" w:themeFill="background2" w:themeFillShade="E6"/>
            <w:vAlign w:val="center"/>
          </w:tcPr>
          <w:p w14:paraId="3319EF3C" w14:textId="718AD6C7" w:rsidR="00BE3EAB" w:rsidRPr="0056429C" w:rsidRDefault="00BE3EAB" w:rsidP="009A560E">
            <w:pPr>
              <w:jc w:val="center"/>
              <w:rPr>
                <w:color w:val="000000"/>
                <w:sz w:val="18"/>
                <w:szCs w:val="18"/>
                <w:lang w:eastAsia="es-MX"/>
              </w:rPr>
            </w:pPr>
            <w:r w:rsidRPr="0056429C">
              <w:rPr>
                <w:color w:val="000000"/>
                <w:sz w:val="18"/>
                <w:szCs w:val="18"/>
                <w:lang w:eastAsia="es-MX"/>
              </w:rPr>
              <w:t>Superior</w:t>
            </w:r>
          </w:p>
        </w:tc>
      </w:tr>
      <w:tr w:rsidR="0056429C" w:rsidRPr="0020223F" w14:paraId="7764CA9E" w14:textId="77777777" w:rsidTr="00503EA8">
        <w:trPr>
          <w:trHeight w:val="340"/>
          <w:jc w:val="center"/>
        </w:trPr>
        <w:tc>
          <w:tcPr>
            <w:tcW w:w="1742" w:type="dxa"/>
            <w:tcBorders>
              <w:top w:val="single" w:sz="2" w:space="0" w:color="4A442A" w:themeColor="background2" w:themeShade="40"/>
              <w:bottom w:val="nil"/>
            </w:tcBorders>
            <w:noWrap/>
            <w:vAlign w:val="center"/>
            <w:hideMark/>
          </w:tcPr>
          <w:p w14:paraId="37070DED" w14:textId="4B0FD2F0" w:rsidR="0056429C" w:rsidRPr="0056429C" w:rsidRDefault="0056429C" w:rsidP="0056429C">
            <w:pPr>
              <w:ind w:left="227"/>
              <w:jc w:val="left"/>
              <w:rPr>
                <w:color w:val="000000"/>
                <w:sz w:val="18"/>
                <w:szCs w:val="18"/>
                <w:lang w:eastAsia="es-MX"/>
              </w:rPr>
            </w:pPr>
            <w:r w:rsidRPr="0056429C">
              <w:rPr>
                <w:sz w:val="18"/>
                <w:szCs w:val="18"/>
              </w:rPr>
              <w:t>2022/</w:t>
            </w:r>
            <w:r w:rsidR="005E39C0">
              <w:rPr>
                <w:sz w:val="18"/>
                <w:szCs w:val="18"/>
              </w:rPr>
              <w:t>10</w:t>
            </w:r>
          </w:p>
        </w:tc>
        <w:tc>
          <w:tcPr>
            <w:tcW w:w="1446" w:type="dxa"/>
            <w:tcBorders>
              <w:top w:val="single" w:sz="2" w:space="0" w:color="4A442A" w:themeColor="background2" w:themeShade="40"/>
              <w:bottom w:val="nil"/>
            </w:tcBorders>
            <w:noWrap/>
            <w:vAlign w:val="center"/>
            <w:hideMark/>
          </w:tcPr>
          <w:p w14:paraId="24AE0FAC" w14:textId="32D29B3B" w:rsidR="0056429C" w:rsidRPr="0056429C" w:rsidRDefault="0056429C" w:rsidP="0056429C">
            <w:pPr>
              <w:widowControl w:val="0"/>
              <w:jc w:val="center"/>
              <w:rPr>
                <w:color w:val="000000"/>
                <w:sz w:val="18"/>
                <w:szCs w:val="18"/>
                <w:lang w:eastAsia="es-MX"/>
              </w:rPr>
            </w:pPr>
            <w:r w:rsidRPr="0056429C">
              <w:rPr>
                <w:sz w:val="18"/>
                <w:szCs w:val="18"/>
              </w:rPr>
              <w:t>12</w:t>
            </w:r>
            <w:r w:rsidR="005E39C0">
              <w:rPr>
                <w:sz w:val="18"/>
                <w:szCs w:val="18"/>
              </w:rPr>
              <w:t>1.4</w:t>
            </w:r>
          </w:p>
        </w:tc>
        <w:tc>
          <w:tcPr>
            <w:tcW w:w="1446" w:type="dxa"/>
            <w:tcBorders>
              <w:top w:val="single" w:sz="2" w:space="0" w:color="4A442A" w:themeColor="background2" w:themeShade="40"/>
              <w:bottom w:val="nil"/>
            </w:tcBorders>
            <w:noWrap/>
            <w:vAlign w:val="center"/>
            <w:hideMark/>
          </w:tcPr>
          <w:p w14:paraId="449BF367" w14:textId="7D0FEA31" w:rsidR="0056429C" w:rsidRPr="0056429C" w:rsidRDefault="005E39C0" w:rsidP="0056429C">
            <w:pPr>
              <w:widowControl w:val="0"/>
              <w:jc w:val="center"/>
              <w:rPr>
                <w:color w:val="000000"/>
                <w:sz w:val="18"/>
                <w:szCs w:val="18"/>
                <w:lang w:eastAsia="es-MX"/>
              </w:rPr>
            </w:pPr>
            <w:r>
              <w:rPr>
                <w:sz w:val="18"/>
                <w:szCs w:val="18"/>
              </w:rPr>
              <w:t>123.3</w:t>
            </w:r>
          </w:p>
        </w:tc>
        <w:tc>
          <w:tcPr>
            <w:tcW w:w="1447" w:type="dxa"/>
            <w:tcBorders>
              <w:top w:val="single" w:sz="2" w:space="0" w:color="4A442A" w:themeColor="background2" w:themeShade="40"/>
              <w:bottom w:val="nil"/>
            </w:tcBorders>
            <w:noWrap/>
            <w:vAlign w:val="center"/>
            <w:hideMark/>
          </w:tcPr>
          <w:p w14:paraId="2DD59FEB" w14:textId="33854726" w:rsidR="0056429C" w:rsidRPr="0056429C" w:rsidRDefault="005E39C0" w:rsidP="0056429C">
            <w:pPr>
              <w:widowControl w:val="0"/>
              <w:jc w:val="center"/>
              <w:rPr>
                <w:color w:val="000000"/>
                <w:sz w:val="18"/>
                <w:szCs w:val="18"/>
                <w:lang w:eastAsia="es-MX"/>
              </w:rPr>
            </w:pPr>
            <w:r>
              <w:rPr>
                <w:sz w:val="18"/>
                <w:szCs w:val="18"/>
              </w:rPr>
              <w:t>125.0</w:t>
            </w:r>
          </w:p>
        </w:tc>
      </w:tr>
      <w:tr w:rsidR="0056429C" w:rsidRPr="0020223F" w14:paraId="25FDA945" w14:textId="77777777" w:rsidTr="00503EA8">
        <w:trPr>
          <w:trHeight w:val="340"/>
          <w:jc w:val="center"/>
        </w:trPr>
        <w:tc>
          <w:tcPr>
            <w:tcW w:w="1742" w:type="dxa"/>
            <w:tcBorders>
              <w:top w:val="nil"/>
              <w:bottom w:val="double" w:sz="2" w:space="0" w:color="4A442A" w:themeColor="background2" w:themeShade="40"/>
            </w:tcBorders>
            <w:noWrap/>
            <w:vAlign w:val="center"/>
            <w:hideMark/>
          </w:tcPr>
          <w:p w14:paraId="70BDFDD7" w14:textId="09306A9A" w:rsidR="0056429C" w:rsidRPr="0056429C" w:rsidRDefault="0056429C" w:rsidP="0056429C">
            <w:pPr>
              <w:ind w:left="227"/>
              <w:jc w:val="left"/>
              <w:rPr>
                <w:color w:val="000000"/>
                <w:sz w:val="18"/>
                <w:szCs w:val="18"/>
                <w:lang w:eastAsia="es-MX"/>
              </w:rPr>
            </w:pPr>
            <w:r w:rsidRPr="0056429C">
              <w:rPr>
                <w:sz w:val="18"/>
                <w:szCs w:val="18"/>
              </w:rPr>
              <w:t>2022/</w:t>
            </w:r>
            <w:r w:rsidR="005E39C0">
              <w:rPr>
                <w:sz w:val="18"/>
                <w:szCs w:val="18"/>
              </w:rPr>
              <w:t>11</w:t>
            </w:r>
          </w:p>
        </w:tc>
        <w:tc>
          <w:tcPr>
            <w:tcW w:w="1446" w:type="dxa"/>
            <w:tcBorders>
              <w:top w:val="nil"/>
              <w:bottom w:val="double" w:sz="2" w:space="0" w:color="4A442A" w:themeColor="background2" w:themeShade="40"/>
            </w:tcBorders>
            <w:noWrap/>
            <w:vAlign w:val="center"/>
            <w:hideMark/>
          </w:tcPr>
          <w:p w14:paraId="43C0176B" w14:textId="1B86B1EB" w:rsidR="0056429C" w:rsidRPr="0056429C" w:rsidRDefault="005E39C0" w:rsidP="0056429C">
            <w:pPr>
              <w:widowControl w:val="0"/>
              <w:jc w:val="center"/>
              <w:rPr>
                <w:color w:val="000000"/>
                <w:sz w:val="18"/>
                <w:szCs w:val="18"/>
                <w:lang w:eastAsia="es-MX"/>
              </w:rPr>
            </w:pPr>
            <w:r>
              <w:rPr>
                <w:sz w:val="18"/>
                <w:szCs w:val="18"/>
              </w:rPr>
              <w:t>120.5</w:t>
            </w:r>
          </w:p>
        </w:tc>
        <w:tc>
          <w:tcPr>
            <w:tcW w:w="1446" w:type="dxa"/>
            <w:tcBorders>
              <w:top w:val="nil"/>
              <w:bottom w:val="double" w:sz="2" w:space="0" w:color="4A442A" w:themeColor="background2" w:themeShade="40"/>
            </w:tcBorders>
            <w:noWrap/>
            <w:vAlign w:val="center"/>
            <w:hideMark/>
          </w:tcPr>
          <w:p w14:paraId="3B4F3685" w14:textId="0678BDF8" w:rsidR="0056429C" w:rsidRPr="0056429C" w:rsidRDefault="005E39C0" w:rsidP="0056429C">
            <w:pPr>
              <w:widowControl w:val="0"/>
              <w:jc w:val="center"/>
              <w:rPr>
                <w:color w:val="000000"/>
                <w:sz w:val="18"/>
                <w:szCs w:val="18"/>
                <w:lang w:eastAsia="es-MX"/>
              </w:rPr>
            </w:pPr>
            <w:r>
              <w:rPr>
                <w:sz w:val="18"/>
                <w:szCs w:val="18"/>
              </w:rPr>
              <w:t>122.5</w:t>
            </w:r>
          </w:p>
        </w:tc>
        <w:tc>
          <w:tcPr>
            <w:tcW w:w="1447" w:type="dxa"/>
            <w:tcBorders>
              <w:top w:val="nil"/>
              <w:bottom w:val="double" w:sz="2" w:space="0" w:color="4A442A" w:themeColor="background2" w:themeShade="40"/>
            </w:tcBorders>
            <w:shd w:val="clear" w:color="auto" w:fill="auto"/>
            <w:noWrap/>
            <w:vAlign w:val="center"/>
            <w:hideMark/>
          </w:tcPr>
          <w:p w14:paraId="68EB4D34" w14:textId="515885A8" w:rsidR="0056429C" w:rsidRPr="0056429C" w:rsidRDefault="0056429C" w:rsidP="0056429C">
            <w:pPr>
              <w:widowControl w:val="0"/>
              <w:jc w:val="center"/>
              <w:rPr>
                <w:color w:val="000000"/>
                <w:sz w:val="18"/>
                <w:szCs w:val="18"/>
                <w:lang w:eastAsia="es-MX"/>
              </w:rPr>
            </w:pPr>
            <w:r w:rsidRPr="0056429C">
              <w:rPr>
                <w:sz w:val="18"/>
                <w:szCs w:val="18"/>
              </w:rPr>
              <w:t>12</w:t>
            </w:r>
            <w:r w:rsidR="005E39C0">
              <w:rPr>
                <w:sz w:val="18"/>
                <w:szCs w:val="18"/>
              </w:rPr>
              <w:t>4.4</w:t>
            </w:r>
          </w:p>
        </w:tc>
      </w:tr>
    </w:tbl>
    <w:p w14:paraId="7348E2F3" w14:textId="43C81750" w:rsidR="00797EBB" w:rsidRPr="00D5238C" w:rsidRDefault="00797EBB" w:rsidP="0056429C">
      <w:pPr>
        <w:pStyle w:val="pie"/>
        <w:spacing w:after="0"/>
        <w:ind w:left="2310" w:right="1693" w:hanging="602"/>
        <w:rPr>
          <w:lang w:val="es-MX"/>
        </w:rPr>
      </w:pPr>
      <w:r w:rsidRPr="00D5238C">
        <w:rPr>
          <w:lang w:val="es-MX"/>
        </w:rPr>
        <w:t>Nota:</w:t>
      </w:r>
      <w:r>
        <w:rPr>
          <w:lang w:val="es-MX"/>
        </w:rPr>
        <w:tab/>
      </w:r>
      <w:r w:rsidRPr="00D5238C">
        <w:rPr>
          <w:lang w:val="es-MX"/>
        </w:rPr>
        <w:t>Intervalos de confianza a 95</w:t>
      </w:r>
      <w:r>
        <w:rPr>
          <w:lang w:val="es-MX"/>
        </w:rPr>
        <w:t xml:space="preserve"> </w:t>
      </w:r>
      <w:r w:rsidR="007F3985">
        <w:rPr>
          <w:lang w:val="es-MX"/>
        </w:rPr>
        <w:t>%</w:t>
      </w:r>
    </w:p>
    <w:p w14:paraId="7237777A" w14:textId="77777777" w:rsidR="005E39C0" w:rsidRPr="00D5238C" w:rsidRDefault="005E39C0" w:rsidP="005E39C0">
      <w:pPr>
        <w:pStyle w:val="pie"/>
        <w:spacing w:after="0"/>
        <w:ind w:left="2310" w:right="1693" w:hanging="602"/>
        <w:rPr>
          <w:lang w:val="es-MX"/>
        </w:rPr>
      </w:pPr>
      <w:r w:rsidRPr="005E39C0">
        <w:rPr>
          <w:sz w:val="18"/>
          <w:szCs w:val="18"/>
          <w:vertAlign w:val="superscript"/>
          <w:lang w:val="es-MX"/>
        </w:rPr>
        <w:t>1/</w:t>
      </w:r>
      <w:r w:rsidRPr="005E39C0">
        <w:rPr>
          <w:sz w:val="18"/>
          <w:szCs w:val="18"/>
          <w:vertAlign w:val="superscript"/>
          <w:lang w:val="es-MX"/>
        </w:rPr>
        <w:tab/>
      </w:r>
      <w:r w:rsidRPr="005E39C0">
        <w:rPr>
          <w:lang w:val="es-MX"/>
        </w:rPr>
        <w:t>Estimación oportuna que aprovecha la asociación estadística entre la variable que se desea estimar —en este caso el IMCPMI — y otras variables más oportunas que esta.</w:t>
      </w:r>
    </w:p>
    <w:p w14:paraId="4E378681" w14:textId="205ADE78" w:rsidR="00797EBB" w:rsidRPr="00D5238C" w:rsidRDefault="00797EBB" w:rsidP="0056429C">
      <w:pPr>
        <w:pStyle w:val="pie"/>
        <w:ind w:left="2310" w:right="1693" w:hanging="602"/>
        <w:rPr>
          <w:lang w:val="es-MX"/>
        </w:rPr>
      </w:pPr>
      <w:r w:rsidRPr="00D5238C">
        <w:rPr>
          <w:lang w:val="es-MX"/>
        </w:rPr>
        <w:t>Fuente: INEGI</w:t>
      </w:r>
    </w:p>
    <w:p w14:paraId="432FD103" w14:textId="3C8B4601" w:rsidR="00797EBB" w:rsidRDefault="005E39C0" w:rsidP="00797EBB">
      <w:pPr>
        <w:spacing w:before="240"/>
        <w:rPr>
          <w:lang w:val="es-MX"/>
        </w:rPr>
      </w:pPr>
      <w:r w:rsidRPr="005E39C0">
        <w:rPr>
          <w:lang w:val="es-MX"/>
        </w:rPr>
        <w:t xml:space="preserve">Las gráficas 1, 2 y 3 muestran los resultados del IOCP para las variaciones anuales, las variaciones mensuales y los niveles del índice. En cada caso, la línea azul representa la serie de interés, la línea negra punteada se refiere al ajuste del modelo de estimación y la línea roja muestra los </w:t>
      </w:r>
      <w:proofErr w:type="spellStart"/>
      <w:r w:rsidRPr="009731F7">
        <w:rPr>
          <w:i/>
          <w:iCs/>
          <w:lang w:val="es-MX"/>
        </w:rPr>
        <w:t>nowcasts</w:t>
      </w:r>
      <w:proofErr w:type="spellEnd"/>
      <w:r w:rsidRPr="005E39C0">
        <w:rPr>
          <w:lang w:val="es-MX"/>
        </w:rPr>
        <w:t xml:space="preserve"> de octubre y noviembre de 2022. Las líneas verdes punteadas representan los intervalos de confianza a 95 por ciento.</w:t>
      </w:r>
    </w:p>
    <w:p w14:paraId="5C23F912" w14:textId="77777777" w:rsidR="007C3278" w:rsidRDefault="007C3278">
      <w:pPr>
        <w:jc w:val="left"/>
        <w:rPr>
          <w:sz w:val="20"/>
          <w:szCs w:val="20"/>
          <w:lang w:val="es-MX"/>
        </w:rPr>
      </w:pPr>
      <w:r>
        <w:rPr>
          <w:b/>
          <w:smallCaps/>
          <w:sz w:val="20"/>
          <w:szCs w:val="20"/>
        </w:rPr>
        <w:br w:type="page"/>
      </w:r>
    </w:p>
    <w:p w14:paraId="60644B7C" w14:textId="4662ECD1" w:rsidR="00797EBB" w:rsidRPr="004C6A26" w:rsidRDefault="00797EBB" w:rsidP="00797EBB">
      <w:pPr>
        <w:pStyle w:val="Titcuadrograf"/>
        <w:spacing w:before="240"/>
        <w:ind w:left="0"/>
        <w:rPr>
          <w:b w:val="0"/>
          <w:smallCaps w:val="0"/>
          <w:sz w:val="20"/>
          <w:szCs w:val="20"/>
        </w:rPr>
      </w:pPr>
      <w:r w:rsidRPr="004C6A26">
        <w:rPr>
          <w:b w:val="0"/>
          <w:smallCaps w:val="0"/>
          <w:sz w:val="20"/>
          <w:szCs w:val="20"/>
        </w:rPr>
        <w:lastRenderedPageBreak/>
        <w:t>Gráfica 1</w:t>
      </w:r>
    </w:p>
    <w:p w14:paraId="02B0AC17" w14:textId="77777777" w:rsidR="00797EBB" w:rsidRDefault="00797EBB" w:rsidP="00797EBB">
      <w:pPr>
        <w:pStyle w:val="Titcuadrograf"/>
        <w:ind w:left="0"/>
        <w:rPr>
          <w:sz w:val="22"/>
          <w:szCs w:val="22"/>
        </w:rPr>
      </w:pPr>
      <w:r w:rsidRPr="00E15E72">
        <w:rPr>
          <w:sz w:val="22"/>
          <w:szCs w:val="22"/>
        </w:rPr>
        <w:t>IO</w:t>
      </w:r>
      <w:r>
        <w:rPr>
          <w:sz w:val="22"/>
          <w:szCs w:val="22"/>
        </w:rPr>
        <w:t>CP</w:t>
      </w:r>
      <w:r w:rsidRPr="00E15E72">
        <w:rPr>
          <w:sz w:val="22"/>
          <w:szCs w:val="22"/>
        </w:rPr>
        <w:t xml:space="preserve">: </w:t>
      </w:r>
      <w:proofErr w:type="spellStart"/>
      <w:r w:rsidRPr="0075037F">
        <w:rPr>
          <w:i/>
          <w:sz w:val="22"/>
          <w:szCs w:val="22"/>
        </w:rPr>
        <w:t>Nowcast</w:t>
      </w:r>
      <w:proofErr w:type="spellEnd"/>
      <w:r w:rsidRPr="00E15E72">
        <w:rPr>
          <w:sz w:val="22"/>
          <w:szCs w:val="22"/>
        </w:rPr>
        <w:t xml:space="preserve"> del I</w:t>
      </w:r>
      <w:r>
        <w:rPr>
          <w:sz w:val="22"/>
          <w:szCs w:val="22"/>
        </w:rPr>
        <w:t>MCPMI</w:t>
      </w:r>
    </w:p>
    <w:p w14:paraId="4EC6B23D" w14:textId="24D3628E" w:rsidR="00797EBB" w:rsidRPr="007F3985" w:rsidRDefault="007F3985" w:rsidP="00797EBB">
      <w:pPr>
        <w:pStyle w:val="Titcuadrograf"/>
        <w:ind w:left="0"/>
        <w:rPr>
          <w:bCs/>
          <w:sz w:val="20"/>
          <w:szCs w:val="20"/>
        </w:rPr>
      </w:pPr>
      <w:r w:rsidRPr="007F3985">
        <w:rPr>
          <w:bCs/>
          <w:sz w:val="20"/>
          <w:szCs w:val="20"/>
        </w:rPr>
        <w:t>l</w:t>
      </w:r>
      <w:r w:rsidR="00797EBB" w:rsidRPr="007F3985">
        <w:rPr>
          <w:bCs/>
          <w:sz w:val="20"/>
          <w:szCs w:val="20"/>
        </w:rPr>
        <w:t>as estimaciones se refieren a cifras desestacionalizadas</w:t>
      </w:r>
    </w:p>
    <w:p w14:paraId="37B0BDBB" w14:textId="1CFCB954" w:rsidR="00797EBB" w:rsidRDefault="00797EBB" w:rsidP="00797EBB">
      <w:pPr>
        <w:jc w:val="center"/>
        <w:rPr>
          <w:sz w:val="18"/>
          <w:szCs w:val="18"/>
        </w:rPr>
      </w:pPr>
      <w:r w:rsidRPr="009D4498">
        <w:rPr>
          <w:sz w:val="18"/>
          <w:szCs w:val="18"/>
        </w:rPr>
        <w:t xml:space="preserve">(Variación porcentual </w:t>
      </w:r>
      <w:r w:rsidR="009731F7">
        <w:rPr>
          <w:sz w:val="18"/>
          <w:szCs w:val="18"/>
        </w:rPr>
        <w:t xml:space="preserve">real </w:t>
      </w:r>
      <w:r w:rsidRPr="009D4498">
        <w:rPr>
          <w:sz w:val="18"/>
          <w:szCs w:val="18"/>
        </w:rPr>
        <w:t xml:space="preserve">respecto al mismo mes del año anterior. </w:t>
      </w:r>
      <w:r w:rsidR="005E39C0" w:rsidRPr="005E39C0">
        <w:rPr>
          <w:sz w:val="18"/>
          <w:szCs w:val="18"/>
        </w:rPr>
        <w:t xml:space="preserve">Octubre y noviembre </w:t>
      </w:r>
      <w:r w:rsidRPr="009D4498">
        <w:rPr>
          <w:sz w:val="18"/>
          <w:szCs w:val="18"/>
        </w:rPr>
        <w:t>de 2022)</w:t>
      </w:r>
    </w:p>
    <w:p w14:paraId="126B8B2C" w14:textId="10E8B974" w:rsidR="00797EBB" w:rsidRDefault="005E39C0" w:rsidP="00797EBB">
      <w:pPr>
        <w:jc w:val="center"/>
        <w:rPr>
          <w:sz w:val="18"/>
          <w:szCs w:val="18"/>
        </w:rPr>
      </w:pPr>
      <w:r>
        <w:rPr>
          <w:noProof/>
        </w:rPr>
        <w:drawing>
          <wp:inline distT="0" distB="0" distL="0" distR="0" wp14:anchorId="4B1F4871" wp14:editId="53D7B647">
            <wp:extent cx="5040000" cy="2520000"/>
            <wp:effectExtent l="0" t="0" r="8255" b="13970"/>
            <wp:docPr id="1" name="Gráfico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0C3B077" w14:textId="77777777" w:rsidR="00A35B2C" w:rsidRPr="009B66EB" w:rsidRDefault="00A35B2C" w:rsidP="00A35B2C">
      <w:pPr>
        <w:pStyle w:val="pie"/>
        <w:ind w:left="851" w:right="1693" w:firstLine="0"/>
        <w:rPr>
          <w:lang w:val="es-MX"/>
        </w:rPr>
      </w:pPr>
      <w:r w:rsidRPr="00D5238C">
        <w:rPr>
          <w:lang w:val="es-MX"/>
        </w:rPr>
        <w:t>Fuente: INEGI</w:t>
      </w:r>
    </w:p>
    <w:p w14:paraId="4E018E27" w14:textId="77777777" w:rsidR="00797EBB" w:rsidRPr="004C6A26" w:rsidRDefault="00797EBB" w:rsidP="00D73B79">
      <w:pPr>
        <w:spacing w:before="240"/>
        <w:jc w:val="center"/>
        <w:rPr>
          <w:b/>
          <w:smallCaps/>
          <w:sz w:val="20"/>
          <w:szCs w:val="20"/>
        </w:rPr>
      </w:pPr>
      <w:r w:rsidRPr="004C6A26">
        <w:rPr>
          <w:sz w:val="20"/>
          <w:szCs w:val="20"/>
        </w:rPr>
        <w:t xml:space="preserve">Gráfica </w:t>
      </w:r>
      <w:r>
        <w:rPr>
          <w:sz w:val="20"/>
          <w:szCs w:val="20"/>
        </w:rPr>
        <w:t>2</w:t>
      </w:r>
    </w:p>
    <w:p w14:paraId="2CB75951" w14:textId="77777777" w:rsidR="00797EBB" w:rsidRDefault="00797EBB" w:rsidP="00797EBB">
      <w:pPr>
        <w:pStyle w:val="Titcuadrograf"/>
        <w:ind w:left="0"/>
        <w:rPr>
          <w:sz w:val="22"/>
          <w:szCs w:val="22"/>
        </w:rPr>
      </w:pPr>
      <w:r w:rsidRPr="00E15E72">
        <w:rPr>
          <w:sz w:val="22"/>
          <w:szCs w:val="22"/>
        </w:rPr>
        <w:t>IO</w:t>
      </w:r>
      <w:r>
        <w:rPr>
          <w:sz w:val="22"/>
          <w:szCs w:val="22"/>
        </w:rPr>
        <w:t>CP</w:t>
      </w:r>
      <w:r w:rsidRPr="00E15E72">
        <w:rPr>
          <w:sz w:val="22"/>
          <w:szCs w:val="22"/>
        </w:rPr>
        <w:t xml:space="preserve">: </w:t>
      </w:r>
      <w:proofErr w:type="spellStart"/>
      <w:r w:rsidRPr="0075037F">
        <w:rPr>
          <w:i/>
          <w:sz w:val="22"/>
          <w:szCs w:val="22"/>
        </w:rPr>
        <w:t>Nowcast</w:t>
      </w:r>
      <w:proofErr w:type="spellEnd"/>
      <w:r w:rsidRPr="00E15E72">
        <w:rPr>
          <w:sz w:val="22"/>
          <w:szCs w:val="22"/>
        </w:rPr>
        <w:t xml:space="preserve"> del I</w:t>
      </w:r>
      <w:r>
        <w:rPr>
          <w:sz w:val="22"/>
          <w:szCs w:val="22"/>
        </w:rPr>
        <w:t>MCPMI</w:t>
      </w:r>
    </w:p>
    <w:p w14:paraId="10EA4887" w14:textId="1394E6E3" w:rsidR="00797EBB" w:rsidRPr="00B967C7" w:rsidRDefault="00B967C7" w:rsidP="00797EBB">
      <w:pPr>
        <w:pStyle w:val="Titcuadrograf"/>
        <w:ind w:left="0"/>
        <w:rPr>
          <w:bCs/>
          <w:sz w:val="20"/>
          <w:szCs w:val="20"/>
        </w:rPr>
      </w:pPr>
      <w:r w:rsidRPr="00B967C7">
        <w:rPr>
          <w:bCs/>
          <w:sz w:val="20"/>
          <w:szCs w:val="20"/>
        </w:rPr>
        <w:t>l</w:t>
      </w:r>
      <w:r w:rsidR="00797EBB" w:rsidRPr="00B967C7">
        <w:rPr>
          <w:bCs/>
          <w:sz w:val="20"/>
          <w:szCs w:val="20"/>
        </w:rPr>
        <w:t>as estimaciones se refieren a cifras desestacionalizadas</w:t>
      </w:r>
    </w:p>
    <w:p w14:paraId="06ED1D31" w14:textId="3B1EEF5F" w:rsidR="00797EBB" w:rsidRDefault="00797EBB" w:rsidP="00797EBB">
      <w:pPr>
        <w:jc w:val="center"/>
        <w:rPr>
          <w:sz w:val="18"/>
          <w:szCs w:val="18"/>
        </w:rPr>
      </w:pPr>
      <w:r w:rsidRPr="009029A5">
        <w:rPr>
          <w:sz w:val="18"/>
          <w:szCs w:val="18"/>
        </w:rPr>
        <w:t xml:space="preserve">(Variación porcentual real respecto al mes anterior. </w:t>
      </w:r>
      <w:r w:rsidR="005E39C0" w:rsidRPr="005E39C0">
        <w:rPr>
          <w:sz w:val="18"/>
          <w:szCs w:val="18"/>
        </w:rPr>
        <w:t xml:space="preserve">Octubre y noviembre </w:t>
      </w:r>
      <w:r w:rsidRPr="009029A5">
        <w:rPr>
          <w:sz w:val="18"/>
          <w:szCs w:val="18"/>
        </w:rPr>
        <w:t>de 2022</w:t>
      </w:r>
      <w:r w:rsidRPr="00604D9C">
        <w:rPr>
          <w:sz w:val="18"/>
          <w:szCs w:val="18"/>
        </w:rPr>
        <w:t>)</w:t>
      </w:r>
    </w:p>
    <w:p w14:paraId="5185927A" w14:textId="198B7ED4" w:rsidR="00797EBB" w:rsidRDefault="005E39C0" w:rsidP="00797EBB">
      <w:pPr>
        <w:jc w:val="center"/>
        <w:rPr>
          <w:sz w:val="18"/>
          <w:szCs w:val="18"/>
        </w:rPr>
      </w:pPr>
      <w:r>
        <w:rPr>
          <w:noProof/>
        </w:rPr>
        <w:drawing>
          <wp:inline distT="0" distB="0" distL="0" distR="0" wp14:anchorId="178D5B1E" wp14:editId="4E4AEF48">
            <wp:extent cx="5040000" cy="2520000"/>
            <wp:effectExtent l="0" t="0" r="8255" b="13970"/>
            <wp:docPr id="4" name="Gráfico 4">
              <a:extLst xmlns:a="http://schemas.openxmlformats.org/drawingml/2006/main">
                <a:ext uri="{FF2B5EF4-FFF2-40B4-BE49-F238E27FC236}">
                  <a16:creationId xmlns:a16="http://schemas.microsoft.com/office/drawing/2014/main" id="{B63048FD-F98E-4362-9527-EF864DC708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8790C55" w14:textId="77777777" w:rsidR="00A35B2C" w:rsidRPr="009B66EB" w:rsidRDefault="00A35B2C" w:rsidP="00A35B2C">
      <w:pPr>
        <w:pStyle w:val="pie"/>
        <w:ind w:left="851" w:right="1693" w:firstLine="0"/>
        <w:rPr>
          <w:lang w:val="es-MX"/>
        </w:rPr>
      </w:pPr>
      <w:r w:rsidRPr="00D5238C">
        <w:rPr>
          <w:lang w:val="es-MX"/>
        </w:rPr>
        <w:t>Fuente: INEGI</w:t>
      </w:r>
    </w:p>
    <w:p w14:paraId="70E6C681" w14:textId="77777777" w:rsidR="007C3278" w:rsidRDefault="007C3278">
      <w:pPr>
        <w:jc w:val="left"/>
        <w:rPr>
          <w:sz w:val="20"/>
          <w:szCs w:val="20"/>
          <w:lang w:val="es-MX"/>
        </w:rPr>
      </w:pPr>
      <w:r>
        <w:rPr>
          <w:b/>
          <w:smallCaps/>
          <w:sz w:val="20"/>
          <w:szCs w:val="20"/>
        </w:rPr>
        <w:br w:type="page"/>
      </w:r>
    </w:p>
    <w:p w14:paraId="2256BCCF" w14:textId="6B171E00" w:rsidR="00797EBB" w:rsidRPr="004C6A26" w:rsidRDefault="00797EBB" w:rsidP="00797EBB">
      <w:pPr>
        <w:pStyle w:val="Titcuadrograf"/>
        <w:spacing w:before="360"/>
        <w:ind w:left="0"/>
        <w:rPr>
          <w:b w:val="0"/>
          <w:smallCaps w:val="0"/>
          <w:sz w:val="20"/>
          <w:szCs w:val="20"/>
        </w:rPr>
      </w:pPr>
      <w:r w:rsidRPr="004C6A26">
        <w:rPr>
          <w:b w:val="0"/>
          <w:smallCaps w:val="0"/>
          <w:sz w:val="20"/>
          <w:szCs w:val="20"/>
        </w:rPr>
        <w:lastRenderedPageBreak/>
        <w:t xml:space="preserve">Gráfica </w:t>
      </w:r>
      <w:r>
        <w:rPr>
          <w:b w:val="0"/>
          <w:smallCaps w:val="0"/>
          <w:sz w:val="20"/>
          <w:szCs w:val="20"/>
        </w:rPr>
        <w:t>3</w:t>
      </w:r>
    </w:p>
    <w:p w14:paraId="749618FA" w14:textId="77777777" w:rsidR="00797EBB" w:rsidRDefault="00797EBB" w:rsidP="00797EBB">
      <w:pPr>
        <w:pStyle w:val="Titcuadrograf"/>
        <w:ind w:left="0"/>
        <w:rPr>
          <w:sz w:val="22"/>
          <w:szCs w:val="22"/>
        </w:rPr>
      </w:pPr>
      <w:r w:rsidRPr="00E15E72">
        <w:rPr>
          <w:sz w:val="22"/>
          <w:szCs w:val="22"/>
        </w:rPr>
        <w:t>IO</w:t>
      </w:r>
      <w:r>
        <w:rPr>
          <w:sz w:val="22"/>
          <w:szCs w:val="22"/>
        </w:rPr>
        <w:t>CP</w:t>
      </w:r>
      <w:r w:rsidRPr="00E15E72">
        <w:rPr>
          <w:sz w:val="22"/>
          <w:szCs w:val="22"/>
        </w:rPr>
        <w:t xml:space="preserve">: </w:t>
      </w:r>
      <w:proofErr w:type="spellStart"/>
      <w:r w:rsidRPr="0075037F">
        <w:rPr>
          <w:i/>
          <w:sz w:val="22"/>
          <w:szCs w:val="22"/>
        </w:rPr>
        <w:t>Nowcast</w:t>
      </w:r>
      <w:proofErr w:type="spellEnd"/>
      <w:r w:rsidRPr="00E15E72">
        <w:rPr>
          <w:sz w:val="22"/>
          <w:szCs w:val="22"/>
        </w:rPr>
        <w:t xml:space="preserve"> del I</w:t>
      </w:r>
      <w:r>
        <w:rPr>
          <w:sz w:val="22"/>
          <w:szCs w:val="22"/>
        </w:rPr>
        <w:t>MCPMI</w:t>
      </w:r>
    </w:p>
    <w:p w14:paraId="3D492F79" w14:textId="707CA98D" w:rsidR="00797EBB" w:rsidRPr="00114B58" w:rsidRDefault="00114B58" w:rsidP="00797EBB">
      <w:pPr>
        <w:pStyle w:val="Titcuadrograf"/>
        <w:ind w:left="0"/>
        <w:rPr>
          <w:bCs/>
          <w:sz w:val="20"/>
          <w:szCs w:val="20"/>
        </w:rPr>
      </w:pPr>
      <w:r w:rsidRPr="00114B58">
        <w:rPr>
          <w:bCs/>
          <w:sz w:val="20"/>
          <w:szCs w:val="20"/>
        </w:rPr>
        <w:t>l</w:t>
      </w:r>
      <w:r w:rsidR="00797EBB" w:rsidRPr="00114B58">
        <w:rPr>
          <w:bCs/>
          <w:sz w:val="20"/>
          <w:szCs w:val="20"/>
        </w:rPr>
        <w:t>as estimaciones se refieren a cifras desestacionalizadas</w:t>
      </w:r>
    </w:p>
    <w:p w14:paraId="3BAF0A27" w14:textId="4C829BF2" w:rsidR="00797EBB" w:rsidRPr="00604D9C" w:rsidRDefault="00797EBB" w:rsidP="00797EBB">
      <w:pPr>
        <w:jc w:val="center"/>
        <w:rPr>
          <w:sz w:val="18"/>
          <w:szCs w:val="18"/>
        </w:rPr>
      </w:pPr>
      <w:r w:rsidRPr="009029A5">
        <w:rPr>
          <w:sz w:val="18"/>
          <w:szCs w:val="18"/>
        </w:rPr>
        <w:t>(Índice base 2013 = 100</w:t>
      </w:r>
      <w:r w:rsidRPr="006C394A">
        <w:rPr>
          <w:sz w:val="18"/>
          <w:szCs w:val="18"/>
        </w:rPr>
        <w:t xml:space="preserve">. </w:t>
      </w:r>
      <w:r w:rsidR="005E39C0" w:rsidRPr="005E39C0">
        <w:rPr>
          <w:sz w:val="18"/>
          <w:szCs w:val="18"/>
        </w:rPr>
        <w:t xml:space="preserve">Octubre y noviembre </w:t>
      </w:r>
      <w:r w:rsidRPr="006C394A">
        <w:rPr>
          <w:sz w:val="18"/>
          <w:szCs w:val="18"/>
        </w:rPr>
        <w:t>de 2022</w:t>
      </w:r>
      <w:r w:rsidRPr="009029A5">
        <w:rPr>
          <w:sz w:val="18"/>
          <w:szCs w:val="18"/>
        </w:rPr>
        <w:t>)</w:t>
      </w:r>
    </w:p>
    <w:p w14:paraId="452541CD" w14:textId="624BEDC2" w:rsidR="00797EBB" w:rsidRDefault="005E39C0" w:rsidP="00797EBB">
      <w:pPr>
        <w:pStyle w:val="Titcuadrograf"/>
        <w:ind w:left="0"/>
        <w:rPr>
          <w:b w:val="0"/>
          <w:smallCaps w:val="0"/>
          <w:sz w:val="20"/>
          <w:szCs w:val="20"/>
        </w:rPr>
      </w:pPr>
      <w:r>
        <w:rPr>
          <w:noProof/>
        </w:rPr>
        <w:drawing>
          <wp:inline distT="0" distB="0" distL="0" distR="0" wp14:anchorId="15ED076B" wp14:editId="13C2099A">
            <wp:extent cx="5040000" cy="2520000"/>
            <wp:effectExtent l="0" t="0" r="8255" b="13970"/>
            <wp:docPr id="7" name="Gráfico 7">
              <a:extLst xmlns:a="http://schemas.openxmlformats.org/drawingml/2006/main">
                <a:ext uri="{FF2B5EF4-FFF2-40B4-BE49-F238E27FC236}">
                  <a16:creationId xmlns:a16="http://schemas.microsoft.com/office/drawing/2014/main" id="{711B09CA-97CE-4238-8D1D-DD7B5C8763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800629C" w14:textId="77777777" w:rsidR="00A35B2C" w:rsidRPr="009B66EB" w:rsidRDefault="00A35B2C" w:rsidP="00A35B2C">
      <w:pPr>
        <w:pStyle w:val="pie"/>
        <w:ind w:left="851" w:right="1693" w:firstLine="0"/>
        <w:rPr>
          <w:lang w:val="es-MX"/>
        </w:rPr>
      </w:pPr>
      <w:r w:rsidRPr="00D5238C">
        <w:rPr>
          <w:lang w:val="es-MX"/>
        </w:rPr>
        <w:t>Fuente: INEGI</w:t>
      </w:r>
    </w:p>
    <w:p w14:paraId="7F2E43A9" w14:textId="77777777" w:rsidR="00797EBB" w:rsidRPr="00A35B2C" w:rsidRDefault="00797EBB" w:rsidP="00A64657">
      <w:pPr>
        <w:pStyle w:val="Subttulo"/>
        <w:spacing w:before="600"/>
        <w:jc w:val="both"/>
        <w:rPr>
          <w:bCs w:val="0"/>
          <w:iCs/>
        </w:rPr>
      </w:pPr>
      <w:r w:rsidRPr="00A35B2C">
        <w:rPr>
          <w:bCs w:val="0"/>
          <w:iCs/>
        </w:rPr>
        <w:t>Nota metodológica</w:t>
      </w:r>
    </w:p>
    <w:p w14:paraId="4A5796EE" w14:textId="5D3E27F2" w:rsidR="00E63DC0" w:rsidRPr="00D61B27" w:rsidRDefault="00E63DC0" w:rsidP="00E63DC0">
      <w:pPr>
        <w:spacing w:before="240"/>
      </w:pPr>
      <w:r w:rsidRPr="00D61B27">
        <w:t>En México, como en otros países, la pandemia y las acciones</w:t>
      </w:r>
      <w:r w:rsidR="00080BF7">
        <w:t xml:space="preserve"> </w:t>
      </w:r>
      <w:r w:rsidRPr="00D61B27">
        <w:t>para contenerla han provocado un impacto en la actividad económica</w:t>
      </w:r>
      <w:r w:rsidR="00080BF7">
        <w:t xml:space="preserve">. La </w:t>
      </w:r>
      <w:r w:rsidR="00080BF7" w:rsidRPr="00D61B27">
        <w:t>producción de algunos sectores económicos</w:t>
      </w:r>
      <w:r w:rsidR="00080BF7">
        <w:t xml:space="preserve"> se frenó y se modificaron </w:t>
      </w:r>
      <w:r w:rsidRPr="00D61B27">
        <w:t>los patrones de consumo de los hogares. Actualmente, el IMCPMI se publica alrededor de nueve semanas después de</w:t>
      </w:r>
      <w:r w:rsidR="003A1F6B">
        <w:t xml:space="preserve"> termin</w:t>
      </w:r>
      <w:r w:rsidR="000E616C">
        <w:t>a</w:t>
      </w:r>
      <w:r w:rsidR="003A1F6B">
        <w:t>do el</w:t>
      </w:r>
      <w:r w:rsidRPr="00D61B27">
        <w:t xml:space="preserve"> mes de referencia</w:t>
      </w:r>
      <w:r w:rsidR="00080BF7">
        <w:t>; p</w:t>
      </w:r>
      <w:r w:rsidRPr="00D61B27">
        <w:t>or tanto, un indicador que gane oportunidad resulta importante para la toma de decisiones en materia de política económica</w:t>
      </w:r>
      <w:r w:rsidR="00080BF7">
        <w:t xml:space="preserve">. Lo anterior porque </w:t>
      </w:r>
      <w:r w:rsidRPr="00D61B27">
        <w:t xml:space="preserve">el consumo privado es la variable más relevante entre los componentes de la demanda agregada. En consecuencia, la Dirección de Cuentas de Corto Plazo y Regionales </w:t>
      </w:r>
      <w:r w:rsidR="00AD5473" w:rsidRPr="00AD5473">
        <w:t xml:space="preserve">de la Dirección General Adjunta de Cuentas Nacionales y </w:t>
      </w:r>
      <w:r w:rsidRPr="00AD5473">
        <w:t>la D</w:t>
      </w:r>
      <w:r w:rsidRPr="00D61B27">
        <w:t xml:space="preserve">irección General Adjunta de Investigación </w:t>
      </w:r>
      <w:r w:rsidR="00080BF7">
        <w:t xml:space="preserve">construyeron </w:t>
      </w:r>
      <w:r w:rsidRPr="00D61B27">
        <w:t>un indicador que permit</w:t>
      </w:r>
      <w:r w:rsidR="00080BF7">
        <w:t>e</w:t>
      </w:r>
      <w:r w:rsidRPr="00D61B27">
        <w:t xml:space="preserve"> estimar el consumo de los hogares mexicanos de manera precisa y oportuna.</w:t>
      </w:r>
      <w:r w:rsidR="00080BF7">
        <w:t xml:space="preserve"> Así, y </w:t>
      </w:r>
      <w:r w:rsidR="00080BF7" w:rsidRPr="00D61B27">
        <w:t xml:space="preserve">mediante un conjunto de modelos econométricos </w:t>
      </w:r>
      <w:r w:rsidR="00080BF7">
        <w:t>y de aprendizaje máquina (</w:t>
      </w:r>
      <w:r w:rsidR="00080BF7" w:rsidRPr="00304FF3">
        <w:rPr>
          <w:i/>
          <w:iCs/>
        </w:rPr>
        <w:t xml:space="preserve">machine </w:t>
      </w:r>
      <w:proofErr w:type="spellStart"/>
      <w:r w:rsidR="00080BF7" w:rsidRPr="00304FF3">
        <w:rPr>
          <w:i/>
          <w:iCs/>
        </w:rPr>
        <w:t>learning</w:t>
      </w:r>
      <w:proofErr w:type="spellEnd"/>
      <w:r w:rsidR="00080BF7">
        <w:t>), se llegó a la estimación de IO</w:t>
      </w:r>
      <w:r w:rsidR="000E616C">
        <w:t>CP</w:t>
      </w:r>
      <w:r w:rsidR="00080BF7">
        <w:t>.</w:t>
      </w:r>
    </w:p>
    <w:p w14:paraId="1D45F9B0" w14:textId="067788AF" w:rsidR="00E63DC0" w:rsidRDefault="00E63DC0" w:rsidP="00E63DC0">
      <w:pPr>
        <w:spacing w:before="240"/>
      </w:pPr>
      <w:r>
        <w:t xml:space="preserve">El IOCP proporciona información para los dos meses posteriores con respecto al último dato disponible del IMCPMI, por lo que se gana una oportunidad de hasta siete semanas. La publicación consiste en una estimación puntual de la variación anual, variación mensual y los niveles del índice (base 2013=100) en cifras desestacionalizadas, junto con sus intervalos de confianza a 95 por ciento. Cabe aclarar que esta estimación no pretende sustituir </w:t>
      </w:r>
      <w:r w:rsidR="00080BF7">
        <w:t>e</w:t>
      </w:r>
      <w:r>
        <w:t>l cálculo oficial.</w:t>
      </w:r>
    </w:p>
    <w:p w14:paraId="20888485" w14:textId="530026FA" w:rsidR="00E63DC0" w:rsidRDefault="00E63DC0" w:rsidP="00E63DC0">
      <w:pPr>
        <w:spacing w:before="240"/>
      </w:pPr>
      <w:r>
        <w:lastRenderedPageBreak/>
        <w:t xml:space="preserve">Las variables utilizadas </w:t>
      </w:r>
      <w:r w:rsidR="00080BF7">
        <w:t xml:space="preserve">se seleccionan </w:t>
      </w:r>
      <w:r>
        <w:t xml:space="preserve">a partir de su relación con el IMCPMI con base en la teoría económica y de manera estadística según el criterio de oportunidad, correlación contemporánea y causalidad en sentido de </w:t>
      </w:r>
      <w:proofErr w:type="spellStart"/>
      <w:r>
        <w:t>Granger</w:t>
      </w:r>
      <w:proofErr w:type="spellEnd"/>
      <w:r>
        <w:t>. Se incorporaron fuentes tradicionales de información tanto de frecuencia mensual como diaria. Según los diversos procedimientos, las variables se introducen al modelo en cifras originales o de manera desestacionalizada según sea el caso.</w:t>
      </w:r>
    </w:p>
    <w:p w14:paraId="3050A2E8" w14:textId="68A6BB18" w:rsidR="00E63DC0" w:rsidRDefault="00E63DC0" w:rsidP="00E63DC0">
      <w:pPr>
        <w:spacing w:before="240"/>
      </w:pPr>
      <w:r>
        <w:t>Dado que para la estimación un paso hacia adelante se puede contar con toda la información actualizada, la metodología del IOCP se realiza de dos formas. Primero, para la estimación del siguiente mes respecto con el último dato oficial publicado, se aplicaron distintos métodos de estimación: tres modelos de regresión con errores ARMA (con un factor dinámico de dos etapas con selección Lasso, otro con un componente principal con selección Lasso y otro con un factor dinámico con selección por mínimos cuadrados parciales); dos modelos de regresión lineal con penalización (</w:t>
      </w:r>
      <w:proofErr w:type="spellStart"/>
      <w:r w:rsidRPr="00121F16">
        <w:rPr>
          <w:i/>
          <w:iCs/>
        </w:rPr>
        <w:t>El</w:t>
      </w:r>
      <w:r>
        <w:rPr>
          <w:i/>
          <w:iCs/>
        </w:rPr>
        <w:t>astic</w:t>
      </w:r>
      <w:proofErr w:type="spellEnd"/>
      <w:r w:rsidRPr="00121F16">
        <w:rPr>
          <w:i/>
          <w:iCs/>
        </w:rPr>
        <w:t xml:space="preserve"> Net</w:t>
      </w:r>
      <w:r>
        <w:t xml:space="preserve"> y </w:t>
      </w:r>
      <w:r w:rsidRPr="00121F16">
        <w:rPr>
          <w:i/>
          <w:iCs/>
        </w:rPr>
        <w:t>Ridge</w:t>
      </w:r>
      <w:r>
        <w:t>); dos modelos regresión de muestreo de datos mixtos con variables de alta frecuencia (uno a partir del monto total de tarjetas de crédito y débito y otro mediante un factor estático que selecciona entre las 30 variables que componen el monto total de tarjetas de crédito y débito) y</w:t>
      </w:r>
      <w:r w:rsidR="00CF21B8">
        <w:t>,</w:t>
      </w:r>
      <w:r>
        <w:t xml:space="preserve"> por último, un Modelo de Factores Dinámicos (MFD) jerárquicos. </w:t>
      </w:r>
      <w:r w:rsidR="00CF21B8">
        <w:t xml:space="preserve">Con base en el </w:t>
      </w:r>
      <w:r>
        <w:t>método de estimación, se realizan las transformaciones pertinentes de acuerdo con los requerimientos de cada metodología.</w:t>
      </w:r>
    </w:p>
    <w:p w14:paraId="208667CA" w14:textId="7F1A70D3" w:rsidR="00E63DC0" w:rsidRDefault="00E63DC0" w:rsidP="00E63DC0">
      <w:pPr>
        <w:spacing w:before="240"/>
      </w:pPr>
      <w:r>
        <w:t>Para la estimación puntual se elige el promedio de los ocho modelos</w:t>
      </w:r>
      <w:r w:rsidR="00802FFF">
        <w:t xml:space="preserve">, pues </w:t>
      </w:r>
      <w:r>
        <w:t>la combinación de pronósticos conduce a una mayor precisión del IOCP que l</w:t>
      </w:r>
      <w:r w:rsidR="004E7A76">
        <w:t>a</w:t>
      </w:r>
      <w:r>
        <w:t xml:space="preserve"> que se obtiene con cada uno de los modelos por separado. </w:t>
      </w:r>
    </w:p>
    <w:p w14:paraId="5F486B20" w14:textId="299C9944" w:rsidR="00E63DC0" w:rsidRDefault="00E63DC0" w:rsidP="00E63DC0">
      <w:pPr>
        <w:spacing w:before="240"/>
      </w:pPr>
      <w:r>
        <w:t>Para los resultados de las cifras desestacionalizadas, el promedio se desestacionaliza de acuerdo con el modelo vigente de desestacionalización del IMCPMI.</w:t>
      </w:r>
    </w:p>
    <w:p w14:paraId="7842940C" w14:textId="77777777" w:rsidR="00E63DC0" w:rsidRDefault="00E63DC0" w:rsidP="00E63DC0">
      <w:pPr>
        <w:spacing w:before="240"/>
      </w:pPr>
      <w:r>
        <w:t>La estimación del IOCP un mes adelante sigue los siguientes pasos:</w:t>
      </w:r>
    </w:p>
    <w:p w14:paraId="2D368001" w14:textId="4DAEDD34" w:rsidR="00E63DC0" w:rsidRDefault="00E63DC0" w:rsidP="00B05E0A">
      <w:pPr>
        <w:pStyle w:val="Prrafodelista"/>
        <w:numPr>
          <w:ilvl w:val="0"/>
          <w:numId w:val="28"/>
        </w:numPr>
        <w:spacing w:before="80"/>
        <w:ind w:left="714" w:hanging="357"/>
      </w:pPr>
      <w:r>
        <w:t xml:space="preserve">Selección de variables con base en la teoría económica y estadística según el criterio de oportunidad, alta correlación contemporánea y causalidad en sentido de </w:t>
      </w:r>
      <w:proofErr w:type="spellStart"/>
      <w:r>
        <w:t>Granger</w:t>
      </w:r>
      <w:proofErr w:type="spellEnd"/>
      <w:r>
        <w:t xml:space="preserve"> respecto al </w:t>
      </w:r>
      <w:r w:rsidR="004E7A76">
        <w:t>c</w:t>
      </w:r>
      <w:r>
        <w:t>onsumo.</w:t>
      </w:r>
    </w:p>
    <w:p w14:paraId="1ED972B8" w14:textId="77777777" w:rsidR="00E63DC0" w:rsidRDefault="00E63DC0" w:rsidP="00B05E0A">
      <w:pPr>
        <w:pStyle w:val="Prrafodelista"/>
        <w:numPr>
          <w:ilvl w:val="0"/>
          <w:numId w:val="28"/>
        </w:numPr>
        <w:spacing w:before="80"/>
        <w:ind w:left="714" w:hanging="357"/>
      </w:pPr>
      <w:r>
        <w:t>Pruebas de raíz unitaria para identificar orden de integración de las variables.</w:t>
      </w:r>
    </w:p>
    <w:p w14:paraId="1712B3D8" w14:textId="77777777" w:rsidR="00E63DC0" w:rsidRDefault="00E63DC0" w:rsidP="00B05E0A">
      <w:pPr>
        <w:pStyle w:val="Prrafodelista"/>
        <w:numPr>
          <w:ilvl w:val="0"/>
          <w:numId w:val="28"/>
        </w:numPr>
        <w:spacing w:before="80"/>
        <w:ind w:left="714" w:hanging="357"/>
      </w:pPr>
      <w:r>
        <w:t xml:space="preserve">Transformación óptima de las variables según los supuestos de cada método de estimación. </w:t>
      </w:r>
    </w:p>
    <w:p w14:paraId="438A2562" w14:textId="305BF81B" w:rsidR="00E63DC0" w:rsidRDefault="00E63DC0" w:rsidP="00B05E0A">
      <w:pPr>
        <w:pStyle w:val="Prrafodelista"/>
        <w:numPr>
          <w:ilvl w:val="0"/>
          <w:numId w:val="28"/>
        </w:numPr>
        <w:spacing w:before="80"/>
        <w:ind w:left="714" w:hanging="357"/>
      </w:pPr>
      <w:r>
        <w:t xml:space="preserve">Estimación para el mes posterior al último dato del </w:t>
      </w:r>
      <w:r w:rsidR="004E7A76">
        <w:t>c</w:t>
      </w:r>
      <w:r>
        <w:t>onsumo a partir de los ocho modelos ya mencionados.</w:t>
      </w:r>
    </w:p>
    <w:p w14:paraId="25C8F81F" w14:textId="77777777" w:rsidR="00E63DC0" w:rsidRDefault="00E63DC0" w:rsidP="00B05E0A">
      <w:pPr>
        <w:pStyle w:val="Prrafodelista"/>
        <w:numPr>
          <w:ilvl w:val="0"/>
          <w:numId w:val="28"/>
        </w:numPr>
        <w:spacing w:before="80"/>
        <w:ind w:left="714" w:hanging="357"/>
      </w:pPr>
      <w:r>
        <w:t>Validación de supuestos para los residuos de cada modelo.</w:t>
      </w:r>
    </w:p>
    <w:p w14:paraId="29E376BC" w14:textId="77777777" w:rsidR="00E63DC0" w:rsidRDefault="00E63DC0" w:rsidP="00B05E0A">
      <w:pPr>
        <w:pStyle w:val="Prrafodelista"/>
        <w:numPr>
          <w:ilvl w:val="0"/>
          <w:numId w:val="28"/>
        </w:numPr>
        <w:spacing w:before="80"/>
        <w:ind w:left="714" w:hanging="357"/>
      </w:pPr>
      <w:r>
        <w:t>Combinación de modelos: promedio de los ocho modelos.</w:t>
      </w:r>
    </w:p>
    <w:p w14:paraId="164EC9FD" w14:textId="4052F603" w:rsidR="00E63DC0" w:rsidRDefault="00E63DC0" w:rsidP="00B05E0A">
      <w:pPr>
        <w:pStyle w:val="Prrafodelista"/>
        <w:numPr>
          <w:ilvl w:val="0"/>
          <w:numId w:val="28"/>
        </w:numPr>
        <w:spacing w:before="80"/>
        <w:ind w:left="714" w:hanging="357"/>
      </w:pPr>
      <w:r>
        <w:t>Estimación de intervalos de confianza a 95 por ciento.</w:t>
      </w:r>
    </w:p>
    <w:p w14:paraId="67A7B185" w14:textId="77777777" w:rsidR="00E63DC0" w:rsidRDefault="00E63DC0" w:rsidP="00B05E0A">
      <w:pPr>
        <w:pStyle w:val="Prrafodelista"/>
        <w:numPr>
          <w:ilvl w:val="0"/>
          <w:numId w:val="28"/>
        </w:numPr>
        <w:spacing w:before="80"/>
        <w:ind w:left="714" w:hanging="357"/>
      </w:pPr>
      <w:r>
        <w:t>Desestacionalización de la estimación puntual y los intervalos de confianza.</w:t>
      </w:r>
    </w:p>
    <w:p w14:paraId="27522784" w14:textId="77777777" w:rsidR="00E63DC0" w:rsidRPr="005D25C0" w:rsidRDefault="00E63DC0" w:rsidP="00E63DC0">
      <w:pPr>
        <w:spacing w:before="240"/>
      </w:pPr>
      <w:r>
        <w:lastRenderedPageBreak/>
        <w:t>Para la estimación dos meses adelante respecto con la última cifra oficial publicada se realiza lo siguiente</w:t>
      </w:r>
      <w:r w:rsidRPr="005D25C0">
        <w:t>:</w:t>
      </w:r>
      <w:r w:rsidRPr="005D25C0">
        <w:rPr>
          <w:rStyle w:val="Refdenotaalpie"/>
        </w:rPr>
        <w:footnoteReference w:id="1"/>
      </w:r>
    </w:p>
    <w:p w14:paraId="15C2B185" w14:textId="77777777" w:rsidR="00E63DC0" w:rsidRDefault="00E63DC0" w:rsidP="00B05E0A">
      <w:pPr>
        <w:pStyle w:val="Prrafodelista"/>
        <w:numPr>
          <w:ilvl w:val="0"/>
          <w:numId w:val="28"/>
        </w:numPr>
        <w:spacing w:before="80"/>
        <w:ind w:left="714" w:hanging="357"/>
      </w:pPr>
      <w:r>
        <w:t>Se considera como dato observado la estimación obtenida para un mes adelante.</w:t>
      </w:r>
    </w:p>
    <w:p w14:paraId="6921087E" w14:textId="1D1AFB76" w:rsidR="00E63DC0" w:rsidRDefault="00E63DC0" w:rsidP="00B05E0A">
      <w:pPr>
        <w:pStyle w:val="Prrafodelista"/>
        <w:numPr>
          <w:ilvl w:val="0"/>
          <w:numId w:val="28"/>
        </w:numPr>
        <w:spacing w:before="80"/>
        <w:ind w:left="714" w:hanging="357"/>
      </w:pPr>
      <w:r>
        <w:t>Las covariables no actualizadas</w:t>
      </w:r>
      <w:r w:rsidR="004E7A76">
        <w:t>,</w:t>
      </w:r>
      <w:r>
        <w:t xml:space="preserve"> al momento de realizar la estimación, se actualizan a través de modelos ARIMA.</w:t>
      </w:r>
    </w:p>
    <w:p w14:paraId="334FA70F" w14:textId="77777777" w:rsidR="00E63DC0" w:rsidRDefault="00E63DC0" w:rsidP="00B05E0A">
      <w:pPr>
        <w:pStyle w:val="Prrafodelista"/>
        <w:numPr>
          <w:ilvl w:val="0"/>
          <w:numId w:val="28"/>
        </w:numPr>
        <w:spacing w:before="80"/>
        <w:ind w:left="714" w:hanging="357"/>
      </w:pPr>
      <w:r>
        <w:t>Dado el uso de MFD, se desestacionalizan las variables cuya fuente oficial no provee series de tiempo desestacionalizadas.</w:t>
      </w:r>
    </w:p>
    <w:p w14:paraId="11C8C9C3" w14:textId="77777777" w:rsidR="00E63DC0" w:rsidRDefault="00E63DC0" w:rsidP="00B05E0A">
      <w:pPr>
        <w:pStyle w:val="Prrafodelista"/>
        <w:numPr>
          <w:ilvl w:val="0"/>
          <w:numId w:val="28"/>
        </w:numPr>
        <w:spacing w:before="80"/>
        <w:ind w:left="714" w:hanging="357"/>
      </w:pPr>
      <w:r>
        <w:t>Se realizan transformaciones que maximizan la correlación entre cada una de las variables del modelo con respecto al IMCPMI.</w:t>
      </w:r>
    </w:p>
    <w:p w14:paraId="5EF0F31D" w14:textId="19DFA0DF" w:rsidR="00E63DC0" w:rsidRDefault="00E63DC0" w:rsidP="00B05E0A">
      <w:pPr>
        <w:pStyle w:val="Prrafodelista"/>
        <w:numPr>
          <w:ilvl w:val="0"/>
          <w:numId w:val="28"/>
        </w:numPr>
        <w:spacing w:before="80"/>
        <w:ind w:left="714" w:hanging="357"/>
      </w:pPr>
      <w:r>
        <w:t xml:space="preserve">Se seleccionan tópicos de Google </w:t>
      </w:r>
      <w:proofErr w:type="spellStart"/>
      <w:r>
        <w:t>Trends</w:t>
      </w:r>
      <w:proofErr w:type="spellEnd"/>
      <w:r>
        <w:t xml:space="preserve"> que covarían contemporánea y significativamente con el IMCPMI a través de la técnica de mínimos cuadrados parciales. </w:t>
      </w:r>
      <w:r w:rsidR="004E7A76">
        <w:t xml:space="preserve">Después, </w:t>
      </w:r>
      <w:r>
        <w:t>se estiman factores dinámicos considerando las variables tradicionales y todas las combinaciones posibles de tópicos</w:t>
      </w:r>
      <w:r w:rsidR="004E7A76">
        <w:t xml:space="preserve">. Se seleccionan </w:t>
      </w:r>
      <w:r>
        <w:t>aquellos que minimizan el error absoluto de estimación.</w:t>
      </w:r>
    </w:p>
    <w:p w14:paraId="5CAB7EFE" w14:textId="77777777" w:rsidR="00E63DC0" w:rsidRDefault="00E63DC0" w:rsidP="00B05E0A">
      <w:pPr>
        <w:pStyle w:val="Prrafodelista"/>
        <w:numPr>
          <w:ilvl w:val="0"/>
          <w:numId w:val="28"/>
        </w:numPr>
        <w:spacing w:before="80"/>
        <w:ind w:left="714" w:hanging="357"/>
      </w:pPr>
      <w:r>
        <w:t>Validación del supuesto de estacionariedad en errores idiosincráticos del MFD.</w:t>
      </w:r>
    </w:p>
    <w:p w14:paraId="3A33BFD9" w14:textId="68FACA0F" w:rsidR="00E63DC0" w:rsidRDefault="00E63DC0" w:rsidP="00B05E0A">
      <w:pPr>
        <w:pStyle w:val="Prrafodelista"/>
        <w:numPr>
          <w:ilvl w:val="0"/>
          <w:numId w:val="28"/>
        </w:numPr>
        <w:spacing w:before="80"/>
        <w:ind w:left="714" w:hanging="357"/>
      </w:pPr>
      <w:r>
        <w:t xml:space="preserve">Una vez confeccionada la base de datos con variables tradicionales y tópicos de Google </w:t>
      </w:r>
      <w:proofErr w:type="spellStart"/>
      <w:r>
        <w:t>Trends</w:t>
      </w:r>
      <w:proofErr w:type="spellEnd"/>
      <w:r>
        <w:t>, se seleccionan los modelos de regresión con errores ARMA que minimizan el error de estimación en datos de prueba.</w:t>
      </w:r>
    </w:p>
    <w:p w14:paraId="6E53BF0C" w14:textId="78269E5A" w:rsidR="00E63DC0" w:rsidRDefault="00E63DC0" w:rsidP="00B05E0A">
      <w:pPr>
        <w:pStyle w:val="Prrafodelista"/>
        <w:numPr>
          <w:ilvl w:val="0"/>
          <w:numId w:val="28"/>
        </w:numPr>
        <w:spacing w:before="80"/>
        <w:ind w:left="714" w:hanging="357"/>
      </w:pPr>
      <w:r>
        <w:t>Validación del supuesto de no autocorrelación en residuos de modelos de regresión con errores ARMA.</w:t>
      </w:r>
    </w:p>
    <w:p w14:paraId="1DD519AF" w14:textId="232469CD" w:rsidR="00E63DC0" w:rsidRDefault="00E63DC0" w:rsidP="00B05E0A">
      <w:pPr>
        <w:pStyle w:val="Prrafodelista"/>
        <w:numPr>
          <w:ilvl w:val="0"/>
          <w:numId w:val="28"/>
        </w:numPr>
        <w:spacing w:before="80"/>
        <w:ind w:left="714" w:hanging="357"/>
      </w:pPr>
      <w:r>
        <w:t xml:space="preserve">Se considera la mediana de los </w:t>
      </w:r>
      <w:proofErr w:type="spellStart"/>
      <w:r w:rsidRPr="00B72E6A">
        <w:rPr>
          <w:i/>
          <w:iCs/>
        </w:rPr>
        <w:t>nowcasts</w:t>
      </w:r>
      <w:proofErr w:type="spellEnd"/>
      <w:r>
        <w:t xml:space="preserve"> que tienen error estadísticamente igual a la mejor estimación según la prueba de </w:t>
      </w:r>
      <w:proofErr w:type="spellStart"/>
      <w:r>
        <w:t>Diebold</w:t>
      </w:r>
      <w:proofErr w:type="spellEnd"/>
      <w:r>
        <w:t>-Mariano.</w:t>
      </w:r>
    </w:p>
    <w:p w14:paraId="13471ED3" w14:textId="63940364" w:rsidR="00E63DC0" w:rsidRDefault="00E63DC0" w:rsidP="00B05E0A">
      <w:pPr>
        <w:pStyle w:val="Prrafodelista"/>
        <w:numPr>
          <w:ilvl w:val="0"/>
          <w:numId w:val="28"/>
        </w:numPr>
        <w:spacing w:before="80"/>
        <w:ind w:left="714" w:hanging="357"/>
      </w:pPr>
      <w:r>
        <w:t>Las estimaciones consideran los intervalos de confianza a 95 por ciento.</w:t>
      </w:r>
    </w:p>
    <w:p w14:paraId="7745DE61" w14:textId="77777777" w:rsidR="005D25C0" w:rsidRDefault="005D25C0">
      <w:pPr>
        <w:jc w:val="left"/>
      </w:pPr>
      <w:r>
        <w:br w:type="page"/>
      </w:r>
    </w:p>
    <w:p w14:paraId="2A764CBC" w14:textId="15DDC11B" w:rsidR="00E63DC0" w:rsidRDefault="00E63DC0" w:rsidP="00E63DC0">
      <w:pPr>
        <w:spacing w:before="240"/>
      </w:pPr>
      <w:r>
        <w:lastRenderedPageBreak/>
        <w:t>Las variables utilizadas se describen en la tabla 1.</w:t>
      </w:r>
      <w:r>
        <w:rPr>
          <w:rStyle w:val="Refdenotaalpie"/>
        </w:rPr>
        <w:footnoteReference w:id="2"/>
      </w:r>
    </w:p>
    <w:p w14:paraId="176A9819" w14:textId="02FB8563" w:rsidR="00E63DC0" w:rsidRPr="00C54799" w:rsidRDefault="00E63DC0" w:rsidP="00E63DC0">
      <w:pPr>
        <w:pStyle w:val="Sinespaciado"/>
        <w:spacing w:before="240"/>
        <w:jc w:val="center"/>
        <w:rPr>
          <w:rFonts w:ascii="Arial" w:hAnsi="Arial" w:cs="Arial"/>
          <w:sz w:val="20"/>
          <w:szCs w:val="20"/>
        </w:rPr>
      </w:pPr>
      <w:r w:rsidRPr="00C54799">
        <w:rPr>
          <w:rFonts w:ascii="Arial" w:hAnsi="Arial" w:cs="Arial"/>
          <w:sz w:val="20"/>
          <w:szCs w:val="20"/>
        </w:rPr>
        <w:t>Tabla 1</w:t>
      </w:r>
    </w:p>
    <w:p w14:paraId="6F59BBB7" w14:textId="77777777" w:rsidR="00E63DC0" w:rsidRPr="005D25C0" w:rsidRDefault="00E63DC0" w:rsidP="00E63DC0">
      <w:pPr>
        <w:jc w:val="center"/>
        <w:rPr>
          <w:rStyle w:val="Textoennegrita"/>
          <w:bCs w:val="0"/>
          <w:smallCaps/>
          <w:sz w:val="22"/>
          <w:szCs w:val="22"/>
        </w:rPr>
      </w:pPr>
      <w:r w:rsidRPr="005D25C0">
        <w:rPr>
          <w:rStyle w:val="Textoennegrita"/>
          <w:bCs w:val="0"/>
          <w:smallCaps/>
          <w:sz w:val="22"/>
          <w:szCs w:val="22"/>
        </w:rPr>
        <w:t>Variables utilizadas en el IOCP</w:t>
      </w:r>
    </w:p>
    <w:tbl>
      <w:tblPr>
        <w:tblW w:w="5000" w:type="pct"/>
        <w:jc w:val="center"/>
        <w:tblCellMar>
          <w:left w:w="70" w:type="dxa"/>
          <w:right w:w="70" w:type="dxa"/>
        </w:tblCellMar>
        <w:tblLook w:val="04A0" w:firstRow="1" w:lastRow="0" w:firstColumn="1" w:lastColumn="0" w:noHBand="0" w:noVBand="1"/>
      </w:tblPr>
      <w:tblGrid>
        <w:gridCol w:w="2489"/>
        <w:gridCol w:w="4734"/>
        <w:gridCol w:w="2167"/>
      </w:tblGrid>
      <w:tr w:rsidR="00E63DC0" w:rsidRPr="00B05E0A" w14:paraId="4F98092B" w14:textId="77777777" w:rsidTr="00D81AD5">
        <w:trPr>
          <w:trHeight w:val="315"/>
          <w:tblHeader/>
          <w:jc w:val="center"/>
        </w:trPr>
        <w:tc>
          <w:tcPr>
            <w:tcW w:w="2488" w:type="dxa"/>
            <w:tcBorders>
              <w:top w:val="single" w:sz="6" w:space="0" w:color="auto"/>
              <w:left w:val="single" w:sz="6" w:space="0" w:color="auto"/>
              <w:bottom w:val="single" w:sz="4" w:space="0" w:color="auto"/>
              <w:right w:val="single" w:sz="4" w:space="0" w:color="auto"/>
            </w:tcBorders>
            <w:shd w:val="clear" w:color="000000" w:fill="D7E3BC"/>
            <w:vAlign w:val="center"/>
            <w:hideMark/>
          </w:tcPr>
          <w:p w14:paraId="26D4C331" w14:textId="77777777" w:rsidR="00E63DC0" w:rsidRPr="00B05E0A" w:rsidRDefault="00E63DC0" w:rsidP="00BD70EA">
            <w:pPr>
              <w:jc w:val="center"/>
              <w:rPr>
                <w:b/>
                <w:bCs/>
                <w:color w:val="000000"/>
                <w:sz w:val="18"/>
                <w:szCs w:val="18"/>
                <w:lang w:val="es-MX" w:eastAsia="es-MX"/>
              </w:rPr>
            </w:pPr>
            <w:r w:rsidRPr="00B05E0A">
              <w:rPr>
                <w:b/>
                <w:bCs/>
                <w:color w:val="000000"/>
                <w:sz w:val="18"/>
                <w:szCs w:val="18"/>
                <w:lang w:val="es-MX" w:eastAsia="es-MX"/>
              </w:rPr>
              <w:t>Variable</w:t>
            </w:r>
          </w:p>
        </w:tc>
        <w:tc>
          <w:tcPr>
            <w:tcW w:w="4732" w:type="dxa"/>
            <w:tcBorders>
              <w:top w:val="single" w:sz="6" w:space="0" w:color="auto"/>
              <w:left w:val="single" w:sz="4" w:space="0" w:color="auto"/>
              <w:bottom w:val="single" w:sz="4" w:space="0" w:color="auto"/>
              <w:right w:val="single" w:sz="4" w:space="0" w:color="auto"/>
            </w:tcBorders>
            <w:shd w:val="clear" w:color="000000" w:fill="D7E3BC"/>
            <w:vAlign w:val="center"/>
            <w:hideMark/>
          </w:tcPr>
          <w:p w14:paraId="4B50E6B2" w14:textId="77777777" w:rsidR="00E63DC0" w:rsidRPr="00B05E0A" w:rsidRDefault="00E63DC0" w:rsidP="00BD70EA">
            <w:pPr>
              <w:jc w:val="center"/>
              <w:rPr>
                <w:b/>
                <w:bCs/>
                <w:color w:val="000000"/>
                <w:sz w:val="18"/>
                <w:szCs w:val="18"/>
                <w:lang w:val="es-MX" w:eastAsia="es-MX"/>
              </w:rPr>
            </w:pPr>
            <w:r w:rsidRPr="00B05E0A">
              <w:rPr>
                <w:b/>
                <w:bCs/>
                <w:color w:val="000000"/>
                <w:sz w:val="18"/>
                <w:szCs w:val="18"/>
                <w:lang w:val="es-MX" w:eastAsia="es-MX"/>
              </w:rPr>
              <w:t>Descripción</w:t>
            </w:r>
          </w:p>
        </w:tc>
        <w:tc>
          <w:tcPr>
            <w:tcW w:w="2166" w:type="dxa"/>
            <w:tcBorders>
              <w:top w:val="single" w:sz="6" w:space="0" w:color="auto"/>
              <w:left w:val="single" w:sz="4" w:space="0" w:color="auto"/>
              <w:bottom w:val="single" w:sz="4" w:space="0" w:color="auto"/>
              <w:right w:val="single" w:sz="6" w:space="0" w:color="auto"/>
            </w:tcBorders>
            <w:shd w:val="clear" w:color="000000" w:fill="D7E3BC"/>
            <w:vAlign w:val="center"/>
            <w:hideMark/>
          </w:tcPr>
          <w:p w14:paraId="79AF27D5" w14:textId="77777777" w:rsidR="00E63DC0" w:rsidRPr="00B05E0A" w:rsidRDefault="00E63DC0" w:rsidP="00BD70EA">
            <w:pPr>
              <w:jc w:val="center"/>
              <w:rPr>
                <w:b/>
                <w:bCs/>
                <w:color w:val="000000"/>
                <w:sz w:val="18"/>
                <w:szCs w:val="18"/>
                <w:lang w:val="es-MX" w:eastAsia="es-MX"/>
              </w:rPr>
            </w:pPr>
            <w:r w:rsidRPr="00B05E0A">
              <w:rPr>
                <w:b/>
                <w:bCs/>
                <w:color w:val="000000"/>
                <w:sz w:val="18"/>
                <w:szCs w:val="18"/>
                <w:lang w:val="es-MX" w:eastAsia="es-MX"/>
              </w:rPr>
              <w:t>Fuente</w:t>
            </w:r>
          </w:p>
        </w:tc>
      </w:tr>
      <w:tr w:rsidR="00E63DC0" w:rsidRPr="00B05E0A" w14:paraId="3F3E1A4B" w14:textId="77777777" w:rsidTr="00D81AD5">
        <w:trPr>
          <w:trHeight w:val="283"/>
          <w:jc w:val="center"/>
        </w:trPr>
        <w:tc>
          <w:tcPr>
            <w:tcW w:w="2488" w:type="dxa"/>
            <w:tcBorders>
              <w:top w:val="single" w:sz="4" w:space="0" w:color="auto"/>
              <w:left w:val="single" w:sz="6" w:space="0" w:color="auto"/>
              <w:bottom w:val="dotted" w:sz="4" w:space="0" w:color="auto"/>
              <w:right w:val="single" w:sz="4" w:space="0" w:color="auto"/>
            </w:tcBorders>
            <w:shd w:val="clear" w:color="auto" w:fill="auto"/>
            <w:vAlign w:val="center"/>
            <w:hideMark/>
          </w:tcPr>
          <w:p w14:paraId="16A49AF4"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ANTAD</w:t>
            </w:r>
          </w:p>
        </w:tc>
        <w:tc>
          <w:tcPr>
            <w:tcW w:w="4732"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3D93E6F"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Ventas tiendas totales</w:t>
            </w:r>
          </w:p>
        </w:tc>
        <w:tc>
          <w:tcPr>
            <w:tcW w:w="2166" w:type="dxa"/>
            <w:tcBorders>
              <w:top w:val="single" w:sz="4" w:space="0" w:color="auto"/>
              <w:left w:val="single" w:sz="4" w:space="0" w:color="auto"/>
              <w:bottom w:val="dotted" w:sz="4" w:space="0" w:color="auto"/>
              <w:right w:val="single" w:sz="6" w:space="0" w:color="auto"/>
            </w:tcBorders>
            <w:shd w:val="clear" w:color="auto" w:fill="auto"/>
            <w:vAlign w:val="center"/>
            <w:hideMark/>
          </w:tcPr>
          <w:p w14:paraId="003D0038"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ANTAD</w:t>
            </w:r>
          </w:p>
        </w:tc>
      </w:tr>
      <w:tr w:rsidR="00E63DC0" w:rsidRPr="00B05E0A" w14:paraId="60666D67"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4C8380B2"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BMV</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BECFF88"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Índice de precios y cotizaciones de la Bolsa Mexicana de Valores</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7E14008F"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Banxico</w:t>
            </w:r>
          </w:p>
        </w:tc>
      </w:tr>
      <w:tr w:rsidR="00E63DC0" w:rsidRPr="00B05E0A" w14:paraId="4BA9D40D"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547FE135"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Cartera de crédito vigente</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8EF9175"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Cartera vigente otorgada al sector privado no bancario destinada al consumo</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29AC223A"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Banxico</w:t>
            </w:r>
          </w:p>
        </w:tc>
      </w:tr>
      <w:tr w:rsidR="00E63DC0" w:rsidRPr="00B05E0A" w14:paraId="5764A5E5"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4D38CD6A"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Confianza-comercio</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72D3B6B" w14:textId="40473F5C" w:rsidR="00E63DC0" w:rsidRPr="00B05E0A" w:rsidRDefault="00E63DC0" w:rsidP="005D25C0">
            <w:pPr>
              <w:jc w:val="left"/>
              <w:rPr>
                <w:color w:val="000000"/>
                <w:sz w:val="18"/>
                <w:szCs w:val="18"/>
                <w:lang w:val="es-MX" w:eastAsia="es-MX"/>
              </w:rPr>
            </w:pPr>
            <w:r w:rsidRPr="00B05E0A">
              <w:rPr>
                <w:color w:val="000000"/>
                <w:sz w:val="18"/>
                <w:szCs w:val="18"/>
                <w:lang w:val="es-MX" w:eastAsia="es-MX"/>
              </w:rPr>
              <w:t>Momento adecuado para invertir del sector comerci</w:t>
            </w:r>
            <w:r w:rsidR="0031230F" w:rsidRPr="00B05E0A">
              <w:rPr>
                <w:color w:val="000000"/>
                <w:sz w:val="18"/>
                <w:szCs w:val="18"/>
                <w:lang w:val="es-MX" w:eastAsia="es-MX"/>
              </w:rPr>
              <w:t>o</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3D4D3E87"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INEGI</w:t>
            </w:r>
          </w:p>
        </w:tc>
      </w:tr>
      <w:tr w:rsidR="00E63DC0" w:rsidRPr="00B05E0A" w14:paraId="3F635A73"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4B3D2EC3"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Confianza-construcción</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537D040"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Momento adecuado para invertir del sector construcción</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493CDFD2"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INEGI</w:t>
            </w:r>
          </w:p>
        </w:tc>
      </w:tr>
      <w:tr w:rsidR="00E63DC0" w:rsidRPr="00B05E0A" w14:paraId="7AE8D0D6"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6191BB7A"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Confianza-manufacturas</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ED21F06" w14:textId="3EA8599F" w:rsidR="00E63DC0" w:rsidRPr="00B05E0A" w:rsidRDefault="00E63DC0" w:rsidP="005D25C0">
            <w:pPr>
              <w:jc w:val="left"/>
              <w:rPr>
                <w:color w:val="000000"/>
                <w:sz w:val="18"/>
                <w:szCs w:val="18"/>
                <w:lang w:val="es-MX" w:eastAsia="es-MX"/>
              </w:rPr>
            </w:pPr>
            <w:r w:rsidRPr="00B05E0A">
              <w:rPr>
                <w:color w:val="000000"/>
                <w:sz w:val="18"/>
                <w:szCs w:val="18"/>
                <w:lang w:val="es-MX" w:eastAsia="es-MX"/>
              </w:rPr>
              <w:t>Momento adecuado para invertir de</w:t>
            </w:r>
            <w:r w:rsidR="0031230F" w:rsidRPr="00B05E0A">
              <w:rPr>
                <w:color w:val="000000"/>
                <w:sz w:val="18"/>
                <w:szCs w:val="18"/>
                <w:lang w:val="es-MX" w:eastAsia="es-MX"/>
              </w:rPr>
              <w:t>l</w:t>
            </w:r>
            <w:r w:rsidRPr="00B05E0A">
              <w:rPr>
                <w:color w:val="000000"/>
                <w:sz w:val="18"/>
                <w:szCs w:val="18"/>
                <w:lang w:val="es-MX" w:eastAsia="es-MX"/>
              </w:rPr>
              <w:t xml:space="preserve"> </w:t>
            </w:r>
            <w:r w:rsidR="0031230F" w:rsidRPr="00B05E0A">
              <w:rPr>
                <w:color w:val="000000"/>
                <w:sz w:val="18"/>
                <w:szCs w:val="18"/>
                <w:lang w:val="es-MX" w:eastAsia="es-MX"/>
              </w:rPr>
              <w:t xml:space="preserve">sector industrias </w:t>
            </w:r>
            <w:r w:rsidRPr="00B05E0A">
              <w:rPr>
                <w:color w:val="000000"/>
                <w:sz w:val="18"/>
                <w:szCs w:val="18"/>
                <w:lang w:val="es-MX" w:eastAsia="es-MX"/>
              </w:rPr>
              <w:t>manufactur</w:t>
            </w:r>
            <w:r w:rsidR="0031230F" w:rsidRPr="00B05E0A">
              <w:rPr>
                <w:color w:val="000000"/>
                <w:sz w:val="18"/>
                <w:szCs w:val="18"/>
                <w:lang w:val="es-MX" w:eastAsia="es-MX"/>
              </w:rPr>
              <w:t>er</w:t>
            </w:r>
            <w:r w:rsidRPr="00B05E0A">
              <w:rPr>
                <w:color w:val="000000"/>
                <w:sz w:val="18"/>
                <w:szCs w:val="18"/>
                <w:lang w:val="es-MX" w:eastAsia="es-MX"/>
              </w:rPr>
              <w:t>as</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4DFCEBA4"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INEGI</w:t>
            </w:r>
          </w:p>
        </w:tc>
      </w:tr>
      <w:tr w:rsidR="00E63DC0" w:rsidRPr="00B05E0A" w14:paraId="62DA4BB7"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50A08EE9"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Confianza-servicios</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A977383"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Momento adecuado para invertir del sector servicios</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5F372D86"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INEGI</w:t>
            </w:r>
          </w:p>
        </w:tc>
      </w:tr>
      <w:tr w:rsidR="00E63DC0" w:rsidRPr="00B05E0A" w14:paraId="45A131D0"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6B9783BE"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Cuartos hotel</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EA60F2E"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Ocupación de cuartos en hoteles y moteles</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33A114A1"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SECTUR</w:t>
            </w:r>
          </w:p>
        </w:tc>
      </w:tr>
      <w:tr w:rsidR="00E63DC0" w:rsidRPr="00B05E0A" w14:paraId="5A9F7EA7"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5400E3C9" w14:textId="5E28EFF2" w:rsidR="00E63DC0" w:rsidRPr="00B05E0A" w:rsidRDefault="00E63DC0" w:rsidP="005D25C0">
            <w:pPr>
              <w:jc w:val="left"/>
              <w:rPr>
                <w:color w:val="000000"/>
                <w:sz w:val="18"/>
                <w:szCs w:val="18"/>
                <w:lang w:val="es-MX" w:eastAsia="es-MX"/>
              </w:rPr>
            </w:pPr>
            <w:r w:rsidRPr="00B05E0A">
              <w:rPr>
                <w:color w:val="000000"/>
                <w:sz w:val="18"/>
                <w:szCs w:val="18"/>
                <w:lang w:val="es-MX" w:eastAsia="es-MX"/>
              </w:rPr>
              <w:t xml:space="preserve">Demanda </w:t>
            </w:r>
            <w:r w:rsidR="00D81AD5" w:rsidRPr="00B05E0A">
              <w:rPr>
                <w:color w:val="000000"/>
                <w:sz w:val="18"/>
                <w:szCs w:val="18"/>
                <w:lang w:val="es-MX" w:eastAsia="es-MX"/>
              </w:rPr>
              <w:t>diésel</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12F6D16" w14:textId="5D25A75E" w:rsidR="00E63DC0" w:rsidRPr="00B05E0A" w:rsidRDefault="00E63DC0" w:rsidP="005D25C0">
            <w:pPr>
              <w:jc w:val="left"/>
              <w:rPr>
                <w:color w:val="000000"/>
                <w:sz w:val="18"/>
                <w:szCs w:val="18"/>
                <w:lang w:val="es-MX" w:eastAsia="es-MX"/>
              </w:rPr>
            </w:pPr>
            <w:r w:rsidRPr="00B05E0A">
              <w:rPr>
                <w:color w:val="000000"/>
                <w:sz w:val="18"/>
                <w:szCs w:val="18"/>
                <w:lang w:val="es-MX" w:eastAsia="es-MX"/>
              </w:rPr>
              <w:t xml:space="preserve">Demanda nacional de </w:t>
            </w:r>
            <w:r w:rsidR="0031230F" w:rsidRPr="00B05E0A">
              <w:rPr>
                <w:color w:val="000000"/>
                <w:sz w:val="18"/>
                <w:szCs w:val="18"/>
                <w:lang w:val="es-MX" w:eastAsia="es-MX"/>
              </w:rPr>
              <w:t>d</w:t>
            </w:r>
            <w:r w:rsidRPr="00B05E0A">
              <w:rPr>
                <w:color w:val="000000"/>
                <w:sz w:val="18"/>
                <w:szCs w:val="18"/>
                <w:lang w:val="es-MX" w:eastAsia="es-MX"/>
              </w:rPr>
              <w:t>i</w:t>
            </w:r>
            <w:r w:rsidR="0031230F" w:rsidRPr="00B05E0A">
              <w:rPr>
                <w:color w:val="000000"/>
                <w:sz w:val="18"/>
                <w:szCs w:val="18"/>
                <w:lang w:val="es-MX" w:eastAsia="es-MX"/>
              </w:rPr>
              <w:t>é</w:t>
            </w:r>
            <w:r w:rsidRPr="00B05E0A">
              <w:rPr>
                <w:color w:val="000000"/>
                <w:sz w:val="18"/>
                <w:szCs w:val="18"/>
                <w:lang w:val="es-MX" w:eastAsia="es-MX"/>
              </w:rPr>
              <w:t>sel</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5378C161"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SENER</w:t>
            </w:r>
          </w:p>
        </w:tc>
      </w:tr>
      <w:tr w:rsidR="00E63DC0" w:rsidRPr="00B05E0A" w14:paraId="37A3EF05"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33CAB365"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Demanda gasolina</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25104A9"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Demanda nacional de gasolina</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792C6823"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SENER</w:t>
            </w:r>
          </w:p>
        </w:tc>
      </w:tr>
      <w:tr w:rsidR="00E63DC0" w:rsidRPr="00B05E0A" w14:paraId="1C4AA160"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27155761"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Demanda turbosina</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8C5DF6E"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Demanda nacional de turbosina</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5A196BD5"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SENER</w:t>
            </w:r>
          </w:p>
        </w:tc>
      </w:tr>
      <w:tr w:rsidR="00E63DC0" w:rsidRPr="00B05E0A" w14:paraId="2879D044"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761D8EED" w14:textId="103B0DB7" w:rsidR="00E63DC0" w:rsidRPr="00B05E0A" w:rsidRDefault="00E63DC0" w:rsidP="005D25C0">
            <w:pPr>
              <w:jc w:val="left"/>
              <w:rPr>
                <w:color w:val="000000"/>
                <w:sz w:val="18"/>
                <w:szCs w:val="18"/>
                <w:lang w:val="es-MX" w:eastAsia="es-MX"/>
              </w:rPr>
            </w:pPr>
            <w:r w:rsidRPr="00B05E0A">
              <w:rPr>
                <w:color w:val="000000"/>
                <w:sz w:val="18"/>
                <w:szCs w:val="18"/>
                <w:lang w:val="es-MX" w:eastAsia="es-MX"/>
              </w:rPr>
              <w:t xml:space="preserve">Desempleo </w:t>
            </w:r>
            <w:r w:rsidR="0031230F" w:rsidRPr="00B05E0A">
              <w:rPr>
                <w:color w:val="000000"/>
                <w:sz w:val="18"/>
                <w:szCs w:val="18"/>
                <w:lang w:val="es-MX" w:eastAsia="es-MX"/>
              </w:rPr>
              <w:t>EUA</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7011CFF"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Tasa de desempleo abierto, U3</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30C24911"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 xml:space="preserve">Bureau </w:t>
            </w:r>
            <w:proofErr w:type="spellStart"/>
            <w:r w:rsidRPr="00B05E0A">
              <w:rPr>
                <w:color w:val="000000"/>
                <w:sz w:val="18"/>
                <w:szCs w:val="18"/>
                <w:lang w:val="es-MX" w:eastAsia="es-MX"/>
              </w:rPr>
              <w:t>of</w:t>
            </w:r>
            <w:proofErr w:type="spellEnd"/>
            <w:r w:rsidRPr="00B05E0A">
              <w:rPr>
                <w:color w:val="000000"/>
                <w:sz w:val="18"/>
                <w:szCs w:val="18"/>
                <w:lang w:val="es-MX" w:eastAsia="es-MX"/>
              </w:rPr>
              <w:t xml:space="preserve"> Labor </w:t>
            </w:r>
            <w:proofErr w:type="spellStart"/>
            <w:r w:rsidRPr="00B05E0A">
              <w:rPr>
                <w:color w:val="000000"/>
                <w:sz w:val="18"/>
                <w:szCs w:val="18"/>
                <w:lang w:val="es-MX" w:eastAsia="es-MX"/>
              </w:rPr>
              <w:t>Statistics</w:t>
            </w:r>
            <w:proofErr w:type="spellEnd"/>
          </w:p>
        </w:tc>
      </w:tr>
      <w:tr w:rsidR="00E63DC0" w:rsidRPr="00B05E0A" w14:paraId="3D9F723C"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6437984B"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Desocupación</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3DA5C0C"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Tasa de desocupación en áreas urbanas</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2B0A1A4B"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INEGI</w:t>
            </w:r>
          </w:p>
        </w:tc>
      </w:tr>
      <w:tr w:rsidR="00E63DC0" w:rsidRPr="00B05E0A" w14:paraId="77DA7C1D"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28EE2A1C"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Empleados construcción EUA</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3D2447E"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Total de empleados, miles, construcción</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449A8B30"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 xml:space="preserve">Bureau </w:t>
            </w:r>
            <w:proofErr w:type="spellStart"/>
            <w:r w:rsidRPr="00B05E0A">
              <w:rPr>
                <w:color w:val="000000"/>
                <w:sz w:val="18"/>
                <w:szCs w:val="18"/>
                <w:lang w:val="es-MX" w:eastAsia="es-MX"/>
              </w:rPr>
              <w:t>of</w:t>
            </w:r>
            <w:proofErr w:type="spellEnd"/>
            <w:r w:rsidRPr="00B05E0A">
              <w:rPr>
                <w:color w:val="000000"/>
                <w:sz w:val="18"/>
                <w:szCs w:val="18"/>
                <w:lang w:val="es-MX" w:eastAsia="es-MX"/>
              </w:rPr>
              <w:t xml:space="preserve"> Labor </w:t>
            </w:r>
            <w:proofErr w:type="spellStart"/>
            <w:r w:rsidRPr="00B05E0A">
              <w:rPr>
                <w:color w:val="000000"/>
                <w:sz w:val="18"/>
                <w:szCs w:val="18"/>
                <w:lang w:val="es-MX" w:eastAsia="es-MX"/>
              </w:rPr>
              <w:t>Statistics</w:t>
            </w:r>
            <w:proofErr w:type="spellEnd"/>
          </w:p>
        </w:tc>
      </w:tr>
      <w:tr w:rsidR="00E63DC0" w:rsidRPr="00B05E0A" w14:paraId="05492CD1"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13D84FE9"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Empleados manufacturas EUA</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C7E5C5B"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Total de empleados, miles, manufacturas</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46AA1089"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 xml:space="preserve">Bureau </w:t>
            </w:r>
            <w:proofErr w:type="spellStart"/>
            <w:r w:rsidRPr="00B05E0A">
              <w:rPr>
                <w:color w:val="000000"/>
                <w:sz w:val="18"/>
                <w:szCs w:val="18"/>
                <w:lang w:val="es-MX" w:eastAsia="es-MX"/>
              </w:rPr>
              <w:t>of</w:t>
            </w:r>
            <w:proofErr w:type="spellEnd"/>
            <w:r w:rsidRPr="00B05E0A">
              <w:rPr>
                <w:color w:val="000000"/>
                <w:sz w:val="18"/>
                <w:szCs w:val="18"/>
                <w:lang w:val="es-MX" w:eastAsia="es-MX"/>
              </w:rPr>
              <w:t xml:space="preserve"> Labor </w:t>
            </w:r>
            <w:proofErr w:type="spellStart"/>
            <w:r w:rsidRPr="00B05E0A">
              <w:rPr>
                <w:color w:val="000000"/>
                <w:sz w:val="18"/>
                <w:szCs w:val="18"/>
                <w:lang w:val="es-MX" w:eastAsia="es-MX"/>
              </w:rPr>
              <w:t>Statistics</w:t>
            </w:r>
            <w:proofErr w:type="spellEnd"/>
          </w:p>
        </w:tc>
      </w:tr>
      <w:tr w:rsidR="00E63DC0" w:rsidRPr="00B05E0A" w14:paraId="5D55BB71"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6349079E"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Empleados servicios EUA</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3B6335C"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Total de empleados, miles, servicios</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7FDD06AB"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 xml:space="preserve">Bureau </w:t>
            </w:r>
            <w:proofErr w:type="spellStart"/>
            <w:r w:rsidRPr="00B05E0A">
              <w:rPr>
                <w:color w:val="000000"/>
                <w:sz w:val="18"/>
                <w:szCs w:val="18"/>
                <w:lang w:val="es-MX" w:eastAsia="es-MX"/>
              </w:rPr>
              <w:t>of</w:t>
            </w:r>
            <w:proofErr w:type="spellEnd"/>
            <w:r w:rsidRPr="00B05E0A">
              <w:rPr>
                <w:color w:val="000000"/>
                <w:sz w:val="18"/>
                <w:szCs w:val="18"/>
                <w:lang w:val="es-MX" w:eastAsia="es-MX"/>
              </w:rPr>
              <w:t xml:space="preserve"> Labor </w:t>
            </w:r>
            <w:proofErr w:type="spellStart"/>
            <w:r w:rsidRPr="00B05E0A">
              <w:rPr>
                <w:color w:val="000000"/>
                <w:sz w:val="18"/>
                <w:szCs w:val="18"/>
                <w:lang w:val="es-MX" w:eastAsia="es-MX"/>
              </w:rPr>
              <w:t>Statistics</w:t>
            </w:r>
            <w:proofErr w:type="spellEnd"/>
          </w:p>
        </w:tc>
      </w:tr>
      <w:tr w:rsidR="00E63DC0" w:rsidRPr="00B05E0A" w14:paraId="123D74C1"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3D04B87D"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Empleados totales EUA</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9267676"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Total de empleados, miles</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539B9204"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 xml:space="preserve">Bureau </w:t>
            </w:r>
            <w:proofErr w:type="spellStart"/>
            <w:r w:rsidRPr="00B05E0A">
              <w:rPr>
                <w:color w:val="000000"/>
                <w:sz w:val="18"/>
                <w:szCs w:val="18"/>
                <w:lang w:val="es-MX" w:eastAsia="es-MX"/>
              </w:rPr>
              <w:t>of</w:t>
            </w:r>
            <w:proofErr w:type="spellEnd"/>
            <w:r w:rsidRPr="00B05E0A">
              <w:rPr>
                <w:color w:val="000000"/>
                <w:sz w:val="18"/>
                <w:szCs w:val="18"/>
                <w:lang w:val="es-MX" w:eastAsia="es-MX"/>
              </w:rPr>
              <w:t xml:space="preserve"> Labor </w:t>
            </w:r>
            <w:proofErr w:type="spellStart"/>
            <w:r w:rsidRPr="00B05E0A">
              <w:rPr>
                <w:color w:val="000000"/>
                <w:sz w:val="18"/>
                <w:szCs w:val="18"/>
                <w:lang w:val="es-MX" w:eastAsia="es-MX"/>
              </w:rPr>
              <w:t>Statistics</w:t>
            </w:r>
            <w:proofErr w:type="spellEnd"/>
          </w:p>
        </w:tc>
      </w:tr>
      <w:tr w:rsidR="00E63DC0" w:rsidRPr="00B05E0A" w14:paraId="2530DDDD"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5AB4C6A9"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Empleo de manufacturas</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4362439"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Personal ocupado (serie de tenencia)</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0C188EF4"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INEGI</w:t>
            </w:r>
          </w:p>
        </w:tc>
      </w:tr>
      <w:tr w:rsidR="00E63DC0" w:rsidRPr="00B05E0A" w14:paraId="132283CB"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5EBC3C1A"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ENOE PEA</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65AA2F5"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Población Económicamente Activa (ENOE)</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0E2A9854"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INEGI</w:t>
            </w:r>
          </w:p>
        </w:tc>
      </w:tr>
      <w:tr w:rsidR="00E63DC0" w:rsidRPr="00B05E0A" w14:paraId="4FA1D1EC"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2E26BBD8"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ENOE PO</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F0110AF"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Población Ocupada (ENOE)</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06E9BA6E"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Banxico</w:t>
            </w:r>
          </w:p>
        </w:tc>
      </w:tr>
      <w:tr w:rsidR="00E63DC0" w:rsidRPr="00B05E0A" w14:paraId="50706050"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0DFF1AE9"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Exportaciones</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EB81DC3"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Exportaciones totales</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485A6F65"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INEGI</w:t>
            </w:r>
          </w:p>
        </w:tc>
      </w:tr>
      <w:tr w:rsidR="00E63DC0" w:rsidRPr="00B05E0A" w14:paraId="3DC17E63"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022BC91D"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FLASH*</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4CF0E29"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Información interna de carácter confidencial del INEGI</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765F36AD"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Directa</w:t>
            </w:r>
          </w:p>
        </w:tc>
      </w:tr>
      <w:tr w:rsidR="00E63DC0" w:rsidRPr="00B05E0A" w14:paraId="30D3825C"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431A7967"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 xml:space="preserve">Google </w:t>
            </w:r>
            <w:proofErr w:type="spellStart"/>
            <w:r w:rsidRPr="00B05E0A">
              <w:rPr>
                <w:color w:val="000000"/>
                <w:sz w:val="18"/>
                <w:szCs w:val="18"/>
                <w:lang w:val="es-MX" w:eastAsia="es-MX"/>
              </w:rPr>
              <w:t>Trends</w:t>
            </w:r>
            <w:proofErr w:type="spellEnd"/>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9B02B4C"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 xml:space="preserve">Tópicos relevantes de Google </w:t>
            </w:r>
            <w:proofErr w:type="spellStart"/>
            <w:r w:rsidRPr="00B05E0A">
              <w:rPr>
                <w:color w:val="000000"/>
                <w:sz w:val="18"/>
                <w:szCs w:val="18"/>
                <w:lang w:val="es-MX" w:eastAsia="es-MX"/>
              </w:rPr>
              <w:t>Trends</w:t>
            </w:r>
            <w:proofErr w:type="spellEnd"/>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2679FC5F"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Google</w:t>
            </w:r>
          </w:p>
        </w:tc>
      </w:tr>
      <w:tr w:rsidR="00E63DC0" w:rsidRPr="00B05E0A" w14:paraId="7D66D59C"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3D3CBF97"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IATM</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E8ED839"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Indicador Agregado de Tendencia para la Manufactura</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2909F0C7"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INEGI</w:t>
            </w:r>
          </w:p>
        </w:tc>
      </w:tr>
      <w:tr w:rsidR="00E63DC0" w:rsidRPr="00B05E0A" w14:paraId="56BFCD1D"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6D1DC146"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ICC</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98C8128" w14:textId="1932C09B" w:rsidR="00E63DC0" w:rsidRPr="00B05E0A" w:rsidRDefault="00E63DC0" w:rsidP="005D25C0">
            <w:pPr>
              <w:jc w:val="left"/>
              <w:rPr>
                <w:color w:val="000000"/>
                <w:sz w:val="18"/>
                <w:szCs w:val="18"/>
                <w:lang w:val="es-MX" w:eastAsia="es-MX"/>
              </w:rPr>
            </w:pPr>
            <w:r w:rsidRPr="00B05E0A">
              <w:rPr>
                <w:color w:val="000000"/>
                <w:sz w:val="18"/>
                <w:szCs w:val="18"/>
                <w:lang w:val="es-MX" w:eastAsia="es-MX"/>
              </w:rPr>
              <w:t xml:space="preserve">Indicador de Confianza del </w:t>
            </w:r>
            <w:r w:rsidR="0031230F" w:rsidRPr="00B05E0A">
              <w:rPr>
                <w:color w:val="000000"/>
                <w:sz w:val="18"/>
                <w:szCs w:val="18"/>
                <w:lang w:val="es-MX" w:eastAsia="es-MX"/>
              </w:rPr>
              <w:t>C</w:t>
            </w:r>
            <w:r w:rsidRPr="00B05E0A">
              <w:rPr>
                <w:color w:val="000000"/>
                <w:sz w:val="18"/>
                <w:szCs w:val="18"/>
                <w:lang w:val="es-MX" w:eastAsia="es-MX"/>
              </w:rPr>
              <w:t>onsumidor</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0E43B693"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INEGI</w:t>
            </w:r>
          </w:p>
        </w:tc>
      </w:tr>
      <w:tr w:rsidR="00E63DC0" w:rsidRPr="00B05E0A" w14:paraId="3732D075"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172CB5B8"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IMP bienes consumo</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94401B4"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Importaciones de bienes de consumo de la BCMM</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31021029"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Banxico</w:t>
            </w:r>
          </w:p>
        </w:tc>
      </w:tr>
      <w:tr w:rsidR="00E63DC0" w:rsidRPr="00B05E0A" w14:paraId="0FF013AD"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3373F0FF"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IMP bienes intermedios</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1F12DF9"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Importaciones de bienes intermedios de la BCMM</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1C7D59F0"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Banxico</w:t>
            </w:r>
          </w:p>
        </w:tc>
      </w:tr>
      <w:tr w:rsidR="00E63DC0" w:rsidRPr="00B05E0A" w14:paraId="4BA63C42"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082F82E8"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Importaciones</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1BDB475"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Importaciones totales</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05C0AC7F"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INEGI</w:t>
            </w:r>
          </w:p>
        </w:tc>
      </w:tr>
      <w:tr w:rsidR="00E63DC0" w:rsidRPr="00B05E0A" w14:paraId="587C09C0"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43628BB0"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IMSS</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695C55E"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Asegurados permanentes y eventuales del Seguro Social</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2AC1663D"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Instituto Mexicano del Seguro Social</w:t>
            </w:r>
          </w:p>
        </w:tc>
      </w:tr>
      <w:tr w:rsidR="00E63DC0" w:rsidRPr="00B05E0A" w14:paraId="7F94DDC6" w14:textId="77777777" w:rsidTr="00D81AD5">
        <w:trPr>
          <w:trHeight w:val="283"/>
          <w:jc w:val="center"/>
        </w:trPr>
        <w:tc>
          <w:tcPr>
            <w:tcW w:w="2488" w:type="dxa"/>
            <w:tcBorders>
              <w:top w:val="dotted" w:sz="4" w:space="0" w:color="auto"/>
              <w:left w:val="single" w:sz="6" w:space="0" w:color="auto"/>
              <w:bottom w:val="single" w:sz="4" w:space="0" w:color="auto"/>
              <w:right w:val="single" w:sz="4" w:space="0" w:color="auto"/>
            </w:tcBorders>
            <w:shd w:val="clear" w:color="auto" w:fill="auto"/>
            <w:vAlign w:val="center"/>
            <w:hideMark/>
          </w:tcPr>
          <w:p w14:paraId="298EF18E"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INPC</w:t>
            </w:r>
          </w:p>
        </w:tc>
        <w:tc>
          <w:tcPr>
            <w:tcW w:w="4732"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6BD59027"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Índice Nacional de Precios al Consumidor</w:t>
            </w:r>
          </w:p>
        </w:tc>
        <w:tc>
          <w:tcPr>
            <w:tcW w:w="2166" w:type="dxa"/>
            <w:tcBorders>
              <w:top w:val="dotted" w:sz="4" w:space="0" w:color="auto"/>
              <w:left w:val="single" w:sz="4" w:space="0" w:color="auto"/>
              <w:bottom w:val="single" w:sz="4" w:space="0" w:color="auto"/>
              <w:right w:val="single" w:sz="6" w:space="0" w:color="auto"/>
            </w:tcBorders>
            <w:shd w:val="clear" w:color="auto" w:fill="auto"/>
            <w:vAlign w:val="center"/>
            <w:hideMark/>
          </w:tcPr>
          <w:p w14:paraId="7B081184"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INEGI</w:t>
            </w:r>
          </w:p>
        </w:tc>
      </w:tr>
      <w:tr w:rsidR="00E63DC0" w:rsidRPr="00B05E0A" w14:paraId="0E1FCB53" w14:textId="77777777" w:rsidTr="00D81AD5">
        <w:trPr>
          <w:trHeight w:val="283"/>
          <w:jc w:val="center"/>
        </w:trPr>
        <w:tc>
          <w:tcPr>
            <w:tcW w:w="2488" w:type="dxa"/>
            <w:tcBorders>
              <w:top w:val="single" w:sz="4" w:space="0" w:color="auto"/>
              <w:left w:val="single" w:sz="6" w:space="0" w:color="auto"/>
              <w:bottom w:val="dotted" w:sz="4" w:space="0" w:color="auto"/>
              <w:right w:val="single" w:sz="4" w:space="0" w:color="auto"/>
            </w:tcBorders>
            <w:shd w:val="clear" w:color="auto" w:fill="auto"/>
            <w:vAlign w:val="center"/>
            <w:hideMark/>
          </w:tcPr>
          <w:p w14:paraId="0D0CF9A2"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lastRenderedPageBreak/>
              <w:t>ITCR</w:t>
            </w:r>
          </w:p>
        </w:tc>
        <w:tc>
          <w:tcPr>
            <w:tcW w:w="4732"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5D16357"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Índice de tipo de cambio real bilateral con EUA</w:t>
            </w:r>
          </w:p>
        </w:tc>
        <w:tc>
          <w:tcPr>
            <w:tcW w:w="2166" w:type="dxa"/>
            <w:tcBorders>
              <w:top w:val="single" w:sz="4" w:space="0" w:color="auto"/>
              <w:left w:val="single" w:sz="4" w:space="0" w:color="auto"/>
              <w:bottom w:val="dotted" w:sz="4" w:space="0" w:color="auto"/>
              <w:right w:val="single" w:sz="6" w:space="0" w:color="auto"/>
            </w:tcBorders>
            <w:shd w:val="clear" w:color="auto" w:fill="auto"/>
            <w:vAlign w:val="center"/>
            <w:hideMark/>
          </w:tcPr>
          <w:p w14:paraId="0CDCCFE2"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Banxico</w:t>
            </w:r>
          </w:p>
        </w:tc>
      </w:tr>
      <w:tr w:rsidR="00E63DC0" w:rsidRPr="00B05E0A" w14:paraId="0169EE9C"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74C7E7CC"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M4</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414633D"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Agregado monetario M4</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0D2FE4D1"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Banxico</w:t>
            </w:r>
          </w:p>
        </w:tc>
      </w:tr>
      <w:tr w:rsidR="00E63DC0" w:rsidRPr="00B05E0A" w14:paraId="3C1D1E6D"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57F3917D"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Monto tarjetas bancarias</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62158CE"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Transacciones realizadas con tarjetas bancarias </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3858A776"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Banxico</w:t>
            </w:r>
          </w:p>
        </w:tc>
      </w:tr>
      <w:tr w:rsidR="00E63DC0" w:rsidRPr="00B05E0A" w14:paraId="62AA6BAC"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44251D28"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Monto tarjetas crédito</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EDC4E0A"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Monto real operado a través de tarjetas de crédito</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44AAAC8D"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Banxico</w:t>
            </w:r>
          </w:p>
        </w:tc>
      </w:tr>
      <w:tr w:rsidR="00E63DC0" w:rsidRPr="00B05E0A" w14:paraId="3DE712AC"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3EF18624"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Monto tarjetas débito</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2B3F90E"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Monto real operado a través de tarjetas de débito</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5D667017"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Banxico</w:t>
            </w:r>
          </w:p>
        </w:tc>
      </w:tr>
      <w:tr w:rsidR="00E63DC0" w:rsidRPr="00B05E0A" w14:paraId="2D1CB438"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tcPr>
          <w:p w14:paraId="64C43509" w14:textId="77777777" w:rsidR="00E63DC0" w:rsidRPr="00B05E0A" w:rsidRDefault="00E63DC0" w:rsidP="005D25C0">
            <w:pPr>
              <w:jc w:val="left"/>
              <w:rPr>
                <w:color w:val="000000"/>
                <w:sz w:val="18"/>
                <w:szCs w:val="18"/>
                <w:lang w:val="es-MX" w:eastAsia="es-MX"/>
              </w:rPr>
            </w:pPr>
            <w:r w:rsidRPr="00B05E0A">
              <w:rPr>
                <w:color w:val="000000"/>
                <w:sz w:val="18"/>
                <w:szCs w:val="18"/>
                <w:lang w:eastAsia="es-MX"/>
              </w:rPr>
              <w:t>Movilidad Google</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tcPr>
          <w:p w14:paraId="56339154" w14:textId="77777777" w:rsidR="00E63DC0" w:rsidRPr="00B05E0A" w:rsidRDefault="00E63DC0" w:rsidP="005D25C0">
            <w:pPr>
              <w:jc w:val="left"/>
              <w:rPr>
                <w:color w:val="000000"/>
                <w:sz w:val="18"/>
                <w:szCs w:val="18"/>
                <w:lang w:val="es-MX" w:eastAsia="es-MX"/>
              </w:rPr>
            </w:pPr>
            <w:r w:rsidRPr="00B05E0A">
              <w:rPr>
                <w:color w:val="000000"/>
                <w:sz w:val="18"/>
                <w:szCs w:val="18"/>
                <w:lang w:eastAsia="es-MX"/>
              </w:rPr>
              <w:t>Índice de movilidad de Google</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tcPr>
          <w:p w14:paraId="135B3569" w14:textId="77777777" w:rsidR="00E63DC0" w:rsidRPr="00B05E0A" w:rsidRDefault="00E63DC0" w:rsidP="005D25C0">
            <w:pPr>
              <w:jc w:val="left"/>
              <w:rPr>
                <w:color w:val="000000"/>
                <w:sz w:val="18"/>
                <w:szCs w:val="18"/>
                <w:lang w:val="es-MX" w:eastAsia="es-MX"/>
              </w:rPr>
            </w:pPr>
            <w:r w:rsidRPr="00B05E0A">
              <w:rPr>
                <w:color w:val="000000"/>
                <w:sz w:val="18"/>
                <w:szCs w:val="18"/>
                <w:lang w:eastAsia="es-MX"/>
              </w:rPr>
              <w:t>Google</w:t>
            </w:r>
          </w:p>
        </w:tc>
      </w:tr>
      <w:tr w:rsidR="00E63DC0" w:rsidRPr="00B05E0A" w14:paraId="0958DB39"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413A8F3A"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Movilidad Twitter</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E957776"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Índice de movilidad de Twitter</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4714F070"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Elaboración propia con datos de Twitter</w:t>
            </w:r>
          </w:p>
        </w:tc>
      </w:tr>
      <w:tr w:rsidR="00E63DC0" w:rsidRPr="00B05E0A" w14:paraId="3BCE16B7"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30DEC7B7"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Ocupación hotelera</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DA07F2F"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Ocupación hotelera en corredores y agrupamientos</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413C27C2"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Secretaría de Turismo</w:t>
            </w:r>
          </w:p>
        </w:tc>
      </w:tr>
      <w:tr w:rsidR="00E63DC0" w:rsidRPr="00B05E0A" w14:paraId="549313D2"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6C4A5121"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Pasajeros avión</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A175958"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Número de pasajeros transportados por la aviación comercial</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6CCB76A2"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ASA</w:t>
            </w:r>
          </w:p>
        </w:tc>
      </w:tr>
      <w:tr w:rsidR="00E63DC0" w:rsidRPr="00B05E0A" w14:paraId="67E90276"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296C3994"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Pedidos manufactureros</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7E9B7E3"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Indicador de pedidos manufactureros</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1C404021"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INEGI</w:t>
            </w:r>
          </w:p>
        </w:tc>
      </w:tr>
      <w:tr w:rsidR="00E63DC0" w:rsidRPr="00B05E0A" w14:paraId="415019A7"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711045DA"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Precio del petróleo</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854A5FF"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Precio de la mezcla mexicana de petróleo</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0270ED66"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Banxico</w:t>
            </w:r>
          </w:p>
        </w:tc>
      </w:tr>
      <w:tr w:rsidR="00E63DC0" w:rsidRPr="00B05E0A" w14:paraId="0B5EDC76"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38F4ECF8"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Producción de vehículos</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733B3A5"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Producción de vehículos automotores</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057F9AB6"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INEGI</w:t>
            </w:r>
          </w:p>
        </w:tc>
      </w:tr>
      <w:tr w:rsidR="00E63DC0" w:rsidRPr="00B05E0A" w14:paraId="5DB2DD41"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513C5204"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Producción industrial</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223314F"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Índice de producción industrial</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6B274C9C"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INEGI</w:t>
            </w:r>
          </w:p>
        </w:tc>
      </w:tr>
      <w:tr w:rsidR="00E63DC0" w:rsidRPr="00B05E0A" w14:paraId="455C2C0F"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31DEE5B3" w14:textId="787D135A" w:rsidR="00E63DC0" w:rsidRPr="00B05E0A" w:rsidRDefault="00E63DC0" w:rsidP="005D25C0">
            <w:pPr>
              <w:jc w:val="left"/>
              <w:rPr>
                <w:color w:val="000000"/>
                <w:sz w:val="18"/>
                <w:szCs w:val="18"/>
                <w:lang w:val="es-MX" w:eastAsia="es-MX"/>
              </w:rPr>
            </w:pPr>
            <w:r w:rsidRPr="00B05E0A">
              <w:rPr>
                <w:color w:val="000000"/>
                <w:sz w:val="18"/>
                <w:szCs w:val="18"/>
                <w:lang w:val="es-MX" w:eastAsia="es-MX"/>
              </w:rPr>
              <w:t>Producción industrial</w:t>
            </w:r>
            <w:r w:rsidR="0031230F" w:rsidRPr="00B05E0A">
              <w:rPr>
                <w:color w:val="000000"/>
                <w:sz w:val="18"/>
                <w:szCs w:val="18"/>
                <w:lang w:val="es-MX" w:eastAsia="es-MX"/>
              </w:rPr>
              <w:t xml:space="preserve"> </w:t>
            </w:r>
            <w:r w:rsidRPr="00B05E0A">
              <w:rPr>
                <w:color w:val="000000"/>
                <w:sz w:val="18"/>
                <w:szCs w:val="18"/>
                <w:lang w:val="es-MX" w:eastAsia="es-MX"/>
              </w:rPr>
              <w:t>EUA</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F1ECAC2" w14:textId="572775AE" w:rsidR="00E63DC0" w:rsidRPr="00B05E0A" w:rsidRDefault="00E63DC0" w:rsidP="005D25C0">
            <w:pPr>
              <w:jc w:val="left"/>
              <w:rPr>
                <w:color w:val="000000"/>
                <w:sz w:val="18"/>
                <w:szCs w:val="18"/>
                <w:lang w:val="es-MX" w:eastAsia="es-MX"/>
              </w:rPr>
            </w:pPr>
            <w:r w:rsidRPr="00B05E0A">
              <w:rPr>
                <w:color w:val="000000"/>
                <w:sz w:val="18"/>
                <w:szCs w:val="18"/>
                <w:lang w:val="es-MX" w:eastAsia="es-MX"/>
              </w:rPr>
              <w:t>Índice de producción industrial de los Estados Unidos</w:t>
            </w:r>
            <w:r w:rsidR="0031230F" w:rsidRPr="00B05E0A">
              <w:rPr>
                <w:color w:val="000000"/>
                <w:sz w:val="18"/>
                <w:szCs w:val="18"/>
                <w:lang w:val="es-MX" w:eastAsia="es-MX"/>
              </w:rPr>
              <w:t xml:space="preserve"> de América</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6B55604C"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 xml:space="preserve">Bureau </w:t>
            </w:r>
            <w:proofErr w:type="spellStart"/>
            <w:r w:rsidRPr="00B05E0A">
              <w:rPr>
                <w:color w:val="000000"/>
                <w:sz w:val="18"/>
                <w:szCs w:val="18"/>
                <w:lang w:val="es-MX" w:eastAsia="es-MX"/>
              </w:rPr>
              <w:t>of</w:t>
            </w:r>
            <w:proofErr w:type="spellEnd"/>
            <w:r w:rsidRPr="00B05E0A">
              <w:rPr>
                <w:color w:val="000000"/>
                <w:sz w:val="18"/>
                <w:szCs w:val="18"/>
                <w:lang w:val="es-MX" w:eastAsia="es-MX"/>
              </w:rPr>
              <w:t xml:space="preserve"> </w:t>
            </w:r>
            <w:proofErr w:type="spellStart"/>
            <w:r w:rsidRPr="00B05E0A">
              <w:rPr>
                <w:color w:val="000000"/>
                <w:sz w:val="18"/>
                <w:szCs w:val="18"/>
                <w:lang w:val="es-MX" w:eastAsia="es-MX"/>
              </w:rPr>
              <w:t>Economic</w:t>
            </w:r>
            <w:proofErr w:type="spellEnd"/>
            <w:r w:rsidRPr="00B05E0A">
              <w:rPr>
                <w:color w:val="000000"/>
                <w:sz w:val="18"/>
                <w:szCs w:val="18"/>
                <w:lang w:val="es-MX" w:eastAsia="es-MX"/>
              </w:rPr>
              <w:t xml:space="preserve"> </w:t>
            </w:r>
            <w:proofErr w:type="spellStart"/>
            <w:r w:rsidRPr="00B05E0A">
              <w:rPr>
                <w:color w:val="000000"/>
                <w:sz w:val="18"/>
                <w:szCs w:val="18"/>
                <w:lang w:val="es-MX" w:eastAsia="es-MX"/>
              </w:rPr>
              <w:t>Analysis</w:t>
            </w:r>
            <w:proofErr w:type="spellEnd"/>
            <w:r w:rsidRPr="00B05E0A">
              <w:rPr>
                <w:color w:val="000000"/>
                <w:sz w:val="18"/>
                <w:szCs w:val="18"/>
                <w:lang w:val="es-MX" w:eastAsia="es-MX"/>
              </w:rPr>
              <w:t xml:space="preserve"> </w:t>
            </w:r>
          </w:p>
        </w:tc>
      </w:tr>
      <w:tr w:rsidR="00E63DC0" w:rsidRPr="00B05E0A" w14:paraId="13640BB0"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7C131D61" w14:textId="00012546" w:rsidR="00E63DC0" w:rsidRPr="00B05E0A" w:rsidRDefault="00E63DC0" w:rsidP="005D25C0">
            <w:pPr>
              <w:jc w:val="left"/>
              <w:rPr>
                <w:color w:val="000000"/>
                <w:sz w:val="18"/>
                <w:szCs w:val="18"/>
                <w:lang w:val="es-MX" w:eastAsia="es-MX"/>
              </w:rPr>
            </w:pPr>
            <w:r w:rsidRPr="00B05E0A">
              <w:rPr>
                <w:color w:val="000000"/>
                <w:sz w:val="18"/>
                <w:szCs w:val="18"/>
                <w:lang w:val="es-MX" w:eastAsia="es-MX"/>
              </w:rPr>
              <w:t>Producción manufacturera</w:t>
            </w:r>
            <w:r w:rsidR="0031230F" w:rsidRPr="00B05E0A">
              <w:rPr>
                <w:color w:val="000000"/>
                <w:sz w:val="18"/>
                <w:szCs w:val="18"/>
                <w:lang w:val="es-MX" w:eastAsia="es-MX"/>
              </w:rPr>
              <w:t xml:space="preserve"> </w:t>
            </w:r>
            <w:r w:rsidRPr="00B05E0A">
              <w:rPr>
                <w:color w:val="000000"/>
                <w:sz w:val="18"/>
                <w:szCs w:val="18"/>
                <w:lang w:val="es-MX" w:eastAsia="es-MX"/>
              </w:rPr>
              <w:t>EUA</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45AFB97" w14:textId="2A25CDD4" w:rsidR="00E63DC0" w:rsidRPr="00B05E0A" w:rsidRDefault="00E63DC0" w:rsidP="005D25C0">
            <w:pPr>
              <w:jc w:val="left"/>
              <w:rPr>
                <w:color w:val="000000"/>
                <w:sz w:val="18"/>
                <w:szCs w:val="18"/>
                <w:lang w:val="es-MX" w:eastAsia="es-MX"/>
              </w:rPr>
            </w:pPr>
            <w:r w:rsidRPr="00B05E0A">
              <w:rPr>
                <w:color w:val="000000"/>
                <w:sz w:val="18"/>
                <w:szCs w:val="18"/>
                <w:lang w:val="es-MX" w:eastAsia="es-MX"/>
              </w:rPr>
              <w:t>Índice de producción manufacturera de los Estados Unidos</w:t>
            </w:r>
            <w:r w:rsidR="0031230F" w:rsidRPr="00B05E0A">
              <w:rPr>
                <w:color w:val="000000"/>
                <w:sz w:val="18"/>
                <w:szCs w:val="18"/>
                <w:lang w:val="es-MX" w:eastAsia="es-MX"/>
              </w:rPr>
              <w:t xml:space="preserve"> de América</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31729251"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 xml:space="preserve">Bureau </w:t>
            </w:r>
            <w:proofErr w:type="spellStart"/>
            <w:r w:rsidRPr="00B05E0A">
              <w:rPr>
                <w:color w:val="000000"/>
                <w:sz w:val="18"/>
                <w:szCs w:val="18"/>
                <w:lang w:val="es-MX" w:eastAsia="es-MX"/>
              </w:rPr>
              <w:t>of</w:t>
            </w:r>
            <w:proofErr w:type="spellEnd"/>
            <w:r w:rsidRPr="00B05E0A">
              <w:rPr>
                <w:color w:val="000000"/>
                <w:sz w:val="18"/>
                <w:szCs w:val="18"/>
                <w:lang w:val="es-MX" w:eastAsia="es-MX"/>
              </w:rPr>
              <w:t xml:space="preserve"> </w:t>
            </w:r>
            <w:proofErr w:type="spellStart"/>
            <w:r w:rsidRPr="00B05E0A">
              <w:rPr>
                <w:color w:val="000000"/>
                <w:sz w:val="18"/>
                <w:szCs w:val="18"/>
                <w:lang w:val="es-MX" w:eastAsia="es-MX"/>
              </w:rPr>
              <w:t>Economic</w:t>
            </w:r>
            <w:proofErr w:type="spellEnd"/>
            <w:r w:rsidRPr="00B05E0A">
              <w:rPr>
                <w:color w:val="000000"/>
                <w:sz w:val="18"/>
                <w:szCs w:val="18"/>
                <w:lang w:val="es-MX" w:eastAsia="es-MX"/>
              </w:rPr>
              <w:t xml:space="preserve"> </w:t>
            </w:r>
            <w:proofErr w:type="spellStart"/>
            <w:r w:rsidRPr="00B05E0A">
              <w:rPr>
                <w:color w:val="000000"/>
                <w:sz w:val="18"/>
                <w:szCs w:val="18"/>
                <w:lang w:val="es-MX" w:eastAsia="es-MX"/>
              </w:rPr>
              <w:t>Analysis</w:t>
            </w:r>
            <w:proofErr w:type="spellEnd"/>
          </w:p>
        </w:tc>
      </w:tr>
      <w:tr w:rsidR="00E63DC0" w:rsidRPr="00B05E0A" w14:paraId="257C4A5B"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002125C0"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 xml:space="preserve">Remesas </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2B1DCD1"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Remesas familiares</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4C70FBE4"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Banxico</w:t>
            </w:r>
          </w:p>
        </w:tc>
      </w:tr>
      <w:tr w:rsidR="00E63DC0" w:rsidRPr="00B05E0A" w14:paraId="3DEE1151"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2C3D39A9"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SP 500</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3D9CF80"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 xml:space="preserve">Índice Standard &amp; </w:t>
            </w:r>
            <w:proofErr w:type="spellStart"/>
            <w:r w:rsidRPr="00B05E0A">
              <w:rPr>
                <w:color w:val="000000"/>
                <w:sz w:val="18"/>
                <w:szCs w:val="18"/>
                <w:lang w:val="es-MX" w:eastAsia="es-MX"/>
              </w:rPr>
              <w:t>Poor’s</w:t>
            </w:r>
            <w:proofErr w:type="spellEnd"/>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15FA49CE"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Yahoo! Financiero</w:t>
            </w:r>
          </w:p>
        </w:tc>
      </w:tr>
      <w:tr w:rsidR="00E63DC0" w:rsidRPr="00B05E0A" w14:paraId="7AD6195C"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711B3414"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SPEI</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BA9D36F"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Transferencias realizadas en el Sistema de Pagos Electrónicos Interbancarios</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7D212003"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Banxico</w:t>
            </w:r>
          </w:p>
        </w:tc>
      </w:tr>
      <w:tr w:rsidR="00E63DC0" w:rsidRPr="00B05E0A" w14:paraId="28E7E1B6"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0297CB72"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TIIE 28</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46492FB"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Tasa de interés interbancaria de equilibrio a 28 días</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7167745C"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Banxico</w:t>
            </w:r>
          </w:p>
        </w:tc>
      </w:tr>
      <w:tr w:rsidR="00E63DC0" w:rsidRPr="00B05E0A" w14:paraId="3C62EAA7"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62CAD95C"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Tipo de cambio</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B017AE3"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Tipo de cambio nominal promedio</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22D40F7D"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Banxico</w:t>
            </w:r>
          </w:p>
        </w:tc>
      </w:tr>
      <w:tr w:rsidR="00E63DC0" w:rsidRPr="00B05E0A" w14:paraId="33537C32"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39D0E402"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Ventas al por menor</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DC7E450"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Ingresos por suministros de bienes y servicios. Comercio al por menor.</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188EA4C3"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INEGI</w:t>
            </w:r>
          </w:p>
        </w:tc>
      </w:tr>
      <w:tr w:rsidR="00E63DC0" w:rsidRPr="00B05E0A" w14:paraId="7E326287" w14:textId="77777777" w:rsidTr="00D81AD5">
        <w:trPr>
          <w:trHeight w:val="283"/>
          <w:jc w:val="center"/>
        </w:trPr>
        <w:tc>
          <w:tcPr>
            <w:tcW w:w="2488" w:type="dxa"/>
            <w:tcBorders>
              <w:top w:val="dotted" w:sz="4" w:space="0" w:color="auto"/>
              <w:left w:val="single" w:sz="6" w:space="0" w:color="auto"/>
              <w:bottom w:val="dotted" w:sz="4" w:space="0" w:color="auto"/>
              <w:right w:val="single" w:sz="4" w:space="0" w:color="auto"/>
            </w:tcBorders>
            <w:shd w:val="clear" w:color="auto" w:fill="auto"/>
            <w:vAlign w:val="center"/>
            <w:hideMark/>
          </w:tcPr>
          <w:p w14:paraId="24D05C36"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Ventas CFE</w:t>
            </w:r>
          </w:p>
        </w:tc>
        <w:tc>
          <w:tcPr>
            <w:tcW w:w="47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86E597C"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Ventas de la CFE-CRE</w:t>
            </w:r>
          </w:p>
        </w:tc>
        <w:tc>
          <w:tcPr>
            <w:tcW w:w="2166" w:type="dxa"/>
            <w:tcBorders>
              <w:top w:val="dotted" w:sz="4" w:space="0" w:color="auto"/>
              <w:left w:val="single" w:sz="4" w:space="0" w:color="auto"/>
              <w:bottom w:val="dotted" w:sz="4" w:space="0" w:color="auto"/>
              <w:right w:val="single" w:sz="6" w:space="0" w:color="auto"/>
            </w:tcBorders>
            <w:shd w:val="clear" w:color="auto" w:fill="auto"/>
            <w:vAlign w:val="center"/>
            <w:hideMark/>
          </w:tcPr>
          <w:p w14:paraId="6C6BCA07"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Directa</w:t>
            </w:r>
          </w:p>
        </w:tc>
      </w:tr>
      <w:tr w:rsidR="00E63DC0" w:rsidRPr="00B05E0A" w14:paraId="474FBA3F" w14:textId="77777777" w:rsidTr="00D81AD5">
        <w:trPr>
          <w:trHeight w:val="283"/>
          <w:jc w:val="center"/>
        </w:trPr>
        <w:tc>
          <w:tcPr>
            <w:tcW w:w="2488" w:type="dxa"/>
            <w:tcBorders>
              <w:top w:val="dotted" w:sz="4" w:space="0" w:color="auto"/>
              <w:left w:val="single" w:sz="6" w:space="0" w:color="auto"/>
              <w:bottom w:val="single" w:sz="6" w:space="0" w:color="auto"/>
              <w:right w:val="single" w:sz="4" w:space="0" w:color="auto"/>
            </w:tcBorders>
            <w:shd w:val="clear" w:color="auto" w:fill="auto"/>
            <w:vAlign w:val="center"/>
            <w:hideMark/>
          </w:tcPr>
          <w:p w14:paraId="6DFADC23"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Ventas vehículos</w:t>
            </w:r>
          </w:p>
        </w:tc>
        <w:tc>
          <w:tcPr>
            <w:tcW w:w="4732" w:type="dxa"/>
            <w:tcBorders>
              <w:top w:val="dotted" w:sz="4" w:space="0" w:color="auto"/>
              <w:left w:val="single" w:sz="4" w:space="0" w:color="auto"/>
              <w:bottom w:val="single" w:sz="6" w:space="0" w:color="auto"/>
              <w:right w:val="single" w:sz="4" w:space="0" w:color="auto"/>
            </w:tcBorders>
            <w:shd w:val="clear" w:color="auto" w:fill="auto"/>
            <w:vAlign w:val="center"/>
            <w:hideMark/>
          </w:tcPr>
          <w:p w14:paraId="4BDC17BC" w14:textId="14CA5B82" w:rsidR="00E63DC0" w:rsidRPr="00B05E0A" w:rsidRDefault="00E63DC0" w:rsidP="005D25C0">
            <w:pPr>
              <w:jc w:val="left"/>
              <w:rPr>
                <w:color w:val="000000"/>
                <w:sz w:val="18"/>
                <w:szCs w:val="18"/>
                <w:lang w:val="es-MX" w:eastAsia="es-MX"/>
              </w:rPr>
            </w:pPr>
            <w:r w:rsidRPr="00B05E0A">
              <w:rPr>
                <w:color w:val="000000"/>
                <w:sz w:val="18"/>
                <w:szCs w:val="18"/>
                <w:lang w:val="es-MX" w:eastAsia="es-MX"/>
              </w:rPr>
              <w:t xml:space="preserve">Estadísticas de </w:t>
            </w:r>
            <w:r w:rsidR="0031230F" w:rsidRPr="00B05E0A">
              <w:rPr>
                <w:color w:val="000000"/>
                <w:sz w:val="18"/>
                <w:szCs w:val="18"/>
                <w:lang w:val="es-MX" w:eastAsia="es-MX"/>
              </w:rPr>
              <w:t>v</w:t>
            </w:r>
            <w:r w:rsidRPr="00B05E0A">
              <w:rPr>
                <w:color w:val="000000"/>
                <w:sz w:val="18"/>
                <w:szCs w:val="18"/>
                <w:lang w:val="es-MX" w:eastAsia="es-MX"/>
              </w:rPr>
              <w:t xml:space="preserve">ehículos de </w:t>
            </w:r>
            <w:r w:rsidR="0031230F" w:rsidRPr="00B05E0A">
              <w:rPr>
                <w:color w:val="000000"/>
                <w:sz w:val="18"/>
                <w:szCs w:val="18"/>
                <w:lang w:val="es-MX" w:eastAsia="es-MX"/>
              </w:rPr>
              <w:t>m</w:t>
            </w:r>
            <w:r w:rsidRPr="00B05E0A">
              <w:rPr>
                <w:color w:val="000000"/>
                <w:sz w:val="18"/>
                <w:szCs w:val="18"/>
                <w:lang w:val="es-MX" w:eastAsia="es-MX"/>
              </w:rPr>
              <w:t xml:space="preserve">otor </w:t>
            </w:r>
            <w:r w:rsidR="0031230F" w:rsidRPr="00B05E0A">
              <w:rPr>
                <w:color w:val="000000"/>
                <w:sz w:val="18"/>
                <w:szCs w:val="18"/>
                <w:lang w:val="es-MX" w:eastAsia="es-MX"/>
              </w:rPr>
              <w:t>r</w:t>
            </w:r>
            <w:r w:rsidRPr="00B05E0A">
              <w:rPr>
                <w:color w:val="000000"/>
                <w:sz w:val="18"/>
                <w:szCs w:val="18"/>
                <w:lang w:val="es-MX" w:eastAsia="es-MX"/>
              </w:rPr>
              <w:t xml:space="preserve">egistrados en </w:t>
            </w:r>
            <w:r w:rsidR="0031230F" w:rsidRPr="00B05E0A">
              <w:rPr>
                <w:color w:val="000000"/>
                <w:sz w:val="18"/>
                <w:szCs w:val="18"/>
                <w:lang w:val="es-MX" w:eastAsia="es-MX"/>
              </w:rPr>
              <w:t>c</w:t>
            </w:r>
            <w:r w:rsidRPr="00B05E0A">
              <w:rPr>
                <w:color w:val="000000"/>
                <w:sz w:val="18"/>
                <w:szCs w:val="18"/>
                <w:lang w:val="es-MX" w:eastAsia="es-MX"/>
              </w:rPr>
              <w:t>irculación</w:t>
            </w:r>
          </w:p>
        </w:tc>
        <w:tc>
          <w:tcPr>
            <w:tcW w:w="2166" w:type="dxa"/>
            <w:tcBorders>
              <w:top w:val="dotted" w:sz="4" w:space="0" w:color="auto"/>
              <w:left w:val="single" w:sz="4" w:space="0" w:color="auto"/>
              <w:bottom w:val="single" w:sz="6" w:space="0" w:color="auto"/>
              <w:right w:val="single" w:sz="6" w:space="0" w:color="auto"/>
            </w:tcBorders>
            <w:shd w:val="clear" w:color="auto" w:fill="auto"/>
            <w:vAlign w:val="center"/>
            <w:hideMark/>
          </w:tcPr>
          <w:p w14:paraId="55876C39" w14:textId="77777777" w:rsidR="00E63DC0" w:rsidRPr="00B05E0A" w:rsidRDefault="00E63DC0" w:rsidP="005D25C0">
            <w:pPr>
              <w:jc w:val="left"/>
              <w:rPr>
                <w:color w:val="000000"/>
                <w:sz w:val="18"/>
                <w:szCs w:val="18"/>
                <w:lang w:val="es-MX" w:eastAsia="es-MX"/>
              </w:rPr>
            </w:pPr>
            <w:r w:rsidRPr="00B05E0A">
              <w:rPr>
                <w:color w:val="000000"/>
                <w:sz w:val="18"/>
                <w:szCs w:val="18"/>
                <w:lang w:val="es-MX" w:eastAsia="es-MX"/>
              </w:rPr>
              <w:t>INEGI</w:t>
            </w:r>
          </w:p>
        </w:tc>
      </w:tr>
    </w:tbl>
    <w:p w14:paraId="3AEF4490" w14:textId="77777777" w:rsidR="00E63DC0" w:rsidRPr="00817967" w:rsidRDefault="00E63DC0" w:rsidP="00E63DC0">
      <w:pPr>
        <w:spacing w:before="240" w:after="120"/>
        <w:rPr>
          <w:spacing w:val="-2"/>
        </w:rPr>
      </w:pPr>
      <w:r w:rsidRPr="00817967">
        <w:rPr>
          <w:spacing w:val="-2"/>
        </w:rPr>
        <w:t xml:space="preserve">El INEGI genera la información que contiene este documento y la da a conocer con base en el </w:t>
      </w:r>
      <w:r w:rsidRPr="00817967">
        <w:rPr>
          <w:snapToGrid w:val="0"/>
          <w:spacing w:val="-2"/>
        </w:rPr>
        <w:t>Calendario de Difusión de Información Estadística y Geográfica y de Interés Nacional</w:t>
      </w:r>
      <w:r w:rsidRPr="00817967">
        <w:rPr>
          <w:spacing w:val="-2"/>
        </w:rPr>
        <w:t>.</w:t>
      </w:r>
    </w:p>
    <w:p w14:paraId="40AED18E" w14:textId="77777777" w:rsidR="00D72702" w:rsidRDefault="00E63DC0" w:rsidP="00E63DC0">
      <w:pPr>
        <w:spacing w:before="240"/>
      </w:pPr>
      <w:r w:rsidRPr="00547906">
        <w:t>La</w:t>
      </w:r>
      <w:r w:rsidR="00D72702">
        <w:t xml:space="preserve"> </w:t>
      </w:r>
      <w:r w:rsidRPr="00547906">
        <w:t>síntesis</w:t>
      </w:r>
      <w:r w:rsidR="00D72702">
        <w:t xml:space="preserve"> </w:t>
      </w:r>
      <w:r w:rsidRPr="00547906">
        <w:t>metodológica</w:t>
      </w:r>
      <w:r w:rsidR="00D72702">
        <w:t xml:space="preserve"> </w:t>
      </w:r>
      <w:r w:rsidRPr="00547906">
        <w:t>puede</w:t>
      </w:r>
      <w:r w:rsidR="00D72702">
        <w:t xml:space="preserve"> </w:t>
      </w:r>
      <w:r w:rsidRPr="00547906">
        <w:t>consultarse</w:t>
      </w:r>
      <w:r w:rsidR="00D72702">
        <w:t xml:space="preserve"> </w:t>
      </w:r>
      <w:r w:rsidRPr="00547906">
        <w:t>en</w:t>
      </w:r>
      <w:r>
        <w:t>:</w:t>
      </w:r>
    </w:p>
    <w:p w14:paraId="08260B87" w14:textId="4C113C28" w:rsidR="00E63DC0" w:rsidRDefault="007E6F17" w:rsidP="00D72702">
      <w:hyperlink r:id="rId28" w:anchor="Documentacion" w:history="1">
        <w:r w:rsidR="00E63DC0" w:rsidRPr="00E56A29">
          <w:rPr>
            <w:rStyle w:val="Hipervnculo"/>
          </w:rPr>
          <w:t>https://www.inegi.org.mx/investigacion/iocp/#Documentacion</w:t>
        </w:r>
      </w:hyperlink>
    </w:p>
    <w:p w14:paraId="3694EAE6" w14:textId="3B7049CD" w:rsidR="00E63DC0" w:rsidRPr="001F1169" w:rsidRDefault="00E63DC0" w:rsidP="00E63DC0">
      <w:pPr>
        <w:pStyle w:val="texto0"/>
        <w:ind w:right="50"/>
        <w:rPr>
          <w:color w:val="auto"/>
        </w:rPr>
      </w:pPr>
      <w:r w:rsidRPr="002B3B21">
        <w:rPr>
          <w:rFonts w:cs="Arial"/>
          <w:color w:val="auto"/>
          <w:spacing w:val="-2"/>
        </w:rPr>
        <w:t>Las series del IO</w:t>
      </w:r>
      <w:r>
        <w:rPr>
          <w:rFonts w:cs="Arial"/>
          <w:color w:val="auto"/>
          <w:spacing w:val="-2"/>
        </w:rPr>
        <w:t>CP</w:t>
      </w:r>
      <w:r w:rsidRPr="002B3B21">
        <w:rPr>
          <w:rFonts w:cs="Arial"/>
          <w:color w:val="auto"/>
          <w:spacing w:val="-2"/>
        </w:rPr>
        <w:t> pueden consultarse en: </w:t>
      </w:r>
      <w:hyperlink r:id="rId29" w:history="1">
        <w:r w:rsidRPr="00E56A29">
          <w:rPr>
            <w:rStyle w:val="Hipervnculo"/>
            <w:spacing w:val="-2"/>
          </w:rPr>
          <w:t>https://www.inegi.org.mx/investigacion/iocp/</w:t>
        </w:r>
      </w:hyperlink>
      <w:r w:rsidRPr="002B3B21">
        <w:rPr>
          <w:rFonts w:cs="Arial"/>
          <w:color w:val="auto"/>
          <w:spacing w:val="-2"/>
        </w:rPr>
        <w:t>,</w:t>
      </w:r>
      <w:r>
        <w:rPr>
          <w:rFonts w:cs="Arial"/>
          <w:color w:val="auto"/>
        </w:rPr>
        <w:t xml:space="preserve"> en</w:t>
      </w:r>
      <w:r w:rsidR="009731F7">
        <w:rPr>
          <w:rFonts w:cs="Arial"/>
          <w:color w:val="auto"/>
        </w:rPr>
        <w:t xml:space="preserve"> </w:t>
      </w:r>
      <w:r w:rsidRPr="00DE1840">
        <w:rPr>
          <w:rFonts w:cs="Arial"/>
          <w:color w:val="auto"/>
        </w:rPr>
        <w:t xml:space="preserve">la página del </w:t>
      </w:r>
      <w:r>
        <w:rPr>
          <w:rFonts w:cs="Arial"/>
          <w:color w:val="auto"/>
        </w:rPr>
        <w:t>INEGI</w:t>
      </w:r>
      <w:r w:rsidRPr="00DE1840">
        <w:rPr>
          <w:rFonts w:cs="Arial"/>
          <w:color w:val="auto"/>
        </w:rPr>
        <w:t>:</w:t>
      </w:r>
      <w:r>
        <w:rPr>
          <w:rFonts w:cs="Arial"/>
          <w:color w:val="auto"/>
        </w:rPr>
        <w:t xml:space="preserve"> </w:t>
      </w:r>
      <w:r w:rsidRPr="00350636">
        <w:rPr>
          <w:rFonts w:cs="Arial"/>
          <w:color w:val="0000FF"/>
          <w:u w:val="single"/>
          <w:lang w:eastAsia="en-US"/>
        </w:rPr>
        <w:t>https://</w:t>
      </w:r>
      <w:hyperlink r:id="rId30" w:history="1">
        <w:r w:rsidRPr="007E551F">
          <w:rPr>
            <w:rStyle w:val="Hipervnculo"/>
            <w:rFonts w:cs="Arial"/>
            <w:lang w:eastAsia="en-US"/>
          </w:rPr>
          <w:t>www.inegi.org.mx</w:t>
        </w:r>
      </w:hyperlink>
    </w:p>
    <w:sectPr w:rsidR="00E63DC0" w:rsidRPr="001F1169" w:rsidSect="006543B3">
      <w:headerReference w:type="default" r:id="rId31"/>
      <w:footerReference w:type="default" r:id="rId32"/>
      <w:pgSz w:w="12242" w:h="15842" w:code="119"/>
      <w:pgMar w:top="2438" w:right="1418" w:bottom="1134" w:left="1418"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793B0" w14:textId="77777777" w:rsidR="007E6F17" w:rsidRDefault="007E6F17">
      <w:r>
        <w:separator/>
      </w:r>
    </w:p>
    <w:p w14:paraId="08596B6E" w14:textId="77777777" w:rsidR="007E6F17" w:rsidRDefault="007E6F17"/>
  </w:endnote>
  <w:endnote w:type="continuationSeparator" w:id="0">
    <w:p w14:paraId="338931F8" w14:textId="77777777" w:rsidR="007E6F17" w:rsidRDefault="007E6F17">
      <w:r>
        <w:continuationSeparator/>
      </w:r>
    </w:p>
    <w:p w14:paraId="314EC71E" w14:textId="77777777" w:rsidR="007E6F17" w:rsidRDefault="007E6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6897D" w14:textId="77777777" w:rsidR="00A41C07" w:rsidRDefault="00A41C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CBBC7" w14:textId="77777777" w:rsidR="00493661" w:rsidRPr="00975B1E" w:rsidRDefault="00493661" w:rsidP="00975B1E">
    <w:pPr>
      <w:pStyle w:val="Piedepgina"/>
      <w:jc w:val="center"/>
      <w:rPr>
        <w:b/>
        <w:bCs/>
        <w:color w:val="002060"/>
        <w:sz w:val="20"/>
        <w:szCs w:val="20"/>
      </w:rPr>
    </w:pPr>
    <w:r w:rsidRPr="00975B1E">
      <w:rPr>
        <w:b/>
        <w:bCs/>
        <w:color w:val="002060"/>
        <w:sz w:val="20"/>
        <w:szCs w:val="20"/>
      </w:rPr>
      <w:t>COMUNICACIÓN SOCIAL</w:t>
    </w:r>
  </w:p>
  <w:p w14:paraId="05DC8CD3" w14:textId="77777777" w:rsidR="00493661" w:rsidRPr="007B4B63" w:rsidRDefault="00493661" w:rsidP="007B4B63">
    <w:pPr>
      <w:pStyle w:val="Piedepgina"/>
      <w:jc w:val="center"/>
      <w:rPr>
        <w:b/>
        <w:bCs/>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94F46" w14:textId="77777777" w:rsidR="00A41C07" w:rsidRDefault="00A41C0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E27C" w14:textId="77777777" w:rsidR="00C54799" w:rsidRPr="00086678" w:rsidRDefault="00C54799" w:rsidP="003076C4">
    <w:pPr>
      <w:pStyle w:val="Piedepgina"/>
      <w:jc w:val="center"/>
      <w:rPr>
        <w:b/>
        <w:color w:val="002060"/>
        <w:sz w:val="20"/>
        <w:szCs w:val="20"/>
        <w:lang w:val="es-MX"/>
      </w:rPr>
    </w:pPr>
    <w:r w:rsidRPr="00086678">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00141" w14:textId="77777777" w:rsidR="007E6F17" w:rsidRDefault="007E6F17">
      <w:r>
        <w:separator/>
      </w:r>
    </w:p>
  </w:footnote>
  <w:footnote w:type="continuationSeparator" w:id="0">
    <w:p w14:paraId="76EA2144" w14:textId="77777777" w:rsidR="007E6F17" w:rsidRDefault="007E6F17">
      <w:r>
        <w:continuationSeparator/>
      </w:r>
    </w:p>
    <w:p w14:paraId="0F0B2E0F" w14:textId="77777777" w:rsidR="007E6F17" w:rsidRDefault="007E6F17"/>
  </w:footnote>
  <w:footnote w:id="1">
    <w:p w14:paraId="0A043D85" w14:textId="682560F4" w:rsidR="00E63DC0" w:rsidRPr="00643E6B" w:rsidRDefault="00E63DC0" w:rsidP="00450C26">
      <w:pPr>
        <w:pStyle w:val="Textonotapie"/>
        <w:ind w:left="170" w:hanging="170"/>
        <w:rPr>
          <w:sz w:val="16"/>
          <w:szCs w:val="16"/>
          <w:lang w:val="en-US"/>
        </w:rPr>
      </w:pPr>
      <w:r w:rsidRPr="00450C26">
        <w:rPr>
          <w:rStyle w:val="Refdenotaalpie"/>
          <w:sz w:val="18"/>
          <w:szCs w:val="18"/>
        </w:rPr>
        <w:footnoteRef/>
      </w:r>
      <w:r w:rsidR="00450C26">
        <w:rPr>
          <w:sz w:val="16"/>
          <w:szCs w:val="16"/>
        </w:rPr>
        <w:tab/>
      </w:r>
      <w:r w:rsidR="00450C26">
        <w:rPr>
          <w:sz w:val="16"/>
          <w:szCs w:val="16"/>
        </w:rPr>
        <w:tab/>
      </w:r>
      <w:r w:rsidR="00450C26">
        <w:rPr>
          <w:sz w:val="16"/>
          <w:szCs w:val="16"/>
        </w:rPr>
        <w:tab/>
      </w:r>
      <w:r w:rsidR="00450C26">
        <w:rPr>
          <w:sz w:val="16"/>
          <w:szCs w:val="16"/>
        </w:rPr>
        <w:tab/>
      </w:r>
      <w:r w:rsidR="00450C26">
        <w:rPr>
          <w:sz w:val="16"/>
          <w:szCs w:val="16"/>
        </w:rPr>
        <w:tab/>
      </w:r>
      <w:r>
        <w:rPr>
          <w:sz w:val="16"/>
          <w:szCs w:val="16"/>
        </w:rPr>
        <w:t>B</w:t>
      </w:r>
      <w:r w:rsidRPr="00643E6B">
        <w:rPr>
          <w:sz w:val="16"/>
          <w:szCs w:val="16"/>
        </w:rPr>
        <w:t xml:space="preserve">asada en la metodología de Corona </w:t>
      </w:r>
      <w:r w:rsidRPr="0004666E">
        <w:rPr>
          <w:i/>
          <w:iCs/>
          <w:sz w:val="16"/>
          <w:szCs w:val="16"/>
        </w:rPr>
        <w:t>et al.</w:t>
      </w:r>
      <w:r w:rsidRPr="00643E6B">
        <w:rPr>
          <w:sz w:val="16"/>
          <w:szCs w:val="16"/>
        </w:rPr>
        <w:t xml:space="preserve"> </w:t>
      </w:r>
      <w:r w:rsidRPr="00643E6B">
        <w:rPr>
          <w:sz w:val="16"/>
          <w:szCs w:val="16"/>
          <w:lang w:val="en-US"/>
        </w:rPr>
        <w:t xml:space="preserve">(2022), </w:t>
      </w:r>
      <w:r w:rsidRPr="00643E6B">
        <w:rPr>
          <w:i/>
          <w:iCs/>
          <w:sz w:val="16"/>
          <w:szCs w:val="16"/>
          <w:lang w:val="en-US"/>
        </w:rPr>
        <w:t>Timely Estimates of the Mexican Economic Activity, Journal of Official Statistics</w:t>
      </w:r>
      <w:r>
        <w:rPr>
          <w:sz w:val="16"/>
          <w:szCs w:val="16"/>
          <w:lang w:val="en-US"/>
        </w:rPr>
        <w:t xml:space="preserve">, </w:t>
      </w:r>
      <w:r w:rsidRPr="00643E6B">
        <w:rPr>
          <w:sz w:val="16"/>
          <w:szCs w:val="16"/>
          <w:lang w:val="en-US"/>
        </w:rPr>
        <w:t>38</w:t>
      </w:r>
      <w:r>
        <w:rPr>
          <w:sz w:val="16"/>
          <w:szCs w:val="16"/>
          <w:lang w:val="en-US"/>
        </w:rPr>
        <w:t>(</w:t>
      </w:r>
      <w:r w:rsidRPr="00643E6B">
        <w:rPr>
          <w:sz w:val="16"/>
          <w:szCs w:val="16"/>
          <w:lang w:val="en-US"/>
        </w:rPr>
        <w:t>3</w:t>
      </w:r>
      <w:r>
        <w:rPr>
          <w:sz w:val="16"/>
          <w:szCs w:val="16"/>
          <w:lang w:val="en-US"/>
        </w:rPr>
        <w:t>)</w:t>
      </w:r>
      <w:r w:rsidRPr="00643E6B">
        <w:rPr>
          <w:sz w:val="16"/>
          <w:szCs w:val="16"/>
          <w:lang w:val="en-US"/>
        </w:rPr>
        <w:t>, pp.733-765</w:t>
      </w:r>
      <w:r w:rsidR="00450C26">
        <w:rPr>
          <w:sz w:val="16"/>
          <w:szCs w:val="16"/>
          <w:lang w:val="en-US"/>
        </w:rPr>
        <w:t>.</w:t>
      </w:r>
    </w:p>
  </w:footnote>
  <w:footnote w:id="2">
    <w:p w14:paraId="5FB8C120" w14:textId="77777777" w:rsidR="00E63DC0" w:rsidRPr="005D42BA" w:rsidRDefault="00E63DC0" w:rsidP="00E63DC0">
      <w:pPr>
        <w:pStyle w:val="Estilo1pie"/>
      </w:pPr>
      <w:r w:rsidRPr="00D50FDA">
        <w:rPr>
          <w:rStyle w:val="Refdenotaalpie"/>
          <w:sz w:val="18"/>
          <w:szCs w:val="18"/>
        </w:rPr>
        <w:footnoteRef/>
      </w:r>
      <w:r w:rsidRPr="005D42BA">
        <w:tab/>
      </w:r>
      <w:r w:rsidRPr="00362E82">
        <w:t>El número de variables</w:t>
      </w:r>
      <w:r>
        <w:t xml:space="preserve"> —y </w:t>
      </w:r>
      <w:r w:rsidRPr="00362E82">
        <w:t>por lo tanto</w:t>
      </w:r>
      <w:r>
        <w:t>,</w:t>
      </w:r>
      <w:r w:rsidRPr="00362E82">
        <w:t xml:space="preserve"> las series de tiempo efectivamente consideradas en la estimación del modelo</w:t>
      </w:r>
      <w:r>
        <w:t xml:space="preserve">— puede </w:t>
      </w:r>
      <w:r w:rsidRPr="00EB14F7">
        <w:t xml:space="preserve">modificarse </w:t>
      </w:r>
      <w:r w:rsidRPr="00362E82">
        <w:t xml:space="preserve">conforme se disminuya el error de estimación en el periodo de validación cruzada, fase en la cual se seleccionan los modelos de </w:t>
      </w:r>
      <w:r w:rsidRPr="0B50D185">
        <w:rPr>
          <w:i/>
          <w:iCs/>
        </w:rPr>
        <w:t>nowcasting</w:t>
      </w:r>
      <w:r w:rsidRPr="00431CCB">
        <w:t>. Lo anterior incluye la forma funcional del modelo, es decir, la especificación de la variable a estimar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60344" w14:textId="77777777" w:rsidR="00A41C07" w:rsidRDefault="00A41C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B5420" w14:textId="62869933" w:rsidR="00493661" w:rsidRPr="00306ECD" w:rsidRDefault="00493661"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0677373" wp14:editId="4BC4FCAF">
          <wp:simplePos x="0" y="0"/>
          <wp:positionH relativeFrom="margin">
            <wp:posOffset>7364</wp:posOffset>
          </wp:positionH>
          <wp:positionV relativeFrom="margin">
            <wp:posOffset>-1092200</wp:posOffset>
          </wp:positionV>
          <wp:extent cx="828000" cy="828000"/>
          <wp:effectExtent l="0" t="0" r="0" b="0"/>
          <wp:wrapSquare wrapText="bothSides"/>
          <wp:docPr id="17" name="Image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A41C07">
      <w:rPr>
        <w:b/>
        <w:color w:val="002060"/>
      </w:rPr>
      <w:t>78</w:t>
    </w:r>
    <w:r w:rsidR="005E36D9">
      <w:rPr>
        <w:b/>
        <w:color w:val="002060"/>
      </w:rPr>
      <w:t>3</w:t>
    </w:r>
    <w:bookmarkStart w:id="1" w:name="_GoBack"/>
    <w:bookmarkEnd w:id="1"/>
    <w:r w:rsidRPr="00306ECD">
      <w:rPr>
        <w:b/>
        <w:color w:val="002060"/>
      </w:rPr>
      <w:t>/2</w:t>
    </w:r>
    <w:r>
      <w:rPr>
        <w:b/>
        <w:color w:val="002060"/>
      </w:rPr>
      <w:t>2</w:t>
    </w:r>
  </w:p>
  <w:p w14:paraId="6E270EC9" w14:textId="77777777" w:rsidR="00493661" w:rsidRPr="00306ECD" w:rsidRDefault="00493661" w:rsidP="00754472">
    <w:pPr>
      <w:pStyle w:val="Encabezado"/>
      <w:ind w:left="-567" w:right="49"/>
      <w:jc w:val="right"/>
      <w:rPr>
        <w:b/>
        <w:color w:val="002060"/>
        <w:lang w:val="pt-BR"/>
      </w:rPr>
    </w:pPr>
    <w:r>
      <w:rPr>
        <w:b/>
        <w:color w:val="002060"/>
        <w:lang w:val="pt-BR"/>
      </w:rPr>
      <w:t>15</w:t>
    </w:r>
    <w:r w:rsidRPr="00306ECD">
      <w:rPr>
        <w:b/>
        <w:color w:val="002060"/>
        <w:lang w:val="pt-BR"/>
      </w:rPr>
      <w:t xml:space="preserve"> DE </w:t>
    </w:r>
    <w:r>
      <w:rPr>
        <w:b/>
        <w:color w:val="002060"/>
        <w:lang w:val="pt-BR"/>
      </w:rPr>
      <w:t xml:space="preserve">DICIEMBRE </w:t>
    </w:r>
    <w:r w:rsidRPr="00306ECD">
      <w:rPr>
        <w:b/>
        <w:color w:val="002060"/>
        <w:lang w:val="pt-BR"/>
      </w:rPr>
      <w:t>DE 202</w:t>
    </w:r>
    <w:r>
      <w:rPr>
        <w:b/>
        <w:color w:val="002060"/>
        <w:lang w:val="pt-BR"/>
      </w:rPr>
      <w:t>2</w:t>
    </w:r>
  </w:p>
  <w:p w14:paraId="6B6F39F1" w14:textId="07D917A4" w:rsidR="00493661" w:rsidRDefault="00493661" w:rsidP="00B242E7">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065915">
      <w:rPr>
        <w:b/>
        <w:color w:val="002060"/>
      </w:rPr>
      <w:t>9</w:t>
    </w:r>
  </w:p>
  <w:p w14:paraId="250EB562" w14:textId="77777777" w:rsidR="00493661" w:rsidRDefault="00493661" w:rsidP="00395855">
    <w:pPr>
      <w:pStyle w:val="Encabezado"/>
      <w:jc w:val="center"/>
    </w:pPr>
  </w:p>
  <w:p w14:paraId="40513A8E" w14:textId="77777777" w:rsidR="00493661" w:rsidRDefault="004936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351EC" w14:textId="77777777" w:rsidR="00A41C07" w:rsidRDefault="00A41C0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91F33" w14:textId="320073B6" w:rsidR="009A7196" w:rsidRDefault="00C54799" w:rsidP="00493661">
    <w:pPr>
      <w:pStyle w:val="Encabezado"/>
      <w:jc w:val="center"/>
    </w:pPr>
    <w:r>
      <w:rPr>
        <w:noProof/>
        <w:lang w:val="es-MX" w:eastAsia="es-MX"/>
      </w:rPr>
      <w:drawing>
        <wp:inline distT="0" distB="0" distL="0" distR="0" wp14:anchorId="238B9524" wp14:editId="563981FE">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74536D7"/>
    <w:multiLevelType w:val="hybridMultilevel"/>
    <w:tmpl w:val="86E6A52C"/>
    <w:lvl w:ilvl="0" w:tplc="72FED52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1" w15:restartNumberingAfterBreak="0">
    <w:nsid w:val="37FD2D81"/>
    <w:multiLevelType w:val="hybridMultilevel"/>
    <w:tmpl w:val="AD94AEB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DE4635B"/>
    <w:multiLevelType w:val="singleLevel"/>
    <w:tmpl w:val="A744799E"/>
    <w:lvl w:ilvl="0">
      <w:numFmt w:val="decimal"/>
      <w:lvlText w:val="*"/>
      <w:lvlJc w:val="left"/>
    </w:lvl>
  </w:abstractNum>
  <w:abstractNum w:abstractNumId="15"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14E6786"/>
    <w:multiLevelType w:val="hybridMultilevel"/>
    <w:tmpl w:val="29B2E630"/>
    <w:lvl w:ilvl="0" w:tplc="25C45548">
      <w:numFmt w:val="bullet"/>
      <w:lvlText w:val="-"/>
      <w:lvlJc w:val="left"/>
      <w:pPr>
        <w:ind w:left="1068" w:hanging="360"/>
      </w:pPr>
      <w:rPr>
        <w:rFonts w:ascii="Arial" w:eastAsiaTheme="minorHAnsi"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7D42170"/>
    <w:multiLevelType w:val="hybridMultilevel"/>
    <w:tmpl w:val="FA84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952664E"/>
    <w:multiLevelType w:val="hybridMultilevel"/>
    <w:tmpl w:val="0380A530"/>
    <w:lvl w:ilvl="0" w:tplc="4E22E7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0"/>
  </w:num>
  <w:num w:numId="12">
    <w:abstractNumId w:val="21"/>
  </w:num>
  <w:num w:numId="13">
    <w:abstractNumId w:val="22"/>
  </w:num>
  <w:num w:numId="14">
    <w:abstractNumId w:val="13"/>
  </w:num>
  <w:num w:numId="15">
    <w:abstractNumId w:val="9"/>
  </w:num>
  <w:num w:numId="16">
    <w:abstractNumId w:val="17"/>
  </w:num>
  <w:num w:numId="17">
    <w:abstractNumId w:val="12"/>
  </w:num>
  <w:num w:numId="18">
    <w:abstractNumId w:val="15"/>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10"/>
  </w:num>
  <w:num w:numId="23">
    <w:abstractNumId w:val="14"/>
  </w:num>
  <w:num w:numId="24">
    <w:abstractNumId w:val="16"/>
  </w:num>
  <w:num w:numId="25">
    <w:abstractNumId w:val="18"/>
  </w:num>
  <w:num w:numId="26">
    <w:abstractNumId w:val="19"/>
  </w:num>
  <w:num w:numId="27">
    <w:abstractNumId w:val="1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8F8"/>
    <w:rsid w:val="00000BEA"/>
    <w:rsid w:val="0000180F"/>
    <w:rsid w:val="00002466"/>
    <w:rsid w:val="00002665"/>
    <w:rsid w:val="000027BD"/>
    <w:rsid w:val="00002B26"/>
    <w:rsid w:val="00002BA8"/>
    <w:rsid w:val="00003A53"/>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1D28"/>
    <w:rsid w:val="0001211A"/>
    <w:rsid w:val="00012278"/>
    <w:rsid w:val="0001235F"/>
    <w:rsid w:val="00012A27"/>
    <w:rsid w:val="00012E16"/>
    <w:rsid w:val="0001302A"/>
    <w:rsid w:val="00013212"/>
    <w:rsid w:val="000132A4"/>
    <w:rsid w:val="00013319"/>
    <w:rsid w:val="00013E55"/>
    <w:rsid w:val="000141A8"/>
    <w:rsid w:val="0001447E"/>
    <w:rsid w:val="000144ED"/>
    <w:rsid w:val="00014FBD"/>
    <w:rsid w:val="00015302"/>
    <w:rsid w:val="0001578F"/>
    <w:rsid w:val="00015CDC"/>
    <w:rsid w:val="00016590"/>
    <w:rsid w:val="00016B4E"/>
    <w:rsid w:val="00016D3A"/>
    <w:rsid w:val="00016EE2"/>
    <w:rsid w:val="0001718D"/>
    <w:rsid w:val="000176AC"/>
    <w:rsid w:val="00020275"/>
    <w:rsid w:val="00021432"/>
    <w:rsid w:val="00021492"/>
    <w:rsid w:val="000216A3"/>
    <w:rsid w:val="00022469"/>
    <w:rsid w:val="00022557"/>
    <w:rsid w:val="000228C4"/>
    <w:rsid w:val="00022CA3"/>
    <w:rsid w:val="00022D8E"/>
    <w:rsid w:val="00022E0E"/>
    <w:rsid w:val="000239A5"/>
    <w:rsid w:val="00024146"/>
    <w:rsid w:val="00024AC7"/>
    <w:rsid w:val="00024FC6"/>
    <w:rsid w:val="00025B42"/>
    <w:rsid w:val="000260EE"/>
    <w:rsid w:val="00026B3C"/>
    <w:rsid w:val="00026B52"/>
    <w:rsid w:val="0002754B"/>
    <w:rsid w:val="000300AA"/>
    <w:rsid w:val="000303F7"/>
    <w:rsid w:val="00030480"/>
    <w:rsid w:val="0003065F"/>
    <w:rsid w:val="0003076D"/>
    <w:rsid w:val="00030D10"/>
    <w:rsid w:val="00031231"/>
    <w:rsid w:val="000314D3"/>
    <w:rsid w:val="00031BCF"/>
    <w:rsid w:val="00031D9C"/>
    <w:rsid w:val="00032970"/>
    <w:rsid w:val="00032B16"/>
    <w:rsid w:val="00033603"/>
    <w:rsid w:val="000337B6"/>
    <w:rsid w:val="00033A14"/>
    <w:rsid w:val="00034448"/>
    <w:rsid w:val="0003447A"/>
    <w:rsid w:val="00034BC3"/>
    <w:rsid w:val="00035376"/>
    <w:rsid w:val="000353F3"/>
    <w:rsid w:val="00035600"/>
    <w:rsid w:val="00035B2D"/>
    <w:rsid w:val="00035DA7"/>
    <w:rsid w:val="00036D72"/>
    <w:rsid w:val="00037089"/>
    <w:rsid w:val="00037177"/>
    <w:rsid w:val="000374F4"/>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9E6"/>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CE5"/>
    <w:rsid w:val="00050FB5"/>
    <w:rsid w:val="000516A0"/>
    <w:rsid w:val="000518C7"/>
    <w:rsid w:val="00051C72"/>
    <w:rsid w:val="00051D1C"/>
    <w:rsid w:val="00051D9E"/>
    <w:rsid w:val="00052F04"/>
    <w:rsid w:val="00052F1E"/>
    <w:rsid w:val="000536D2"/>
    <w:rsid w:val="00053A2C"/>
    <w:rsid w:val="00053B2C"/>
    <w:rsid w:val="00053EB7"/>
    <w:rsid w:val="00054A4F"/>
    <w:rsid w:val="00055047"/>
    <w:rsid w:val="00055B54"/>
    <w:rsid w:val="00056942"/>
    <w:rsid w:val="00056F51"/>
    <w:rsid w:val="000573F5"/>
    <w:rsid w:val="00057B47"/>
    <w:rsid w:val="00057DFD"/>
    <w:rsid w:val="00057F37"/>
    <w:rsid w:val="000602B0"/>
    <w:rsid w:val="0006056C"/>
    <w:rsid w:val="00061109"/>
    <w:rsid w:val="0006228A"/>
    <w:rsid w:val="00062398"/>
    <w:rsid w:val="0006265F"/>
    <w:rsid w:val="000631F6"/>
    <w:rsid w:val="00063614"/>
    <w:rsid w:val="00063838"/>
    <w:rsid w:val="00063D4B"/>
    <w:rsid w:val="0006433F"/>
    <w:rsid w:val="000645E1"/>
    <w:rsid w:val="000646BA"/>
    <w:rsid w:val="00064BBC"/>
    <w:rsid w:val="00064E9D"/>
    <w:rsid w:val="00064FDB"/>
    <w:rsid w:val="00065106"/>
    <w:rsid w:val="000651F1"/>
    <w:rsid w:val="00065708"/>
    <w:rsid w:val="00065915"/>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6A1"/>
    <w:rsid w:val="00077C46"/>
    <w:rsid w:val="0008027F"/>
    <w:rsid w:val="000806EB"/>
    <w:rsid w:val="0008084D"/>
    <w:rsid w:val="00080BF7"/>
    <w:rsid w:val="00080FB7"/>
    <w:rsid w:val="000814ED"/>
    <w:rsid w:val="0008175A"/>
    <w:rsid w:val="0008177F"/>
    <w:rsid w:val="0008195B"/>
    <w:rsid w:val="000826F7"/>
    <w:rsid w:val="00082C9B"/>
    <w:rsid w:val="00082F11"/>
    <w:rsid w:val="000830EE"/>
    <w:rsid w:val="0008325D"/>
    <w:rsid w:val="000834DD"/>
    <w:rsid w:val="000841A2"/>
    <w:rsid w:val="00084687"/>
    <w:rsid w:val="00084A57"/>
    <w:rsid w:val="00084BED"/>
    <w:rsid w:val="00084EDB"/>
    <w:rsid w:val="00084FF2"/>
    <w:rsid w:val="00085120"/>
    <w:rsid w:val="0008524D"/>
    <w:rsid w:val="000856E9"/>
    <w:rsid w:val="00085CEB"/>
    <w:rsid w:val="00086295"/>
    <w:rsid w:val="0008633E"/>
    <w:rsid w:val="00086678"/>
    <w:rsid w:val="0008756B"/>
    <w:rsid w:val="0008798D"/>
    <w:rsid w:val="00087DB7"/>
    <w:rsid w:val="00090191"/>
    <w:rsid w:val="0009025D"/>
    <w:rsid w:val="00090997"/>
    <w:rsid w:val="00090B9C"/>
    <w:rsid w:val="00090D7B"/>
    <w:rsid w:val="00090F4A"/>
    <w:rsid w:val="00091474"/>
    <w:rsid w:val="000915F7"/>
    <w:rsid w:val="000918E3"/>
    <w:rsid w:val="00092764"/>
    <w:rsid w:val="0009292F"/>
    <w:rsid w:val="00092F4C"/>
    <w:rsid w:val="0009313B"/>
    <w:rsid w:val="00094496"/>
    <w:rsid w:val="000950E7"/>
    <w:rsid w:val="00095360"/>
    <w:rsid w:val="000955AA"/>
    <w:rsid w:val="00095692"/>
    <w:rsid w:val="000957BC"/>
    <w:rsid w:val="0009583F"/>
    <w:rsid w:val="00096737"/>
    <w:rsid w:val="00097B55"/>
    <w:rsid w:val="00097B65"/>
    <w:rsid w:val="00097C0A"/>
    <w:rsid w:val="000A0344"/>
    <w:rsid w:val="000A06B1"/>
    <w:rsid w:val="000A0823"/>
    <w:rsid w:val="000A1C0F"/>
    <w:rsid w:val="000A21D6"/>
    <w:rsid w:val="000A25D5"/>
    <w:rsid w:val="000A2F4F"/>
    <w:rsid w:val="000A2F92"/>
    <w:rsid w:val="000A31EF"/>
    <w:rsid w:val="000A330C"/>
    <w:rsid w:val="000A3354"/>
    <w:rsid w:val="000A3733"/>
    <w:rsid w:val="000A43B0"/>
    <w:rsid w:val="000A451F"/>
    <w:rsid w:val="000A4AF8"/>
    <w:rsid w:val="000A53E6"/>
    <w:rsid w:val="000A574B"/>
    <w:rsid w:val="000A5B04"/>
    <w:rsid w:val="000A5E2A"/>
    <w:rsid w:val="000A5E5E"/>
    <w:rsid w:val="000A643B"/>
    <w:rsid w:val="000A707A"/>
    <w:rsid w:val="000A7091"/>
    <w:rsid w:val="000A78BA"/>
    <w:rsid w:val="000A7F53"/>
    <w:rsid w:val="000B003A"/>
    <w:rsid w:val="000B0710"/>
    <w:rsid w:val="000B1C11"/>
    <w:rsid w:val="000B1D13"/>
    <w:rsid w:val="000B2813"/>
    <w:rsid w:val="000B29B8"/>
    <w:rsid w:val="000B2A10"/>
    <w:rsid w:val="000B2A27"/>
    <w:rsid w:val="000B38D1"/>
    <w:rsid w:val="000B4A6A"/>
    <w:rsid w:val="000B50FB"/>
    <w:rsid w:val="000B515D"/>
    <w:rsid w:val="000B5A74"/>
    <w:rsid w:val="000B5FA3"/>
    <w:rsid w:val="000B6AF6"/>
    <w:rsid w:val="000B7C7D"/>
    <w:rsid w:val="000C0FEE"/>
    <w:rsid w:val="000C1051"/>
    <w:rsid w:val="000C1F04"/>
    <w:rsid w:val="000C2892"/>
    <w:rsid w:val="000C2B3C"/>
    <w:rsid w:val="000C30D7"/>
    <w:rsid w:val="000C3105"/>
    <w:rsid w:val="000C32C8"/>
    <w:rsid w:val="000C34DD"/>
    <w:rsid w:val="000C37BC"/>
    <w:rsid w:val="000C38BA"/>
    <w:rsid w:val="000C3B87"/>
    <w:rsid w:val="000C482F"/>
    <w:rsid w:val="000C4992"/>
    <w:rsid w:val="000C4C15"/>
    <w:rsid w:val="000C5299"/>
    <w:rsid w:val="000C5468"/>
    <w:rsid w:val="000C55CC"/>
    <w:rsid w:val="000C5852"/>
    <w:rsid w:val="000C5D0E"/>
    <w:rsid w:val="000C6A4A"/>
    <w:rsid w:val="000C6AFD"/>
    <w:rsid w:val="000D06FA"/>
    <w:rsid w:val="000D0825"/>
    <w:rsid w:val="000D0C46"/>
    <w:rsid w:val="000D0DDA"/>
    <w:rsid w:val="000D0ED5"/>
    <w:rsid w:val="000D113E"/>
    <w:rsid w:val="000D1169"/>
    <w:rsid w:val="000D12EA"/>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5FD5"/>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16C"/>
    <w:rsid w:val="000E6D5D"/>
    <w:rsid w:val="000F0023"/>
    <w:rsid w:val="000F05D5"/>
    <w:rsid w:val="000F1DEB"/>
    <w:rsid w:val="000F30E6"/>
    <w:rsid w:val="000F3491"/>
    <w:rsid w:val="000F3DE6"/>
    <w:rsid w:val="000F44E7"/>
    <w:rsid w:val="000F49F1"/>
    <w:rsid w:val="000F4B1D"/>
    <w:rsid w:val="000F4C41"/>
    <w:rsid w:val="000F4E66"/>
    <w:rsid w:val="000F4FA7"/>
    <w:rsid w:val="000F536A"/>
    <w:rsid w:val="000F541D"/>
    <w:rsid w:val="000F550B"/>
    <w:rsid w:val="000F5A85"/>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B2D"/>
    <w:rsid w:val="00111F29"/>
    <w:rsid w:val="00111FA3"/>
    <w:rsid w:val="00113348"/>
    <w:rsid w:val="00113404"/>
    <w:rsid w:val="001134B4"/>
    <w:rsid w:val="00113DE8"/>
    <w:rsid w:val="0011424C"/>
    <w:rsid w:val="0011478A"/>
    <w:rsid w:val="00114B56"/>
    <w:rsid w:val="00114B58"/>
    <w:rsid w:val="00114B96"/>
    <w:rsid w:val="00114E47"/>
    <w:rsid w:val="00115A20"/>
    <w:rsid w:val="00116647"/>
    <w:rsid w:val="00116811"/>
    <w:rsid w:val="00116F84"/>
    <w:rsid w:val="00117067"/>
    <w:rsid w:val="00117193"/>
    <w:rsid w:val="001171C9"/>
    <w:rsid w:val="00117302"/>
    <w:rsid w:val="0011763B"/>
    <w:rsid w:val="00117D7A"/>
    <w:rsid w:val="00120112"/>
    <w:rsid w:val="00120283"/>
    <w:rsid w:val="001206BD"/>
    <w:rsid w:val="00120EA1"/>
    <w:rsid w:val="0012181E"/>
    <w:rsid w:val="00122048"/>
    <w:rsid w:val="0012284C"/>
    <w:rsid w:val="001228A0"/>
    <w:rsid w:val="00122CD2"/>
    <w:rsid w:val="00123EFF"/>
    <w:rsid w:val="001241F7"/>
    <w:rsid w:val="001245E3"/>
    <w:rsid w:val="00124D1A"/>
    <w:rsid w:val="0012504E"/>
    <w:rsid w:val="001251AF"/>
    <w:rsid w:val="001253B4"/>
    <w:rsid w:val="00125654"/>
    <w:rsid w:val="00125B46"/>
    <w:rsid w:val="00125D0D"/>
    <w:rsid w:val="00125D9D"/>
    <w:rsid w:val="001263E8"/>
    <w:rsid w:val="00127810"/>
    <w:rsid w:val="00127CE3"/>
    <w:rsid w:val="001301E6"/>
    <w:rsid w:val="001304B0"/>
    <w:rsid w:val="001304F2"/>
    <w:rsid w:val="00130C4C"/>
    <w:rsid w:val="001313EB"/>
    <w:rsid w:val="001315EE"/>
    <w:rsid w:val="0013193B"/>
    <w:rsid w:val="0013222E"/>
    <w:rsid w:val="00132EEF"/>
    <w:rsid w:val="00134741"/>
    <w:rsid w:val="00134904"/>
    <w:rsid w:val="001349AB"/>
    <w:rsid w:val="00134B68"/>
    <w:rsid w:val="00134F4E"/>
    <w:rsid w:val="00134FB0"/>
    <w:rsid w:val="001350AC"/>
    <w:rsid w:val="001352EC"/>
    <w:rsid w:val="00135546"/>
    <w:rsid w:val="00135E0B"/>
    <w:rsid w:val="001361A8"/>
    <w:rsid w:val="001365A5"/>
    <w:rsid w:val="001368CC"/>
    <w:rsid w:val="00136ACB"/>
    <w:rsid w:val="001372CA"/>
    <w:rsid w:val="00137AFD"/>
    <w:rsid w:val="00137E0F"/>
    <w:rsid w:val="0014012A"/>
    <w:rsid w:val="00140AD8"/>
    <w:rsid w:val="00140BE4"/>
    <w:rsid w:val="001411DE"/>
    <w:rsid w:val="00141399"/>
    <w:rsid w:val="00141899"/>
    <w:rsid w:val="001418EF"/>
    <w:rsid w:val="00141A0B"/>
    <w:rsid w:val="00141AF4"/>
    <w:rsid w:val="001427B3"/>
    <w:rsid w:val="00142E09"/>
    <w:rsid w:val="00143153"/>
    <w:rsid w:val="0014377B"/>
    <w:rsid w:val="00143D3A"/>
    <w:rsid w:val="001440AA"/>
    <w:rsid w:val="00145173"/>
    <w:rsid w:val="001455FA"/>
    <w:rsid w:val="0014594B"/>
    <w:rsid w:val="00145F65"/>
    <w:rsid w:val="001460DD"/>
    <w:rsid w:val="001460E0"/>
    <w:rsid w:val="00146902"/>
    <w:rsid w:val="00146DFA"/>
    <w:rsid w:val="0015018D"/>
    <w:rsid w:val="00150228"/>
    <w:rsid w:val="001502C3"/>
    <w:rsid w:val="001504E8"/>
    <w:rsid w:val="00150536"/>
    <w:rsid w:val="0015134E"/>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4D70"/>
    <w:rsid w:val="001655BD"/>
    <w:rsid w:val="00165810"/>
    <w:rsid w:val="00165E36"/>
    <w:rsid w:val="0016614B"/>
    <w:rsid w:val="001665FD"/>
    <w:rsid w:val="00167A1B"/>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38A8"/>
    <w:rsid w:val="00173CB3"/>
    <w:rsid w:val="001740E5"/>
    <w:rsid w:val="0017446E"/>
    <w:rsid w:val="0017451D"/>
    <w:rsid w:val="00174587"/>
    <w:rsid w:val="0017474C"/>
    <w:rsid w:val="00174783"/>
    <w:rsid w:val="001747CD"/>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38D5"/>
    <w:rsid w:val="00184537"/>
    <w:rsid w:val="001845FA"/>
    <w:rsid w:val="00184EBD"/>
    <w:rsid w:val="0018522B"/>
    <w:rsid w:val="001854A8"/>
    <w:rsid w:val="00185D40"/>
    <w:rsid w:val="0018651C"/>
    <w:rsid w:val="00186980"/>
    <w:rsid w:val="00186C17"/>
    <w:rsid w:val="001876B4"/>
    <w:rsid w:val="00187E87"/>
    <w:rsid w:val="00190180"/>
    <w:rsid w:val="00190A43"/>
    <w:rsid w:val="00190D0B"/>
    <w:rsid w:val="001912FB"/>
    <w:rsid w:val="00191608"/>
    <w:rsid w:val="00191664"/>
    <w:rsid w:val="00192065"/>
    <w:rsid w:val="0019269E"/>
    <w:rsid w:val="001941AA"/>
    <w:rsid w:val="00194F73"/>
    <w:rsid w:val="00195EC2"/>
    <w:rsid w:val="00195F99"/>
    <w:rsid w:val="001966BD"/>
    <w:rsid w:val="00196A70"/>
    <w:rsid w:val="00196CB1"/>
    <w:rsid w:val="00197E8D"/>
    <w:rsid w:val="001A016C"/>
    <w:rsid w:val="001A0422"/>
    <w:rsid w:val="001A102F"/>
    <w:rsid w:val="001A1647"/>
    <w:rsid w:val="001A1A27"/>
    <w:rsid w:val="001A1ED0"/>
    <w:rsid w:val="001A2370"/>
    <w:rsid w:val="001A24F7"/>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BE4"/>
    <w:rsid w:val="001B3E39"/>
    <w:rsid w:val="001B450E"/>
    <w:rsid w:val="001B46DB"/>
    <w:rsid w:val="001B4F75"/>
    <w:rsid w:val="001B544C"/>
    <w:rsid w:val="001B5670"/>
    <w:rsid w:val="001B5DDB"/>
    <w:rsid w:val="001B6006"/>
    <w:rsid w:val="001B62D3"/>
    <w:rsid w:val="001B6372"/>
    <w:rsid w:val="001B6E8C"/>
    <w:rsid w:val="001B74F4"/>
    <w:rsid w:val="001B75DC"/>
    <w:rsid w:val="001B7651"/>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48E"/>
    <w:rsid w:val="001C3810"/>
    <w:rsid w:val="001C3E2D"/>
    <w:rsid w:val="001C48C7"/>
    <w:rsid w:val="001C4A9E"/>
    <w:rsid w:val="001C6CAB"/>
    <w:rsid w:val="001C6CC1"/>
    <w:rsid w:val="001C7130"/>
    <w:rsid w:val="001C7E70"/>
    <w:rsid w:val="001D0068"/>
    <w:rsid w:val="001D01C6"/>
    <w:rsid w:val="001D07BC"/>
    <w:rsid w:val="001D092F"/>
    <w:rsid w:val="001D1AEF"/>
    <w:rsid w:val="001D244E"/>
    <w:rsid w:val="001D24F1"/>
    <w:rsid w:val="001D3AD1"/>
    <w:rsid w:val="001D478B"/>
    <w:rsid w:val="001D4970"/>
    <w:rsid w:val="001D5DAD"/>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C1B"/>
    <w:rsid w:val="001E1DBA"/>
    <w:rsid w:val="001E1EF2"/>
    <w:rsid w:val="001E290B"/>
    <w:rsid w:val="001E385F"/>
    <w:rsid w:val="001E39E4"/>
    <w:rsid w:val="001E3F11"/>
    <w:rsid w:val="001E490C"/>
    <w:rsid w:val="001E4C68"/>
    <w:rsid w:val="001E50FD"/>
    <w:rsid w:val="001E51F3"/>
    <w:rsid w:val="001E5310"/>
    <w:rsid w:val="001E59DC"/>
    <w:rsid w:val="001E5DD7"/>
    <w:rsid w:val="001E5EEE"/>
    <w:rsid w:val="001E6302"/>
    <w:rsid w:val="001E635A"/>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4CDE"/>
    <w:rsid w:val="001F5708"/>
    <w:rsid w:val="001F58D3"/>
    <w:rsid w:val="001F65A4"/>
    <w:rsid w:val="001F65E0"/>
    <w:rsid w:val="001F696A"/>
    <w:rsid w:val="001F6EE3"/>
    <w:rsid w:val="001F720B"/>
    <w:rsid w:val="001F7362"/>
    <w:rsid w:val="001F7AE9"/>
    <w:rsid w:val="001F7CFD"/>
    <w:rsid w:val="00200AFB"/>
    <w:rsid w:val="002011D5"/>
    <w:rsid w:val="00201C2D"/>
    <w:rsid w:val="00201E78"/>
    <w:rsid w:val="0020223F"/>
    <w:rsid w:val="002029DF"/>
    <w:rsid w:val="00203367"/>
    <w:rsid w:val="002043C5"/>
    <w:rsid w:val="00204438"/>
    <w:rsid w:val="00204A44"/>
    <w:rsid w:val="00204BC8"/>
    <w:rsid w:val="00204DC3"/>
    <w:rsid w:val="00205562"/>
    <w:rsid w:val="00206147"/>
    <w:rsid w:val="002064F3"/>
    <w:rsid w:val="002069A8"/>
    <w:rsid w:val="00206EE7"/>
    <w:rsid w:val="00207559"/>
    <w:rsid w:val="0020789A"/>
    <w:rsid w:val="00207C83"/>
    <w:rsid w:val="00210869"/>
    <w:rsid w:val="00210A4A"/>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2FED"/>
    <w:rsid w:val="002234AC"/>
    <w:rsid w:val="002235D7"/>
    <w:rsid w:val="002239C4"/>
    <w:rsid w:val="00223C81"/>
    <w:rsid w:val="00224617"/>
    <w:rsid w:val="00224B4A"/>
    <w:rsid w:val="0022542C"/>
    <w:rsid w:val="00225591"/>
    <w:rsid w:val="00225690"/>
    <w:rsid w:val="0022574F"/>
    <w:rsid w:val="00225920"/>
    <w:rsid w:val="0022593A"/>
    <w:rsid w:val="00225B52"/>
    <w:rsid w:val="00225CE3"/>
    <w:rsid w:val="002260D7"/>
    <w:rsid w:val="00226B17"/>
    <w:rsid w:val="0022712B"/>
    <w:rsid w:val="00227235"/>
    <w:rsid w:val="002276A4"/>
    <w:rsid w:val="0022779C"/>
    <w:rsid w:val="00227843"/>
    <w:rsid w:val="00227A99"/>
    <w:rsid w:val="00227C8B"/>
    <w:rsid w:val="00230A44"/>
    <w:rsid w:val="00230A52"/>
    <w:rsid w:val="00230FA5"/>
    <w:rsid w:val="00231131"/>
    <w:rsid w:val="002316B3"/>
    <w:rsid w:val="0023170E"/>
    <w:rsid w:val="00231839"/>
    <w:rsid w:val="0023262B"/>
    <w:rsid w:val="00232A4E"/>
    <w:rsid w:val="00233541"/>
    <w:rsid w:val="00233A1D"/>
    <w:rsid w:val="00233A7D"/>
    <w:rsid w:val="00233EDD"/>
    <w:rsid w:val="0023441F"/>
    <w:rsid w:val="0023482B"/>
    <w:rsid w:val="0023482C"/>
    <w:rsid w:val="00234AA4"/>
    <w:rsid w:val="00234C7F"/>
    <w:rsid w:val="00234E62"/>
    <w:rsid w:val="00234F8F"/>
    <w:rsid w:val="00235F56"/>
    <w:rsid w:val="0023658F"/>
    <w:rsid w:val="00236872"/>
    <w:rsid w:val="00236890"/>
    <w:rsid w:val="002368C0"/>
    <w:rsid w:val="00236CC2"/>
    <w:rsid w:val="00236CDE"/>
    <w:rsid w:val="00237437"/>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748"/>
    <w:rsid w:val="00244CF8"/>
    <w:rsid w:val="002454F0"/>
    <w:rsid w:val="00245B9E"/>
    <w:rsid w:val="002465AC"/>
    <w:rsid w:val="002465EC"/>
    <w:rsid w:val="00246614"/>
    <w:rsid w:val="00246631"/>
    <w:rsid w:val="00246907"/>
    <w:rsid w:val="00246C0E"/>
    <w:rsid w:val="00246EC9"/>
    <w:rsid w:val="00246FE9"/>
    <w:rsid w:val="00247130"/>
    <w:rsid w:val="0024723E"/>
    <w:rsid w:val="00247760"/>
    <w:rsid w:val="00247E6F"/>
    <w:rsid w:val="00247FD9"/>
    <w:rsid w:val="0025003A"/>
    <w:rsid w:val="00250260"/>
    <w:rsid w:val="002509C8"/>
    <w:rsid w:val="00250FD5"/>
    <w:rsid w:val="00251167"/>
    <w:rsid w:val="002511BA"/>
    <w:rsid w:val="0025212E"/>
    <w:rsid w:val="00252167"/>
    <w:rsid w:val="002523B7"/>
    <w:rsid w:val="002526B9"/>
    <w:rsid w:val="00252B3F"/>
    <w:rsid w:val="00252B6C"/>
    <w:rsid w:val="00252DD3"/>
    <w:rsid w:val="0025394F"/>
    <w:rsid w:val="00253B97"/>
    <w:rsid w:val="00253C7B"/>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2C5"/>
    <w:rsid w:val="00260B48"/>
    <w:rsid w:val="002610D8"/>
    <w:rsid w:val="0026126E"/>
    <w:rsid w:val="00261A6C"/>
    <w:rsid w:val="00262749"/>
    <w:rsid w:val="00262755"/>
    <w:rsid w:val="002629E2"/>
    <w:rsid w:val="00262BA8"/>
    <w:rsid w:val="00262BC8"/>
    <w:rsid w:val="00263031"/>
    <w:rsid w:val="00263C36"/>
    <w:rsid w:val="002641D9"/>
    <w:rsid w:val="002643C5"/>
    <w:rsid w:val="00264917"/>
    <w:rsid w:val="002651EC"/>
    <w:rsid w:val="00265514"/>
    <w:rsid w:val="00265DC2"/>
    <w:rsid w:val="0026638C"/>
    <w:rsid w:val="00266400"/>
    <w:rsid w:val="00266F00"/>
    <w:rsid w:val="002670EF"/>
    <w:rsid w:val="00267161"/>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18A"/>
    <w:rsid w:val="0027537B"/>
    <w:rsid w:val="00275F56"/>
    <w:rsid w:val="002765B7"/>
    <w:rsid w:val="002766ED"/>
    <w:rsid w:val="00276EAA"/>
    <w:rsid w:val="00277713"/>
    <w:rsid w:val="00277DBC"/>
    <w:rsid w:val="00277F64"/>
    <w:rsid w:val="002802A0"/>
    <w:rsid w:val="00280509"/>
    <w:rsid w:val="00280550"/>
    <w:rsid w:val="00280E02"/>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46E"/>
    <w:rsid w:val="00292B2A"/>
    <w:rsid w:val="00293271"/>
    <w:rsid w:val="00293587"/>
    <w:rsid w:val="00293896"/>
    <w:rsid w:val="00293ED1"/>
    <w:rsid w:val="002942CE"/>
    <w:rsid w:val="00294A06"/>
    <w:rsid w:val="00294FFB"/>
    <w:rsid w:val="002954FD"/>
    <w:rsid w:val="00295A73"/>
    <w:rsid w:val="00295D1B"/>
    <w:rsid w:val="00296242"/>
    <w:rsid w:val="002963A5"/>
    <w:rsid w:val="002965DF"/>
    <w:rsid w:val="002966E4"/>
    <w:rsid w:val="00296CE6"/>
    <w:rsid w:val="002973DF"/>
    <w:rsid w:val="0029772B"/>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26B"/>
    <w:rsid w:val="002A57BC"/>
    <w:rsid w:val="002A581C"/>
    <w:rsid w:val="002B00FE"/>
    <w:rsid w:val="002B0586"/>
    <w:rsid w:val="002B0E27"/>
    <w:rsid w:val="002B10B6"/>
    <w:rsid w:val="002B10D3"/>
    <w:rsid w:val="002B1113"/>
    <w:rsid w:val="002B1867"/>
    <w:rsid w:val="002B1EA3"/>
    <w:rsid w:val="002B2A55"/>
    <w:rsid w:val="002B2CE4"/>
    <w:rsid w:val="002B2DA9"/>
    <w:rsid w:val="002B2FF7"/>
    <w:rsid w:val="002B306E"/>
    <w:rsid w:val="002B30C8"/>
    <w:rsid w:val="002B31FA"/>
    <w:rsid w:val="002B33D5"/>
    <w:rsid w:val="002B3A06"/>
    <w:rsid w:val="002B3B21"/>
    <w:rsid w:val="002B3F1E"/>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895"/>
    <w:rsid w:val="002C2ACB"/>
    <w:rsid w:val="002C2F60"/>
    <w:rsid w:val="002C414C"/>
    <w:rsid w:val="002C41CB"/>
    <w:rsid w:val="002C45C6"/>
    <w:rsid w:val="002C5C58"/>
    <w:rsid w:val="002C6A1A"/>
    <w:rsid w:val="002C6B67"/>
    <w:rsid w:val="002C73EE"/>
    <w:rsid w:val="002C7660"/>
    <w:rsid w:val="002C7718"/>
    <w:rsid w:val="002C77DB"/>
    <w:rsid w:val="002C77F7"/>
    <w:rsid w:val="002C7886"/>
    <w:rsid w:val="002C7CD4"/>
    <w:rsid w:val="002D0321"/>
    <w:rsid w:val="002D0E7A"/>
    <w:rsid w:val="002D155B"/>
    <w:rsid w:val="002D1AD3"/>
    <w:rsid w:val="002D26FE"/>
    <w:rsid w:val="002D40A5"/>
    <w:rsid w:val="002D44F2"/>
    <w:rsid w:val="002D473F"/>
    <w:rsid w:val="002D48E1"/>
    <w:rsid w:val="002D5A82"/>
    <w:rsid w:val="002D61C8"/>
    <w:rsid w:val="002D629E"/>
    <w:rsid w:val="002D6E9A"/>
    <w:rsid w:val="002D720A"/>
    <w:rsid w:val="002D726B"/>
    <w:rsid w:val="002D75DB"/>
    <w:rsid w:val="002E0067"/>
    <w:rsid w:val="002E02D0"/>
    <w:rsid w:val="002E0489"/>
    <w:rsid w:val="002E04C0"/>
    <w:rsid w:val="002E0544"/>
    <w:rsid w:val="002E09BE"/>
    <w:rsid w:val="002E145F"/>
    <w:rsid w:val="002E1DF4"/>
    <w:rsid w:val="002E1FFC"/>
    <w:rsid w:val="002E2C3B"/>
    <w:rsid w:val="002E3C37"/>
    <w:rsid w:val="002E454D"/>
    <w:rsid w:val="002E4BA7"/>
    <w:rsid w:val="002E4D3D"/>
    <w:rsid w:val="002E5922"/>
    <w:rsid w:val="002E5CA7"/>
    <w:rsid w:val="002E620C"/>
    <w:rsid w:val="002E668B"/>
    <w:rsid w:val="002E7235"/>
    <w:rsid w:val="002E77BC"/>
    <w:rsid w:val="002E79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0C0"/>
    <w:rsid w:val="0030023E"/>
    <w:rsid w:val="00300317"/>
    <w:rsid w:val="0030059B"/>
    <w:rsid w:val="00300FC5"/>
    <w:rsid w:val="00301277"/>
    <w:rsid w:val="003017B6"/>
    <w:rsid w:val="00301837"/>
    <w:rsid w:val="003019CD"/>
    <w:rsid w:val="00302EBA"/>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62"/>
    <w:rsid w:val="00311270"/>
    <w:rsid w:val="0031175D"/>
    <w:rsid w:val="003119DD"/>
    <w:rsid w:val="00311CE6"/>
    <w:rsid w:val="00312297"/>
    <w:rsid w:val="0031230F"/>
    <w:rsid w:val="003123C5"/>
    <w:rsid w:val="00312DBF"/>
    <w:rsid w:val="00313367"/>
    <w:rsid w:val="0031354F"/>
    <w:rsid w:val="00313B33"/>
    <w:rsid w:val="00314614"/>
    <w:rsid w:val="00314739"/>
    <w:rsid w:val="00314773"/>
    <w:rsid w:val="00314F8A"/>
    <w:rsid w:val="003151F3"/>
    <w:rsid w:val="003152FA"/>
    <w:rsid w:val="003154DB"/>
    <w:rsid w:val="00316779"/>
    <w:rsid w:val="003175BF"/>
    <w:rsid w:val="00317891"/>
    <w:rsid w:val="00317BDD"/>
    <w:rsid w:val="00317DA5"/>
    <w:rsid w:val="003201D0"/>
    <w:rsid w:val="003205E0"/>
    <w:rsid w:val="00321386"/>
    <w:rsid w:val="00321788"/>
    <w:rsid w:val="00321848"/>
    <w:rsid w:val="00321CB3"/>
    <w:rsid w:val="0032222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513"/>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25C"/>
    <w:rsid w:val="003379A4"/>
    <w:rsid w:val="00337BB0"/>
    <w:rsid w:val="00337CB6"/>
    <w:rsid w:val="003403AE"/>
    <w:rsid w:val="00340587"/>
    <w:rsid w:val="003409BD"/>
    <w:rsid w:val="003410E2"/>
    <w:rsid w:val="0034111B"/>
    <w:rsid w:val="00341D1D"/>
    <w:rsid w:val="00341EEA"/>
    <w:rsid w:val="003422DD"/>
    <w:rsid w:val="00342559"/>
    <w:rsid w:val="00342D1A"/>
    <w:rsid w:val="0034339B"/>
    <w:rsid w:val="00343860"/>
    <w:rsid w:val="00343AB5"/>
    <w:rsid w:val="00343D33"/>
    <w:rsid w:val="00344CEF"/>
    <w:rsid w:val="00344D3F"/>
    <w:rsid w:val="00344F44"/>
    <w:rsid w:val="0034511C"/>
    <w:rsid w:val="00345191"/>
    <w:rsid w:val="0034550A"/>
    <w:rsid w:val="00345B7B"/>
    <w:rsid w:val="00345C69"/>
    <w:rsid w:val="0034620C"/>
    <w:rsid w:val="00346579"/>
    <w:rsid w:val="00346C50"/>
    <w:rsid w:val="003474B3"/>
    <w:rsid w:val="00347A1B"/>
    <w:rsid w:val="00347CA3"/>
    <w:rsid w:val="00347D30"/>
    <w:rsid w:val="00347F9F"/>
    <w:rsid w:val="00350636"/>
    <w:rsid w:val="00351032"/>
    <w:rsid w:val="0035149A"/>
    <w:rsid w:val="00351668"/>
    <w:rsid w:val="003524F4"/>
    <w:rsid w:val="00352775"/>
    <w:rsid w:val="00352F14"/>
    <w:rsid w:val="003530B3"/>
    <w:rsid w:val="00353A4B"/>
    <w:rsid w:val="00354223"/>
    <w:rsid w:val="003547B5"/>
    <w:rsid w:val="0035546F"/>
    <w:rsid w:val="003554BD"/>
    <w:rsid w:val="003554CE"/>
    <w:rsid w:val="00356392"/>
    <w:rsid w:val="00356586"/>
    <w:rsid w:val="00356792"/>
    <w:rsid w:val="003571E2"/>
    <w:rsid w:val="00360A82"/>
    <w:rsid w:val="00361062"/>
    <w:rsid w:val="003610F5"/>
    <w:rsid w:val="003616F4"/>
    <w:rsid w:val="003623A0"/>
    <w:rsid w:val="00362B5E"/>
    <w:rsid w:val="00362E82"/>
    <w:rsid w:val="00363356"/>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2802"/>
    <w:rsid w:val="0037334A"/>
    <w:rsid w:val="003734B3"/>
    <w:rsid w:val="0037352E"/>
    <w:rsid w:val="003736AF"/>
    <w:rsid w:val="0037443B"/>
    <w:rsid w:val="00374D3E"/>
    <w:rsid w:val="003757FB"/>
    <w:rsid w:val="00375820"/>
    <w:rsid w:val="00375B14"/>
    <w:rsid w:val="00375D85"/>
    <w:rsid w:val="003760FD"/>
    <w:rsid w:val="003769D5"/>
    <w:rsid w:val="0037714B"/>
    <w:rsid w:val="00377475"/>
    <w:rsid w:val="0037777C"/>
    <w:rsid w:val="00377A8C"/>
    <w:rsid w:val="0038054C"/>
    <w:rsid w:val="0038061C"/>
    <w:rsid w:val="00381168"/>
    <w:rsid w:val="00381537"/>
    <w:rsid w:val="003818B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5A9B"/>
    <w:rsid w:val="00386092"/>
    <w:rsid w:val="0038615C"/>
    <w:rsid w:val="003861A0"/>
    <w:rsid w:val="00386891"/>
    <w:rsid w:val="00386A21"/>
    <w:rsid w:val="0038735C"/>
    <w:rsid w:val="003874B4"/>
    <w:rsid w:val="00387631"/>
    <w:rsid w:val="00387823"/>
    <w:rsid w:val="00387C8E"/>
    <w:rsid w:val="00390034"/>
    <w:rsid w:val="00390044"/>
    <w:rsid w:val="00390095"/>
    <w:rsid w:val="003903FB"/>
    <w:rsid w:val="00390644"/>
    <w:rsid w:val="0039066F"/>
    <w:rsid w:val="00390D50"/>
    <w:rsid w:val="00390E26"/>
    <w:rsid w:val="00390EAD"/>
    <w:rsid w:val="00390EAF"/>
    <w:rsid w:val="0039158A"/>
    <w:rsid w:val="00391CBB"/>
    <w:rsid w:val="00391D90"/>
    <w:rsid w:val="00391DDE"/>
    <w:rsid w:val="0039208E"/>
    <w:rsid w:val="003923A6"/>
    <w:rsid w:val="0039257A"/>
    <w:rsid w:val="00393231"/>
    <w:rsid w:val="0039372B"/>
    <w:rsid w:val="0039383D"/>
    <w:rsid w:val="00393906"/>
    <w:rsid w:val="003940C0"/>
    <w:rsid w:val="00394FE8"/>
    <w:rsid w:val="00395069"/>
    <w:rsid w:val="003955AD"/>
    <w:rsid w:val="00395A0A"/>
    <w:rsid w:val="00396C46"/>
    <w:rsid w:val="003975A2"/>
    <w:rsid w:val="00397BF1"/>
    <w:rsid w:val="003A0A67"/>
    <w:rsid w:val="003A1273"/>
    <w:rsid w:val="003A1596"/>
    <w:rsid w:val="003A1643"/>
    <w:rsid w:val="003A1F6B"/>
    <w:rsid w:val="003A1FEA"/>
    <w:rsid w:val="003A344A"/>
    <w:rsid w:val="003A3622"/>
    <w:rsid w:val="003A36D4"/>
    <w:rsid w:val="003A3938"/>
    <w:rsid w:val="003A4139"/>
    <w:rsid w:val="003A495B"/>
    <w:rsid w:val="003A4B2F"/>
    <w:rsid w:val="003A4C4A"/>
    <w:rsid w:val="003A4F9E"/>
    <w:rsid w:val="003A5033"/>
    <w:rsid w:val="003A53AA"/>
    <w:rsid w:val="003A5EEB"/>
    <w:rsid w:val="003A6562"/>
    <w:rsid w:val="003A701E"/>
    <w:rsid w:val="003A7161"/>
    <w:rsid w:val="003A71D8"/>
    <w:rsid w:val="003A7200"/>
    <w:rsid w:val="003A75C6"/>
    <w:rsid w:val="003A79FF"/>
    <w:rsid w:val="003A7DFF"/>
    <w:rsid w:val="003B00E9"/>
    <w:rsid w:val="003B02DF"/>
    <w:rsid w:val="003B0A8B"/>
    <w:rsid w:val="003B106D"/>
    <w:rsid w:val="003B1083"/>
    <w:rsid w:val="003B12DB"/>
    <w:rsid w:val="003B13AB"/>
    <w:rsid w:val="003B1C5D"/>
    <w:rsid w:val="003B1EAD"/>
    <w:rsid w:val="003B1F1C"/>
    <w:rsid w:val="003B23A8"/>
    <w:rsid w:val="003B3822"/>
    <w:rsid w:val="003B3BAD"/>
    <w:rsid w:val="003B3F02"/>
    <w:rsid w:val="003B3F64"/>
    <w:rsid w:val="003B4644"/>
    <w:rsid w:val="003B4B26"/>
    <w:rsid w:val="003B4E29"/>
    <w:rsid w:val="003B5306"/>
    <w:rsid w:val="003B5757"/>
    <w:rsid w:val="003B5DAC"/>
    <w:rsid w:val="003B6179"/>
    <w:rsid w:val="003B6302"/>
    <w:rsid w:val="003B69D0"/>
    <w:rsid w:val="003B7B4D"/>
    <w:rsid w:val="003C00A2"/>
    <w:rsid w:val="003C00D4"/>
    <w:rsid w:val="003C0125"/>
    <w:rsid w:val="003C03F7"/>
    <w:rsid w:val="003C05CD"/>
    <w:rsid w:val="003C0FE5"/>
    <w:rsid w:val="003C12F6"/>
    <w:rsid w:val="003C1CAF"/>
    <w:rsid w:val="003C22D4"/>
    <w:rsid w:val="003C29AF"/>
    <w:rsid w:val="003C2C17"/>
    <w:rsid w:val="003C3209"/>
    <w:rsid w:val="003C3215"/>
    <w:rsid w:val="003C3F73"/>
    <w:rsid w:val="003C40A2"/>
    <w:rsid w:val="003C48FA"/>
    <w:rsid w:val="003C5519"/>
    <w:rsid w:val="003C5A97"/>
    <w:rsid w:val="003C616B"/>
    <w:rsid w:val="003C6434"/>
    <w:rsid w:val="003C681D"/>
    <w:rsid w:val="003C69CF"/>
    <w:rsid w:val="003C6BED"/>
    <w:rsid w:val="003C7855"/>
    <w:rsid w:val="003C7965"/>
    <w:rsid w:val="003C7D06"/>
    <w:rsid w:val="003C7EA9"/>
    <w:rsid w:val="003C7EF7"/>
    <w:rsid w:val="003D0E1F"/>
    <w:rsid w:val="003D1182"/>
    <w:rsid w:val="003D1AE0"/>
    <w:rsid w:val="003D1CB6"/>
    <w:rsid w:val="003D22DA"/>
    <w:rsid w:val="003D3779"/>
    <w:rsid w:val="003D3B16"/>
    <w:rsid w:val="003D425A"/>
    <w:rsid w:val="003D4866"/>
    <w:rsid w:val="003D4ADC"/>
    <w:rsid w:val="003D507A"/>
    <w:rsid w:val="003D53FE"/>
    <w:rsid w:val="003D59BD"/>
    <w:rsid w:val="003D6280"/>
    <w:rsid w:val="003D66CB"/>
    <w:rsid w:val="003D687A"/>
    <w:rsid w:val="003D6E45"/>
    <w:rsid w:val="003D79B8"/>
    <w:rsid w:val="003D7A2D"/>
    <w:rsid w:val="003D7C91"/>
    <w:rsid w:val="003E043F"/>
    <w:rsid w:val="003E07F1"/>
    <w:rsid w:val="003E0E8C"/>
    <w:rsid w:val="003E113F"/>
    <w:rsid w:val="003E1320"/>
    <w:rsid w:val="003E1418"/>
    <w:rsid w:val="003E1753"/>
    <w:rsid w:val="003E2375"/>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2FB"/>
    <w:rsid w:val="003F18CF"/>
    <w:rsid w:val="003F2770"/>
    <w:rsid w:val="003F2BFE"/>
    <w:rsid w:val="003F2C80"/>
    <w:rsid w:val="003F3112"/>
    <w:rsid w:val="003F3A44"/>
    <w:rsid w:val="003F3DC1"/>
    <w:rsid w:val="003F5F0A"/>
    <w:rsid w:val="003F697A"/>
    <w:rsid w:val="003F6DF4"/>
    <w:rsid w:val="003F7022"/>
    <w:rsid w:val="003F7263"/>
    <w:rsid w:val="003F7B82"/>
    <w:rsid w:val="003F7D77"/>
    <w:rsid w:val="0040046F"/>
    <w:rsid w:val="00400A5E"/>
    <w:rsid w:val="00400F19"/>
    <w:rsid w:val="004015B0"/>
    <w:rsid w:val="004016AD"/>
    <w:rsid w:val="00401A15"/>
    <w:rsid w:val="00401C5B"/>
    <w:rsid w:val="00401DB1"/>
    <w:rsid w:val="00401E45"/>
    <w:rsid w:val="004020FB"/>
    <w:rsid w:val="0040230D"/>
    <w:rsid w:val="004028D0"/>
    <w:rsid w:val="00402940"/>
    <w:rsid w:val="00403226"/>
    <w:rsid w:val="00403827"/>
    <w:rsid w:val="00403BA6"/>
    <w:rsid w:val="00403E68"/>
    <w:rsid w:val="004040E3"/>
    <w:rsid w:val="00404D4D"/>
    <w:rsid w:val="00405945"/>
    <w:rsid w:val="00405A4F"/>
    <w:rsid w:val="00406A35"/>
    <w:rsid w:val="004071BE"/>
    <w:rsid w:val="0040743C"/>
    <w:rsid w:val="004078A4"/>
    <w:rsid w:val="00407CDA"/>
    <w:rsid w:val="004100F4"/>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5B16"/>
    <w:rsid w:val="00416787"/>
    <w:rsid w:val="00416D2E"/>
    <w:rsid w:val="00417E72"/>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667"/>
    <w:rsid w:val="004309CF"/>
    <w:rsid w:val="00430B44"/>
    <w:rsid w:val="00430F27"/>
    <w:rsid w:val="0043104B"/>
    <w:rsid w:val="0043181D"/>
    <w:rsid w:val="00431CCB"/>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5A0"/>
    <w:rsid w:val="00440E8F"/>
    <w:rsid w:val="004412E5"/>
    <w:rsid w:val="004415FC"/>
    <w:rsid w:val="00441625"/>
    <w:rsid w:val="00441989"/>
    <w:rsid w:val="00442112"/>
    <w:rsid w:val="0044249C"/>
    <w:rsid w:val="00442822"/>
    <w:rsid w:val="00442E14"/>
    <w:rsid w:val="00442EA1"/>
    <w:rsid w:val="00443766"/>
    <w:rsid w:val="004437F3"/>
    <w:rsid w:val="00443A3A"/>
    <w:rsid w:val="00443AE0"/>
    <w:rsid w:val="00443D1A"/>
    <w:rsid w:val="004442B1"/>
    <w:rsid w:val="0044437E"/>
    <w:rsid w:val="004443FB"/>
    <w:rsid w:val="00444699"/>
    <w:rsid w:val="004446A0"/>
    <w:rsid w:val="0044476D"/>
    <w:rsid w:val="00444DA1"/>
    <w:rsid w:val="00445064"/>
    <w:rsid w:val="00445172"/>
    <w:rsid w:val="004461DF"/>
    <w:rsid w:val="00446929"/>
    <w:rsid w:val="00447603"/>
    <w:rsid w:val="0044773F"/>
    <w:rsid w:val="00447999"/>
    <w:rsid w:val="00447AC5"/>
    <w:rsid w:val="00447EAD"/>
    <w:rsid w:val="004504A7"/>
    <w:rsid w:val="00450899"/>
    <w:rsid w:val="004508B7"/>
    <w:rsid w:val="00450A4E"/>
    <w:rsid w:val="00450C26"/>
    <w:rsid w:val="00450FE9"/>
    <w:rsid w:val="00451A7B"/>
    <w:rsid w:val="004522A6"/>
    <w:rsid w:val="004529D7"/>
    <w:rsid w:val="00452A11"/>
    <w:rsid w:val="00453BF4"/>
    <w:rsid w:val="00453D19"/>
    <w:rsid w:val="00454571"/>
    <w:rsid w:val="004551E8"/>
    <w:rsid w:val="00455AFA"/>
    <w:rsid w:val="004561D0"/>
    <w:rsid w:val="00456308"/>
    <w:rsid w:val="004566BE"/>
    <w:rsid w:val="0045682E"/>
    <w:rsid w:val="004568B4"/>
    <w:rsid w:val="00456A0C"/>
    <w:rsid w:val="00457142"/>
    <w:rsid w:val="004573A4"/>
    <w:rsid w:val="00457493"/>
    <w:rsid w:val="00457958"/>
    <w:rsid w:val="00457B1E"/>
    <w:rsid w:val="0046014B"/>
    <w:rsid w:val="0046115F"/>
    <w:rsid w:val="0046148D"/>
    <w:rsid w:val="00461535"/>
    <w:rsid w:val="00461EE2"/>
    <w:rsid w:val="00462745"/>
    <w:rsid w:val="004627CF"/>
    <w:rsid w:val="00462977"/>
    <w:rsid w:val="00462DBA"/>
    <w:rsid w:val="004635B7"/>
    <w:rsid w:val="00464027"/>
    <w:rsid w:val="004641CB"/>
    <w:rsid w:val="0046443B"/>
    <w:rsid w:val="00464BC7"/>
    <w:rsid w:val="004651B8"/>
    <w:rsid w:val="00465580"/>
    <w:rsid w:val="00465972"/>
    <w:rsid w:val="00465B78"/>
    <w:rsid w:val="00465E7E"/>
    <w:rsid w:val="00466BB5"/>
    <w:rsid w:val="004672E8"/>
    <w:rsid w:val="004677E9"/>
    <w:rsid w:val="004679F2"/>
    <w:rsid w:val="00470535"/>
    <w:rsid w:val="00471183"/>
    <w:rsid w:val="0047123C"/>
    <w:rsid w:val="004714F6"/>
    <w:rsid w:val="00471948"/>
    <w:rsid w:val="0047289C"/>
    <w:rsid w:val="00472BCF"/>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0063"/>
    <w:rsid w:val="00481188"/>
    <w:rsid w:val="00481688"/>
    <w:rsid w:val="004820E0"/>
    <w:rsid w:val="004822CA"/>
    <w:rsid w:val="004822D2"/>
    <w:rsid w:val="00482E54"/>
    <w:rsid w:val="004831A1"/>
    <w:rsid w:val="00483F95"/>
    <w:rsid w:val="004842A2"/>
    <w:rsid w:val="00484D20"/>
    <w:rsid w:val="004850C1"/>
    <w:rsid w:val="004851F7"/>
    <w:rsid w:val="00485565"/>
    <w:rsid w:val="00485828"/>
    <w:rsid w:val="00485B34"/>
    <w:rsid w:val="00486F54"/>
    <w:rsid w:val="004871B4"/>
    <w:rsid w:val="00487374"/>
    <w:rsid w:val="004876DD"/>
    <w:rsid w:val="00487DD2"/>
    <w:rsid w:val="00490357"/>
    <w:rsid w:val="0049066D"/>
    <w:rsid w:val="0049178A"/>
    <w:rsid w:val="004919F4"/>
    <w:rsid w:val="00491C1D"/>
    <w:rsid w:val="00491DF1"/>
    <w:rsid w:val="00492535"/>
    <w:rsid w:val="00493435"/>
    <w:rsid w:val="00493661"/>
    <w:rsid w:val="00494B28"/>
    <w:rsid w:val="00495FFF"/>
    <w:rsid w:val="00496811"/>
    <w:rsid w:val="00496A37"/>
    <w:rsid w:val="00496A9F"/>
    <w:rsid w:val="00497358"/>
    <w:rsid w:val="00497B27"/>
    <w:rsid w:val="00497B80"/>
    <w:rsid w:val="00497C8C"/>
    <w:rsid w:val="00497FA5"/>
    <w:rsid w:val="004A03B3"/>
    <w:rsid w:val="004A04D5"/>
    <w:rsid w:val="004A0698"/>
    <w:rsid w:val="004A17BD"/>
    <w:rsid w:val="004A1B07"/>
    <w:rsid w:val="004A1B45"/>
    <w:rsid w:val="004A1C7F"/>
    <w:rsid w:val="004A2E04"/>
    <w:rsid w:val="004A3226"/>
    <w:rsid w:val="004A399F"/>
    <w:rsid w:val="004A405B"/>
    <w:rsid w:val="004A4096"/>
    <w:rsid w:val="004A43E2"/>
    <w:rsid w:val="004A4516"/>
    <w:rsid w:val="004A4692"/>
    <w:rsid w:val="004A5912"/>
    <w:rsid w:val="004A669F"/>
    <w:rsid w:val="004A6842"/>
    <w:rsid w:val="004A718C"/>
    <w:rsid w:val="004A71C1"/>
    <w:rsid w:val="004A722D"/>
    <w:rsid w:val="004A7DBE"/>
    <w:rsid w:val="004A7E0C"/>
    <w:rsid w:val="004A7F94"/>
    <w:rsid w:val="004B03E2"/>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1F5"/>
    <w:rsid w:val="004B7927"/>
    <w:rsid w:val="004B79FA"/>
    <w:rsid w:val="004B7D94"/>
    <w:rsid w:val="004C0FB7"/>
    <w:rsid w:val="004C104B"/>
    <w:rsid w:val="004C164A"/>
    <w:rsid w:val="004C296D"/>
    <w:rsid w:val="004C2E14"/>
    <w:rsid w:val="004C2FE3"/>
    <w:rsid w:val="004C305A"/>
    <w:rsid w:val="004C30C2"/>
    <w:rsid w:val="004C35EF"/>
    <w:rsid w:val="004C3BCF"/>
    <w:rsid w:val="004C4829"/>
    <w:rsid w:val="004C49F8"/>
    <w:rsid w:val="004C4D30"/>
    <w:rsid w:val="004C4EAB"/>
    <w:rsid w:val="004C4F6D"/>
    <w:rsid w:val="004C5570"/>
    <w:rsid w:val="004C5BD0"/>
    <w:rsid w:val="004C5D52"/>
    <w:rsid w:val="004C5DB0"/>
    <w:rsid w:val="004C60D8"/>
    <w:rsid w:val="004C62EE"/>
    <w:rsid w:val="004C6A0D"/>
    <w:rsid w:val="004C6A26"/>
    <w:rsid w:val="004C6B4B"/>
    <w:rsid w:val="004C7B72"/>
    <w:rsid w:val="004D00F9"/>
    <w:rsid w:val="004D1000"/>
    <w:rsid w:val="004D1144"/>
    <w:rsid w:val="004D1D27"/>
    <w:rsid w:val="004D21B6"/>
    <w:rsid w:val="004D2EC3"/>
    <w:rsid w:val="004D2FF6"/>
    <w:rsid w:val="004D3FD6"/>
    <w:rsid w:val="004D405F"/>
    <w:rsid w:val="004D5278"/>
    <w:rsid w:val="004D55CA"/>
    <w:rsid w:val="004D5A27"/>
    <w:rsid w:val="004D5F0E"/>
    <w:rsid w:val="004D6626"/>
    <w:rsid w:val="004D6758"/>
    <w:rsid w:val="004D7966"/>
    <w:rsid w:val="004D7B1A"/>
    <w:rsid w:val="004E004E"/>
    <w:rsid w:val="004E0108"/>
    <w:rsid w:val="004E01E8"/>
    <w:rsid w:val="004E0830"/>
    <w:rsid w:val="004E169C"/>
    <w:rsid w:val="004E185D"/>
    <w:rsid w:val="004E1BF0"/>
    <w:rsid w:val="004E1E6A"/>
    <w:rsid w:val="004E20EB"/>
    <w:rsid w:val="004E28E1"/>
    <w:rsid w:val="004E2B01"/>
    <w:rsid w:val="004E34C7"/>
    <w:rsid w:val="004E356A"/>
    <w:rsid w:val="004E375D"/>
    <w:rsid w:val="004E37B2"/>
    <w:rsid w:val="004E3850"/>
    <w:rsid w:val="004E3FC1"/>
    <w:rsid w:val="004E58EA"/>
    <w:rsid w:val="004E5B75"/>
    <w:rsid w:val="004E5F65"/>
    <w:rsid w:val="004E6806"/>
    <w:rsid w:val="004E6C7A"/>
    <w:rsid w:val="004E7615"/>
    <w:rsid w:val="004E7A76"/>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7E0"/>
    <w:rsid w:val="004F792C"/>
    <w:rsid w:val="004F7F0F"/>
    <w:rsid w:val="004F7FBC"/>
    <w:rsid w:val="005001AE"/>
    <w:rsid w:val="00500292"/>
    <w:rsid w:val="005007E7"/>
    <w:rsid w:val="00501141"/>
    <w:rsid w:val="005012FC"/>
    <w:rsid w:val="00501938"/>
    <w:rsid w:val="00501C30"/>
    <w:rsid w:val="00501EBE"/>
    <w:rsid w:val="005020EB"/>
    <w:rsid w:val="00503551"/>
    <w:rsid w:val="00503821"/>
    <w:rsid w:val="00503EA8"/>
    <w:rsid w:val="00503F38"/>
    <w:rsid w:val="005043FC"/>
    <w:rsid w:val="00504A55"/>
    <w:rsid w:val="0050569B"/>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2F7B"/>
    <w:rsid w:val="00514674"/>
    <w:rsid w:val="0051477F"/>
    <w:rsid w:val="00514C46"/>
    <w:rsid w:val="00515BCF"/>
    <w:rsid w:val="00516083"/>
    <w:rsid w:val="00516196"/>
    <w:rsid w:val="0051635A"/>
    <w:rsid w:val="0051646E"/>
    <w:rsid w:val="005166C3"/>
    <w:rsid w:val="00516EA5"/>
    <w:rsid w:val="005179DA"/>
    <w:rsid w:val="00517E2A"/>
    <w:rsid w:val="00517EA1"/>
    <w:rsid w:val="00520C1C"/>
    <w:rsid w:val="0052117B"/>
    <w:rsid w:val="00521439"/>
    <w:rsid w:val="005217DF"/>
    <w:rsid w:val="00522133"/>
    <w:rsid w:val="0052236B"/>
    <w:rsid w:val="0052292E"/>
    <w:rsid w:val="005232E0"/>
    <w:rsid w:val="0052373B"/>
    <w:rsid w:val="00523900"/>
    <w:rsid w:val="00523D70"/>
    <w:rsid w:val="00523E00"/>
    <w:rsid w:val="0052439F"/>
    <w:rsid w:val="005243EB"/>
    <w:rsid w:val="00524FC0"/>
    <w:rsid w:val="00525154"/>
    <w:rsid w:val="00525789"/>
    <w:rsid w:val="00525890"/>
    <w:rsid w:val="00525C4D"/>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53D"/>
    <w:rsid w:val="00531822"/>
    <w:rsid w:val="005326D0"/>
    <w:rsid w:val="005327CB"/>
    <w:rsid w:val="00532800"/>
    <w:rsid w:val="00532A80"/>
    <w:rsid w:val="00532DE3"/>
    <w:rsid w:val="00532FDA"/>
    <w:rsid w:val="005331F3"/>
    <w:rsid w:val="00533EE8"/>
    <w:rsid w:val="0053417D"/>
    <w:rsid w:val="00534689"/>
    <w:rsid w:val="00534821"/>
    <w:rsid w:val="00534885"/>
    <w:rsid w:val="0053490C"/>
    <w:rsid w:val="00535585"/>
    <w:rsid w:val="0053608F"/>
    <w:rsid w:val="00536A08"/>
    <w:rsid w:val="00536A58"/>
    <w:rsid w:val="00536AB4"/>
    <w:rsid w:val="00536C4E"/>
    <w:rsid w:val="00537127"/>
    <w:rsid w:val="0053764B"/>
    <w:rsid w:val="0054069F"/>
    <w:rsid w:val="00541307"/>
    <w:rsid w:val="00541B60"/>
    <w:rsid w:val="00541DB8"/>
    <w:rsid w:val="00541F9A"/>
    <w:rsid w:val="00542599"/>
    <w:rsid w:val="00542EB4"/>
    <w:rsid w:val="00543C95"/>
    <w:rsid w:val="00544320"/>
    <w:rsid w:val="0054460B"/>
    <w:rsid w:val="005448B9"/>
    <w:rsid w:val="00545136"/>
    <w:rsid w:val="005452C1"/>
    <w:rsid w:val="005452CD"/>
    <w:rsid w:val="00545B42"/>
    <w:rsid w:val="0054612B"/>
    <w:rsid w:val="00547753"/>
    <w:rsid w:val="00547906"/>
    <w:rsid w:val="005479F5"/>
    <w:rsid w:val="00547D90"/>
    <w:rsid w:val="005508EF"/>
    <w:rsid w:val="005509F6"/>
    <w:rsid w:val="005510E3"/>
    <w:rsid w:val="0055173F"/>
    <w:rsid w:val="00551AE8"/>
    <w:rsid w:val="00551D57"/>
    <w:rsid w:val="00552C69"/>
    <w:rsid w:val="00552E11"/>
    <w:rsid w:val="00552FEB"/>
    <w:rsid w:val="00553115"/>
    <w:rsid w:val="0055312E"/>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5E8"/>
    <w:rsid w:val="00557D41"/>
    <w:rsid w:val="00557F5B"/>
    <w:rsid w:val="00557FE2"/>
    <w:rsid w:val="005603DA"/>
    <w:rsid w:val="00560729"/>
    <w:rsid w:val="00560A86"/>
    <w:rsid w:val="00560EFC"/>
    <w:rsid w:val="00560F1B"/>
    <w:rsid w:val="00561C64"/>
    <w:rsid w:val="0056218D"/>
    <w:rsid w:val="00562EAD"/>
    <w:rsid w:val="00563222"/>
    <w:rsid w:val="00563810"/>
    <w:rsid w:val="00563963"/>
    <w:rsid w:val="00563AEB"/>
    <w:rsid w:val="0056429C"/>
    <w:rsid w:val="00564775"/>
    <w:rsid w:val="0056557E"/>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09F"/>
    <w:rsid w:val="00574434"/>
    <w:rsid w:val="0057470D"/>
    <w:rsid w:val="00574DD0"/>
    <w:rsid w:val="00575051"/>
    <w:rsid w:val="005758E3"/>
    <w:rsid w:val="00576D35"/>
    <w:rsid w:val="005777C8"/>
    <w:rsid w:val="00577AD5"/>
    <w:rsid w:val="00577F23"/>
    <w:rsid w:val="00577FE7"/>
    <w:rsid w:val="005804A6"/>
    <w:rsid w:val="0058062A"/>
    <w:rsid w:val="0058080C"/>
    <w:rsid w:val="00580A72"/>
    <w:rsid w:val="00580EB8"/>
    <w:rsid w:val="0058107B"/>
    <w:rsid w:val="0058149F"/>
    <w:rsid w:val="0058161B"/>
    <w:rsid w:val="005817A5"/>
    <w:rsid w:val="00581DF3"/>
    <w:rsid w:val="00581E5D"/>
    <w:rsid w:val="00582571"/>
    <w:rsid w:val="00582853"/>
    <w:rsid w:val="00582893"/>
    <w:rsid w:val="00582C76"/>
    <w:rsid w:val="005833DB"/>
    <w:rsid w:val="00583A87"/>
    <w:rsid w:val="0058403B"/>
    <w:rsid w:val="005842BA"/>
    <w:rsid w:val="005843E6"/>
    <w:rsid w:val="005845FA"/>
    <w:rsid w:val="00584AC0"/>
    <w:rsid w:val="005856AF"/>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1AEF"/>
    <w:rsid w:val="005A1F8C"/>
    <w:rsid w:val="005A2074"/>
    <w:rsid w:val="005A21E0"/>
    <w:rsid w:val="005A24AE"/>
    <w:rsid w:val="005A3394"/>
    <w:rsid w:val="005A403A"/>
    <w:rsid w:val="005A41EB"/>
    <w:rsid w:val="005A43BE"/>
    <w:rsid w:val="005A4624"/>
    <w:rsid w:val="005A5011"/>
    <w:rsid w:val="005A508D"/>
    <w:rsid w:val="005A60BA"/>
    <w:rsid w:val="005A6BC1"/>
    <w:rsid w:val="005A761B"/>
    <w:rsid w:val="005B096F"/>
    <w:rsid w:val="005B0987"/>
    <w:rsid w:val="005B0B34"/>
    <w:rsid w:val="005B0FB5"/>
    <w:rsid w:val="005B1191"/>
    <w:rsid w:val="005B1205"/>
    <w:rsid w:val="005B1D3B"/>
    <w:rsid w:val="005B2088"/>
    <w:rsid w:val="005B2466"/>
    <w:rsid w:val="005B2607"/>
    <w:rsid w:val="005B2BBB"/>
    <w:rsid w:val="005B2BF5"/>
    <w:rsid w:val="005B2FD3"/>
    <w:rsid w:val="005B41B3"/>
    <w:rsid w:val="005B4289"/>
    <w:rsid w:val="005B42F0"/>
    <w:rsid w:val="005B5926"/>
    <w:rsid w:val="005B5A74"/>
    <w:rsid w:val="005B5DBE"/>
    <w:rsid w:val="005B66C4"/>
    <w:rsid w:val="005B66DA"/>
    <w:rsid w:val="005B67B2"/>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2BF1"/>
    <w:rsid w:val="005C3964"/>
    <w:rsid w:val="005C39A9"/>
    <w:rsid w:val="005C3D1F"/>
    <w:rsid w:val="005C417A"/>
    <w:rsid w:val="005C428A"/>
    <w:rsid w:val="005C4330"/>
    <w:rsid w:val="005C4787"/>
    <w:rsid w:val="005C487C"/>
    <w:rsid w:val="005C5113"/>
    <w:rsid w:val="005C54B8"/>
    <w:rsid w:val="005C557C"/>
    <w:rsid w:val="005C56B7"/>
    <w:rsid w:val="005C5CDF"/>
    <w:rsid w:val="005C677E"/>
    <w:rsid w:val="005C68E7"/>
    <w:rsid w:val="005C6A82"/>
    <w:rsid w:val="005C6B0C"/>
    <w:rsid w:val="005C6BD2"/>
    <w:rsid w:val="005C6CD0"/>
    <w:rsid w:val="005C7072"/>
    <w:rsid w:val="005C785E"/>
    <w:rsid w:val="005C78D5"/>
    <w:rsid w:val="005D00B6"/>
    <w:rsid w:val="005D101F"/>
    <w:rsid w:val="005D1247"/>
    <w:rsid w:val="005D19D4"/>
    <w:rsid w:val="005D1A10"/>
    <w:rsid w:val="005D1D60"/>
    <w:rsid w:val="005D205D"/>
    <w:rsid w:val="005D25C0"/>
    <w:rsid w:val="005D2F54"/>
    <w:rsid w:val="005D3370"/>
    <w:rsid w:val="005D33D2"/>
    <w:rsid w:val="005D353D"/>
    <w:rsid w:val="005D3E97"/>
    <w:rsid w:val="005D3FD5"/>
    <w:rsid w:val="005D403C"/>
    <w:rsid w:val="005D42BA"/>
    <w:rsid w:val="005D463B"/>
    <w:rsid w:val="005D4E2C"/>
    <w:rsid w:val="005D593D"/>
    <w:rsid w:val="005D6377"/>
    <w:rsid w:val="005D63A5"/>
    <w:rsid w:val="005D69A4"/>
    <w:rsid w:val="005D6B95"/>
    <w:rsid w:val="005D6E26"/>
    <w:rsid w:val="005D79B5"/>
    <w:rsid w:val="005D7BDA"/>
    <w:rsid w:val="005D7E90"/>
    <w:rsid w:val="005D7FED"/>
    <w:rsid w:val="005E0A1F"/>
    <w:rsid w:val="005E0DEA"/>
    <w:rsid w:val="005E0E81"/>
    <w:rsid w:val="005E1667"/>
    <w:rsid w:val="005E17B3"/>
    <w:rsid w:val="005E1BB5"/>
    <w:rsid w:val="005E1BD6"/>
    <w:rsid w:val="005E20D0"/>
    <w:rsid w:val="005E2793"/>
    <w:rsid w:val="005E2A79"/>
    <w:rsid w:val="005E2D15"/>
    <w:rsid w:val="005E2EDB"/>
    <w:rsid w:val="005E2FB1"/>
    <w:rsid w:val="005E3485"/>
    <w:rsid w:val="005E36D9"/>
    <w:rsid w:val="005E3850"/>
    <w:rsid w:val="005E39C0"/>
    <w:rsid w:val="005E3EB4"/>
    <w:rsid w:val="005E40C8"/>
    <w:rsid w:val="005E43DF"/>
    <w:rsid w:val="005E48DE"/>
    <w:rsid w:val="005E4F3B"/>
    <w:rsid w:val="005E52DA"/>
    <w:rsid w:val="005E566F"/>
    <w:rsid w:val="005E57C0"/>
    <w:rsid w:val="005E62D3"/>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D95"/>
    <w:rsid w:val="005F5E8E"/>
    <w:rsid w:val="005F60E6"/>
    <w:rsid w:val="005F61DD"/>
    <w:rsid w:val="005F6407"/>
    <w:rsid w:val="005F7608"/>
    <w:rsid w:val="005F764A"/>
    <w:rsid w:val="005F7895"/>
    <w:rsid w:val="005F7C17"/>
    <w:rsid w:val="0060008E"/>
    <w:rsid w:val="006003DF"/>
    <w:rsid w:val="006005C1"/>
    <w:rsid w:val="00600661"/>
    <w:rsid w:val="00600A23"/>
    <w:rsid w:val="006011A0"/>
    <w:rsid w:val="00602475"/>
    <w:rsid w:val="00602A78"/>
    <w:rsid w:val="00602BCA"/>
    <w:rsid w:val="00602D87"/>
    <w:rsid w:val="0060305F"/>
    <w:rsid w:val="006034C7"/>
    <w:rsid w:val="00604617"/>
    <w:rsid w:val="00604710"/>
    <w:rsid w:val="00604730"/>
    <w:rsid w:val="006049CE"/>
    <w:rsid w:val="00604AE3"/>
    <w:rsid w:val="00604D1B"/>
    <w:rsid w:val="00604D9C"/>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057"/>
    <w:rsid w:val="0061324B"/>
    <w:rsid w:val="0061330F"/>
    <w:rsid w:val="00613641"/>
    <w:rsid w:val="0061364B"/>
    <w:rsid w:val="00614139"/>
    <w:rsid w:val="00614483"/>
    <w:rsid w:val="0061478C"/>
    <w:rsid w:val="0061516E"/>
    <w:rsid w:val="006151BC"/>
    <w:rsid w:val="00615204"/>
    <w:rsid w:val="006154F0"/>
    <w:rsid w:val="00615E77"/>
    <w:rsid w:val="006162A3"/>
    <w:rsid w:val="00616B8A"/>
    <w:rsid w:val="00616C7D"/>
    <w:rsid w:val="006172EE"/>
    <w:rsid w:val="0061735F"/>
    <w:rsid w:val="00617A80"/>
    <w:rsid w:val="00617F9A"/>
    <w:rsid w:val="006205E1"/>
    <w:rsid w:val="006208EE"/>
    <w:rsid w:val="0062091D"/>
    <w:rsid w:val="00620C44"/>
    <w:rsid w:val="0062100E"/>
    <w:rsid w:val="006211A5"/>
    <w:rsid w:val="006219BC"/>
    <w:rsid w:val="00622789"/>
    <w:rsid w:val="006229A6"/>
    <w:rsid w:val="00622F8E"/>
    <w:rsid w:val="006233C1"/>
    <w:rsid w:val="0062359C"/>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4E2"/>
    <w:rsid w:val="00631716"/>
    <w:rsid w:val="0063179F"/>
    <w:rsid w:val="006317A4"/>
    <w:rsid w:val="00632259"/>
    <w:rsid w:val="00632765"/>
    <w:rsid w:val="00632782"/>
    <w:rsid w:val="00632DD8"/>
    <w:rsid w:val="0063300A"/>
    <w:rsid w:val="006338DA"/>
    <w:rsid w:val="0063390C"/>
    <w:rsid w:val="00633A5E"/>
    <w:rsid w:val="00633C32"/>
    <w:rsid w:val="00633F74"/>
    <w:rsid w:val="006349B7"/>
    <w:rsid w:val="00635009"/>
    <w:rsid w:val="006357F2"/>
    <w:rsid w:val="00635AEB"/>
    <w:rsid w:val="00636EF8"/>
    <w:rsid w:val="00636FEF"/>
    <w:rsid w:val="0063715F"/>
    <w:rsid w:val="006377DB"/>
    <w:rsid w:val="006378EC"/>
    <w:rsid w:val="00637E6F"/>
    <w:rsid w:val="006405A2"/>
    <w:rsid w:val="00640699"/>
    <w:rsid w:val="006407E0"/>
    <w:rsid w:val="006408F3"/>
    <w:rsid w:val="0064096C"/>
    <w:rsid w:val="00640C0B"/>
    <w:rsid w:val="00641398"/>
    <w:rsid w:val="006417E0"/>
    <w:rsid w:val="006418D2"/>
    <w:rsid w:val="006419D4"/>
    <w:rsid w:val="00641E1E"/>
    <w:rsid w:val="00642453"/>
    <w:rsid w:val="00642588"/>
    <w:rsid w:val="00642687"/>
    <w:rsid w:val="00642702"/>
    <w:rsid w:val="006443B2"/>
    <w:rsid w:val="006444AA"/>
    <w:rsid w:val="00644746"/>
    <w:rsid w:val="00645210"/>
    <w:rsid w:val="0064524B"/>
    <w:rsid w:val="00645933"/>
    <w:rsid w:val="006459B3"/>
    <w:rsid w:val="00645D57"/>
    <w:rsid w:val="00646624"/>
    <w:rsid w:val="00646970"/>
    <w:rsid w:val="00646FDD"/>
    <w:rsid w:val="0064739A"/>
    <w:rsid w:val="00647C38"/>
    <w:rsid w:val="00647D39"/>
    <w:rsid w:val="006500A2"/>
    <w:rsid w:val="006500A4"/>
    <w:rsid w:val="0065058D"/>
    <w:rsid w:val="00650709"/>
    <w:rsid w:val="00650C5E"/>
    <w:rsid w:val="006510C9"/>
    <w:rsid w:val="00651147"/>
    <w:rsid w:val="0065131D"/>
    <w:rsid w:val="00651DC1"/>
    <w:rsid w:val="00651FD6"/>
    <w:rsid w:val="00652327"/>
    <w:rsid w:val="0065234B"/>
    <w:rsid w:val="0065252C"/>
    <w:rsid w:val="00653572"/>
    <w:rsid w:val="00653AC4"/>
    <w:rsid w:val="00653C52"/>
    <w:rsid w:val="006540C1"/>
    <w:rsid w:val="006543B3"/>
    <w:rsid w:val="00654642"/>
    <w:rsid w:val="00654AF4"/>
    <w:rsid w:val="00654CB8"/>
    <w:rsid w:val="0065561D"/>
    <w:rsid w:val="006556D9"/>
    <w:rsid w:val="00655F61"/>
    <w:rsid w:val="00656112"/>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0D6"/>
    <w:rsid w:val="0066527F"/>
    <w:rsid w:val="00666754"/>
    <w:rsid w:val="00666AEA"/>
    <w:rsid w:val="00667025"/>
    <w:rsid w:val="0066783D"/>
    <w:rsid w:val="00667F74"/>
    <w:rsid w:val="00667FB2"/>
    <w:rsid w:val="00670009"/>
    <w:rsid w:val="006702EB"/>
    <w:rsid w:val="00670D2E"/>
    <w:rsid w:val="0067269F"/>
    <w:rsid w:val="006726CB"/>
    <w:rsid w:val="0067272F"/>
    <w:rsid w:val="0067385F"/>
    <w:rsid w:val="00673BA4"/>
    <w:rsid w:val="00673FED"/>
    <w:rsid w:val="00674B83"/>
    <w:rsid w:val="00674C5D"/>
    <w:rsid w:val="00674ED8"/>
    <w:rsid w:val="006755B4"/>
    <w:rsid w:val="00675793"/>
    <w:rsid w:val="00675AD4"/>
    <w:rsid w:val="00675C5E"/>
    <w:rsid w:val="00676F0B"/>
    <w:rsid w:val="006771F8"/>
    <w:rsid w:val="006773D1"/>
    <w:rsid w:val="006801BB"/>
    <w:rsid w:val="006802E3"/>
    <w:rsid w:val="00680CC6"/>
    <w:rsid w:val="00681FF0"/>
    <w:rsid w:val="0068223D"/>
    <w:rsid w:val="00682278"/>
    <w:rsid w:val="0068241B"/>
    <w:rsid w:val="00683889"/>
    <w:rsid w:val="006842A2"/>
    <w:rsid w:val="006848BB"/>
    <w:rsid w:val="00685075"/>
    <w:rsid w:val="006850E0"/>
    <w:rsid w:val="00685339"/>
    <w:rsid w:val="00685597"/>
    <w:rsid w:val="00686338"/>
    <w:rsid w:val="006869CB"/>
    <w:rsid w:val="00686F56"/>
    <w:rsid w:val="00687318"/>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2E1"/>
    <w:rsid w:val="006956E0"/>
    <w:rsid w:val="00695D95"/>
    <w:rsid w:val="00695DBC"/>
    <w:rsid w:val="00695DDA"/>
    <w:rsid w:val="00696136"/>
    <w:rsid w:val="00696243"/>
    <w:rsid w:val="006962E6"/>
    <w:rsid w:val="0069657D"/>
    <w:rsid w:val="00696A8E"/>
    <w:rsid w:val="00696B16"/>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546"/>
    <w:rsid w:val="006B17D8"/>
    <w:rsid w:val="006B1C4B"/>
    <w:rsid w:val="006B1E59"/>
    <w:rsid w:val="006B2995"/>
    <w:rsid w:val="006B2F13"/>
    <w:rsid w:val="006B3EFD"/>
    <w:rsid w:val="006B40C8"/>
    <w:rsid w:val="006B465A"/>
    <w:rsid w:val="006B472A"/>
    <w:rsid w:val="006B5182"/>
    <w:rsid w:val="006B549F"/>
    <w:rsid w:val="006B65CB"/>
    <w:rsid w:val="006B765D"/>
    <w:rsid w:val="006C0867"/>
    <w:rsid w:val="006C0930"/>
    <w:rsid w:val="006C12F3"/>
    <w:rsid w:val="006C215A"/>
    <w:rsid w:val="006C24C7"/>
    <w:rsid w:val="006C273C"/>
    <w:rsid w:val="006C374A"/>
    <w:rsid w:val="006C394A"/>
    <w:rsid w:val="006C3A0F"/>
    <w:rsid w:val="006C479E"/>
    <w:rsid w:val="006C5713"/>
    <w:rsid w:val="006C57FE"/>
    <w:rsid w:val="006C5AB5"/>
    <w:rsid w:val="006C6DAA"/>
    <w:rsid w:val="006C6E36"/>
    <w:rsid w:val="006C705E"/>
    <w:rsid w:val="006C7216"/>
    <w:rsid w:val="006C7266"/>
    <w:rsid w:val="006D021E"/>
    <w:rsid w:val="006D045E"/>
    <w:rsid w:val="006D0B6D"/>
    <w:rsid w:val="006D1549"/>
    <w:rsid w:val="006D1A55"/>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237"/>
    <w:rsid w:val="006E33D2"/>
    <w:rsid w:val="006E374B"/>
    <w:rsid w:val="006E3B50"/>
    <w:rsid w:val="006E3FE7"/>
    <w:rsid w:val="006E44D3"/>
    <w:rsid w:val="006E4705"/>
    <w:rsid w:val="006E470D"/>
    <w:rsid w:val="006E49DF"/>
    <w:rsid w:val="006E4CBC"/>
    <w:rsid w:val="006E4E81"/>
    <w:rsid w:val="006E510A"/>
    <w:rsid w:val="006E58CF"/>
    <w:rsid w:val="006E6241"/>
    <w:rsid w:val="006E645F"/>
    <w:rsid w:val="006E6647"/>
    <w:rsid w:val="006E6F3D"/>
    <w:rsid w:val="006E754B"/>
    <w:rsid w:val="006F117D"/>
    <w:rsid w:val="006F1195"/>
    <w:rsid w:val="006F13F3"/>
    <w:rsid w:val="006F1DBD"/>
    <w:rsid w:val="006F1E00"/>
    <w:rsid w:val="006F1F53"/>
    <w:rsid w:val="006F20B1"/>
    <w:rsid w:val="006F301F"/>
    <w:rsid w:val="006F4C71"/>
    <w:rsid w:val="006F5847"/>
    <w:rsid w:val="006F5B1A"/>
    <w:rsid w:val="006F5F76"/>
    <w:rsid w:val="006F6790"/>
    <w:rsid w:val="006F6813"/>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1CB9"/>
    <w:rsid w:val="00712020"/>
    <w:rsid w:val="00712026"/>
    <w:rsid w:val="007121C0"/>
    <w:rsid w:val="0071224A"/>
    <w:rsid w:val="00712638"/>
    <w:rsid w:val="00712685"/>
    <w:rsid w:val="0071276A"/>
    <w:rsid w:val="00712B22"/>
    <w:rsid w:val="00712D93"/>
    <w:rsid w:val="007139BF"/>
    <w:rsid w:val="00713C11"/>
    <w:rsid w:val="007148C1"/>
    <w:rsid w:val="00714A38"/>
    <w:rsid w:val="00714B10"/>
    <w:rsid w:val="00714B64"/>
    <w:rsid w:val="00714BA7"/>
    <w:rsid w:val="00714F03"/>
    <w:rsid w:val="00715703"/>
    <w:rsid w:val="00715C06"/>
    <w:rsid w:val="00716A6C"/>
    <w:rsid w:val="00716D4E"/>
    <w:rsid w:val="0071717E"/>
    <w:rsid w:val="00717F58"/>
    <w:rsid w:val="00720A2C"/>
    <w:rsid w:val="00720B85"/>
    <w:rsid w:val="00720C22"/>
    <w:rsid w:val="00720C6E"/>
    <w:rsid w:val="00720E58"/>
    <w:rsid w:val="00720E79"/>
    <w:rsid w:val="00721989"/>
    <w:rsid w:val="00722BE6"/>
    <w:rsid w:val="00722CD9"/>
    <w:rsid w:val="00722EF9"/>
    <w:rsid w:val="007232F1"/>
    <w:rsid w:val="00723F60"/>
    <w:rsid w:val="007242AA"/>
    <w:rsid w:val="0072454A"/>
    <w:rsid w:val="007245B1"/>
    <w:rsid w:val="00724952"/>
    <w:rsid w:val="00724CD4"/>
    <w:rsid w:val="007256D2"/>
    <w:rsid w:val="00725D1A"/>
    <w:rsid w:val="00725DF3"/>
    <w:rsid w:val="00726451"/>
    <w:rsid w:val="00726AD6"/>
    <w:rsid w:val="00726B7D"/>
    <w:rsid w:val="00726B8C"/>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70D"/>
    <w:rsid w:val="00735EBF"/>
    <w:rsid w:val="007365ED"/>
    <w:rsid w:val="00736927"/>
    <w:rsid w:val="00736A93"/>
    <w:rsid w:val="00736D31"/>
    <w:rsid w:val="00737A4B"/>
    <w:rsid w:val="00740008"/>
    <w:rsid w:val="007402B1"/>
    <w:rsid w:val="00741355"/>
    <w:rsid w:val="007415A1"/>
    <w:rsid w:val="00741BA2"/>
    <w:rsid w:val="00741C56"/>
    <w:rsid w:val="00741C83"/>
    <w:rsid w:val="00741E9A"/>
    <w:rsid w:val="00742891"/>
    <w:rsid w:val="00742C3D"/>
    <w:rsid w:val="00742DAD"/>
    <w:rsid w:val="00743455"/>
    <w:rsid w:val="007435B8"/>
    <w:rsid w:val="00743B39"/>
    <w:rsid w:val="007444AE"/>
    <w:rsid w:val="007447C6"/>
    <w:rsid w:val="007449FE"/>
    <w:rsid w:val="00744CEC"/>
    <w:rsid w:val="007454F9"/>
    <w:rsid w:val="00745A05"/>
    <w:rsid w:val="00745F8E"/>
    <w:rsid w:val="00746564"/>
    <w:rsid w:val="00746721"/>
    <w:rsid w:val="007469D0"/>
    <w:rsid w:val="00747741"/>
    <w:rsid w:val="0075037F"/>
    <w:rsid w:val="007505F4"/>
    <w:rsid w:val="00750979"/>
    <w:rsid w:val="00751313"/>
    <w:rsid w:val="007514AA"/>
    <w:rsid w:val="00751760"/>
    <w:rsid w:val="007518C9"/>
    <w:rsid w:val="0075195A"/>
    <w:rsid w:val="00752107"/>
    <w:rsid w:val="0075218A"/>
    <w:rsid w:val="00752238"/>
    <w:rsid w:val="00752DE0"/>
    <w:rsid w:val="00752E14"/>
    <w:rsid w:val="00753DA5"/>
    <w:rsid w:val="0075432D"/>
    <w:rsid w:val="00754E53"/>
    <w:rsid w:val="0075502B"/>
    <w:rsid w:val="0075532D"/>
    <w:rsid w:val="00755633"/>
    <w:rsid w:val="00755B6F"/>
    <w:rsid w:val="00756A17"/>
    <w:rsid w:val="00756B41"/>
    <w:rsid w:val="007572B6"/>
    <w:rsid w:val="007574CC"/>
    <w:rsid w:val="007576EC"/>
    <w:rsid w:val="00757957"/>
    <w:rsid w:val="00757C3A"/>
    <w:rsid w:val="00760518"/>
    <w:rsid w:val="00760978"/>
    <w:rsid w:val="00760981"/>
    <w:rsid w:val="00760D42"/>
    <w:rsid w:val="00761EE2"/>
    <w:rsid w:val="00762390"/>
    <w:rsid w:val="007623B0"/>
    <w:rsid w:val="00762777"/>
    <w:rsid w:val="0076299D"/>
    <w:rsid w:val="00762A7D"/>
    <w:rsid w:val="007636CB"/>
    <w:rsid w:val="00763B9E"/>
    <w:rsid w:val="00764588"/>
    <w:rsid w:val="007648FE"/>
    <w:rsid w:val="00764B39"/>
    <w:rsid w:val="00764CA2"/>
    <w:rsid w:val="00764DE6"/>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51F"/>
    <w:rsid w:val="0077262C"/>
    <w:rsid w:val="007726D9"/>
    <w:rsid w:val="00772A29"/>
    <w:rsid w:val="007733E9"/>
    <w:rsid w:val="007736AC"/>
    <w:rsid w:val="00773B3E"/>
    <w:rsid w:val="00773E65"/>
    <w:rsid w:val="007741B0"/>
    <w:rsid w:val="007741F9"/>
    <w:rsid w:val="007745D3"/>
    <w:rsid w:val="007746DC"/>
    <w:rsid w:val="0077558B"/>
    <w:rsid w:val="007756E4"/>
    <w:rsid w:val="00776874"/>
    <w:rsid w:val="00776938"/>
    <w:rsid w:val="0077726C"/>
    <w:rsid w:val="00777AAB"/>
    <w:rsid w:val="00780747"/>
    <w:rsid w:val="00780FF9"/>
    <w:rsid w:val="0078285C"/>
    <w:rsid w:val="00782B30"/>
    <w:rsid w:val="00783952"/>
    <w:rsid w:val="00783A36"/>
    <w:rsid w:val="007845D4"/>
    <w:rsid w:val="00784DF0"/>
    <w:rsid w:val="00785A38"/>
    <w:rsid w:val="00785C2A"/>
    <w:rsid w:val="0078668F"/>
    <w:rsid w:val="00786706"/>
    <w:rsid w:val="00786B63"/>
    <w:rsid w:val="0078700E"/>
    <w:rsid w:val="00787339"/>
    <w:rsid w:val="00787B59"/>
    <w:rsid w:val="007900A9"/>
    <w:rsid w:val="007900FA"/>
    <w:rsid w:val="007910C3"/>
    <w:rsid w:val="00791110"/>
    <w:rsid w:val="00791250"/>
    <w:rsid w:val="0079150D"/>
    <w:rsid w:val="00791C7E"/>
    <w:rsid w:val="00791DE1"/>
    <w:rsid w:val="00793181"/>
    <w:rsid w:val="007936BD"/>
    <w:rsid w:val="007936C1"/>
    <w:rsid w:val="0079385B"/>
    <w:rsid w:val="00793D45"/>
    <w:rsid w:val="00795051"/>
    <w:rsid w:val="007952E6"/>
    <w:rsid w:val="007953F4"/>
    <w:rsid w:val="00795E20"/>
    <w:rsid w:val="007962D0"/>
    <w:rsid w:val="00796787"/>
    <w:rsid w:val="007975BD"/>
    <w:rsid w:val="00797B7E"/>
    <w:rsid w:val="00797EBB"/>
    <w:rsid w:val="007A03CF"/>
    <w:rsid w:val="007A05A2"/>
    <w:rsid w:val="007A10D6"/>
    <w:rsid w:val="007A12EE"/>
    <w:rsid w:val="007A138C"/>
    <w:rsid w:val="007A1834"/>
    <w:rsid w:val="007A1856"/>
    <w:rsid w:val="007A1B6B"/>
    <w:rsid w:val="007A1E52"/>
    <w:rsid w:val="007A1FBE"/>
    <w:rsid w:val="007A214B"/>
    <w:rsid w:val="007A2A4D"/>
    <w:rsid w:val="007A31B2"/>
    <w:rsid w:val="007A3629"/>
    <w:rsid w:val="007A385C"/>
    <w:rsid w:val="007A38F5"/>
    <w:rsid w:val="007A3D24"/>
    <w:rsid w:val="007A3D38"/>
    <w:rsid w:val="007A4014"/>
    <w:rsid w:val="007A4860"/>
    <w:rsid w:val="007A4CAF"/>
    <w:rsid w:val="007A4F73"/>
    <w:rsid w:val="007A4F7B"/>
    <w:rsid w:val="007A5823"/>
    <w:rsid w:val="007A5DCF"/>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1FA"/>
    <w:rsid w:val="007C3278"/>
    <w:rsid w:val="007C3BAD"/>
    <w:rsid w:val="007C44DC"/>
    <w:rsid w:val="007C4545"/>
    <w:rsid w:val="007C45F7"/>
    <w:rsid w:val="007C46D1"/>
    <w:rsid w:val="007C47C2"/>
    <w:rsid w:val="007C4822"/>
    <w:rsid w:val="007C4DEF"/>
    <w:rsid w:val="007C4F97"/>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1A71"/>
    <w:rsid w:val="007D1F22"/>
    <w:rsid w:val="007D240D"/>
    <w:rsid w:val="007D25B9"/>
    <w:rsid w:val="007D2BE8"/>
    <w:rsid w:val="007D3066"/>
    <w:rsid w:val="007D338B"/>
    <w:rsid w:val="007D3B0F"/>
    <w:rsid w:val="007D40D9"/>
    <w:rsid w:val="007D421B"/>
    <w:rsid w:val="007D4490"/>
    <w:rsid w:val="007D4579"/>
    <w:rsid w:val="007D51EB"/>
    <w:rsid w:val="007D52F0"/>
    <w:rsid w:val="007D58BB"/>
    <w:rsid w:val="007D6835"/>
    <w:rsid w:val="007D6A93"/>
    <w:rsid w:val="007D6EED"/>
    <w:rsid w:val="007D795B"/>
    <w:rsid w:val="007D7CDE"/>
    <w:rsid w:val="007D7DC7"/>
    <w:rsid w:val="007E01AF"/>
    <w:rsid w:val="007E0772"/>
    <w:rsid w:val="007E0906"/>
    <w:rsid w:val="007E0A12"/>
    <w:rsid w:val="007E0D31"/>
    <w:rsid w:val="007E0E04"/>
    <w:rsid w:val="007E0EF9"/>
    <w:rsid w:val="007E0FD3"/>
    <w:rsid w:val="007E12A7"/>
    <w:rsid w:val="007E21D9"/>
    <w:rsid w:val="007E2BDD"/>
    <w:rsid w:val="007E45CA"/>
    <w:rsid w:val="007E48C0"/>
    <w:rsid w:val="007E5885"/>
    <w:rsid w:val="007E61B7"/>
    <w:rsid w:val="007E64FF"/>
    <w:rsid w:val="007E6F17"/>
    <w:rsid w:val="007E6F62"/>
    <w:rsid w:val="007E6FEA"/>
    <w:rsid w:val="007E7C7B"/>
    <w:rsid w:val="007E7E0F"/>
    <w:rsid w:val="007E7F8F"/>
    <w:rsid w:val="007F015E"/>
    <w:rsid w:val="007F075B"/>
    <w:rsid w:val="007F081A"/>
    <w:rsid w:val="007F1160"/>
    <w:rsid w:val="007F1F3B"/>
    <w:rsid w:val="007F21B0"/>
    <w:rsid w:val="007F2C3A"/>
    <w:rsid w:val="007F2DE9"/>
    <w:rsid w:val="007F3223"/>
    <w:rsid w:val="007F341B"/>
    <w:rsid w:val="007F3682"/>
    <w:rsid w:val="007F3985"/>
    <w:rsid w:val="007F3A0C"/>
    <w:rsid w:val="007F3AA2"/>
    <w:rsid w:val="007F3B45"/>
    <w:rsid w:val="007F3E3E"/>
    <w:rsid w:val="007F4A9E"/>
    <w:rsid w:val="007F4ABC"/>
    <w:rsid w:val="007F4D45"/>
    <w:rsid w:val="007F510F"/>
    <w:rsid w:val="007F5206"/>
    <w:rsid w:val="007F545B"/>
    <w:rsid w:val="007F59B2"/>
    <w:rsid w:val="007F5A1A"/>
    <w:rsid w:val="007F5CD5"/>
    <w:rsid w:val="007F6607"/>
    <w:rsid w:val="007F6E16"/>
    <w:rsid w:val="007F7865"/>
    <w:rsid w:val="007F7BB4"/>
    <w:rsid w:val="007F7FB3"/>
    <w:rsid w:val="0080026A"/>
    <w:rsid w:val="00800340"/>
    <w:rsid w:val="00800821"/>
    <w:rsid w:val="00800953"/>
    <w:rsid w:val="00801255"/>
    <w:rsid w:val="008013A8"/>
    <w:rsid w:val="0080197B"/>
    <w:rsid w:val="00801AE1"/>
    <w:rsid w:val="00801C1F"/>
    <w:rsid w:val="008021D3"/>
    <w:rsid w:val="00802849"/>
    <w:rsid w:val="00802971"/>
    <w:rsid w:val="00802FFF"/>
    <w:rsid w:val="008038E3"/>
    <w:rsid w:val="008038F6"/>
    <w:rsid w:val="00803939"/>
    <w:rsid w:val="00804558"/>
    <w:rsid w:val="008047AE"/>
    <w:rsid w:val="00804A0C"/>
    <w:rsid w:val="00804B21"/>
    <w:rsid w:val="00805483"/>
    <w:rsid w:val="0080585D"/>
    <w:rsid w:val="00806273"/>
    <w:rsid w:val="0080661F"/>
    <w:rsid w:val="008067A0"/>
    <w:rsid w:val="00806EFD"/>
    <w:rsid w:val="00807074"/>
    <w:rsid w:val="008073AA"/>
    <w:rsid w:val="00807A35"/>
    <w:rsid w:val="00807E43"/>
    <w:rsid w:val="00807E97"/>
    <w:rsid w:val="00807F69"/>
    <w:rsid w:val="00810368"/>
    <w:rsid w:val="008108B5"/>
    <w:rsid w:val="00810BE7"/>
    <w:rsid w:val="008111E3"/>
    <w:rsid w:val="00811336"/>
    <w:rsid w:val="0081165D"/>
    <w:rsid w:val="00811A5A"/>
    <w:rsid w:val="00811B28"/>
    <w:rsid w:val="00811E2C"/>
    <w:rsid w:val="00812156"/>
    <w:rsid w:val="00812862"/>
    <w:rsid w:val="00812A7A"/>
    <w:rsid w:val="0081362B"/>
    <w:rsid w:val="00813669"/>
    <w:rsid w:val="008136E0"/>
    <w:rsid w:val="00813A49"/>
    <w:rsid w:val="00814257"/>
    <w:rsid w:val="0081450B"/>
    <w:rsid w:val="0081467F"/>
    <w:rsid w:val="00814EF5"/>
    <w:rsid w:val="00815339"/>
    <w:rsid w:val="0081591F"/>
    <w:rsid w:val="00815A99"/>
    <w:rsid w:val="00815E5B"/>
    <w:rsid w:val="008160D1"/>
    <w:rsid w:val="008162B3"/>
    <w:rsid w:val="0081640D"/>
    <w:rsid w:val="008165F6"/>
    <w:rsid w:val="0081679A"/>
    <w:rsid w:val="0081687A"/>
    <w:rsid w:val="008169A1"/>
    <w:rsid w:val="00817967"/>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247"/>
    <w:rsid w:val="0082350E"/>
    <w:rsid w:val="00823658"/>
    <w:rsid w:val="008239BF"/>
    <w:rsid w:val="00823B36"/>
    <w:rsid w:val="0082401B"/>
    <w:rsid w:val="0082488C"/>
    <w:rsid w:val="008251E7"/>
    <w:rsid w:val="00825417"/>
    <w:rsid w:val="008262BC"/>
    <w:rsid w:val="008262DB"/>
    <w:rsid w:val="008266A2"/>
    <w:rsid w:val="008267AE"/>
    <w:rsid w:val="008267E2"/>
    <w:rsid w:val="00827F44"/>
    <w:rsid w:val="008305E4"/>
    <w:rsid w:val="00830B33"/>
    <w:rsid w:val="0083118A"/>
    <w:rsid w:val="00831784"/>
    <w:rsid w:val="00832727"/>
    <w:rsid w:val="00833643"/>
    <w:rsid w:val="008337C1"/>
    <w:rsid w:val="00833FE9"/>
    <w:rsid w:val="00834E39"/>
    <w:rsid w:val="00834F23"/>
    <w:rsid w:val="008353B6"/>
    <w:rsid w:val="0083559B"/>
    <w:rsid w:val="00836A67"/>
    <w:rsid w:val="00836CEB"/>
    <w:rsid w:val="008370C7"/>
    <w:rsid w:val="0083797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9A1"/>
    <w:rsid w:val="00851B3F"/>
    <w:rsid w:val="00851DCB"/>
    <w:rsid w:val="00851E0C"/>
    <w:rsid w:val="00851F5F"/>
    <w:rsid w:val="00852142"/>
    <w:rsid w:val="008528CF"/>
    <w:rsid w:val="0085311F"/>
    <w:rsid w:val="00853334"/>
    <w:rsid w:val="00853510"/>
    <w:rsid w:val="00853B22"/>
    <w:rsid w:val="00853DB7"/>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233"/>
    <w:rsid w:val="0086151A"/>
    <w:rsid w:val="0086173C"/>
    <w:rsid w:val="00861DA4"/>
    <w:rsid w:val="00862330"/>
    <w:rsid w:val="0086261E"/>
    <w:rsid w:val="0086264B"/>
    <w:rsid w:val="008626E9"/>
    <w:rsid w:val="008626EB"/>
    <w:rsid w:val="008627BF"/>
    <w:rsid w:val="00862EFD"/>
    <w:rsid w:val="00862F95"/>
    <w:rsid w:val="008638FB"/>
    <w:rsid w:val="00863938"/>
    <w:rsid w:val="0086444C"/>
    <w:rsid w:val="008644B1"/>
    <w:rsid w:val="00864768"/>
    <w:rsid w:val="008651B3"/>
    <w:rsid w:val="008653FC"/>
    <w:rsid w:val="008654B5"/>
    <w:rsid w:val="008658AB"/>
    <w:rsid w:val="00865B18"/>
    <w:rsid w:val="00866706"/>
    <w:rsid w:val="0086672E"/>
    <w:rsid w:val="00866CF2"/>
    <w:rsid w:val="008675EC"/>
    <w:rsid w:val="008679CE"/>
    <w:rsid w:val="00867DA7"/>
    <w:rsid w:val="0087018F"/>
    <w:rsid w:val="008705A8"/>
    <w:rsid w:val="00870868"/>
    <w:rsid w:val="0087172E"/>
    <w:rsid w:val="008718FC"/>
    <w:rsid w:val="00871CC2"/>
    <w:rsid w:val="00871F4F"/>
    <w:rsid w:val="0087200D"/>
    <w:rsid w:val="00872131"/>
    <w:rsid w:val="008723B8"/>
    <w:rsid w:val="008725F5"/>
    <w:rsid w:val="00873147"/>
    <w:rsid w:val="008735FB"/>
    <w:rsid w:val="00873664"/>
    <w:rsid w:val="008736D2"/>
    <w:rsid w:val="00873C1E"/>
    <w:rsid w:val="00873CB9"/>
    <w:rsid w:val="00873CD6"/>
    <w:rsid w:val="00873D9F"/>
    <w:rsid w:val="00873DE6"/>
    <w:rsid w:val="00873FBF"/>
    <w:rsid w:val="00874178"/>
    <w:rsid w:val="00874272"/>
    <w:rsid w:val="008743DF"/>
    <w:rsid w:val="0087440E"/>
    <w:rsid w:val="008744E3"/>
    <w:rsid w:val="00874521"/>
    <w:rsid w:val="00874C1F"/>
    <w:rsid w:val="00874C66"/>
    <w:rsid w:val="00874F67"/>
    <w:rsid w:val="00875356"/>
    <w:rsid w:val="00875BCC"/>
    <w:rsid w:val="00875F4F"/>
    <w:rsid w:val="008760D6"/>
    <w:rsid w:val="008762D8"/>
    <w:rsid w:val="008772D9"/>
    <w:rsid w:val="00877973"/>
    <w:rsid w:val="00877B29"/>
    <w:rsid w:val="008808B9"/>
    <w:rsid w:val="00880B30"/>
    <w:rsid w:val="00880F1D"/>
    <w:rsid w:val="0088172A"/>
    <w:rsid w:val="00881F90"/>
    <w:rsid w:val="00882798"/>
    <w:rsid w:val="00882988"/>
    <w:rsid w:val="00882B00"/>
    <w:rsid w:val="00884B05"/>
    <w:rsid w:val="00884EB1"/>
    <w:rsid w:val="008851C4"/>
    <w:rsid w:val="00885209"/>
    <w:rsid w:val="00885696"/>
    <w:rsid w:val="0088570A"/>
    <w:rsid w:val="00885AE4"/>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3E5E"/>
    <w:rsid w:val="008941FB"/>
    <w:rsid w:val="00894565"/>
    <w:rsid w:val="008950D6"/>
    <w:rsid w:val="00895B46"/>
    <w:rsid w:val="00896474"/>
    <w:rsid w:val="00896C1A"/>
    <w:rsid w:val="00896DBC"/>
    <w:rsid w:val="00897B59"/>
    <w:rsid w:val="00897C6C"/>
    <w:rsid w:val="00897D1A"/>
    <w:rsid w:val="008A06E3"/>
    <w:rsid w:val="008A0905"/>
    <w:rsid w:val="008A0B02"/>
    <w:rsid w:val="008A0E0D"/>
    <w:rsid w:val="008A1275"/>
    <w:rsid w:val="008A155C"/>
    <w:rsid w:val="008A180E"/>
    <w:rsid w:val="008A197C"/>
    <w:rsid w:val="008A1CF5"/>
    <w:rsid w:val="008A2545"/>
    <w:rsid w:val="008A2636"/>
    <w:rsid w:val="008A279E"/>
    <w:rsid w:val="008A35DB"/>
    <w:rsid w:val="008A3AF9"/>
    <w:rsid w:val="008A3FBE"/>
    <w:rsid w:val="008A4013"/>
    <w:rsid w:val="008A4B7C"/>
    <w:rsid w:val="008A4C9C"/>
    <w:rsid w:val="008A540F"/>
    <w:rsid w:val="008A54E7"/>
    <w:rsid w:val="008A5CC0"/>
    <w:rsid w:val="008A6041"/>
    <w:rsid w:val="008A60F8"/>
    <w:rsid w:val="008A62A8"/>
    <w:rsid w:val="008A69FE"/>
    <w:rsid w:val="008A6B06"/>
    <w:rsid w:val="008A6CED"/>
    <w:rsid w:val="008A6EC7"/>
    <w:rsid w:val="008A6F36"/>
    <w:rsid w:val="008A7286"/>
    <w:rsid w:val="008A7B50"/>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5253"/>
    <w:rsid w:val="008B53D8"/>
    <w:rsid w:val="008B55F6"/>
    <w:rsid w:val="008B5DD4"/>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57E1"/>
    <w:rsid w:val="008C5948"/>
    <w:rsid w:val="008C6056"/>
    <w:rsid w:val="008C6628"/>
    <w:rsid w:val="008C69C9"/>
    <w:rsid w:val="008C6E38"/>
    <w:rsid w:val="008C6F75"/>
    <w:rsid w:val="008C7C18"/>
    <w:rsid w:val="008C7CC4"/>
    <w:rsid w:val="008C7D56"/>
    <w:rsid w:val="008D047D"/>
    <w:rsid w:val="008D0B4C"/>
    <w:rsid w:val="008D0ED5"/>
    <w:rsid w:val="008D14C4"/>
    <w:rsid w:val="008D1964"/>
    <w:rsid w:val="008D2169"/>
    <w:rsid w:val="008D221A"/>
    <w:rsid w:val="008D24D6"/>
    <w:rsid w:val="008D24E1"/>
    <w:rsid w:val="008D3E6A"/>
    <w:rsid w:val="008D53E2"/>
    <w:rsid w:val="008D5548"/>
    <w:rsid w:val="008D5908"/>
    <w:rsid w:val="008D5AF1"/>
    <w:rsid w:val="008D61E4"/>
    <w:rsid w:val="008D6A6E"/>
    <w:rsid w:val="008D781F"/>
    <w:rsid w:val="008D7BDA"/>
    <w:rsid w:val="008D7DBE"/>
    <w:rsid w:val="008E00F3"/>
    <w:rsid w:val="008E02B7"/>
    <w:rsid w:val="008E0593"/>
    <w:rsid w:val="008E1354"/>
    <w:rsid w:val="008E15B0"/>
    <w:rsid w:val="008E20BE"/>
    <w:rsid w:val="008E22F8"/>
    <w:rsid w:val="008E2317"/>
    <w:rsid w:val="008E241B"/>
    <w:rsid w:val="008E269F"/>
    <w:rsid w:val="008E2964"/>
    <w:rsid w:val="008E2DBD"/>
    <w:rsid w:val="008E3096"/>
    <w:rsid w:val="008E330C"/>
    <w:rsid w:val="008E332F"/>
    <w:rsid w:val="008E4114"/>
    <w:rsid w:val="008E42C2"/>
    <w:rsid w:val="008E45EA"/>
    <w:rsid w:val="008E4A1A"/>
    <w:rsid w:val="008E4EF4"/>
    <w:rsid w:val="008E560B"/>
    <w:rsid w:val="008E5E01"/>
    <w:rsid w:val="008E69A3"/>
    <w:rsid w:val="008E7CC9"/>
    <w:rsid w:val="008F02A1"/>
    <w:rsid w:val="008F0E69"/>
    <w:rsid w:val="008F12FF"/>
    <w:rsid w:val="008F1E07"/>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B43"/>
    <w:rsid w:val="00900EC7"/>
    <w:rsid w:val="00900FFC"/>
    <w:rsid w:val="009011F9"/>
    <w:rsid w:val="00901244"/>
    <w:rsid w:val="00901570"/>
    <w:rsid w:val="0090183D"/>
    <w:rsid w:val="00901979"/>
    <w:rsid w:val="00901F0B"/>
    <w:rsid w:val="00902357"/>
    <w:rsid w:val="0090242A"/>
    <w:rsid w:val="009029A5"/>
    <w:rsid w:val="00902C85"/>
    <w:rsid w:val="009030F7"/>
    <w:rsid w:val="009034D9"/>
    <w:rsid w:val="00903FEA"/>
    <w:rsid w:val="009046A4"/>
    <w:rsid w:val="009046C9"/>
    <w:rsid w:val="009046F1"/>
    <w:rsid w:val="009046FB"/>
    <w:rsid w:val="00904883"/>
    <w:rsid w:val="00904B0A"/>
    <w:rsid w:val="00904F84"/>
    <w:rsid w:val="009055DD"/>
    <w:rsid w:val="0090616A"/>
    <w:rsid w:val="00906527"/>
    <w:rsid w:val="0090675A"/>
    <w:rsid w:val="00906BD9"/>
    <w:rsid w:val="00906EA0"/>
    <w:rsid w:val="009071AF"/>
    <w:rsid w:val="00907F4C"/>
    <w:rsid w:val="0091006A"/>
    <w:rsid w:val="00910B57"/>
    <w:rsid w:val="00911058"/>
    <w:rsid w:val="0091148A"/>
    <w:rsid w:val="00911985"/>
    <w:rsid w:val="00912347"/>
    <w:rsid w:val="0091268D"/>
    <w:rsid w:val="009129C1"/>
    <w:rsid w:val="009134D1"/>
    <w:rsid w:val="00913B74"/>
    <w:rsid w:val="00913EBB"/>
    <w:rsid w:val="009141BB"/>
    <w:rsid w:val="00914B55"/>
    <w:rsid w:val="00914CB3"/>
    <w:rsid w:val="00914DC4"/>
    <w:rsid w:val="00915329"/>
    <w:rsid w:val="0091588C"/>
    <w:rsid w:val="00915DB5"/>
    <w:rsid w:val="00915DF4"/>
    <w:rsid w:val="00916068"/>
    <w:rsid w:val="00916194"/>
    <w:rsid w:val="00916A97"/>
    <w:rsid w:val="00916BF5"/>
    <w:rsid w:val="00916CCB"/>
    <w:rsid w:val="00916FF2"/>
    <w:rsid w:val="00917175"/>
    <w:rsid w:val="00917DB8"/>
    <w:rsid w:val="00920EC8"/>
    <w:rsid w:val="00921102"/>
    <w:rsid w:val="00921305"/>
    <w:rsid w:val="00921783"/>
    <w:rsid w:val="009217D9"/>
    <w:rsid w:val="00921AC8"/>
    <w:rsid w:val="00921AD2"/>
    <w:rsid w:val="0092206F"/>
    <w:rsid w:val="00922482"/>
    <w:rsid w:val="0092297A"/>
    <w:rsid w:val="00922A2B"/>
    <w:rsid w:val="0092345D"/>
    <w:rsid w:val="0092489D"/>
    <w:rsid w:val="00924A6C"/>
    <w:rsid w:val="00924D79"/>
    <w:rsid w:val="00924ED4"/>
    <w:rsid w:val="00924F63"/>
    <w:rsid w:val="0092524C"/>
    <w:rsid w:val="0092560C"/>
    <w:rsid w:val="0092655F"/>
    <w:rsid w:val="009267DA"/>
    <w:rsid w:val="00926906"/>
    <w:rsid w:val="009271AB"/>
    <w:rsid w:val="00927281"/>
    <w:rsid w:val="009273B8"/>
    <w:rsid w:val="00927524"/>
    <w:rsid w:val="00927A20"/>
    <w:rsid w:val="00927AE3"/>
    <w:rsid w:val="00927B80"/>
    <w:rsid w:val="00930298"/>
    <w:rsid w:val="009302A6"/>
    <w:rsid w:val="009309E9"/>
    <w:rsid w:val="00931325"/>
    <w:rsid w:val="009319DC"/>
    <w:rsid w:val="00931AAD"/>
    <w:rsid w:val="00931E6D"/>
    <w:rsid w:val="00932605"/>
    <w:rsid w:val="00932A9E"/>
    <w:rsid w:val="00932D04"/>
    <w:rsid w:val="00932E9E"/>
    <w:rsid w:val="00933B8A"/>
    <w:rsid w:val="00933CAC"/>
    <w:rsid w:val="00934141"/>
    <w:rsid w:val="009341AA"/>
    <w:rsid w:val="0093429A"/>
    <w:rsid w:val="009352D3"/>
    <w:rsid w:val="009354C0"/>
    <w:rsid w:val="009355BB"/>
    <w:rsid w:val="00935789"/>
    <w:rsid w:val="009359C5"/>
    <w:rsid w:val="00935CFA"/>
    <w:rsid w:val="009361E8"/>
    <w:rsid w:val="00936247"/>
    <w:rsid w:val="0093637F"/>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7AA"/>
    <w:rsid w:val="00944AE2"/>
    <w:rsid w:val="0094526B"/>
    <w:rsid w:val="009456EB"/>
    <w:rsid w:val="00945B92"/>
    <w:rsid w:val="00945E7E"/>
    <w:rsid w:val="00945E8F"/>
    <w:rsid w:val="009463FD"/>
    <w:rsid w:val="009467FD"/>
    <w:rsid w:val="00946858"/>
    <w:rsid w:val="00946D2E"/>
    <w:rsid w:val="00946E64"/>
    <w:rsid w:val="009472F6"/>
    <w:rsid w:val="00947804"/>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1CB"/>
    <w:rsid w:val="0095752A"/>
    <w:rsid w:val="009577C1"/>
    <w:rsid w:val="009602BA"/>
    <w:rsid w:val="009609CA"/>
    <w:rsid w:val="009615D7"/>
    <w:rsid w:val="00961B0E"/>
    <w:rsid w:val="009620DF"/>
    <w:rsid w:val="00962D17"/>
    <w:rsid w:val="00963D17"/>
    <w:rsid w:val="00963D45"/>
    <w:rsid w:val="009640B5"/>
    <w:rsid w:val="00964459"/>
    <w:rsid w:val="009645EC"/>
    <w:rsid w:val="009657D5"/>
    <w:rsid w:val="00965EA9"/>
    <w:rsid w:val="00965F9F"/>
    <w:rsid w:val="00966141"/>
    <w:rsid w:val="009662EC"/>
    <w:rsid w:val="00966611"/>
    <w:rsid w:val="009669CC"/>
    <w:rsid w:val="00967655"/>
    <w:rsid w:val="00967C10"/>
    <w:rsid w:val="00970261"/>
    <w:rsid w:val="00970F12"/>
    <w:rsid w:val="009710BF"/>
    <w:rsid w:val="00971874"/>
    <w:rsid w:val="00971D9E"/>
    <w:rsid w:val="00971F83"/>
    <w:rsid w:val="00972061"/>
    <w:rsid w:val="0097245C"/>
    <w:rsid w:val="009725FE"/>
    <w:rsid w:val="0097282B"/>
    <w:rsid w:val="00972DAC"/>
    <w:rsid w:val="009731F7"/>
    <w:rsid w:val="00973A35"/>
    <w:rsid w:val="009741F3"/>
    <w:rsid w:val="00974630"/>
    <w:rsid w:val="00974A1E"/>
    <w:rsid w:val="00975110"/>
    <w:rsid w:val="0097559A"/>
    <w:rsid w:val="00975D48"/>
    <w:rsid w:val="00975D68"/>
    <w:rsid w:val="00975FD3"/>
    <w:rsid w:val="00976546"/>
    <w:rsid w:val="00976FCF"/>
    <w:rsid w:val="0097768A"/>
    <w:rsid w:val="00980BAC"/>
    <w:rsid w:val="00980DF0"/>
    <w:rsid w:val="00980F3F"/>
    <w:rsid w:val="00981424"/>
    <w:rsid w:val="00981D1C"/>
    <w:rsid w:val="00982214"/>
    <w:rsid w:val="009823D4"/>
    <w:rsid w:val="00982474"/>
    <w:rsid w:val="00983285"/>
    <w:rsid w:val="0098334A"/>
    <w:rsid w:val="0098385E"/>
    <w:rsid w:val="00984672"/>
    <w:rsid w:val="00984F97"/>
    <w:rsid w:val="009853B8"/>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859"/>
    <w:rsid w:val="00994B69"/>
    <w:rsid w:val="00994E90"/>
    <w:rsid w:val="0099551B"/>
    <w:rsid w:val="009955E2"/>
    <w:rsid w:val="00995629"/>
    <w:rsid w:val="009959A5"/>
    <w:rsid w:val="00995C16"/>
    <w:rsid w:val="0099625A"/>
    <w:rsid w:val="009965BC"/>
    <w:rsid w:val="0099662E"/>
    <w:rsid w:val="00996957"/>
    <w:rsid w:val="00997258"/>
    <w:rsid w:val="00997AF0"/>
    <w:rsid w:val="00997C19"/>
    <w:rsid w:val="009A0415"/>
    <w:rsid w:val="009A04CD"/>
    <w:rsid w:val="009A0A05"/>
    <w:rsid w:val="009A0A3A"/>
    <w:rsid w:val="009A0B14"/>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928"/>
    <w:rsid w:val="009A5AE0"/>
    <w:rsid w:val="009A6621"/>
    <w:rsid w:val="009A6AEA"/>
    <w:rsid w:val="009A6CC5"/>
    <w:rsid w:val="009A6F64"/>
    <w:rsid w:val="009A7196"/>
    <w:rsid w:val="009B1F3A"/>
    <w:rsid w:val="009B21F9"/>
    <w:rsid w:val="009B26B1"/>
    <w:rsid w:val="009B2766"/>
    <w:rsid w:val="009B2B6B"/>
    <w:rsid w:val="009B3248"/>
    <w:rsid w:val="009B32F0"/>
    <w:rsid w:val="009B368F"/>
    <w:rsid w:val="009B3EB4"/>
    <w:rsid w:val="009B3F21"/>
    <w:rsid w:val="009B42BE"/>
    <w:rsid w:val="009B5973"/>
    <w:rsid w:val="009B5B48"/>
    <w:rsid w:val="009B62E6"/>
    <w:rsid w:val="009B66EB"/>
    <w:rsid w:val="009B67C4"/>
    <w:rsid w:val="009B68B1"/>
    <w:rsid w:val="009B6A3F"/>
    <w:rsid w:val="009B6C5A"/>
    <w:rsid w:val="009B71E1"/>
    <w:rsid w:val="009C0448"/>
    <w:rsid w:val="009C0593"/>
    <w:rsid w:val="009C0615"/>
    <w:rsid w:val="009C0CF8"/>
    <w:rsid w:val="009C0CFB"/>
    <w:rsid w:val="009C0D49"/>
    <w:rsid w:val="009C0E2D"/>
    <w:rsid w:val="009C125A"/>
    <w:rsid w:val="009C1EB2"/>
    <w:rsid w:val="009C2675"/>
    <w:rsid w:val="009C2839"/>
    <w:rsid w:val="009C2DC4"/>
    <w:rsid w:val="009C3007"/>
    <w:rsid w:val="009C3042"/>
    <w:rsid w:val="009C386A"/>
    <w:rsid w:val="009C3B59"/>
    <w:rsid w:val="009C3BEF"/>
    <w:rsid w:val="009C3E9C"/>
    <w:rsid w:val="009C4598"/>
    <w:rsid w:val="009C4A32"/>
    <w:rsid w:val="009C4B90"/>
    <w:rsid w:val="009C589E"/>
    <w:rsid w:val="009C63AB"/>
    <w:rsid w:val="009C69D0"/>
    <w:rsid w:val="009C69F4"/>
    <w:rsid w:val="009C6B18"/>
    <w:rsid w:val="009C7163"/>
    <w:rsid w:val="009C77A3"/>
    <w:rsid w:val="009C7F92"/>
    <w:rsid w:val="009D1082"/>
    <w:rsid w:val="009D16A5"/>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498"/>
    <w:rsid w:val="009D48BA"/>
    <w:rsid w:val="009D4B7E"/>
    <w:rsid w:val="009D4D48"/>
    <w:rsid w:val="009D4DC6"/>
    <w:rsid w:val="009D5106"/>
    <w:rsid w:val="009D5423"/>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19F"/>
    <w:rsid w:val="009F336F"/>
    <w:rsid w:val="009F3E13"/>
    <w:rsid w:val="009F40CE"/>
    <w:rsid w:val="009F4CDA"/>
    <w:rsid w:val="009F59BF"/>
    <w:rsid w:val="009F5F68"/>
    <w:rsid w:val="009F6051"/>
    <w:rsid w:val="009F776E"/>
    <w:rsid w:val="00A00BD4"/>
    <w:rsid w:val="00A00F42"/>
    <w:rsid w:val="00A01519"/>
    <w:rsid w:val="00A0195A"/>
    <w:rsid w:val="00A01AD2"/>
    <w:rsid w:val="00A02D3C"/>
    <w:rsid w:val="00A03287"/>
    <w:rsid w:val="00A032EA"/>
    <w:rsid w:val="00A0408F"/>
    <w:rsid w:val="00A0431E"/>
    <w:rsid w:val="00A04DAD"/>
    <w:rsid w:val="00A04E68"/>
    <w:rsid w:val="00A05155"/>
    <w:rsid w:val="00A05975"/>
    <w:rsid w:val="00A05D58"/>
    <w:rsid w:val="00A05EAA"/>
    <w:rsid w:val="00A0605F"/>
    <w:rsid w:val="00A0608D"/>
    <w:rsid w:val="00A060BE"/>
    <w:rsid w:val="00A0695E"/>
    <w:rsid w:val="00A07D26"/>
    <w:rsid w:val="00A1036E"/>
    <w:rsid w:val="00A104A1"/>
    <w:rsid w:val="00A10896"/>
    <w:rsid w:val="00A10D11"/>
    <w:rsid w:val="00A10D80"/>
    <w:rsid w:val="00A10FC7"/>
    <w:rsid w:val="00A1149A"/>
    <w:rsid w:val="00A11671"/>
    <w:rsid w:val="00A1187C"/>
    <w:rsid w:val="00A11D21"/>
    <w:rsid w:val="00A12CCC"/>
    <w:rsid w:val="00A12D1A"/>
    <w:rsid w:val="00A12E07"/>
    <w:rsid w:val="00A12F3D"/>
    <w:rsid w:val="00A13A4E"/>
    <w:rsid w:val="00A142FE"/>
    <w:rsid w:val="00A14F6A"/>
    <w:rsid w:val="00A15479"/>
    <w:rsid w:val="00A15566"/>
    <w:rsid w:val="00A15B2D"/>
    <w:rsid w:val="00A163CD"/>
    <w:rsid w:val="00A16778"/>
    <w:rsid w:val="00A16B57"/>
    <w:rsid w:val="00A20224"/>
    <w:rsid w:val="00A207CF"/>
    <w:rsid w:val="00A20BF9"/>
    <w:rsid w:val="00A21424"/>
    <w:rsid w:val="00A21997"/>
    <w:rsid w:val="00A23A98"/>
    <w:rsid w:val="00A24200"/>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BB4"/>
    <w:rsid w:val="00A33CCF"/>
    <w:rsid w:val="00A35B2C"/>
    <w:rsid w:val="00A35D65"/>
    <w:rsid w:val="00A36CF6"/>
    <w:rsid w:val="00A36EC5"/>
    <w:rsid w:val="00A37EDA"/>
    <w:rsid w:val="00A4035D"/>
    <w:rsid w:val="00A403FC"/>
    <w:rsid w:val="00A413A3"/>
    <w:rsid w:val="00A41C07"/>
    <w:rsid w:val="00A41DB1"/>
    <w:rsid w:val="00A43270"/>
    <w:rsid w:val="00A436CD"/>
    <w:rsid w:val="00A44299"/>
    <w:rsid w:val="00A445B0"/>
    <w:rsid w:val="00A445C5"/>
    <w:rsid w:val="00A44E81"/>
    <w:rsid w:val="00A4539E"/>
    <w:rsid w:val="00A454C5"/>
    <w:rsid w:val="00A46080"/>
    <w:rsid w:val="00A461CB"/>
    <w:rsid w:val="00A46C6C"/>
    <w:rsid w:val="00A46EB1"/>
    <w:rsid w:val="00A47523"/>
    <w:rsid w:val="00A47A54"/>
    <w:rsid w:val="00A47C59"/>
    <w:rsid w:val="00A50197"/>
    <w:rsid w:val="00A50CB6"/>
    <w:rsid w:val="00A50FEC"/>
    <w:rsid w:val="00A51D44"/>
    <w:rsid w:val="00A51FC3"/>
    <w:rsid w:val="00A5237D"/>
    <w:rsid w:val="00A52CE8"/>
    <w:rsid w:val="00A532FC"/>
    <w:rsid w:val="00A53624"/>
    <w:rsid w:val="00A54F72"/>
    <w:rsid w:val="00A55002"/>
    <w:rsid w:val="00A554CC"/>
    <w:rsid w:val="00A5579B"/>
    <w:rsid w:val="00A559EF"/>
    <w:rsid w:val="00A56560"/>
    <w:rsid w:val="00A565B6"/>
    <w:rsid w:val="00A567E2"/>
    <w:rsid w:val="00A56806"/>
    <w:rsid w:val="00A578E2"/>
    <w:rsid w:val="00A57F15"/>
    <w:rsid w:val="00A60066"/>
    <w:rsid w:val="00A60179"/>
    <w:rsid w:val="00A613B7"/>
    <w:rsid w:val="00A61782"/>
    <w:rsid w:val="00A61FDA"/>
    <w:rsid w:val="00A63850"/>
    <w:rsid w:val="00A63B0C"/>
    <w:rsid w:val="00A64657"/>
    <w:rsid w:val="00A64787"/>
    <w:rsid w:val="00A648E9"/>
    <w:rsid w:val="00A64ED1"/>
    <w:rsid w:val="00A65B40"/>
    <w:rsid w:val="00A65B7D"/>
    <w:rsid w:val="00A6654A"/>
    <w:rsid w:val="00A66C0D"/>
    <w:rsid w:val="00A6704E"/>
    <w:rsid w:val="00A6764D"/>
    <w:rsid w:val="00A67934"/>
    <w:rsid w:val="00A67D4A"/>
    <w:rsid w:val="00A70230"/>
    <w:rsid w:val="00A703AE"/>
    <w:rsid w:val="00A703F0"/>
    <w:rsid w:val="00A70415"/>
    <w:rsid w:val="00A709AE"/>
    <w:rsid w:val="00A70AFB"/>
    <w:rsid w:val="00A70DCB"/>
    <w:rsid w:val="00A70E5B"/>
    <w:rsid w:val="00A71AFE"/>
    <w:rsid w:val="00A71FD1"/>
    <w:rsid w:val="00A720C2"/>
    <w:rsid w:val="00A7248F"/>
    <w:rsid w:val="00A72733"/>
    <w:rsid w:val="00A72B1E"/>
    <w:rsid w:val="00A72BC8"/>
    <w:rsid w:val="00A72C04"/>
    <w:rsid w:val="00A72FE2"/>
    <w:rsid w:val="00A73341"/>
    <w:rsid w:val="00A748ED"/>
    <w:rsid w:val="00A74BF9"/>
    <w:rsid w:val="00A752D3"/>
    <w:rsid w:val="00A75386"/>
    <w:rsid w:val="00A7593A"/>
    <w:rsid w:val="00A7597F"/>
    <w:rsid w:val="00A75B02"/>
    <w:rsid w:val="00A75D3F"/>
    <w:rsid w:val="00A7664B"/>
    <w:rsid w:val="00A768C8"/>
    <w:rsid w:val="00A76C21"/>
    <w:rsid w:val="00A77727"/>
    <w:rsid w:val="00A81251"/>
    <w:rsid w:val="00A81951"/>
    <w:rsid w:val="00A8226A"/>
    <w:rsid w:val="00A827A9"/>
    <w:rsid w:val="00A82941"/>
    <w:rsid w:val="00A834D6"/>
    <w:rsid w:val="00A83A31"/>
    <w:rsid w:val="00A83A61"/>
    <w:rsid w:val="00A83DBC"/>
    <w:rsid w:val="00A841D6"/>
    <w:rsid w:val="00A84746"/>
    <w:rsid w:val="00A847AE"/>
    <w:rsid w:val="00A84B98"/>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1128"/>
    <w:rsid w:val="00AA1337"/>
    <w:rsid w:val="00AA1528"/>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7B6"/>
    <w:rsid w:val="00AB1C10"/>
    <w:rsid w:val="00AB212D"/>
    <w:rsid w:val="00AB32C1"/>
    <w:rsid w:val="00AB3552"/>
    <w:rsid w:val="00AB3CC9"/>
    <w:rsid w:val="00AB49C3"/>
    <w:rsid w:val="00AB55F8"/>
    <w:rsid w:val="00AB5DF2"/>
    <w:rsid w:val="00AB6BAA"/>
    <w:rsid w:val="00AB6C4D"/>
    <w:rsid w:val="00AB7866"/>
    <w:rsid w:val="00AC1D3B"/>
    <w:rsid w:val="00AC2035"/>
    <w:rsid w:val="00AC226A"/>
    <w:rsid w:val="00AC246C"/>
    <w:rsid w:val="00AC2A38"/>
    <w:rsid w:val="00AC2FB2"/>
    <w:rsid w:val="00AC32FB"/>
    <w:rsid w:val="00AC3ADE"/>
    <w:rsid w:val="00AC3F58"/>
    <w:rsid w:val="00AC4C92"/>
    <w:rsid w:val="00AC4E28"/>
    <w:rsid w:val="00AC4E71"/>
    <w:rsid w:val="00AC4F7E"/>
    <w:rsid w:val="00AC56D6"/>
    <w:rsid w:val="00AC5700"/>
    <w:rsid w:val="00AC5A64"/>
    <w:rsid w:val="00AC617E"/>
    <w:rsid w:val="00AC6CDC"/>
    <w:rsid w:val="00AC6E75"/>
    <w:rsid w:val="00AC7042"/>
    <w:rsid w:val="00AC70B8"/>
    <w:rsid w:val="00AC752F"/>
    <w:rsid w:val="00AC798D"/>
    <w:rsid w:val="00AC7B8D"/>
    <w:rsid w:val="00AC7E49"/>
    <w:rsid w:val="00AD02C0"/>
    <w:rsid w:val="00AD099F"/>
    <w:rsid w:val="00AD1C10"/>
    <w:rsid w:val="00AD1D3D"/>
    <w:rsid w:val="00AD215C"/>
    <w:rsid w:val="00AD2825"/>
    <w:rsid w:val="00AD28FC"/>
    <w:rsid w:val="00AD2E7B"/>
    <w:rsid w:val="00AD2F8F"/>
    <w:rsid w:val="00AD3685"/>
    <w:rsid w:val="00AD3F4F"/>
    <w:rsid w:val="00AD403C"/>
    <w:rsid w:val="00AD4153"/>
    <w:rsid w:val="00AD4838"/>
    <w:rsid w:val="00AD5420"/>
    <w:rsid w:val="00AD5473"/>
    <w:rsid w:val="00AD56CF"/>
    <w:rsid w:val="00AD5B1E"/>
    <w:rsid w:val="00AD5DDB"/>
    <w:rsid w:val="00AD5E3E"/>
    <w:rsid w:val="00AD60B8"/>
    <w:rsid w:val="00AD60EF"/>
    <w:rsid w:val="00AD612C"/>
    <w:rsid w:val="00AD655B"/>
    <w:rsid w:val="00AD734C"/>
    <w:rsid w:val="00AD7922"/>
    <w:rsid w:val="00AE0413"/>
    <w:rsid w:val="00AE05BF"/>
    <w:rsid w:val="00AE0D8D"/>
    <w:rsid w:val="00AE23C8"/>
    <w:rsid w:val="00AE265A"/>
    <w:rsid w:val="00AE2968"/>
    <w:rsid w:val="00AE308D"/>
    <w:rsid w:val="00AE36D1"/>
    <w:rsid w:val="00AE3DDB"/>
    <w:rsid w:val="00AE4543"/>
    <w:rsid w:val="00AE4A64"/>
    <w:rsid w:val="00AE5771"/>
    <w:rsid w:val="00AE58F3"/>
    <w:rsid w:val="00AE59FC"/>
    <w:rsid w:val="00AE6AAF"/>
    <w:rsid w:val="00AE6B87"/>
    <w:rsid w:val="00AE6E97"/>
    <w:rsid w:val="00AE6F35"/>
    <w:rsid w:val="00AE758E"/>
    <w:rsid w:val="00AE7CDB"/>
    <w:rsid w:val="00AF00F0"/>
    <w:rsid w:val="00AF059D"/>
    <w:rsid w:val="00AF077D"/>
    <w:rsid w:val="00AF0992"/>
    <w:rsid w:val="00AF0C7C"/>
    <w:rsid w:val="00AF0D62"/>
    <w:rsid w:val="00AF0EB3"/>
    <w:rsid w:val="00AF0ECF"/>
    <w:rsid w:val="00AF0EF3"/>
    <w:rsid w:val="00AF1144"/>
    <w:rsid w:val="00AF1281"/>
    <w:rsid w:val="00AF14C8"/>
    <w:rsid w:val="00AF1A33"/>
    <w:rsid w:val="00AF23D9"/>
    <w:rsid w:val="00AF290E"/>
    <w:rsid w:val="00AF29FA"/>
    <w:rsid w:val="00AF37D5"/>
    <w:rsid w:val="00AF381B"/>
    <w:rsid w:val="00AF3F63"/>
    <w:rsid w:val="00AF4326"/>
    <w:rsid w:val="00AF4345"/>
    <w:rsid w:val="00AF463B"/>
    <w:rsid w:val="00AF4CC5"/>
    <w:rsid w:val="00AF5319"/>
    <w:rsid w:val="00AF5E57"/>
    <w:rsid w:val="00AF608B"/>
    <w:rsid w:val="00AF6358"/>
    <w:rsid w:val="00AF6A59"/>
    <w:rsid w:val="00AF7A12"/>
    <w:rsid w:val="00AF7BDD"/>
    <w:rsid w:val="00B0091F"/>
    <w:rsid w:val="00B00F8C"/>
    <w:rsid w:val="00B00FEC"/>
    <w:rsid w:val="00B0164A"/>
    <w:rsid w:val="00B02145"/>
    <w:rsid w:val="00B02F0C"/>
    <w:rsid w:val="00B032C8"/>
    <w:rsid w:val="00B03776"/>
    <w:rsid w:val="00B03ED8"/>
    <w:rsid w:val="00B0401D"/>
    <w:rsid w:val="00B042D2"/>
    <w:rsid w:val="00B0477D"/>
    <w:rsid w:val="00B04B34"/>
    <w:rsid w:val="00B04E8D"/>
    <w:rsid w:val="00B04F50"/>
    <w:rsid w:val="00B04F6D"/>
    <w:rsid w:val="00B0542F"/>
    <w:rsid w:val="00B05A05"/>
    <w:rsid w:val="00B05E0A"/>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17F8A"/>
    <w:rsid w:val="00B200D3"/>
    <w:rsid w:val="00B2060E"/>
    <w:rsid w:val="00B20DCF"/>
    <w:rsid w:val="00B20DF0"/>
    <w:rsid w:val="00B20F8A"/>
    <w:rsid w:val="00B215EB"/>
    <w:rsid w:val="00B21852"/>
    <w:rsid w:val="00B22522"/>
    <w:rsid w:val="00B2288A"/>
    <w:rsid w:val="00B24028"/>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268"/>
    <w:rsid w:val="00B3232C"/>
    <w:rsid w:val="00B331B8"/>
    <w:rsid w:val="00B33786"/>
    <w:rsid w:val="00B337A4"/>
    <w:rsid w:val="00B33EC6"/>
    <w:rsid w:val="00B34725"/>
    <w:rsid w:val="00B3503A"/>
    <w:rsid w:val="00B355F0"/>
    <w:rsid w:val="00B3578C"/>
    <w:rsid w:val="00B35B9F"/>
    <w:rsid w:val="00B36759"/>
    <w:rsid w:val="00B369B6"/>
    <w:rsid w:val="00B36D9E"/>
    <w:rsid w:val="00B36F4E"/>
    <w:rsid w:val="00B372C8"/>
    <w:rsid w:val="00B37311"/>
    <w:rsid w:val="00B373FB"/>
    <w:rsid w:val="00B37975"/>
    <w:rsid w:val="00B37D5F"/>
    <w:rsid w:val="00B37F0B"/>
    <w:rsid w:val="00B40098"/>
    <w:rsid w:val="00B400A4"/>
    <w:rsid w:val="00B4106F"/>
    <w:rsid w:val="00B41291"/>
    <w:rsid w:val="00B414F1"/>
    <w:rsid w:val="00B41BE7"/>
    <w:rsid w:val="00B424F7"/>
    <w:rsid w:val="00B42568"/>
    <w:rsid w:val="00B4316E"/>
    <w:rsid w:val="00B4339F"/>
    <w:rsid w:val="00B4381B"/>
    <w:rsid w:val="00B4383C"/>
    <w:rsid w:val="00B4403D"/>
    <w:rsid w:val="00B450ED"/>
    <w:rsid w:val="00B456F7"/>
    <w:rsid w:val="00B45847"/>
    <w:rsid w:val="00B46022"/>
    <w:rsid w:val="00B460A1"/>
    <w:rsid w:val="00B46275"/>
    <w:rsid w:val="00B464C7"/>
    <w:rsid w:val="00B4658A"/>
    <w:rsid w:val="00B46AEE"/>
    <w:rsid w:val="00B46C49"/>
    <w:rsid w:val="00B46FB6"/>
    <w:rsid w:val="00B4733F"/>
    <w:rsid w:val="00B4758E"/>
    <w:rsid w:val="00B47CBB"/>
    <w:rsid w:val="00B50165"/>
    <w:rsid w:val="00B5083E"/>
    <w:rsid w:val="00B50ADB"/>
    <w:rsid w:val="00B51163"/>
    <w:rsid w:val="00B51604"/>
    <w:rsid w:val="00B51D47"/>
    <w:rsid w:val="00B51F1C"/>
    <w:rsid w:val="00B51F64"/>
    <w:rsid w:val="00B539B6"/>
    <w:rsid w:val="00B53B4E"/>
    <w:rsid w:val="00B53C5F"/>
    <w:rsid w:val="00B54245"/>
    <w:rsid w:val="00B54A24"/>
    <w:rsid w:val="00B54ADD"/>
    <w:rsid w:val="00B54BD8"/>
    <w:rsid w:val="00B5596C"/>
    <w:rsid w:val="00B564FC"/>
    <w:rsid w:val="00B569B2"/>
    <w:rsid w:val="00B56FBD"/>
    <w:rsid w:val="00B5715A"/>
    <w:rsid w:val="00B57327"/>
    <w:rsid w:val="00B57469"/>
    <w:rsid w:val="00B57850"/>
    <w:rsid w:val="00B6002D"/>
    <w:rsid w:val="00B6010B"/>
    <w:rsid w:val="00B61262"/>
    <w:rsid w:val="00B61960"/>
    <w:rsid w:val="00B6210A"/>
    <w:rsid w:val="00B6220A"/>
    <w:rsid w:val="00B629F3"/>
    <w:rsid w:val="00B63671"/>
    <w:rsid w:val="00B640CF"/>
    <w:rsid w:val="00B648F2"/>
    <w:rsid w:val="00B650C5"/>
    <w:rsid w:val="00B65828"/>
    <w:rsid w:val="00B658E9"/>
    <w:rsid w:val="00B65E01"/>
    <w:rsid w:val="00B665BB"/>
    <w:rsid w:val="00B66800"/>
    <w:rsid w:val="00B668CA"/>
    <w:rsid w:val="00B66939"/>
    <w:rsid w:val="00B66AB0"/>
    <w:rsid w:val="00B66CEA"/>
    <w:rsid w:val="00B66F00"/>
    <w:rsid w:val="00B67043"/>
    <w:rsid w:val="00B67424"/>
    <w:rsid w:val="00B674EC"/>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69A"/>
    <w:rsid w:val="00B76A3F"/>
    <w:rsid w:val="00B76A7D"/>
    <w:rsid w:val="00B76CE1"/>
    <w:rsid w:val="00B776D5"/>
    <w:rsid w:val="00B77798"/>
    <w:rsid w:val="00B77B7E"/>
    <w:rsid w:val="00B80744"/>
    <w:rsid w:val="00B80979"/>
    <w:rsid w:val="00B8123C"/>
    <w:rsid w:val="00B818AA"/>
    <w:rsid w:val="00B81B66"/>
    <w:rsid w:val="00B81BC2"/>
    <w:rsid w:val="00B81C75"/>
    <w:rsid w:val="00B81D8F"/>
    <w:rsid w:val="00B81EEF"/>
    <w:rsid w:val="00B81F26"/>
    <w:rsid w:val="00B8273A"/>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046"/>
    <w:rsid w:val="00B94392"/>
    <w:rsid w:val="00B94CDE"/>
    <w:rsid w:val="00B9502A"/>
    <w:rsid w:val="00B955F5"/>
    <w:rsid w:val="00B95663"/>
    <w:rsid w:val="00B95A36"/>
    <w:rsid w:val="00B95CCC"/>
    <w:rsid w:val="00B95F44"/>
    <w:rsid w:val="00B96765"/>
    <w:rsid w:val="00B967C7"/>
    <w:rsid w:val="00B96D3C"/>
    <w:rsid w:val="00B97577"/>
    <w:rsid w:val="00B97F5F"/>
    <w:rsid w:val="00BA00EA"/>
    <w:rsid w:val="00BA041F"/>
    <w:rsid w:val="00BA0FE9"/>
    <w:rsid w:val="00BA139F"/>
    <w:rsid w:val="00BA1A0B"/>
    <w:rsid w:val="00BA1E85"/>
    <w:rsid w:val="00BA27F0"/>
    <w:rsid w:val="00BA2DCE"/>
    <w:rsid w:val="00BA359B"/>
    <w:rsid w:val="00BA3611"/>
    <w:rsid w:val="00BA3A93"/>
    <w:rsid w:val="00BA4D05"/>
    <w:rsid w:val="00BA5165"/>
    <w:rsid w:val="00BA5599"/>
    <w:rsid w:val="00BA5A40"/>
    <w:rsid w:val="00BA5FD5"/>
    <w:rsid w:val="00BA62AB"/>
    <w:rsid w:val="00BA62EA"/>
    <w:rsid w:val="00BA7E0B"/>
    <w:rsid w:val="00BB0DE3"/>
    <w:rsid w:val="00BB0EA0"/>
    <w:rsid w:val="00BB10CD"/>
    <w:rsid w:val="00BB10F0"/>
    <w:rsid w:val="00BB122E"/>
    <w:rsid w:val="00BB1CE7"/>
    <w:rsid w:val="00BB25BB"/>
    <w:rsid w:val="00BB4A6F"/>
    <w:rsid w:val="00BB56B1"/>
    <w:rsid w:val="00BB5759"/>
    <w:rsid w:val="00BB5A30"/>
    <w:rsid w:val="00BB5B98"/>
    <w:rsid w:val="00BB5E0C"/>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5550"/>
    <w:rsid w:val="00BC6145"/>
    <w:rsid w:val="00BC6308"/>
    <w:rsid w:val="00BC63FE"/>
    <w:rsid w:val="00BC666D"/>
    <w:rsid w:val="00BC67A4"/>
    <w:rsid w:val="00BC6B4D"/>
    <w:rsid w:val="00BC6C4F"/>
    <w:rsid w:val="00BC76AA"/>
    <w:rsid w:val="00BC7987"/>
    <w:rsid w:val="00BD005C"/>
    <w:rsid w:val="00BD1290"/>
    <w:rsid w:val="00BD17E7"/>
    <w:rsid w:val="00BD1CFB"/>
    <w:rsid w:val="00BD2921"/>
    <w:rsid w:val="00BD2B8F"/>
    <w:rsid w:val="00BD2DBC"/>
    <w:rsid w:val="00BD35B9"/>
    <w:rsid w:val="00BD36EC"/>
    <w:rsid w:val="00BD4A52"/>
    <w:rsid w:val="00BD51CA"/>
    <w:rsid w:val="00BD5CD2"/>
    <w:rsid w:val="00BD77DE"/>
    <w:rsid w:val="00BD79C2"/>
    <w:rsid w:val="00BE1038"/>
    <w:rsid w:val="00BE1F2E"/>
    <w:rsid w:val="00BE1FA7"/>
    <w:rsid w:val="00BE222B"/>
    <w:rsid w:val="00BE2AD7"/>
    <w:rsid w:val="00BE2BAA"/>
    <w:rsid w:val="00BE2C5A"/>
    <w:rsid w:val="00BE35FC"/>
    <w:rsid w:val="00BE3EAB"/>
    <w:rsid w:val="00BE4F8D"/>
    <w:rsid w:val="00BE590A"/>
    <w:rsid w:val="00BE644A"/>
    <w:rsid w:val="00BE684F"/>
    <w:rsid w:val="00BE770F"/>
    <w:rsid w:val="00BE778C"/>
    <w:rsid w:val="00BE7D6D"/>
    <w:rsid w:val="00BF01D4"/>
    <w:rsid w:val="00BF025E"/>
    <w:rsid w:val="00BF0536"/>
    <w:rsid w:val="00BF0E2E"/>
    <w:rsid w:val="00BF1001"/>
    <w:rsid w:val="00BF20FB"/>
    <w:rsid w:val="00BF28FB"/>
    <w:rsid w:val="00BF2997"/>
    <w:rsid w:val="00BF4C22"/>
    <w:rsid w:val="00BF4CD1"/>
    <w:rsid w:val="00BF4DD7"/>
    <w:rsid w:val="00BF51E4"/>
    <w:rsid w:val="00BF6043"/>
    <w:rsid w:val="00BF7224"/>
    <w:rsid w:val="00BF76ED"/>
    <w:rsid w:val="00C00156"/>
    <w:rsid w:val="00C003C3"/>
    <w:rsid w:val="00C00550"/>
    <w:rsid w:val="00C00696"/>
    <w:rsid w:val="00C006F6"/>
    <w:rsid w:val="00C00838"/>
    <w:rsid w:val="00C008C4"/>
    <w:rsid w:val="00C008C6"/>
    <w:rsid w:val="00C00BE6"/>
    <w:rsid w:val="00C00CE6"/>
    <w:rsid w:val="00C00F80"/>
    <w:rsid w:val="00C01250"/>
    <w:rsid w:val="00C01316"/>
    <w:rsid w:val="00C01619"/>
    <w:rsid w:val="00C02098"/>
    <w:rsid w:val="00C03041"/>
    <w:rsid w:val="00C03447"/>
    <w:rsid w:val="00C03815"/>
    <w:rsid w:val="00C03E02"/>
    <w:rsid w:val="00C041F4"/>
    <w:rsid w:val="00C04248"/>
    <w:rsid w:val="00C04A0D"/>
    <w:rsid w:val="00C04C59"/>
    <w:rsid w:val="00C0524E"/>
    <w:rsid w:val="00C05428"/>
    <w:rsid w:val="00C058A3"/>
    <w:rsid w:val="00C05E05"/>
    <w:rsid w:val="00C069CA"/>
    <w:rsid w:val="00C06AF1"/>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3A7"/>
    <w:rsid w:val="00C15BE1"/>
    <w:rsid w:val="00C160D9"/>
    <w:rsid w:val="00C16B32"/>
    <w:rsid w:val="00C16FF1"/>
    <w:rsid w:val="00C17089"/>
    <w:rsid w:val="00C1715B"/>
    <w:rsid w:val="00C1757F"/>
    <w:rsid w:val="00C1792B"/>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5DE4"/>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35C"/>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E1"/>
    <w:rsid w:val="00C4151E"/>
    <w:rsid w:val="00C416FD"/>
    <w:rsid w:val="00C41E73"/>
    <w:rsid w:val="00C41FA0"/>
    <w:rsid w:val="00C42143"/>
    <w:rsid w:val="00C4271F"/>
    <w:rsid w:val="00C42A6C"/>
    <w:rsid w:val="00C42B60"/>
    <w:rsid w:val="00C42BD9"/>
    <w:rsid w:val="00C43E4A"/>
    <w:rsid w:val="00C43FD4"/>
    <w:rsid w:val="00C4445E"/>
    <w:rsid w:val="00C44846"/>
    <w:rsid w:val="00C45A51"/>
    <w:rsid w:val="00C465D5"/>
    <w:rsid w:val="00C469E3"/>
    <w:rsid w:val="00C47155"/>
    <w:rsid w:val="00C47987"/>
    <w:rsid w:val="00C47CD2"/>
    <w:rsid w:val="00C47D56"/>
    <w:rsid w:val="00C510DE"/>
    <w:rsid w:val="00C52492"/>
    <w:rsid w:val="00C52734"/>
    <w:rsid w:val="00C529C6"/>
    <w:rsid w:val="00C52D66"/>
    <w:rsid w:val="00C536E4"/>
    <w:rsid w:val="00C538AE"/>
    <w:rsid w:val="00C53C32"/>
    <w:rsid w:val="00C53E7A"/>
    <w:rsid w:val="00C5418B"/>
    <w:rsid w:val="00C54481"/>
    <w:rsid w:val="00C54492"/>
    <w:rsid w:val="00C544B6"/>
    <w:rsid w:val="00C54601"/>
    <w:rsid w:val="00C54799"/>
    <w:rsid w:val="00C54E26"/>
    <w:rsid w:val="00C56A84"/>
    <w:rsid w:val="00C575E8"/>
    <w:rsid w:val="00C5777E"/>
    <w:rsid w:val="00C57909"/>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13"/>
    <w:rsid w:val="00C66663"/>
    <w:rsid w:val="00C667A9"/>
    <w:rsid w:val="00C6680D"/>
    <w:rsid w:val="00C668D8"/>
    <w:rsid w:val="00C66A49"/>
    <w:rsid w:val="00C66BCD"/>
    <w:rsid w:val="00C66E74"/>
    <w:rsid w:val="00C67029"/>
    <w:rsid w:val="00C67A4B"/>
    <w:rsid w:val="00C70A17"/>
    <w:rsid w:val="00C70B38"/>
    <w:rsid w:val="00C70B43"/>
    <w:rsid w:val="00C71A56"/>
    <w:rsid w:val="00C71F36"/>
    <w:rsid w:val="00C724BD"/>
    <w:rsid w:val="00C730CC"/>
    <w:rsid w:val="00C73350"/>
    <w:rsid w:val="00C7382E"/>
    <w:rsid w:val="00C7532A"/>
    <w:rsid w:val="00C75721"/>
    <w:rsid w:val="00C760A6"/>
    <w:rsid w:val="00C762B7"/>
    <w:rsid w:val="00C76825"/>
    <w:rsid w:val="00C776D2"/>
    <w:rsid w:val="00C77C4B"/>
    <w:rsid w:val="00C77D50"/>
    <w:rsid w:val="00C806F5"/>
    <w:rsid w:val="00C80CFE"/>
    <w:rsid w:val="00C80DC6"/>
    <w:rsid w:val="00C81302"/>
    <w:rsid w:val="00C815E4"/>
    <w:rsid w:val="00C817F9"/>
    <w:rsid w:val="00C81C15"/>
    <w:rsid w:val="00C82276"/>
    <w:rsid w:val="00C82720"/>
    <w:rsid w:val="00C8290C"/>
    <w:rsid w:val="00C833A2"/>
    <w:rsid w:val="00C84375"/>
    <w:rsid w:val="00C84D89"/>
    <w:rsid w:val="00C8512B"/>
    <w:rsid w:val="00C858C8"/>
    <w:rsid w:val="00C85A79"/>
    <w:rsid w:val="00C86242"/>
    <w:rsid w:val="00C86D64"/>
    <w:rsid w:val="00C875B5"/>
    <w:rsid w:val="00C87772"/>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9782C"/>
    <w:rsid w:val="00CA13BF"/>
    <w:rsid w:val="00CA13F7"/>
    <w:rsid w:val="00CA1463"/>
    <w:rsid w:val="00CA14DE"/>
    <w:rsid w:val="00CA2082"/>
    <w:rsid w:val="00CA2517"/>
    <w:rsid w:val="00CA2A57"/>
    <w:rsid w:val="00CA2C4B"/>
    <w:rsid w:val="00CA30A9"/>
    <w:rsid w:val="00CA35EC"/>
    <w:rsid w:val="00CA3D36"/>
    <w:rsid w:val="00CA3EC4"/>
    <w:rsid w:val="00CA40AF"/>
    <w:rsid w:val="00CA4249"/>
    <w:rsid w:val="00CA4EF3"/>
    <w:rsid w:val="00CA50E2"/>
    <w:rsid w:val="00CA530C"/>
    <w:rsid w:val="00CA56B5"/>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395D"/>
    <w:rsid w:val="00CB45BA"/>
    <w:rsid w:val="00CB4DA4"/>
    <w:rsid w:val="00CB557A"/>
    <w:rsid w:val="00CB55B5"/>
    <w:rsid w:val="00CB6108"/>
    <w:rsid w:val="00CB644A"/>
    <w:rsid w:val="00CB6F20"/>
    <w:rsid w:val="00CB7071"/>
    <w:rsid w:val="00CB75F9"/>
    <w:rsid w:val="00CB7D14"/>
    <w:rsid w:val="00CB7D9F"/>
    <w:rsid w:val="00CC07A1"/>
    <w:rsid w:val="00CC0824"/>
    <w:rsid w:val="00CC08D7"/>
    <w:rsid w:val="00CC0A9A"/>
    <w:rsid w:val="00CC0B9C"/>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C7A10"/>
    <w:rsid w:val="00CD05F1"/>
    <w:rsid w:val="00CD0B6A"/>
    <w:rsid w:val="00CD0BAE"/>
    <w:rsid w:val="00CD0D3E"/>
    <w:rsid w:val="00CD1017"/>
    <w:rsid w:val="00CD129C"/>
    <w:rsid w:val="00CD12BA"/>
    <w:rsid w:val="00CD181E"/>
    <w:rsid w:val="00CD22AB"/>
    <w:rsid w:val="00CD2C45"/>
    <w:rsid w:val="00CD387C"/>
    <w:rsid w:val="00CD3D3F"/>
    <w:rsid w:val="00CD4727"/>
    <w:rsid w:val="00CD473F"/>
    <w:rsid w:val="00CD474C"/>
    <w:rsid w:val="00CD47B8"/>
    <w:rsid w:val="00CD5589"/>
    <w:rsid w:val="00CD5CCC"/>
    <w:rsid w:val="00CD6190"/>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DAE"/>
    <w:rsid w:val="00CE4EA8"/>
    <w:rsid w:val="00CE5261"/>
    <w:rsid w:val="00CE584B"/>
    <w:rsid w:val="00CE5A0A"/>
    <w:rsid w:val="00CE5E50"/>
    <w:rsid w:val="00CE6C5C"/>
    <w:rsid w:val="00CE72F6"/>
    <w:rsid w:val="00CE7FF2"/>
    <w:rsid w:val="00CF0E8B"/>
    <w:rsid w:val="00CF1090"/>
    <w:rsid w:val="00CF12DA"/>
    <w:rsid w:val="00CF1569"/>
    <w:rsid w:val="00CF1AB9"/>
    <w:rsid w:val="00CF1B03"/>
    <w:rsid w:val="00CF1B1E"/>
    <w:rsid w:val="00CF1E58"/>
    <w:rsid w:val="00CF1F79"/>
    <w:rsid w:val="00CF21B8"/>
    <w:rsid w:val="00CF2B1C"/>
    <w:rsid w:val="00CF2B8E"/>
    <w:rsid w:val="00CF2E64"/>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D48"/>
    <w:rsid w:val="00D03E97"/>
    <w:rsid w:val="00D040BB"/>
    <w:rsid w:val="00D05695"/>
    <w:rsid w:val="00D056E9"/>
    <w:rsid w:val="00D0572A"/>
    <w:rsid w:val="00D05CB6"/>
    <w:rsid w:val="00D06325"/>
    <w:rsid w:val="00D06858"/>
    <w:rsid w:val="00D07144"/>
    <w:rsid w:val="00D07684"/>
    <w:rsid w:val="00D076A6"/>
    <w:rsid w:val="00D07F59"/>
    <w:rsid w:val="00D104B2"/>
    <w:rsid w:val="00D10986"/>
    <w:rsid w:val="00D10FAC"/>
    <w:rsid w:val="00D117BB"/>
    <w:rsid w:val="00D11BB2"/>
    <w:rsid w:val="00D128F7"/>
    <w:rsid w:val="00D12AF0"/>
    <w:rsid w:val="00D12F1F"/>
    <w:rsid w:val="00D131E0"/>
    <w:rsid w:val="00D13207"/>
    <w:rsid w:val="00D13358"/>
    <w:rsid w:val="00D1342C"/>
    <w:rsid w:val="00D13933"/>
    <w:rsid w:val="00D142FA"/>
    <w:rsid w:val="00D14873"/>
    <w:rsid w:val="00D14C06"/>
    <w:rsid w:val="00D14CF2"/>
    <w:rsid w:val="00D14DAF"/>
    <w:rsid w:val="00D1503A"/>
    <w:rsid w:val="00D1564A"/>
    <w:rsid w:val="00D156E5"/>
    <w:rsid w:val="00D15AF0"/>
    <w:rsid w:val="00D15D71"/>
    <w:rsid w:val="00D16747"/>
    <w:rsid w:val="00D16B4A"/>
    <w:rsid w:val="00D16E3C"/>
    <w:rsid w:val="00D175C7"/>
    <w:rsid w:val="00D17E09"/>
    <w:rsid w:val="00D20150"/>
    <w:rsid w:val="00D2059E"/>
    <w:rsid w:val="00D20886"/>
    <w:rsid w:val="00D2276B"/>
    <w:rsid w:val="00D22E00"/>
    <w:rsid w:val="00D23172"/>
    <w:rsid w:val="00D23E97"/>
    <w:rsid w:val="00D24347"/>
    <w:rsid w:val="00D24573"/>
    <w:rsid w:val="00D24C42"/>
    <w:rsid w:val="00D251E6"/>
    <w:rsid w:val="00D259B0"/>
    <w:rsid w:val="00D26011"/>
    <w:rsid w:val="00D26097"/>
    <w:rsid w:val="00D261C5"/>
    <w:rsid w:val="00D26391"/>
    <w:rsid w:val="00D2699D"/>
    <w:rsid w:val="00D26D50"/>
    <w:rsid w:val="00D27747"/>
    <w:rsid w:val="00D27BF7"/>
    <w:rsid w:val="00D305C4"/>
    <w:rsid w:val="00D30729"/>
    <w:rsid w:val="00D30EAF"/>
    <w:rsid w:val="00D314F6"/>
    <w:rsid w:val="00D31A4F"/>
    <w:rsid w:val="00D31D6C"/>
    <w:rsid w:val="00D31D99"/>
    <w:rsid w:val="00D32CDD"/>
    <w:rsid w:val="00D32E0D"/>
    <w:rsid w:val="00D3326D"/>
    <w:rsid w:val="00D33977"/>
    <w:rsid w:val="00D33B19"/>
    <w:rsid w:val="00D34097"/>
    <w:rsid w:val="00D34236"/>
    <w:rsid w:val="00D34960"/>
    <w:rsid w:val="00D34CFF"/>
    <w:rsid w:val="00D3544C"/>
    <w:rsid w:val="00D35FF1"/>
    <w:rsid w:val="00D3719F"/>
    <w:rsid w:val="00D371C8"/>
    <w:rsid w:val="00D4061B"/>
    <w:rsid w:val="00D4075F"/>
    <w:rsid w:val="00D420B2"/>
    <w:rsid w:val="00D42AB0"/>
    <w:rsid w:val="00D431DA"/>
    <w:rsid w:val="00D43450"/>
    <w:rsid w:val="00D43D75"/>
    <w:rsid w:val="00D43F48"/>
    <w:rsid w:val="00D43F90"/>
    <w:rsid w:val="00D4412A"/>
    <w:rsid w:val="00D44156"/>
    <w:rsid w:val="00D44198"/>
    <w:rsid w:val="00D44361"/>
    <w:rsid w:val="00D445B3"/>
    <w:rsid w:val="00D453B5"/>
    <w:rsid w:val="00D4565D"/>
    <w:rsid w:val="00D45977"/>
    <w:rsid w:val="00D45B0D"/>
    <w:rsid w:val="00D4634C"/>
    <w:rsid w:val="00D46DBF"/>
    <w:rsid w:val="00D46F26"/>
    <w:rsid w:val="00D47591"/>
    <w:rsid w:val="00D50C90"/>
    <w:rsid w:val="00D50F4A"/>
    <w:rsid w:val="00D50FDA"/>
    <w:rsid w:val="00D51089"/>
    <w:rsid w:val="00D5228C"/>
    <w:rsid w:val="00D5238C"/>
    <w:rsid w:val="00D52E06"/>
    <w:rsid w:val="00D53650"/>
    <w:rsid w:val="00D543B4"/>
    <w:rsid w:val="00D54ECE"/>
    <w:rsid w:val="00D552B5"/>
    <w:rsid w:val="00D553C7"/>
    <w:rsid w:val="00D559C2"/>
    <w:rsid w:val="00D55C3D"/>
    <w:rsid w:val="00D5648F"/>
    <w:rsid w:val="00D5651D"/>
    <w:rsid w:val="00D57427"/>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2ED"/>
    <w:rsid w:val="00D635B0"/>
    <w:rsid w:val="00D637A9"/>
    <w:rsid w:val="00D63BE1"/>
    <w:rsid w:val="00D65280"/>
    <w:rsid w:val="00D65487"/>
    <w:rsid w:val="00D65FD3"/>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57C"/>
    <w:rsid w:val="00D726A5"/>
    <w:rsid w:val="00D72702"/>
    <w:rsid w:val="00D727AC"/>
    <w:rsid w:val="00D7290B"/>
    <w:rsid w:val="00D72AC2"/>
    <w:rsid w:val="00D72CAE"/>
    <w:rsid w:val="00D733B8"/>
    <w:rsid w:val="00D73B79"/>
    <w:rsid w:val="00D74660"/>
    <w:rsid w:val="00D74797"/>
    <w:rsid w:val="00D74968"/>
    <w:rsid w:val="00D749D2"/>
    <w:rsid w:val="00D74D9B"/>
    <w:rsid w:val="00D74F78"/>
    <w:rsid w:val="00D750A2"/>
    <w:rsid w:val="00D750A9"/>
    <w:rsid w:val="00D75650"/>
    <w:rsid w:val="00D756E8"/>
    <w:rsid w:val="00D801EB"/>
    <w:rsid w:val="00D80747"/>
    <w:rsid w:val="00D8099F"/>
    <w:rsid w:val="00D809FF"/>
    <w:rsid w:val="00D80E48"/>
    <w:rsid w:val="00D810F2"/>
    <w:rsid w:val="00D81285"/>
    <w:rsid w:val="00D81AD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0A4"/>
    <w:rsid w:val="00D941AE"/>
    <w:rsid w:val="00D948F8"/>
    <w:rsid w:val="00D94E5E"/>
    <w:rsid w:val="00D94F2C"/>
    <w:rsid w:val="00D95F69"/>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B4D"/>
    <w:rsid w:val="00DA3CF1"/>
    <w:rsid w:val="00DA405C"/>
    <w:rsid w:val="00DA4B0E"/>
    <w:rsid w:val="00DA50E4"/>
    <w:rsid w:val="00DA58E8"/>
    <w:rsid w:val="00DA5BEB"/>
    <w:rsid w:val="00DA6BFD"/>
    <w:rsid w:val="00DA7645"/>
    <w:rsid w:val="00DA7E15"/>
    <w:rsid w:val="00DA7E1B"/>
    <w:rsid w:val="00DA7FC8"/>
    <w:rsid w:val="00DB02FF"/>
    <w:rsid w:val="00DB06FC"/>
    <w:rsid w:val="00DB10BD"/>
    <w:rsid w:val="00DB1433"/>
    <w:rsid w:val="00DB197C"/>
    <w:rsid w:val="00DB1AAF"/>
    <w:rsid w:val="00DB2464"/>
    <w:rsid w:val="00DB26B5"/>
    <w:rsid w:val="00DB3AA0"/>
    <w:rsid w:val="00DB3C49"/>
    <w:rsid w:val="00DB40EA"/>
    <w:rsid w:val="00DB41B9"/>
    <w:rsid w:val="00DB42C2"/>
    <w:rsid w:val="00DB444B"/>
    <w:rsid w:val="00DB44E8"/>
    <w:rsid w:val="00DB4628"/>
    <w:rsid w:val="00DB4700"/>
    <w:rsid w:val="00DB4714"/>
    <w:rsid w:val="00DB4788"/>
    <w:rsid w:val="00DB4D04"/>
    <w:rsid w:val="00DB4E50"/>
    <w:rsid w:val="00DB510A"/>
    <w:rsid w:val="00DB5178"/>
    <w:rsid w:val="00DB5386"/>
    <w:rsid w:val="00DB5690"/>
    <w:rsid w:val="00DB5ABE"/>
    <w:rsid w:val="00DB6055"/>
    <w:rsid w:val="00DB6292"/>
    <w:rsid w:val="00DB658C"/>
    <w:rsid w:val="00DB67E7"/>
    <w:rsid w:val="00DB68BB"/>
    <w:rsid w:val="00DB6BFF"/>
    <w:rsid w:val="00DB7F10"/>
    <w:rsid w:val="00DC1308"/>
    <w:rsid w:val="00DC1524"/>
    <w:rsid w:val="00DC1889"/>
    <w:rsid w:val="00DC1CA3"/>
    <w:rsid w:val="00DC21DF"/>
    <w:rsid w:val="00DC2225"/>
    <w:rsid w:val="00DC225A"/>
    <w:rsid w:val="00DC28CD"/>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671"/>
    <w:rsid w:val="00DC6981"/>
    <w:rsid w:val="00DC6BB0"/>
    <w:rsid w:val="00DC6E13"/>
    <w:rsid w:val="00DC6E1B"/>
    <w:rsid w:val="00DC7090"/>
    <w:rsid w:val="00DC7EBE"/>
    <w:rsid w:val="00DD12EF"/>
    <w:rsid w:val="00DD158F"/>
    <w:rsid w:val="00DD16FB"/>
    <w:rsid w:val="00DD235A"/>
    <w:rsid w:val="00DD2381"/>
    <w:rsid w:val="00DD2B1D"/>
    <w:rsid w:val="00DD2D89"/>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92D"/>
    <w:rsid w:val="00DE2AA3"/>
    <w:rsid w:val="00DE30D1"/>
    <w:rsid w:val="00DE3B74"/>
    <w:rsid w:val="00DE3C59"/>
    <w:rsid w:val="00DE40F7"/>
    <w:rsid w:val="00DE432B"/>
    <w:rsid w:val="00DE47DF"/>
    <w:rsid w:val="00DE4D21"/>
    <w:rsid w:val="00DE53D4"/>
    <w:rsid w:val="00DE5661"/>
    <w:rsid w:val="00DE5BB0"/>
    <w:rsid w:val="00DE5EA6"/>
    <w:rsid w:val="00DE5F41"/>
    <w:rsid w:val="00DE61FB"/>
    <w:rsid w:val="00DE66BE"/>
    <w:rsid w:val="00DE6B6A"/>
    <w:rsid w:val="00DE6C81"/>
    <w:rsid w:val="00DE6D2D"/>
    <w:rsid w:val="00DE7185"/>
    <w:rsid w:val="00DE730F"/>
    <w:rsid w:val="00DE731D"/>
    <w:rsid w:val="00DE7A1D"/>
    <w:rsid w:val="00DF0A8D"/>
    <w:rsid w:val="00DF0E97"/>
    <w:rsid w:val="00DF11F0"/>
    <w:rsid w:val="00DF13DA"/>
    <w:rsid w:val="00DF1795"/>
    <w:rsid w:val="00DF1956"/>
    <w:rsid w:val="00DF1AD2"/>
    <w:rsid w:val="00DF1D62"/>
    <w:rsid w:val="00DF2170"/>
    <w:rsid w:val="00DF2F5E"/>
    <w:rsid w:val="00DF2FC2"/>
    <w:rsid w:val="00DF381B"/>
    <w:rsid w:val="00DF3D62"/>
    <w:rsid w:val="00DF572E"/>
    <w:rsid w:val="00DF596A"/>
    <w:rsid w:val="00DF60FE"/>
    <w:rsid w:val="00DF6559"/>
    <w:rsid w:val="00DF6DA6"/>
    <w:rsid w:val="00DF708D"/>
    <w:rsid w:val="00DF7EB8"/>
    <w:rsid w:val="00E0031E"/>
    <w:rsid w:val="00E00FD5"/>
    <w:rsid w:val="00E01956"/>
    <w:rsid w:val="00E02047"/>
    <w:rsid w:val="00E023E5"/>
    <w:rsid w:val="00E02837"/>
    <w:rsid w:val="00E03A7E"/>
    <w:rsid w:val="00E0443C"/>
    <w:rsid w:val="00E04B4F"/>
    <w:rsid w:val="00E052EF"/>
    <w:rsid w:val="00E05F33"/>
    <w:rsid w:val="00E06FD6"/>
    <w:rsid w:val="00E074C1"/>
    <w:rsid w:val="00E07B79"/>
    <w:rsid w:val="00E07CDC"/>
    <w:rsid w:val="00E07DEE"/>
    <w:rsid w:val="00E1006A"/>
    <w:rsid w:val="00E105B9"/>
    <w:rsid w:val="00E1079E"/>
    <w:rsid w:val="00E10F6A"/>
    <w:rsid w:val="00E11284"/>
    <w:rsid w:val="00E112FA"/>
    <w:rsid w:val="00E11F4F"/>
    <w:rsid w:val="00E12217"/>
    <w:rsid w:val="00E12CED"/>
    <w:rsid w:val="00E13D2C"/>
    <w:rsid w:val="00E13EE3"/>
    <w:rsid w:val="00E148CD"/>
    <w:rsid w:val="00E14E22"/>
    <w:rsid w:val="00E14FF5"/>
    <w:rsid w:val="00E151E5"/>
    <w:rsid w:val="00E15713"/>
    <w:rsid w:val="00E15E72"/>
    <w:rsid w:val="00E16682"/>
    <w:rsid w:val="00E1678A"/>
    <w:rsid w:val="00E173E1"/>
    <w:rsid w:val="00E174AB"/>
    <w:rsid w:val="00E17549"/>
    <w:rsid w:val="00E17BAE"/>
    <w:rsid w:val="00E17E85"/>
    <w:rsid w:val="00E17E99"/>
    <w:rsid w:val="00E17F83"/>
    <w:rsid w:val="00E2002A"/>
    <w:rsid w:val="00E2055A"/>
    <w:rsid w:val="00E20ACE"/>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6500"/>
    <w:rsid w:val="00E2693B"/>
    <w:rsid w:val="00E27074"/>
    <w:rsid w:val="00E27C1D"/>
    <w:rsid w:val="00E27E1C"/>
    <w:rsid w:val="00E300F2"/>
    <w:rsid w:val="00E30E54"/>
    <w:rsid w:val="00E318A4"/>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377E5"/>
    <w:rsid w:val="00E379E3"/>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0B2"/>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6C07"/>
    <w:rsid w:val="00E57E87"/>
    <w:rsid w:val="00E60138"/>
    <w:rsid w:val="00E60643"/>
    <w:rsid w:val="00E60DE1"/>
    <w:rsid w:val="00E61076"/>
    <w:rsid w:val="00E6119A"/>
    <w:rsid w:val="00E61347"/>
    <w:rsid w:val="00E6137B"/>
    <w:rsid w:val="00E61697"/>
    <w:rsid w:val="00E61812"/>
    <w:rsid w:val="00E61A51"/>
    <w:rsid w:val="00E62CC5"/>
    <w:rsid w:val="00E62CF0"/>
    <w:rsid w:val="00E62E5D"/>
    <w:rsid w:val="00E63DC0"/>
    <w:rsid w:val="00E6450D"/>
    <w:rsid w:val="00E64F58"/>
    <w:rsid w:val="00E65073"/>
    <w:rsid w:val="00E65631"/>
    <w:rsid w:val="00E659FF"/>
    <w:rsid w:val="00E65AD7"/>
    <w:rsid w:val="00E65E8C"/>
    <w:rsid w:val="00E66152"/>
    <w:rsid w:val="00E66800"/>
    <w:rsid w:val="00E66D78"/>
    <w:rsid w:val="00E673C1"/>
    <w:rsid w:val="00E67C5C"/>
    <w:rsid w:val="00E67E55"/>
    <w:rsid w:val="00E70264"/>
    <w:rsid w:val="00E70504"/>
    <w:rsid w:val="00E70E30"/>
    <w:rsid w:val="00E71198"/>
    <w:rsid w:val="00E71D9F"/>
    <w:rsid w:val="00E71E4F"/>
    <w:rsid w:val="00E72486"/>
    <w:rsid w:val="00E724EF"/>
    <w:rsid w:val="00E7264E"/>
    <w:rsid w:val="00E72651"/>
    <w:rsid w:val="00E72CC1"/>
    <w:rsid w:val="00E72E97"/>
    <w:rsid w:val="00E734F5"/>
    <w:rsid w:val="00E735A7"/>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1D47"/>
    <w:rsid w:val="00E82135"/>
    <w:rsid w:val="00E82258"/>
    <w:rsid w:val="00E82862"/>
    <w:rsid w:val="00E82C77"/>
    <w:rsid w:val="00E82CA0"/>
    <w:rsid w:val="00E82E17"/>
    <w:rsid w:val="00E845DF"/>
    <w:rsid w:val="00E84AD4"/>
    <w:rsid w:val="00E8534F"/>
    <w:rsid w:val="00E854EA"/>
    <w:rsid w:val="00E85EC9"/>
    <w:rsid w:val="00E86B37"/>
    <w:rsid w:val="00E86BAE"/>
    <w:rsid w:val="00E876A3"/>
    <w:rsid w:val="00E87DC5"/>
    <w:rsid w:val="00E903A5"/>
    <w:rsid w:val="00E90A19"/>
    <w:rsid w:val="00E90D69"/>
    <w:rsid w:val="00E9106B"/>
    <w:rsid w:val="00E91460"/>
    <w:rsid w:val="00E915F1"/>
    <w:rsid w:val="00E91C42"/>
    <w:rsid w:val="00E92341"/>
    <w:rsid w:val="00E92A08"/>
    <w:rsid w:val="00E92D87"/>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0942"/>
    <w:rsid w:val="00EA1514"/>
    <w:rsid w:val="00EA16E1"/>
    <w:rsid w:val="00EA1767"/>
    <w:rsid w:val="00EA1F8E"/>
    <w:rsid w:val="00EA210F"/>
    <w:rsid w:val="00EA2360"/>
    <w:rsid w:val="00EA272B"/>
    <w:rsid w:val="00EA2747"/>
    <w:rsid w:val="00EA2AFA"/>
    <w:rsid w:val="00EA2F02"/>
    <w:rsid w:val="00EA2F5D"/>
    <w:rsid w:val="00EA301E"/>
    <w:rsid w:val="00EA3186"/>
    <w:rsid w:val="00EA3BA1"/>
    <w:rsid w:val="00EA449C"/>
    <w:rsid w:val="00EA4BF4"/>
    <w:rsid w:val="00EA4E4F"/>
    <w:rsid w:val="00EA4F1E"/>
    <w:rsid w:val="00EA4F7D"/>
    <w:rsid w:val="00EA5053"/>
    <w:rsid w:val="00EA5F9C"/>
    <w:rsid w:val="00EA633B"/>
    <w:rsid w:val="00EA642F"/>
    <w:rsid w:val="00EA659C"/>
    <w:rsid w:val="00EA6A7E"/>
    <w:rsid w:val="00EA7206"/>
    <w:rsid w:val="00EB0A68"/>
    <w:rsid w:val="00EB0E6A"/>
    <w:rsid w:val="00EB0FE6"/>
    <w:rsid w:val="00EB14F7"/>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1A1D"/>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60B"/>
    <w:rsid w:val="00EC774B"/>
    <w:rsid w:val="00ED0055"/>
    <w:rsid w:val="00ED0129"/>
    <w:rsid w:val="00ED0A61"/>
    <w:rsid w:val="00ED0F15"/>
    <w:rsid w:val="00ED1112"/>
    <w:rsid w:val="00ED13EB"/>
    <w:rsid w:val="00ED1462"/>
    <w:rsid w:val="00ED14A1"/>
    <w:rsid w:val="00ED1796"/>
    <w:rsid w:val="00ED17FA"/>
    <w:rsid w:val="00ED1856"/>
    <w:rsid w:val="00ED1B45"/>
    <w:rsid w:val="00ED24B6"/>
    <w:rsid w:val="00ED25D2"/>
    <w:rsid w:val="00ED2D45"/>
    <w:rsid w:val="00ED2EB1"/>
    <w:rsid w:val="00ED35C0"/>
    <w:rsid w:val="00ED3F38"/>
    <w:rsid w:val="00ED4124"/>
    <w:rsid w:val="00ED42EC"/>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3FD2"/>
    <w:rsid w:val="00EE4436"/>
    <w:rsid w:val="00EE489E"/>
    <w:rsid w:val="00EE4ACE"/>
    <w:rsid w:val="00EE4BBE"/>
    <w:rsid w:val="00EE4F1D"/>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0E72"/>
    <w:rsid w:val="00EF138D"/>
    <w:rsid w:val="00EF1821"/>
    <w:rsid w:val="00EF1D2F"/>
    <w:rsid w:val="00EF20C3"/>
    <w:rsid w:val="00EF231B"/>
    <w:rsid w:val="00EF2449"/>
    <w:rsid w:val="00EF2467"/>
    <w:rsid w:val="00EF256C"/>
    <w:rsid w:val="00EF32B1"/>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874"/>
    <w:rsid w:val="00F03AA2"/>
    <w:rsid w:val="00F03F05"/>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4D0"/>
    <w:rsid w:val="00F10840"/>
    <w:rsid w:val="00F1089C"/>
    <w:rsid w:val="00F108B8"/>
    <w:rsid w:val="00F111FB"/>
    <w:rsid w:val="00F116E1"/>
    <w:rsid w:val="00F11E4F"/>
    <w:rsid w:val="00F1272B"/>
    <w:rsid w:val="00F13033"/>
    <w:rsid w:val="00F13232"/>
    <w:rsid w:val="00F132E7"/>
    <w:rsid w:val="00F13A85"/>
    <w:rsid w:val="00F13C6A"/>
    <w:rsid w:val="00F13C93"/>
    <w:rsid w:val="00F14212"/>
    <w:rsid w:val="00F14A1F"/>
    <w:rsid w:val="00F14D95"/>
    <w:rsid w:val="00F14FF8"/>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1F"/>
    <w:rsid w:val="00F21AE7"/>
    <w:rsid w:val="00F21B8E"/>
    <w:rsid w:val="00F21CAF"/>
    <w:rsid w:val="00F221B6"/>
    <w:rsid w:val="00F223BD"/>
    <w:rsid w:val="00F223EA"/>
    <w:rsid w:val="00F22EE2"/>
    <w:rsid w:val="00F232DA"/>
    <w:rsid w:val="00F2369D"/>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36C3"/>
    <w:rsid w:val="00F33B96"/>
    <w:rsid w:val="00F340C8"/>
    <w:rsid w:val="00F346B1"/>
    <w:rsid w:val="00F3484E"/>
    <w:rsid w:val="00F34B77"/>
    <w:rsid w:val="00F34E84"/>
    <w:rsid w:val="00F34FB3"/>
    <w:rsid w:val="00F36323"/>
    <w:rsid w:val="00F36F16"/>
    <w:rsid w:val="00F37507"/>
    <w:rsid w:val="00F37763"/>
    <w:rsid w:val="00F40042"/>
    <w:rsid w:val="00F415F2"/>
    <w:rsid w:val="00F42037"/>
    <w:rsid w:val="00F421B7"/>
    <w:rsid w:val="00F423F6"/>
    <w:rsid w:val="00F42415"/>
    <w:rsid w:val="00F424D3"/>
    <w:rsid w:val="00F4284C"/>
    <w:rsid w:val="00F431B7"/>
    <w:rsid w:val="00F43AB8"/>
    <w:rsid w:val="00F443B0"/>
    <w:rsid w:val="00F444BC"/>
    <w:rsid w:val="00F444E7"/>
    <w:rsid w:val="00F44725"/>
    <w:rsid w:val="00F447EA"/>
    <w:rsid w:val="00F44943"/>
    <w:rsid w:val="00F453DF"/>
    <w:rsid w:val="00F4605B"/>
    <w:rsid w:val="00F4737E"/>
    <w:rsid w:val="00F47D5F"/>
    <w:rsid w:val="00F47E5F"/>
    <w:rsid w:val="00F505EF"/>
    <w:rsid w:val="00F50623"/>
    <w:rsid w:val="00F507D7"/>
    <w:rsid w:val="00F50CE9"/>
    <w:rsid w:val="00F511EE"/>
    <w:rsid w:val="00F515B1"/>
    <w:rsid w:val="00F51C57"/>
    <w:rsid w:val="00F51D28"/>
    <w:rsid w:val="00F51E4D"/>
    <w:rsid w:val="00F52005"/>
    <w:rsid w:val="00F52365"/>
    <w:rsid w:val="00F533F9"/>
    <w:rsid w:val="00F539AC"/>
    <w:rsid w:val="00F53D94"/>
    <w:rsid w:val="00F5420D"/>
    <w:rsid w:val="00F54768"/>
    <w:rsid w:val="00F54ADC"/>
    <w:rsid w:val="00F553E8"/>
    <w:rsid w:val="00F55AA3"/>
    <w:rsid w:val="00F55DFC"/>
    <w:rsid w:val="00F56C88"/>
    <w:rsid w:val="00F56F05"/>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4C64"/>
    <w:rsid w:val="00F64D38"/>
    <w:rsid w:val="00F6557B"/>
    <w:rsid w:val="00F6574E"/>
    <w:rsid w:val="00F65F2E"/>
    <w:rsid w:val="00F666B5"/>
    <w:rsid w:val="00F66951"/>
    <w:rsid w:val="00F67275"/>
    <w:rsid w:val="00F672C3"/>
    <w:rsid w:val="00F67EF9"/>
    <w:rsid w:val="00F713E2"/>
    <w:rsid w:val="00F7187B"/>
    <w:rsid w:val="00F718A4"/>
    <w:rsid w:val="00F72698"/>
    <w:rsid w:val="00F728AA"/>
    <w:rsid w:val="00F72AD3"/>
    <w:rsid w:val="00F72B69"/>
    <w:rsid w:val="00F72C8A"/>
    <w:rsid w:val="00F72CA8"/>
    <w:rsid w:val="00F72D90"/>
    <w:rsid w:val="00F7366E"/>
    <w:rsid w:val="00F74153"/>
    <w:rsid w:val="00F741FA"/>
    <w:rsid w:val="00F7420B"/>
    <w:rsid w:val="00F7430B"/>
    <w:rsid w:val="00F745D9"/>
    <w:rsid w:val="00F74BA5"/>
    <w:rsid w:val="00F7523E"/>
    <w:rsid w:val="00F759D7"/>
    <w:rsid w:val="00F75CD0"/>
    <w:rsid w:val="00F7609A"/>
    <w:rsid w:val="00F7667C"/>
    <w:rsid w:val="00F76924"/>
    <w:rsid w:val="00F76FD6"/>
    <w:rsid w:val="00F77089"/>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4F73"/>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48"/>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2099"/>
    <w:rsid w:val="00FA2393"/>
    <w:rsid w:val="00FA38A1"/>
    <w:rsid w:val="00FA3C01"/>
    <w:rsid w:val="00FA3F41"/>
    <w:rsid w:val="00FA45F7"/>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41C6"/>
    <w:rsid w:val="00FB50C2"/>
    <w:rsid w:val="00FB529D"/>
    <w:rsid w:val="00FB56C5"/>
    <w:rsid w:val="00FB57EF"/>
    <w:rsid w:val="00FB59E5"/>
    <w:rsid w:val="00FB5E78"/>
    <w:rsid w:val="00FB5FB0"/>
    <w:rsid w:val="00FB65E6"/>
    <w:rsid w:val="00FB69A8"/>
    <w:rsid w:val="00FB6F0E"/>
    <w:rsid w:val="00FB7F29"/>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1B"/>
    <w:rsid w:val="00FE1DFC"/>
    <w:rsid w:val="00FE235B"/>
    <w:rsid w:val="00FE27FE"/>
    <w:rsid w:val="00FE2852"/>
    <w:rsid w:val="00FE2F5F"/>
    <w:rsid w:val="00FE393B"/>
    <w:rsid w:val="00FE3E04"/>
    <w:rsid w:val="00FE3FC5"/>
    <w:rsid w:val="00FE4037"/>
    <w:rsid w:val="00FE4608"/>
    <w:rsid w:val="00FE465A"/>
    <w:rsid w:val="00FE4826"/>
    <w:rsid w:val="00FE559F"/>
    <w:rsid w:val="00FE5DD2"/>
    <w:rsid w:val="00FE5F15"/>
    <w:rsid w:val="00FE66DF"/>
    <w:rsid w:val="00FE6845"/>
    <w:rsid w:val="00FE6AD1"/>
    <w:rsid w:val="00FE7344"/>
    <w:rsid w:val="00FE78FD"/>
    <w:rsid w:val="00FE7BA2"/>
    <w:rsid w:val="00FE7E13"/>
    <w:rsid w:val="00FF043C"/>
    <w:rsid w:val="00FF0586"/>
    <w:rsid w:val="00FF09BD"/>
    <w:rsid w:val="00FF13EB"/>
    <w:rsid w:val="00FF1653"/>
    <w:rsid w:val="00FF1744"/>
    <w:rsid w:val="00FF2265"/>
    <w:rsid w:val="00FF27D6"/>
    <w:rsid w:val="00FF2877"/>
    <w:rsid w:val="00FF3496"/>
    <w:rsid w:val="00FF3CA1"/>
    <w:rsid w:val="00FF4177"/>
    <w:rsid w:val="00FF4675"/>
    <w:rsid w:val="00FF48C8"/>
    <w:rsid w:val="00FF6024"/>
    <w:rsid w:val="00FF7692"/>
    <w:rsid w:val="00FF7932"/>
    <w:rsid w:val="0295C4AC"/>
    <w:rsid w:val="07500D72"/>
    <w:rsid w:val="0B50D185"/>
    <w:rsid w:val="149DF535"/>
    <w:rsid w:val="15D24E61"/>
    <w:rsid w:val="1F7930A7"/>
    <w:rsid w:val="21573570"/>
    <w:rsid w:val="2208C3FB"/>
    <w:rsid w:val="22F305D1"/>
    <w:rsid w:val="240C0B91"/>
    <w:rsid w:val="2B121FAC"/>
    <w:rsid w:val="2FB9F413"/>
    <w:rsid w:val="346D7F3E"/>
    <w:rsid w:val="3D9EAE6D"/>
    <w:rsid w:val="3F3A7ECE"/>
    <w:rsid w:val="40EF778C"/>
    <w:rsid w:val="42F67DC8"/>
    <w:rsid w:val="4B018FAD"/>
    <w:rsid w:val="4DA8B7C7"/>
    <w:rsid w:val="53BC9C86"/>
    <w:rsid w:val="5763A203"/>
    <w:rsid w:val="5A9B42C5"/>
    <w:rsid w:val="5DD2E387"/>
    <w:rsid w:val="639A179D"/>
    <w:rsid w:val="7327AE4F"/>
    <w:rsid w:val="7532E36B"/>
    <w:rsid w:val="786A842D"/>
    <w:rsid w:val="799EDD59"/>
    <w:rsid w:val="7E724E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36847"/>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2B6C"/>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link w:val="bulletCar"/>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SubttuloCar">
    <w:name w:val="Subtítulo Car"/>
    <w:basedOn w:val="Fuentedeprrafopredeter"/>
    <w:link w:val="Subttulo"/>
    <w:uiPriority w:val="99"/>
    <w:rsid w:val="00911985"/>
    <w:rPr>
      <w:rFonts w:ascii="Arial" w:hAnsi="Arial" w:cs="Arial"/>
      <w:b/>
      <w:bCs/>
      <w:sz w:val="24"/>
      <w:szCs w:val="24"/>
      <w:lang w:val="es-ES_tradnl" w:eastAsia="es-ES"/>
    </w:rPr>
  </w:style>
  <w:style w:type="paragraph" w:styleId="Sinespaciado">
    <w:name w:val="No Spacing"/>
    <w:uiPriority w:val="1"/>
    <w:qFormat/>
    <w:rsid w:val="00911985"/>
    <w:rPr>
      <w:rFonts w:asciiTheme="minorHAnsi" w:eastAsiaTheme="minorHAnsi" w:hAnsiTheme="minorHAnsi" w:cstheme="minorBidi"/>
      <w:sz w:val="22"/>
      <w:szCs w:val="22"/>
      <w:lang w:eastAsia="en-US"/>
    </w:rPr>
  </w:style>
  <w:style w:type="paragraph" w:customStyle="1" w:styleId="Titcuadrograf">
    <w:name w:val="Tit cuadro graf"/>
    <w:basedOn w:val="Normal"/>
    <w:link w:val="TitcuadrografCar"/>
    <w:qFormat/>
    <w:rsid w:val="004C6A26"/>
    <w:pPr>
      <w:ind w:left="-567"/>
      <w:jc w:val="center"/>
    </w:pPr>
    <w:rPr>
      <w:b/>
      <w:smallCaps/>
      <w:lang w:val="es-MX"/>
    </w:rPr>
  </w:style>
  <w:style w:type="paragraph" w:customStyle="1" w:styleId="pie">
    <w:name w:val="pie"/>
    <w:basedOn w:val="Textonotapie"/>
    <w:link w:val="pieCar"/>
    <w:qFormat/>
    <w:rsid w:val="00A72B1E"/>
    <w:pPr>
      <w:spacing w:after="20"/>
      <w:ind w:left="170" w:hanging="170"/>
    </w:pPr>
    <w:rPr>
      <w:sz w:val="16"/>
      <w:szCs w:val="16"/>
      <w:lang w:val="en-US"/>
    </w:rPr>
  </w:style>
  <w:style w:type="character" w:customStyle="1" w:styleId="bulletCar">
    <w:name w:val="bullet Car"/>
    <w:basedOn w:val="Fuentedeprrafopredeter"/>
    <w:link w:val="bullet"/>
    <w:rsid w:val="007A1B6B"/>
    <w:rPr>
      <w:rFonts w:ascii="Arial" w:hAnsi="Arial"/>
      <w:b/>
      <w:color w:val="0000FF"/>
      <w:spacing w:val="10"/>
      <w:sz w:val="24"/>
      <w:lang w:eastAsia="es-ES"/>
    </w:rPr>
  </w:style>
  <w:style w:type="character" w:customStyle="1" w:styleId="TitcuadrografCar">
    <w:name w:val="Tit cuadro graf Car"/>
    <w:basedOn w:val="bulletCar"/>
    <w:link w:val="Titcuadrograf"/>
    <w:rsid w:val="004C6A26"/>
    <w:rPr>
      <w:rFonts w:ascii="Arial" w:hAnsi="Arial" w:cs="Arial"/>
      <w:b/>
      <w:smallCaps/>
      <w:color w:val="0000FF"/>
      <w:spacing w:val="10"/>
      <w:sz w:val="24"/>
      <w:szCs w:val="24"/>
      <w:lang w:eastAsia="es-ES"/>
    </w:rPr>
  </w:style>
  <w:style w:type="character" w:styleId="Textoennegrita">
    <w:name w:val="Strong"/>
    <w:basedOn w:val="Fuentedeprrafopredeter"/>
    <w:qFormat/>
    <w:rsid w:val="00C54799"/>
    <w:rPr>
      <w:b/>
      <w:bCs/>
    </w:rPr>
  </w:style>
  <w:style w:type="character" w:customStyle="1" w:styleId="pieCar">
    <w:name w:val="pie Car"/>
    <w:basedOn w:val="TextonotapieCar"/>
    <w:link w:val="pie"/>
    <w:rsid w:val="00A72B1E"/>
    <w:rPr>
      <w:rFonts w:ascii="Arial" w:hAnsi="Arial" w:cs="Arial"/>
      <w:sz w:val="16"/>
      <w:szCs w:val="16"/>
      <w:lang w:val="en-US" w:eastAsia="es-ES"/>
    </w:rPr>
  </w:style>
  <w:style w:type="table" w:styleId="Tablaconcuadrcula1clara">
    <w:name w:val="Grid Table 1 Light"/>
    <w:basedOn w:val="Tablanormal"/>
    <w:uiPriority w:val="46"/>
    <w:rsid w:val="00A752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semiHidden/>
    <w:unhideWhenUsed/>
    <w:rsid w:val="00547906"/>
    <w:rPr>
      <w:sz w:val="16"/>
      <w:szCs w:val="16"/>
    </w:rPr>
  </w:style>
  <w:style w:type="paragraph" w:styleId="Asuntodelcomentario">
    <w:name w:val="annotation subject"/>
    <w:basedOn w:val="Textocomentario"/>
    <w:next w:val="Textocomentario"/>
    <w:link w:val="AsuntodelcomentarioCar"/>
    <w:semiHidden/>
    <w:unhideWhenUsed/>
    <w:rsid w:val="00547906"/>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547906"/>
    <w:rPr>
      <w:rFonts w:ascii="Arial" w:hAnsi="Arial" w:cs="Arial"/>
      <w:b/>
      <w:bCs/>
      <w:lang w:val="es-ES_tradnl" w:eastAsia="es-ES"/>
    </w:rPr>
  </w:style>
  <w:style w:type="paragraph" w:styleId="Revisin">
    <w:name w:val="Revision"/>
    <w:hidden/>
    <w:uiPriority w:val="99"/>
    <w:semiHidden/>
    <w:rsid w:val="0061324B"/>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12284C"/>
    <w:rPr>
      <w:color w:val="605E5C"/>
      <w:shd w:val="clear" w:color="auto" w:fill="E1DFDD"/>
    </w:rPr>
  </w:style>
  <w:style w:type="paragraph" w:customStyle="1" w:styleId="Estilo1pie">
    <w:name w:val="Estilo1 pie"/>
    <w:basedOn w:val="pie"/>
    <w:qFormat/>
    <w:rsid w:val="00A72B1E"/>
    <w:pPr>
      <w:spacing w:after="0"/>
    </w:pPr>
    <w:rPr>
      <w:lang w:val="es-MX"/>
    </w:rPr>
  </w:style>
  <w:style w:type="paragraph" w:customStyle="1" w:styleId="Estilo1">
    <w:name w:val="Estilo1"/>
    <w:basedOn w:val="Estilo1pie"/>
    <w:qFormat/>
    <w:rsid w:val="00EB14F7"/>
    <w:pPr>
      <w:widowControl w:val="0"/>
    </w:pPr>
  </w:style>
  <w:style w:type="character" w:customStyle="1" w:styleId="PiedepginaCar">
    <w:name w:val="Pie de página Car"/>
    <w:basedOn w:val="Fuentedeprrafopredeter"/>
    <w:link w:val="Piedepgina"/>
    <w:uiPriority w:val="99"/>
    <w:rsid w:val="00493661"/>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347872169">
      <w:bodyDiv w:val="1"/>
      <w:marLeft w:val="0"/>
      <w:marRight w:val="0"/>
      <w:marTop w:val="0"/>
      <w:marBottom w:val="0"/>
      <w:divBdr>
        <w:top w:val="none" w:sz="0" w:space="0" w:color="auto"/>
        <w:left w:val="none" w:sz="0" w:space="0" w:color="auto"/>
        <w:bottom w:val="none" w:sz="0" w:space="0" w:color="auto"/>
        <w:right w:val="none" w:sz="0" w:space="0" w:color="auto"/>
      </w:divBdr>
    </w:div>
    <w:div w:id="380398503">
      <w:bodyDiv w:val="1"/>
      <w:marLeft w:val="0"/>
      <w:marRight w:val="0"/>
      <w:marTop w:val="0"/>
      <w:marBottom w:val="0"/>
      <w:divBdr>
        <w:top w:val="none" w:sz="0" w:space="0" w:color="auto"/>
        <w:left w:val="none" w:sz="0" w:space="0" w:color="auto"/>
        <w:bottom w:val="none" w:sz="0" w:space="0" w:color="auto"/>
        <w:right w:val="none" w:sz="0" w:space="0" w:color="auto"/>
      </w:divBdr>
    </w:div>
    <w:div w:id="4534477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5429135">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1931287">
      <w:bodyDiv w:val="1"/>
      <w:marLeft w:val="0"/>
      <w:marRight w:val="0"/>
      <w:marTop w:val="0"/>
      <w:marBottom w:val="0"/>
      <w:divBdr>
        <w:top w:val="none" w:sz="0" w:space="0" w:color="auto"/>
        <w:left w:val="none" w:sz="0" w:space="0" w:color="auto"/>
        <w:bottom w:val="none" w:sz="0" w:space="0" w:color="auto"/>
        <w:right w:val="none" w:sz="0" w:space="0" w:color="auto"/>
      </w:divBdr>
    </w:div>
    <w:div w:id="68394221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34468671">
      <w:bodyDiv w:val="1"/>
      <w:marLeft w:val="0"/>
      <w:marRight w:val="0"/>
      <w:marTop w:val="0"/>
      <w:marBottom w:val="0"/>
      <w:divBdr>
        <w:top w:val="none" w:sz="0" w:space="0" w:color="auto"/>
        <w:left w:val="none" w:sz="0" w:space="0" w:color="auto"/>
        <w:bottom w:val="none" w:sz="0" w:space="0" w:color="auto"/>
        <w:right w:val="none" w:sz="0" w:space="0" w:color="auto"/>
      </w:divBdr>
    </w:div>
    <w:div w:id="76573336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043872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980497407">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199933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6835351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57811310">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8374311">
      <w:bodyDiv w:val="1"/>
      <w:marLeft w:val="0"/>
      <w:marRight w:val="0"/>
      <w:marTop w:val="0"/>
      <w:marBottom w:val="0"/>
      <w:divBdr>
        <w:top w:val="none" w:sz="0" w:space="0" w:color="auto"/>
        <w:left w:val="none" w:sz="0" w:space="0" w:color="auto"/>
        <w:bottom w:val="none" w:sz="0" w:space="0" w:color="auto"/>
        <w:right w:val="none" w:sz="0" w:space="0" w:color="auto"/>
      </w:divBdr>
    </w:div>
    <w:div w:id="1578518864">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hyperlink" Target="https://www.inegi.org.mx/investigacion/ioc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hyperlink" Target="https://www.inegi.org.mx/investigacion/iocp/"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hyperlink" Target="http://www.inegi.org.mx" TargetMode="External"/><Relationship Id="rId8" Type="http://schemas.openxmlformats.org/officeDocument/2006/relationships/hyperlink" Target="mailto:comunicacionsocial@inegi.org.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kikox\OneDrive%20-%20INEGI\Desktop\Graficos_Nowcasts_IOC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ikox\OneDrive%20-%20INEGI\Desktop\Graficos_Nowcasts_IOCP.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ikox\OneDrive%20-%20INEGI\Desktop\Graficos_Nowcasts_IOCP.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36296464579826E-2"/>
          <c:y val="4.3650793650793648E-2"/>
          <c:w val="0.91901857045493096"/>
          <c:h val="0.73756095185759696"/>
        </c:manualLayout>
      </c:layout>
      <c:lineChart>
        <c:grouping val="standard"/>
        <c:varyColors val="0"/>
        <c:ser>
          <c:idx val="0"/>
          <c:order val="0"/>
          <c:tx>
            <c:strRef>
              <c:f>IOCP!$D$1</c:f>
              <c:strCache>
                <c:ptCount val="1"/>
                <c:pt idx="0">
                  <c:v>IMCPMI</c:v>
                </c:pt>
              </c:strCache>
            </c:strRef>
          </c:tx>
          <c:spPr>
            <a:ln w="28575" cap="rnd">
              <a:solidFill>
                <a:schemeClr val="accent1">
                  <a:lumMod val="75000"/>
                </a:schemeClr>
              </a:solidFill>
              <a:round/>
            </a:ln>
            <a:effectLst/>
          </c:spPr>
          <c:marker>
            <c:symbol val="none"/>
          </c:marker>
          <c:cat>
            <c:multiLvlStrRef>
              <c:f>IOCP!$B$2:$C$48</c:f>
              <c:multiLvlStrCache>
                <c:ptCount val="4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lvl>
                <c:lvl>
                  <c:pt idx="0">
                    <c:v>2019</c:v>
                  </c:pt>
                  <c:pt idx="12">
                    <c:v>2020</c:v>
                  </c:pt>
                  <c:pt idx="24">
                    <c:v>2021</c:v>
                  </c:pt>
                  <c:pt idx="36">
                    <c:v>2022</c:v>
                  </c:pt>
                </c:lvl>
              </c:multiLvlStrCache>
            </c:multiLvlStrRef>
          </c:cat>
          <c:val>
            <c:numRef>
              <c:f>IOCP!$D$2:$D$48</c:f>
              <c:numCache>
                <c:formatCode>General</c:formatCode>
                <c:ptCount val="47"/>
                <c:pt idx="0">
                  <c:v>1.7529953065752</c:v>
                </c:pt>
                <c:pt idx="1">
                  <c:v>1.5055168299188499</c:v>
                </c:pt>
                <c:pt idx="2">
                  <c:v>-1.2803720998544199</c:v>
                </c:pt>
                <c:pt idx="3">
                  <c:v>0.68615474435054602</c:v>
                </c:pt>
                <c:pt idx="4">
                  <c:v>-0.324923953530387</c:v>
                </c:pt>
                <c:pt idx="5">
                  <c:v>1.0891547425109001</c:v>
                </c:pt>
                <c:pt idx="6">
                  <c:v>0.76633539883452795</c:v>
                </c:pt>
                <c:pt idx="7">
                  <c:v>0.32886765149923702</c:v>
                </c:pt>
                <c:pt idx="8">
                  <c:v>0.74954112373288195</c:v>
                </c:pt>
                <c:pt idx="9">
                  <c:v>1.43796962466858</c:v>
                </c:pt>
                <c:pt idx="10">
                  <c:v>0.99024694977458705</c:v>
                </c:pt>
                <c:pt idx="11">
                  <c:v>0.31302669384028498</c:v>
                </c:pt>
                <c:pt idx="12">
                  <c:v>0.66151863132324695</c:v>
                </c:pt>
                <c:pt idx="13">
                  <c:v>3.64359232428058E-3</c:v>
                </c:pt>
                <c:pt idx="14">
                  <c:v>-3.3235084370441301</c:v>
                </c:pt>
                <c:pt idx="15">
                  <c:v>-23.4847250346082</c:v>
                </c:pt>
                <c:pt idx="16">
                  <c:v>-25.055370011699502</c:v>
                </c:pt>
                <c:pt idx="17">
                  <c:v>-19.8001190280721</c:v>
                </c:pt>
                <c:pt idx="18">
                  <c:v>-15.1978540133065</c:v>
                </c:pt>
                <c:pt idx="19">
                  <c:v>-12.535790320682199</c:v>
                </c:pt>
                <c:pt idx="20">
                  <c:v>-10.4115708635478</c:v>
                </c:pt>
                <c:pt idx="21">
                  <c:v>-8.8515713950746306</c:v>
                </c:pt>
                <c:pt idx="22">
                  <c:v>-7.2906085750662699</c:v>
                </c:pt>
                <c:pt idx="23">
                  <c:v>-6.5956815927088899</c:v>
                </c:pt>
                <c:pt idx="24">
                  <c:v>-6.5574542752932397</c:v>
                </c:pt>
                <c:pt idx="25">
                  <c:v>-6.8029465051527298</c:v>
                </c:pt>
                <c:pt idx="26">
                  <c:v>-0.29795672724365801</c:v>
                </c:pt>
                <c:pt idx="27">
                  <c:v>26.131712595074902</c:v>
                </c:pt>
                <c:pt idx="28">
                  <c:v>29.920703995515499</c:v>
                </c:pt>
                <c:pt idx="29">
                  <c:v>19.671292668105099</c:v>
                </c:pt>
                <c:pt idx="30">
                  <c:v>13.1421384045472</c:v>
                </c:pt>
                <c:pt idx="31">
                  <c:v>9.8503916519185406</c:v>
                </c:pt>
                <c:pt idx="32">
                  <c:v>8.3978373331121201</c:v>
                </c:pt>
                <c:pt idx="33">
                  <c:v>6.7260290701721699</c:v>
                </c:pt>
                <c:pt idx="34">
                  <c:v>5.4141976914931904</c:v>
                </c:pt>
                <c:pt idx="35">
                  <c:v>7.4507094577236197</c:v>
                </c:pt>
                <c:pt idx="36">
                  <c:v>7.2332945075161099</c:v>
                </c:pt>
                <c:pt idx="37">
                  <c:v>9.63377107952439</c:v>
                </c:pt>
                <c:pt idx="38">
                  <c:v>8.5149167756782393</c:v>
                </c:pt>
                <c:pt idx="39">
                  <c:v>8.0456917181219705</c:v>
                </c:pt>
                <c:pt idx="40">
                  <c:v>6.3749841312841502</c:v>
                </c:pt>
                <c:pt idx="41">
                  <c:v>6.42540892464989</c:v>
                </c:pt>
                <c:pt idx="42">
                  <c:v>6.4242058125085704</c:v>
                </c:pt>
                <c:pt idx="43">
                  <c:v>7.0173872436002096</c:v>
                </c:pt>
                <c:pt idx="44">
                  <c:v>5.9650306692034398</c:v>
                </c:pt>
              </c:numCache>
            </c:numRef>
          </c:val>
          <c:smooth val="0"/>
          <c:extLst>
            <c:ext xmlns:c16="http://schemas.microsoft.com/office/drawing/2014/chart" uri="{C3380CC4-5D6E-409C-BE32-E72D297353CC}">
              <c16:uniqueId val="{00000000-CB92-4F56-8127-C71A55C82F43}"/>
            </c:ext>
          </c:extLst>
        </c:ser>
        <c:ser>
          <c:idx val="1"/>
          <c:order val="1"/>
          <c:tx>
            <c:strRef>
              <c:f>IOCP!$E$1</c:f>
              <c:strCache>
                <c:ptCount val="1"/>
                <c:pt idx="0">
                  <c:v>Ajuste</c:v>
                </c:pt>
              </c:strCache>
            </c:strRef>
          </c:tx>
          <c:spPr>
            <a:ln w="19050" cap="rnd">
              <a:solidFill>
                <a:schemeClr val="tx1"/>
              </a:solidFill>
              <a:prstDash val="sysDash"/>
              <a:round/>
            </a:ln>
            <a:effectLst/>
          </c:spPr>
          <c:marker>
            <c:symbol val="none"/>
          </c:marker>
          <c:cat>
            <c:multiLvlStrRef>
              <c:f>IOCP!$B$2:$C$48</c:f>
              <c:multiLvlStrCache>
                <c:ptCount val="4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lvl>
                <c:lvl>
                  <c:pt idx="0">
                    <c:v>2019</c:v>
                  </c:pt>
                  <c:pt idx="12">
                    <c:v>2020</c:v>
                  </c:pt>
                  <c:pt idx="24">
                    <c:v>2021</c:v>
                  </c:pt>
                  <c:pt idx="36">
                    <c:v>2022</c:v>
                  </c:pt>
                </c:lvl>
              </c:multiLvlStrCache>
            </c:multiLvlStrRef>
          </c:cat>
          <c:val>
            <c:numRef>
              <c:f>IOCP!$E$2:$E$48</c:f>
              <c:numCache>
                <c:formatCode>General</c:formatCode>
                <c:ptCount val="47"/>
                <c:pt idx="0">
                  <c:v>1.95377548245779</c:v>
                </c:pt>
                <c:pt idx="1">
                  <c:v>1.7495911049912301</c:v>
                </c:pt>
                <c:pt idx="2">
                  <c:v>-0.13311396965816899</c:v>
                </c:pt>
                <c:pt idx="3">
                  <c:v>-0.242136412519838</c:v>
                </c:pt>
                <c:pt idx="4">
                  <c:v>0.236025720858418</c:v>
                </c:pt>
                <c:pt idx="5">
                  <c:v>0.49420153302499498</c:v>
                </c:pt>
                <c:pt idx="6">
                  <c:v>-0.77998722283993405</c:v>
                </c:pt>
                <c:pt idx="7">
                  <c:v>0.40120380331253502</c:v>
                </c:pt>
                <c:pt idx="8">
                  <c:v>-0.70934781278498105</c:v>
                </c:pt>
                <c:pt idx="9">
                  <c:v>0.48445455722969299</c:v>
                </c:pt>
                <c:pt idx="10">
                  <c:v>1.06846881498799</c:v>
                </c:pt>
                <c:pt idx="11">
                  <c:v>1.42606968058793</c:v>
                </c:pt>
                <c:pt idx="12">
                  <c:v>0.97791769026017095</c:v>
                </c:pt>
                <c:pt idx="13">
                  <c:v>-0.54957715381659</c:v>
                </c:pt>
                <c:pt idx="14">
                  <c:v>-3.9014254606182899</c:v>
                </c:pt>
                <c:pt idx="15">
                  <c:v>-19.928996189578999</c:v>
                </c:pt>
                <c:pt idx="16">
                  <c:v>-23.784149930793699</c:v>
                </c:pt>
                <c:pt idx="17">
                  <c:v>-17.922683401933298</c:v>
                </c:pt>
                <c:pt idx="18">
                  <c:v>-14.051880271611401</c:v>
                </c:pt>
                <c:pt idx="19">
                  <c:v>-12.0454150827061</c:v>
                </c:pt>
                <c:pt idx="20">
                  <c:v>-10.410600422417</c:v>
                </c:pt>
                <c:pt idx="21">
                  <c:v>-10.2017352197002</c:v>
                </c:pt>
                <c:pt idx="22">
                  <c:v>-7.6823933915616696</c:v>
                </c:pt>
                <c:pt idx="23">
                  <c:v>-7.1148063086277498</c:v>
                </c:pt>
                <c:pt idx="24">
                  <c:v>-7.15395208192691</c:v>
                </c:pt>
                <c:pt idx="25">
                  <c:v>-6.3151880671228096</c:v>
                </c:pt>
                <c:pt idx="26">
                  <c:v>1.60087846233619</c:v>
                </c:pt>
                <c:pt idx="27">
                  <c:v>25.818528952741801</c:v>
                </c:pt>
                <c:pt idx="28">
                  <c:v>30.481204673192</c:v>
                </c:pt>
                <c:pt idx="29">
                  <c:v>17.280047458587202</c:v>
                </c:pt>
                <c:pt idx="30">
                  <c:v>13.130233836689101</c:v>
                </c:pt>
                <c:pt idx="31">
                  <c:v>9.7499024775885292</c:v>
                </c:pt>
                <c:pt idx="32">
                  <c:v>7.56788570624028</c:v>
                </c:pt>
                <c:pt idx="33">
                  <c:v>8.7107746278181803</c:v>
                </c:pt>
                <c:pt idx="34">
                  <c:v>7.09530103680222</c:v>
                </c:pt>
                <c:pt idx="35">
                  <c:v>8.1561126219398599</c:v>
                </c:pt>
                <c:pt idx="36">
                  <c:v>6.8093120026339502</c:v>
                </c:pt>
                <c:pt idx="37">
                  <c:v>8.5868527618916506</c:v>
                </c:pt>
                <c:pt idx="38">
                  <c:v>8.2914806493106195</c:v>
                </c:pt>
                <c:pt idx="39">
                  <c:v>7.8604040718099597</c:v>
                </c:pt>
                <c:pt idx="40">
                  <c:v>7.1732441836068599</c:v>
                </c:pt>
                <c:pt idx="41">
                  <c:v>5.8402616802851499</c:v>
                </c:pt>
                <c:pt idx="42">
                  <c:v>6.1408323593188898</c:v>
                </c:pt>
                <c:pt idx="43">
                  <c:v>6.9609012749826098</c:v>
                </c:pt>
                <c:pt idx="44">
                  <c:v>6.0574704994013002</c:v>
                </c:pt>
              </c:numCache>
            </c:numRef>
          </c:val>
          <c:smooth val="0"/>
          <c:extLst>
            <c:ext xmlns:c16="http://schemas.microsoft.com/office/drawing/2014/chart" uri="{C3380CC4-5D6E-409C-BE32-E72D297353CC}">
              <c16:uniqueId val="{00000001-CB92-4F56-8127-C71A55C82F43}"/>
            </c:ext>
          </c:extLst>
        </c:ser>
        <c:ser>
          <c:idx val="2"/>
          <c:order val="2"/>
          <c:tx>
            <c:strRef>
              <c:f>IOCP!$F$1</c:f>
              <c:strCache>
                <c:ptCount val="1"/>
                <c:pt idx="0">
                  <c:v>Nowcasts</c:v>
                </c:pt>
              </c:strCache>
            </c:strRef>
          </c:tx>
          <c:spPr>
            <a:ln w="28575" cap="rnd">
              <a:solidFill>
                <a:srgbClr val="C00000"/>
              </a:solidFill>
              <a:round/>
            </a:ln>
            <a:effectLst/>
          </c:spPr>
          <c:marker>
            <c:symbol val="none"/>
          </c:marker>
          <c:cat>
            <c:multiLvlStrRef>
              <c:f>IOCP!$B$2:$C$48</c:f>
              <c:multiLvlStrCache>
                <c:ptCount val="4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lvl>
                <c:lvl>
                  <c:pt idx="0">
                    <c:v>2019</c:v>
                  </c:pt>
                  <c:pt idx="12">
                    <c:v>2020</c:v>
                  </c:pt>
                  <c:pt idx="24">
                    <c:v>2021</c:v>
                  </c:pt>
                  <c:pt idx="36">
                    <c:v>2022</c:v>
                  </c:pt>
                </c:lvl>
              </c:multiLvlStrCache>
            </c:multiLvlStrRef>
          </c:cat>
          <c:val>
            <c:numRef>
              <c:f>IOCP!$F$2:$F$48</c:f>
              <c:numCache>
                <c:formatCode>General</c:formatCode>
                <c:ptCount val="47"/>
                <c:pt idx="44" formatCode="_-* #,##0.0_-;\-* #,##0.0_-;_-* &quot;-&quot;??_-;_-@_-">
                  <c:v>5.9650306692034398</c:v>
                </c:pt>
                <c:pt idx="45" formatCode="_-* #,##0.0_-;\-* #,##0.0_-;_-* &quot;-&quot;??_-;_-@_-">
                  <c:v>7.21</c:v>
                </c:pt>
                <c:pt idx="46" formatCode="_-* #,##0.0_-;\-* #,##0.0_-;_-* &quot;-&quot;??_-;_-@_-">
                  <c:v>6.1250952483685897</c:v>
                </c:pt>
              </c:numCache>
            </c:numRef>
          </c:val>
          <c:smooth val="0"/>
          <c:extLst>
            <c:ext xmlns:c16="http://schemas.microsoft.com/office/drawing/2014/chart" uri="{C3380CC4-5D6E-409C-BE32-E72D297353CC}">
              <c16:uniqueId val="{00000002-CB92-4F56-8127-C71A55C82F43}"/>
            </c:ext>
          </c:extLst>
        </c:ser>
        <c:ser>
          <c:idx val="3"/>
          <c:order val="3"/>
          <c:tx>
            <c:strRef>
              <c:f>IOCP!$G$1</c:f>
              <c:strCache>
                <c:ptCount val="1"/>
                <c:pt idx="0">
                  <c:v>Inferior</c:v>
                </c:pt>
              </c:strCache>
            </c:strRef>
          </c:tx>
          <c:spPr>
            <a:ln w="19050" cap="rnd">
              <a:solidFill>
                <a:srgbClr val="00B050"/>
              </a:solidFill>
              <a:prstDash val="sysDash"/>
              <a:round/>
            </a:ln>
            <a:effectLst/>
          </c:spPr>
          <c:marker>
            <c:symbol val="none"/>
          </c:marker>
          <c:dPt>
            <c:idx val="22"/>
            <c:marker>
              <c:symbol val="none"/>
            </c:marker>
            <c:bubble3D val="0"/>
            <c:extLst>
              <c:ext xmlns:c16="http://schemas.microsoft.com/office/drawing/2014/chart" uri="{C3380CC4-5D6E-409C-BE32-E72D297353CC}">
                <c16:uniqueId val="{00000003-CB92-4F56-8127-C71A55C82F43}"/>
              </c:ext>
            </c:extLst>
          </c:dPt>
          <c:dPt>
            <c:idx val="23"/>
            <c:marker>
              <c:symbol val="none"/>
            </c:marker>
            <c:bubble3D val="0"/>
            <c:extLst>
              <c:ext xmlns:c16="http://schemas.microsoft.com/office/drawing/2014/chart" uri="{C3380CC4-5D6E-409C-BE32-E72D297353CC}">
                <c16:uniqueId val="{00000004-CB92-4F56-8127-C71A55C82F43}"/>
              </c:ext>
            </c:extLst>
          </c:dPt>
          <c:cat>
            <c:multiLvlStrRef>
              <c:f>IOCP!$B$2:$C$48</c:f>
              <c:multiLvlStrCache>
                <c:ptCount val="4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lvl>
                <c:lvl>
                  <c:pt idx="0">
                    <c:v>2019</c:v>
                  </c:pt>
                  <c:pt idx="12">
                    <c:v>2020</c:v>
                  </c:pt>
                  <c:pt idx="24">
                    <c:v>2021</c:v>
                  </c:pt>
                  <c:pt idx="36">
                    <c:v>2022</c:v>
                  </c:pt>
                </c:lvl>
              </c:multiLvlStrCache>
            </c:multiLvlStrRef>
          </c:cat>
          <c:val>
            <c:numRef>
              <c:f>IOCP!$G$2:$G$48</c:f>
              <c:numCache>
                <c:formatCode>General</c:formatCode>
                <c:ptCount val="47"/>
                <c:pt idx="44" formatCode="_-* #,##0.0_-;\-* #,##0.0_-;_-* &quot;-&quot;??_-;_-@_-">
                  <c:v>5.9650306692034398</c:v>
                </c:pt>
                <c:pt idx="45" formatCode="_-* #,##0.0_-;\-* #,##0.0_-;_-* &quot;-&quot;??_-;_-@_-">
                  <c:v>5.53</c:v>
                </c:pt>
                <c:pt idx="46" formatCode="_-* #,##0.0_-;\-* #,##0.0_-;_-* &quot;-&quot;??_-;_-@_-">
                  <c:v>4.4276870518828799</c:v>
                </c:pt>
              </c:numCache>
            </c:numRef>
          </c:val>
          <c:smooth val="0"/>
          <c:extLst>
            <c:ext xmlns:c16="http://schemas.microsoft.com/office/drawing/2014/chart" uri="{C3380CC4-5D6E-409C-BE32-E72D297353CC}">
              <c16:uniqueId val="{00000005-CB92-4F56-8127-C71A55C82F43}"/>
            </c:ext>
          </c:extLst>
        </c:ser>
        <c:ser>
          <c:idx val="4"/>
          <c:order val="4"/>
          <c:tx>
            <c:strRef>
              <c:f>IOCP!$H$1</c:f>
              <c:strCache>
                <c:ptCount val="1"/>
                <c:pt idx="0">
                  <c:v>Superior</c:v>
                </c:pt>
              </c:strCache>
            </c:strRef>
          </c:tx>
          <c:spPr>
            <a:ln w="19050" cap="rnd">
              <a:solidFill>
                <a:srgbClr val="00B050"/>
              </a:solidFill>
              <a:prstDash val="sysDash"/>
              <a:round/>
            </a:ln>
            <a:effectLst/>
          </c:spPr>
          <c:marker>
            <c:symbol val="none"/>
          </c:marker>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CB92-4F56-8127-C71A55C82F43}"/>
              </c:ext>
            </c:extLst>
          </c:dPt>
          <c:dPt>
            <c:idx val="23"/>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CB92-4F56-8127-C71A55C82F43}"/>
              </c:ext>
            </c:extLst>
          </c:dPt>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CB92-4F56-8127-C71A55C82F43}"/>
              </c:ext>
            </c:extLst>
          </c:dPt>
          <c:cat>
            <c:multiLvlStrRef>
              <c:f>IOCP!$B$2:$C$48</c:f>
              <c:multiLvlStrCache>
                <c:ptCount val="4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lvl>
                <c:lvl>
                  <c:pt idx="0">
                    <c:v>2019</c:v>
                  </c:pt>
                  <c:pt idx="12">
                    <c:v>2020</c:v>
                  </c:pt>
                  <c:pt idx="24">
                    <c:v>2021</c:v>
                  </c:pt>
                  <c:pt idx="36">
                    <c:v>2022</c:v>
                  </c:pt>
                </c:lvl>
              </c:multiLvlStrCache>
            </c:multiLvlStrRef>
          </c:cat>
          <c:val>
            <c:numRef>
              <c:f>IOCP!$H$2:$H$48</c:f>
              <c:numCache>
                <c:formatCode>General</c:formatCode>
                <c:ptCount val="47"/>
                <c:pt idx="44" formatCode="_-* #,##0.0_-;\-* #,##0.0_-;_-* &quot;-&quot;??_-;_-@_-">
                  <c:v>5.9650306692034398</c:v>
                </c:pt>
                <c:pt idx="45" formatCode="_-* #,##0.0_-;\-* #,##0.0_-;_-* &quot;-&quot;??_-;_-@_-">
                  <c:v>8.69</c:v>
                </c:pt>
                <c:pt idx="46" formatCode="_-* #,##0.0_-;\-* #,##0.0_-;_-* &quot;-&quot;??_-;_-@_-">
                  <c:v>7.8284132277512297</c:v>
                </c:pt>
              </c:numCache>
            </c:numRef>
          </c:val>
          <c:smooth val="0"/>
          <c:extLst>
            <c:ext xmlns:c16="http://schemas.microsoft.com/office/drawing/2014/chart" uri="{C3380CC4-5D6E-409C-BE32-E72D297353CC}">
              <c16:uniqueId val="{0000000C-CB92-4F56-8127-C71A55C82F43}"/>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3175" cap="flat" cmpd="sng" algn="ctr">
            <a:solidFill>
              <a:schemeClr val="bg1">
                <a:lumMod val="50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w="3175">
          <a:solidFill>
            <a:sysClr val="windowText" lastClr="000000"/>
          </a:solidFill>
        </a:ln>
        <a:effectLst/>
      </c:spPr>
    </c:plotArea>
    <c:legend>
      <c:legendPos val="b"/>
      <c:layout>
        <c:manualLayout>
          <c:xMode val="edge"/>
          <c:yMode val="edge"/>
          <c:x val="6.9133166498554291E-2"/>
          <c:y val="0.92426526346498106"/>
          <c:w val="0.90419389728723654"/>
          <c:h val="6.6964775329576107E-2"/>
        </c:manualLayout>
      </c:layout>
      <c:overlay val="0"/>
      <c:spPr>
        <a:noFill/>
        <a:ln w="25400" cap="rnd">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53932405732319E-2"/>
          <c:y val="4.3650793650793648E-2"/>
          <c:w val="0.9182984668925106"/>
          <c:h val="0.72993544600938964"/>
        </c:manualLayout>
      </c:layout>
      <c:lineChart>
        <c:grouping val="standard"/>
        <c:varyColors val="0"/>
        <c:ser>
          <c:idx val="0"/>
          <c:order val="0"/>
          <c:tx>
            <c:strRef>
              <c:f>IOCP_vm!$D$1</c:f>
              <c:strCache>
                <c:ptCount val="1"/>
                <c:pt idx="0">
                  <c:v>IMCPMI</c:v>
                </c:pt>
              </c:strCache>
            </c:strRef>
          </c:tx>
          <c:spPr>
            <a:ln w="28575" cap="rnd">
              <a:solidFill>
                <a:schemeClr val="accent1">
                  <a:lumMod val="75000"/>
                </a:schemeClr>
              </a:solidFill>
              <a:round/>
            </a:ln>
            <a:effectLst/>
          </c:spPr>
          <c:marker>
            <c:symbol val="none"/>
          </c:marker>
          <c:cat>
            <c:multiLvlStrRef>
              <c:f>IOCP_vm!$B$2:$C$48</c:f>
              <c:multiLvlStrCache>
                <c:ptCount val="4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lvl>
                <c:lvl>
                  <c:pt idx="0">
                    <c:v>2019</c:v>
                  </c:pt>
                  <c:pt idx="12">
                    <c:v>2020</c:v>
                  </c:pt>
                  <c:pt idx="24">
                    <c:v>2021</c:v>
                  </c:pt>
                  <c:pt idx="36">
                    <c:v>2022</c:v>
                  </c:pt>
                </c:lvl>
              </c:multiLvlStrCache>
            </c:multiLvlStrRef>
          </c:cat>
          <c:val>
            <c:numRef>
              <c:f>IOCP_vm!$D$2:$D$48</c:f>
              <c:numCache>
                <c:formatCode>General</c:formatCode>
                <c:ptCount val="47"/>
                <c:pt idx="0">
                  <c:v>0.25207339497366399</c:v>
                </c:pt>
                <c:pt idx="1">
                  <c:v>0.103106329524792</c:v>
                </c:pt>
                <c:pt idx="2">
                  <c:v>-1.69519394790441</c:v>
                </c:pt>
                <c:pt idx="3">
                  <c:v>0.91676303040226503</c:v>
                </c:pt>
                <c:pt idx="4">
                  <c:v>5.6634571905959802E-2</c:v>
                </c:pt>
                <c:pt idx="5">
                  <c:v>1.2537561124776899</c:v>
                </c:pt>
                <c:pt idx="6">
                  <c:v>0.28581873488660398</c:v>
                </c:pt>
                <c:pt idx="7">
                  <c:v>-0.103679427756944</c:v>
                </c:pt>
                <c:pt idx="8">
                  <c:v>0.31324892573670099</c:v>
                </c:pt>
                <c:pt idx="9">
                  <c:v>-4.5028065544272501E-2</c:v>
                </c:pt>
                <c:pt idx="10">
                  <c:v>-0.121865443703967</c:v>
                </c:pt>
                <c:pt idx="11">
                  <c:v>-0.87135201795483397</c:v>
                </c:pt>
                <c:pt idx="12">
                  <c:v>0.60035357797252697</c:v>
                </c:pt>
                <c:pt idx="13">
                  <c:v>-0.55111919653401698</c:v>
                </c:pt>
                <c:pt idx="14">
                  <c:v>-4.9658251289667001</c:v>
                </c:pt>
                <c:pt idx="15">
                  <c:v>-20.128732983031899</c:v>
                </c:pt>
                <c:pt idx="16">
                  <c:v>-1.99724879433826</c:v>
                </c:pt>
                <c:pt idx="17">
                  <c:v>8.3538498949025506</c:v>
                </c:pt>
                <c:pt idx="18">
                  <c:v>6.04071399716572</c:v>
                </c:pt>
                <c:pt idx="19">
                  <c:v>3.03221253497532</c:v>
                </c:pt>
                <c:pt idx="20">
                  <c:v>2.7495295021883801</c:v>
                </c:pt>
                <c:pt idx="21">
                  <c:v>1.6954835673977899</c:v>
                </c:pt>
                <c:pt idx="22">
                  <c:v>1.5885979944528399</c:v>
                </c:pt>
                <c:pt idx="23">
                  <c:v>-0.12830785437505199</c:v>
                </c:pt>
                <c:pt idx="24">
                  <c:v>0.64152599605688498</c:v>
                </c:pt>
                <c:pt idx="25">
                  <c:v>-0.81239126822393404</c:v>
                </c:pt>
                <c:pt idx="26">
                  <c:v>1.6673924772344899</c:v>
                </c:pt>
                <c:pt idx="27">
                  <c:v>1.0440645476874</c:v>
                </c:pt>
                <c:pt idx="28">
                  <c:v>0.94674977586959097</c:v>
                </c:pt>
                <c:pt idx="29">
                  <c:v>-0.19415779230695299</c:v>
                </c:pt>
                <c:pt idx="30">
                  <c:v>0.25523141008036998</c:v>
                </c:pt>
                <c:pt idx="31">
                  <c:v>3.4603016446709503E-2</c:v>
                </c:pt>
                <c:pt idx="32">
                  <c:v>1.39087005100811</c:v>
                </c:pt>
                <c:pt idx="33">
                  <c:v>0.12704499044366499</c:v>
                </c:pt>
                <c:pt idx="34">
                  <c:v>0.33991375382112199</c:v>
                </c:pt>
                <c:pt idx="35">
                  <c:v>1.80112746479469</c:v>
                </c:pt>
                <c:pt idx="36">
                  <c:v>0.43788869599934799</c:v>
                </c:pt>
                <c:pt idx="37">
                  <c:v>1.40797818034753</c:v>
                </c:pt>
                <c:pt idx="38">
                  <c:v>0.62983809491319698</c:v>
                </c:pt>
                <c:pt idx="39">
                  <c:v>0.60714390661904405</c:v>
                </c:pt>
                <c:pt idx="40">
                  <c:v>-0.61418706515836197</c:v>
                </c:pt>
                <c:pt idx="41">
                  <c:v>-0.14684696061927099</c:v>
                </c:pt>
                <c:pt idx="42">
                  <c:v>0.25409805022431398</c:v>
                </c:pt>
                <c:pt idx="43">
                  <c:v>0.59217042813612897</c:v>
                </c:pt>
                <c:pt idx="44">
                  <c:v>0.39384189109694001</c:v>
                </c:pt>
              </c:numCache>
            </c:numRef>
          </c:val>
          <c:smooth val="0"/>
          <c:extLst>
            <c:ext xmlns:c16="http://schemas.microsoft.com/office/drawing/2014/chart" uri="{C3380CC4-5D6E-409C-BE32-E72D297353CC}">
              <c16:uniqueId val="{00000000-A67B-4835-80C6-7C1A4421EA32}"/>
            </c:ext>
          </c:extLst>
        </c:ser>
        <c:ser>
          <c:idx val="1"/>
          <c:order val="1"/>
          <c:tx>
            <c:strRef>
              <c:f>IOCP_vm!$E$1</c:f>
              <c:strCache>
                <c:ptCount val="1"/>
                <c:pt idx="0">
                  <c:v>Ajuste</c:v>
                </c:pt>
              </c:strCache>
            </c:strRef>
          </c:tx>
          <c:spPr>
            <a:ln w="19050" cap="rnd">
              <a:solidFill>
                <a:schemeClr val="tx1"/>
              </a:solidFill>
              <a:prstDash val="sysDash"/>
              <a:round/>
            </a:ln>
            <a:effectLst/>
          </c:spPr>
          <c:marker>
            <c:symbol val="none"/>
          </c:marker>
          <c:cat>
            <c:multiLvlStrRef>
              <c:f>IOCP_vm!$B$2:$C$48</c:f>
              <c:multiLvlStrCache>
                <c:ptCount val="4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lvl>
                <c:lvl>
                  <c:pt idx="0">
                    <c:v>2019</c:v>
                  </c:pt>
                  <c:pt idx="12">
                    <c:v>2020</c:v>
                  </c:pt>
                  <c:pt idx="24">
                    <c:v>2021</c:v>
                  </c:pt>
                  <c:pt idx="36">
                    <c:v>2022</c:v>
                  </c:pt>
                </c:lvl>
              </c:multiLvlStrCache>
            </c:multiLvlStrRef>
          </c:cat>
          <c:val>
            <c:numRef>
              <c:f>IOCP_vm!$E$2:$E$48</c:f>
              <c:numCache>
                <c:formatCode>General</c:formatCode>
                <c:ptCount val="47"/>
                <c:pt idx="0">
                  <c:v>0.25659062454247999</c:v>
                </c:pt>
                <c:pt idx="1">
                  <c:v>6.6456497305102599E-2</c:v>
                </c:pt>
                <c:pt idx="2">
                  <c:v>-0.84446619105734</c:v>
                </c:pt>
                <c:pt idx="3">
                  <c:v>0.61581539394638696</c:v>
                </c:pt>
                <c:pt idx="4">
                  <c:v>-0.137318715868227</c:v>
                </c:pt>
                <c:pt idx="5">
                  <c:v>0.120467855706978</c:v>
                </c:pt>
                <c:pt idx="6">
                  <c:v>-0.89021626874906801</c:v>
                </c:pt>
                <c:pt idx="7">
                  <c:v>2.6740784737995099E-2</c:v>
                </c:pt>
                <c:pt idx="8">
                  <c:v>-0.13380927206523199</c:v>
                </c:pt>
                <c:pt idx="9">
                  <c:v>-0.88040221646902295</c:v>
                </c:pt>
                <c:pt idx="10">
                  <c:v>-0.229785777953397</c:v>
                </c:pt>
                <c:pt idx="11">
                  <c:v>-0.58623988044086806</c:v>
                </c:pt>
                <c:pt idx="12">
                  <c:v>0.42131743679726702</c:v>
                </c:pt>
                <c:pt idx="13">
                  <c:v>-0.33151726541845999</c:v>
                </c:pt>
                <c:pt idx="14">
                  <c:v>-4.0024998877302496</c:v>
                </c:pt>
                <c:pt idx="15">
                  <c:v>-18.057405017251799</c:v>
                </c:pt>
                <c:pt idx="16">
                  <c:v>-0.52591463554394902</c:v>
                </c:pt>
                <c:pt idx="17">
                  <c:v>11.4940522621515</c:v>
                </c:pt>
                <c:pt idx="18">
                  <c:v>6.9807056298071704</c:v>
                </c:pt>
                <c:pt idx="19">
                  <c:v>2.54023481615133</c:v>
                </c:pt>
                <c:pt idx="20">
                  <c:v>1.6058399586990499</c:v>
                </c:pt>
                <c:pt idx="21">
                  <c:v>0.67161580457329495</c:v>
                </c:pt>
                <c:pt idx="22">
                  <c:v>1.145370098825</c:v>
                </c:pt>
                <c:pt idx="23">
                  <c:v>8.6398079498854294E-2</c:v>
                </c:pt>
                <c:pt idx="24">
                  <c:v>0.16314657362089299</c:v>
                </c:pt>
                <c:pt idx="25">
                  <c:v>-0.81963141673201301</c:v>
                </c:pt>
                <c:pt idx="26">
                  <c:v>2.72315023940694</c:v>
                </c:pt>
                <c:pt idx="27">
                  <c:v>0.65388572806024703</c:v>
                </c:pt>
                <c:pt idx="28">
                  <c:v>0.58071092582899297</c:v>
                </c:pt>
                <c:pt idx="29">
                  <c:v>0.27206096476624803</c:v>
                </c:pt>
                <c:pt idx="30">
                  <c:v>0.60478373549660203</c:v>
                </c:pt>
                <c:pt idx="31">
                  <c:v>-9.7237002318042401E-2</c:v>
                </c:pt>
                <c:pt idx="32">
                  <c:v>0.35203800281465503</c:v>
                </c:pt>
                <c:pt idx="33">
                  <c:v>0.85766892792148297</c:v>
                </c:pt>
                <c:pt idx="34">
                  <c:v>0.84308718491661205</c:v>
                </c:pt>
                <c:pt idx="35">
                  <c:v>0.45748137174633702</c:v>
                </c:pt>
                <c:pt idx="36">
                  <c:v>0.11421573689087</c:v>
                </c:pt>
                <c:pt idx="37">
                  <c:v>1.06514610740297</c:v>
                </c:pt>
                <c:pt idx="38">
                  <c:v>0.56815847713366896</c:v>
                </c:pt>
                <c:pt idx="39">
                  <c:v>0.62314837758601305</c:v>
                </c:pt>
                <c:pt idx="40">
                  <c:v>-0.21780850779400401</c:v>
                </c:pt>
                <c:pt idx="41">
                  <c:v>0.377854525747433</c:v>
                </c:pt>
                <c:pt idx="42">
                  <c:v>0.16386712715211599</c:v>
                </c:pt>
                <c:pt idx="43">
                  <c:v>0.17518080092699001</c:v>
                </c:pt>
                <c:pt idx="44">
                  <c:v>-0.20464604478811901</c:v>
                </c:pt>
              </c:numCache>
            </c:numRef>
          </c:val>
          <c:smooth val="0"/>
          <c:extLst>
            <c:ext xmlns:c16="http://schemas.microsoft.com/office/drawing/2014/chart" uri="{C3380CC4-5D6E-409C-BE32-E72D297353CC}">
              <c16:uniqueId val="{00000001-A67B-4835-80C6-7C1A4421EA32}"/>
            </c:ext>
          </c:extLst>
        </c:ser>
        <c:ser>
          <c:idx val="2"/>
          <c:order val="2"/>
          <c:tx>
            <c:strRef>
              <c:f>IOCP_vm!$F$1</c:f>
              <c:strCache>
                <c:ptCount val="1"/>
                <c:pt idx="0">
                  <c:v>Nowcasts</c:v>
                </c:pt>
              </c:strCache>
            </c:strRef>
          </c:tx>
          <c:spPr>
            <a:ln w="28575" cap="rnd">
              <a:solidFill>
                <a:srgbClr val="C00000"/>
              </a:solidFill>
              <a:round/>
            </a:ln>
            <a:effectLst/>
          </c:spPr>
          <c:marker>
            <c:symbol val="none"/>
          </c:marker>
          <c:cat>
            <c:multiLvlStrRef>
              <c:f>IOCP_vm!$B$2:$C$48</c:f>
              <c:multiLvlStrCache>
                <c:ptCount val="4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lvl>
                <c:lvl>
                  <c:pt idx="0">
                    <c:v>2019</c:v>
                  </c:pt>
                  <c:pt idx="12">
                    <c:v>2020</c:v>
                  </c:pt>
                  <c:pt idx="24">
                    <c:v>2021</c:v>
                  </c:pt>
                  <c:pt idx="36">
                    <c:v>2022</c:v>
                  </c:pt>
                </c:lvl>
              </c:multiLvlStrCache>
            </c:multiLvlStrRef>
          </c:cat>
          <c:val>
            <c:numRef>
              <c:f>IOCP_vm!$F$2:$F$48</c:f>
              <c:numCache>
                <c:formatCode>General</c:formatCode>
                <c:ptCount val="47"/>
                <c:pt idx="44">
                  <c:v>0.39384189109694001</c:v>
                </c:pt>
                <c:pt idx="45" formatCode="_-* #,##0.0_-;\-* #,##0.0_-;_-* &quot;-&quot;??_-;_-@_-">
                  <c:v>1.3034245885918101</c:v>
                </c:pt>
                <c:pt idx="46" formatCode="_-* #,##0.0_-;\-* #,##0.0_-;_-* &quot;-&quot;??_-;_-@_-">
                  <c:v>-0.67546959856959699</c:v>
                </c:pt>
              </c:numCache>
            </c:numRef>
          </c:val>
          <c:smooth val="0"/>
          <c:extLst>
            <c:ext xmlns:c16="http://schemas.microsoft.com/office/drawing/2014/chart" uri="{C3380CC4-5D6E-409C-BE32-E72D297353CC}">
              <c16:uniqueId val="{00000002-A67B-4835-80C6-7C1A4421EA32}"/>
            </c:ext>
          </c:extLst>
        </c:ser>
        <c:ser>
          <c:idx val="3"/>
          <c:order val="3"/>
          <c:tx>
            <c:strRef>
              <c:f>IOCP_vm!$G$1</c:f>
              <c:strCache>
                <c:ptCount val="1"/>
                <c:pt idx="0">
                  <c:v>Inferior</c:v>
                </c:pt>
              </c:strCache>
            </c:strRef>
          </c:tx>
          <c:spPr>
            <a:ln w="19050" cap="rnd">
              <a:solidFill>
                <a:srgbClr val="00B050"/>
              </a:solidFill>
              <a:prstDash val="sysDash"/>
              <a:round/>
            </a:ln>
            <a:effectLst/>
          </c:spPr>
          <c:marker>
            <c:symbol val="none"/>
          </c:marker>
          <c:dPt>
            <c:idx val="22"/>
            <c:marker>
              <c:symbol val="none"/>
            </c:marker>
            <c:bubble3D val="0"/>
            <c:extLst>
              <c:ext xmlns:c16="http://schemas.microsoft.com/office/drawing/2014/chart" uri="{C3380CC4-5D6E-409C-BE32-E72D297353CC}">
                <c16:uniqueId val="{00000003-A67B-4835-80C6-7C1A4421EA32}"/>
              </c:ext>
            </c:extLst>
          </c:dPt>
          <c:dPt>
            <c:idx val="23"/>
            <c:marker>
              <c:symbol val="none"/>
            </c:marker>
            <c:bubble3D val="0"/>
            <c:extLst>
              <c:ext xmlns:c16="http://schemas.microsoft.com/office/drawing/2014/chart" uri="{C3380CC4-5D6E-409C-BE32-E72D297353CC}">
                <c16:uniqueId val="{00000004-A67B-4835-80C6-7C1A4421EA32}"/>
              </c:ext>
            </c:extLst>
          </c:dPt>
          <c:cat>
            <c:multiLvlStrRef>
              <c:f>IOCP_vm!$B$2:$C$48</c:f>
              <c:multiLvlStrCache>
                <c:ptCount val="4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lvl>
                <c:lvl>
                  <c:pt idx="0">
                    <c:v>2019</c:v>
                  </c:pt>
                  <c:pt idx="12">
                    <c:v>2020</c:v>
                  </c:pt>
                  <c:pt idx="24">
                    <c:v>2021</c:v>
                  </c:pt>
                  <c:pt idx="36">
                    <c:v>2022</c:v>
                  </c:pt>
                </c:lvl>
              </c:multiLvlStrCache>
            </c:multiLvlStrRef>
          </c:cat>
          <c:val>
            <c:numRef>
              <c:f>IOCP_vm!$G$2:$G$48</c:f>
              <c:numCache>
                <c:formatCode>General</c:formatCode>
                <c:ptCount val="47"/>
                <c:pt idx="44">
                  <c:v>0.39384189109694001</c:v>
                </c:pt>
                <c:pt idx="45" formatCode="_-* #,##0.0_-;\-* #,##0.0_-;_-* &quot;-&quot;??_-;_-@_-">
                  <c:v>-0.284018311406669</c:v>
                </c:pt>
                <c:pt idx="46" formatCode="_-* #,##0.0_-;\-* #,##0.0_-;_-* &quot;-&quot;??_-;_-@_-">
                  <c:v>-2.2641067783140598</c:v>
                </c:pt>
              </c:numCache>
            </c:numRef>
          </c:val>
          <c:smooth val="0"/>
          <c:extLst>
            <c:ext xmlns:c16="http://schemas.microsoft.com/office/drawing/2014/chart" uri="{C3380CC4-5D6E-409C-BE32-E72D297353CC}">
              <c16:uniqueId val="{00000005-A67B-4835-80C6-7C1A4421EA32}"/>
            </c:ext>
          </c:extLst>
        </c:ser>
        <c:ser>
          <c:idx val="4"/>
          <c:order val="4"/>
          <c:tx>
            <c:strRef>
              <c:f>IOCP_vm!$H$1</c:f>
              <c:strCache>
                <c:ptCount val="1"/>
                <c:pt idx="0">
                  <c:v>Superior</c:v>
                </c:pt>
              </c:strCache>
            </c:strRef>
          </c:tx>
          <c:spPr>
            <a:ln w="19050" cap="rnd">
              <a:solidFill>
                <a:srgbClr val="00B050"/>
              </a:solidFill>
              <a:prstDash val="sysDash"/>
              <a:round/>
            </a:ln>
            <a:effectLst/>
          </c:spPr>
          <c:marker>
            <c:symbol val="none"/>
          </c:marker>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A67B-4835-80C6-7C1A4421EA32}"/>
              </c:ext>
            </c:extLst>
          </c:dPt>
          <c:dPt>
            <c:idx val="23"/>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A67B-4835-80C6-7C1A4421EA32}"/>
              </c:ext>
            </c:extLst>
          </c:dPt>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A67B-4835-80C6-7C1A4421EA32}"/>
              </c:ext>
            </c:extLst>
          </c:dPt>
          <c:cat>
            <c:multiLvlStrRef>
              <c:f>IOCP_vm!$B$2:$C$48</c:f>
              <c:multiLvlStrCache>
                <c:ptCount val="4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lvl>
                <c:lvl>
                  <c:pt idx="0">
                    <c:v>2019</c:v>
                  </c:pt>
                  <c:pt idx="12">
                    <c:v>2020</c:v>
                  </c:pt>
                  <c:pt idx="24">
                    <c:v>2021</c:v>
                  </c:pt>
                  <c:pt idx="36">
                    <c:v>2022</c:v>
                  </c:pt>
                </c:lvl>
              </c:multiLvlStrCache>
            </c:multiLvlStrRef>
          </c:cat>
          <c:val>
            <c:numRef>
              <c:f>IOCP_vm!$H$2:$H$48</c:f>
              <c:numCache>
                <c:formatCode>General</c:formatCode>
                <c:ptCount val="47"/>
                <c:pt idx="44">
                  <c:v>0.39384189109694001</c:v>
                </c:pt>
                <c:pt idx="45" formatCode="_-* #,##0.0_-;\-* #,##0.0_-;_-* &quot;-&quot;??_-;_-@_-">
                  <c:v>2.7018861909713801</c:v>
                </c:pt>
                <c:pt idx="46" formatCode="_-* #,##0.0_-;\-* #,##0.0_-;_-* &quot;-&quot;??_-;_-@_-">
                  <c:v>0.91869866135565603</c:v>
                </c:pt>
              </c:numCache>
            </c:numRef>
          </c:val>
          <c:smooth val="0"/>
          <c:extLst>
            <c:ext xmlns:c16="http://schemas.microsoft.com/office/drawing/2014/chart" uri="{C3380CC4-5D6E-409C-BE32-E72D297353CC}">
              <c16:uniqueId val="{0000000C-A67B-4835-80C6-7C1A4421EA32}"/>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3175" cap="flat" cmpd="sng" algn="ctr">
            <a:solidFill>
              <a:schemeClr val="bg1">
                <a:lumMod val="50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w="3175">
          <a:solidFill>
            <a:sysClr val="windowText" lastClr="000000"/>
          </a:solidFill>
        </a:ln>
        <a:effectLst/>
      </c:spPr>
    </c:plotArea>
    <c:legend>
      <c:legendPos val="b"/>
      <c:layout>
        <c:manualLayout>
          <c:xMode val="edge"/>
          <c:yMode val="edge"/>
          <c:x val="6.7436773250767107E-2"/>
          <c:y val="0.93223791254550636"/>
          <c:w val="0.91509832847056394"/>
          <c:h val="6.696477532957610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9601282051282052E-2"/>
          <c:y val="4.3650793650793648E-2"/>
          <c:w val="0.89892435897435896"/>
          <c:h val="0.73830103460613217"/>
        </c:manualLayout>
      </c:layout>
      <c:lineChart>
        <c:grouping val="standard"/>
        <c:varyColors val="0"/>
        <c:ser>
          <c:idx val="0"/>
          <c:order val="0"/>
          <c:tx>
            <c:strRef>
              <c:f>IOCP_lev!$D$1</c:f>
              <c:strCache>
                <c:ptCount val="1"/>
                <c:pt idx="0">
                  <c:v>IMCPMI</c:v>
                </c:pt>
              </c:strCache>
            </c:strRef>
          </c:tx>
          <c:spPr>
            <a:ln w="28575" cap="rnd">
              <a:solidFill>
                <a:schemeClr val="accent1">
                  <a:lumMod val="75000"/>
                </a:schemeClr>
              </a:solidFill>
              <a:round/>
            </a:ln>
            <a:effectLst/>
          </c:spPr>
          <c:marker>
            <c:symbol val="none"/>
          </c:marker>
          <c:cat>
            <c:multiLvlStrRef>
              <c:f>IOCP_lev!$B$2:$C$48</c:f>
              <c:multiLvlStrCache>
                <c:ptCount val="4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lvl>
                <c:lvl>
                  <c:pt idx="0">
                    <c:v>2019</c:v>
                  </c:pt>
                  <c:pt idx="12">
                    <c:v>2020</c:v>
                  </c:pt>
                  <c:pt idx="24">
                    <c:v>2021</c:v>
                  </c:pt>
                  <c:pt idx="36">
                    <c:v>2022</c:v>
                  </c:pt>
                </c:lvl>
              </c:multiLvlStrCache>
            </c:multiLvlStrRef>
          </c:cat>
          <c:val>
            <c:numRef>
              <c:f>IOCP_lev!$D$2:$D$48</c:f>
              <c:numCache>
                <c:formatCode>General</c:formatCode>
                <c:ptCount val="47"/>
                <c:pt idx="0">
                  <c:v>116.96440029999999</c:v>
                </c:pt>
                <c:pt idx="1">
                  <c:v>117.084998</c:v>
                </c:pt>
                <c:pt idx="2">
                  <c:v>115.1001802</c:v>
                </c:pt>
                <c:pt idx="3">
                  <c:v>116.1553761</c:v>
                </c:pt>
                <c:pt idx="4">
                  <c:v>116.2211602</c:v>
                </c:pt>
                <c:pt idx="5">
                  <c:v>117.6782901</c:v>
                </c:pt>
                <c:pt idx="6">
                  <c:v>118.0146367</c:v>
                </c:pt>
                <c:pt idx="7">
                  <c:v>117.8922798</c:v>
                </c:pt>
                <c:pt idx="8">
                  <c:v>118.2615761</c:v>
                </c:pt>
                <c:pt idx="9">
                  <c:v>118.2083252</c:v>
                </c:pt>
                <c:pt idx="10">
                  <c:v>118.0642701</c:v>
                </c:pt>
                <c:pt idx="11">
                  <c:v>117.03551469999999</c:v>
                </c:pt>
                <c:pt idx="12">
                  <c:v>117.73814160000001</c:v>
                </c:pt>
                <c:pt idx="13">
                  <c:v>117.08926409999999</c:v>
                </c:pt>
                <c:pt idx="14">
                  <c:v>111.274816</c:v>
                </c:pt>
                <c:pt idx="15">
                  <c:v>88.876605409999996</c:v>
                </c:pt>
                <c:pt idx="16">
                  <c:v>87.101518479999996</c:v>
                </c:pt>
                <c:pt idx="17">
                  <c:v>94.377848589999999</c:v>
                </c:pt>
                <c:pt idx="18">
                  <c:v>100.07894450000001</c:v>
                </c:pt>
                <c:pt idx="19">
                  <c:v>103.1135508</c:v>
                </c:pt>
                <c:pt idx="20">
                  <c:v>105.9486883</c:v>
                </c:pt>
                <c:pt idx="21">
                  <c:v>107.7450309</c:v>
                </c:pt>
                <c:pt idx="22">
                  <c:v>109.45666629999999</c:v>
                </c:pt>
                <c:pt idx="23">
                  <c:v>109.3162248</c:v>
                </c:pt>
                <c:pt idx="24">
                  <c:v>110.0175168</c:v>
                </c:pt>
                <c:pt idx="25">
                  <c:v>109.1237441</c:v>
                </c:pt>
                <c:pt idx="26">
                  <c:v>110.9432652</c:v>
                </c:pt>
                <c:pt idx="27">
                  <c:v>112.1015845</c:v>
                </c:pt>
                <c:pt idx="28">
                  <c:v>113.16290600000001</c:v>
                </c:pt>
                <c:pt idx="29">
                  <c:v>112.9431914</c:v>
                </c:pt>
                <c:pt idx="30">
                  <c:v>113.2314579</c:v>
                </c:pt>
                <c:pt idx="31">
                  <c:v>113.27063939999999</c:v>
                </c:pt>
                <c:pt idx="32">
                  <c:v>114.84608679999999</c:v>
                </c:pt>
                <c:pt idx="33">
                  <c:v>114.99199299999999</c:v>
                </c:pt>
                <c:pt idx="34">
                  <c:v>115.3828666</c:v>
                </c:pt>
                <c:pt idx="35">
                  <c:v>117.4610591</c:v>
                </c:pt>
                <c:pt idx="36">
                  <c:v>117.9754078</c:v>
                </c:pt>
                <c:pt idx="37">
                  <c:v>119.6364758</c:v>
                </c:pt>
                <c:pt idx="38">
                  <c:v>120.3899919</c:v>
                </c:pt>
                <c:pt idx="39">
                  <c:v>121.1209324</c:v>
                </c:pt>
                <c:pt idx="40">
                  <c:v>120.3770233</c:v>
                </c:pt>
                <c:pt idx="41">
                  <c:v>120.2002533</c:v>
                </c:pt>
                <c:pt idx="42">
                  <c:v>120.5056798</c:v>
                </c:pt>
                <c:pt idx="43">
                  <c:v>121.2192788</c:v>
                </c:pt>
                <c:pt idx="44">
                  <c:v>121.6966911</c:v>
                </c:pt>
              </c:numCache>
            </c:numRef>
          </c:val>
          <c:smooth val="0"/>
          <c:extLst>
            <c:ext xmlns:c16="http://schemas.microsoft.com/office/drawing/2014/chart" uri="{C3380CC4-5D6E-409C-BE32-E72D297353CC}">
              <c16:uniqueId val="{00000000-E7C6-418F-BE87-DAC54D8FF362}"/>
            </c:ext>
          </c:extLst>
        </c:ser>
        <c:ser>
          <c:idx val="1"/>
          <c:order val="1"/>
          <c:tx>
            <c:strRef>
              <c:f>IOCP_lev!$E$1</c:f>
              <c:strCache>
                <c:ptCount val="1"/>
                <c:pt idx="0">
                  <c:v>Ajuste</c:v>
                </c:pt>
              </c:strCache>
            </c:strRef>
          </c:tx>
          <c:spPr>
            <a:ln w="19050" cap="rnd">
              <a:solidFill>
                <a:schemeClr val="tx1"/>
              </a:solidFill>
              <a:prstDash val="sysDash"/>
              <a:round/>
            </a:ln>
            <a:effectLst/>
          </c:spPr>
          <c:marker>
            <c:symbol val="none"/>
          </c:marker>
          <c:cat>
            <c:multiLvlStrRef>
              <c:f>IOCP_lev!$B$2:$C$48</c:f>
              <c:multiLvlStrCache>
                <c:ptCount val="4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lvl>
                <c:lvl>
                  <c:pt idx="0">
                    <c:v>2019</c:v>
                  </c:pt>
                  <c:pt idx="12">
                    <c:v>2020</c:v>
                  </c:pt>
                  <c:pt idx="24">
                    <c:v>2021</c:v>
                  </c:pt>
                  <c:pt idx="36">
                    <c:v>2022</c:v>
                  </c:pt>
                </c:lvl>
              </c:multiLvlStrCache>
            </c:multiLvlStrRef>
          </c:cat>
          <c:val>
            <c:numRef>
              <c:f>IOCP_lev!$E$2:$E$48</c:f>
              <c:numCache>
                <c:formatCode>General</c:formatCode>
                <c:ptCount val="47"/>
                <c:pt idx="0">
                  <c:v>117.783096110952</c:v>
                </c:pt>
                <c:pt idx="1">
                  <c:v>116.939020708467</c:v>
                </c:pt>
                <c:pt idx="2">
                  <c:v>117.13668745279899</c:v>
                </c:pt>
                <c:pt idx="3">
                  <c:v>116.135274964385</c:v>
                </c:pt>
                <c:pt idx="4">
                  <c:v>116.933482441563</c:v>
                </c:pt>
                <c:pt idx="5">
                  <c:v>116.167394422065</c:v>
                </c:pt>
                <c:pt idx="6">
                  <c:v>117.097942555355</c:v>
                </c:pt>
                <c:pt idx="7">
                  <c:v>118.378315102762</c:v>
                </c:pt>
                <c:pt idx="8">
                  <c:v>118.254377402732</c:v>
                </c:pt>
                <c:pt idx="9">
                  <c:v>117.582200045032</c:v>
                </c:pt>
                <c:pt idx="10">
                  <c:v>117.982156763373</c:v>
                </c:pt>
                <c:pt idx="11">
                  <c:v>117.43412476126601</c:v>
                </c:pt>
                <c:pt idx="12">
                  <c:v>118.23898171808401</c:v>
                </c:pt>
                <c:pt idx="13">
                  <c:v>116.497093972871</c:v>
                </c:pt>
                <c:pt idx="14">
                  <c:v>111.815198751645</c:v>
                </c:pt>
                <c:pt idx="15">
                  <c:v>94.821534938481904</c:v>
                </c:pt>
                <c:pt idx="16">
                  <c:v>85.7862703291988</c:v>
                </c:pt>
                <c:pt idx="17">
                  <c:v>94.525778841039994</c:v>
                </c:pt>
                <c:pt idx="18">
                  <c:v>100.979514654436</c:v>
                </c:pt>
                <c:pt idx="19">
                  <c:v>103.94315041582099</c:v>
                </c:pt>
                <c:pt idx="20">
                  <c:v>106.099459417983</c:v>
                </c:pt>
                <c:pt idx="21">
                  <c:v>107.73043194094301</c:v>
                </c:pt>
                <c:pt idx="22">
                  <c:v>109.701923365201</c:v>
                </c:pt>
                <c:pt idx="23">
                  <c:v>109.910143688394</c:v>
                </c:pt>
                <c:pt idx="24">
                  <c:v>110.107550179304</c:v>
                </c:pt>
                <c:pt idx="25">
                  <c:v>111.799268919852</c:v>
                </c:pt>
                <c:pt idx="26">
                  <c:v>113.709771019027</c:v>
                </c:pt>
                <c:pt idx="27">
                  <c:v>113.21440721924699</c:v>
                </c:pt>
                <c:pt idx="28">
                  <c:v>113.510141677075</c:v>
                </c:pt>
                <c:pt idx="29">
                  <c:v>113.444288498235</c:v>
                </c:pt>
                <c:pt idx="30">
                  <c:v>112.36229314103601</c:v>
                </c:pt>
                <c:pt idx="31">
                  <c:v>112.77789413327</c:v>
                </c:pt>
                <c:pt idx="32">
                  <c:v>114.129413907897</c:v>
                </c:pt>
                <c:pt idx="33">
                  <c:v>116.395407272268</c:v>
                </c:pt>
                <c:pt idx="34">
                  <c:v>117.00201085584</c:v>
                </c:pt>
                <c:pt idx="35">
                  <c:v>117.058911974311</c:v>
                </c:pt>
                <c:pt idx="36">
                  <c:v>117.982262279762</c:v>
                </c:pt>
                <c:pt idx="37">
                  <c:v>121.084614363062</c:v>
                </c:pt>
                <c:pt idx="38">
                  <c:v>121.65512467184899</c:v>
                </c:pt>
                <c:pt idx="39">
                  <c:v>121.303822160678</c:v>
                </c:pt>
                <c:pt idx="40">
                  <c:v>121.642238526876</c:v>
                </c:pt>
                <c:pt idx="41">
                  <c:v>120.582213336669</c:v>
                </c:pt>
                <c:pt idx="42">
                  <c:v>120.246436117622</c:v>
                </c:pt>
                <c:pt idx="43">
                  <c:v>121.061244126723</c:v>
                </c:pt>
                <c:pt idx="44">
                  <c:v>121.02012421011401</c:v>
                </c:pt>
              </c:numCache>
            </c:numRef>
          </c:val>
          <c:smooth val="0"/>
          <c:extLst>
            <c:ext xmlns:c16="http://schemas.microsoft.com/office/drawing/2014/chart" uri="{C3380CC4-5D6E-409C-BE32-E72D297353CC}">
              <c16:uniqueId val="{00000001-E7C6-418F-BE87-DAC54D8FF362}"/>
            </c:ext>
          </c:extLst>
        </c:ser>
        <c:ser>
          <c:idx val="2"/>
          <c:order val="2"/>
          <c:tx>
            <c:strRef>
              <c:f>IOCP_lev!$F$1</c:f>
              <c:strCache>
                <c:ptCount val="1"/>
                <c:pt idx="0">
                  <c:v>Nowcasts</c:v>
                </c:pt>
              </c:strCache>
            </c:strRef>
          </c:tx>
          <c:spPr>
            <a:ln w="28575" cap="rnd">
              <a:solidFill>
                <a:srgbClr val="C00000"/>
              </a:solidFill>
              <a:round/>
            </a:ln>
            <a:effectLst/>
          </c:spPr>
          <c:marker>
            <c:symbol val="none"/>
          </c:marker>
          <c:cat>
            <c:multiLvlStrRef>
              <c:f>IOCP_lev!$B$2:$C$48</c:f>
              <c:multiLvlStrCache>
                <c:ptCount val="4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lvl>
                <c:lvl>
                  <c:pt idx="0">
                    <c:v>2019</c:v>
                  </c:pt>
                  <c:pt idx="12">
                    <c:v>2020</c:v>
                  </c:pt>
                  <c:pt idx="24">
                    <c:v>2021</c:v>
                  </c:pt>
                  <c:pt idx="36">
                    <c:v>2022</c:v>
                  </c:pt>
                </c:lvl>
              </c:multiLvlStrCache>
            </c:multiLvlStrRef>
          </c:cat>
          <c:val>
            <c:numRef>
              <c:f>IOCP_lev!$F$2:$F$48</c:f>
              <c:numCache>
                <c:formatCode>General</c:formatCode>
                <c:ptCount val="47"/>
                <c:pt idx="44">
                  <c:v>121.6966911</c:v>
                </c:pt>
                <c:pt idx="45" formatCode="_-* #,##0.0_-;\-* #,##0.0_-;_-* &quot;-&quot;??_-;_-@_-">
                  <c:v>123.28291569530001</c:v>
                </c:pt>
                <c:pt idx="46" formatCode="_-* #,##0.0_-;\-* #,##0.0_-;_-* &quot;-&quot;??_-;_-@_-">
                  <c:v>122.450177079548</c:v>
                </c:pt>
              </c:numCache>
            </c:numRef>
          </c:val>
          <c:smooth val="0"/>
          <c:extLst>
            <c:ext xmlns:c16="http://schemas.microsoft.com/office/drawing/2014/chart" uri="{C3380CC4-5D6E-409C-BE32-E72D297353CC}">
              <c16:uniqueId val="{00000002-E7C6-418F-BE87-DAC54D8FF362}"/>
            </c:ext>
          </c:extLst>
        </c:ser>
        <c:ser>
          <c:idx val="3"/>
          <c:order val="3"/>
          <c:tx>
            <c:strRef>
              <c:f>IOCP_lev!$G$1</c:f>
              <c:strCache>
                <c:ptCount val="1"/>
                <c:pt idx="0">
                  <c:v>Inferior</c:v>
                </c:pt>
              </c:strCache>
            </c:strRef>
          </c:tx>
          <c:spPr>
            <a:ln w="19050" cap="rnd">
              <a:solidFill>
                <a:srgbClr val="00B050"/>
              </a:solidFill>
              <a:prstDash val="sysDash"/>
              <a:round/>
            </a:ln>
            <a:effectLst/>
          </c:spPr>
          <c:marker>
            <c:symbol val="none"/>
          </c:marker>
          <c:dPt>
            <c:idx val="22"/>
            <c:marker>
              <c:symbol val="none"/>
            </c:marker>
            <c:bubble3D val="0"/>
            <c:extLst>
              <c:ext xmlns:c16="http://schemas.microsoft.com/office/drawing/2014/chart" uri="{C3380CC4-5D6E-409C-BE32-E72D297353CC}">
                <c16:uniqueId val="{00000003-E7C6-418F-BE87-DAC54D8FF362}"/>
              </c:ext>
            </c:extLst>
          </c:dPt>
          <c:dPt>
            <c:idx val="23"/>
            <c:marker>
              <c:symbol val="none"/>
            </c:marker>
            <c:bubble3D val="0"/>
            <c:extLst>
              <c:ext xmlns:c16="http://schemas.microsoft.com/office/drawing/2014/chart" uri="{C3380CC4-5D6E-409C-BE32-E72D297353CC}">
                <c16:uniqueId val="{00000004-E7C6-418F-BE87-DAC54D8FF362}"/>
              </c:ext>
            </c:extLst>
          </c:dPt>
          <c:cat>
            <c:multiLvlStrRef>
              <c:f>IOCP_lev!$B$2:$C$48</c:f>
              <c:multiLvlStrCache>
                <c:ptCount val="4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lvl>
                <c:lvl>
                  <c:pt idx="0">
                    <c:v>2019</c:v>
                  </c:pt>
                  <c:pt idx="12">
                    <c:v>2020</c:v>
                  </c:pt>
                  <c:pt idx="24">
                    <c:v>2021</c:v>
                  </c:pt>
                  <c:pt idx="36">
                    <c:v>2022</c:v>
                  </c:pt>
                </c:lvl>
              </c:multiLvlStrCache>
            </c:multiLvlStrRef>
          </c:cat>
          <c:val>
            <c:numRef>
              <c:f>IOCP_lev!$G$2:$G$48</c:f>
              <c:numCache>
                <c:formatCode>General</c:formatCode>
                <c:ptCount val="47"/>
                <c:pt idx="44">
                  <c:v>121.6966911</c:v>
                </c:pt>
                <c:pt idx="45" formatCode="_-* #,##0.0_-;\-* #,##0.0_-;_-* &quot;-&quot;??_-;_-@_-">
                  <c:v>121.35105021290001</c:v>
                </c:pt>
                <c:pt idx="46" formatCode="_-* #,##0.0_-;\-* #,##0.0_-;_-* &quot;-&quot;??_-;_-@_-">
                  <c:v>120.49165884454</c:v>
                </c:pt>
              </c:numCache>
            </c:numRef>
          </c:val>
          <c:smooth val="0"/>
          <c:extLst>
            <c:ext xmlns:c16="http://schemas.microsoft.com/office/drawing/2014/chart" uri="{C3380CC4-5D6E-409C-BE32-E72D297353CC}">
              <c16:uniqueId val="{00000005-E7C6-418F-BE87-DAC54D8FF362}"/>
            </c:ext>
          </c:extLst>
        </c:ser>
        <c:ser>
          <c:idx val="4"/>
          <c:order val="4"/>
          <c:tx>
            <c:strRef>
              <c:f>IOCP_lev!$H$1</c:f>
              <c:strCache>
                <c:ptCount val="1"/>
                <c:pt idx="0">
                  <c:v>Superior</c:v>
                </c:pt>
              </c:strCache>
            </c:strRef>
          </c:tx>
          <c:spPr>
            <a:ln w="19050" cap="rnd">
              <a:solidFill>
                <a:srgbClr val="00B050"/>
              </a:solidFill>
              <a:prstDash val="sysDash"/>
              <a:round/>
            </a:ln>
            <a:effectLst/>
          </c:spPr>
          <c:marker>
            <c:symbol val="none"/>
          </c:marker>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E7C6-418F-BE87-DAC54D8FF362}"/>
              </c:ext>
            </c:extLst>
          </c:dPt>
          <c:dPt>
            <c:idx val="23"/>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E7C6-418F-BE87-DAC54D8FF362}"/>
              </c:ext>
            </c:extLst>
          </c:dPt>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E7C6-418F-BE87-DAC54D8FF362}"/>
              </c:ext>
            </c:extLst>
          </c:dPt>
          <c:cat>
            <c:multiLvlStrRef>
              <c:f>IOCP_lev!$B$2:$C$48</c:f>
              <c:multiLvlStrCache>
                <c:ptCount val="4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lvl>
                <c:lvl>
                  <c:pt idx="0">
                    <c:v>2019</c:v>
                  </c:pt>
                  <c:pt idx="12">
                    <c:v>2020</c:v>
                  </c:pt>
                  <c:pt idx="24">
                    <c:v>2021</c:v>
                  </c:pt>
                  <c:pt idx="36">
                    <c:v>2022</c:v>
                  </c:pt>
                </c:lvl>
              </c:multiLvlStrCache>
            </c:multiLvlStrRef>
          </c:cat>
          <c:val>
            <c:numRef>
              <c:f>IOCP_lev!$H$2:$H$48</c:f>
              <c:numCache>
                <c:formatCode>General</c:formatCode>
                <c:ptCount val="47"/>
                <c:pt idx="44">
                  <c:v>121.6966911</c:v>
                </c:pt>
                <c:pt idx="45" formatCode="_-* #,##0.0_-;\-* #,##0.0_-;_-* &quot;-&quot;??_-;_-@_-">
                  <c:v>124.9847971917</c:v>
                </c:pt>
                <c:pt idx="46" formatCode="_-* #,##0.0_-;\-* #,##0.0_-;_-* &quot;-&quot;??_-;_-@_-">
                  <c:v>124.41551419147299</c:v>
                </c:pt>
              </c:numCache>
            </c:numRef>
          </c:val>
          <c:smooth val="0"/>
          <c:extLst>
            <c:ext xmlns:c16="http://schemas.microsoft.com/office/drawing/2014/chart" uri="{C3380CC4-5D6E-409C-BE32-E72D297353CC}">
              <c16:uniqueId val="{0000000C-E7C6-418F-BE87-DAC54D8FF362}"/>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3175" cap="flat" cmpd="sng" algn="ctr">
            <a:solidFill>
              <a:schemeClr val="bg1">
                <a:lumMod val="50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min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Índice</a:t>
                </a:r>
              </a:p>
            </c:rich>
          </c:tx>
          <c:layout>
            <c:manualLayout>
              <c:xMode val="edge"/>
              <c:yMode val="edge"/>
              <c:x val="0"/>
              <c:y val="0.35308628705358308"/>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majorUnit val="10"/>
      </c:valAx>
      <c:spPr>
        <a:noFill/>
        <a:ln w="3175">
          <a:solidFill>
            <a:sysClr val="windowText" lastClr="000000"/>
          </a:solidFill>
        </a:ln>
        <a:effectLst/>
      </c:spPr>
    </c:plotArea>
    <c:legend>
      <c:legendPos val="b"/>
      <c:layout>
        <c:manualLayout>
          <c:xMode val="edge"/>
          <c:yMode val="edge"/>
          <c:x val="8.8128960729012523E-2"/>
          <c:y val="0.93223791254550636"/>
          <c:w val="0.89469609365432667"/>
          <c:h val="6.696477532957610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5C50D-5963-4CDE-A51C-E0BF8843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2404</Words>
  <Characters>13227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Comunicado de Prensa. Indicador Oportuno del Consumo Privado</vt:lpstr>
    </vt:vector>
  </TitlesOfParts>
  <Company>INEGI</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Oportuno del Consumo Privado</dc:title>
  <dc:creator>INEGI</dc:creator>
  <cp:keywords>Consumo Privado IOCP</cp:keywords>
  <cp:lastModifiedBy>GUILLEN MEDINA MOISES</cp:lastModifiedBy>
  <cp:revision>5</cp:revision>
  <cp:lastPrinted>2022-12-14T19:02:00Z</cp:lastPrinted>
  <dcterms:created xsi:type="dcterms:W3CDTF">2022-12-14T23:44:00Z</dcterms:created>
  <dcterms:modified xsi:type="dcterms:W3CDTF">2022-12-15T01:53:00Z</dcterms:modified>
  <cp:version>1</cp:version>
</cp:coreProperties>
</file>